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96" w:rsidRPr="000E22E0" w:rsidRDefault="00CC1396" w:rsidP="00CC1396">
      <w:pPr>
        <w:jc w:val="center"/>
        <w:rPr>
          <w:b/>
          <w:sz w:val="24"/>
          <w:szCs w:val="24"/>
        </w:rPr>
      </w:pPr>
      <w:r w:rsidRPr="000E22E0">
        <w:rPr>
          <w:b/>
          <w:sz w:val="24"/>
          <w:szCs w:val="24"/>
        </w:rPr>
        <w:t>Dôvodová správa</w:t>
      </w:r>
    </w:p>
    <w:p w:rsidR="00CC1396" w:rsidRPr="000E22E0" w:rsidRDefault="00CC1396" w:rsidP="00CC1396">
      <w:pPr>
        <w:jc w:val="both"/>
        <w:rPr>
          <w:rStyle w:val="Zstupntext"/>
          <w:b/>
          <w:color w:val="000000"/>
          <w:sz w:val="24"/>
          <w:szCs w:val="24"/>
        </w:rPr>
      </w:pPr>
    </w:p>
    <w:p w:rsidR="00CC1396" w:rsidRPr="000E22E0" w:rsidRDefault="00CC1396" w:rsidP="00CC1396">
      <w:pPr>
        <w:jc w:val="both"/>
        <w:rPr>
          <w:rStyle w:val="Zstupntext"/>
          <w:b/>
          <w:color w:val="000000"/>
          <w:sz w:val="24"/>
          <w:szCs w:val="24"/>
        </w:rPr>
      </w:pPr>
    </w:p>
    <w:p w:rsidR="00CC1396" w:rsidRPr="000E22E0" w:rsidRDefault="00CC1396" w:rsidP="00CC1396">
      <w:pPr>
        <w:jc w:val="both"/>
        <w:rPr>
          <w:rStyle w:val="Zstupntext"/>
          <w:b/>
          <w:color w:val="000000"/>
          <w:sz w:val="24"/>
          <w:szCs w:val="24"/>
        </w:rPr>
      </w:pPr>
      <w:r w:rsidRPr="000E22E0">
        <w:rPr>
          <w:rStyle w:val="Zstupntext"/>
          <w:b/>
          <w:color w:val="000000"/>
          <w:sz w:val="24"/>
          <w:szCs w:val="24"/>
        </w:rPr>
        <w:t>A. Všeobecná časť</w:t>
      </w:r>
    </w:p>
    <w:p w:rsidR="00CC1396" w:rsidRPr="000E22E0" w:rsidRDefault="00CC1396" w:rsidP="00CC1396">
      <w:pPr>
        <w:ind w:firstLine="720"/>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Návrh zákona, ktorým sa mení a dopĺňa zákon č. 222/2004 Z. z. o dani z pridanej hodnoty v znení neskorších predpisov, sa predkladá na základe uznesenia vlády Slovenskej republiky č. 573 zo dňa 13. decembra 2017, ktorým vláda schválila Plán legislatívnych úloh vlády Slovenskej republiky na rok 2018.</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 xml:space="preserve">Cieľom návrhu zákona je prebrať do zákona o dani z pridanej hodnoty smernicu Rady (EÚ) 2016/1065 z 27. júna 2016, ktorou sa mení smernica 2006/112/ES, pokiaľ ide o zaobchádzanie z poukazmi, a článok 1 smernice Rady (EÚ) 2017/2455 z 5. decembra 2017, ktorou sa mení smernica 2006/112/ES a smernica 2009/132/ES, pokiaľ ide o určité povinnosti týkajúce sa dane z pridanej hodnoty pri poskytovaní služieb a predaji tovaru na diaľku. Slovenskej republike vyplýva povinnosť prijať a uverejniť zákon potrebný na dosiahnutie súladu zákona o DPH s citovanými smernicami do 31. decembra 2018.  </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 xml:space="preserve">Zmenami a doplnením zákona o DPH dôjde k zavedeniu harmonizovaných pravidiel pri  zaobchádzaní s poukazmi, ktoré možno vymeniť za tovary alebo služby. Platný zákon neobsahuje žiadne pravidlá daňového zaobchádzania s transakciami týkajúcimi sa poukazov. Tým, že zaobchádzanie s poukazmi na účely DPH je v členských štátoch rozličné, dochádza k nejednotnosti pri uplatňovaní základných pravidiel DPH, čo môže spôsobovať narúšanie hospodárskej súťaže, dvojité zdanenie alebo nezdanenie tovarov a služieb alebo viesť k vzniku mechanizmov vyhýbania sa daňovej povinnosti, čo má negatívne dôsledky na fungovanie vnútorného trhu. </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Pokiaľ ide o pravidlá poskytovania telekomunikačných služieb, služieb rozhlasového a televízneho vysielania a elektronických služieb (digitálne služby), od 1. januára 2015 platí, že pokiaľ sú tieto služby poskytované nezdaniteľným osobám, miesto dodania sa nachádza a daň z týchto služieb patrí členskému štátu, v ktorom je odberateľ usadený (tzv. členský štát spotreby). Ukazuje sa, že príležitostným poskytovateľom digitálnych služieb, ktorí sú usadení len v jednom členskom štáte, tieto pravidlá účinné od 1. januára 2015 spôsobujú značné administratívne zaťaženie aj napriek skutočnosti, že k tomu istému dátumu bola zavedená osobitná úprava jedného kontaktného miesta (tzv. MOSS), umožňujúca poskytovateľom digitálnych služieb pre nezdaniteľné osoby plniť daňové povinnosti voči členským štátom spotreby v tom členskom štáte, v ktorom sú usadení (tzv. členský štát identifikácie).</w:t>
      </w: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Od 1. januára 2019 sa zavedie obratový limit pre zdaniteľné osoby, ktoré sú usadené len v jednom členskom štáte Európskej únie a ktoré poskytujú digitálne služby nezdaniteľným osobám usadeným v inom členskom štáte, pričom ak hodnota týchto služieb nepresiahne v kalendárnom roku sumu 10 000 eur bez dane a súčasne túto sumu nepresiahla v predchádzajúcom kalendárnom roku, takíto poskytovatelia si budú môcť ako miesto dodania nimi poskytovaných digitálnych služieb zvoliť členský štát ich usadenia. Taktiež dôjde k prevzatiu ďalších zmien súvisiacich s poskytovaním digitálnych služieb.</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Na základe záverov analýzy inštitútu zábezpeky na daň pri registrácii rizikových zdaniteľných osôb za platiteľov dane vykonanej Finančným riaditeľstvom SR sa navrhuje zrušenie tohto inštitútu z dôvodu, že stratil svoje opodstatnenie. Novela zákona o DPH je ďalej orientovaná aj na oblasti, v ktorých aplikačná prax ukazuje potrebu upraviť existujúce pravidlá uplatňovania dane z pridanej hodnoty, napríklad s cieľom zabrániť zneužívaniu uplatňovania odpočtov dane pri dodaní a nájme nehnuteľností určených na bývanie.</w:t>
      </w:r>
    </w:p>
    <w:p w:rsidR="00CC1396" w:rsidRDefault="00CC1396" w:rsidP="00CC1396">
      <w:pPr>
        <w:jc w:val="both"/>
        <w:rPr>
          <w:rStyle w:val="Zstupntext"/>
          <w:color w:val="000000"/>
          <w:sz w:val="24"/>
          <w:szCs w:val="24"/>
        </w:rPr>
      </w:pPr>
    </w:p>
    <w:p w:rsidR="00CC1396" w:rsidRPr="00DE05EB" w:rsidRDefault="00CC1396" w:rsidP="00CC1396">
      <w:pPr>
        <w:ind w:firstLine="709"/>
        <w:jc w:val="both"/>
        <w:rPr>
          <w:rStyle w:val="Zstupntext"/>
          <w:color w:val="000000"/>
          <w:sz w:val="24"/>
          <w:szCs w:val="24"/>
        </w:rPr>
      </w:pPr>
      <w:r w:rsidRPr="00DE05EB">
        <w:rPr>
          <w:rStyle w:val="Zstupntext"/>
          <w:color w:val="000000"/>
          <w:sz w:val="24"/>
          <w:szCs w:val="24"/>
        </w:rPr>
        <w:t>V sú</w:t>
      </w:r>
      <w:r>
        <w:rPr>
          <w:rStyle w:val="Zstupntext"/>
          <w:color w:val="000000"/>
          <w:sz w:val="24"/>
          <w:szCs w:val="24"/>
        </w:rPr>
        <w:t xml:space="preserve">vislosti s pokračujúcim trendom </w:t>
      </w:r>
      <w:r w:rsidRPr="00DE05EB">
        <w:rPr>
          <w:rStyle w:val="Zstupntext"/>
          <w:color w:val="000000"/>
          <w:sz w:val="24"/>
          <w:szCs w:val="24"/>
        </w:rPr>
        <w:t>digitalizácie Finančnej správy Slovenskej republiky sa navrhuje  zjednodušenie procesu vrátenia dane cestujúcim pri vývoze tovaru. Navrhovaným opatrením bude cestujúcim z tretích štátov umožnené využitím elektronických prostriedkov uplatniť vrátenie dane, ktorú v Slovenskej repub</w:t>
      </w:r>
      <w:r>
        <w:rPr>
          <w:rStyle w:val="Zstupntext"/>
          <w:color w:val="000000"/>
          <w:sz w:val="24"/>
          <w:szCs w:val="24"/>
        </w:rPr>
        <w:t>like zaplatili v cene tovaru nes</w:t>
      </w:r>
      <w:r w:rsidRPr="00DE05EB">
        <w:rPr>
          <w:rStyle w:val="Zstupntext"/>
          <w:color w:val="000000"/>
          <w:sz w:val="24"/>
          <w:szCs w:val="24"/>
        </w:rPr>
        <w:t>potrebovávaného na území Európskej únie, u osoby, ktorú na tento účel cestujúci poveria, za podmienky, že táto osoba má uzavretú dohodu o vrátení dane s Finančným riaditeľstvom Slovenskej republiky. Spolu so zjednodušením procesu vrátenia dane cestujúcim sa taktiež navrhuje znížiť celková minimálna hodnota vyvážaného t</w:t>
      </w:r>
      <w:r>
        <w:rPr>
          <w:rStyle w:val="Zstupntext"/>
          <w:color w:val="000000"/>
          <w:sz w:val="24"/>
          <w:szCs w:val="24"/>
        </w:rPr>
        <w:t>ovaru uvedená na jednom doklade.</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 xml:space="preserve">S ohľadom na stanovený termín transpozície cit. smerníc sa účinnosť zákona navrhuje od 1. januára 2019. </w:t>
      </w:r>
    </w:p>
    <w:p w:rsidR="00CC1396"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 xml:space="preserve">Vplyv návrhu zákona na rozpočet verejnej správy, na podnikateľské prostredie, na sociálne prostredie, vplyv na životné prostredie, vplyv na informatizáciu spoločnosti a na služby verejnej správy pre občana sú uvedené v doložke vybraných vplyvov. Návrh zákona bude mať negatívny vplyv na rozpočet verejnej správy, pozitívny aj negatívny vplyv na podnikateľské prostredie a nebude mať sociálny vplyv, vplyv na životné prostredie, na informatizáciu spoločnosti a ani na služby verejnej správy pre občana.  </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Predkladaný návrh zákona nebude mať vplyv na rozpočty obcí a vyšších územných celkov.</w:t>
      </w:r>
    </w:p>
    <w:p w:rsidR="00CC1396" w:rsidRPr="00BF567C" w:rsidRDefault="00CC1396" w:rsidP="00CC1396">
      <w:pPr>
        <w:ind w:firstLine="708"/>
        <w:jc w:val="both"/>
        <w:rPr>
          <w:rStyle w:val="Zstupntext"/>
          <w:color w:val="000000"/>
          <w:sz w:val="24"/>
          <w:szCs w:val="24"/>
        </w:rPr>
      </w:pPr>
    </w:p>
    <w:p w:rsidR="00CC1396" w:rsidRPr="00BF567C" w:rsidRDefault="00CC1396" w:rsidP="00CC1396">
      <w:pPr>
        <w:ind w:firstLine="708"/>
        <w:jc w:val="both"/>
        <w:rPr>
          <w:rStyle w:val="Zstupntext"/>
          <w:color w:val="000000"/>
          <w:sz w:val="24"/>
          <w:szCs w:val="24"/>
        </w:rPr>
      </w:pPr>
      <w:r w:rsidRPr="00BF567C">
        <w:rPr>
          <w:rStyle w:val="Zstupntext"/>
          <w:color w:val="000000"/>
          <w:sz w:val="24"/>
          <w:szCs w:val="24"/>
        </w:rPr>
        <w:t>Návrh zákona bol predmetom medzirezortného pripomienkového konania, ktorého vyhodnotenie tvorí prílohu materiálu. Návrh zákona sa predkladá na rokovanie vlády SR bez rozporov.</w:t>
      </w:r>
    </w:p>
    <w:p w:rsidR="00CC1396" w:rsidRPr="00BF567C" w:rsidRDefault="00CC1396" w:rsidP="00CC1396">
      <w:pPr>
        <w:ind w:firstLine="708"/>
        <w:jc w:val="both"/>
        <w:rPr>
          <w:rStyle w:val="Zstupntext"/>
          <w:color w:val="000000"/>
          <w:sz w:val="24"/>
          <w:szCs w:val="24"/>
        </w:rPr>
      </w:pPr>
    </w:p>
    <w:p w:rsidR="00CC1396" w:rsidRDefault="00CC1396" w:rsidP="00FE09C4">
      <w:pPr>
        <w:spacing w:after="120"/>
        <w:jc w:val="center"/>
        <w:rPr>
          <w:b/>
          <w:bCs/>
          <w:sz w:val="24"/>
          <w:szCs w:val="24"/>
        </w:rPr>
      </w:pPr>
    </w:p>
    <w:p w:rsidR="00CC1396" w:rsidRDefault="00CC1396">
      <w:pPr>
        <w:spacing w:after="200" w:line="276" w:lineRule="auto"/>
        <w:rPr>
          <w:b/>
          <w:bCs/>
          <w:sz w:val="24"/>
          <w:szCs w:val="24"/>
        </w:rPr>
      </w:pPr>
      <w:r>
        <w:rPr>
          <w:b/>
          <w:bCs/>
          <w:sz w:val="24"/>
          <w:szCs w:val="24"/>
        </w:rPr>
        <w:br w:type="page"/>
      </w:r>
    </w:p>
    <w:p w:rsidR="003501A1" w:rsidRPr="00D523DE" w:rsidRDefault="003501A1" w:rsidP="00FE09C4">
      <w:pPr>
        <w:spacing w:after="120"/>
        <w:jc w:val="center"/>
        <w:rPr>
          <w:b/>
          <w:sz w:val="24"/>
          <w:szCs w:val="24"/>
        </w:rPr>
      </w:pPr>
      <w:r w:rsidRPr="00D523DE">
        <w:rPr>
          <w:b/>
          <w:bCs/>
          <w:sz w:val="24"/>
          <w:szCs w:val="24"/>
        </w:rPr>
        <w:lastRenderedPageBreak/>
        <w:t>Doložka vybraných vplyvov</w:t>
      </w: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D523DE" w:rsidTr="003501A1">
        <w:tc>
          <w:tcPr>
            <w:tcW w:w="9180" w:type="dxa"/>
            <w:gridSpan w:val="10"/>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Základné údaje</w:t>
            </w:r>
          </w:p>
        </w:tc>
      </w:tr>
      <w:tr w:rsidR="003501A1" w:rsidRPr="00D523DE" w:rsidTr="003501A1">
        <w:tc>
          <w:tcPr>
            <w:tcW w:w="9180" w:type="dxa"/>
            <w:gridSpan w:val="10"/>
            <w:tcBorders>
              <w:bottom w:val="single" w:sz="4" w:space="0" w:color="FFFFFF" w:themeColor="background1"/>
            </w:tcBorders>
            <w:shd w:val="clear" w:color="auto" w:fill="E2E2E2"/>
          </w:tcPr>
          <w:p w:rsidR="003501A1" w:rsidRPr="00D523DE" w:rsidRDefault="003501A1" w:rsidP="007B71A4">
            <w:pPr>
              <w:pStyle w:val="Odsekzoznamu"/>
              <w:ind w:left="142"/>
              <w:rPr>
                <w:rFonts w:ascii="Times New Roman" w:hAnsi="Times New Roman"/>
                <w:b/>
                <w:sz w:val="24"/>
                <w:szCs w:val="24"/>
              </w:rPr>
            </w:pPr>
            <w:r w:rsidRPr="00D523DE">
              <w:rPr>
                <w:rFonts w:ascii="Times New Roman" w:hAnsi="Times New Roman"/>
                <w:b/>
                <w:sz w:val="24"/>
                <w:szCs w:val="24"/>
              </w:rPr>
              <w:t>Názov materiálu</w:t>
            </w:r>
          </w:p>
        </w:tc>
      </w:tr>
      <w:tr w:rsidR="003501A1" w:rsidRPr="00D523DE" w:rsidTr="003501A1">
        <w:tc>
          <w:tcPr>
            <w:tcW w:w="9180" w:type="dxa"/>
            <w:gridSpan w:val="10"/>
            <w:tcBorders>
              <w:top w:val="single" w:sz="4" w:space="0" w:color="FFFFFF" w:themeColor="background1"/>
            </w:tcBorders>
          </w:tcPr>
          <w:p w:rsidR="003501A1" w:rsidRPr="00D523DE" w:rsidRDefault="00E126AA" w:rsidP="002255B0">
            <w:pPr>
              <w:jc w:val="both"/>
              <w:rPr>
                <w:sz w:val="24"/>
                <w:szCs w:val="24"/>
              </w:rPr>
            </w:pPr>
            <w:r w:rsidRPr="00D523DE">
              <w:rPr>
                <w:sz w:val="24"/>
                <w:szCs w:val="24"/>
              </w:rPr>
              <w:t>Z</w:t>
            </w:r>
            <w:r w:rsidR="0004649F" w:rsidRPr="00D523DE">
              <w:rPr>
                <w:sz w:val="24"/>
                <w:szCs w:val="24"/>
              </w:rPr>
              <w:t>ákon</w:t>
            </w:r>
            <w:r w:rsidR="00FE707A" w:rsidRPr="00D523DE">
              <w:rPr>
                <w:sz w:val="24"/>
                <w:szCs w:val="24"/>
              </w:rPr>
              <w:t xml:space="preserve">, </w:t>
            </w:r>
            <w:r w:rsidR="009D05F7" w:rsidRPr="00D523DE">
              <w:rPr>
                <w:color w:val="000000" w:themeColor="text1"/>
                <w:sz w:val="24"/>
                <w:szCs w:val="24"/>
              </w:rPr>
              <w:t>ktorým sa mení a dopĺňa zákon č. 222/2004 Z. z. o dani z pridanej hodnoty v znení neskorších predpisov</w:t>
            </w:r>
            <w:r w:rsidR="003A06D7">
              <w:rPr>
                <w:color w:val="000000" w:themeColor="text1"/>
                <w:sz w:val="24"/>
                <w:szCs w:val="24"/>
              </w:rPr>
              <w:t xml:space="preserve"> </w:t>
            </w:r>
          </w:p>
        </w:tc>
      </w:tr>
      <w:tr w:rsidR="003501A1" w:rsidRPr="00D523DE" w:rsidTr="003501A1">
        <w:tc>
          <w:tcPr>
            <w:tcW w:w="9180" w:type="dxa"/>
            <w:gridSpan w:val="10"/>
            <w:tcBorders>
              <w:bottom w:val="single" w:sz="4" w:space="0" w:color="FFFFFF" w:themeColor="background1"/>
            </w:tcBorders>
            <w:shd w:val="clear" w:color="auto" w:fill="E2E2E2"/>
          </w:tcPr>
          <w:p w:rsidR="003501A1" w:rsidRPr="00D523DE" w:rsidRDefault="003501A1" w:rsidP="007B71A4">
            <w:pPr>
              <w:pStyle w:val="Odsekzoznamu"/>
              <w:ind w:left="142"/>
              <w:rPr>
                <w:rFonts w:ascii="Times New Roman" w:hAnsi="Times New Roman"/>
                <w:b/>
                <w:sz w:val="24"/>
                <w:szCs w:val="24"/>
              </w:rPr>
            </w:pPr>
            <w:r w:rsidRPr="00D523DE">
              <w:rPr>
                <w:rFonts w:ascii="Times New Roman" w:hAnsi="Times New Roman"/>
                <w:b/>
                <w:sz w:val="24"/>
                <w:szCs w:val="24"/>
              </w:rPr>
              <w:t>Predkladateľ (a spolupredkladateľ)</w:t>
            </w:r>
          </w:p>
        </w:tc>
      </w:tr>
      <w:tr w:rsidR="003501A1" w:rsidRPr="00D523DE" w:rsidTr="003501A1">
        <w:tc>
          <w:tcPr>
            <w:tcW w:w="9180" w:type="dxa"/>
            <w:gridSpan w:val="10"/>
            <w:tcBorders>
              <w:top w:val="single" w:sz="4" w:space="0" w:color="FFFFFF" w:themeColor="background1"/>
            </w:tcBorders>
            <w:shd w:val="clear" w:color="auto" w:fill="FFFFFF" w:themeFill="background1"/>
          </w:tcPr>
          <w:p w:rsidR="003501A1" w:rsidRPr="00D523DE" w:rsidRDefault="00DB7027" w:rsidP="007B71A4">
            <w:pPr>
              <w:rPr>
                <w:sz w:val="24"/>
                <w:szCs w:val="24"/>
              </w:rPr>
            </w:pPr>
            <w:r w:rsidRPr="00D523DE">
              <w:rPr>
                <w:sz w:val="24"/>
                <w:szCs w:val="24"/>
              </w:rPr>
              <w:t>Ministerstvo financií Slovenskej republiky</w:t>
            </w:r>
          </w:p>
          <w:p w:rsidR="003501A1" w:rsidRPr="00D523DE" w:rsidRDefault="003501A1" w:rsidP="007B71A4">
            <w:pPr>
              <w:rPr>
                <w:sz w:val="24"/>
                <w:szCs w:val="24"/>
              </w:rPr>
            </w:pPr>
          </w:p>
        </w:tc>
      </w:tr>
      <w:tr w:rsidR="003501A1" w:rsidRPr="00D523DE" w:rsidTr="004F6F1F">
        <w:tc>
          <w:tcPr>
            <w:tcW w:w="4212" w:type="dxa"/>
            <w:gridSpan w:val="2"/>
            <w:vMerge w:val="restart"/>
            <w:tcBorders>
              <w:bottom w:val="single" w:sz="4" w:space="0" w:color="FFFFFF" w:themeColor="background1"/>
            </w:tcBorders>
            <w:shd w:val="clear" w:color="auto" w:fill="E2E2E2"/>
            <w:vAlign w:val="center"/>
          </w:tcPr>
          <w:p w:rsidR="003501A1" w:rsidRPr="00D523DE" w:rsidRDefault="003501A1" w:rsidP="007B71A4">
            <w:pPr>
              <w:pStyle w:val="Odsekzoznamu"/>
              <w:ind w:left="142"/>
              <w:rPr>
                <w:rFonts w:ascii="Times New Roman" w:hAnsi="Times New Roman"/>
                <w:b/>
                <w:sz w:val="24"/>
                <w:szCs w:val="24"/>
              </w:rPr>
            </w:pPr>
            <w:r w:rsidRPr="00D523DE">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3501A1" w:rsidRPr="00D523DE" w:rsidRDefault="003501A1" w:rsidP="007B71A4">
            <w:pPr>
              <w:jc w:val="center"/>
              <w:rPr>
                <w:sz w:val="24"/>
                <w:szCs w:val="24"/>
              </w:rPr>
            </w:pPr>
            <w:r w:rsidRPr="00D523DE">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3501A1" w:rsidRPr="00D523DE" w:rsidRDefault="003501A1" w:rsidP="007B71A4">
            <w:pPr>
              <w:rPr>
                <w:sz w:val="24"/>
                <w:szCs w:val="24"/>
              </w:rPr>
            </w:pPr>
            <w:r w:rsidRPr="00D523DE">
              <w:rPr>
                <w:sz w:val="24"/>
                <w:szCs w:val="24"/>
              </w:rPr>
              <w:t>Materiál nelegislatívnej povahy</w:t>
            </w:r>
          </w:p>
        </w:tc>
      </w:tr>
      <w:tr w:rsidR="003501A1" w:rsidRPr="00D523DE" w:rsidTr="004F6F1F">
        <w:tc>
          <w:tcPr>
            <w:tcW w:w="4212" w:type="dxa"/>
            <w:gridSpan w:val="2"/>
            <w:vMerge/>
            <w:tcBorders>
              <w:top w:val="nil"/>
              <w:bottom w:val="single" w:sz="4" w:space="0" w:color="FFFFFF" w:themeColor="background1"/>
            </w:tcBorders>
            <w:shd w:val="clear" w:color="auto" w:fill="E2E2E2"/>
          </w:tcPr>
          <w:p w:rsidR="003501A1" w:rsidRPr="00D523DE" w:rsidRDefault="003501A1" w:rsidP="007B71A4">
            <w:pPr>
              <w:rPr>
                <w:sz w:val="24"/>
                <w:szCs w:val="24"/>
              </w:rPr>
            </w:pPr>
          </w:p>
        </w:tc>
        <w:tc>
          <w:tcPr>
            <w:tcW w:w="705" w:type="dxa"/>
            <w:gridSpan w:val="2"/>
            <w:tcBorders>
              <w:right w:val="nil"/>
            </w:tcBorders>
            <w:shd w:val="clear" w:color="auto" w:fill="FFFFFF" w:themeFill="background1"/>
          </w:tcPr>
          <w:p w:rsidR="003501A1" w:rsidRPr="00D523DE" w:rsidRDefault="00DB7027" w:rsidP="00DB7027">
            <w:pPr>
              <w:jc w:val="center"/>
              <w:rPr>
                <w:sz w:val="24"/>
                <w:szCs w:val="24"/>
              </w:rPr>
            </w:pPr>
            <w:r w:rsidRPr="00D523DE">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3501A1" w:rsidRPr="00D523DE" w:rsidRDefault="003501A1" w:rsidP="007B71A4">
            <w:pPr>
              <w:ind w:left="175" w:hanging="175"/>
              <w:rPr>
                <w:sz w:val="24"/>
                <w:szCs w:val="24"/>
              </w:rPr>
            </w:pPr>
            <w:r w:rsidRPr="00D523DE">
              <w:rPr>
                <w:sz w:val="24"/>
                <w:szCs w:val="24"/>
              </w:rPr>
              <w:t>Materiál legislatívnej povahy</w:t>
            </w:r>
          </w:p>
        </w:tc>
      </w:tr>
      <w:tr w:rsidR="003501A1" w:rsidRPr="00D523DE" w:rsidTr="004F6F1F">
        <w:tc>
          <w:tcPr>
            <w:tcW w:w="4212" w:type="dxa"/>
            <w:gridSpan w:val="2"/>
            <w:vMerge/>
            <w:tcBorders>
              <w:top w:val="nil"/>
            </w:tcBorders>
            <w:shd w:val="clear" w:color="auto" w:fill="E2E2E2"/>
          </w:tcPr>
          <w:p w:rsidR="003501A1" w:rsidRPr="00D523DE" w:rsidRDefault="003501A1" w:rsidP="007B71A4">
            <w:pPr>
              <w:rPr>
                <w:sz w:val="24"/>
                <w:szCs w:val="24"/>
              </w:rPr>
            </w:pPr>
          </w:p>
        </w:tc>
        <w:tc>
          <w:tcPr>
            <w:tcW w:w="705" w:type="dxa"/>
            <w:gridSpan w:val="2"/>
            <w:tcBorders>
              <w:right w:val="nil"/>
            </w:tcBorders>
            <w:shd w:val="clear" w:color="auto" w:fill="FFFFFF" w:themeFill="background1"/>
          </w:tcPr>
          <w:p w:rsidR="003501A1" w:rsidRPr="00D523DE" w:rsidRDefault="003501A1" w:rsidP="007B71A4">
            <w:pPr>
              <w:jc w:val="center"/>
              <w:rPr>
                <w:sz w:val="24"/>
                <w:szCs w:val="24"/>
              </w:rPr>
            </w:pPr>
            <w:r w:rsidRPr="00D523DE">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3501A1" w:rsidRPr="00D523DE" w:rsidRDefault="003501A1" w:rsidP="007B71A4">
            <w:pPr>
              <w:rPr>
                <w:sz w:val="24"/>
                <w:szCs w:val="24"/>
              </w:rPr>
            </w:pPr>
            <w:r w:rsidRPr="00D523DE">
              <w:rPr>
                <w:sz w:val="24"/>
                <w:szCs w:val="24"/>
              </w:rPr>
              <w:t>Transpozícia práva EÚ</w:t>
            </w:r>
          </w:p>
        </w:tc>
      </w:tr>
      <w:tr w:rsidR="003501A1" w:rsidRPr="00D523DE" w:rsidTr="003501A1">
        <w:tc>
          <w:tcPr>
            <w:tcW w:w="9180" w:type="dxa"/>
            <w:gridSpan w:val="10"/>
            <w:tcBorders>
              <w:bottom w:val="single" w:sz="4" w:space="0" w:color="FFFFFF" w:themeColor="background1"/>
            </w:tcBorders>
            <w:shd w:val="clear" w:color="auto" w:fill="FFFFFF" w:themeFill="background1"/>
          </w:tcPr>
          <w:p w:rsidR="003501A1" w:rsidRPr="00D523DE" w:rsidRDefault="003501A1" w:rsidP="007B71A4">
            <w:pPr>
              <w:rPr>
                <w:i/>
                <w:sz w:val="24"/>
                <w:szCs w:val="24"/>
              </w:rPr>
            </w:pPr>
            <w:r w:rsidRPr="00D523DE">
              <w:rPr>
                <w:i/>
                <w:sz w:val="24"/>
                <w:szCs w:val="24"/>
              </w:rPr>
              <w:t>V prípade transpozície uveďte zoznam transponovaných predpisov:</w:t>
            </w:r>
          </w:p>
          <w:p w:rsidR="003501A1" w:rsidRPr="00D523DE" w:rsidRDefault="003501A1" w:rsidP="007B71A4">
            <w:pPr>
              <w:rPr>
                <w:sz w:val="24"/>
                <w:szCs w:val="24"/>
              </w:rPr>
            </w:pPr>
          </w:p>
          <w:p w:rsidR="003501A1" w:rsidRPr="00D523DE" w:rsidRDefault="003501A1" w:rsidP="007B71A4">
            <w:pPr>
              <w:rPr>
                <w:sz w:val="24"/>
                <w:szCs w:val="24"/>
              </w:rPr>
            </w:pPr>
          </w:p>
        </w:tc>
      </w:tr>
      <w:tr w:rsidR="003501A1" w:rsidRPr="00D523DE" w:rsidTr="00DB7027">
        <w:tc>
          <w:tcPr>
            <w:tcW w:w="5634" w:type="dxa"/>
            <w:gridSpan w:val="5"/>
            <w:tcBorders>
              <w:top w:val="single" w:sz="4" w:space="0" w:color="000000" w:themeColor="text1"/>
              <w:bottom w:val="single" w:sz="4" w:space="0" w:color="FFFFFF" w:themeColor="background1"/>
            </w:tcBorders>
            <w:shd w:val="clear" w:color="auto" w:fill="E2E2E2"/>
          </w:tcPr>
          <w:p w:rsidR="003501A1" w:rsidRPr="00D523DE" w:rsidRDefault="003501A1" w:rsidP="007B71A4">
            <w:pPr>
              <w:pStyle w:val="Odsekzoznamu"/>
              <w:ind w:left="142"/>
              <w:rPr>
                <w:rFonts w:ascii="Times New Roman" w:hAnsi="Times New Roman"/>
                <w:b/>
                <w:sz w:val="24"/>
                <w:szCs w:val="24"/>
              </w:rPr>
            </w:pPr>
            <w:r w:rsidRPr="00D523DE">
              <w:rPr>
                <w:rFonts w:ascii="Times New Roman" w:hAnsi="Times New Roman"/>
                <w:b/>
                <w:sz w:val="24"/>
                <w:szCs w:val="24"/>
              </w:rPr>
              <w:t>Termín začiatku a ukončenia PPK</w:t>
            </w:r>
          </w:p>
        </w:tc>
        <w:tc>
          <w:tcPr>
            <w:tcW w:w="3546" w:type="dxa"/>
            <w:gridSpan w:val="5"/>
            <w:tcBorders>
              <w:top w:val="single" w:sz="4" w:space="0" w:color="000000" w:themeColor="text1"/>
            </w:tcBorders>
            <w:vAlign w:val="center"/>
          </w:tcPr>
          <w:p w:rsidR="003501A1" w:rsidRPr="00D523DE" w:rsidRDefault="00A15B57" w:rsidP="009D05F7">
            <w:pPr>
              <w:rPr>
                <w:sz w:val="24"/>
                <w:szCs w:val="24"/>
              </w:rPr>
            </w:pPr>
            <w:r>
              <w:rPr>
                <w:sz w:val="24"/>
                <w:szCs w:val="24"/>
              </w:rPr>
              <w:t>8.6.</w:t>
            </w:r>
            <w:r w:rsidR="004C63A4" w:rsidRPr="00D523DE">
              <w:rPr>
                <w:sz w:val="24"/>
                <w:szCs w:val="24"/>
              </w:rPr>
              <w:t>201</w:t>
            </w:r>
            <w:r>
              <w:rPr>
                <w:sz w:val="24"/>
                <w:szCs w:val="24"/>
              </w:rPr>
              <w:t>8 – 21.6.</w:t>
            </w:r>
            <w:r w:rsidR="00603997" w:rsidRPr="00D523DE">
              <w:rPr>
                <w:sz w:val="24"/>
                <w:szCs w:val="24"/>
              </w:rPr>
              <w:t>2018</w:t>
            </w:r>
          </w:p>
        </w:tc>
      </w:tr>
      <w:tr w:rsidR="003501A1" w:rsidRPr="00D523DE" w:rsidTr="00DB7027">
        <w:tc>
          <w:tcPr>
            <w:tcW w:w="5634" w:type="dxa"/>
            <w:gridSpan w:val="5"/>
            <w:tcBorders>
              <w:bottom w:val="single" w:sz="4" w:space="0" w:color="FFFFFF" w:themeColor="background1"/>
            </w:tcBorders>
            <w:shd w:val="clear" w:color="auto" w:fill="E2E2E2"/>
          </w:tcPr>
          <w:p w:rsidR="003501A1" w:rsidRPr="00D523DE" w:rsidRDefault="003501A1" w:rsidP="007B71A4">
            <w:pPr>
              <w:pStyle w:val="Odsekzoznamu"/>
              <w:ind w:left="142"/>
              <w:rPr>
                <w:rFonts w:ascii="Times New Roman" w:hAnsi="Times New Roman"/>
                <w:b/>
                <w:sz w:val="24"/>
                <w:szCs w:val="24"/>
              </w:rPr>
            </w:pPr>
            <w:r w:rsidRPr="00D523DE">
              <w:rPr>
                <w:rFonts w:ascii="Times New Roman" w:hAnsi="Times New Roman"/>
                <w:b/>
                <w:sz w:val="24"/>
                <w:szCs w:val="24"/>
              </w:rPr>
              <w:t>Predpokladaný termín predloženia na MPK</w:t>
            </w:r>
            <w:r w:rsidR="00F62771" w:rsidRPr="00D523DE">
              <w:rPr>
                <w:rFonts w:ascii="Times New Roman" w:hAnsi="Times New Roman"/>
                <w:b/>
                <w:sz w:val="24"/>
                <w:szCs w:val="24"/>
              </w:rPr>
              <w:t>*</w:t>
            </w:r>
          </w:p>
        </w:tc>
        <w:tc>
          <w:tcPr>
            <w:tcW w:w="3546" w:type="dxa"/>
            <w:gridSpan w:val="5"/>
            <w:vAlign w:val="center"/>
          </w:tcPr>
          <w:p w:rsidR="003501A1" w:rsidRPr="00D523DE" w:rsidRDefault="002F310C" w:rsidP="009D05F7">
            <w:pPr>
              <w:rPr>
                <w:sz w:val="24"/>
                <w:szCs w:val="24"/>
              </w:rPr>
            </w:pPr>
            <w:r w:rsidRPr="00D523DE">
              <w:rPr>
                <w:sz w:val="24"/>
                <w:szCs w:val="24"/>
              </w:rPr>
              <w:t>jún</w:t>
            </w:r>
            <w:r w:rsidR="00E126AA" w:rsidRPr="00D523DE">
              <w:rPr>
                <w:sz w:val="24"/>
                <w:szCs w:val="24"/>
              </w:rPr>
              <w:t xml:space="preserve"> 201</w:t>
            </w:r>
            <w:r w:rsidR="00603997" w:rsidRPr="00D523DE">
              <w:rPr>
                <w:sz w:val="24"/>
                <w:szCs w:val="24"/>
              </w:rPr>
              <w:t>8</w:t>
            </w:r>
          </w:p>
        </w:tc>
      </w:tr>
      <w:tr w:rsidR="003501A1" w:rsidRPr="00D523DE" w:rsidTr="00DB7027">
        <w:tc>
          <w:tcPr>
            <w:tcW w:w="5634" w:type="dxa"/>
            <w:gridSpan w:val="5"/>
            <w:tcBorders>
              <w:bottom w:val="single" w:sz="4" w:space="0" w:color="FFFFFF" w:themeColor="background1"/>
            </w:tcBorders>
            <w:shd w:val="clear" w:color="auto" w:fill="E2E2E2"/>
          </w:tcPr>
          <w:p w:rsidR="003501A1" w:rsidRPr="00D523DE" w:rsidRDefault="003501A1" w:rsidP="0004649F">
            <w:pPr>
              <w:pStyle w:val="Odsekzoznamu"/>
              <w:ind w:left="142"/>
              <w:rPr>
                <w:rFonts w:ascii="Times New Roman" w:hAnsi="Times New Roman"/>
                <w:b/>
                <w:sz w:val="24"/>
                <w:szCs w:val="24"/>
              </w:rPr>
            </w:pPr>
            <w:r w:rsidRPr="00D523DE">
              <w:rPr>
                <w:rFonts w:ascii="Times New Roman" w:hAnsi="Times New Roman"/>
                <w:b/>
                <w:sz w:val="24"/>
                <w:szCs w:val="24"/>
              </w:rPr>
              <w:t xml:space="preserve">Predpokladaný termín predloženia na </w:t>
            </w:r>
            <w:r w:rsidR="0004649F" w:rsidRPr="00D523DE">
              <w:rPr>
                <w:rFonts w:ascii="Times New Roman" w:hAnsi="Times New Roman"/>
                <w:b/>
                <w:sz w:val="24"/>
                <w:szCs w:val="24"/>
              </w:rPr>
              <w:t>r</w:t>
            </w:r>
            <w:r w:rsidRPr="00D523DE">
              <w:rPr>
                <w:rFonts w:ascii="Times New Roman" w:hAnsi="Times New Roman"/>
                <w:b/>
                <w:sz w:val="24"/>
                <w:szCs w:val="24"/>
              </w:rPr>
              <w:t>okovanie vlády SR</w:t>
            </w:r>
            <w:r w:rsidR="00F62771" w:rsidRPr="00D523DE">
              <w:rPr>
                <w:rFonts w:ascii="Times New Roman" w:hAnsi="Times New Roman"/>
                <w:b/>
                <w:sz w:val="24"/>
                <w:szCs w:val="24"/>
              </w:rPr>
              <w:t>*</w:t>
            </w:r>
          </w:p>
        </w:tc>
        <w:tc>
          <w:tcPr>
            <w:tcW w:w="3546" w:type="dxa"/>
            <w:gridSpan w:val="5"/>
            <w:vAlign w:val="center"/>
          </w:tcPr>
          <w:p w:rsidR="003501A1" w:rsidRPr="00D523DE" w:rsidRDefault="00603997" w:rsidP="009D05F7">
            <w:pPr>
              <w:rPr>
                <w:sz w:val="24"/>
                <w:szCs w:val="24"/>
              </w:rPr>
            </w:pPr>
            <w:r w:rsidRPr="00D523DE">
              <w:rPr>
                <w:sz w:val="24"/>
                <w:szCs w:val="24"/>
              </w:rPr>
              <w:t xml:space="preserve">august </w:t>
            </w:r>
            <w:r w:rsidR="00740DE6" w:rsidRPr="00D523DE">
              <w:rPr>
                <w:sz w:val="24"/>
                <w:szCs w:val="24"/>
              </w:rPr>
              <w:t>201</w:t>
            </w:r>
            <w:r w:rsidRPr="00D523DE">
              <w:rPr>
                <w:sz w:val="24"/>
                <w:szCs w:val="24"/>
              </w:rPr>
              <w:t>8</w:t>
            </w:r>
          </w:p>
        </w:tc>
      </w:tr>
      <w:tr w:rsidR="003501A1" w:rsidRPr="00D523DE" w:rsidTr="003501A1">
        <w:tc>
          <w:tcPr>
            <w:tcW w:w="9180" w:type="dxa"/>
            <w:gridSpan w:val="10"/>
            <w:tcBorders>
              <w:left w:val="nil"/>
              <w:right w:val="nil"/>
            </w:tcBorders>
            <w:shd w:val="clear" w:color="auto" w:fill="FFFFFF" w:themeFill="background1"/>
          </w:tcPr>
          <w:p w:rsidR="003501A1" w:rsidRPr="00D523DE" w:rsidRDefault="003501A1" w:rsidP="007B71A4">
            <w:pPr>
              <w:rPr>
                <w:sz w:val="24"/>
                <w:szCs w:val="24"/>
              </w:rPr>
            </w:pPr>
          </w:p>
        </w:tc>
      </w:tr>
      <w:tr w:rsidR="003501A1" w:rsidRPr="00D523DE" w:rsidTr="00D41DE6">
        <w:trPr>
          <w:trHeight w:val="286"/>
        </w:trPr>
        <w:tc>
          <w:tcPr>
            <w:tcW w:w="9180" w:type="dxa"/>
            <w:gridSpan w:val="10"/>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Defin</w:t>
            </w:r>
            <w:r w:rsidR="00AC2477" w:rsidRPr="00D523DE">
              <w:rPr>
                <w:rFonts w:ascii="Times New Roman" w:hAnsi="Times New Roman"/>
                <w:b/>
                <w:sz w:val="24"/>
                <w:szCs w:val="24"/>
              </w:rPr>
              <w:t>ovanie</w:t>
            </w:r>
            <w:r w:rsidRPr="00D523DE">
              <w:rPr>
                <w:rFonts w:ascii="Times New Roman" w:hAnsi="Times New Roman"/>
                <w:b/>
                <w:sz w:val="24"/>
                <w:szCs w:val="24"/>
              </w:rPr>
              <w:t xml:space="preserve"> problému</w:t>
            </w:r>
          </w:p>
        </w:tc>
      </w:tr>
      <w:tr w:rsidR="003501A1" w:rsidRPr="00D523DE" w:rsidTr="006E4652">
        <w:trPr>
          <w:trHeight w:val="340"/>
        </w:trPr>
        <w:tc>
          <w:tcPr>
            <w:tcW w:w="9180" w:type="dxa"/>
            <w:gridSpan w:val="10"/>
            <w:tcBorders>
              <w:top w:val="single" w:sz="4" w:space="0" w:color="FFFFFF" w:themeColor="background1"/>
            </w:tcBorders>
            <w:shd w:val="clear" w:color="auto" w:fill="FFFFFF" w:themeFill="background1"/>
            <w:vAlign w:val="center"/>
          </w:tcPr>
          <w:p w:rsidR="00C221D4" w:rsidRPr="00D523DE" w:rsidRDefault="00C221D4" w:rsidP="00304B9E">
            <w:pPr>
              <w:rPr>
                <w:sz w:val="24"/>
                <w:szCs w:val="24"/>
              </w:rPr>
            </w:pPr>
            <w:r w:rsidRPr="00D523DE">
              <w:rPr>
                <w:sz w:val="24"/>
                <w:szCs w:val="24"/>
              </w:rPr>
              <w:t xml:space="preserve">Slovenskej republike vyplýva povinnosť prijať a uverejniť zákon potrebný na dosiahnutie súladu zákona o DPH so smernicou Rady (EÚ) 2016/1065 z 27. júna 2016, ktorou sa mení smernica 2006/112/ES, pokiaľ ide o zaobchádzanie z poukazmi, a s Článkom 1 smernice Rady (EÚ) 2017/2455 z 5. decembra  2017, ktorou sa mení smernica 2006/112/ES a smernica 2009/132/ES, pokiaľ ide o určité povinnosti týkajúce sa dane z pridanej hodnoty pri poskytovaní služieb a predaji tovaru na diaľku. </w:t>
            </w:r>
          </w:p>
          <w:p w:rsidR="00CE326D" w:rsidRPr="00D523DE" w:rsidRDefault="00C221D4" w:rsidP="00304B9E">
            <w:pPr>
              <w:rPr>
                <w:sz w:val="24"/>
                <w:szCs w:val="24"/>
              </w:rPr>
            </w:pPr>
            <w:r w:rsidRPr="00D523DE">
              <w:rPr>
                <w:sz w:val="24"/>
                <w:szCs w:val="24"/>
              </w:rPr>
              <w:t>Transpozíciou smerníc tak dôjde k zavedeniu harmonizovaných pravidiel pri  zaobchádzaní s poukazmi, ktoré možno vymeniť za tovary alebo služby</w:t>
            </w:r>
            <w:r w:rsidR="00DA27BC" w:rsidRPr="00D523DE">
              <w:rPr>
                <w:sz w:val="24"/>
                <w:szCs w:val="24"/>
              </w:rPr>
              <w:t>. Cieľom týchto nových pravidiel je zabezpečiť spoľahlivé a jednotné zaobchádzanie vo všetkých členských štátoch EÚ,</w:t>
            </w:r>
            <w:r w:rsidR="00104D25" w:rsidRPr="00D523DE">
              <w:rPr>
                <w:sz w:val="24"/>
                <w:szCs w:val="24"/>
              </w:rPr>
              <w:t xml:space="preserve"> nakoľko doteraz neexistovali spoločné pravidlá pri zdaňovaní transakcií týkajúcich sa poukazov.</w:t>
            </w:r>
            <w:r w:rsidR="00CE326D" w:rsidRPr="00D523DE">
              <w:rPr>
                <w:sz w:val="24"/>
                <w:szCs w:val="24"/>
              </w:rPr>
              <w:t xml:space="preserve"> </w:t>
            </w:r>
          </w:p>
          <w:p w:rsidR="00104D25" w:rsidRDefault="00CE326D" w:rsidP="00304B9E">
            <w:pPr>
              <w:rPr>
                <w:sz w:val="24"/>
                <w:szCs w:val="24"/>
              </w:rPr>
            </w:pPr>
            <w:r w:rsidRPr="00D523DE">
              <w:rPr>
                <w:sz w:val="24"/>
                <w:szCs w:val="24"/>
              </w:rPr>
              <w:t>Zároveň sa zavádza</w:t>
            </w:r>
            <w:r w:rsidR="00144458" w:rsidRPr="00D523DE">
              <w:rPr>
                <w:sz w:val="24"/>
                <w:szCs w:val="24"/>
              </w:rPr>
              <w:t xml:space="preserve"> obratový limit pre registráciu zdaniteľných osôb</w:t>
            </w:r>
            <w:r w:rsidR="00C221D4" w:rsidRPr="00D523DE">
              <w:rPr>
                <w:sz w:val="24"/>
                <w:szCs w:val="24"/>
              </w:rPr>
              <w:t>, ktoré sú usadené len v jednom členskom štáte Európskej únie (členský štát) a ktoré poskytujú telekomunikačné služby, služby rozhlasového a televízneho vysielania alebo elektronické služby (tzv. digitálne služby) nezdaniteľným osobám usadeným v inom členskom štáte, pričom ak hodnota týchto služieb nepresiahne v kalendárnom roku sumu 10 000 EUR bez DPH a súčasne túto sumu nepresiahla v predchádzajúcom kalendárnom roku</w:t>
            </w:r>
            <w:r w:rsidR="00707D85" w:rsidRPr="00D523DE">
              <w:rPr>
                <w:sz w:val="24"/>
                <w:szCs w:val="24"/>
              </w:rPr>
              <w:t>. Títo</w:t>
            </w:r>
            <w:r w:rsidR="00C221D4" w:rsidRPr="00D523DE">
              <w:rPr>
                <w:sz w:val="24"/>
                <w:szCs w:val="24"/>
              </w:rPr>
              <w:t xml:space="preserve"> poskytovatelia si budú môcť ako miesto dodania nimi poskytovaných digitálnych služieb zvoliť členský štát ich usadenia.</w:t>
            </w:r>
          </w:p>
          <w:p w:rsidR="009D4DE1" w:rsidRPr="00422019" w:rsidRDefault="009D4DE1" w:rsidP="009D4DE1">
            <w:pPr>
              <w:adjustRightInd w:val="0"/>
              <w:jc w:val="both"/>
              <w:rPr>
                <w:color w:val="000000" w:themeColor="text1"/>
                <w:sz w:val="24"/>
                <w:szCs w:val="24"/>
              </w:rPr>
            </w:pPr>
            <w:r w:rsidRPr="00422019">
              <w:rPr>
                <w:color w:val="000000" w:themeColor="text1"/>
                <w:sz w:val="24"/>
                <w:szCs w:val="24"/>
              </w:rPr>
              <w:t xml:space="preserve">Aktuálna právna úprava umožňuje cestujúcim požiadať o vrátenie dane pri vývoze tovaru, ak celková hodnota vrátane dane vyvážaného tovaru uvedená na jednom doklade o kúpe je vyššia ako 175 eur. Navrhuje sa tento limit znížiť na </w:t>
            </w:r>
            <w:r w:rsidR="00422019" w:rsidRPr="00422019">
              <w:rPr>
                <w:color w:val="000000" w:themeColor="text1"/>
                <w:sz w:val="24"/>
                <w:szCs w:val="24"/>
              </w:rPr>
              <w:t>100</w:t>
            </w:r>
            <w:r w:rsidRPr="00422019">
              <w:rPr>
                <w:color w:val="000000" w:themeColor="text1"/>
                <w:sz w:val="24"/>
                <w:szCs w:val="24"/>
              </w:rPr>
              <w:t xml:space="preserve"> eur. Zároveň v súvislosti s trendom digitalizácie Finančnej správy Slovenskej republiky sa navrhuje zjednodušenie procesu vráteni</w:t>
            </w:r>
            <w:r w:rsidR="00422019">
              <w:rPr>
                <w:color w:val="000000" w:themeColor="text1"/>
                <w:sz w:val="24"/>
                <w:szCs w:val="24"/>
              </w:rPr>
              <w:t>a</w:t>
            </w:r>
            <w:r w:rsidRPr="00422019">
              <w:rPr>
                <w:color w:val="000000" w:themeColor="text1"/>
                <w:sz w:val="24"/>
                <w:szCs w:val="24"/>
              </w:rPr>
              <w:t xml:space="preserve"> dane cestujúcim pri vývoze tovaru.</w:t>
            </w:r>
          </w:p>
          <w:p w:rsidR="00E126AA" w:rsidRPr="00D523DE" w:rsidRDefault="008F6FC4" w:rsidP="00422019">
            <w:pPr>
              <w:rPr>
                <w:rStyle w:val="Zstupntext"/>
                <w:color w:val="auto"/>
                <w:sz w:val="24"/>
                <w:szCs w:val="24"/>
              </w:rPr>
            </w:pPr>
            <w:r w:rsidRPr="00D523DE">
              <w:rPr>
                <w:rStyle w:val="Zstupntext"/>
                <w:color w:val="auto"/>
                <w:sz w:val="24"/>
                <w:szCs w:val="24"/>
              </w:rPr>
              <w:t xml:space="preserve">Zámerom novely zákona </w:t>
            </w:r>
            <w:r w:rsidR="0004649F" w:rsidRPr="00D523DE">
              <w:rPr>
                <w:rStyle w:val="Zstupntext"/>
                <w:color w:val="auto"/>
                <w:sz w:val="24"/>
                <w:szCs w:val="24"/>
              </w:rPr>
              <w:t xml:space="preserve">o dani z pridanej hodnoty </w:t>
            </w:r>
            <w:r w:rsidRPr="00D523DE">
              <w:rPr>
                <w:rStyle w:val="Zstupntext"/>
                <w:color w:val="auto"/>
                <w:sz w:val="24"/>
                <w:szCs w:val="24"/>
              </w:rPr>
              <w:t>je rea</w:t>
            </w:r>
            <w:r w:rsidR="00FE575F" w:rsidRPr="00D523DE">
              <w:rPr>
                <w:rStyle w:val="Zstupntext"/>
                <w:color w:val="auto"/>
                <w:sz w:val="24"/>
                <w:szCs w:val="24"/>
              </w:rPr>
              <w:t>govať na aplikačnú prax ako aj na aktuálnu judikatúr</w:t>
            </w:r>
            <w:r w:rsidRPr="00D523DE">
              <w:rPr>
                <w:rStyle w:val="Zstupntext"/>
                <w:color w:val="auto"/>
                <w:sz w:val="24"/>
                <w:szCs w:val="24"/>
              </w:rPr>
              <w:t>u Súdneho dvora EÚ.</w:t>
            </w:r>
          </w:p>
          <w:p w:rsidR="00FF4157" w:rsidRPr="00D523DE" w:rsidRDefault="00FB17F1" w:rsidP="00E32490">
            <w:pPr>
              <w:rPr>
                <w:rStyle w:val="Zstupntext"/>
                <w:color w:val="auto"/>
                <w:sz w:val="24"/>
                <w:szCs w:val="24"/>
              </w:rPr>
            </w:pPr>
            <w:r w:rsidRPr="00D523DE">
              <w:rPr>
                <w:rStyle w:val="Zstupntext"/>
                <w:color w:val="auto"/>
                <w:sz w:val="24"/>
                <w:szCs w:val="24"/>
              </w:rPr>
              <w:lastRenderedPageBreak/>
              <w:t xml:space="preserve">Jedným z takýchto opatrení je úprava existujúcich pravidiel uplatňovania DPH pri predaji a prenájme nehnuteľnosti. </w:t>
            </w:r>
            <w:r w:rsidRPr="00D523DE">
              <w:rPr>
                <w:bCs/>
                <w:sz w:val="24"/>
                <w:szCs w:val="24"/>
              </w:rPr>
              <w:t>Cieľom tohto návrhu je zabrá</w:t>
            </w:r>
            <w:r w:rsidR="00144458" w:rsidRPr="00D523DE">
              <w:rPr>
                <w:bCs/>
                <w:sz w:val="24"/>
                <w:szCs w:val="24"/>
              </w:rPr>
              <w:t xml:space="preserve">niť zneužívaniu systému DPH </w:t>
            </w:r>
            <w:r w:rsidRPr="00D523DE">
              <w:rPr>
                <w:bCs/>
                <w:sz w:val="24"/>
                <w:szCs w:val="24"/>
              </w:rPr>
              <w:t xml:space="preserve">na získanie neoprávnených ekonomických výhod </w:t>
            </w:r>
            <w:r w:rsidR="00144458" w:rsidRPr="00D523DE">
              <w:rPr>
                <w:bCs/>
                <w:sz w:val="24"/>
                <w:szCs w:val="24"/>
              </w:rPr>
              <w:t>pri</w:t>
            </w:r>
            <w:r w:rsidR="003D5512" w:rsidRPr="00D523DE">
              <w:rPr>
                <w:bCs/>
                <w:sz w:val="24"/>
                <w:szCs w:val="24"/>
              </w:rPr>
              <w:t xml:space="preserve"> obchodovaní s nehnuteľnosťami </w:t>
            </w:r>
            <w:r w:rsidR="00144458" w:rsidRPr="00D523DE">
              <w:rPr>
                <w:bCs/>
                <w:sz w:val="24"/>
                <w:szCs w:val="24"/>
              </w:rPr>
              <w:t>určenými</w:t>
            </w:r>
            <w:r w:rsidRPr="00D523DE">
              <w:rPr>
                <w:bCs/>
                <w:sz w:val="24"/>
                <w:szCs w:val="24"/>
              </w:rPr>
              <w:t xml:space="preserve"> na bývanie po uplynutí 5 rokov od kolaudácie nehnuteľnosti.</w:t>
            </w:r>
          </w:p>
          <w:p w:rsidR="00CE326D" w:rsidRPr="00D523DE" w:rsidRDefault="00CE326D" w:rsidP="00E32490">
            <w:pPr>
              <w:rPr>
                <w:sz w:val="24"/>
                <w:szCs w:val="24"/>
              </w:rPr>
            </w:pPr>
          </w:p>
        </w:tc>
      </w:tr>
      <w:tr w:rsidR="003501A1" w:rsidRPr="00D523DE" w:rsidTr="003501A1">
        <w:tc>
          <w:tcPr>
            <w:tcW w:w="9180" w:type="dxa"/>
            <w:gridSpan w:val="10"/>
            <w:tcBorders>
              <w:bottom w:val="nil"/>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lastRenderedPageBreak/>
              <w:t>Ciele a výsledný stav</w:t>
            </w:r>
          </w:p>
        </w:tc>
      </w:tr>
      <w:tr w:rsidR="003501A1" w:rsidRPr="00D523DE" w:rsidTr="0099386C">
        <w:trPr>
          <w:trHeight w:val="680"/>
        </w:trPr>
        <w:tc>
          <w:tcPr>
            <w:tcW w:w="9180" w:type="dxa"/>
            <w:gridSpan w:val="10"/>
            <w:tcBorders>
              <w:top w:val="nil"/>
            </w:tcBorders>
            <w:shd w:val="clear" w:color="auto" w:fill="FFFFFF" w:themeFill="background1"/>
            <w:vAlign w:val="center"/>
          </w:tcPr>
          <w:p w:rsidR="00FE575F" w:rsidRPr="00D523DE" w:rsidRDefault="001E7C0B" w:rsidP="00AD1D71">
            <w:pPr>
              <w:rPr>
                <w:color w:val="000000"/>
                <w:sz w:val="24"/>
                <w:szCs w:val="24"/>
              </w:rPr>
            </w:pPr>
            <w:r w:rsidRPr="00D523DE">
              <w:rPr>
                <w:sz w:val="24"/>
                <w:szCs w:val="24"/>
              </w:rPr>
              <w:t>Cieľom návrhu zákona je prebrať  do zákona č. 222/2004 Z. z. o dani z pridanej hodnoty v znení neskorších predpisov (zákon o DPH) smernicu Rady (EÚ) 2016/1065 z 27. júna 2016, ktorou sa mení smernica 2006/112/ES, pokiaľ ide o zaobchádzanie z poukazmi, a Článok 1 smernice Rady (EÚ) 2017/2455 z 5. decembra  2017, ktorou sa mení smernica 2006/112/ES a smernica 2009/132/ES, pokiaľ ide o určité povinnosti týkajúce sa dane z pridanej hodnoty pri poskytovaní služieb a predaji tovaru na diaľku</w:t>
            </w:r>
            <w:r w:rsidR="00FE575F" w:rsidRPr="00D523DE">
              <w:rPr>
                <w:sz w:val="24"/>
                <w:szCs w:val="24"/>
              </w:rPr>
              <w:t>. Pripravovaný zákon bude</w:t>
            </w:r>
            <w:r w:rsidR="007A518E" w:rsidRPr="00D523DE">
              <w:rPr>
                <w:sz w:val="24"/>
                <w:szCs w:val="24"/>
              </w:rPr>
              <w:t xml:space="preserve"> reagovať</w:t>
            </w:r>
            <w:r w:rsidR="00FE575F" w:rsidRPr="00D523DE">
              <w:rPr>
                <w:sz w:val="24"/>
                <w:szCs w:val="24"/>
              </w:rPr>
              <w:t xml:space="preserve"> aj</w:t>
            </w:r>
            <w:r w:rsidR="007A518E" w:rsidRPr="00D523DE">
              <w:rPr>
                <w:sz w:val="24"/>
                <w:szCs w:val="24"/>
              </w:rPr>
              <w:t xml:space="preserve"> </w:t>
            </w:r>
            <w:r w:rsidR="0099386C" w:rsidRPr="00D523DE">
              <w:rPr>
                <w:sz w:val="24"/>
                <w:szCs w:val="24"/>
              </w:rPr>
              <w:t>na skúsenosti z apl</w:t>
            </w:r>
            <w:r w:rsidRPr="00D523DE">
              <w:rPr>
                <w:sz w:val="24"/>
                <w:szCs w:val="24"/>
              </w:rPr>
              <w:t>ikačnej praxe</w:t>
            </w:r>
            <w:r w:rsidR="003D5512" w:rsidRPr="00D523DE">
              <w:rPr>
                <w:sz w:val="24"/>
                <w:szCs w:val="24"/>
              </w:rPr>
              <w:t>,</w:t>
            </w:r>
            <w:r w:rsidRPr="00D523DE">
              <w:rPr>
                <w:sz w:val="24"/>
                <w:szCs w:val="24"/>
              </w:rPr>
              <w:t xml:space="preserve"> a to spresnením</w:t>
            </w:r>
            <w:r w:rsidR="0099386C" w:rsidRPr="00D523DE">
              <w:rPr>
                <w:sz w:val="24"/>
                <w:szCs w:val="24"/>
              </w:rPr>
              <w:t xml:space="preserve"> niektorých ustanovení nadväzne na smernicu</w:t>
            </w:r>
            <w:r w:rsidR="0099386C" w:rsidRPr="00D523DE">
              <w:rPr>
                <w:rStyle w:val="Zstupntext"/>
                <w:color w:val="000000"/>
                <w:sz w:val="24"/>
                <w:szCs w:val="24"/>
              </w:rPr>
              <w:t xml:space="preserve"> Rady 2006/112/ES o spoločnom systéme dane z pridanej hodnoty v platnom znení a judikatúru Súdneho dvora EÚ.</w:t>
            </w:r>
            <w:r w:rsidR="007A518E" w:rsidRPr="00D523DE">
              <w:rPr>
                <w:rStyle w:val="Zstupntext"/>
                <w:color w:val="000000"/>
                <w:sz w:val="24"/>
                <w:szCs w:val="24"/>
              </w:rPr>
              <w:t xml:space="preserve"> </w:t>
            </w:r>
          </w:p>
        </w:tc>
      </w:tr>
      <w:tr w:rsidR="003501A1" w:rsidRPr="00D523DE" w:rsidTr="003501A1">
        <w:tc>
          <w:tcPr>
            <w:tcW w:w="9180" w:type="dxa"/>
            <w:gridSpan w:val="10"/>
            <w:tcBorders>
              <w:bottom w:val="nil"/>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Dotknuté subjekty</w:t>
            </w:r>
          </w:p>
        </w:tc>
      </w:tr>
      <w:tr w:rsidR="003501A1" w:rsidRPr="00D523DE" w:rsidTr="0099386C">
        <w:trPr>
          <w:trHeight w:val="397"/>
        </w:trPr>
        <w:tc>
          <w:tcPr>
            <w:tcW w:w="9180" w:type="dxa"/>
            <w:gridSpan w:val="10"/>
            <w:tcBorders>
              <w:top w:val="nil"/>
            </w:tcBorders>
            <w:shd w:val="clear" w:color="auto" w:fill="FFFFFF" w:themeFill="background1"/>
            <w:vAlign w:val="center"/>
          </w:tcPr>
          <w:p w:rsidR="00E16007" w:rsidRPr="00D523DE" w:rsidRDefault="0099386C" w:rsidP="0099386C">
            <w:pPr>
              <w:rPr>
                <w:sz w:val="24"/>
                <w:szCs w:val="24"/>
              </w:rPr>
            </w:pPr>
            <w:r w:rsidRPr="00D523DE">
              <w:rPr>
                <w:sz w:val="24"/>
                <w:szCs w:val="24"/>
              </w:rPr>
              <w:t>Platitelia dane z pridanej hodnoty.</w:t>
            </w:r>
          </w:p>
        </w:tc>
      </w:tr>
      <w:tr w:rsidR="003501A1" w:rsidRPr="00D523DE" w:rsidTr="003501A1">
        <w:tc>
          <w:tcPr>
            <w:tcW w:w="9180" w:type="dxa"/>
            <w:gridSpan w:val="10"/>
            <w:tcBorders>
              <w:bottom w:val="nil"/>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Alternatívne riešenia</w:t>
            </w:r>
          </w:p>
        </w:tc>
      </w:tr>
      <w:tr w:rsidR="003501A1" w:rsidRPr="00D523DE" w:rsidTr="008F1524">
        <w:trPr>
          <w:trHeight w:val="454"/>
        </w:trPr>
        <w:tc>
          <w:tcPr>
            <w:tcW w:w="9180" w:type="dxa"/>
            <w:gridSpan w:val="10"/>
            <w:tcBorders>
              <w:top w:val="nil"/>
            </w:tcBorders>
            <w:shd w:val="clear" w:color="auto" w:fill="FFFFFF" w:themeFill="background1"/>
            <w:vAlign w:val="center"/>
          </w:tcPr>
          <w:p w:rsidR="003501A1" w:rsidRPr="00D523DE" w:rsidRDefault="00DD449E" w:rsidP="008F1524">
            <w:pPr>
              <w:rPr>
                <w:sz w:val="24"/>
                <w:szCs w:val="24"/>
              </w:rPr>
            </w:pPr>
            <w:r w:rsidRPr="00D523DE">
              <w:rPr>
                <w:sz w:val="24"/>
                <w:szCs w:val="24"/>
              </w:rPr>
              <w:t>Neboli posudzované alternatívne riešenia</w:t>
            </w:r>
            <w:r w:rsidR="00F968E1" w:rsidRPr="00D523DE">
              <w:rPr>
                <w:sz w:val="24"/>
                <w:szCs w:val="24"/>
              </w:rPr>
              <w:t>.</w:t>
            </w:r>
          </w:p>
        </w:tc>
      </w:tr>
      <w:tr w:rsidR="003501A1" w:rsidRPr="00D523DE" w:rsidTr="003501A1">
        <w:tc>
          <w:tcPr>
            <w:tcW w:w="9180" w:type="dxa"/>
            <w:gridSpan w:val="10"/>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Vykonávacie predpisy</w:t>
            </w:r>
          </w:p>
        </w:tc>
      </w:tr>
      <w:tr w:rsidR="003501A1" w:rsidRPr="00D523DE" w:rsidTr="00FE09C4">
        <w:trPr>
          <w:trHeight w:val="340"/>
        </w:trPr>
        <w:tc>
          <w:tcPr>
            <w:tcW w:w="6203" w:type="dxa"/>
            <w:gridSpan w:val="6"/>
            <w:tcBorders>
              <w:top w:val="single" w:sz="4" w:space="0" w:color="FFFFFF" w:themeColor="background1"/>
              <w:bottom w:val="nil"/>
              <w:right w:val="nil"/>
            </w:tcBorders>
            <w:shd w:val="clear" w:color="auto" w:fill="FFFFFF" w:themeFill="background1"/>
          </w:tcPr>
          <w:p w:rsidR="003501A1" w:rsidRPr="00D523DE" w:rsidRDefault="003501A1" w:rsidP="007B71A4">
            <w:pPr>
              <w:rPr>
                <w:i/>
                <w:sz w:val="24"/>
                <w:szCs w:val="24"/>
              </w:rPr>
            </w:pPr>
            <w:r w:rsidRPr="00D523DE">
              <w:rPr>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D523DE" w:rsidRDefault="00D13B6F" w:rsidP="007B71A4">
            <w:pPr>
              <w:jc w:val="center"/>
              <w:rPr>
                <w:sz w:val="24"/>
                <w:szCs w:val="24"/>
              </w:rPr>
            </w:pPr>
            <w:r w:rsidRPr="00D523DE">
              <w:rPr>
                <w:rFonts w:ascii="Segoe UI Symbol" w:eastAsia="MS Gothic" w:hAnsi="Segoe UI Symbol" w:cs="Segoe UI Symbol"/>
                <w:sz w:val="24"/>
                <w:szCs w:val="24"/>
              </w:rPr>
              <w:t>☐</w:t>
            </w:r>
            <w:r w:rsidR="003501A1" w:rsidRPr="00D523DE">
              <w:rPr>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3501A1" w:rsidRPr="00D523DE" w:rsidRDefault="00244067" w:rsidP="007B71A4">
            <w:pPr>
              <w:jc w:val="center"/>
              <w:rPr>
                <w:sz w:val="24"/>
                <w:szCs w:val="24"/>
              </w:rPr>
            </w:pPr>
            <w:r w:rsidRPr="00D523DE">
              <w:rPr>
                <w:rFonts w:ascii="Segoe UI Symbol" w:eastAsia="MS Gothic" w:hAnsi="Segoe UI Symbol" w:cs="Segoe UI Symbol"/>
                <w:sz w:val="24"/>
                <w:szCs w:val="24"/>
              </w:rPr>
              <w:t>☒</w:t>
            </w:r>
            <w:r w:rsidR="003501A1" w:rsidRPr="00D523DE">
              <w:rPr>
                <w:sz w:val="24"/>
                <w:szCs w:val="24"/>
              </w:rPr>
              <w:t xml:space="preserve">  Nie</w:t>
            </w:r>
          </w:p>
        </w:tc>
      </w:tr>
      <w:tr w:rsidR="003501A1" w:rsidRPr="00D523DE" w:rsidTr="003501A1">
        <w:tc>
          <w:tcPr>
            <w:tcW w:w="9180" w:type="dxa"/>
            <w:gridSpan w:val="10"/>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 xml:space="preserve">Transpozícia práva EÚ </w:t>
            </w:r>
          </w:p>
        </w:tc>
      </w:tr>
      <w:tr w:rsidR="003501A1" w:rsidRPr="00D523DE" w:rsidTr="008F1524">
        <w:trPr>
          <w:trHeight w:val="340"/>
        </w:trPr>
        <w:tc>
          <w:tcPr>
            <w:tcW w:w="9180" w:type="dxa"/>
            <w:gridSpan w:val="10"/>
            <w:tcBorders>
              <w:top w:val="nil"/>
              <w:left w:val="single" w:sz="4" w:space="0" w:color="000000" w:themeColor="text1"/>
              <w:bottom w:val="nil"/>
            </w:tcBorders>
            <w:shd w:val="clear" w:color="auto" w:fill="FFFFFF" w:themeFill="background1"/>
            <w:vAlign w:val="center"/>
          </w:tcPr>
          <w:p w:rsidR="003501A1" w:rsidRPr="00D523DE" w:rsidRDefault="001E7C0B" w:rsidP="001E7C0B">
            <w:pPr>
              <w:rPr>
                <w:sz w:val="24"/>
                <w:szCs w:val="24"/>
              </w:rPr>
            </w:pPr>
            <w:r w:rsidRPr="00D523DE">
              <w:rPr>
                <w:sz w:val="24"/>
                <w:szCs w:val="24"/>
              </w:rPr>
              <w:t>-</w:t>
            </w:r>
            <w:r w:rsidR="003D5512" w:rsidRPr="00D523DE">
              <w:rPr>
                <w:sz w:val="24"/>
                <w:szCs w:val="24"/>
              </w:rPr>
              <w:t xml:space="preserve"> </w:t>
            </w:r>
            <w:r w:rsidRPr="00D523DE">
              <w:rPr>
                <w:sz w:val="24"/>
                <w:szCs w:val="24"/>
              </w:rPr>
              <w:t>Smernica Rady (EÚ) 2016/1065 z 27. júna 2016, ktorou sa mení smernica 2006/112/ES, pokiaľ ide o zaobchádzanie z poukazmi</w:t>
            </w:r>
          </w:p>
          <w:p w:rsidR="001E7C0B" w:rsidRPr="00D523DE" w:rsidRDefault="001E7C0B" w:rsidP="001E7C0B">
            <w:pPr>
              <w:rPr>
                <w:sz w:val="24"/>
                <w:szCs w:val="24"/>
              </w:rPr>
            </w:pPr>
            <w:r w:rsidRPr="00D523DE">
              <w:rPr>
                <w:sz w:val="24"/>
                <w:szCs w:val="24"/>
              </w:rPr>
              <w:t>- Článok 1 smernice Rady (EÚ) 2017/2455 z 5. decembra  2017, ktorou sa mení smernica 2006/112/ES a smernica 2009/132/ES, pokiaľ ide o určité povinnosti týkajúce sa dane z pridanej hodnoty pri poskytovaní služieb a predaji tovaru na diaľku</w:t>
            </w:r>
          </w:p>
        </w:tc>
      </w:tr>
      <w:tr w:rsidR="003501A1" w:rsidRPr="00D523DE" w:rsidTr="003501A1">
        <w:tc>
          <w:tcPr>
            <w:tcW w:w="9180" w:type="dxa"/>
            <w:gridSpan w:val="10"/>
            <w:tcBorders>
              <w:bottom w:val="single" w:sz="4" w:space="0" w:color="FFFFFF" w:themeColor="background1"/>
            </w:tcBorders>
            <w:shd w:val="clear" w:color="auto" w:fill="E2E2E2"/>
          </w:tcPr>
          <w:p w:rsidR="003501A1" w:rsidRPr="00D523DE" w:rsidRDefault="003501A1" w:rsidP="00395098">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Preskúmanie účelnosti</w:t>
            </w:r>
            <w:r w:rsidR="00F62771" w:rsidRPr="00D523DE">
              <w:rPr>
                <w:rFonts w:ascii="Times New Roman" w:hAnsi="Times New Roman"/>
                <w:b/>
                <w:sz w:val="24"/>
                <w:szCs w:val="24"/>
              </w:rPr>
              <w:t>**</w:t>
            </w:r>
          </w:p>
        </w:tc>
      </w:tr>
      <w:tr w:rsidR="003501A1" w:rsidRPr="00D523DE" w:rsidTr="003501A1">
        <w:tc>
          <w:tcPr>
            <w:tcW w:w="9180" w:type="dxa"/>
            <w:gridSpan w:val="10"/>
            <w:tcBorders>
              <w:top w:val="single" w:sz="4" w:space="0" w:color="FFFFFF" w:themeColor="background1"/>
            </w:tcBorders>
            <w:shd w:val="clear" w:color="auto" w:fill="FFFFFF" w:themeFill="background1"/>
          </w:tcPr>
          <w:p w:rsidR="00DD449E" w:rsidRPr="00D523DE" w:rsidRDefault="00DD449E" w:rsidP="00DD449E">
            <w:pPr>
              <w:rPr>
                <w:i/>
                <w:sz w:val="24"/>
                <w:szCs w:val="24"/>
              </w:rPr>
            </w:pPr>
          </w:p>
        </w:tc>
      </w:tr>
      <w:tr w:rsidR="003501A1" w:rsidRPr="00D523DE" w:rsidTr="004C60B8">
        <w:trPr>
          <w:trHeight w:val="715"/>
        </w:trPr>
        <w:tc>
          <w:tcPr>
            <w:tcW w:w="9180" w:type="dxa"/>
            <w:gridSpan w:val="10"/>
            <w:tcBorders>
              <w:left w:val="nil"/>
              <w:bottom w:val="nil"/>
              <w:right w:val="nil"/>
            </w:tcBorders>
            <w:shd w:val="clear" w:color="auto" w:fill="FFFFFF" w:themeFill="background1"/>
          </w:tcPr>
          <w:p w:rsidR="004F6F1F" w:rsidRPr="00D523DE" w:rsidRDefault="004F6F1F" w:rsidP="004C60B8">
            <w:pPr>
              <w:ind w:left="142" w:hanging="142"/>
              <w:rPr>
                <w:sz w:val="24"/>
                <w:szCs w:val="24"/>
              </w:rPr>
            </w:pPr>
          </w:p>
          <w:p w:rsidR="00F62771" w:rsidRPr="00D523DE" w:rsidRDefault="00F62771" w:rsidP="004C60B8">
            <w:pPr>
              <w:ind w:left="142" w:hanging="142"/>
              <w:rPr>
                <w:sz w:val="24"/>
                <w:szCs w:val="24"/>
              </w:rPr>
            </w:pPr>
            <w:r w:rsidRPr="00D523DE">
              <w:rPr>
                <w:sz w:val="24"/>
                <w:szCs w:val="24"/>
              </w:rPr>
              <w:t xml:space="preserve">* </w:t>
            </w:r>
            <w:r w:rsidR="004C60B8" w:rsidRPr="00D523DE">
              <w:rPr>
                <w:sz w:val="24"/>
                <w:szCs w:val="24"/>
              </w:rPr>
              <w:t>vyplniť iba v prípade, ak</w:t>
            </w:r>
            <w:r w:rsidRPr="00D523DE">
              <w:rPr>
                <w:sz w:val="24"/>
                <w:szCs w:val="24"/>
              </w:rPr>
              <w:t xml:space="preserve"> </w:t>
            </w:r>
            <w:r w:rsidR="004C60B8" w:rsidRPr="00D523DE">
              <w:rPr>
                <w:sz w:val="24"/>
                <w:szCs w:val="24"/>
              </w:rPr>
              <w:t xml:space="preserve">materiál </w:t>
            </w:r>
            <w:r w:rsidRPr="00D523DE">
              <w:rPr>
                <w:sz w:val="24"/>
                <w:szCs w:val="24"/>
              </w:rPr>
              <w:t xml:space="preserve">nie je </w:t>
            </w:r>
            <w:r w:rsidR="004C60B8" w:rsidRPr="00D523DE">
              <w:rPr>
                <w:sz w:val="24"/>
                <w:szCs w:val="24"/>
              </w:rPr>
              <w:t>zahrnutý do Plánu práce vlády Slovenskej republiky alebo Plánu        legislatívnych úloh vlády Slovenskej republiky.</w:t>
            </w:r>
            <w:r w:rsidRPr="00D523DE">
              <w:rPr>
                <w:sz w:val="24"/>
                <w:szCs w:val="24"/>
              </w:rPr>
              <w:t xml:space="preserve"> </w:t>
            </w:r>
          </w:p>
          <w:p w:rsidR="003501A1" w:rsidRPr="00D523DE" w:rsidRDefault="00F62771" w:rsidP="00F22831">
            <w:pPr>
              <w:rPr>
                <w:sz w:val="24"/>
                <w:szCs w:val="24"/>
              </w:rPr>
            </w:pPr>
            <w:r w:rsidRPr="00D523DE">
              <w:rPr>
                <w:sz w:val="24"/>
                <w:szCs w:val="24"/>
              </w:rPr>
              <w:t>*</w:t>
            </w:r>
            <w:r w:rsidR="00F22831" w:rsidRPr="00D523DE">
              <w:rPr>
                <w:sz w:val="24"/>
                <w:szCs w:val="24"/>
              </w:rPr>
              <w:t>* nepovinné</w:t>
            </w:r>
          </w:p>
        </w:tc>
      </w:tr>
      <w:tr w:rsidR="003501A1" w:rsidRPr="00D523DE" w:rsidTr="004F6F1F">
        <w:tc>
          <w:tcPr>
            <w:tcW w:w="9180" w:type="dxa"/>
            <w:gridSpan w:val="10"/>
            <w:tcBorders>
              <w:top w:val="nil"/>
              <w:left w:val="nil"/>
              <w:right w:val="nil"/>
            </w:tcBorders>
            <w:shd w:val="clear" w:color="auto" w:fill="FFFFFF" w:themeFill="background1"/>
          </w:tcPr>
          <w:p w:rsidR="003501A1" w:rsidRPr="00D523DE" w:rsidRDefault="003501A1" w:rsidP="003501A1">
            <w:pPr>
              <w:rPr>
                <w:b/>
                <w:sz w:val="24"/>
                <w:szCs w:val="24"/>
              </w:rPr>
            </w:pPr>
          </w:p>
        </w:tc>
      </w:tr>
      <w:tr w:rsidR="003501A1" w:rsidRPr="00D523DE" w:rsidTr="004F6F1F">
        <w:trPr>
          <w:trHeight w:val="577"/>
        </w:trPr>
        <w:tc>
          <w:tcPr>
            <w:tcW w:w="9180" w:type="dxa"/>
            <w:gridSpan w:val="10"/>
            <w:tcBorders>
              <w:bottom w:val="single" w:sz="4" w:space="0" w:color="FFFFFF" w:themeColor="background1"/>
            </w:tcBorders>
            <w:shd w:val="clear" w:color="auto" w:fill="E2E2E2"/>
            <w:vAlign w:val="center"/>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Vplyvy navrhovaného materiálu</w:t>
            </w:r>
          </w:p>
        </w:tc>
      </w:tr>
      <w:tr w:rsidR="003501A1" w:rsidRPr="00D523DE" w:rsidTr="004F6F1F">
        <w:tc>
          <w:tcPr>
            <w:tcW w:w="3812" w:type="dxa"/>
            <w:tcBorders>
              <w:bottom w:val="nil"/>
            </w:tcBorders>
            <w:shd w:val="clear" w:color="auto" w:fill="E2E2E2"/>
          </w:tcPr>
          <w:p w:rsidR="003501A1" w:rsidRPr="00D523DE" w:rsidRDefault="003501A1" w:rsidP="007B71A4">
            <w:pPr>
              <w:rPr>
                <w:b/>
                <w:sz w:val="24"/>
                <w:szCs w:val="24"/>
              </w:rPr>
            </w:pPr>
            <w:r w:rsidRPr="00D523DE">
              <w:rPr>
                <w:b/>
                <w:sz w:val="24"/>
                <w:szCs w:val="24"/>
              </w:rPr>
              <w:t>Vplyvy na rozpočet verejnej správy</w:t>
            </w:r>
          </w:p>
        </w:tc>
        <w:tc>
          <w:tcPr>
            <w:tcW w:w="541" w:type="dxa"/>
            <w:gridSpan w:val="2"/>
            <w:tcBorders>
              <w:right w:val="nil"/>
            </w:tcBorders>
          </w:tcPr>
          <w:p w:rsidR="003501A1" w:rsidRPr="00D523DE" w:rsidRDefault="00167FCD" w:rsidP="007B71A4">
            <w:pPr>
              <w:jc w:val="center"/>
              <w:rPr>
                <w:b/>
                <w:sz w:val="24"/>
                <w:szCs w:val="24"/>
              </w:rPr>
            </w:pPr>
            <w:r w:rsidRPr="00D523DE">
              <w:rPr>
                <w:rFonts w:ascii="Segoe UI Symbol" w:eastAsia="MS Gothic" w:hAnsi="Segoe UI Symbol" w:cs="Segoe UI Symbol"/>
                <w:sz w:val="24"/>
                <w:szCs w:val="24"/>
              </w:rPr>
              <w:t>☒</w:t>
            </w:r>
          </w:p>
        </w:tc>
        <w:tc>
          <w:tcPr>
            <w:tcW w:w="1281" w:type="dxa"/>
            <w:gridSpan w:val="2"/>
            <w:tcBorders>
              <w:left w:val="nil"/>
              <w:right w:val="nil"/>
            </w:tcBorders>
          </w:tcPr>
          <w:p w:rsidR="003501A1" w:rsidRPr="00D523DE" w:rsidRDefault="003501A1" w:rsidP="007B71A4">
            <w:pPr>
              <w:rPr>
                <w:b/>
                <w:sz w:val="24"/>
                <w:szCs w:val="24"/>
              </w:rPr>
            </w:pPr>
            <w:r w:rsidRPr="00D523DE">
              <w:rPr>
                <w:b/>
                <w:sz w:val="24"/>
                <w:szCs w:val="24"/>
              </w:rPr>
              <w:t>Pozitívne</w:t>
            </w:r>
          </w:p>
        </w:tc>
        <w:tc>
          <w:tcPr>
            <w:tcW w:w="569" w:type="dxa"/>
            <w:tcBorders>
              <w:left w:val="nil"/>
              <w:right w:val="nil"/>
            </w:tcBorders>
          </w:tcPr>
          <w:p w:rsidR="003501A1" w:rsidRPr="00D523DE" w:rsidRDefault="003E3C1F" w:rsidP="007B71A4">
            <w:pPr>
              <w:jc w:val="center"/>
              <w:rPr>
                <w:b/>
                <w:sz w:val="24"/>
                <w:szCs w:val="24"/>
              </w:rPr>
            </w:pPr>
            <w:r w:rsidRPr="00D523DE">
              <w:rPr>
                <w:rFonts w:ascii="Segoe UI Symbol" w:eastAsia="MS Mincho" w:hAnsi="Segoe UI Symbol" w:cs="Segoe UI Symbol"/>
                <w:sz w:val="24"/>
                <w:szCs w:val="24"/>
              </w:rPr>
              <w:t>☐</w:t>
            </w:r>
          </w:p>
        </w:tc>
        <w:tc>
          <w:tcPr>
            <w:tcW w:w="1133" w:type="dxa"/>
            <w:tcBorders>
              <w:left w:val="nil"/>
              <w:right w:val="nil"/>
            </w:tcBorders>
          </w:tcPr>
          <w:p w:rsidR="003501A1" w:rsidRPr="00D523DE" w:rsidRDefault="003501A1" w:rsidP="007B71A4">
            <w:pPr>
              <w:rPr>
                <w:b/>
                <w:sz w:val="24"/>
                <w:szCs w:val="24"/>
              </w:rPr>
            </w:pPr>
            <w:r w:rsidRPr="00D523DE">
              <w:rPr>
                <w:b/>
                <w:sz w:val="24"/>
                <w:szCs w:val="24"/>
              </w:rPr>
              <w:t>Žiadne</w:t>
            </w:r>
          </w:p>
        </w:tc>
        <w:tc>
          <w:tcPr>
            <w:tcW w:w="547" w:type="dxa"/>
            <w:gridSpan w:val="2"/>
            <w:tcBorders>
              <w:left w:val="nil"/>
              <w:right w:val="nil"/>
            </w:tcBorders>
          </w:tcPr>
          <w:p w:rsidR="003501A1" w:rsidRPr="00D523DE" w:rsidRDefault="003E3C1F" w:rsidP="007B71A4">
            <w:pPr>
              <w:ind w:left="-107" w:right="-108"/>
              <w:jc w:val="center"/>
              <w:rPr>
                <w:b/>
                <w:sz w:val="24"/>
                <w:szCs w:val="24"/>
              </w:rPr>
            </w:pPr>
            <w:r w:rsidRPr="00D523DE">
              <w:rPr>
                <w:rFonts w:ascii="Segoe UI Symbol" w:eastAsia="MS Gothic" w:hAnsi="Segoe UI Symbol" w:cs="Segoe UI Symbol"/>
                <w:sz w:val="24"/>
                <w:szCs w:val="24"/>
              </w:rPr>
              <w:t>☒</w:t>
            </w:r>
          </w:p>
        </w:tc>
        <w:tc>
          <w:tcPr>
            <w:tcW w:w="1297" w:type="dxa"/>
            <w:tcBorders>
              <w:left w:val="nil"/>
            </w:tcBorders>
          </w:tcPr>
          <w:p w:rsidR="003501A1" w:rsidRPr="00D523DE" w:rsidRDefault="003501A1" w:rsidP="007B71A4">
            <w:pPr>
              <w:ind w:left="34"/>
              <w:rPr>
                <w:b/>
                <w:sz w:val="24"/>
                <w:szCs w:val="24"/>
              </w:rPr>
            </w:pPr>
            <w:r w:rsidRPr="00D523DE">
              <w:rPr>
                <w:b/>
                <w:sz w:val="24"/>
                <w:szCs w:val="24"/>
              </w:rPr>
              <w:t>Negatívne</w:t>
            </w:r>
          </w:p>
        </w:tc>
      </w:tr>
      <w:tr w:rsidR="003501A1" w:rsidRPr="00D523DE" w:rsidTr="004F6F1F">
        <w:tc>
          <w:tcPr>
            <w:tcW w:w="3812" w:type="dxa"/>
            <w:tcBorders>
              <w:top w:val="nil"/>
              <w:bottom w:val="single" w:sz="4" w:space="0" w:color="000000" w:themeColor="text1"/>
            </w:tcBorders>
            <w:shd w:val="clear" w:color="auto" w:fill="E2E2E2"/>
          </w:tcPr>
          <w:p w:rsidR="003501A1" w:rsidRPr="00D523DE" w:rsidRDefault="003501A1" w:rsidP="007B71A4">
            <w:pPr>
              <w:rPr>
                <w:sz w:val="24"/>
                <w:szCs w:val="24"/>
              </w:rPr>
            </w:pPr>
            <w:r w:rsidRPr="00D523DE">
              <w:rPr>
                <w:sz w:val="24"/>
                <w:szCs w:val="24"/>
              </w:rPr>
              <w:t xml:space="preserve">    z toho rozpočtovo zabezpečené vplyvy</w:t>
            </w:r>
          </w:p>
        </w:tc>
        <w:tc>
          <w:tcPr>
            <w:tcW w:w="541" w:type="dxa"/>
            <w:gridSpan w:val="2"/>
            <w:tcBorders>
              <w:right w:val="nil"/>
            </w:tcBorders>
          </w:tcPr>
          <w:p w:rsidR="003501A1" w:rsidRPr="00D523DE" w:rsidRDefault="003E3C1F" w:rsidP="007B71A4">
            <w:pPr>
              <w:jc w:val="center"/>
              <w:rPr>
                <w:sz w:val="24"/>
                <w:szCs w:val="24"/>
              </w:rPr>
            </w:pPr>
            <w:r w:rsidRPr="00D523DE">
              <w:rPr>
                <w:rFonts w:ascii="Segoe UI Symbol" w:eastAsia="MS Gothic" w:hAnsi="Segoe UI Symbol" w:cs="Segoe UI Symbol"/>
                <w:sz w:val="24"/>
                <w:szCs w:val="24"/>
              </w:rPr>
              <w:t>☒</w:t>
            </w:r>
          </w:p>
        </w:tc>
        <w:tc>
          <w:tcPr>
            <w:tcW w:w="1281" w:type="dxa"/>
            <w:gridSpan w:val="2"/>
            <w:tcBorders>
              <w:left w:val="nil"/>
              <w:right w:val="nil"/>
            </w:tcBorders>
          </w:tcPr>
          <w:p w:rsidR="003501A1" w:rsidRPr="00D523DE" w:rsidRDefault="003501A1" w:rsidP="007B71A4">
            <w:pPr>
              <w:rPr>
                <w:sz w:val="24"/>
                <w:szCs w:val="24"/>
              </w:rPr>
            </w:pPr>
            <w:r w:rsidRPr="00D523DE">
              <w:rPr>
                <w:sz w:val="24"/>
                <w:szCs w:val="24"/>
              </w:rPr>
              <w:t>Áno</w:t>
            </w:r>
          </w:p>
        </w:tc>
        <w:tc>
          <w:tcPr>
            <w:tcW w:w="569" w:type="dxa"/>
            <w:tcBorders>
              <w:left w:val="nil"/>
              <w:right w:val="nil"/>
            </w:tcBorders>
          </w:tcPr>
          <w:p w:rsidR="003501A1" w:rsidRPr="00D523DE" w:rsidRDefault="00FF4157" w:rsidP="007B71A4">
            <w:pPr>
              <w:jc w:val="center"/>
              <w:rPr>
                <w:sz w:val="24"/>
                <w:szCs w:val="24"/>
              </w:rPr>
            </w:pPr>
            <w:r w:rsidRPr="00D523DE">
              <w:rPr>
                <w:rFonts w:ascii="Segoe UI Symbol" w:eastAsia="MS Mincho" w:hAnsi="Segoe UI Symbol" w:cs="Segoe UI Symbol"/>
                <w:sz w:val="24"/>
                <w:szCs w:val="24"/>
              </w:rPr>
              <w:t>☐</w:t>
            </w:r>
          </w:p>
        </w:tc>
        <w:tc>
          <w:tcPr>
            <w:tcW w:w="1133" w:type="dxa"/>
            <w:tcBorders>
              <w:left w:val="nil"/>
              <w:right w:val="nil"/>
            </w:tcBorders>
          </w:tcPr>
          <w:p w:rsidR="003501A1" w:rsidRPr="00D523DE" w:rsidRDefault="003501A1" w:rsidP="007B71A4">
            <w:pPr>
              <w:rPr>
                <w:sz w:val="24"/>
                <w:szCs w:val="24"/>
              </w:rPr>
            </w:pPr>
            <w:r w:rsidRPr="00D523DE">
              <w:rPr>
                <w:sz w:val="24"/>
                <w:szCs w:val="24"/>
              </w:rPr>
              <w:t>Nie</w:t>
            </w:r>
          </w:p>
        </w:tc>
        <w:tc>
          <w:tcPr>
            <w:tcW w:w="547" w:type="dxa"/>
            <w:gridSpan w:val="2"/>
            <w:tcBorders>
              <w:left w:val="nil"/>
              <w:right w:val="nil"/>
            </w:tcBorders>
          </w:tcPr>
          <w:p w:rsidR="003501A1" w:rsidRPr="00D523DE" w:rsidRDefault="00FF4157" w:rsidP="007B71A4">
            <w:pPr>
              <w:ind w:left="-107" w:right="-108"/>
              <w:jc w:val="center"/>
              <w:rPr>
                <w:sz w:val="24"/>
                <w:szCs w:val="24"/>
              </w:rPr>
            </w:pPr>
            <w:r w:rsidRPr="00D523DE">
              <w:rPr>
                <w:rFonts w:ascii="Segoe UI Symbol" w:eastAsia="MS Mincho" w:hAnsi="Segoe UI Symbol" w:cs="Segoe UI Symbol"/>
                <w:sz w:val="24"/>
                <w:szCs w:val="24"/>
              </w:rPr>
              <w:t>☐</w:t>
            </w:r>
          </w:p>
        </w:tc>
        <w:tc>
          <w:tcPr>
            <w:tcW w:w="1297" w:type="dxa"/>
            <w:tcBorders>
              <w:left w:val="nil"/>
            </w:tcBorders>
          </w:tcPr>
          <w:p w:rsidR="003501A1" w:rsidRPr="00D523DE" w:rsidRDefault="003501A1" w:rsidP="007B71A4">
            <w:pPr>
              <w:ind w:left="34"/>
              <w:rPr>
                <w:sz w:val="24"/>
                <w:szCs w:val="24"/>
              </w:rPr>
            </w:pPr>
            <w:r w:rsidRPr="00D523DE">
              <w:rPr>
                <w:sz w:val="24"/>
                <w:szCs w:val="24"/>
              </w:rPr>
              <w:t>Čiastočne</w:t>
            </w:r>
          </w:p>
        </w:tc>
      </w:tr>
      <w:tr w:rsidR="003501A1" w:rsidRPr="00D523DE" w:rsidTr="004F6F1F">
        <w:tc>
          <w:tcPr>
            <w:tcW w:w="3812" w:type="dxa"/>
            <w:tcBorders>
              <w:top w:val="single" w:sz="4" w:space="0" w:color="000000" w:themeColor="text1"/>
              <w:bottom w:val="nil"/>
            </w:tcBorders>
            <w:shd w:val="clear" w:color="auto" w:fill="E2E2E2"/>
          </w:tcPr>
          <w:p w:rsidR="003501A1" w:rsidRPr="00D523DE" w:rsidRDefault="003501A1" w:rsidP="004C794A">
            <w:pPr>
              <w:rPr>
                <w:b/>
                <w:sz w:val="24"/>
                <w:szCs w:val="24"/>
              </w:rPr>
            </w:pPr>
            <w:r w:rsidRPr="00D523DE">
              <w:rPr>
                <w:b/>
                <w:sz w:val="24"/>
                <w:szCs w:val="24"/>
              </w:rPr>
              <w:t>Vplyvy na podnikateľské prostredie</w:t>
            </w:r>
          </w:p>
        </w:tc>
        <w:tc>
          <w:tcPr>
            <w:tcW w:w="541" w:type="dxa"/>
            <w:gridSpan w:val="2"/>
            <w:tcBorders>
              <w:right w:val="nil"/>
            </w:tcBorders>
          </w:tcPr>
          <w:p w:rsidR="003501A1" w:rsidRPr="00D523DE" w:rsidRDefault="003E3C1F" w:rsidP="007B71A4">
            <w:pPr>
              <w:jc w:val="center"/>
              <w:rPr>
                <w:b/>
                <w:sz w:val="24"/>
                <w:szCs w:val="24"/>
              </w:rPr>
            </w:pPr>
            <w:r w:rsidRPr="00D523DE">
              <w:rPr>
                <w:rFonts w:ascii="Segoe UI Symbol" w:eastAsia="MS Gothic" w:hAnsi="Segoe UI Symbol" w:cs="Segoe UI Symbol"/>
                <w:sz w:val="24"/>
                <w:szCs w:val="24"/>
              </w:rPr>
              <w:t>☒</w:t>
            </w:r>
          </w:p>
        </w:tc>
        <w:tc>
          <w:tcPr>
            <w:tcW w:w="1281" w:type="dxa"/>
            <w:gridSpan w:val="2"/>
            <w:tcBorders>
              <w:left w:val="nil"/>
              <w:right w:val="nil"/>
            </w:tcBorders>
          </w:tcPr>
          <w:p w:rsidR="003501A1" w:rsidRPr="00D523DE" w:rsidRDefault="003501A1" w:rsidP="007B71A4">
            <w:pPr>
              <w:ind w:right="-108"/>
              <w:rPr>
                <w:b/>
                <w:sz w:val="24"/>
                <w:szCs w:val="24"/>
              </w:rPr>
            </w:pPr>
            <w:r w:rsidRPr="00D523DE">
              <w:rPr>
                <w:b/>
                <w:sz w:val="24"/>
                <w:szCs w:val="24"/>
              </w:rPr>
              <w:t>Pozitívne</w:t>
            </w:r>
          </w:p>
        </w:tc>
        <w:tc>
          <w:tcPr>
            <w:tcW w:w="569" w:type="dxa"/>
            <w:tcBorders>
              <w:left w:val="nil"/>
              <w:right w:val="nil"/>
            </w:tcBorders>
          </w:tcPr>
          <w:p w:rsidR="003501A1" w:rsidRPr="00D523DE" w:rsidRDefault="007E312B" w:rsidP="007B71A4">
            <w:pPr>
              <w:jc w:val="center"/>
              <w:rPr>
                <w:b/>
                <w:sz w:val="24"/>
                <w:szCs w:val="24"/>
              </w:rPr>
            </w:pPr>
            <w:r w:rsidRPr="00D523DE">
              <w:rPr>
                <w:rFonts w:ascii="Segoe UI Symbol" w:eastAsia="MS Mincho" w:hAnsi="Segoe UI Symbol" w:cs="Segoe UI Symbol"/>
                <w:b/>
                <w:sz w:val="24"/>
                <w:szCs w:val="24"/>
              </w:rPr>
              <w:t>☐</w:t>
            </w:r>
          </w:p>
        </w:tc>
        <w:tc>
          <w:tcPr>
            <w:tcW w:w="1133" w:type="dxa"/>
            <w:tcBorders>
              <w:left w:val="nil"/>
              <w:right w:val="nil"/>
            </w:tcBorders>
          </w:tcPr>
          <w:p w:rsidR="003501A1" w:rsidRPr="00D523DE" w:rsidRDefault="003501A1" w:rsidP="007B71A4">
            <w:pPr>
              <w:rPr>
                <w:b/>
                <w:sz w:val="24"/>
                <w:szCs w:val="24"/>
              </w:rPr>
            </w:pPr>
            <w:r w:rsidRPr="00D523DE">
              <w:rPr>
                <w:b/>
                <w:sz w:val="24"/>
                <w:szCs w:val="24"/>
              </w:rPr>
              <w:t>Žiadne</w:t>
            </w:r>
          </w:p>
        </w:tc>
        <w:tc>
          <w:tcPr>
            <w:tcW w:w="547" w:type="dxa"/>
            <w:gridSpan w:val="2"/>
            <w:tcBorders>
              <w:left w:val="nil"/>
              <w:right w:val="nil"/>
            </w:tcBorders>
          </w:tcPr>
          <w:p w:rsidR="003501A1" w:rsidRPr="00D523DE" w:rsidRDefault="003E3C1F" w:rsidP="007B71A4">
            <w:pPr>
              <w:jc w:val="center"/>
              <w:rPr>
                <w:b/>
                <w:sz w:val="24"/>
                <w:szCs w:val="24"/>
              </w:rPr>
            </w:pPr>
            <w:r w:rsidRPr="00D523DE">
              <w:rPr>
                <w:rFonts w:ascii="Segoe UI Symbol" w:eastAsia="MS Gothic" w:hAnsi="Segoe UI Symbol" w:cs="Segoe UI Symbol"/>
                <w:sz w:val="24"/>
                <w:szCs w:val="24"/>
              </w:rPr>
              <w:t>☒</w:t>
            </w:r>
          </w:p>
        </w:tc>
        <w:tc>
          <w:tcPr>
            <w:tcW w:w="1297" w:type="dxa"/>
            <w:tcBorders>
              <w:left w:val="nil"/>
            </w:tcBorders>
          </w:tcPr>
          <w:p w:rsidR="003501A1" w:rsidRPr="00D523DE" w:rsidRDefault="003501A1" w:rsidP="007B71A4">
            <w:pPr>
              <w:ind w:left="54"/>
              <w:rPr>
                <w:b/>
                <w:sz w:val="24"/>
                <w:szCs w:val="24"/>
              </w:rPr>
            </w:pPr>
            <w:r w:rsidRPr="00D523DE">
              <w:rPr>
                <w:b/>
                <w:sz w:val="24"/>
                <w:szCs w:val="24"/>
              </w:rPr>
              <w:t>Negatívne</w:t>
            </w:r>
          </w:p>
        </w:tc>
      </w:tr>
      <w:tr w:rsidR="003501A1" w:rsidRPr="00D523D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D523DE" w:rsidRDefault="003501A1" w:rsidP="007B71A4">
            <w:pPr>
              <w:rPr>
                <w:sz w:val="24"/>
                <w:szCs w:val="24"/>
              </w:rPr>
            </w:pPr>
            <w:r w:rsidRPr="00D523DE">
              <w:rPr>
                <w:sz w:val="24"/>
                <w:szCs w:val="24"/>
              </w:rPr>
              <w:t xml:space="preserve">    z toho vplyvy na MSP</w:t>
            </w:r>
          </w:p>
        </w:tc>
        <w:tc>
          <w:tcPr>
            <w:tcW w:w="541" w:type="dxa"/>
            <w:gridSpan w:val="2"/>
            <w:tcBorders>
              <w:left w:val="single" w:sz="4" w:space="0" w:color="000000" w:themeColor="text1"/>
              <w:right w:val="nil"/>
            </w:tcBorders>
          </w:tcPr>
          <w:p w:rsidR="003501A1" w:rsidRPr="00D523DE" w:rsidRDefault="003E3C1F" w:rsidP="007B71A4">
            <w:pPr>
              <w:jc w:val="center"/>
              <w:rPr>
                <w:sz w:val="24"/>
                <w:szCs w:val="24"/>
              </w:rPr>
            </w:pPr>
            <w:r w:rsidRPr="00D523DE">
              <w:rPr>
                <w:rFonts w:ascii="Segoe UI Symbol" w:eastAsia="MS Gothic" w:hAnsi="Segoe UI Symbol" w:cs="Segoe UI Symbol"/>
                <w:sz w:val="24"/>
                <w:szCs w:val="24"/>
              </w:rPr>
              <w:t>☒</w:t>
            </w:r>
          </w:p>
        </w:tc>
        <w:tc>
          <w:tcPr>
            <w:tcW w:w="1281" w:type="dxa"/>
            <w:gridSpan w:val="2"/>
            <w:tcBorders>
              <w:left w:val="nil"/>
              <w:right w:val="nil"/>
            </w:tcBorders>
          </w:tcPr>
          <w:p w:rsidR="003501A1" w:rsidRPr="00D523DE" w:rsidRDefault="003501A1" w:rsidP="007B71A4">
            <w:pPr>
              <w:ind w:right="-108"/>
              <w:rPr>
                <w:sz w:val="24"/>
                <w:szCs w:val="24"/>
              </w:rPr>
            </w:pPr>
            <w:r w:rsidRPr="00D523DE">
              <w:rPr>
                <w:sz w:val="24"/>
                <w:szCs w:val="24"/>
              </w:rPr>
              <w:t>Pozitívne</w:t>
            </w:r>
          </w:p>
        </w:tc>
        <w:tc>
          <w:tcPr>
            <w:tcW w:w="569" w:type="dxa"/>
            <w:tcBorders>
              <w:left w:val="nil"/>
              <w:right w:val="nil"/>
            </w:tcBorders>
          </w:tcPr>
          <w:p w:rsidR="003501A1" w:rsidRPr="00D523DE" w:rsidRDefault="007E312B" w:rsidP="007B71A4">
            <w:pPr>
              <w:jc w:val="center"/>
              <w:rPr>
                <w:sz w:val="24"/>
                <w:szCs w:val="24"/>
              </w:rPr>
            </w:pPr>
            <w:r w:rsidRPr="00D523DE">
              <w:rPr>
                <w:rFonts w:ascii="Segoe UI Symbol" w:eastAsia="MS Mincho" w:hAnsi="Segoe UI Symbol" w:cs="Segoe UI Symbol"/>
                <w:b/>
                <w:sz w:val="24"/>
                <w:szCs w:val="24"/>
              </w:rPr>
              <w:t>☐</w:t>
            </w:r>
          </w:p>
        </w:tc>
        <w:tc>
          <w:tcPr>
            <w:tcW w:w="1133" w:type="dxa"/>
            <w:tcBorders>
              <w:left w:val="nil"/>
              <w:right w:val="nil"/>
            </w:tcBorders>
          </w:tcPr>
          <w:p w:rsidR="003501A1" w:rsidRPr="00D523DE" w:rsidRDefault="003501A1" w:rsidP="007B71A4">
            <w:pPr>
              <w:rPr>
                <w:sz w:val="24"/>
                <w:szCs w:val="24"/>
              </w:rPr>
            </w:pPr>
            <w:r w:rsidRPr="00D523DE">
              <w:rPr>
                <w:sz w:val="24"/>
                <w:szCs w:val="24"/>
              </w:rPr>
              <w:t>Žiadne</w:t>
            </w:r>
          </w:p>
        </w:tc>
        <w:tc>
          <w:tcPr>
            <w:tcW w:w="547" w:type="dxa"/>
            <w:gridSpan w:val="2"/>
            <w:tcBorders>
              <w:left w:val="nil"/>
              <w:right w:val="nil"/>
            </w:tcBorders>
          </w:tcPr>
          <w:p w:rsidR="003501A1" w:rsidRPr="00D523DE" w:rsidRDefault="003E3C1F" w:rsidP="007B71A4">
            <w:pPr>
              <w:jc w:val="center"/>
              <w:rPr>
                <w:sz w:val="24"/>
                <w:szCs w:val="24"/>
              </w:rPr>
            </w:pPr>
            <w:r w:rsidRPr="00D523DE">
              <w:rPr>
                <w:rFonts w:ascii="Segoe UI Symbol" w:eastAsia="MS Gothic" w:hAnsi="Segoe UI Symbol" w:cs="Segoe UI Symbol"/>
                <w:sz w:val="24"/>
                <w:szCs w:val="24"/>
              </w:rPr>
              <w:t>☒</w:t>
            </w:r>
          </w:p>
        </w:tc>
        <w:tc>
          <w:tcPr>
            <w:tcW w:w="1297" w:type="dxa"/>
            <w:tcBorders>
              <w:left w:val="nil"/>
            </w:tcBorders>
          </w:tcPr>
          <w:p w:rsidR="003501A1" w:rsidRPr="00D523DE" w:rsidRDefault="003501A1" w:rsidP="007B71A4">
            <w:pPr>
              <w:ind w:left="54"/>
              <w:rPr>
                <w:sz w:val="24"/>
                <w:szCs w:val="24"/>
              </w:rPr>
            </w:pPr>
            <w:r w:rsidRPr="00D523DE">
              <w:rPr>
                <w:sz w:val="24"/>
                <w:szCs w:val="24"/>
              </w:rPr>
              <w:t>Negatívne</w:t>
            </w:r>
          </w:p>
        </w:tc>
      </w:tr>
      <w:tr w:rsidR="003501A1" w:rsidRPr="00D523DE" w:rsidTr="004F6F1F">
        <w:tc>
          <w:tcPr>
            <w:tcW w:w="3812" w:type="dxa"/>
            <w:tcBorders>
              <w:top w:val="single" w:sz="4" w:space="0" w:color="000000" w:themeColor="text1"/>
            </w:tcBorders>
            <w:shd w:val="clear" w:color="auto" w:fill="E2E2E2"/>
          </w:tcPr>
          <w:p w:rsidR="003501A1" w:rsidRPr="00D523DE" w:rsidRDefault="003501A1" w:rsidP="004C794A">
            <w:pPr>
              <w:rPr>
                <w:b/>
                <w:sz w:val="24"/>
                <w:szCs w:val="24"/>
              </w:rPr>
            </w:pPr>
            <w:r w:rsidRPr="00D523DE">
              <w:rPr>
                <w:b/>
                <w:sz w:val="24"/>
                <w:szCs w:val="24"/>
              </w:rPr>
              <w:t>Sociálne vplyvy</w:t>
            </w:r>
          </w:p>
        </w:tc>
        <w:tc>
          <w:tcPr>
            <w:tcW w:w="541" w:type="dxa"/>
            <w:gridSpan w:val="2"/>
            <w:tcBorders>
              <w:right w:val="nil"/>
            </w:tcBorders>
          </w:tcPr>
          <w:p w:rsidR="003501A1" w:rsidRPr="00D523DE" w:rsidRDefault="003501A1" w:rsidP="007B71A4">
            <w:pPr>
              <w:jc w:val="center"/>
              <w:rPr>
                <w:b/>
                <w:sz w:val="24"/>
                <w:szCs w:val="24"/>
              </w:rPr>
            </w:pPr>
            <w:r w:rsidRPr="00D523DE">
              <w:rPr>
                <w:rFonts w:ascii="Segoe UI Symbol" w:eastAsia="MS Mincho" w:hAnsi="Segoe UI Symbol" w:cs="Segoe UI Symbol"/>
                <w:b/>
                <w:sz w:val="24"/>
                <w:szCs w:val="24"/>
              </w:rPr>
              <w:t>☐</w:t>
            </w:r>
          </w:p>
        </w:tc>
        <w:tc>
          <w:tcPr>
            <w:tcW w:w="1281" w:type="dxa"/>
            <w:gridSpan w:val="2"/>
            <w:tcBorders>
              <w:left w:val="nil"/>
              <w:right w:val="nil"/>
            </w:tcBorders>
          </w:tcPr>
          <w:p w:rsidR="003501A1" w:rsidRPr="00D523DE" w:rsidRDefault="003501A1" w:rsidP="007B71A4">
            <w:pPr>
              <w:ind w:right="-108"/>
              <w:rPr>
                <w:b/>
                <w:sz w:val="24"/>
                <w:szCs w:val="24"/>
              </w:rPr>
            </w:pPr>
            <w:r w:rsidRPr="00D523DE">
              <w:rPr>
                <w:b/>
                <w:sz w:val="24"/>
                <w:szCs w:val="24"/>
              </w:rPr>
              <w:t>Pozitívne</w:t>
            </w:r>
          </w:p>
        </w:tc>
        <w:tc>
          <w:tcPr>
            <w:tcW w:w="569" w:type="dxa"/>
            <w:tcBorders>
              <w:left w:val="nil"/>
              <w:right w:val="nil"/>
            </w:tcBorders>
          </w:tcPr>
          <w:p w:rsidR="003501A1" w:rsidRPr="00D523DE" w:rsidRDefault="00244067" w:rsidP="007B71A4">
            <w:pPr>
              <w:jc w:val="center"/>
              <w:rPr>
                <w:b/>
                <w:sz w:val="24"/>
                <w:szCs w:val="24"/>
              </w:rPr>
            </w:pPr>
            <w:r w:rsidRPr="00D523DE">
              <w:rPr>
                <w:rFonts w:ascii="Segoe UI Symbol" w:eastAsia="MS Gothic" w:hAnsi="Segoe UI Symbol" w:cs="Segoe UI Symbol"/>
                <w:sz w:val="24"/>
                <w:szCs w:val="24"/>
              </w:rPr>
              <w:t>☒</w:t>
            </w:r>
          </w:p>
        </w:tc>
        <w:tc>
          <w:tcPr>
            <w:tcW w:w="1133" w:type="dxa"/>
            <w:tcBorders>
              <w:left w:val="nil"/>
              <w:right w:val="nil"/>
            </w:tcBorders>
          </w:tcPr>
          <w:p w:rsidR="003501A1" w:rsidRPr="00D523DE" w:rsidRDefault="003501A1" w:rsidP="007B71A4">
            <w:pPr>
              <w:rPr>
                <w:b/>
                <w:sz w:val="24"/>
                <w:szCs w:val="24"/>
              </w:rPr>
            </w:pPr>
            <w:r w:rsidRPr="00D523DE">
              <w:rPr>
                <w:b/>
                <w:sz w:val="24"/>
                <w:szCs w:val="24"/>
              </w:rPr>
              <w:t>Žiadne</w:t>
            </w:r>
          </w:p>
        </w:tc>
        <w:tc>
          <w:tcPr>
            <w:tcW w:w="547" w:type="dxa"/>
            <w:gridSpan w:val="2"/>
            <w:tcBorders>
              <w:left w:val="nil"/>
              <w:right w:val="nil"/>
            </w:tcBorders>
          </w:tcPr>
          <w:p w:rsidR="003501A1" w:rsidRPr="00D523DE" w:rsidRDefault="003501A1" w:rsidP="007B71A4">
            <w:pPr>
              <w:jc w:val="center"/>
              <w:rPr>
                <w:b/>
                <w:sz w:val="24"/>
                <w:szCs w:val="24"/>
              </w:rPr>
            </w:pPr>
            <w:r w:rsidRPr="00D523DE">
              <w:rPr>
                <w:rFonts w:ascii="Segoe UI Symbol" w:eastAsia="MS Mincho" w:hAnsi="Segoe UI Symbol" w:cs="Segoe UI Symbol"/>
                <w:b/>
                <w:sz w:val="24"/>
                <w:szCs w:val="24"/>
              </w:rPr>
              <w:t>☐</w:t>
            </w:r>
          </w:p>
        </w:tc>
        <w:tc>
          <w:tcPr>
            <w:tcW w:w="1297" w:type="dxa"/>
            <w:tcBorders>
              <w:left w:val="nil"/>
            </w:tcBorders>
          </w:tcPr>
          <w:p w:rsidR="003501A1" w:rsidRPr="00D523DE" w:rsidRDefault="003501A1" w:rsidP="007B71A4">
            <w:pPr>
              <w:ind w:left="54"/>
              <w:rPr>
                <w:b/>
                <w:sz w:val="24"/>
                <w:szCs w:val="24"/>
              </w:rPr>
            </w:pPr>
            <w:r w:rsidRPr="00D523DE">
              <w:rPr>
                <w:b/>
                <w:sz w:val="24"/>
                <w:szCs w:val="24"/>
              </w:rPr>
              <w:t>Negatívne</w:t>
            </w:r>
          </w:p>
        </w:tc>
      </w:tr>
      <w:tr w:rsidR="003501A1" w:rsidRPr="00D523DE" w:rsidTr="004F6F1F">
        <w:tc>
          <w:tcPr>
            <w:tcW w:w="3812" w:type="dxa"/>
            <w:shd w:val="clear" w:color="auto" w:fill="E2E2E2"/>
          </w:tcPr>
          <w:p w:rsidR="003501A1" w:rsidRPr="00D523DE" w:rsidRDefault="003501A1" w:rsidP="004C794A">
            <w:pPr>
              <w:rPr>
                <w:b/>
                <w:sz w:val="24"/>
                <w:szCs w:val="24"/>
              </w:rPr>
            </w:pPr>
            <w:r w:rsidRPr="00D523DE">
              <w:rPr>
                <w:b/>
                <w:sz w:val="24"/>
                <w:szCs w:val="24"/>
              </w:rPr>
              <w:t>Vplyvy na životné prostredie</w:t>
            </w:r>
          </w:p>
        </w:tc>
        <w:tc>
          <w:tcPr>
            <w:tcW w:w="541" w:type="dxa"/>
            <w:gridSpan w:val="2"/>
            <w:tcBorders>
              <w:right w:val="nil"/>
            </w:tcBorders>
          </w:tcPr>
          <w:p w:rsidR="003501A1" w:rsidRPr="00D523DE" w:rsidRDefault="003501A1" w:rsidP="007B71A4">
            <w:pPr>
              <w:jc w:val="center"/>
              <w:rPr>
                <w:b/>
                <w:sz w:val="24"/>
                <w:szCs w:val="24"/>
              </w:rPr>
            </w:pPr>
            <w:r w:rsidRPr="00D523DE">
              <w:rPr>
                <w:rFonts w:ascii="Segoe UI Symbol" w:eastAsia="MS Mincho" w:hAnsi="Segoe UI Symbol" w:cs="Segoe UI Symbol"/>
                <w:b/>
                <w:sz w:val="24"/>
                <w:szCs w:val="24"/>
              </w:rPr>
              <w:t>☐</w:t>
            </w:r>
          </w:p>
        </w:tc>
        <w:tc>
          <w:tcPr>
            <w:tcW w:w="1281" w:type="dxa"/>
            <w:gridSpan w:val="2"/>
            <w:tcBorders>
              <w:left w:val="nil"/>
              <w:right w:val="nil"/>
            </w:tcBorders>
          </w:tcPr>
          <w:p w:rsidR="003501A1" w:rsidRPr="00D523DE" w:rsidRDefault="003501A1" w:rsidP="007B71A4">
            <w:pPr>
              <w:ind w:right="-108"/>
              <w:rPr>
                <w:b/>
                <w:sz w:val="24"/>
                <w:szCs w:val="24"/>
              </w:rPr>
            </w:pPr>
            <w:r w:rsidRPr="00D523DE">
              <w:rPr>
                <w:b/>
                <w:sz w:val="24"/>
                <w:szCs w:val="24"/>
              </w:rPr>
              <w:t>Pozitívne</w:t>
            </w:r>
          </w:p>
        </w:tc>
        <w:tc>
          <w:tcPr>
            <w:tcW w:w="569" w:type="dxa"/>
            <w:tcBorders>
              <w:left w:val="nil"/>
              <w:right w:val="nil"/>
            </w:tcBorders>
          </w:tcPr>
          <w:p w:rsidR="003501A1" w:rsidRPr="00D523DE" w:rsidRDefault="00244067" w:rsidP="007B71A4">
            <w:pPr>
              <w:jc w:val="center"/>
              <w:rPr>
                <w:b/>
                <w:sz w:val="24"/>
                <w:szCs w:val="24"/>
              </w:rPr>
            </w:pPr>
            <w:r w:rsidRPr="00D523DE">
              <w:rPr>
                <w:rFonts w:ascii="Segoe UI Symbol" w:eastAsia="MS Gothic" w:hAnsi="Segoe UI Symbol" w:cs="Segoe UI Symbol"/>
                <w:sz w:val="24"/>
                <w:szCs w:val="24"/>
              </w:rPr>
              <w:t>☒</w:t>
            </w:r>
          </w:p>
        </w:tc>
        <w:tc>
          <w:tcPr>
            <w:tcW w:w="1133" w:type="dxa"/>
            <w:tcBorders>
              <w:left w:val="nil"/>
              <w:right w:val="nil"/>
            </w:tcBorders>
          </w:tcPr>
          <w:p w:rsidR="003501A1" w:rsidRPr="00D523DE" w:rsidRDefault="003501A1" w:rsidP="007B71A4">
            <w:pPr>
              <w:rPr>
                <w:b/>
                <w:sz w:val="24"/>
                <w:szCs w:val="24"/>
              </w:rPr>
            </w:pPr>
            <w:r w:rsidRPr="00D523DE">
              <w:rPr>
                <w:b/>
                <w:sz w:val="24"/>
                <w:szCs w:val="24"/>
              </w:rPr>
              <w:t>Žiadne</w:t>
            </w:r>
          </w:p>
        </w:tc>
        <w:tc>
          <w:tcPr>
            <w:tcW w:w="547" w:type="dxa"/>
            <w:gridSpan w:val="2"/>
            <w:tcBorders>
              <w:left w:val="nil"/>
              <w:right w:val="nil"/>
            </w:tcBorders>
          </w:tcPr>
          <w:p w:rsidR="003501A1" w:rsidRPr="00D523DE" w:rsidRDefault="003501A1" w:rsidP="007B71A4">
            <w:pPr>
              <w:jc w:val="center"/>
              <w:rPr>
                <w:b/>
                <w:sz w:val="24"/>
                <w:szCs w:val="24"/>
              </w:rPr>
            </w:pPr>
            <w:r w:rsidRPr="00D523DE">
              <w:rPr>
                <w:rFonts w:ascii="Segoe UI Symbol" w:eastAsia="MS Mincho" w:hAnsi="Segoe UI Symbol" w:cs="Segoe UI Symbol"/>
                <w:b/>
                <w:sz w:val="24"/>
                <w:szCs w:val="24"/>
              </w:rPr>
              <w:t>☐</w:t>
            </w:r>
          </w:p>
        </w:tc>
        <w:tc>
          <w:tcPr>
            <w:tcW w:w="1297" w:type="dxa"/>
            <w:tcBorders>
              <w:left w:val="nil"/>
            </w:tcBorders>
          </w:tcPr>
          <w:p w:rsidR="003501A1" w:rsidRPr="00D523DE" w:rsidRDefault="003501A1" w:rsidP="007B71A4">
            <w:pPr>
              <w:ind w:left="54"/>
              <w:rPr>
                <w:b/>
                <w:sz w:val="24"/>
                <w:szCs w:val="24"/>
              </w:rPr>
            </w:pPr>
            <w:r w:rsidRPr="00D523DE">
              <w:rPr>
                <w:b/>
                <w:sz w:val="24"/>
                <w:szCs w:val="24"/>
              </w:rPr>
              <w:t>Negatívne</w:t>
            </w:r>
          </w:p>
        </w:tc>
      </w:tr>
      <w:tr w:rsidR="003501A1" w:rsidRPr="00D523DE" w:rsidTr="0045465B">
        <w:tc>
          <w:tcPr>
            <w:tcW w:w="3812" w:type="dxa"/>
            <w:shd w:val="clear" w:color="auto" w:fill="E2E2E2"/>
          </w:tcPr>
          <w:p w:rsidR="003501A1" w:rsidRPr="00D523DE" w:rsidRDefault="003501A1" w:rsidP="004C794A">
            <w:pPr>
              <w:rPr>
                <w:b/>
                <w:sz w:val="24"/>
                <w:szCs w:val="24"/>
              </w:rPr>
            </w:pPr>
            <w:r w:rsidRPr="00D523DE">
              <w:rPr>
                <w:b/>
                <w:sz w:val="24"/>
                <w:szCs w:val="24"/>
              </w:rPr>
              <w:t>Vplyvy na informatizáciu</w:t>
            </w:r>
          </w:p>
        </w:tc>
        <w:tc>
          <w:tcPr>
            <w:tcW w:w="541" w:type="dxa"/>
            <w:gridSpan w:val="2"/>
            <w:tcBorders>
              <w:right w:val="nil"/>
            </w:tcBorders>
          </w:tcPr>
          <w:p w:rsidR="003501A1" w:rsidRPr="00D523DE" w:rsidRDefault="003501A1" w:rsidP="007B71A4">
            <w:pPr>
              <w:jc w:val="center"/>
              <w:rPr>
                <w:b/>
                <w:sz w:val="24"/>
                <w:szCs w:val="24"/>
              </w:rPr>
            </w:pPr>
            <w:r w:rsidRPr="00D523DE">
              <w:rPr>
                <w:rFonts w:ascii="Segoe UI Symbol" w:eastAsia="MS Mincho" w:hAnsi="Segoe UI Symbol" w:cs="Segoe UI Symbol"/>
                <w:b/>
                <w:sz w:val="24"/>
                <w:szCs w:val="24"/>
              </w:rPr>
              <w:t>☐</w:t>
            </w:r>
          </w:p>
        </w:tc>
        <w:tc>
          <w:tcPr>
            <w:tcW w:w="1281" w:type="dxa"/>
            <w:gridSpan w:val="2"/>
            <w:tcBorders>
              <w:left w:val="nil"/>
              <w:right w:val="nil"/>
            </w:tcBorders>
          </w:tcPr>
          <w:p w:rsidR="003501A1" w:rsidRPr="00D523DE" w:rsidRDefault="003501A1" w:rsidP="007B71A4">
            <w:pPr>
              <w:ind w:right="-108"/>
              <w:rPr>
                <w:b/>
                <w:sz w:val="24"/>
                <w:szCs w:val="24"/>
              </w:rPr>
            </w:pPr>
            <w:r w:rsidRPr="00D523DE">
              <w:rPr>
                <w:b/>
                <w:sz w:val="24"/>
                <w:szCs w:val="24"/>
              </w:rPr>
              <w:t>Pozitívne</w:t>
            </w:r>
          </w:p>
        </w:tc>
        <w:tc>
          <w:tcPr>
            <w:tcW w:w="569" w:type="dxa"/>
            <w:tcBorders>
              <w:left w:val="nil"/>
              <w:right w:val="nil"/>
            </w:tcBorders>
          </w:tcPr>
          <w:p w:rsidR="003501A1" w:rsidRPr="00D523DE" w:rsidRDefault="00244067" w:rsidP="007B71A4">
            <w:pPr>
              <w:jc w:val="center"/>
              <w:rPr>
                <w:b/>
                <w:sz w:val="24"/>
                <w:szCs w:val="24"/>
              </w:rPr>
            </w:pPr>
            <w:r w:rsidRPr="00D523DE">
              <w:rPr>
                <w:rFonts w:ascii="Segoe UI Symbol" w:eastAsia="MS Gothic" w:hAnsi="Segoe UI Symbol" w:cs="Segoe UI Symbol"/>
                <w:sz w:val="24"/>
                <w:szCs w:val="24"/>
              </w:rPr>
              <w:t>☒</w:t>
            </w:r>
          </w:p>
        </w:tc>
        <w:tc>
          <w:tcPr>
            <w:tcW w:w="1133" w:type="dxa"/>
            <w:tcBorders>
              <w:left w:val="nil"/>
              <w:right w:val="nil"/>
            </w:tcBorders>
          </w:tcPr>
          <w:p w:rsidR="003501A1" w:rsidRPr="00D523DE" w:rsidRDefault="003501A1" w:rsidP="007B71A4">
            <w:pPr>
              <w:rPr>
                <w:b/>
                <w:sz w:val="24"/>
                <w:szCs w:val="24"/>
              </w:rPr>
            </w:pPr>
            <w:r w:rsidRPr="00D523DE">
              <w:rPr>
                <w:b/>
                <w:sz w:val="24"/>
                <w:szCs w:val="24"/>
              </w:rPr>
              <w:t>Žiadne</w:t>
            </w:r>
          </w:p>
        </w:tc>
        <w:tc>
          <w:tcPr>
            <w:tcW w:w="547" w:type="dxa"/>
            <w:gridSpan w:val="2"/>
            <w:tcBorders>
              <w:left w:val="nil"/>
              <w:right w:val="nil"/>
            </w:tcBorders>
          </w:tcPr>
          <w:p w:rsidR="003501A1" w:rsidRPr="00D523DE" w:rsidRDefault="003501A1" w:rsidP="007B71A4">
            <w:pPr>
              <w:jc w:val="center"/>
              <w:rPr>
                <w:b/>
                <w:sz w:val="24"/>
                <w:szCs w:val="24"/>
              </w:rPr>
            </w:pPr>
            <w:r w:rsidRPr="00D523DE">
              <w:rPr>
                <w:rFonts w:ascii="Segoe UI Symbol" w:eastAsia="MS Mincho" w:hAnsi="Segoe UI Symbol" w:cs="Segoe UI Symbol"/>
                <w:b/>
                <w:sz w:val="24"/>
                <w:szCs w:val="24"/>
              </w:rPr>
              <w:t>☐</w:t>
            </w:r>
          </w:p>
        </w:tc>
        <w:tc>
          <w:tcPr>
            <w:tcW w:w="1297" w:type="dxa"/>
            <w:tcBorders>
              <w:left w:val="nil"/>
            </w:tcBorders>
          </w:tcPr>
          <w:p w:rsidR="003501A1" w:rsidRPr="00D523DE" w:rsidRDefault="003501A1" w:rsidP="007B71A4">
            <w:pPr>
              <w:ind w:left="54"/>
              <w:rPr>
                <w:b/>
                <w:sz w:val="24"/>
                <w:szCs w:val="24"/>
              </w:rPr>
            </w:pPr>
            <w:r w:rsidRPr="00D523DE">
              <w:rPr>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D523DE" w:rsidTr="00B83402">
        <w:tc>
          <w:tcPr>
            <w:tcW w:w="3812" w:type="dxa"/>
            <w:tcBorders>
              <w:bottom w:val="nil"/>
            </w:tcBorders>
            <w:shd w:val="clear" w:color="auto" w:fill="E2E2E2"/>
          </w:tcPr>
          <w:p w:rsidR="0045465B" w:rsidRPr="00D523DE" w:rsidRDefault="0045465B" w:rsidP="00B83402">
            <w:pPr>
              <w:rPr>
                <w:b/>
                <w:sz w:val="24"/>
                <w:szCs w:val="24"/>
              </w:rPr>
            </w:pPr>
            <w:r w:rsidRPr="00D523DE">
              <w:rPr>
                <w:b/>
                <w:sz w:val="24"/>
                <w:szCs w:val="24"/>
                <w:lang w:eastAsia="en-US"/>
              </w:rPr>
              <w:t>Vplyvy na služby verejnej správy pre občana, z toho</w:t>
            </w:r>
          </w:p>
        </w:tc>
        <w:tc>
          <w:tcPr>
            <w:tcW w:w="541" w:type="dxa"/>
            <w:tcBorders>
              <w:bottom w:val="nil"/>
              <w:right w:val="nil"/>
            </w:tcBorders>
          </w:tcPr>
          <w:p w:rsidR="0045465B" w:rsidRPr="00D523DE" w:rsidRDefault="0045465B" w:rsidP="00B83402">
            <w:pPr>
              <w:jc w:val="center"/>
              <w:rPr>
                <w:rFonts w:eastAsia="MS Mincho"/>
                <w:b/>
                <w:sz w:val="24"/>
                <w:szCs w:val="24"/>
              </w:rPr>
            </w:pPr>
          </w:p>
        </w:tc>
        <w:tc>
          <w:tcPr>
            <w:tcW w:w="1281" w:type="dxa"/>
            <w:tcBorders>
              <w:left w:val="nil"/>
              <w:bottom w:val="nil"/>
              <w:right w:val="nil"/>
            </w:tcBorders>
          </w:tcPr>
          <w:p w:rsidR="0045465B" w:rsidRPr="00D523DE" w:rsidRDefault="0045465B" w:rsidP="00B83402">
            <w:pPr>
              <w:ind w:right="-108"/>
              <w:rPr>
                <w:b/>
                <w:sz w:val="24"/>
                <w:szCs w:val="24"/>
              </w:rPr>
            </w:pPr>
          </w:p>
        </w:tc>
        <w:tc>
          <w:tcPr>
            <w:tcW w:w="569" w:type="dxa"/>
            <w:tcBorders>
              <w:left w:val="nil"/>
              <w:bottom w:val="nil"/>
              <w:right w:val="nil"/>
            </w:tcBorders>
          </w:tcPr>
          <w:p w:rsidR="0045465B" w:rsidRPr="00D523DE" w:rsidRDefault="0045465B" w:rsidP="00B83402">
            <w:pPr>
              <w:jc w:val="center"/>
              <w:rPr>
                <w:rFonts w:eastAsia="MS Mincho"/>
                <w:b/>
                <w:sz w:val="24"/>
                <w:szCs w:val="24"/>
              </w:rPr>
            </w:pPr>
          </w:p>
        </w:tc>
        <w:tc>
          <w:tcPr>
            <w:tcW w:w="1133" w:type="dxa"/>
            <w:tcBorders>
              <w:left w:val="nil"/>
              <w:bottom w:val="nil"/>
              <w:right w:val="nil"/>
            </w:tcBorders>
          </w:tcPr>
          <w:p w:rsidR="0045465B" w:rsidRPr="00D523DE" w:rsidRDefault="0045465B" w:rsidP="00B83402">
            <w:pPr>
              <w:rPr>
                <w:b/>
                <w:sz w:val="24"/>
                <w:szCs w:val="24"/>
              </w:rPr>
            </w:pPr>
          </w:p>
        </w:tc>
        <w:tc>
          <w:tcPr>
            <w:tcW w:w="547" w:type="dxa"/>
            <w:tcBorders>
              <w:left w:val="nil"/>
              <w:bottom w:val="nil"/>
              <w:right w:val="nil"/>
            </w:tcBorders>
          </w:tcPr>
          <w:p w:rsidR="0045465B" w:rsidRPr="00D523DE" w:rsidRDefault="0045465B" w:rsidP="00B83402">
            <w:pPr>
              <w:jc w:val="center"/>
              <w:rPr>
                <w:rFonts w:eastAsia="MS Mincho"/>
                <w:b/>
                <w:sz w:val="24"/>
                <w:szCs w:val="24"/>
              </w:rPr>
            </w:pPr>
          </w:p>
        </w:tc>
        <w:tc>
          <w:tcPr>
            <w:tcW w:w="1297" w:type="dxa"/>
            <w:tcBorders>
              <w:left w:val="nil"/>
              <w:bottom w:val="nil"/>
            </w:tcBorders>
          </w:tcPr>
          <w:p w:rsidR="0045465B" w:rsidRPr="00D523DE" w:rsidRDefault="0045465B" w:rsidP="00B83402">
            <w:pPr>
              <w:ind w:left="54"/>
              <w:rPr>
                <w:b/>
                <w:sz w:val="24"/>
                <w:szCs w:val="24"/>
              </w:rPr>
            </w:pPr>
          </w:p>
        </w:tc>
      </w:tr>
      <w:tr w:rsidR="0045465B" w:rsidRPr="00D523DE" w:rsidTr="00B83402">
        <w:tc>
          <w:tcPr>
            <w:tcW w:w="3812" w:type="dxa"/>
            <w:tcBorders>
              <w:top w:val="nil"/>
              <w:bottom w:val="nil"/>
            </w:tcBorders>
            <w:shd w:val="clear" w:color="auto" w:fill="E2E2E2"/>
          </w:tcPr>
          <w:p w:rsidR="0045465B" w:rsidRPr="00D523DE" w:rsidRDefault="0045465B" w:rsidP="00B83402">
            <w:pPr>
              <w:ind w:left="196" w:hanging="196"/>
              <w:rPr>
                <w:b/>
                <w:sz w:val="24"/>
                <w:szCs w:val="24"/>
                <w:lang w:eastAsia="en-US"/>
              </w:rPr>
            </w:pPr>
            <w:r w:rsidRPr="00D523DE">
              <w:rPr>
                <w:b/>
                <w:sz w:val="24"/>
                <w:szCs w:val="24"/>
                <w:lang w:eastAsia="en-US"/>
              </w:rPr>
              <w:lastRenderedPageBreak/>
              <w:t xml:space="preserve">    vplyvy služieb verejnej správy na občana</w:t>
            </w:r>
          </w:p>
        </w:tc>
        <w:tc>
          <w:tcPr>
            <w:tcW w:w="541" w:type="dxa"/>
            <w:tcBorders>
              <w:top w:val="nil"/>
              <w:bottom w:val="nil"/>
              <w:right w:val="nil"/>
            </w:tcBorders>
          </w:tcPr>
          <w:p w:rsidR="0045465B" w:rsidRPr="00D523DE" w:rsidRDefault="0045465B" w:rsidP="00B83402">
            <w:pPr>
              <w:jc w:val="center"/>
              <w:rPr>
                <w:rFonts w:eastAsia="MS Mincho"/>
                <w:b/>
                <w:sz w:val="24"/>
                <w:szCs w:val="24"/>
                <w:lang w:eastAsia="en-US"/>
              </w:rPr>
            </w:pPr>
            <w:r w:rsidRPr="00D523DE">
              <w:rPr>
                <w:rFonts w:ascii="Segoe UI Symbol" w:eastAsia="MS Mincho" w:hAnsi="Segoe UI Symbol" w:cs="Segoe UI Symbol"/>
                <w:b/>
                <w:sz w:val="24"/>
                <w:szCs w:val="24"/>
                <w:lang w:eastAsia="en-US"/>
              </w:rPr>
              <w:t>☐</w:t>
            </w:r>
          </w:p>
        </w:tc>
        <w:tc>
          <w:tcPr>
            <w:tcW w:w="1281" w:type="dxa"/>
            <w:tcBorders>
              <w:top w:val="nil"/>
              <w:left w:val="nil"/>
              <w:bottom w:val="nil"/>
              <w:right w:val="nil"/>
            </w:tcBorders>
          </w:tcPr>
          <w:p w:rsidR="0045465B" w:rsidRPr="00D523DE" w:rsidRDefault="0045465B" w:rsidP="00B83402">
            <w:pPr>
              <w:ind w:right="-108"/>
              <w:rPr>
                <w:b/>
                <w:sz w:val="24"/>
                <w:szCs w:val="24"/>
                <w:lang w:eastAsia="en-US"/>
              </w:rPr>
            </w:pPr>
            <w:r w:rsidRPr="00D523DE">
              <w:rPr>
                <w:b/>
                <w:sz w:val="24"/>
                <w:szCs w:val="24"/>
                <w:lang w:eastAsia="en-US"/>
              </w:rPr>
              <w:t>Pozitívne</w:t>
            </w:r>
          </w:p>
        </w:tc>
        <w:tc>
          <w:tcPr>
            <w:tcW w:w="569" w:type="dxa"/>
            <w:tcBorders>
              <w:top w:val="nil"/>
              <w:left w:val="nil"/>
              <w:bottom w:val="nil"/>
              <w:right w:val="nil"/>
            </w:tcBorders>
          </w:tcPr>
          <w:p w:rsidR="0045465B" w:rsidRPr="00D523DE" w:rsidRDefault="00244067" w:rsidP="00B83402">
            <w:pPr>
              <w:jc w:val="center"/>
              <w:rPr>
                <w:rFonts w:eastAsia="MS Mincho"/>
                <w:b/>
                <w:sz w:val="24"/>
                <w:szCs w:val="24"/>
                <w:lang w:eastAsia="en-US"/>
              </w:rPr>
            </w:pPr>
            <w:r w:rsidRPr="00D523DE">
              <w:rPr>
                <w:rFonts w:ascii="Segoe UI Symbol" w:eastAsia="MS Gothic" w:hAnsi="Segoe UI Symbol" w:cs="Segoe UI Symbol"/>
                <w:sz w:val="24"/>
                <w:szCs w:val="24"/>
              </w:rPr>
              <w:t>☒</w:t>
            </w:r>
          </w:p>
        </w:tc>
        <w:tc>
          <w:tcPr>
            <w:tcW w:w="1133" w:type="dxa"/>
            <w:tcBorders>
              <w:top w:val="nil"/>
              <w:left w:val="nil"/>
              <w:bottom w:val="nil"/>
              <w:right w:val="nil"/>
            </w:tcBorders>
          </w:tcPr>
          <w:p w:rsidR="0045465B" w:rsidRPr="00D523DE" w:rsidRDefault="0045465B" w:rsidP="00B83402">
            <w:pPr>
              <w:rPr>
                <w:b/>
                <w:sz w:val="24"/>
                <w:szCs w:val="24"/>
                <w:lang w:eastAsia="en-US"/>
              </w:rPr>
            </w:pPr>
            <w:r w:rsidRPr="00D523DE">
              <w:rPr>
                <w:b/>
                <w:sz w:val="24"/>
                <w:szCs w:val="24"/>
                <w:lang w:eastAsia="en-US"/>
              </w:rPr>
              <w:t>Žiadne</w:t>
            </w:r>
          </w:p>
        </w:tc>
        <w:tc>
          <w:tcPr>
            <w:tcW w:w="547" w:type="dxa"/>
            <w:tcBorders>
              <w:top w:val="nil"/>
              <w:left w:val="nil"/>
              <w:bottom w:val="nil"/>
              <w:right w:val="nil"/>
            </w:tcBorders>
          </w:tcPr>
          <w:p w:rsidR="0045465B" w:rsidRPr="00D523DE" w:rsidRDefault="0045465B" w:rsidP="00B83402">
            <w:pPr>
              <w:jc w:val="center"/>
              <w:rPr>
                <w:rFonts w:eastAsia="MS Mincho"/>
                <w:b/>
                <w:sz w:val="24"/>
                <w:szCs w:val="24"/>
                <w:lang w:eastAsia="en-US"/>
              </w:rPr>
            </w:pPr>
            <w:r w:rsidRPr="00D523DE">
              <w:rPr>
                <w:rFonts w:ascii="Segoe UI Symbol" w:eastAsia="MS Mincho" w:hAnsi="Segoe UI Symbol" w:cs="Segoe UI Symbol"/>
                <w:b/>
                <w:sz w:val="24"/>
                <w:szCs w:val="24"/>
                <w:lang w:eastAsia="en-US"/>
              </w:rPr>
              <w:t>☐</w:t>
            </w:r>
          </w:p>
        </w:tc>
        <w:tc>
          <w:tcPr>
            <w:tcW w:w="1297" w:type="dxa"/>
            <w:tcBorders>
              <w:top w:val="nil"/>
              <w:left w:val="nil"/>
              <w:bottom w:val="nil"/>
            </w:tcBorders>
          </w:tcPr>
          <w:p w:rsidR="0045465B" w:rsidRPr="00D523DE" w:rsidRDefault="0045465B" w:rsidP="00B83402">
            <w:pPr>
              <w:ind w:left="54"/>
              <w:rPr>
                <w:b/>
                <w:sz w:val="24"/>
                <w:szCs w:val="24"/>
                <w:lang w:eastAsia="en-US"/>
              </w:rPr>
            </w:pPr>
            <w:r w:rsidRPr="00D523DE">
              <w:rPr>
                <w:b/>
                <w:sz w:val="24"/>
                <w:szCs w:val="24"/>
                <w:lang w:eastAsia="en-US"/>
              </w:rPr>
              <w:t>Negatívne“</w:t>
            </w:r>
          </w:p>
        </w:tc>
      </w:tr>
      <w:tr w:rsidR="0045465B" w:rsidRPr="00D523DE" w:rsidTr="00B83402">
        <w:tc>
          <w:tcPr>
            <w:tcW w:w="3812" w:type="dxa"/>
            <w:tcBorders>
              <w:top w:val="nil"/>
            </w:tcBorders>
            <w:shd w:val="clear" w:color="auto" w:fill="E2E2E2"/>
          </w:tcPr>
          <w:p w:rsidR="0045465B" w:rsidRPr="00D523DE" w:rsidRDefault="0045465B" w:rsidP="00B83402">
            <w:pPr>
              <w:ind w:left="168" w:hanging="168"/>
              <w:rPr>
                <w:b/>
                <w:sz w:val="24"/>
                <w:szCs w:val="24"/>
                <w:lang w:eastAsia="en-US"/>
              </w:rPr>
            </w:pPr>
            <w:r w:rsidRPr="00D523DE">
              <w:rPr>
                <w:b/>
                <w:sz w:val="24"/>
                <w:szCs w:val="24"/>
                <w:lang w:eastAsia="en-US"/>
              </w:rPr>
              <w:t xml:space="preserve">    vplyvy na procesy služieb vo verejnej správe</w:t>
            </w:r>
          </w:p>
        </w:tc>
        <w:tc>
          <w:tcPr>
            <w:tcW w:w="541" w:type="dxa"/>
            <w:tcBorders>
              <w:top w:val="nil"/>
              <w:right w:val="nil"/>
            </w:tcBorders>
          </w:tcPr>
          <w:p w:rsidR="0045465B" w:rsidRPr="00D523DE" w:rsidRDefault="0045465B" w:rsidP="00B83402">
            <w:pPr>
              <w:jc w:val="center"/>
              <w:rPr>
                <w:rFonts w:eastAsia="MS Mincho"/>
                <w:b/>
                <w:sz w:val="24"/>
                <w:szCs w:val="24"/>
                <w:lang w:eastAsia="en-US"/>
              </w:rPr>
            </w:pPr>
            <w:r w:rsidRPr="00D523DE">
              <w:rPr>
                <w:rFonts w:ascii="Segoe UI Symbol" w:eastAsia="MS Mincho" w:hAnsi="Segoe UI Symbol" w:cs="Segoe UI Symbol"/>
                <w:b/>
                <w:sz w:val="24"/>
                <w:szCs w:val="24"/>
                <w:lang w:eastAsia="en-US"/>
              </w:rPr>
              <w:t>☐</w:t>
            </w:r>
          </w:p>
        </w:tc>
        <w:tc>
          <w:tcPr>
            <w:tcW w:w="1281" w:type="dxa"/>
            <w:tcBorders>
              <w:top w:val="nil"/>
              <w:left w:val="nil"/>
              <w:right w:val="nil"/>
            </w:tcBorders>
          </w:tcPr>
          <w:p w:rsidR="0045465B" w:rsidRPr="00D523DE" w:rsidRDefault="0045465B" w:rsidP="00B83402">
            <w:pPr>
              <w:ind w:right="-108"/>
              <w:rPr>
                <w:b/>
                <w:sz w:val="24"/>
                <w:szCs w:val="24"/>
                <w:lang w:eastAsia="en-US"/>
              </w:rPr>
            </w:pPr>
            <w:r w:rsidRPr="00D523DE">
              <w:rPr>
                <w:b/>
                <w:sz w:val="24"/>
                <w:szCs w:val="24"/>
                <w:lang w:eastAsia="en-US"/>
              </w:rPr>
              <w:t>Pozitívne</w:t>
            </w:r>
          </w:p>
        </w:tc>
        <w:tc>
          <w:tcPr>
            <w:tcW w:w="569" w:type="dxa"/>
            <w:tcBorders>
              <w:top w:val="nil"/>
              <w:left w:val="nil"/>
              <w:right w:val="nil"/>
            </w:tcBorders>
          </w:tcPr>
          <w:p w:rsidR="0045465B" w:rsidRPr="00D523DE" w:rsidRDefault="00244067" w:rsidP="00B83402">
            <w:pPr>
              <w:jc w:val="center"/>
              <w:rPr>
                <w:rFonts w:eastAsia="MS Mincho"/>
                <w:b/>
                <w:sz w:val="24"/>
                <w:szCs w:val="24"/>
                <w:lang w:eastAsia="en-US"/>
              </w:rPr>
            </w:pPr>
            <w:r w:rsidRPr="00D523DE">
              <w:rPr>
                <w:rFonts w:ascii="Segoe UI Symbol" w:eastAsia="MS Gothic" w:hAnsi="Segoe UI Symbol" w:cs="Segoe UI Symbol"/>
                <w:sz w:val="24"/>
                <w:szCs w:val="24"/>
              </w:rPr>
              <w:t>☒</w:t>
            </w:r>
          </w:p>
        </w:tc>
        <w:tc>
          <w:tcPr>
            <w:tcW w:w="1133" w:type="dxa"/>
            <w:tcBorders>
              <w:top w:val="nil"/>
              <w:left w:val="nil"/>
              <w:right w:val="nil"/>
            </w:tcBorders>
          </w:tcPr>
          <w:p w:rsidR="0045465B" w:rsidRPr="00D523DE" w:rsidRDefault="0045465B" w:rsidP="00B83402">
            <w:pPr>
              <w:rPr>
                <w:b/>
                <w:sz w:val="24"/>
                <w:szCs w:val="24"/>
                <w:lang w:eastAsia="en-US"/>
              </w:rPr>
            </w:pPr>
            <w:r w:rsidRPr="00D523DE">
              <w:rPr>
                <w:b/>
                <w:sz w:val="24"/>
                <w:szCs w:val="24"/>
                <w:lang w:eastAsia="en-US"/>
              </w:rPr>
              <w:t>Žiadne</w:t>
            </w:r>
          </w:p>
        </w:tc>
        <w:tc>
          <w:tcPr>
            <w:tcW w:w="547" w:type="dxa"/>
            <w:tcBorders>
              <w:top w:val="nil"/>
              <w:left w:val="nil"/>
              <w:right w:val="nil"/>
            </w:tcBorders>
          </w:tcPr>
          <w:p w:rsidR="0045465B" w:rsidRPr="00D523DE" w:rsidRDefault="0045465B" w:rsidP="00B83402">
            <w:pPr>
              <w:jc w:val="center"/>
              <w:rPr>
                <w:rFonts w:eastAsia="MS Mincho"/>
                <w:b/>
                <w:sz w:val="24"/>
                <w:szCs w:val="24"/>
                <w:lang w:eastAsia="en-US"/>
              </w:rPr>
            </w:pPr>
            <w:r w:rsidRPr="00D523DE">
              <w:rPr>
                <w:rFonts w:ascii="Segoe UI Symbol" w:eastAsia="MS Mincho" w:hAnsi="Segoe UI Symbol" w:cs="Segoe UI Symbol"/>
                <w:b/>
                <w:sz w:val="24"/>
                <w:szCs w:val="24"/>
                <w:lang w:eastAsia="en-US"/>
              </w:rPr>
              <w:t>☐</w:t>
            </w:r>
          </w:p>
        </w:tc>
        <w:tc>
          <w:tcPr>
            <w:tcW w:w="1297" w:type="dxa"/>
            <w:tcBorders>
              <w:top w:val="nil"/>
              <w:left w:val="nil"/>
            </w:tcBorders>
          </w:tcPr>
          <w:p w:rsidR="0045465B" w:rsidRPr="00D523DE" w:rsidRDefault="0045465B" w:rsidP="00B83402">
            <w:pPr>
              <w:ind w:left="54"/>
              <w:rPr>
                <w:b/>
                <w:sz w:val="24"/>
                <w:szCs w:val="24"/>
                <w:lang w:eastAsia="en-US"/>
              </w:rPr>
            </w:pPr>
            <w:r w:rsidRPr="00D523DE">
              <w:rPr>
                <w:b/>
                <w:sz w:val="24"/>
                <w:szCs w:val="24"/>
                <w:lang w:eastAsia="en-US"/>
              </w:rPr>
              <w:t>Negatívne“</w:t>
            </w:r>
          </w:p>
        </w:tc>
      </w:tr>
    </w:tbl>
    <w:p w:rsidR="003501A1" w:rsidRPr="00D523DE" w:rsidRDefault="003501A1" w:rsidP="003501A1">
      <w:pPr>
        <w:ind w:right="141"/>
        <w:rPr>
          <w:b/>
          <w:sz w:val="24"/>
          <w:szCs w:val="24"/>
        </w:rPr>
      </w:pPr>
    </w:p>
    <w:tbl>
      <w:tblPr>
        <w:tblStyle w:val="Mriekatabuky"/>
        <w:tblW w:w="9176" w:type="dxa"/>
        <w:tblLayout w:type="fixed"/>
        <w:tblLook w:val="04A0" w:firstRow="1" w:lastRow="0" w:firstColumn="1" w:lastColumn="0" w:noHBand="0" w:noVBand="1"/>
      </w:tblPr>
      <w:tblGrid>
        <w:gridCol w:w="9176"/>
      </w:tblGrid>
      <w:tr w:rsidR="004F6F1F" w:rsidRPr="00D523DE" w:rsidTr="004F6F1F">
        <w:tc>
          <w:tcPr>
            <w:tcW w:w="9176" w:type="dxa"/>
            <w:tcBorders>
              <w:bottom w:val="nil"/>
            </w:tcBorders>
            <w:shd w:val="clear" w:color="auto" w:fill="E2E2E2"/>
          </w:tcPr>
          <w:p w:rsidR="004F6F1F" w:rsidRPr="00D523DE" w:rsidRDefault="004F6F1F"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Poznámky</w:t>
            </w:r>
          </w:p>
        </w:tc>
      </w:tr>
      <w:tr w:rsidR="004F6F1F" w:rsidRPr="00D523DE" w:rsidTr="004F6F1F">
        <w:trPr>
          <w:trHeight w:val="713"/>
        </w:trPr>
        <w:tc>
          <w:tcPr>
            <w:tcW w:w="9176" w:type="dxa"/>
            <w:tcBorders>
              <w:top w:val="nil"/>
              <w:bottom w:val="single" w:sz="4" w:space="0" w:color="FFFFFF" w:themeColor="background1"/>
            </w:tcBorders>
          </w:tcPr>
          <w:p w:rsidR="004F6F1F" w:rsidRPr="00D523DE" w:rsidRDefault="004F6F1F" w:rsidP="004F6F1F">
            <w:pPr>
              <w:rPr>
                <w:i/>
                <w:sz w:val="24"/>
                <w:szCs w:val="24"/>
              </w:rPr>
            </w:pPr>
            <w:r w:rsidRPr="00D523DE">
              <w:rPr>
                <w:i/>
                <w:sz w:val="24"/>
                <w:szCs w:val="24"/>
              </w:rPr>
              <w:t>V prípade potreby uveďte doplňujúce informácie k návrhu.</w:t>
            </w:r>
          </w:p>
          <w:p w:rsidR="004F6F1F" w:rsidRPr="00D523DE" w:rsidRDefault="004F6F1F" w:rsidP="004F6F1F">
            <w:pPr>
              <w:pStyle w:val="Odsekzoznamu"/>
              <w:spacing w:after="0" w:line="240" w:lineRule="auto"/>
              <w:ind w:left="426"/>
              <w:rPr>
                <w:rFonts w:ascii="Times New Roman" w:hAnsi="Times New Roman"/>
                <w:b/>
                <w:sz w:val="24"/>
                <w:szCs w:val="24"/>
              </w:rPr>
            </w:pPr>
          </w:p>
        </w:tc>
      </w:tr>
      <w:tr w:rsidR="003501A1" w:rsidRPr="00D523DE" w:rsidTr="007B71A4">
        <w:tc>
          <w:tcPr>
            <w:tcW w:w="9176" w:type="dxa"/>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Kontakt na spracovateľa</w:t>
            </w:r>
          </w:p>
        </w:tc>
      </w:tr>
      <w:tr w:rsidR="003501A1" w:rsidRPr="00D523DE" w:rsidTr="00F968E1">
        <w:trPr>
          <w:trHeight w:val="586"/>
        </w:trPr>
        <w:tc>
          <w:tcPr>
            <w:tcW w:w="9176" w:type="dxa"/>
            <w:tcBorders>
              <w:top w:val="single" w:sz="4" w:space="0" w:color="FFFFFF" w:themeColor="background1"/>
            </w:tcBorders>
            <w:shd w:val="clear" w:color="auto" w:fill="FFFFFF" w:themeFill="background1"/>
            <w:vAlign w:val="center"/>
          </w:tcPr>
          <w:p w:rsidR="003501A1" w:rsidRPr="00D523DE" w:rsidRDefault="00D17628" w:rsidP="00D17628">
            <w:pPr>
              <w:widowControl w:val="0"/>
              <w:adjustRightInd w:val="0"/>
              <w:rPr>
                <w:sz w:val="24"/>
                <w:szCs w:val="24"/>
              </w:rPr>
            </w:pPr>
            <w:r w:rsidRPr="00D523DE">
              <w:rPr>
                <w:sz w:val="24"/>
                <w:szCs w:val="24"/>
              </w:rPr>
              <w:t>JUDr</w:t>
            </w:r>
            <w:r w:rsidR="00244067" w:rsidRPr="00D523DE">
              <w:rPr>
                <w:sz w:val="24"/>
                <w:szCs w:val="24"/>
              </w:rPr>
              <w:t xml:space="preserve">. </w:t>
            </w:r>
            <w:r w:rsidRPr="00D523DE">
              <w:rPr>
                <w:sz w:val="24"/>
                <w:szCs w:val="24"/>
              </w:rPr>
              <w:t>Miloš Mikloš</w:t>
            </w:r>
            <w:r w:rsidR="00244067" w:rsidRPr="00D523DE">
              <w:rPr>
                <w:sz w:val="24"/>
                <w:szCs w:val="24"/>
              </w:rPr>
              <w:t xml:space="preserve">, </w:t>
            </w:r>
            <w:r w:rsidR="0004649F" w:rsidRPr="00D523DE">
              <w:rPr>
                <w:sz w:val="24"/>
                <w:szCs w:val="24"/>
              </w:rPr>
              <w:t>o</w:t>
            </w:r>
            <w:r w:rsidR="00244067" w:rsidRPr="00D523DE">
              <w:rPr>
                <w:sz w:val="24"/>
                <w:szCs w:val="24"/>
              </w:rPr>
              <w:t xml:space="preserve">dbor nepriamych daní, sekcia daňová a colná MF SR; </w:t>
            </w:r>
            <w:hyperlink r:id="rId8" w:history="1">
              <w:r w:rsidRPr="00D523DE">
                <w:rPr>
                  <w:rStyle w:val="Hypertextovprepojenie"/>
                  <w:sz w:val="24"/>
                  <w:szCs w:val="24"/>
                </w:rPr>
                <w:t>milos.miklos@mfsr.sk</w:t>
              </w:r>
            </w:hyperlink>
            <w:r w:rsidRPr="00D523DE">
              <w:rPr>
                <w:sz w:val="24"/>
                <w:szCs w:val="24"/>
              </w:rPr>
              <w:t xml:space="preserve"> </w:t>
            </w:r>
          </w:p>
        </w:tc>
      </w:tr>
      <w:tr w:rsidR="003501A1" w:rsidRPr="00D523DE" w:rsidTr="007B71A4">
        <w:tc>
          <w:tcPr>
            <w:tcW w:w="9176" w:type="dxa"/>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Zdroje</w:t>
            </w:r>
          </w:p>
        </w:tc>
      </w:tr>
      <w:tr w:rsidR="003501A1" w:rsidRPr="00D523DE" w:rsidTr="007B71A4">
        <w:trPr>
          <w:trHeight w:val="401"/>
        </w:trPr>
        <w:tc>
          <w:tcPr>
            <w:tcW w:w="9176" w:type="dxa"/>
            <w:tcBorders>
              <w:top w:val="single" w:sz="4" w:space="0" w:color="FFFFFF" w:themeColor="background1"/>
            </w:tcBorders>
            <w:shd w:val="clear" w:color="auto" w:fill="FFFFFF" w:themeFill="background1"/>
          </w:tcPr>
          <w:p w:rsidR="00830E10" w:rsidRDefault="00830E10" w:rsidP="007B71A4">
            <w:pPr>
              <w:rPr>
                <w:sz w:val="24"/>
                <w:szCs w:val="24"/>
              </w:rPr>
            </w:pPr>
            <w:r>
              <w:rPr>
                <w:sz w:val="24"/>
                <w:szCs w:val="24"/>
              </w:rPr>
              <w:t xml:space="preserve">Analýza inštitútu zábezpeky na daň z pridanej hodnoty v procese registrácie za platiteľa dane z pridanej hodnoty </w:t>
            </w:r>
            <w:r w:rsidR="00AE1D5A">
              <w:rPr>
                <w:sz w:val="24"/>
                <w:szCs w:val="24"/>
              </w:rPr>
              <w:t>(</w:t>
            </w:r>
            <w:r>
              <w:rPr>
                <w:sz w:val="24"/>
                <w:szCs w:val="24"/>
              </w:rPr>
              <w:t>apríl 2018)</w:t>
            </w:r>
            <w:r w:rsidR="003F38F4">
              <w:rPr>
                <w:sz w:val="24"/>
                <w:szCs w:val="24"/>
              </w:rPr>
              <w:t>.</w:t>
            </w:r>
          </w:p>
          <w:p w:rsidR="003501A1" w:rsidRPr="00D523DE" w:rsidRDefault="003501A1" w:rsidP="00AD1D71">
            <w:pPr>
              <w:rPr>
                <w:b/>
                <w:sz w:val="24"/>
                <w:szCs w:val="24"/>
              </w:rPr>
            </w:pPr>
          </w:p>
        </w:tc>
      </w:tr>
      <w:tr w:rsidR="003501A1" w:rsidRPr="00D523DE" w:rsidTr="007B71A4">
        <w:tc>
          <w:tcPr>
            <w:tcW w:w="9176" w:type="dxa"/>
            <w:tcBorders>
              <w:bottom w:val="single" w:sz="4" w:space="0" w:color="FFFFFF" w:themeColor="background1"/>
            </w:tcBorders>
            <w:shd w:val="clear" w:color="auto" w:fill="E2E2E2"/>
          </w:tcPr>
          <w:p w:rsidR="003501A1" w:rsidRPr="00D523DE" w:rsidRDefault="003501A1" w:rsidP="003501A1">
            <w:pPr>
              <w:pStyle w:val="Odsekzoznamu"/>
              <w:numPr>
                <w:ilvl w:val="0"/>
                <w:numId w:val="1"/>
              </w:numPr>
              <w:spacing w:after="0" w:line="240" w:lineRule="auto"/>
              <w:ind w:left="426"/>
              <w:rPr>
                <w:rFonts w:ascii="Times New Roman" w:hAnsi="Times New Roman"/>
                <w:b/>
                <w:sz w:val="24"/>
                <w:szCs w:val="24"/>
              </w:rPr>
            </w:pPr>
            <w:r w:rsidRPr="00D523DE">
              <w:rPr>
                <w:rFonts w:ascii="Times New Roman" w:hAnsi="Times New Roman"/>
                <w:b/>
                <w:sz w:val="24"/>
                <w:szCs w:val="24"/>
              </w:rPr>
              <w:t>Stanovisko Komisie pre posudzovanie vybraných vplyvov z PPK</w:t>
            </w:r>
          </w:p>
        </w:tc>
      </w:tr>
      <w:tr w:rsidR="003501A1" w:rsidRPr="00D523DE" w:rsidTr="007B71A4">
        <w:tc>
          <w:tcPr>
            <w:tcW w:w="9176" w:type="dxa"/>
            <w:tcBorders>
              <w:top w:val="single" w:sz="4" w:space="0" w:color="FFFFFF" w:themeColor="background1"/>
            </w:tcBorders>
            <w:shd w:val="clear" w:color="auto" w:fill="FFFFFF" w:themeFill="background1"/>
          </w:tcPr>
          <w:p w:rsidR="00830E10" w:rsidRPr="00830E10" w:rsidRDefault="00830E10" w:rsidP="00830E10">
            <w:pPr>
              <w:tabs>
                <w:tab w:val="center" w:pos="6379"/>
              </w:tabs>
              <w:ind w:right="-2"/>
              <w:jc w:val="both"/>
              <w:rPr>
                <w:bCs/>
                <w:sz w:val="24"/>
                <w:szCs w:val="24"/>
              </w:rPr>
            </w:pPr>
            <w:r w:rsidRPr="00830E10">
              <w:rPr>
                <w:b/>
                <w:bCs/>
                <w:sz w:val="24"/>
                <w:szCs w:val="24"/>
              </w:rPr>
              <w:t xml:space="preserve">I. Úvod: </w:t>
            </w:r>
            <w:r w:rsidRPr="00830E10">
              <w:rPr>
                <w:bCs/>
                <w:sz w:val="24"/>
                <w:szCs w:val="24"/>
              </w:rPr>
              <w:t>Ministerstvo financií</w:t>
            </w:r>
            <w:r w:rsidRPr="00830E10">
              <w:rPr>
                <w:bCs/>
                <w:sz w:val="24"/>
                <w:szCs w:val="22"/>
              </w:rPr>
              <w:t xml:space="preserve"> </w:t>
            </w:r>
            <w:r w:rsidRPr="00830E10">
              <w:rPr>
                <w:sz w:val="24"/>
                <w:szCs w:val="24"/>
              </w:rPr>
              <w:t>Slovenskej republiky</w:t>
            </w:r>
            <w:r w:rsidRPr="00830E10">
              <w:rPr>
                <w:bCs/>
                <w:sz w:val="24"/>
                <w:szCs w:val="24"/>
              </w:rPr>
              <w:t xml:space="preserve"> dňa 7. júna 2018 predložilo Stálej pracovnej komisii na posudzovanie vybraných vplyvov (ďalej len „Komisia“) na predbežné pripomienkové konanie materiál </w:t>
            </w:r>
            <w:r w:rsidRPr="00830E10">
              <w:rPr>
                <w:bCs/>
                <w:i/>
                <w:sz w:val="24"/>
                <w:szCs w:val="24"/>
              </w:rPr>
              <w:t>„Návrh zákona, ktorým sa mení a dopĺňa zákon č. 222/2004 Z. z. o dani z pridanej hodnoty v znení neskorších predpisov“</w:t>
            </w:r>
            <w:r w:rsidRPr="00830E10">
              <w:rPr>
                <w:bCs/>
                <w:sz w:val="24"/>
                <w:szCs w:val="24"/>
              </w:rPr>
              <w:t>.</w:t>
            </w:r>
            <w:r w:rsidRPr="00830E10">
              <w:rPr>
                <w:bCs/>
                <w:i/>
                <w:sz w:val="24"/>
                <w:szCs w:val="24"/>
              </w:rPr>
              <w:t xml:space="preserve"> </w:t>
            </w:r>
            <w:r w:rsidRPr="00830E10">
              <w:rPr>
                <w:bCs/>
                <w:sz w:val="24"/>
                <w:szCs w:val="24"/>
              </w:rPr>
              <w:t>Materiál predpokladá negatívne vplyvy na rozpočet verejnej správy, ktoré sú rozpočtovo zabezpečené a pozitívno-negatívne vplyvy na podnikateľské prostredie, vrátane pozitívno-negatívnych vplyvov na malé a stredné podniky.</w:t>
            </w:r>
          </w:p>
          <w:p w:rsidR="00830E10" w:rsidRPr="00830E10" w:rsidRDefault="00830E10" w:rsidP="00830E10">
            <w:pPr>
              <w:tabs>
                <w:tab w:val="center" w:pos="6379"/>
              </w:tabs>
              <w:ind w:right="-2"/>
              <w:jc w:val="both"/>
              <w:rPr>
                <w:b/>
                <w:bCs/>
                <w:sz w:val="24"/>
                <w:szCs w:val="24"/>
              </w:rPr>
            </w:pPr>
          </w:p>
          <w:p w:rsidR="00830E10" w:rsidRPr="00830E10" w:rsidRDefault="00830E10" w:rsidP="00830E10">
            <w:pPr>
              <w:tabs>
                <w:tab w:val="center" w:pos="6379"/>
              </w:tabs>
              <w:ind w:right="-2"/>
              <w:jc w:val="both"/>
              <w:rPr>
                <w:bCs/>
                <w:sz w:val="24"/>
                <w:szCs w:val="22"/>
              </w:rPr>
            </w:pPr>
            <w:r w:rsidRPr="00830E10">
              <w:rPr>
                <w:b/>
                <w:bCs/>
                <w:sz w:val="24"/>
                <w:szCs w:val="24"/>
              </w:rPr>
              <w:t>II. P</w:t>
            </w:r>
            <w:r w:rsidRPr="00830E10">
              <w:rPr>
                <w:b/>
                <w:sz w:val="24"/>
                <w:szCs w:val="24"/>
              </w:rPr>
              <w:t>r</w:t>
            </w:r>
            <w:r w:rsidRPr="00830E10">
              <w:rPr>
                <w:b/>
                <w:bCs/>
                <w:sz w:val="24"/>
                <w:szCs w:val="24"/>
              </w:rPr>
              <w:t>ipomienky a návrhy zm</w:t>
            </w:r>
            <w:r w:rsidRPr="00830E10">
              <w:rPr>
                <w:b/>
                <w:sz w:val="24"/>
                <w:szCs w:val="24"/>
              </w:rPr>
              <w:t>ie</w:t>
            </w:r>
            <w:r w:rsidRPr="00830E10">
              <w:rPr>
                <w:b/>
                <w:bCs/>
                <w:sz w:val="24"/>
                <w:szCs w:val="24"/>
              </w:rPr>
              <w:t xml:space="preserve">n: </w:t>
            </w:r>
            <w:r w:rsidRPr="00830E10">
              <w:rPr>
                <w:bCs/>
                <w:sz w:val="24"/>
                <w:szCs w:val="22"/>
              </w:rPr>
              <w:t>Komisia uplatňuje k materiálu nasledovné pripomienky a odporúčania:</w:t>
            </w:r>
          </w:p>
          <w:p w:rsidR="00830E10" w:rsidRPr="00830E10" w:rsidRDefault="00830E10" w:rsidP="00830E10">
            <w:pPr>
              <w:tabs>
                <w:tab w:val="center" w:pos="6379"/>
              </w:tabs>
              <w:ind w:right="-2"/>
              <w:jc w:val="both"/>
              <w:rPr>
                <w:bCs/>
                <w:sz w:val="24"/>
                <w:szCs w:val="22"/>
              </w:rPr>
            </w:pPr>
          </w:p>
          <w:p w:rsidR="00830E10" w:rsidRPr="00830E10" w:rsidRDefault="00830E10" w:rsidP="00830E10">
            <w:pPr>
              <w:ind w:right="-2"/>
              <w:jc w:val="both"/>
              <w:rPr>
                <w:b/>
                <w:bCs/>
                <w:sz w:val="24"/>
                <w:szCs w:val="24"/>
              </w:rPr>
            </w:pPr>
            <w:r w:rsidRPr="00830E10">
              <w:rPr>
                <w:b/>
                <w:bCs/>
                <w:sz w:val="24"/>
                <w:szCs w:val="24"/>
              </w:rPr>
              <w:t>K doložke vybraných vplyvov</w:t>
            </w:r>
          </w:p>
          <w:p w:rsidR="00830E10" w:rsidRPr="00830E10" w:rsidRDefault="00830E10" w:rsidP="00830E10">
            <w:pPr>
              <w:ind w:right="-2"/>
              <w:jc w:val="both"/>
              <w:rPr>
                <w:bCs/>
                <w:sz w:val="24"/>
                <w:szCs w:val="24"/>
              </w:rPr>
            </w:pPr>
            <w:r w:rsidRPr="00830E10">
              <w:rPr>
                <w:bCs/>
                <w:sz w:val="24"/>
                <w:szCs w:val="24"/>
              </w:rPr>
              <w:t xml:space="preserve">Predkladateľ nevyplnil časť 5. Alternatívne riešenia Doložky vybraných vplyvov (ďalej len „Doložka“). Komisia žiada predkladateľa o doplnenie časti </w:t>
            </w:r>
            <w:r w:rsidRPr="00830E10">
              <w:rPr>
                <w:bCs/>
                <w:i/>
                <w:sz w:val="24"/>
                <w:szCs w:val="24"/>
              </w:rPr>
              <w:t>5. Alternatívne riešenia</w:t>
            </w:r>
            <w:r w:rsidRPr="00830E10">
              <w:rPr>
                <w:bCs/>
                <w:sz w:val="24"/>
                <w:szCs w:val="24"/>
              </w:rPr>
              <w:t xml:space="preserve"> Doložky a to najmä pri novelizovaných ustanoveniach, ktorých zmeny nevyplývajú z transpozície smerníc EÚ. Komisia žiada predkladateľa o vyplnenie časti 5. aj v prípade, že neboli zvažované alternatívne riešenia.</w:t>
            </w:r>
          </w:p>
          <w:p w:rsidR="00830E10" w:rsidRPr="00830E10" w:rsidRDefault="00830E10" w:rsidP="00830E10">
            <w:pPr>
              <w:ind w:right="-2"/>
              <w:jc w:val="both"/>
              <w:rPr>
                <w:b/>
                <w:bCs/>
                <w:sz w:val="24"/>
                <w:szCs w:val="24"/>
              </w:rPr>
            </w:pPr>
          </w:p>
          <w:p w:rsidR="00830E10" w:rsidRDefault="00830E10" w:rsidP="00830E10">
            <w:pPr>
              <w:jc w:val="both"/>
              <w:rPr>
                <w:bCs/>
                <w:sz w:val="24"/>
                <w:szCs w:val="24"/>
              </w:rPr>
            </w:pPr>
            <w:r w:rsidRPr="00830E10">
              <w:rPr>
                <w:bCs/>
                <w:sz w:val="24"/>
                <w:szCs w:val="24"/>
              </w:rPr>
              <w:t xml:space="preserve">Predkladateľ zároveň nevyčíslil časť </w:t>
            </w:r>
            <w:r w:rsidRPr="00830E10">
              <w:rPr>
                <w:bCs/>
                <w:i/>
                <w:sz w:val="24"/>
                <w:szCs w:val="24"/>
              </w:rPr>
              <w:t>12. Zdroje</w:t>
            </w:r>
            <w:r w:rsidRPr="00830E10">
              <w:rPr>
                <w:bCs/>
                <w:sz w:val="24"/>
                <w:szCs w:val="24"/>
              </w:rPr>
              <w:t xml:space="preserve"> Doložky, pričom sa však napr. vo všeobecnej časti Dôvodovej správy odvoláva pri zrušení inštitútu zábezpeky na analýzu Finančného riaditeľstva SR. Komisia žiada predkladateľa o vyplnenie časti </w:t>
            </w:r>
            <w:r w:rsidRPr="00830E10">
              <w:rPr>
                <w:bCs/>
                <w:i/>
                <w:sz w:val="24"/>
                <w:szCs w:val="24"/>
              </w:rPr>
              <w:t>12. Zdroje</w:t>
            </w:r>
            <w:r w:rsidRPr="00830E10">
              <w:rPr>
                <w:bCs/>
                <w:sz w:val="24"/>
                <w:szCs w:val="24"/>
              </w:rPr>
              <w:t xml:space="preserve"> Doložky, aby bolo zrejmé, na základe akých analytických výstupov sa rozhodol novelizovať iné ustanovenia zákona, ako napr. povinnosť oslobodiť dodanie stavby/nájomné pri užívaní stavby určenej na bývanie od dane z pridanej hodnoty (§ 38, ods. 7 a 8).</w:t>
            </w:r>
          </w:p>
          <w:p w:rsidR="00FE01D5" w:rsidRDefault="00FE01D5" w:rsidP="00830E10">
            <w:pPr>
              <w:jc w:val="both"/>
              <w:rPr>
                <w:bCs/>
                <w:sz w:val="24"/>
                <w:szCs w:val="24"/>
              </w:rPr>
            </w:pPr>
          </w:p>
          <w:p w:rsidR="00830E10" w:rsidRPr="00830E10" w:rsidRDefault="00830E10" w:rsidP="00830E10">
            <w:pPr>
              <w:jc w:val="both"/>
              <w:rPr>
                <w:bCs/>
                <w:sz w:val="24"/>
                <w:szCs w:val="24"/>
              </w:rPr>
            </w:pPr>
            <w:r w:rsidRPr="00830E10">
              <w:rPr>
                <w:bCs/>
                <w:i/>
                <w:sz w:val="24"/>
                <w:szCs w:val="24"/>
                <w:u w:val="single"/>
              </w:rPr>
              <w:t>Stanovisko predkladateľa:</w:t>
            </w:r>
            <w:r w:rsidR="008273FF">
              <w:rPr>
                <w:bCs/>
                <w:i/>
                <w:sz w:val="24"/>
                <w:szCs w:val="24"/>
              </w:rPr>
              <w:t xml:space="preserve"> </w:t>
            </w:r>
            <w:r w:rsidRPr="008273FF">
              <w:rPr>
                <w:bCs/>
                <w:i/>
                <w:sz w:val="24"/>
                <w:szCs w:val="24"/>
              </w:rPr>
              <w:t>Čiastočne akceptované. Analýza</w:t>
            </w:r>
            <w:r w:rsidR="00AE1D5A">
              <w:rPr>
                <w:bCs/>
                <w:i/>
                <w:sz w:val="24"/>
                <w:szCs w:val="24"/>
              </w:rPr>
              <w:t>,</w:t>
            </w:r>
            <w:r w:rsidRPr="008273FF">
              <w:rPr>
                <w:bCs/>
                <w:i/>
                <w:sz w:val="24"/>
                <w:szCs w:val="24"/>
              </w:rPr>
              <w:t xml:space="preserve"> z ktorej predkladateľ</w:t>
            </w:r>
            <w:r w:rsidR="008273FF" w:rsidRPr="008273FF">
              <w:rPr>
                <w:bCs/>
                <w:i/>
                <w:sz w:val="24"/>
                <w:szCs w:val="24"/>
              </w:rPr>
              <w:t xml:space="preserve"> vychádzal</w:t>
            </w:r>
            <w:r w:rsidRPr="008273FF">
              <w:rPr>
                <w:bCs/>
                <w:i/>
                <w:sz w:val="24"/>
                <w:szCs w:val="24"/>
              </w:rPr>
              <w:t xml:space="preserve"> pri zrušení zábezpeky na DPH</w:t>
            </w:r>
            <w:r w:rsidR="00AE1D5A">
              <w:rPr>
                <w:bCs/>
                <w:i/>
                <w:sz w:val="24"/>
                <w:szCs w:val="24"/>
              </w:rPr>
              <w:t>,</w:t>
            </w:r>
            <w:r w:rsidR="008273FF" w:rsidRPr="008273FF">
              <w:rPr>
                <w:bCs/>
                <w:i/>
                <w:sz w:val="24"/>
                <w:szCs w:val="24"/>
              </w:rPr>
              <w:t xml:space="preserve"> </w:t>
            </w:r>
            <w:r w:rsidRPr="008273FF">
              <w:rPr>
                <w:bCs/>
                <w:i/>
                <w:sz w:val="24"/>
                <w:szCs w:val="24"/>
              </w:rPr>
              <w:t>bola doplnená.</w:t>
            </w:r>
            <w:r w:rsidR="008273FF" w:rsidRPr="008273FF">
              <w:rPr>
                <w:bCs/>
                <w:i/>
                <w:sz w:val="24"/>
                <w:szCs w:val="24"/>
              </w:rPr>
              <w:t xml:space="preserve"> Zmeny v ustanoveniach týkajúcich sa uplatňovanie DPH pri nehnute</w:t>
            </w:r>
            <w:r w:rsidR="00FE01D5">
              <w:rPr>
                <w:bCs/>
                <w:i/>
                <w:sz w:val="24"/>
                <w:szCs w:val="24"/>
              </w:rPr>
              <w:t xml:space="preserve">ľnostiach vyplývajú </w:t>
            </w:r>
            <w:r w:rsidR="008273FF" w:rsidRPr="008273FF">
              <w:rPr>
                <w:bCs/>
                <w:i/>
                <w:sz w:val="24"/>
                <w:szCs w:val="24"/>
              </w:rPr>
              <w:t>z praxe a z kontrolnej činnosti finančnej správy.</w:t>
            </w:r>
            <w:r w:rsidR="008273FF">
              <w:rPr>
                <w:bCs/>
                <w:sz w:val="24"/>
                <w:szCs w:val="24"/>
              </w:rPr>
              <w:t xml:space="preserve"> </w:t>
            </w:r>
            <w:r>
              <w:rPr>
                <w:bCs/>
                <w:sz w:val="24"/>
                <w:szCs w:val="24"/>
              </w:rPr>
              <w:t xml:space="preserve">  </w:t>
            </w:r>
          </w:p>
          <w:p w:rsidR="00830E10" w:rsidRPr="00830E10" w:rsidRDefault="00830E10" w:rsidP="00830E10">
            <w:pPr>
              <w:jc w:val="both"/>
              <w:rPr>
                <w:bCs/>
                <w:sz w:val="24"/>
                <w:szCs w:val="24"/>
              </w:rPr>
            </w:pPr>
          </w:p>
          <w:p w:rsidR="00830E10" w:rsidRDefault="00830E10" w:rsidP="00830E10">
            <w:pPr>
              <w:jc w:val="both"/>
              <w:rPr>
                <w:bCs/>
                <w:sz w:val="24"/>
                <w:szCs w:val="24"/>
              </w:rPr>
            </w:pPr>
            <w:r w:rsidRPr="00830E10">
              <w:rPr>
                <w:bCs/>
                <w:sz w:val="24"/>
                <w:szCs w:val="24"/>
              </w:rPr>
              <w:t xml:space="preserve">Doložka a analýza vplyvov na rozpočet verejnej správy sú vo vzájomnom rozpore. Podľa doložky má návrh zákona negatívny vplyv na rozpočet verejnej správy, ktorý je rozpočtovo zabezpečený. Z analýzy vplyvov na rozpočet verejnej správy vyplýva negatívny vplyv v roku 2018 na kapitolu MF SR v sume 327 300 eur, pričom je uvedené, že ide o rozpočtovo nekrytý </w:t>
            </w:r>
            <w:r w:rsidRPr="00830E10">
              <w:rPr>
                <w:bCs/>
                <w:sz w:val="24"/>
                <w:szCs w:val="24"/>
              </w:rPr>
              <w:lastRenderedPageBreak/>
              <w:t xml:space="preserve">vplyv a kapitola bude žiadať MF SR o zvýšenie záväzných ukazovateľov na rok 2018. Doložku a analýzu vybraných vplyvov žiada Komisia vzájomne zosúladiť.  </w:t>
            </w:r>
          </w:p>
          <w:p w:rsidR="008273FF" w:rsidRPr="008273FF" w:rsidRDefault="008273FF" w:rsidP="00830E10">
            <w:pPr>
              <w:jc w:val="both"/>
              <w:rPr>
                <w:bCs/>
                <w:i/>
                <w:sz w:val="24"/>
                <w:szCs w:val="24"/>
              </w:rPr>
            </w:pPr>
            <w:r>
              <w:rPr>
                <w:bCs/>
                <w:i/>
                <w:sz w:val="24"/>
                <w:szCs w:val="24"/>
                <w:u w:val="single"/>
              </w:rPr>
              <w:t>Stanovisko predkladateľa:</w:t>
            </w:r>
            <w:r>
              <w:rPr>
                <w:bCs/>
                <w:i/>
                <w:sz w:val="24"/>
                <w:szCs w:val="24"/>
              </w:rPr>
              <w:t xml:space="preserve"> Akceptované.</w:t>
            </w:r>
          </w:p>
          <w:p w:rsidR="00830E10" w:rsidRPr="00830E10" w:rsidRDefault="00830E10" w:rsidP="00830E10">
            <w:pPr>
              <w:ind w:right="-2"/>
              <w:jc w:val="both"/>
              <w:rPr>
                <w:b/>
                <w:bCs/>
                <w:sz w:val="24"/>
                <w:szCs w:val="24"/>
              </w:rPr>
            </w:pPr>
          </w:p>
          <w:p w:rsidR="00830E10" w:rsidRPr="00830E10" w:rsidRDefault="00830E10" w:rsidP="00830E10">
            <w:pPr>
              <w:ind w:right="-2"/>
              <w:jc w:val="both"/>
              <w:rPr>
                <w:b/>
                <w:bCs/>
                <w:sz w:val="24"/>
                <w:szCs w:val="24"/>
              </w:rPr>
            </w:pPr>
            <w:r w:rsidRPr="00830E10">
              <w:rPr>
                <w:b/>
                <w:bCs/>
                <w:sz w:val="24"/>
                <w:szCs w:val="24"/>
              </w:rPr>
              <w:t>K analýze vplyvov na podnikateľské prostredie</w:t>
            </w:r>
          </w:p>
          <w:p w:rsidR="00830E10" w:rsidRPr="00830E10" w:rsidRDefault="00830E10" w:rsidP="00830E10">
            <w:pPr>
              <w:ind w:right="-2"/>
              <w:jc w:val="both"/>
              <w:rPr>
                <w:bCs/>
                <w:sz w:val="24"/>
                <w:szCs w:val="24"/>
              </w:rPr>
            </w:pPr>
            <w:r w:rsidRPr="00830E10">
              <w:rPr>
                <w:bCs/>
                <w:sz w:val="24"/>
                <w:szCs w:val="24"/>
              </w:rPr>
              <w:t xml:space="preserve">Predkladateľ v časti </w:t>
            </w:r>
            <w:r w:rsidRPr="00830E10">
              <w:rPr>
                <w:bCs/>
                <w:i/>
                <w:sz w:val="24"/>
                <w:szCs w:val="24"/>
              </w:rPr>
              <w:t>3.3.3 Administratívne náklady</w:t>
            </w:r>
            <w:r w:rsidRPr="00830E10">
              <w:rPr>
                <w:bCs/>
                <w:sz w:val="24"/>
                <w:szCs w:val="24"/>
              </w:rPr>
              <w:t xml:space="preserve"> Analýzy vplyvov na podnikateľské prostredie uvádza zvýšenie administratívnych nákladov v súvislosti so zmenami v právnej úprave zdaňovania dodania nehnuteľnosti a v právnej úprave zdaňovania prenájmu nehnuteľnosti. Novelou zákona sa však upravuje viacero inštitútov, ktoré budú mať dopad na administratívne náklady dotknutých subjektov.  Nový ods. 3 v § 53 napr. ukladá platiteľovi dane, ktorý si uplatnil odpočítanie dane z poskytnutej platby na budúce dodanie tovarov alebo služieb, povinnosť vykonať opravu odpočítanej dane z poskytnutej platby, ak na základe objektívnych skutočností vyjde najavo, že sa dodanie tovarov alebo služieb, na ktoré poskytol preddavok, neuskutoční. Taktiež sa vložením § 54d do zákona zavádza povinnosť upraviť odpočítanú daň pri hnuteľnom investičnom majetku v súvislosti so zmenou rozsahu použitia hnuteľného investičného majetku na podnikanie. </w:t>
            </w:r>
          </w:p>
          <w:p w:rsidR="00830E10" w:rsidRPr="00830E10" w:rsidRDefault="00830E10" w:rsidP="00830E10">
            <w:pPr>
              <w:ind w:right="-2"/>
              <w:jc w:val="both"/>
              <w:rPr>
                <w:bCs/>
                <w:sz w:val="24"/>
                <w:szCs w:val="24"/>
              </w:rPr>
            </w:pPr>
          </w:p>
          <w:p w:rsidR="00830E10" w:rsidRDefault="00830E10" w:rsidP="00830E10">
            <w:pPr>
              <w:ind w:right="-2"/>
              <w:jc w:val="both"/>
              <w:rPr>
                <w:bCs/>
                <w:sz w:val="24"/>
                <w:szCs w:val="24"/>
              </w:rPr>
            </w:pPr>
            <w:r w:rsidRPr="00830E10">
              <w:rPr>
                <w:bCs/>
                <w:sz w:val="24"/>
                <w:szCs w:val="24"/>
              </w:rPr>
              <w:t>Komisia z vyššie uvedených dôvodov žiada predkladateľa o doplnenie všetkých novovzniknutých administratívnych nákladov vyplývajúcich z novely zákona.</w:t>
            </w:r>
          </w:p>
          <w:p w:rsidR="00FE01D5" w:rsidRDefault="00FE01D5" w:rsidP="00830E10">
            <w:pPr>
              <w:ind w:right="-2"/>
              <w:jc w:val="both"/>
              <w:rPr>
                <w:bCs/>
                <w:sz w:val="24"/>
                <w:szCs w:val="24"/>
              </w:rPr>
            </w:pPr>
          </w:p>
          <w:p w:rsidR="007B475E" w:rsidRDefault="007B475E" w:rsidP="00830E10">
            <w:pPr>
              <w:ind w:right="-2"/>
              <w:jc w:val="both"/>
              <w:rPr>
                <w:bCs/>
                <w:i/>
                <w:sz w:val="24"/>
                <w:szCs w:val="24"/>
              </w:rPr>
            </w:pPr>
            <w:r>
              <w:rPr>
                <w:bCs/>
                <w:i/>
                <w:sz w:val="24"/>
                <w:szCs w:val="24"/>
                <w:u w:val="single"/>
              </w:rPr>
              <w:t>Stanovisko predkladateľa:</w:t>
            </w:r>
            <w:r>
              <w:rPr>
                <w:bCs/>
                <w:i/>
                <w:sz w:val="24"/>
                <w:szCs w:val="24"/>
              </w:rPr>
              <w:t xml:space="preserve"> Neakceptované. Analýza vplyvov na podnikateľské prostredie bola v časti 3.3.3. Administratívne náklady upravené podľa metodiky na posudzovanie vplyvov. Nakoľko predkladaný návrh zákona nezavádza nové informačné povinnosti a nemení existujúce povinnosti tak, že sa mení obsah alebo frekvencia požadovaných dát, zvýšené administratívne náklady neboli identifikované.</w:t>
            </w:r>
          </w:p>
          <w:p w:rsidR="00830E10" w:rsidRPr="007B475E" w:rsidRDefault="007B475E" w:rsidP="00830E10">
            <w:pPr>
              <w:ind w:right="-2"/>
              <w:jc w:val="both"/>
              <w:rPr>
                <w:bCs/>
                <w:i/>
                <w:sz w:val="24"/>
                <w:szCs w:val="24"/>
              </w:rPr>
            </w:pPr>
            <w:r>
              <w:rPr>
                <w:bCs/>
                <w:i/>
                <w:sz w:val="24"/>
                <w:szCs w:val="24"/>
              </w:rPr>
              <w:t xml:space="preserve"> </w:t>
            </w:r>
          </w:p>
          <w:p w:rsidR="00830E10" w:rsidRPr="00830E10" w:rsidRDefault="00830E10" w:rsidP="00830E10">
            <w:pPr>
              <w:ind w:right="-2"/>
              <w:jc w:val="both"/>
              <w:rPr>
                <w:bCs/>
                <w:sz w:val="24"/>
                <w:szCs w:val="24"/>
              </w:rPr>
            </w:pPr>
            <w:r w:rsidRPr="00830E10">
              <w:rPr>
                <w:bCs/>
                <w:sz w:val="24"/>
                <w:szCs w:val="24"/>
              </w:rPr>
              <w:t xml:space="preserve">Predkladateľ v časti </w:t>
            </w:r>
            <w:r w:rsidRPr="00830E10">
              <w:rPr>
                <w:bCs/>
                <w:i/>
                <w:sz w:val="24"/>
                <w:szCs w:val="24"/>
              </w:rPr>
              <w:t>3.3.1 Priame finančné náklady</w:t>
            </w:r>
            <w:r w:rsidRPr="00830E10">
              <w:rPr>
                <w:bCs/>
                <w:sz w:val="24"/>
                <w:szCs w:val="24"/>
              </w:rPr>
              <w:t xml:space="preserve"> Analýzy vplyvov na podnikateľské prostredie uvádza, že predmetnou novelou zákona nedochádza ani k zvýšeniu, ani k zníženiu priamych finančných nákladov. Zároveň však predkladateľ konštatuje v Analýze vplyvov na rozpočet verejnej správy, že opatrenia prijaté v predkladanom návrhu zákona prispejú k zvýšenému výberu DPH, čím bude vykrytý v plnom rozsahu výpadok na príjmovej strane spôsobený zavedením nových opatrení. Taktiež je napr. prostredníctvom doplnenia § 38 o ods. 7 zrejmé, že platitelia dane budú povinní upraviť DPH odpočítanú z nadobudnutia nehnuteľnosti (t.</w:t>
            </w:r>
            <w:r w:rsidR="002255B0">
              <w:rPr>
                <w:bCs/>
                <w:sz w:val="24"/>
                <w:szCs w:val="24"/>
              </w:rPr>
              <w:t xml:space="preserve"> </w:t>
            </w:r>
            <w:r w:rsidRPr="00830E10">
              <w:rPr>
                <w:bCs/>
                <w:sz w:val="24"/>
                <w:szCs w:val="24"/>
              </w:rPr>
              <w:t xml:space="preserve">j. vrátiť DPH do štátneho rozpočtu), čo znamená priamy finančný vplyv na dotknuté podnikateľské subjekty. </w:t>
            </w:r>
          </w:p>
          <w:p w:rsidR="00830E10" w:rsidRPr="00830E10" w:rsidRDefault="00830E10" w:rsidP="00830E10">
            <w:pPr>
              <w:ind w:right="-2"/>
              <w:jc w:val="both"/>
              <w:rPr>
                <w:bCs/>
                <w:sz w:val="24"/>
                <w:szCs w:val="24"/>
              </w:rPr>
            </w:pPr>
          </w:p>
          <w:p w:rsidR="007B475E" w:rsidRDefault="00830E10" w:rsidP="00830E10">
            <w:pPr>
              <w:ind w:right="-2"/>
              <w:jc w:val="both"/>
              <w:rPr>
                <w:bCs/>
                <w:sz w:val="24"/>
                <w:szCs w:val="24"/>
              </w:rPr>
            </w:pPr>
            <w:r w:rsidRPr="00830E10">
              <w:rPr>
                <w:bCs/>
                <w:sz w:val="24"/>
                <w:szCs w:val="24"/>
              </w:rPr>
              <w:t xml:space="preserve">Komisia preto žiada predkladateľa o vyznačenie všetkých priamych finančných vplyvov na podnikateľské subjekty plynúcich z novely zákona. </w:t>
            </w:r>
          </w:p>
          <w:p w:rsidR="007B475E" w:rsidRDefault="007B475E" w:rsidP="00830E10">
            <w:pPr>
              <w:ind w:right="-2"/>
              <w:jc w:val="both"/>
              <w:rPr>
                <w:bCs/>
                <w:sz w:val="24"/>
                <w:szCs w:val="24"/>
              </w:rPr>
            </w:pPr>
          </w:p>
          <w:p w:rsidR="00830E10" w:rsidRPr="00830E10" w:rsidRDefault="007B475E" w:rsidP="00830E10">
            <w:pPr>
              <w:ind w:right="-2"/>
              <w:jc w:val="both"/>
              <w:rPr>
                <w:bCs/>
                <w:sz w:val="24"/>
                <w:szCs w:val="24"/>
              </w:rPr>
            </w:pPr>
            <w:r>
              <w:rPr>
                <w:bCs/>
                <w:i/>
                <w:sz w:val="24"/>
                <w:szCs w:val="24"/>
                <w:u w:val="single"/>
              </w:rPr>
              <w:t>Stanovisko predkladateľa:</w:t>
            </w:r>
            <w:r>
              <w:rPr>
                <w:bCs/>
                <w:i/>
                <w:sz w:val="24"/>
                <w:szCs w:val="24"/>
              </w:rPr>
              <w:t xml:space="preserve"> </w:t>
            </w:r>
            <w:r w:rsidR="002D014D" w:rsidRPr="00FE01D5">
              <w:rPr>
                <w:bCs/>
                <w:i/>
                <w:sz w:val="24"/>
                <w:szCs w:val="24"/>
              </w:rPr>
              <w:t xml:space="preserve">Neakceptované. Analýza vplyvov na podnikateľské prostredie bola v časti 3.3.1. Priame finančné náklady upravená. </w:t>
            </w:r>
            <w:r w:rsidR="002D014D" w:rsidRPr="00FE01D5">
              <w:rPr>
                <w:i/>
                <w:sz w:val="24"/>
                <w:szCs w:val="24"/>
              </w:rPr>
              <w:t xml:space="preserve">Predkladateľ zastáva názor, že </w:t>
            </w:r>
            <w:r w:rsidR="00FE01D5">
              <w:rPr>
                <w:i/>
                <w:sz w:val="24"/>
                <w:szCs w:val="24"/>
              </w:rPr>
              <w:t xml:space="preserve">v </w:t>
            </w:r>
            <w:r w:rsidR="002D014D" w:rsidRPr="00FE01D5">
              <w:rPr>
                <w:i/>
                <w:sz w:val="24"/>
                <w:szCs w:val="24"/>
              </w:rPr>
              <w:t>prípade úpravy odpočítanej dane voči štátnemu rozpočtu sa nejedná o priame finančné nákladmi podnikateľa, pretože DPH je spotrebnou daňou, ktorá ne</w:t>
            </w:r>
            <w:r w:rsidR="00AE1D5A">
              <w:rPr>
                <w:i/>
                <w:sz w:val="24"/>
                <w:szCs w:val="24"/>
              </w:rPr>
              <w:t>zaťažuje podnikateľa, ale konečného spotrebiteľa a je z </w:t>
            </w:r>
            <w:r w:rsidR="002D014D" w:rsidRPr="00FE01D5">
              <w:rPr>
                <w:i/>
                <w:sz w:val="24"/>
                <w:szCs w:val="24"/>
              </w:rPr>
              <w:t>pohľadu</w:t>
            </w:r>
            <w:r w:rsidR="00AE1D5A">
              <w:rPr>
                <w:i/>
                <w:sz w:val="24"/>
                <w:szCs w:val="24"/>
              </w:rPr>
              <w:t xml:space="preserve"> podnikateľa</w:t>
            </w:r>
            <w:r w:rsidR="002D014D" w:rsidRPr="00FE01D5">
              <w:rPr>
                <w:i/>
                <w:sz w:val="24"/>
                <w:szCs w:val="24"/>
              </w:rPr>
              <w:t xml:space="preserve"> neutrálna.</w:t>
            </w:r>
            <w:r w:rsidR="002D014D">
              <w:rPr>
                <w:sz w:val="24"/>
                <w:szCs w:val="24"/>
              </w:rPr>
              <w:t xml:space="preserve">   </w:t>
            </w:r>
            <w:r w:rsidR="002D014D" w:rsidRPr="000F7E1D">
              <w:rPr>
                <w:sz w:val="24"/>
                <w:szCs w:val="24"/>
              </w:rPr>
              <w:t xml:space="preserve">  </w:t>
            </w:r>
            <w:r w:rsidR="00830E10" w:rsidRPr="00830E10">
              <w:rPr>
                <w:bCs/>
                <w:sz w:val="24"/>
                <w:szCs w:val="24"/>
              </w:rPr>
              <w:t xml:space="preserve"> </w:t>
            </w:r>
          </w:p>
          <w:p w:rsidR="00830E10" w:rsidRPr="00830E10" w:rsidRDefault="00830E10" w:rsidP="00830E10">
            <w:pPr>
              <w:ind w:right="-2"/>
              <w:jc w:val="both"/>
              <w:rPr>
                <w:b/>
                <w:bCs/>
                <w:sz w:val="24"/>
                <w:szCs w:val="24"/>
              </w:rPr>
            </w:pPr>
          </w:p>
          <w:p w:rsidR="00830E10" w:rsidRPr="00830E10" w:rsidRDefault="00830E10" w:rsidP="00830E10">
            <w:pPr>
              <w:ind w:right="-2"/>
              <w:jc w:val="both"/>
              <w:rPr>
                <w:bCs/>
                <w:sz w:val="24"/>
                <w:szCs w:val="24"/>
              </w:rPr>
            </w:pPr>
            <w:r w:rsidRPr="00830E10">
              <w:rPr>
                <w:b/>
                <w:bCs/>
                <w:sz w:val="24"/>
                <w:szCs w:val="24"/>
              </w:rPr>
              <w:t xml:space="preserve">III. Záver: </w:t>
            </w:r>
            <w:r w:rsidRPr="00830E10">
              <w:rPr>
                <w:bCs/>
                <w:sz w:val="24"/>
                <w:szCs w:val="24"/>
              </w:rPr>
              <w:t xml:space="preserve">Stála pracovná komisia na posudzovanie vybraných vplyvov vyjadruje </w:t>
            </w:r>
          </w:p>
          <w:p w:rsidR="00830E10" w:rsidRPr="00830E10" w:rsidRDefault="00830E10" w:rsidP="00830E10">
            <w:pPr>
              <w:tabs>
                <w:tab w:val="center" w:pos="6379"/>
              </w:tabs>
              <w:ind w:right="-2"/>
              <w:jc w:val="both"/>
              <w:rPr>
                <w:bCs/>
                <w:sz w:val="24"/>
                <w:szCs w:val="24"/>
              </w:rPr>
            </w:pPr>
          </w:p>
          <w:p w:rsidR="00830E10" w:rsidRPr="00830E10" w:rsidRDefault="00830E10" w:rsidP="00830E10">
            <w:pPr>
              <w:tabs>
                <w:tab w:val="center" w:pos="6379"/>
              </w:tabs>
              <w:ind w:right="-2"/>
              <w:jc w:val="center"/>
              <w:rPr>
                <w:b/>
                <w:bCs/>
                <w:sz w:val="24"/>
                <w:szCs w:val="24"/>
                <w:lang w:eastAsia="en-US"/>
              </w:rPr>
            </w:pPr>
          </w:p>
          <w:p w:rsidR="00830E10" w:rsidRPr="00830E10" w:rsidRDefault="00830E10" w:rsidP="00830E10">
            <w:pPr>
              <w:tabs>
                <w:tab w:val="center" w:pos="6379"/>
              </w:tabs>
              <w:ind w:right="-2"/>
              <w:jc w:val="center"/>
              <w:rPr>
                <w:b/>
                <w:bCs/>
                <w:sz w:val="24"/>
                <w:szCs w:val="24"/>
                <w:lang w:eastAsia="en-US"/>
              </w:rPr>
            </w:pPr>
            <w:r w:rsidRPr="00830E10">
              <w:rPr>
                <w:b/>
                <w:bCs/>
                <w:sz w:val="24"/>
                <w:szCs w:val="24"/>
                <w:lang w:eastAsia="en-US"/>
              </w:rPr>
              <w:t>nesúhlasné stanovisko</w:t>
            </w:r>
          </w:p>
          <w:p w:rsidR="00830E10" w:rsidRPr="00830E10" w:rsidRDefault="00830E10" w:rsidP="00830E10">
            <w:pPr>
              <w:tabs>
                <w:tab w:val="center" w:pos="6379"/>
              </w:tabs>
              <w:ind w:right="-2"/>
              <w:jc w:val="both"/>
              <w:rPr>
                <w:b/>
                <w:bCs/>
                <w:sz w:val="24"/>
                <w:szCs w:val="24"/>
                <w:lang w:eastAsia="en-US"/>
              </w:rPr>
            </w:pPr>
          </w:p>
          <w:p w:rsidR="00830E10" w:rsidRPr="00830E10" w:rsidRDefault="00830E10" w:rsidP="00830E10">
            <w:pPr>
              <w:tabs>
                <w:tab w:val="center" w:pos="6379"/>
              </w:tabs>
              <w:ind w:right="-2"/>
              <w:jc w:val="both"/>
              <w:rPr>
                <w:bCs/>
                <w:sz w:val="24"/>
                <w:szCs w:val="22"/>
              </w:rPr>
            </w:pPr>
          </w:p>
          <w:p w:rsidR="00830E10" w:rsidRPr="00830E10" w:rsidRDefault="00830E10" w:rsidP="00830E10">
            <w:pPr>
              <w:tabs>
                <w:tab w:val="center" w:pos="6379"/>
              </w:tabs>
              <w:ind w:right="-2"/>
              <w:jc w:val="both"/>
              <w:rPr>
                <w:bCs/>
                <w:sz w:val="24"/>
                <w:szCs w:val="24"/>
                <w:lang w:eastAsia="en-US"/>
              </w:rPr>
            </w:pPr>
            <w:r w:rsidRPr="00830E10">
              <w:rPr>
                <w:bCs/>
                <w:sz w:val="24"/>
                <w:szCs w:val="22"/>
              </w:rPr>
              <w:lastRenderedPageBreak/>
              <w:t xml:space="preserve">s materiálom </w:t>
            </w:r>
            <w:r w:rsidRPr="00830E10">
              <w:rPr>
                <w:bCs/>
                <w:sz w:val="24"/>
                <w:szCs w:val="24"/>
              </w:rPr>
              <w:t>predloženým na predbežné pripomienkové konanie s odporúčaním na jeho dopracovanie podľa pripomienok v bode II.</w:t>
            </w:r>
            <w:r w:rsidRPr="00830E10">
              <w:rPr>
                <w:bCs/>
                <w:sz w:val="24"/>
                <w:szCs w:val="22"/>
              </w:rPr>
              <w:t xml:space="preserve"> </w:t>
            </w:r>
            <w:r w:rsidRPr="00830E10">
              <w:rPr>
                <w:bCs/>
                <w:sz w:val="24"/>
                <w:szCs w:val="24"/>
                <w:lang w:eastAsia="en-US"/>
              </w:rPr>
              <w:t xml:space="preserve"> </w:t>
            </w:r>
          </w:p>
          <w:p w:rsidR="00830E10" w:rsidRPr="00830E10" w:rsidRDefault="00830E10" w:rsidP="00830E10">
            <w:pPr>
              <w:tabs>
                <w:tab w:val="center" w:pos="6379"/>
              </w:tabs>
              <w:ind w:right="-2"/>
              <w:jc w:val="both"/>
              <w:rPr>
                <w:b/>
                <w:bCs/>
                <w:sz w:val="24"/>
                <w:szCs w:val="24"/>
                <w:lang w:eastAsia="en-US"/>
              </w:rPr>
            </w:pPr>
          </w:p>
          <w:p w:rsidR="00830E10" w:rsidRPr="00830E10" w:rsidRDefault="00830E10" w:rsidP="00830E10">
            <w:pPr>
              <w:tabs>
                <w:tab w:val="center" w:pos="6379"/>
              </w:tabs>
              <w:ind w:right="-2"/>
              <w:jc w:val="both"/>
              <w:rPr>
                <w:bCs/>
                <w:sz w:val="24"/>
                <w:szCs w:val="24"/>
                <w:lang w:eastAsia="en-US"/>
              </w:rPr>
            </w:pPr>
            <w:r w:rsidRPr="00830E10">
              <w:rPr>
                <w:b/>
                <w:bCs/>
                <w:sz w:val="24"/>
                <w:szCs w:val="24"/>
                <w:lang w:eastAsia="en-US"/>
              </w:rPr>
              <w:t xml:space="preserve">IV. Poznámka: </w:t>
            </w:r>
            <w:r w:rsidRPr="00830E10">
              <w:rPr>
                <w:bCs/>
                <w:sz w:val="24"/>
                <w:szCs w:val="24"/>
                <w:lang w:eastAsia="en-US"/>
              </w:rPr>
              <w:t>Predkladateľ zapracuje pripomienky a odporúčania na úpravu uvedené v bode II a uvedie stanovisko Komisie do Doložky vybraných vplyvov spolu s vyhodnotením pripomienok.</w:t>
            </w:r>
          </w:p>
          <w:p w:rsidR="00830E10" w:rsidRPr="00830E10" w:rsidRDefault="00830E10" w:rsidP="00830E10">
            <w:pPr>
              <w:tabs>
                <w:tab w:val="center" w:pos="6379"/>
              </w:tabs>
              <w:ind w:right="-2"/>
              <w:jc w:val="both"/>
              <w:rPr>
                <w:bCs/>
                <w:sz w:val="24"/>
                <w:szCs w:val="24"/>
                <w:lang w:eastAsia="en-US"/>
              </w:rPr>
            </w:pPr>
          </w:p>
          <w:p w:rsidR="00830E10" w:rsidRPr="00830E10" w:rsidRDefault="00830E10" w:rsidP="00830E10">
            <w:pPr>
              <w:tabs>
                <w:tab w:val="center" w:pos="6379"/>
              </w:tabs>
              <w:ind w:right="-2"/>
              <w:jc w:val="both"/>
              <w:rPr>
                <w:bCs/>
                <w:sz w:val="24"/>
                <w:szCs w:val="24"/>
              </w:rPr>
            </w:pPr>
            <w:r w:rsidRPr="00830E10">
              <w:rPr>
                <w:bCs/>
                <w:sz w:val="24"/>
                <w:szCs w:val="24"/>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FF4157" w:rsidRPr="00830E10" w:rsidRDefault="00FF4157" w:rsidP="0099386C">
            <w:pPr>
              <w:rPr>
                <w:b/>
                <w:sz w:val="24"/>
                <w:szCs w:val="24"/>
              </w:rPr>
            </w:pPr>
          </w:p>
        </w:tc>
      </w:tr>
    </w:tbl>
    <w:p w:rsidR="003501A1" w:rsidRPr="00D523DE" w:rsidRDefault="003501A1" w:rsidP="003501A1">
      <w:pPr>
        <w:rPr>
          <w:b/>
          <w:sz w:val="24"/>
          <w:szCs w:val="24"/>
        </w:rPr>
      </w:pPr>
    </w:p>
    <w:p w:rsidR="002F310C" w:rsidRDefault="002F310C">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733AF" w:rsidRDefault="00A733AF">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AD1D71" w:rsidRDefault="00AD1D71">
      <w:pPr>
        <w:rPr>
          <w:b/>
          <w:sz w:val="24"/>
          <w:szCs w:val="24"/>
        </w:rPr>
      </w:pPr>
    </w:p>
    <w:p w:rsidR="00617835" w:rsidRDefault="00617835" w:rsidP="00617835">
      <w:pPr>
        <w:rPr>
          <w:b/>
          <w:sz w:val="24"/>
          <w:szCs w:val="24"/>
        </w:rPr>
      </w:pPr>
    </w:p>
    <w:p w:rsidR="00086CFE" w:rsidRDefault="00086CFE" w:rsidP="00617835">
      <w:pPr>
        <w:rPr>
          <w:b/>
          <w:bCs/>
          <w:sz w:val="24"/>
          <w:szCs w:val="24"/>
        </w:rPr>
      </w:pPr>
    </w:p>
    <w:p w:rsidR="00A733AF" w:rsidRPr="00A21C46" w:rsidRDefault="00A733AF" w:rsidP="00A733AF">
      <w:pPr>
        <w:jc w:val="center"/>
        <w:rPr>
          <w:b/>
          <w:bCs/>
          <w:sz w:val="24"/>
          <w:szCs w:val="24"/>
        </w:rPr>
      </w:pPr>
      <w:r w:rsidRPr="00A21C46">
        <w:rPr>
          <w:b/>
          <w:bCs/>
          <w:sz w:val="24"/>
          <w:szCs w:val="24"/>
        </w:rPr>
        <w:lastRenderedPageBreak/>
        <w:t>Analýza vplyvov na rozpočet verejnej správy,</w:t>
      </w:r>
    </w:p>
    <w:p w:rsidR="00A733AF" w:rsidRPr="00A21C46" w:rsidRDefault="00A733AF" w:rsidP="00086CFE">
      <w:pPr>
        <w:jc w:val="center"/>
        <w:rPr>
          <w:b/>
          <w:bCs/>
          <w:sz w:val="24"/>
          <w:szCs w:val="24"/>
        </w:rPr>
      </w:pPr>
      <w:r w:rsidRPr="00A21C46">
        <w:rPr>
          <w:b/>
          <w:bCs/>
          <w:sz w:val="24"/>
          <w:szCs w:val="24"/>
        </w:rPr>
        <w:t>na zamestnanosť vo verejn</w:t>
      </w:r>
      <w:r w:rsidR="00086CFE">
        <w:rPr>
          <w:b/>
          <w:bCs/>
          <w:sz w:val="24"/>
          <w:szCs w:val="24"/>
        </w:rPr>
        <w:t>ej správe a financovanie návrhu</w:t>
      </w:r>
    </w:p>
    <w:p w:rsidR="00A733AF" w:rsidRPr="00A21C46" w:rsidRDefault="00A733AF" w:rsidP="00086CFE">
      <w:pPr>
        <w:rPr>
          <w:sz w:val="24"/>
          <w:szCs w:val="24"/>
        </w:rPr>
      </w:pPr>
    </w:p>
    <w:p w:rsidR="00086CFE" w:rsidRPr="00A21C46" w:rsidRDefault="00086CFE" w:rsidP="00086CFE">
      <w:pPr>
        <w:rPr>
          <w:b/>
          <w:bCs/>
          <w:sz w:val="24"/>
          <w:szCs w:val="24"/>
        </w:rPr>
      </w:pPr>
      <w:r w:rsidRPr="00A21C46">
        <w:rPr>
          <w:b/>
          <w:bCs/>
          <w:sz w:val="24"/>
          <w:szCs w:val="24"/>
        </w:rPr>
        <w:t>2.1 Zhrnutie vplyvov na rozpočet verejnej správy v návrhu</w:t>
      </w:r>
    </w:p>
    <w:p w:rsidR="00A733AF" w:rsidRPr="00A21C46" w:rsidRDefault="00086CFE" w:rsidP="00086CFE">
      <w:pPr>
        <w:tabs>
          <w:tab w:val="right" w:pos="9072"/>
        </w:tabs>
        <w:rPr>
          <w:sz w:val="24"/>
          <w:szCs w:val="24"/>
        </w:rPr>
      </w:pPr>
      <w:r>
        <w:rPr>
          <w:sz w:val="24"/>
          <w:szCs w:val="24"/>
        </w:rPr>
        <w:tab/>
      </w:r>
      <w:r w:rsidR="00A733AF" w:rsidRPr="00A21C46">
        <w:rPr>
          <w:sz w:val="24"/>
          <w:szCs w:val="24"/>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134"/>
        <w:gridCol w:w="1559"/>
        <w:gridCol w:w="1418"/>
        <w:gridCol w:w="1370"/>
      </w:tblGrid>
      <w:tr w:rsidR="00A733AF" w:rsidRPr="00A21C46" w:rsidTr="002F5081">
        <w:trPr>
          <w:cantSplit/>
          <w:trHeight w:val="194"/>
          <w:jc w:val="center"/>
        </w:trPr>
        <w:tc>
          <w:tcPr>
            <w:tcW w:w="4248" w:type="dxa"/>
            <w:vMerge w:val="restart"/>
            <w:shd w:val="clear" w:color="auto" w:fill="BFBFBF" w:themeFill="background1" w:themeFillShade="BF"/>
            <w:vAlign w:val="center"/>
          </w:tcPr>
          <w:p w:rsidR="00A733AF" w:rsidRPr="00A21C46" w:rsidRDefault="00A733AF" w:rsidP="00A716FC">
            <w:pPr>
              <w:jc w:val="center"/>
              <w:rPr>
                <w:b/>
                <w:bCs/>
                <w:sz w:val="24"/>
                <w:szCs w:val="24"/>
              </w:rPr>
            </w:pPr>
            <w:bookmarkStart w:id="0" w:name="OLE_LINK1"/>
            <w:r w:rsidRPr="00A21C46">
              <w:rPr>
                <w:b/>
                <w:bCs/>
                <w:sz w:val="24"/>
                <w:szCs w:val="24"/>
              </w:rPr>
              <w:t>Vplyvy na rozpočet verejnej správy</w:t>
            </w:r>
          </w:p>
        </w:tc>
        <w:tc>
          <w:tcPr>
            <w:tcW w:w="5481" w:type="dxa"/>
            <w:gridSpan w:val="4"/>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Vplyv na rozpočet verejnej správy (v eurách)</w:t>
            </w:r>
          </w:p>
        </w:tc>
      </w:tr>
      <w:tr w:rsidR="00A733AF" w:rsidRPr="00A21C46" w:rsidTr="002F5081">
        <w:trPr>
          <w:cantSplit/>
          <w:trHeight w:val="70"/>
          <w:jc w:val="center"/>
        </w:trPr>
        <w:tc>
          <w:tcPr>
            <w:tcW w:w="4248" w:type="dxa"/>
            <w:vMerge/>
            <w:shd w:val="clear" w:color="auto" w:fill="BFBFBF" w:themeFill="background1" w:themeFillShade="BF"/>
            <w:vAlign w:val="center"/>
          </w:tcPr>
          <w:p w:rsidR="00A733AF" w:rsidRPr="00A21C46" w:rsidRDefault="00A733AF" w:rsidP="00A716FC">
            <w:pPr>
              <w:jc w:val="center"/>
              <w:rPr>
                <w:b/>
                <w:bCs/>
                <w:sz w:val="24"/>
                <w:szCs w:val="24"/>
              </w:rPr>
            </w:pPr>
          </w:p>
        </w:tc>
        <w:tc>
          <w:tcPr>
            <w:tcW w:w="1134" w:type="dxa"/>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2018</w:t>
            </w:r>
          </w:p>
        </w:tc>
        <w:tc>
          <w:tcPr>
            <w:tcW w:w="1559" w:type="dxa"/>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2019</w:t>
            </w:r>
          </w:p>
        </w:tc>
        <w:tc>
          <w:tcPr>
            <w:tcW w:w="1418" w:type="dxa"/>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2020</w:t>
            </w:r>
          </w:p>
        </w:tc>
        <w:tc>
          <w:tcPr>
            <w:tcW w:w="1370" w:type="dxa"/>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2021</w:t>
            </w:r>
          </w:p>
        </w:tc>
      </w:tr>
      <w:tr w:rsidR="00A733AF" w:rsidRPr="00A21C46" w:rsidTr="002F5081">
        <w:trPr>
          <w:trHeight w:val="70"/>
          <w:jc w:val="center"/>
        </w:trPr>
        <w:tc>
          <w:tcPr>
            <w:tcW w:w="4248" w:type="dxa"/>
            <w:shd w:val="clear" w:color="auto" w:fill="C0C0C0"/>
            <w:noWrap/>
            <w:vAlign w:val="center"/>
          </w:tcPr>
          <w:p w:rsidR="00A733AF" w:rsidRPr="00A21C46" w:rsidRDefault="00A733AF" w:rsidP="00A716FC">
            <w:pPr>
              <w:rPr>
                <w:sz w:val="24"/>
                <w:szCs w:val="24"/>
              </w:rPr>
            </w:pPr>
            <w:r w:rsidRPr="00A21C46">
              <w:rPr>
                <w:b/>
                <w:bCs/>
                <w:sz w:val="24"/>
                <w:szCs w:val="24"/>
              </w:rPr>
              <w:t>Príjmy verejnej správy celkom</w:t>
            </w:r>
          </w:p>
        </w:tc>
        <w:tc>
          <w:tcPr>
            <w:tcW w:w="1134" w:type="dxa"/>
            <w:shd w:val="clear" w:color="auto" w:fill="C0C0C0"/>
            <w:vAlign w:val="center"/>
          </w:tcPr>
          <w:p w:rsidR="00A733AF" w:rsidRPr="00A21C46" w:rsidRDefault="00A733AF" w:rsidP="00A716FC">
            <w:pPr>
              <w:jc w:val="right"/>
              <w:rPr>
                <w:b/>
                <w:bCs/>
                <w:sz w:val="24"/>
                <w:szCs w:val="24"/>
              </w:rPr>
            </w:pPr>
            <w:r w:rsidRPr="00A21C46">
              <w:rPr>
                <w:b/>
                <w:bCs/>
                <w:sz w:val="24"/>
                <w:szCs w:val="24"/>
              </w:rPr>
              <w:t>0</w:t>
            </w:r>
          </w:p>
        </w:tc>
        <w:tc>
          <w:tcPr>
            <w:tcW w:w="1559" w:type="dxa"/>
            <w:shd w:val="clear" w:color="auto" w:fill="C0C0C0"/>
            <w:vAlign w:val="center"/>
          </w:tcPr>
          <w:p w:rsidR="00A733AF" w:rsidRPr="00422019" w:rsidRDefault="002F5081" w:rsidP="00422019">
            <w:pPr>
              <w:jc w:val="center"/>
              <w:rPr>
                <w:b/>
                <w:bCs/>
                <w:color w:val="000000" w:themeColor="text1"/>
                <w:sz w:val="24"/>
                <w:szCs w:val="24"/>
              </w:rPr>
            </w:pPr>
            <w:r w:rsidRPr="00422019">
              <w:rPr>
                <w:b/>
                <w:bCs/>
                <w:color w:val="000000" w:themeColor="text1"/>
                <w:sz w:val="24"/>
                <w:szCs w:val="24"/>
              </w:rPr>
              <w:t>-</w:t>
            </w:r>
            <w:r w:rsidR="00422019" w:rsidRPr="00422019">
              <w:rPr>
                <w:b/>
                <w:bCs/>
                <w:color w:val="000000" w:themeColor="text1"/>
                <w:sz w:val="24"/>
                <w:szCs w:val="24"/>
              </w:rPr>
              <w:t>2</w:t>
            </w:r>
            <w:r w:rsidR="00AD1D71" w:rsidRPr="00422019">
              <w:rPr>
                <w:b/>
                <w:bCs/>
                <w:color w:val="000000" w:themeColor="text1"/>
                <w:sz w:val="24"/>
                <w:szCs w:val="24"/>
              </w:rPr>
              <w:t xml:space="preserve"> </w:t>
            </w:r>
            <w:r w:rsidR="00422019" w:rsidRPr="00422019">
              <w:rPr>
                <w:b/>
                <w:bCs/>
                <w:color w:val="000000" w:themeColor="text1"/>
                <w:sz w:val="24"/>
                <w:szCs w:val="24"/>
              </w:rPr>
              <w:t>1</w:t>
            </w:r>
            <w:r w:rsidR="003F38F4" w:rsidRPr="00422019">
              <w:rPr>
                <w:b/>
                <w:bCs/>
                <w:color w:val="000000" w:themeColor="text1"/>
                <w:sz w:val="24"/>
                <w:szCs w:val="24"/>
              </w:rPr>
              <w:t>00 000</w:t>
            </w:r>
          </w:p>
        </w:tc>
        <w:tc>
          <w:tcPr>
            <w:tcW w:w="1418" w:type="dxa"/>
            <w:shd w:val="clear" w:color="auto" w:fill="C0C0C0"/>
            <w:vAlign w:val="center"/>
          </w:tcPr>
          <w:p w:rsidR="00A733AF" w:rsidRPr="00422019" w:rsidRDefault="002F5081" w:rsidP="00994067">
            <w:pPr>
              <w:jc w:val="center"/>
              <w:rPr>
                <w:b/>
                <w:bCs/>
                <w:color w:val="000000" w:themeColor="text1"/>
                <w:sz w:val="24"/>
                <w:szCs w:val="24"/>
              </w:rPr>
            </w:pPr>
            <w:r w:rsidRPr="00422019">
              <w:rPr>
                <w:b/>
                <w:bCs/>
                <w:color w:val="000000" w:themeColor="text1"/>
                <w:sz w:val="24"/>
                <w:szCs w:val="24"/>
              </w:rPr>
              <w:t>-</w:t>
            </w:r>
            <w:r w:rsidR="00422019" w:rsidRPr="00422019">
              <w:rPr>
                <w:b/>
                <w:bCs/>
                <w:color w:val="000000" w:themeColor="text1"/>
                <w:sz w:val="24"/>
                <w:szCs w:val="24"/>
              </w:rPr>
              <w:t>2</w:t>
            </w:r>
            <w:r w:rsidR="00AD1D71" w:rsidRPr="00422019">
              <w:rPr>
                <w:b/>
                <w:bCs/>
                <w:color w:val="000000" w:themeColor="text1"/>
                <w:sz w:val="24"/>
                <w:szCs w:val="24"/>
              </w:rPr>
              <w:t xml:space="preserve"> </w:t>
            </w:r>
            <w:r w:rsidR="00994067">
              <w:rPr>
                <w:b/>
                <w:bCs/>
                <w:color w:val="000000" w:themeColor="text1"/>
                <w:sz w:val="24"/>
                <w:szCs w:val="24"/>
              </w:rPr>
              <w:t>4</w:t>
            </w:r>
            <w:r w:rsidR="003F38F4" w:rsidRPr="00422019">
              <w:rPr>
                <w:b/>
                <w:bCs/>
                <w:color w:val="000000" w:themeColor="text1"/>
                <w:sz w:val="24"/>
                <w:szCs w:val="24"/>
              </w:rPr>
              <w:t>00 000</w:t>
            </w:r>
          </w:p>
        </w:tc>
        <w:tc>
          <w:tcPr>
            <w:tcW w:w="1370" w:type="dxa"/>
            <w:shd w:val="clear" w:color="auto" w:fill="C0C0C0"/>
            <w:vAlign w:val="center"/>
          </w:tcPr>
          <w:p w:rsidR="00A733AF" w:rsidRPr="00422019" w:rsidRDefault="002F5081" w:rsidP="00994067">
            <w:pPr>
              <w:jc w:val="center"/>
              <w:rPr>
                <w:b/>
                <w:bCs/>
                <w:color w:val="000000" w:themeColor="text1"/>
                <w:sz w:val="24"/>
                <w:szCs w:val="24"/>
              </w:rPr>
            </w:pPr>
            <w:r w:rsidRPr="00422019">
              <w:rPr>
                <w:b/>
                <w:bCs/>
                <w:color w:val="000000" w:themeColor="text1"/>
                <w:sz w:val="24"/>
                <w:szCs w:val="24"/>
              </w:rPr>
              <w:t>-</w:t>
            </w:r>
            <w:r w:rsidR="00422019" w:rsidRPr="00422019">
              <w:rPr>
                <w:b/>
                <w:bCs/>
                <w:color w:val="000000" w:themeColor="text1"/>
                <w:sz w:val="24"/>
                <w:szCs w:val="24"/>
              </w:rPr>
              <w:t>2</w:t>
            </w:r>
            <w:r w:rsidR="00AD1D71" w:rsidRPr="00422019">
              <w:rPr>
                <w:b/>
                <w:bCs/>
                <w:color w:val="000000" w:themeColor="text1"/>
                <w:sz w:val="24"/>
                <w:szCs w:val="24"/>
              </w:rPr>
              <w:t xml:space="preserve"> </w:t>
            </w:r>
            <w:r w:rsidR="00994067">
              <w:rPr>
                <w:b/>
                <w:bCs/>
                <w:color w:val="000000" w:themeColor="text1"/>
                <w:sz w:val="24"/>
                <w:szCs w:val="24"/>
              </w:rPr>
              <w:t>8</w:t>
            </w:r>
            <w:r w:rsidR="003F38F4" w:rsidRPr="00422019">
              <w:rPr>
                <w:b/>
                <w:bCs/>
                <w:color w:val="000000" w:themeColor="text1"/>
                <w:sz w:val="24"/>
                <w:szCs w:val="24"/>
              </w:rPr>
              <w:t>00 000</w:t>
            </w:r>
          </w:p>
        </w:tc>
      </w:tr>
      <w:tr w:rsidR="00A733AF" w:rsidRPr="00A21C46" w:rsidTr="002F5081">
        <w:trPr>
          <w:trHeight w:val="132"/>
          <w:jc w:val="center"/>
        </w:trPr>
        <w:tc>
          <w:tcPr>
            <w:tcW w:w="4248" w:type="dxa"/>
            <w:noWrap/>
            <w:vAlign w:val="center"/>
          </w:tcPr>
          <w:p w:rsidR="00A733AF" w:rsidRPr="00A21C46" w:rsidRDefault="00A733AF" w:rsidP="00A716FC">
            <w:pPr>
              <w:rPr>
                <w:sz w:val="24"/>
                <w:szCs w:val="24"/>
              </w:rPr>
            </w:pPr>
            <w:r w:rsidRPr="00A21C46">
              <w:rPr>
                <w:sz w:val="24"/>
                <w:szCs w:val="24"/>
              </w:rPr>
              <w:t>v tom: za každý subjekt verejnej správy zvlášť</w:t>
            </w:r>
          </w:p>
        </w:tc>
        <w:tc>
          <w:tcPr>
            <w:tcW w:w="1134" w:type="dxa"/>
            <w:noWrap/>
            <w:vAlign w:val="center"/>
          </w:tcPr>
          <w:p w:rsidR="00A733AF" w:rsidRPr="00A21C46" w:rsidRDefault="00A733AF" w:rsidP="00A716FC">
            <w:pPr>
              <w:jc w:val="right"/>
              <w:rPr>
                <w:sz w:val="24"/>
                <w:szCs w:val="24"/>
              </w:rPr>
            </w:pPr>
            <w:r w:rsidRPr="00A21C46">
              <w:rPr>
                <w:sz w:val="24"/>
                <w:szCs w:val="24"/>
              </w:rPr>
              <w:t>0</w:t>
            </w:r>
          </w:p>
        </w:tc>
        <w:tc>
          <w:tcPr>
            <w:tcW w:w="1559" w:type="dxa"/>
            <w:noWrap/>
            <w:vAlign w:val="center"/>
          </w:tcPr>
          <w:p w:rsidR="00A733AF" w:rsidRPr="00A21C46" w:rsidRDefault="00A733AF" w:rsidP="00A716FC">
            <w:pPr>
              <w:jc w:val="right"/>
              <w:rPr>
                <w:sz w:val="24"/>
                <w:szCs w:val="24"/>
              </w:rPr>
            </w:pPr>
            <w:r w:rsidRPr="00A21C46">
              <w:rPr>
                <w:sz w:val="24"/>
                <w:szCs w:val="24"/>
              </w:rPr>
              <w:t>0</w:t>
            </w:r>
          </w:p>
        </w:tc>
        <w:tc>
          <w:tcPr>
            <w:tcW w:w="1418" w:type="dxa"/>
            <w:noWrap/>
            <w:vAlign w:val="center"/>
          </w:tcPr>
          <w:p w:rsidR="00A733AF" w:rsidRPr="00A21C46" w:rsidRDefault="00A733AF" w:rsidP="00A716FC">
            <w:pPr>
              <w:jc w:val="right"/>
              <w:rPr>
                <w:sz w:val="24"/>
                <w:szCs w:val="24"/>
              </w:rPr>
            </w:pPr>
            <w:r w:rsidRPr="00A21C46">
              <w:rPr>
                <w:sz w:val="24"/>
                <w:szCs w:val="24"/>
              </w:rPr>
              <w:t>0</w:t>
            </w:r>
          </w:p>
        </w:tc>
        <w:tc>
          <w:tcPr>
            <w:tcW w:w="1370" w:type="dxa"/>
            <w:noWrap/>
            <w:vAlign w:val="center"/>
          </w:tcPr>
          <w:p w:rsidR="00A733AF" w:rsidRPr="00A21C46" w:rsidRDefault="00A733AF" w:rsidP="00A716FC">
            <w:pPr>
              <w:jc w:val="right"/>
              <w:rPr>
                <w:sz w:val="24"/>
                <w:szCs w:val="24"/>
              </w:rPr>
            </w:pPr>
            <w:r w:rsidRPr="00A21C46">
              <w:rPr>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xml:space="preserve">z toho:  </w:t>
            </w:r>
          </w:p>
        </w:tc>
        <w:tc>
          <w:tcPr>
            <w:tcW w:w="1134" w:type="dxa"/>
            <w:noWrap/>
            <w:vAlign w:val="center"/>
          </w:tcPr>
          <w:p w:rsidR="00A733AF" w:rsidRPr="00A21C46" w:rsidRDefault="00A733AF" w:rsidP="00A716FC">
            <w:pPr>
              <w:jc w:val="right"/>
              <w:rPr>
                <w:b/>
                <w:bCs/>
                <w:iCs/>
                <w:sz w:val="24"/>
                <w:szCs w:val="24"/>
              </w:rPr>
            </w:pPr>
          </w:p>
        </w:tc>
        <w:tc>
          <w:tcPr>
            <w:tcW w:w="1559" w:type="dxa"/>
            <w:noWrap/>
            <w:vAlign w:val="center"/>
          </w:tcPr>
          <w:p w:rsidR="00A733AF" w:rsidRPr="00A21C46" w:rsidRDefault="00A733AF" w:rsidP="00A716FC">
            <w:pPr>
              <w:jc w:val="right"/>
              <w:rPr>
                <w:b/>
                <w:bCs/>
                <w:iCs/>
                <w:sz w:val="24"/>
                <w:szCs w:val="24"/>
              </w:rPr>
            </w:pPr>
          </w:p>
        </w:tc>
        <w:tc>
          <w:tcPr>
            <w:tcW w:w="1418" w:type="dxa"/>
            <w:noWrap/>
            <w:vAlign w:val="center"/>
          </w:tcPr>
          <w:p w:rsidR="00A733AF" w:rsidRPr="00A21C46" w:rsidRDefault="00A733AF" w:rsidP="00A716FC">
            <w:pPr>
              <w:jc w:val="right"/>
              <w:rPr>
                <w:b/>
                <w:bCs/>
                <w:iCs/>
                <w:sz w:val="24"/>
                <w:szCs w:val="24"/>
              </w:rPr>
            </w:pPr>
          </w:p>
        </w:tc>
        <w:tc>
          <w:tcPr>
            <w:tcW w:w="1370" w:type="dxa"/>
            <w:noWrap/>
            <w:vAlign w:val="center"/>
          </w:tcPr>
          <w:p w:rsidR="00A733AF" w:rsidRPr="00A21C46" w:rsidRDefault="00A733AF" w:rsidP="00A716FC">
            <w:pPr>
              <w:jc w:val="right"/>
              <w:rPr>
                <w:b/>
                <w:bCs/>
                <w:iCs/>
                <w:sz w:val="24"/>
                <w:szCs w:val="24"/>
              </w:rPr>
            </w:pPr>
          </w:p>
        </w:tc>
      </w:tr>
      <w:tr w:rsidR="00A733AF" w:rsidRPr="00A21C46" w:rsidTr="002F5081">
        <w:trPr>
          <w:trHeight w:val="125"/>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ŠR</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ind w:left="259"/>
              <w:rPr>
                <w:b/>
                <w:bCs/>
                <w:i/>
                <w:iCs/>
                <w:sz w:val="24"/>
                <w:szCs w:val="24"/>
              </w:rPr>
            </w:pPr>
            <w:r w:rsidRPr="00A21C46">
              <w:rPr>
                <w:bCs/>
                <w:i/>
                <w:iCs/>
                <w:sz w:val="24"/>
                <w:szCs w:val="24"/>
              </w:rPr>
              <w:t>Rozpočtové prostriedky</w:t>
            </w:r>
          </w:p>
        </w:tc>
        <w:tc>
          <w:tcPr>
            <w:tcW w:w="1134" w:type="dxa"/>
            <w:noWrap/>
            <w:vAlign w:val="center"/>
          </w:tcPr>
          <w:p w:rsidR="00A733AF" w:rsidRPr="00A21C46" w:rsidRDefault="00A733AF" w:rsidP="00A716FC">
            <w:pPr>
              <w:jc w:val="right"/>
              <w:rPr>
                <w:bCs/>
                <w:iCs/>
                <w:sz w:val="24"/>
                <w:szCs w:val="24"/>
              </w:rPr>
            </w:pPr>
            <w:r w:rsidRPr="00A21C46">
              <w:rPr>
                <w:bCs/>
                <w:iCs/>
                <w:sz w:val="24"/>
                <w:szCs w:val="24"/>
              </w:rPr>
              <w:t>0</w:t>
            </w:r>
          </w:p>
        </w:tc>
        <w:tc>
          <w:tcPr>
            <w:tcW w:w="1559" w:type="dxa"/>
            <w:noWrap/>
            <w:vAlign w:val="center"/>
          </w:tcPr>
          <w:p w:rsidR="00A733AF" w:rsidRPr="00A21C46" w:rsidRDefault="00A733AF" w:rsidP="00A716FC">
            <w:pPr>
              <w:jc w:val="right"/>
              <w:rPr>
                <w:bCs/>
                <w:iCs/>
                <w:sz w:val="24"/>
                <w:szCs w:val="24"/>
              </w:rPr>
            </w:pPr>
            <w:r w:rsidRPr="00A21C46">
              <w:rPr>
                <w:bCs/>
                <w:iCs/>
                <w:sz w:val="24"/>
                <w:szCs w:val="24"/>
              </w:rPr>
              <w:t>0</w:t>
            </w:r>
          </w:p>
        </w:tc>
        <w:tc>
          <w:tcPr>
            <w:tcW w:w="1418" w:type="dxa"/>
            <w:noWrap/>
            <w:vAlign w:val="center"/>
          </w:tcPr>
          <w:p w:rsidR="00A733AF" w:rsidRPr="00A21C46" w:rsidRDefault="00A733AF" w:rsidP="00A716FC">
            <w:pPr>
              <w:jc w:val="right"/>
              <w:rPr>
                <w:bCs/>
                <w:iCs/>
                <w:sz w:val="24"/>
                <w:szCs w:val="24"/>
              </w:rPr>
            </w:pPr>
            <w:r w:rsidRPr="00A21C46">
              <w:rPr>
                <w:bCs/>
                <w:iCs/>
                <w:sz w:val="24"/>
                <w:szCs w:val="24"/>
              </w:rPr>
              <w:t>0</w:t>
            </w:r>
          </w:p>
        </w:tc>
        <w:tc>
          <w:tcPr>
            <w:tcW w:w="1370" w:type="dxa"/>
            <w:noWrap/>
            <w:vAlign w:val="center"/>
          </w:tcPr>
          <w:p w:rsidR="00A733AF" w:rsidRPr="00A21C46" w:rsidRDefault="00A733AF" w:rsidP="00A716FC">
            <w:pPr>
              <w:jc w:val="right"/>
              <w:rPr>
                <w:bCs/>
                <w:iCs/>
                <w:sz w:val="24"/>
                <w:szCs w:val="24"/>
              </w:rPr>
            </w:pPr>
            <w:r w:rsidRPr="00A21C46">
              <w:rPr>
                <w:bCs/>
                <w:iCs/>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ind w:left="259"/>
              <w:rPr>
                <w:bCs/>
                <w:i/>
                <w:iCs/>
                <w:sz w:val="24"/>
                <w:szCs w:val="24"/>
              </w:rPr>
            </w:pPr>
            <w:r w:rsidRPr="00A21C46">
              <w:rPr>
                <w:bCs/>
                <w:i/>
                <w:iCs/>
                <w:sz w:val="24"/>
                <w:szCs w:val="24"/>
              </w:rPr>
              <w:t>EÚ zdroje</w:t>
            </w:r>
          </w:p>
        </w:tc>
        <w:tc>
          <w:tcPr>
            <w:tcW w:w="1134" w:type="dxa"/>
            <w:noWrap/>
            <w:vAlign w:val="center"/>
          </w:tcPr>
          <w:p w:rsidR="00A733AF" w:rsidRPr="00A21C46" w:rsidRDefault="00A733AF" w:rsidP="00A716FC">
            <w:pPr>
              <w:jc w:val="right"/>
              <w:rPr>
                <w:sz w:val="24"/>
                <w:szCs w:val="24"/>
              </w:rPr>
            </w:pPr>
            <w:r w:rsidRPr="00A21C46">
              <w:rPr>
                <w:sz w:val="24"/>
                <w:szCs w:val="24"/>
              </w:rPr>
              <w:t>0</w:t>
            </w:r>
          </w:p>
        </w:tc>
        <w:tc>
          <w:tcPr>
            <w:tcW w:w="1559" w:type="dxa"/>
            <w:noWrap/>
            <w:vAlign w:val="center"/>
          </w:tcPr>
          <w:p w:rsidR="00A733AF" w:rsidRPr="00A21C46" w:rsidRDefault="00A733AF" w:rsidP="00A716FC">
            <w:pPr>
              <w:jc w:val="right"/>
              <w:rPr>
                <w:sz w:val="24"/>
                <w:szCs w:val="24"/>
              </w:rPr>
            </w:pPr>
            <w:r w:rsidRPr="00A21C46">
              <w:rPr>
                <w:sz w:val="24"/>
                <w:szCs w:val="24"/>
              </w:rPr>
              <w:t>0</w:t>
            </w:r>
          </w:p>
        </w:tc>
        <w:tc>
          <w:tcPr>
            <w:tcW w:w="1418" w:type="dxa"/>
            <w:noWrap/>
            <w:vAlign w:val="center"/>
          </w:tcPr>
          <w:p w:rsidR="00A733AF" w:rsidRPr="00A21C46" w:rsidRDefault="00A733AF" w:rsidP="00A716FC">
            <w:pPr>
              <w:jc w:val="right"/>
              <w:rPr>
                <w:sz w:val="24"/>
                <w:szCs w:val="24"/>
              </w:rPr>
            </w:pPr>
            <w:r w:rsidRPr="00A21C46">
              <w:rPr>
                <w:sz w:val="24"/>
                <w:szCs w:val="24"/>
              </w:rPr>
              <w:t>0</w:t>
            </w:r>
          </w:p>
        </w:tc>
        <w:tc>
          <w:tcPr>
            <w:tcW w:w="1370" w:type="dxa"/>
            <w:noWrap/>
            <w:vAlign w:val="center"/>
          </w:tcPr>
          <w:p w:rsidR="00A733AF" w:rsidRPr="00A21C46" w:rsidRDefault="00A733AF" w:rsidP="00A716FC">
            <w:pPr>
              <w:jc w:val="right"/>
              <w:rPr>
                <w:sz w:val="24"/>
                <w:szCs w:val="24"/>
              </w:rPr>
            </w:pPr>
            <w:r w:rsidRPr="00A21C46">
              <w:rPr>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obce</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vyššie územné celky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ostatné subjekty verejnej správy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125"/>
          <w:jc w:val="center"/>
        </w:trPr>
        <w:tc>
          <w:tcPr>
            <w:tcW w:w="4248" w:type="dxa"/>
            <w:shd w:val="clear" w:color="auto" w:fill="C0C0C0"/>
            <w:noWrap/>
            <w:vAlign w:val="center"/>
          </w:tcPr>
          <w:p w:rsidR="00A733AF" w:rsidRPr="00A21C46" w:rsidRDefault="00A733AF" w:rsidP="00A716FC">
            <w:pPr>
              <w:rPr>
                <w:b/>
                <w:bCs/>
                <w:sz w:val="24"/>
                <w:szCs w:val="24"/>
              </w:rPr>
            </w:pPr>
            <w:r w:rsidRPr="00A21C46">
              <w:rPr>
                <w:b/>
                <w:bCs/>
                <w:sz w:val="24"/>
                <w:szCs w:val="24"/>
              </w:rPr>
              <w:t>Výdavky verejnej správy celkom</w:t>
            </w:r>
          </w:p>
        </w:tc>
        <w:tc>
          <w:tcPr>
            <w:tcW w:w="1134" w:type="dxa"/>
            <w:shd w:val="clear" w:color="auto" w:fill="C0C0C0"/>
            <w:noWrap/>
            <w:vAlign w:val="center"/>
          </w:tcPr>
          <w:p w:rsidR="00A733AF" w:rsidRPr="00422019" w:rsidRDefault="003F38F4" w:rsidP="002255B0">
            <w:pPr>
              <w:jc w:val="right"/>
              <w:rPr>
                <w:b/>
                <w:bCs/>
                <w:color w:val="000000" w:themeColor="text1"/>
                <w:sz w:val="24"/>
                <w:szCs w:val="24"/>
              </w:rPr>
            </w:pPr>
            <w:r w:rsidRPr="00422019">
              <w:rPr>
                <w:b/>
                <w:bCs/>
                <w:iCs/>
                <w:color w:val="000000" w:themeColor="text1"/>
                <w:sz w:val="24"/>
                <w:szCs w:val="24"/>
              </w:rPr>
              <w:t>5</w:t>
            </w:r>
            <w:r w:rsidR="002255B0" w:rsidRPr="00422019">
              <w:rPr>
                <w:b/>
                <w:bCs/>
                <w:iCs/>
                <w:color w:val="000000" w:themeColor="text1"/>
                <w:sz w:val="24"/>
                <w:szCs w:val="24"/>
              </w:rPr>
              <w:t xml:space="preserve">41 </w:t>
            </w:r>
            <w:r w:rsidR="00A733AF" w:rsidRPr="00422019">
              <w:rPr>
                <w:b/>
                <w:bCs/>
                <w:iCs/>
                <w:color w:val="000000" w:themeColor="text1"/>
                <w:sz w:val="24"/>
                <w:szCs w:val="24"/>
              </w:rPr>
              <w:t>300</w:t>
            </w:r>
          </w:p>
        </w:tc>
        <w:tc>
          <w:tcPr>
            <w:tcW w:w="1559" w:type="dxa"/>
            <w:shd w:val="clear" w:color="auto" w:fill="C0C0C0"/>
            <w:noWrap/>
            <w:vAlign w:val="center"/>
          </w:tcPr>
          <w:p w:rsidR="00A733AF" w:rsidRPr="00A21C46" w:rsidRDefault="00A733AF" w:rsidP="00A716FC">
            <w:pPr>
              <w:jc w:val="right"/>
              <w:rPr>
                <w:b/>
                <w:bCs/>
                <w:sz w:val="24"/>
                <w:szCs w:val="24"/>
              </w:rPr>
            </w:pPr>
            <w:r w:rsidRPr="00A21C46">
              <w:rPr>
                <w:b/>
                <w:bCs/>
                <w:sz w:val="24"/>
                <w:szCs w:val="24"/>
              </w:rPr>
              <w:t>0</w:t>
            </w:r>
          </w:p>
        </w:tc>
        <w:tc>
          <w:tcPr>
            <w:tcW w:w="1418" w:type="dxa"/>
            <w:shd w:val="clear" w:color="auto" w:fill="C0C0C0"/>
            <w:noWrap/>
            <w:vAlign w:val="center"/>
          </w:tcPr>
          <w:p w:rsidR="00A733AF" w:rsidRPr="00A21C46" w:rsidRDefault="00A733AF" w:rsidP="00A716FC">
            <w:pPr>
              <w:jc w:val="right"/>
              <w:rPr>
                <w:b/>
                <w:bCs/>
                <w:sz w:val="24"/>
                <w:szCs w:val="24"/>
              </w:rPr>
            </w:pPr>
            <w:r w:rsidRPr="00A21C46">
              <w:rPr>
                <w:b/>
                <w:bCs/>
                <w:sz w:val="24"/>
                <w:szCs w:val="24"/>
              </w:rPr>
              <w:t>0</w:t>
            </w:r>
          </w:p>
        </w:tc>
        <w:tc>
          <w:tcPr>
            <w:tcW w:w="1370" w:type="dxa"/>
            <w:shd w:val="clear" w:color="auto" w:fill="C0C0C0"/>
            <w:noWrap/>
            <w:vAlign w:val="center"/>
          </w:tcPr>
          <w:p w:rsidR="00A733AF" w:rsidRPr="00A21C46" w:rsidRDefault="00A733AF" w:rsidP="00A716FC">
            <w:pPr>
              <w:jc w:val="right"/>
              <w:rPr>
                <w:b/>
                <w:bCs/>
                <w:sz w:val="24"/>
                <w:szCs w:val="24"/>
              </w:rPr>
            </w:pPr>
            <w:r w:rsidRPr="00A21C46">
              <w:rPr>
                <w:b/>
                <w:bCs/>
                <w:sz w:val="24"/>
                <w:szCs w:val="24"/>
              </w:rPr>
              <w:t xml:space="preserve">0   </w:t>
            </w:r>
          </w:p>
        </w:tc>
      </w:tr>
      <w:tr w:rsidR="00A733AF" w:rsidRPr="00A21C46" w:rsidTr="002F5081">
        <w:trPr>
          <w:trHeight w:val="70"/>
          <w:jc w:val="center"/>
        </w:trPr>
        <w:tc>
          <w:tcPr>
            <w:tcW w:w="4248" w:type="dxa"/>
            <w:noWrap/>
            <w:vAlign w:val="center"/>
          </w:tcPr>
          <w:p w:rsidR="00A733AF" w:rsidRPr="00A21C46" w:rsidRDefault="00A733AF" w:rsidP="00A716FC">
            <w:pPr>
              <w:rPr>
                <w:sz w:val="24"/>
                <w:szCs w:val="24"/>
              </w:rPr>
            </w:pPr>
            <w:r w:rsidRPr="00A21C46">
              <w:rPr>
                <w:sz w:val="24"/>
                <w:szCs w:val="24"/>
              </w:rPr>
              <w:t>v tom: MFSR - RP 718006, prvok 0EK0D02</w:t>
            </w:r>
          </w:p>
        </w:tc>
        <w:tc>
          <w:tcPr>
            <w:tcW w:w="1134" w:type="dxa"/>
            <w:noWrap/>
            <w:vAlign w:val="center"/>
          </w:tcPr>
          <w:p w:rsidR="00A733AF" w:rsidRPr="00422019" w:rsidRDefault="003F38F4" w:rsidP="002255B0">
            <w:pPr>
              <w:jc w:val="right"/>
              <w:rPr>
                <w:color w:val="000000" w:themeColor="text1"/>
                <w:sz w:val="24"/>
                <w:szCs w:val="24"/>
              </w:rPr>
            </w:pPr>
            <w:r w:rsidRPr="00422019">
              <w:rPr>
                <w:bCs/>
                <w:iCs/>
                <w:color w:val="000000" w:themeColor="text1"/>
                <w:sz w:val="24"/>
                <w:szCs w:val="24"/>
              </w:rPr>
              <w:t>4</w:t>
            </w:r>
            <w:r w:rsidR="001A237B" w:rsidRPr="00422019">
              <w:rPr>
                <w:bCs/>
                <w:iCs/>
                <w:color w:val="000000" w:themeColor="text1"/>
                <w:sz w:val="24"/>
                <w:szCs w:val="24"/>
              </w:rPr>
              <w:t>21 0</w:t>
            </w:r>
            <w:r w:rsidR="002255B0" w:rsidRPr="00422019">
              <w:rPr>
                <w:bCs/>
                <w:iCs/>
                <w:color w:val="000000" w:themeColor="text1"/>
                <w:sz w:val="24"/>
                <w:szCs w:val="24"/>
              </w:rPr>
              <w:t>00</w:t>
            </w:r>
          </w:p>
        </w:tc>
        <w:tc>
          <w:tcPr>
            <w:tcW w:w="1559" w:type="dxa"/>
            <w:noWrap/>
            <w:vAlign w:val="center"/>
          </w:tcPr>
          <w:p w:rsidR="00A733AF" w:rsidRPr="00A21C46" w:rsidRDefault="00A733AF" w:rsidP="00A716FC">
            <w:pPr>
              <w:jc w:val="right"/>
              <w:rPr>
                <w:sz w:val="24"/>
                <w:szCs w:val="24"/>
              </w:rPr>
            </w:pPr>
            <w:r w:rsidRPr="00A21C46">
              <w:rPr>
                <w:sz w:val="24"/>
                <w:szCs w:val="24"/>
              </w:rPr>
              <w:t>0</w:t>
            </w:r>
          </w:p>
        </w:tc>
        <w:tc>
          <w:tcPr>
            <w:tcW w:w="1418" w:type="dxa"/>
            <w:noWrap/>
            <w:vAlign w:val="center"/>
          </w:tcPr>
          <w:p w:rsidR="00A733AF" w:rsidRPr="00A21C46" w:rsidRDefault="00A733AF" w:rsidP="00A716FC">
            <w:pPr>
              <w:jc w:val="right"/>
              <w:rPr>
                <w:sz w:val="24"/>
                <w:szCs w:val="24"/>
              </w:rPr>
            </w:pPr>
            <w:r w:rsidRPr="00A21C46">
              <w:rPr>
                <w:sz w:val="24"/>
                <w:szCs w:val="24"/>
              </w:rPr>
              <w:t>0</w:t>
            </w:r>
          </w:p>
        </w:tc>
        <w:tc>
          <w:tcPr>
            <w:tcW w:w="1370" w:type="dxa"/>
            <w:noWrap/>
            <w:vAlign w:val="center"/>
          </w:tcPr>
          <w:p w:rsidR="00A733AF" w:rsidRPr="00A21C46" w:rsidRDefault="00A733AF" w:rsidP="00A716FC">
            <w:pPr>
              <w:jc w:val="right"/>
              <w:rPr>
                <w:sz w:val="24"/>
                <w:szCs w:val="24"/>
              </w:rPr>
            </w:pPr>
            <w:r w:rsidRPr="00A21C46">
              <w:rPr>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Cs/>
                <w:iCs/>
                <w:sz w:val="24"/>
                <w:szCs w:val="24"/>
              </w:rPr>
            </w:pPr>
            <w:r w:rsidRPr="00A21C46">
              <w:rPr>
                <w:b/>
                <w:bCs/>
                <w:i/>
                <w:iCs/>
                <w:sz w:val="24"/>
                <w:szCs w:val="24"/>
              </w:rPr>
              <w:t xml:space="preserve">          </w:t>
            </w:r>
            <w:r w:rsidRPr="00A21C46">
              <w:rPr>
                <w:bCs/>
                <w:iCs/>
                <w:sz w:val="24"/>
                <w:szCs w:val="24"/>
              </w:rPr>
              <w:t xml:space="preserve"> MFSR - RP 718006, prvok 0EK0D0G </w:t>
            </w:r>
          </w:p>
        </w:tc>
        <w:tc>
          <w:tcPr>
            <w:tcW w:w="1134" w:type="dxa"/>
            <w:noWrap/>
            <w:vAlign w:val="center"/>
          </w:tcPr>
          <w:p w:rsidR="00A733AF" w:rsidRPr="00422019" w:rsidRDefault="00A733AF" w:rsidP="00A716FC">
            <w:pPr>
              <w:jc w:val="right"/>
              <w:rPr>
                <w:bCs/>
                <w:iCs/>
                <w:color w:val="000000" w:themeColor="text1"/>
                <w:sz w:val="24"/>
                <w:szCs w:val="24"/>
              </w:rPr>
            </w:pPr>
            <w:r w:rsidRPr="00422019">
              <w:rPr>
                <w:bCs/>
                <w:iCs/>
                <w:color w:val="000000" w:themeColor="text1"/>
                <w:sz w:val="24"/>
                <w:szCs w:val="24"/>
              </w:rPr>
              <w:t>120 300</w:t>
            </w:r>
          </w:p>
        </w:tc>
        <w:tc>
          <w:tcPr>
            <w:tcW w:w="1559" w:type="dxa"/>
            <w:noWrap/>
            <w:vAlign w:val="center"/>
          </w:tcPr>
          <w:p w:rsidR="00A733AF" w:rsidRPr="00A21C46" w:rsidRDefault="00A733AF" w:rsidP="00A716FC">
            <w:pPr>
              <w:jc w:val="right"/>
              <w:rPr>
                <w:b/>
                <w:bCs/>
                <w:iCs/>
                <w:sz w:val="24"/>
                <w:szCs w:val="24"/>
              </w:rPr>
            </w:pPr>
          </w:p>
        </w:tc>
        <w:tc>
          <w:tcPr>
            <w:tcW w:w="1418" w:type="dxa"/>
            <w:noWrap/>
            <w:vAlign w:val="center"/>
          </w:tcPr>
          <w:p w:rsidR="00A733AF" w:rsidRPr="00A21C46" w:rsidRDefault="00A733AF" w:rsidP="00A716FC">
            <w:pPr>
              <w:jc w:val="right"/>
              <w:rPr>
                <w:b/>
                <w:bCs/>
                <w:iCs/>
                <w:sz w:val="24"/>
                <w:szCs w:val="24"/>
              </w:rPr>
            </w:pPr>
          </w:p>
        </w:tc>
        <w:tc>
          <w:tcPr>
            <w:tcW w:w="1370" w:type="dxa"/>
            <w:noWrap/>
            <w:vAlign w:val="center"/>
          </w:tcPr>
          <w:p w:rsidR="00A733AF" w:rsidRPr="00A21C46" w:rsidRDefault="00A733AF" w:rsidP="00A716FC">
            <w:pPr>
              <w:jc w:val="right"/>
              <w:rPr>
                <w:b/>
                <w:bCs/>
                <w:iCs/>
                <w:sz w:val="24"/>
                <w:szCs w:val="24"/>
              </w:rPr>
            </w:pP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xml:space="preserve">z toho: </w:t>
            </w:r>
          </w:p>
        </w:tc>
        <w:tc>
          <w:tcPr>
            <w:tcW w:w="1134" w:type="dxa"/>
            <w:noWrap/>
            <w:vAlign w:val="center"/>
          </w:tcPr>
          <w:p w:rsidR="00A733AF" w:rsidRPr="00422019" w:rsidRDefault="00A733AF" w:rsidP="00A716FC">
            <w:pPr>
              <w:jc w:val="right"/>
              <w:rPr>
                <w:b/>
                <w:bCs/>
                <w:iCs/>
                <w:color w:val="000000" w:themeColor="text1"/>
                <w:sz w:val="24"/>
                <w:szCs w:val="24"/>
              </w:rPr>
            </w:pPr>
          </w:p>
        </w:tc>
        <w:tc>
          <w:tcPr>
            <w:tcW w:w="1559" w:type="dxa"/>
            <w:noWrap/>
            <w:vAlign w:val="center"/>
          </w:tcPr>
          <w:p w:rsidR="00A733AF" w:rsidRPr="00A21C46" w:rsidRDefault="00A733AF" w:rsidP="00A716FC">
            <w:pPr>
              <w:jc w:val="right"/>
              <w:rPr>
                <w:b/>
                <w:bCs/>
                <w:iCs/>
                <w:sz w:val="24"/>
                <w:szCs w:val="24"/>
              </w:rPr>
            </w:pPr>
          </w:p>
        </w:tc>
        <w:tc>
          <w:tcPr>
            <w:tcW w:w="1418" w:type="dxa"/>
            <w:noWrap/>
            <w:vAlign w:val="center"/>
          </w:tcPr>
          <w:p w:rsidR="00A733AF" w:rsidRPr="00A21C46" w:rsidRDefault="00A733AF" w:rsidP="00A716FC">
            <w:pPr>
              <w:jc w:val="right"/>
              <w:rPr>
                <w:b/>
                <w:bCs/>
                <w:iCs/>
                <w:sz w:val="24"/>
                <w:szCs w:val="24"/>
              </w:rPr>
            </w:pPr>
          </w:p>
        </w:tc>
        <w:tc>
          <w:tcPr>
            <w:tcW w:w="1370" w:type="dxa"/>
            <w:noWrap/>
            <w:vAlign w:val="center"/>
          </w:tcPr>
          <w:p w:rsidR="00A733AF" w:rsidRPr="00A21C46" w:rsidRDefault="00A733AF" w:rsidP="00A716FC">
            <w:pPr>
              <w:jc w:val="right"/>
              <w:rPr>
                <w:b/>
                <w:bCs/>
                <w:iCs/>
                <w:sz w:val="24"/>
                <w:szCs w:val="24"/>
              </w:rPr>
            </w:pP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ŠR</w:t>
            </w:r>
          </w:p>
        </w:tc>
        <w:tc>
          <w:tcPr>
            <w:tcW w:w="1134" w:type="dxa"/>
            <w:noWrap/>
            <w:vAlign w:val="center"/>
          </w:tcPr>
          <w:p w:rsidR="00A733AF" w:rsidRPr="00422019" w:rsidRDefault="003F38F4" w:rsidP="002255B0">
            <w:pPr>
              <w:jc w:val="right"/>
              <w:rPr>
                <w:b/>
                <w:bCs/>
                <w:iCs/>
                <w:color w:val="000000" w:themeColor="text1"/>
                <w:sz w:val="24"/>
                <w:szCs w:val="24"/>
              </w:rPr>
            </w:pPr>
            <w:r w:rsidRPr="00422019">
              <w:rPr>
                <w:b/>
                <w:bCs/>
                <w:iCs/>
                <w:color w:val="000000" w:themeColor="text1"/>
                <w:sz w:val="24"/>
                <w:szCs w:val="24"/>
              </w:rPr>
              <w:t>5</w:t>
            </w:r>
            <w:r w:rsidR="002255B0" w:rsidRPr="00422019">
              <w:rPr>
                <w:b/>
                <w:bCs/>
                <w:iCs/>
                <w:color w:val="000000" w:themeColor="text1"/>
                <w:sz w:val="24"/>
                <w:szCs w:val="24"/>
              </w:rPr>
              <w:t>41</w:t>
            </w:r>
            <w:r w:rsidR="00A733AF" w:rsidRPr="00422019">
              <w:rPr>
                <w:b/>
                <w:bCs/>
                <w:iCs/>
                <w:color w:val="000000" w:themeColor="text1"/>
                <w:sz w:val="24"/>
                <w:szCs w:val="24"/>
              </w:rPr>
              <w:t xml:space="preserve"> 300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ind w:left="259"/>
              <w:rPr>
                <w:b/>
                <w:bCs/>
                <w:i/>
                <w:iCs/>
                <w:sz w:val="24"/>
                <w:szCs w:val="24"/>
              </w:rPr>
            </w:pPr>
            <w:r w:rsidRPr="00A21C46">
              <w:rPr>
                <w:bCs/>
                <w:i/>
                <w:iCs/>
                <w:sz w:val="24"/>
                <w:szCs w:val="24"/>
              </w:rPr>
              <w:t>Rozpočtové prostriedky</w:t>
            </w:r>
          </w:p>
        </w:tc>
        <w:tc>
          <w:tcPr>
            <w:tcW w:w="1134" w:type="dxa"/>
            <w:noWrap/>
            <w:vAlign w:val="center"/>
          </w:tcPr>
          <w:p w:rsidR="00A733AF" w:rsidRPr="00422019" w:rsidRDefault="003F38F4" w:rsidP="002255B0">
            <w:pPr>
              <w:jc w:val="right"/>
              <w:rPr>
                <w:bCs/>
                <w:iCs/>
                <w:color w:val="000000" w:themeColor="text1"/>
                <w:sz w:val="24"/>
                <w:szCs w:val="24"/>
              </w:rPr>
            </w:pPr>
            <w:r w:rsidRPr="00422019">
              <w:rPr>
                <w:bCs/>
                <w:iCs/>
                <w:color w:val="000000" w:themeColor="text1"/>
                <w:sz w:val="24"/>
                <w:szCs w:val="24"/>
              </w:rPr>
              <w:t>5</w:t>
            </w:r>
            <w:r w:rsidR="002255B0" w:rsidRPr="00422019">
              <w:rPr>
                <w:bCs/>
                <w:iCs/>
                <w:color w:val="000000" w:themeColor="text1"/>
                <w:sz w:val="24"/>
                <w:szCs w:val="24"/>
              </w:rPr>
              <w:t>41</w:t>
            </w:r>
            <w:r w:rsidR="00A733AF" w:rsidRPr="00422019">
              <w:rPr>
                <w:bCs/>
                <w:iCs/>
                <w:color w:val="000000" w:themeColor="text1"/>
                <w:sz w:val="24"/>
                <w:szCs w:val="24"/>
              </w:rPr>
              <w:t xml:space="preserve"> 300</w:t>
            </w:r>
          </w:p>
        </w:tc>
        <w:tc>
          <w:tcPr>
            <w:tcW w:w="1559" w:type="dxa"/>
            <w:noWrap/>
            <w:vAlign w:val="center"/>
          </w:tcPr>
          <w:p w:rsidR="00A733AF" w:rsidRPr="00A21C46" w:rsidRDefault="00A733AF" w:rsidP="00A716FC">
            <w:pPr>
              <w:jc w:val="right"/>
              <w:rPr>
                <w:bCs/>
                <w:iCs/>
                <w:sz w:val="24"/>
                <w:szCs w:val="24"/>
              </w:rPr>
            </w:pPr>
            <w:r w:rsidRPr="00A21C46">
              <w:rPr>
                <w:bCs/>
                <w:iCs/>
                <w:sz w:val="24"/>
                <w:szCs w:val="24"/>
              </w:rPr>
              <w:t>0</w:t>
            </w:r>
          </w:p>
        </w:tc>
        <w:tc>
          <w:tcPr>
            <w:tcW w:w="1418" w:type="dxa"/>
            <w:noWrap/>
            <w:vAlign w:val="center"/>
          </w:tcPr>
          <w:p w:rsidR="00A733AF" w:rsidRPr="00A21C46" w:rsidRDefault="00A733AF" w:rsidP="00A716FC">
            <w:pPr>
              <w:jc w:val="right"/>
              <w:rPr>
                <w:bCs/>
                <w:iCs/>
                <w:sz w:val="24"/>
                <w:szCs w:val="24"/>
              </w:rPr>
            </w:pPr>
            <w:r w:rsidRPr="00A21C46">
              <w:rPr>
                <w:bCs/>
                <w:iCs/>
                <w:sz w:val="24"/>
                <w:szCs w:val="24"/>
              </w:rPr>
              <w:t>0</w:t>
            </w:r>
          </w:p>
        </w:tc>
        <w:tc>
          <w:tcPr>
            <w:tcW w:w="1370" w:type="dxa"/>
            <w:noWrap/>
            <w:vAlign w:val="center"/>
          </w:tcPr>
          <w:p w:rsidR="00A733AF" w:rsidRPr="00A21C46" w:rsidRDefault="00A733AF" w:rsidP="00A716FC">
            <w:pPr>
              <w:jc w:val="right"/>
              <w:rPr>
                <w:bCs/>
                <w:iCs/>
                <w:sz w:val="24"/>
                <w:szCs w:val="24"/>
              </w:rPr>
            </w:pPr>
            <w:r w:rsidRPr="00A21C46">
              <w:rPr>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Cs/>
                <w:i/>
                <w:iCs/>
                <w:sz w:val="24"/>
                <w:szCs w:val="24"/>
              </w:rPr>
            </w:pPr>
            <w:r w:rsidRPr="00A21C46">
              <w:rPr>
                <w:bCs/>
                <w:i/>
                <w:iCs/>
                <w:sz w:val="24"/>
                <w:szCs w:val="24"/>
              </w:rPr>
              <w:t xml:space="preserve">    EÚ zdroje</w:t>
            </w:r>
          </w:p>
        </w:tc>
        <w:tc>
          <w:tcPr>
            <w:tcW w:w="1134" w:type="dxa"/>
            <w:noWrap/>
            <w:vAlign w:val="center"/>
          </w:tcPr>
          <w:p w:rsidR="00A733AF" w:rsidRPr="00A21C46" w:rsidRDefault="00A733AF" w:rsidP="00A716FC">
            <w:pPr>
              <w:jc w:val="right"/>
              <w:rPr>
                <w:sz w:val="24"/>
                <w:szCs w:val="24"/>
              </w:rPr>
            </w:pPr>
            <w:r w:rsidRPr="00A21C46">
              <w:rPr>
                <w:sz w:val="24"/>
                <w:szCs w:val="24"/>
              </w:rPr>
              <w:t>0</w:t>
            </w:r>
          </w:p>
        </w:tc>
        <w:tc>
          <w:tcPr>
            <w:tcW w:w="1559" w:type="dxa"/>
            <w:noWrap/>
            <w:vAlign w:val="center"/>
          </w:tcPr>
          <w:p w:rsidR="00A733AF" w:rsidRPr="00A21C46" w:rsidRDefault="00A733AF" w:rsidP="00A716FC">
            <w:pPr>
              <w:jc w:val="right"/>
              <w:rPr>
                <w:sz w:val="24"/>
                <w:szCs w:val="24"/>
              </w:rPr>
            </w:pPr>
            <w:r w:rsidRPr="00A21C46">
              <w:rPr>
                <w:sz w:val="24"/>
                <w:szCs w:val="24"/>
              </w:rPr>
              <w:t>0</w:t>
            </w:r>
          </w:p>
        </w:tc>
        <w:tc>
          <w:tcPr>
            <w:tcW w:w="1418" w:type="dxa"/>
            <w:noWrap/>
            <w:vAlign w:val="center"/>
          </w:tcPr>
          <w:p w:rsidR="00A733AF" w:rsidRPr="00A21C46" w:rsidRDefault="00A733AF" w:rsidP="00A716FC">
            <w:pPr>
              <w:jc w:val="right"/>
              <w:rPr>
                <w:sz w:val="24"/>
                <w:szCs w:val="24"/>
              </w:rPr>
            </w:pPr>
            <w:r w:rsidRPr="00A21C46">
              <w:rPr>
                <w:sz w:val="24"/>
                <w:szCs w:val="24"/>
              </w:rPr>
              <w:t>0</w:t>
            </w:r>
          </w:p>
        </w:tc>
        <w:tc>
          <w:tcPr>
            <w:tcW w:w="1370" w:type="dxa"/>
            <w:noWrap/>
            <w:vAlign w:val="center"/>
          </w:tcPr>
          <w:p w:rsidR="00A733AF" w:rsidRPr="00A21C46" w:rsidRDefault="00A733AF" w:rsidP="00A716FC">
            <w:pPr>
              <w:jc w:val="right"/>
              <w:rPr>
                <w:sz w:val="24"/>
                <w:szCs w:val="24"/>
              </w:rPr>
            </w:pPr>
            <w:r w:rsidRPr="00A21C46">
              <w:rPr>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Cs/>
                <w:i/>
                <w:iCs/>
                <w:sz w:val="24"/>
                <w:szCs w:val="24"/>
              </w:rPr>
            </w:pPr>
            <w:r w:rsidRPr="00A21C46">
              <w:rPr>
                <w:bCs/>
                <w:i/>
                <w:iCs/>
                <w:sz w:val="24"/>
                <w:szCs w:val="24"/>
              </w:rPr>
              <w:t xml:space="preserve">    spolufinancovanie</w:t>
            </w:r>
          </w:p>
        </w:tc>
        <w:tc>
          <w:tcPr>
            <w:tcW w:w="1134" w:type="dxa"/>
            <w:noWrap/>
            <w:vAlign w:val="center"/>
          </w:tcPr>
          <w:p w:rsidR="00A733AF" w:rsidRPr="00A21C46" w:rsidRDefault="00A733AF" w:rsidP="00A716FC">
            <w:pPr>
              <w:jc w:val="right"/>
              <w:rPr>
                <w:sz w:val="24"/>
                <w:szCs w:val="24"/>
              </w:rPr>
            </w:pPr>
            <w:r w:rsidRPr="00A21C46">
              <w:rPr>
                <w:sz w:val="24"/>
                <w:szCs w:val="24"/>
              </w:rPr>
              <w:t>0</w:t>
            </w:r>
          </w:p>
        </w:tc>
        <w:tc>
          <w:tcPr>
            <w:tcW w:w="1559" w:type="dxa"/>
            <w:noWrap/>
            <w:vAlign w:val="center"/>
          </w:tcPr>
          <w:p w:rsidR="00A733AF" w:rsidRPr="00A21C46" w:rsidRDefault="00A733AF" w:rsidP="00A716FC">
            <w:pPr>
              <w:jc w:val="right"/>
              <w:rPr>
                <w:sz w:val="24"/>
                <w:szCs w:val="24"/>
              </w:rPr>
            </w:pPr>
            <w:r w:rsidRPr="00A21C46">
              <w:rPr>
                <w:sz w:val="24"/>
                <w:szCs w:val="24"/>
              </w:rPr>
              <w:t>0</w:t>
            </w:r>
          </w:p>
        </w:tc>
        <w:tc>
          <w:tcPr>
            <w:tcW w:w="1418" w:type="dxa"/>
            <w:noWrap/>
            <w:vAlign w:val="center"/>
          </w:tcPr>
          <w:p w:rsidR="00A733AF" w:rsidRPr="00A21C46" w:rsidRDefault="00A733AF" w:rsidP="00A716FC">
            <w:pPr>
              <w:jc w:val="right"/>
              <w:rPr>
                <w:sz w:val="24"/>
                <w:szCs w:val="24"/>
              </w:rPr>
            </w:pPr>
            <w:r w:rsidRPr="00A21C46">
              <w:rPr>
                <w:sz w:val="24"/>
                <w:szCs w:val="24"/>
              </w:rPr>
              <w:t>0</w:t>
            </w:r>
          </w:p>
        </w:tc>
        <w:tc>
          <w:tcPr>
            <w:tcW w:w="1370" w:type="dxa"/>
            <w:noWrap/>
            <w:vAlign w:val="center"/>
          </w:tcPr>
          <w:p w:rsidR="00A733AF" w:rsidRPr="00A21C46" w:rsidRDefault="00A733AF" w:rsidP="00A716FC">
            <w:pPr>
              <w:jc w:val="right"/>
              <w:rPr>
                <w:sz w:val="24"/>
                <w:szCs w:val="24"/>
              </w:rPr>
            </w:pPr>
            <w:r w:rsidRPr="00A21C46">
              <w:rPr>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obce</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125"/>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vyššie územné celky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sz w:val="24"/>
                <w:szCs w:val="24"/>
              </w:rPr>
            </w:pPr>
            <w:r w:rsidRPr="00A21C46">
              <w:rPr>
                <w:b/>
                <w:bCs/>
                <w:i/>
                <w:iCs/>
                <w:sz w:val="24"/>
                <w:szCs w:val="24"/>
              </w:rPr>
              <w:t>- vplyv na ostatné subjekty verejnej správy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shd w:val="clear" w:color="auto" w:fill="BFBFBF" w:themeFill="background1" w:themeFillShade="BF"/>
            <w:noWrap/>
            <w:vAlign w:val="center"/>
          </w:tcPr>
          <w:p w:rsidR="00A733AF" w:rsidRPr="00A21C46" w:rsidRDefault="00A733AF" w:rsidP="00A716FC">
            <w:pPr>
              <w:rPr>
                <w:b/>
                <w:bCs/>
                <w:sz w:val="24"/>
                <w:szCs w:val="24"/>
              </w:rPr>
            </w:pPr>
            <w:r w:rsidRPr="00A21C46">
              <w:rPr>
                <w:b/>
                <w:bCs/>
                <w:sz w:val="24"/>
                <w:szCs w:val="24"/>
              </w:rPr>
              <w:t xml:space="preserve">Vplyv na počet zamestnancov </w:t>
            </w:r>
          </w:p>
        </w:tc>
        <w:tc>
          <w:tcPr>
            <w:tcW w:w="1134"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c>
          <w:tcPr>
            <w:tcW w:w="1559"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c>
          <w:tcPr>
            <w:tcW w:w="1418"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c>
          <w:tcPr>
            <w:tcW w:w="1370"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ŠR</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obce</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vyššie územné celky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ostatné subjekty verejnej správy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shd w:val="clear" w:color="auto" w:fill="BFBFBF" w:themeFill="background1" w:themeFillShade="BF"/>
            <w:noWrap/>
            <w:vAlign w:val="center"/>
          </w:tcPr>
          <w:p w:rsidR="00A733AF" w:rsidRPr="00A21C46" w:rsidRDefault="00A733AF" w:rsidP="00A716FC">
            <w:pPr>
              <w:rPr>
                <w:b/>
                <w:sz w:val="24"/>
                <w:szCs w:val="24"/>
              </w:rPr>
            </w:pPr>
            <w:r w:rsidRPr="00A21C46">
              <w:rPr>
                <w:b/>
                <w:sz w:val="24"/>
                <w:szCs w:val="24"/>
              </w:rPr>
              <w:t>Vplyv na mzdové výdavky</w:t>
            </w:r>
          </w:p>
        </w:tc>
        <w:tc>
          <w:tcPr>
            <w:tcW w:w="1134" w:type="dxa"/>
            <w:shd w:val="clear" w:color="auto" w:fill="BFBFBF" w:themeFill="background1" w:themeFillShade="BF"/>
            <w:noWrap/>
            <w:vAlign w:val="center"/>
          </w:tcPr>
          <w:p w:rsidR="00A733AF" w:rsidRPr="00A21C46" w:rsidRDefault="00A733AF" w:rsidP="00A716FC">
            <w:pPr>
              <w:jc w:val="right"/>
              <w:rPr>
                <w:b/>
                <w:sz w:val="24"/>
                <w:szCs w:val="24"/>
              </w:rPr>
            </w:pPr>
            <w:r w:rsidRPr="00A21C46">
              <w:rPr>
                <w:b/>
                <w:sz w:val="24"/>
                <w:szCs w:val="24"/>
              </w:rPr>
              <w:t>0</w:t>
            </w:r>
          </w:p>
        </w:tc>
        <w:tc>
          <w:tcPr>
            <w:tcW w:w="1559" w:type="dxa"/>
            <w:shd w:val="clear" w:color="auto" w:fill="BFBFBF" w:themeFill="background1" w:themeFillShade="BF"/>
            <w:noWrap/>
            <w:vAlign w:val="center"/>
          </w:tcPr>
          <w:p w:rsidR="00A733AF" w:rsidRPr="00A21C46" w:rsidRDefault="00A733AF" w:rsidP="00A716FC">
            <w:pPr>
              <w:jc w:val="right"/>
              <w:rPr>
                <w:b/>
                <w:sz w:val="24"/>
                <w:szCs w:val="24"/>
              </w:rPr>
            </w:pPr>
            <w:r w:rsidRPr="00A21C46">
              <w:rPr>
                <w:b/>
                <w:sz w:val="24"/>
                <w:szCs w:val="24"/>
              </w:rPr>
              <w:t>0</w:t>
            </w:r>
          </w:p>
        </w:tc>
        <w:tc>
          <w:tcPr>
            <w:tcW w:w="1418" w:type="dxa"/>
            <w:shd w:val="clear" w:color="auto" w:fill="BFBFBF" w:themeFill="background1" w:themeFillShade="BF"/>
            <w:noWrap/>
            <w:vAlign w:val="center"/>
          </w:tcPr>
          <w:p w:rsidR="00A733AF" w:rsidRPr="00A21C46" w:rsidRDefault="00A733AF" w:rsidP="00A716FC">
            <w:pPr>
              <w:jc w:val="right"/>
              <w:rPr>
                <w:b/>
                <w:sz w:val="24"/>
                <w:szCs w:val="24"/>
              </w:rPr>
            </w:pPr>
            <w:r w:rsidRPr="00A21C46">
              <w:rPr>
                <w:b/>
                <w:sz w:val="24"/>
                <w:szCs w:val="24"/>
              </w:rPr>
              <w:t>0</w:t>
            </w:r>
          </w:p>
        </w:tc>
        <w:tc>
          <w:tcPr>
            <w:tcW w:w="1370" w:type="dxa"/>
            <w:shd w:val="clear" w:color="auto" w:fill="BFBFBF" w:themeFill="background1" w:themeFillShade="BF"/>
            <w:noWrap/>
            <w:vAlign w:val="center"/>
          </w:tcPr>
          <w:p w:rsidR="00A733AF" w:rsidRPr="00A21C46" w:rsidRDefault="00A733AF" w:rsidP="00A716FC">
            <w:pPr>
              <w:jc w:val="right"/>
              <w:rPr>
                <w:b/>
                <w:sz w:val="24"/>
                <w:szCs w:val="24"/>
              </w:rPr>
            </w:pPr>
            <w:r w:rsidRPr="00A21C46">
              <w:rPr>
                <w:b/>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ŠR</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obce</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i/>
                <w:iCs/>
                <w:sz w:val="24"/>
                <w:szCs w:val="24"/>
              </w:rPr>
            </w:pPr>
            <w:r w:rsidRPr="00A21C46">
              <w:rPr>
                <w:b/>
                <w:bCs/>
                <w:i/>
                <w:iCs/>
                <w:sz w:val="24"/>
                <w:szCs w:val="24"/>
              </w:rPr>
              <w:t>- vplyv na vyššie územné celky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noWrap/>
            <w:vAlign w:val="center"/>
          </w:tcPr>
          <w:p w:rsidR="00A733AF" w:rsidRPr="00A21C46" w:rsidRDefault="00A733AF" w:rsidP="00A716FC">
            <w:pPr>
              <w:rPr>
                <w:b/>
                <w:bCs/>
                <w:sz w:val="24"/>
                <w:szCs w:val="24"/>
              </w:rPr>
            </w:pPr>
            <w:r w:rsidRPr="00A21C46">
              <w:rPr>
                <w:b/>
                <w:bCs/>
                <w:i/>
                <w:iCs/>
                <w:sz w:val="24"/>
                <w:szCs w:val="24"/>
              </w:rPr>
              <w:t>- vplyv na ostatné subjekty verejnej správy</w:t>
            </w:r>
          </w:p>
        </w:tc>
        <w:tc>
          <w:tcPr>
            <w:tcW w:w="1134"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559"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418" w:type="dxa"/>
            <w:noWrap/>
            <w:vAlign w:val="center"/>
          </w:tcPr>
          <w:p w:rsidR="00A733AF" w:rsidRPr="00A21C46" w:rsidRDefault="00A733AF" w:rsidP="00A716FC">
            <w:pPr>
              <w:jc w:val="right"/>
              <w:rPr>
                <w:b/>
                <w:bCs/>
                <w:iCs/>
                <w:sz w:val="24"/>
                <w:szCs w:val="24"/>
              </w:rPr>
            </w:pPr>
            <w:r w:rsidRPr="00A21C46">
              <w:rPr>
                <w:b/>
                <w:bCs/>
                <w:iCs/>
                <w:sz w:val="24"/>
                <w:szCs w:val="24"/>
              </w:rPr>
              <w:t>0</w:t>
            </w:r>
          </w:p>
        </w:tc>
        <w:tc>
          <w:tcPr>
            <w:tcW w:w="1370" w:type="dxa"/>
            <w:noWrap/>
            <w:vAlign w:val="center"/>
          </w:tcPr>
          <w:p w:rsidR="00A733AF" w:rsidRPr="00A21C46" w:rsidRDefault="00A733AF" w:rsidP="00A716FC">
            <w:pPr>
              <w:jc w:val="right"/>
              <w:rPr>
                <w:b/>
                <w:bCs/>
                <w:iCs/>
                <w:sz w:val="24"/>
                <w:szCs w:val="24"/>
              </w:rPr>
            </w:pPr>
            <w:r w:rsidRPr="00A21C46">
              <w:rPr>
                <w:b/>
                <w:bCs/>
                <w:iCs/>
                <w:sz w:val="24"/>
                <w:szCs w:val="24"/>
              </w:rPr>
              <w:t>0</w:t>
            </w:r>
          </w:p>
        </w:tc>
      </w:tr>
      <w:tr w:rsidR="00A733AF" w:rsidRPr="00A21C46" w:rsidTr="002F5081">
        <w:trPr>
          <w:trHeight w:val="70"/>
          <w:jc w:val="center"/>
        </w:trPr>
        <w:tc>
          <w:tcPr>
            <w:tcW w:w="4248" w:type="dxa"/>
            <w:shd w:val="clear" w:color="auto" w:fill="C0C0C0"/>
            <w:noWrap/>
            <w:vAlign w:val="center"/>
          </w:tcPr>
          <w:p w:rsidR="00A733AF" w:rsidRPr="00A21C46" w:rsidRDefault="00A733AF" w:rsidP="00A716FC">
            <w:pPr>
              <w:rPr>
                <w:b/>
                <w:bCs/>
                <w:sz w:val="24"/>
                <w:szCs w:val="24"/>
              </w:rPr>
            </w:pPr>
            <w:r w:rsidRPr="00A21C46">
              <w:rPr>
                <w:b/>
                <w:bCs/>
                <w:sz w:val="24"/>
                <w:szCs w:val="24"/>
              </w:rPr>
              <w:t>Financovanie zabezpečené v rozpočte</w:t>
            </w:r>
          </w:p>
        </w:tc>
        <w:tc>
          <w:tcPr>
            <w:tcW w:w="1134" w:type="dxa"/>
            <w:shd w:val="clear" w:color="auto" w:fill="C0C0C0"/>
            <w:noWrap/>
            <w:vAlign w:val="center"/>
          </w:tcPr>
          <w:p w:rsidR="00A733AF" w:rsidRPr="004B7D39" w:rsidRDefault="00617835" w:rsidP="002255B0">
            <w:pPr>
              <w:jc w:val="right"/>
              <w:rPr>
                <w:b/>
                <w:bCs/>
                <w:color w:val="000000" w:themeColor="text1"/>
                <w:sz w:val="24"/>
                <w:szCs w:val="24"/>
              </w:rPr>
            </w:pPr>
            <w:r w:rsidRPr="004B7D39">
              <w:rPr>
                <w:b/>
                <w:bCs/>
                <w:color w:val="000000" w:themeColor="text1"/>
                <w:sz w:val="24"/>
                <w:szCs w:val="24"/>
              </w:rPr>
              <w:t>5</w:t>
            </w:r>
            <w:r w:rsidR="002255B0" w:rsidRPr="004B7D39">
              <w:rPr>
                <w:b/>
                <w:bCs/>
                <w:color w:val="000000" w:themeColor="text1"/>
                <w:sz w:val="24"/>
                <w:szCs w:val="24"/>
              </w:rPr>
              <w:t>41</w:t>
            </w:r>
            <w:r w:rsidR="00A733AF" w:rsidRPr="004B7D39">
              <w:rPr>
                <w:b/>
                <w:bCs/>
                <w:color w:val="000000" w:themeColor="text1"/>
                <w:sz w:val="24"/>
                <w:szCs w:val="24"/>
              </w:rPr>
              <w:t xml:space="preserve"> 300</w:t>
            </w:r>
          </w:p>
        </w:tc>
        <w:tc>
          <w:tcPr>
            <w:tcW w:w="1559" w:type="dxa"/>
            <w:shd w:val="clear" w:color="auto" w:fill="C0C0C0"/>
            <w:noWrap/>
            <w:vAlign w:val="center"/>
          </w:tcPr>
          <w:p w:rsidR="00A733AF" w:rsidRPr="00A21C46" w:rsidRDefault="00A733AF" w:rsidP="00A716FC">
            <w:pPr>
              <w:jc w:val="right"/>
              <w:rPr>
                <w:b/>
                <w:bCs/>
                <w:sz w:val="24"/>
                <w:szCs w:val="24"/>
              </w:rPr>
            </w:pPr>
            <w:r w:rsidRPr="00A21C46">
              <w:rPr>
                <w:b/>
                <w:bCs/>
                <w:sz w:val="24"/>
                <w:szCs w:val="24"/>
              </w:rPr>
              <w:t>0</w:t>
            </w:r>
          </w:p>
        </w:tc>
        <w:tc>
          <w:tcPr>
            <w:tcW w:w="1418" w:type="dxa"/>
            <w:shd w:val="clear" w:color="auto" w:fill="C0C0C0"/>
            <w:noWrap/>
            <w:vAlign w:val="center"/>
          </w:tcPr>
          <w:p w:rsidR="00A733AF" w:rsidRPr="00A21C46" w:rsidRDefault="00A733AF" w:rsidP="00A716FC">
            <w:pPr>
              <w:jc w:val="right"/>
              <w:rPr>
                <w:b/>
                <w:bCs/>
                <w:sz w:val="24"/>
                <w:szCs w:val="24"/>
              </w:rPr>
            </w:pPr>
            <w:r w:rsidRPr="00A21C46">
              <w:rPr>
                <w:b/>
                <w:bCs/>
                <w:sz w:val="24"/>
                <w:szCs w:val="24"/>
              </w:rPr>
              <w:t>0</w:t>
            </w:r>
          </w:p>
        </w:tc>
        <w:tc>
          <w:tcPr>
            <w:tcW w:w="1370" w:type="dxa"/>
            <w:shd w:val="clear" w:color="auto" w:fill="C0C0C0"/>
            <w:noWrap/>
            <w:vAlign w:val="center"/>
          </w:tcPr>
          <w:p w:rsidR="00A733AF" w:rsidRPr="00A21C46" w:rsidRDefault="00A733AF" w:rsidP="00A716FC">
            <w:pPr>
              <w:jc w:val="right"/>
              <w:rPr>
                <w:b/>
                <w:bCs/>
                <w:sz w:val="24"/>
                <w:szCs w:val="24"/>
              </w:rPr>
            </w:pPr>
            <w:r w:rsidRPr="00A21C46">
              <w:rPr>
                <w:b/>
                <w:bCs/>
                <w:sz w:val="24"/>
                <w:szCs w:val="24"/>
              </w:rPr>
              <w:t>0</w:t>
            </w:r>
          </w:p>
        </w:tc>
      </w:tr>
      <w:tr w:rsidR="00A733AF" w:rsidRPr="00A21C46" w:rsidTr="002F5081">
        <w:trPr>
          <w:trHeight w:val="70"/>
          <w:jc w:val="center"/>
        </w:trPr>
        <w:tc>
          <w:tcPr>
            <w:tcW w:w="4248" w:type="dxa"/>
            <w:noWrap/>
            <w:vAlign w:val="center"/>
          </w:tcPr>
          <w:p w:rsidR="00A733AF" w:rsidRPr="00A21C46" w:rsidRDefault="00086CFE" w:rsidP="00086CFE">
            <w:pPr>
              <w:rPr>
                <w:sz w:val="24"/>
                <w:szCs w:val="24"/>
              </w:rPr>
            </w:pPr>
            <w:r>
              <w:rPr>
                <w:sz w:val="24"/>
                <w:szCs w:val="24"/>
              </w:rPr>
              <w:t>v tom: MFSR RP 718006, prvok</w:t>
            </w:r>
            <w:r w:rsidR="00A733AF" w:rsidRPr="00A21C46">
              <w:rPr>
                <w:sz w:val="24"/>
                <w:szCs w:val="24"/>
              </w:rPr>
              <w:t>0EK0D02</w:t>
            </w:r>
          </w:p>
        </w:tc>
        <w:tc>
          <w:tcPr>
            <w:tcW w:w="1134" w:type="dxa"/>
            <w:noWrap/>
            <w:vAlign w:val="center"/>
          </w:tcPr>
          <w:p w:rsidR="00A733AF" w:rsidRPr="004B7D39" w:rsidRDefault="00617835" w:rsidP="002255B0">
            <w:pPr>
              <w:jc w:val="right"/>
              <w:rPr>
                <w:color w:val="000000" w:themeColor="text1"/>
                <w:sz w:val="24"/>
                <w:szCs w:val="24"/>
              </w:rPr>
            </w:pPr>
            <w:r w:rsidRPr="004B7D39">
              <w:rPr>
                <w:bCs/>
                <w:iCs/>
                <w:color w:val="000000" w:themeColor="text1"/>
                <w:sz w:val="24"/>
                <w:szCs w:val="24"/>
              </w:rPr>
              <w:t>4</w:t>
            </w:r>
            <w:r w:rsidR="002255B0" w:rsidRPr="004B7D39">
              <w:rPr>
                <w:bCs/>
                <w:iCs/>
                <w:color w:val="000000" w:themeColor="text1"/>
                <w:sz w:val="24"/>
                <w:szCs w:val="24"/>
              </w:rPr>
              <w:t>21</w:t>
            </w:r>
            <w:r w:rsidR="00A733AF" w:rsidRPr="004B7D39">
              <w:rPr>
                <w:bCs/>
                <w:iCs/>
                <w:color w:val="000000" w:themeColor="text1"/>
                <w:sz w:val="24"/>
                <w:szCs w:val="24"/>
              </w:rPr>
              <w:t xml:space="preserve"> 000</w:t>
            </w:r>
          </w:p>
        </w:tc>
        <w:tc>
          <w:tcPr>
            <w:tcW w:w="1559" w:type="dxa"/>
            <w:noWrap/>
            <w:vAlign w:val="center"/>
          </w:tcPr>
          <w:p w:rsidR="00A733AF" w:rsidRPr="00A21C46" w:rsidRDefault="00A733AF" w:rsidP="00A716FC">
            <w:pPr>
              <w:jc w:val="right"/>
              <w:rPr>
                <w:sz w:val="24"/>
                <w:szCs w:val="24"/>
              </w:rPr>
            </w:pPr>
            <w:r w:rsidRPr="00A21C46">
              <w:rPr>
                <w:sz w:val="24"/>
                <w:szCs w:val="24"/>
              </w:rPr>
              <w:t>0</w:t>
            </w:r>
          </w:p>
        </w:tc>
        <w:tc>
          <w:tcPr>
            <w:tcW w:w="1418" w:type="dxa"/>
            <w:noWrap/>
            <w:vAlign w:val="center"/>
          </w:tcPr>
          <w:p w:rsidR="00A733AF" w:rsidRPr="00A21C46" w:rsidRDefault="00A733AF" w:rsidP="00A716FC">
            <w:pPr>
              <w:jc w:val="right"/>
              <w:rPr>
                <w:sz w:val="24"/>
                <w:szCs w:val="24"/>
              </w:rPr>
            </w:pPr>
            <w:r w:rsidRPr="00A21C46">
              <w:rPr>
                <w:sz w:val="24"/>
                <w:szCs w:val="24"/>
              </w:rPr>
              <w:t>0</w:t>
            </w:r>
          </w:p>
        </w:tc>
        <w:tc>
          <w:tcPr>
            <w:tcW w:w="1370" w:type="dxa"/>
            <w:noWrap/>
            <w:vAlign w:val="center"/>
          </w:tcPr>
          <w:p w:rsidR="00A733AF" w:rsidRPr="00A21C46" w:rsidRDefault="00A733AF" w:rsidP="00A716FC">
            <w:pPr>
              <w:jc w:val="right"/>
              <w:rPr>
                <w:sz w:val="24"/>
                <w:szCs w:val="24"/>
              </w:rPr>
            </w:pPr>
            <w:r w:rsidRPr="00A21C46">
              <w:rPr>
                <w:sz w:val="24"/>
                <w:szCs w:val="24"/>
              </w:rPr>
              <w:t>0</w:t>
            </w:r>
          </w:p>
        </w:tc>
      </w:tr>
      <w:tr w:rsidR="00A733AF" w:rsidRPr="00A21C46" w:rsidTr="002F5081">
        <w:trPr>
          <w:trHeight w:val="70"/>
          <w:jc w:val="center"/>
        </w:trPr>
        <w:tc>
          <w:tcPr>
            <w:tcW w:w="4248" w:type="dxa"/>
            <w:noWrap/>
            <w:vAlign w:val="center"/>
          </w:tcPr>
          <w:p w:rsidR="00A733AF" w:rsidRPr="00A21C46" w:rsidRDefault="00086CFE" w:rsidP="00A716FC">
            <w:pPr>
              <w:rPr>
                <w:bCs/>
                <w:iCs/>
                <w:sz w:val="24"/>
                <w:szCs w:val="24"/>
              </w:rPr>
            </w:pPr>
            <w:r>
              <w:rPr>
                <w:b/>
                <w:bCs/>
                <w:i/>
                <w:iCs/>
                <w:sz w:val="24"/>
                <w:szCs w:val="24"/>
              </w:rPr>
              <w:t xml:space="preserve">      </w:t>
            </w:r>
            <w:r w:rsidR="00A733AF" w:rsidRPr="00A21C46">
              <w:rPr>
                <w:bCs/>
                <w:iCs/>
                <w:sz w:val="24"/>
                <w:szCs w:val="24"/>
              </w:rPr>
              <w:t xml:space="preserve">MFSR - RP 718006, prvok 0EK0D0G </w:t>
            </w:r>
          </w:p>
        </w:tc>
        <w:tc>
          <w:tcPr>
            <w:tcW w:w="1134" w:type="dxa"/>
            <w:noWrap/>
            <w:vAlign w:val="center"/>
          </w:tcPr>
          <w:p w:rsidR="00A733AF" w:rsidRPr="00A21C46" w:rsidRDefault="00A733AF" w:rsidP="00A716FC">
            <w:pPr>
              <w:jc w:val="right"/>
              <w:rPr>
                <w:bCs/>
                <w:iCs/>
                <w:sz w:val="24"/>
                <w:szCs w:val="24"/>
              </w:rPr>
            </w:pPr>
            <w:r w:rsidRPr="00A21C46">
              <w:rPr>
                <w:bCs/>
                <w:iCs/>
                <w:sz w:val="24"/>
                <w:szCs w:val="24"/>
              </w:rPr>
              <w:t>120 300</w:t>
            </w:r>
          </w:p>
        </w:tc>
        <w:tc>
          <w:tcPr>
            <w:tcW w:w="1559" w:type="dxa"/>
            <w:noWrap/>
            <w:vAlign w:val="center"/>
          </w:tcPr>
          <w:p w:rsidR="00A733AF" w:rsidRPr="00A21C46" w:rsidRDefault="00A733AF" w:rsidP="00A716FC">
            <w:pPr>
              <w:jc w:val="right"/>
              <w:rPr>
                <w:b/>
                <w:bCs/>
                <w:iCs/>
                <w:sz w:val="24"/>
                <w:szCs w:val="24"/>
              </w:rPr>
            </w:pPr>
          </w:p>
        </w:tc>
        <w:tc>
          <w:tcPr>
            <w:tcW w:w="1418" w:type="dxa"/>
            <w:noWrap/>
            <w:vAlign w:val="center"/>
          </w:tcPr>
          <w:p w:rsidR="00A733AF" w:rsidRPr="00A21C46" w:rsidRDefault="00A733AF" w:rsidP="00A716FC">
            <w:pPr>
              <w:jc w:val="right"/>
              <w:rPr>
                <w:b/>
                <w:bCs/>
                <w:iCs/>
                <w:sz w:val="24"/>
                <w:szCs w:val="24"/>
              </w:rPr>
            </w:pPr>
          </w:p>
        </w:tc>
        <w:tc>
          <w:tcPr>
            <w:tcW w:w="1370" w:type="dxa"/>
            <w:noWrap/>
            <w:vAlign w:val="center"/>
          </w:tcPr>
          <w:p w:rsidR="00A733AF" w:rsidRPr="00A21C46" w:rsidRDefault="00A733AF" w:rsidP="00A716FC">
            <w:pPr>
              <w:jc w:val="right"/>
              <w:rPr>
                <w:b/>
                <w:bCs/>
                <w:iCs/>
                <w:sz w:val="24"/>
                <w:szCs w:val="24"/>
              </w:rPr>
            </w:pPr>
          </w:p>
        </w:tc>
      </w:tr>
      <w:tr w:rsidR="00A733AF" w:rsidRPr="00A21C46" w:rsidTr="002F5081">
        <w:trPr>
          <w:trHeight w:val="70"/>
          <w:jc w:val="center"/>
        </w:trPr>
        <w:tc>
          <w:tcPr>
            <w:tcW w:w="4248" w:type="dxa"/>
            <w:shd w:val="clear" w:color="auto" w:fill="BFBFBF" w:themeFill="background1" w:themeFillShade="BF"/>
            <w:noWrap/>
            <w:vAlign w:val="center"/>
          </w:tcPr>
          <w:p w:rsidR="00A733AF" w:rsidRPr="00A21C46" w:rsidRDefault="00A733AF" w:rsidP="00A716FC">
            <w:pPr>
              <w:rPr>
                <w:b/>
                <w:sz w:val="24"/>
                <w:szCs w:val="24"/>
              </w:rPr>
            </w:pPr>
            <w:r w:rsidRPr="00A21C46">
              <w:rPr>
                <w:b/>
                <w:sz w:val="24"/>
                <w:szCs w:val="24"/>
              </w:rPr>
              <w:t>Iné ako rozpočtové zdroje</w:t>
            </w:r>
          </w:p>
        </w:tc>
        <w:tc>
          <w:tcPr>
            <w:tcW w:w="1134"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c>
          <w:tcPr>
            <w:tcW w:w="1559"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c>
          <w:tcPr>
            <w:tcW w:w="1418"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c>
          <w:tcPr>
            <w:tcW w:w="1370" w:type="dxa"/>
            <w:shd w:val="clear" w:color="auto" w:fill="BFBFBF" w:themeFill="background1" w:themeFillShade="BF"/>
            <w:noWrap/>
            <w:vAlign w:val="center"/>
          </w:tcPr>
          <w:p w:rsidR="00A733AF" w:rsidRPr="00A21C46" w:rsidRDefault="00A733AF" w:rsidP="00A716FC">
            <w:pPr>
              <w:jc w:val="right"/>
              <w:rPr>
                <w:b/>
                <w:bCs/>
                <w:sz w:val="24"/>
                <w:szCs w:val="24"/>
              </w:rPr>
            </w:pPr>
            <w:r w:rsidRPr="00A21C46">
              <w:rPr>
                <w:b/>
                <w:bCs/>
                <w:sz w:val="24"/>
                <w:szCs w:val="24"/>
              </w:rPr>
              <w:t>0</w:t>
            </w:r>
          </w:p>
        </w:tc>
      </w:tr>
      <w:tr w:rsidR="00A733AF" w:rsidRPr="00A21C46" w:rsidTr="002F5081">
        <w:trPr>
          <w:trHeight w:val="70"/>
          <w:jc w:val="center"/>
        </w:trPr>
        <w:tc>
          <w:tcPr>
            <w:tcW w:w="4248" w:type="dxa"/>
            <w:shd w:val="clear" w:color="auto" w:fill="A6A6A6" w:themeFill="background1" w:themeFillShade="A6"/>
            <w:noWrap/>
            <w:vAlign w:val="center"/>
          </w:tcPr>
          <w:p w:rsidR="00A733AF" w:rsidRPr="00A21C46" w:rsidRDefault="00A733AF" w:rsidP="00A716FC">
            <w:pPr>
              <w:rPr>
                <w:b/>
                <w:bCs/>
                <w:sz w:val="24"/>
                <w:szCs w:val="24"/>
              </w:rPr>
            </w:pPr>
            <w:r w:rsidRPr="00A21C46">
              <w:rPr>
                <w:b/>
                <w:bCs/>
                <w:sz w:val="24"/>
                <w:szCs w:val="24"/>
              </w:rPr>
              <w:t>Rozpočtovo nekrytý vplyv / úspora</w:t>
            </w:r>
          </w:p>
        </w:tc>
        <w:tc>
          <w:tcPr>
            <w:tcW w:w="1134" w:type="dxa"/>
            <w:shd w:val="clear" w:color="auto" w:fill="A6A6A6" w:themeFill="background1" w:themeFillShade="A6"/>
            <w:noWrap/>
            <w:vAlign w:val="center"/>
          </w:tcPr>
          <w:p w:rsidR="00A733AF" w:rsidRPr="00A21C46" w:rsidRDefault="00A733AF" w:rsidP="00A716FC">
            <w:pPr>
              <w:jc w:val="right"/>
              <w:rPr>
                <w:b/>
                <w:bCs/>
                <w:sz w:val="24"/>
                <w:szCs w:val="24"/>
              </w:rPr>
            </w:pPr>
            <w:r w:rsidRPr="00A21C46">
              <w:rPr>
                <w:b/>
                <w:bCs/>
                <w:iCs/>
                <w:sz w:val="24"/>
                <w:szCs w:val="24"/>
              </w:rPr>
              <w:t>0</w:t>
            </w:r>
          </w:p>
        </w:tc>
        <w:tc>
          <w:tcPr>
            <w:tcW w:w="1559" w:type="dxa"/>
            <w:shd w:val="clear" w:color="auto" w:fill="A6A6A6" w:themeFill="background1" w:themeFillShade="A6"/>
            <w:noWrap/>
            <w:vAlign w:val="center"/>
          </w:tcPr>
          <w:p w:rsidR="00A733AF" w:rsidRPr="00A21C46" w:rsidRDefault="00A733AF" w:rsidP="00A716FC">
            <w:pPr>
              <w:jc w:val="right"/>
              <w:rPr>
                <w:b/>
                <w:bCs/>
                <w:sz w:val="24"/>
                <w:szCs w:val="24"/>
              </w:rPr>
            </w:pPr>
            <w:r w:rsidRPr="00A21C46">
              <w:rPr>
                <w:b/>
                <w:bCs/>
                <w:sz w:val="24"/>
                <w:szCs w:val="24"/>
              </w:rPr>
              <w:t>0</w:t>
            </w:r>
          </w:p>
        </w:tc>
        <w:tc>
          <w:tcPr>
            <w:tcW w:w="1418" w:type="dxa"/>
            <w:shd w:val="clear" w:color="auto" w:fill="A6A6A6" w:themeFill="background1" w:themeFillShade="A6"/>
            <w:noWrap/>
            <w:vAlign w:val="center"/>
          </w:tcPr>
          <w:p w:rsidR="00A733AF" w:rsidRPr="00A21C46" w:rsidRDefault="00A733AF" w:rsidP="00A716FC">
            <w:pPr>
              <w:jc w:val="right"/>
              <w:rPr>
                <w:b/>
                <w:bCs/>
                <w:sz w:val="24"/>
                <w:szCs w:val="24"/>
              </w:rPr>
            </w:pPr>
            <w:r w:rsidRPr="00A21C46">
              <w:rPr>
                <w:b/>
                <w:bCs/>
                <w:sz w:val="24"/>
                <w:szCs w:val="24"/>
              </w:rPr>
              <w:t>0</w:t>
            </w:r>
          </w:p>
        </w:tc>
        <w:tc>
          <w:tcPr>
            <w:tcW w:w="1370" w:type="dxa"/>
            <w:shd w:val="clear" w:color="auto" w:fill="A6A6A6" w:themeFill="background1" w:themeFillShade="A6"/>
            <w:noWrap/>
            <w:vAlign w:val="center"/>
          </w:tcPr>
          <w:p w:rsidR="00A733AF" w:rsidRPr="00A21C46" w:rsidRDefault="00A733AF" w:rsidP="00A716FC">
            <w:pPr>
              <w:jc w:val="right"/>
              <w:rPr>
                <w:b/>
                <w:bCs/>
                <w:sz w:val="24"/>
                <w:szCs w:val="24"/>
              </w:rPr>
            </w:pPr>
            <w:r w:rsidRPr="00A21C46">
              <w:rPr>
                <w:b/>
                <w:bCs/>
                <w:sz w:val="24"/>
                <w:szCs w:val="24"/>
              </w:rPr>
              <w:t>0</w:t>
            </w:r>
          </w:p>
        </w:tc>
      </w:tr>
    </w:tbl>
    <w:bookmarkEnd w:id="0"/>
    <w:p w:rsidR="00A733AF" w:rsidRPr="00A21C46" w:rsidRDefault="00A733AF" w:rsidP="00A733AF">
      <w:pPr>
        <w:jc w:val="both"/>
        <w:rPr>
          <w:b/>
          <w:bCs/>
          <w:sz w:val="24"/>
          <w:szCs w:val="24"/>
        </w:rPr>
      </w:pPr>
      <w:r w:rsidRPr="00A21C46">
        <w:rPr>
          <w:b/>
          <w:bCs/>
          <w:sz w:val="24"/>
          <w:szCs w:val="24"/>
        </w:rPr>
        <w:lastRenderedPageBreak/>
        <w:t>2.1.1. Financovanie návrhu - Návrh na riešenie úbytku príjmov alebo zvýšených výdavkov podľa § 33 ods. 1 zákona č. 523/2004 Z. z. o rozpočtových pravidlách verejnej správy:</w:t>
      </w:r>
    </w:p>
    <w:p w:rsidR="00A733AF" w:rsidRPr="00A21C46" w:rsidRDefault="00A733AF" w:rsidP="00A733AF">
      <w:pPr>
        <w:jc w:val="both"/>
        <w:rPr>
          <w:sz w:val="24"/>
          <w:szCs w:val="24"/>
        </w:rPr>
      </w:pPr>
      <w:r w:rsidRPr="00A21C46">
        <w:rPr>
          <w:sz w:val="24"/>
          <w:szCs w:val="24"/>
        </w:rPr>
        <w:t xml:space="preserve"> </w:t>
      </w:r>
    </w:p>
    <w:p w:rsidR="00A733AF" w:rsidRPr="00A21C46" w:rsidRDefault="00A733AF"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A21C46">
        <w:rPr>
          <w:bCs/>
          <w:color w:val="000000" w:themeColor="text1"/>
          <w:sz w:val="24"/>
          <w:szCs w:val="24"/>
        </w:rPr>
        <w:t>Prijatými opatreniami na zamedzenie daňových únikov prichádza ku každoročnému zlepšovaniu výberu DPH a znižovaniu daňovej medzery. Predpokladáme, že tento pozitívny trend bude pokračovať aj v nasledujúcich rokoch, čomu napomôžu  aj opatrenie prijaté v predkladanom návrhu zákona. Zvýšený výber DPH vykryje v plnom rozsahu výpadky na príjmovej strane spôsobené zavedením nových opatrení.</w:t>
      </w:r>
    </w:p>
    <w:p w:rsidR="00A733AF" w:rsidRPr="00A21C46" w:rsidRDefault="00A733AF" w:rsidP="00A733AF">
      <w:pPr>
        <w:pBdr>
          <w:top w:val="single" w:sz="4" w:space="1" w:color="auto"/>
          <w:left w:val="single" w:sz="4" w:space="4" w:color="auto"/>
          <w:bottom w:val="single" w:sz="4" w:space="0" w:color="auto"/>
          <w:right w:val="single" w:sz="4" w:space="4" w:color="auto"/>
        </w:pBdr>
        <w:jc w:val="both"/>
        <w:rPr>
          <w:bCs/>
          <w:sz w:val="24"/>
          <w:szCs w:val="24"/>
        </w:rPr>
      </w:pPr>
    </w:p>
    <w:p w:rsidR="00A733AF" w:rsidRPr="00A21C46" w:rsidRDefault="00A733AF" w:rsidP="00A733AF">
      <w:pPr>
        <w:rPr>
          <w:b/>
          <w:bCs/>
          <w:sz w:val="24"/>
          <w:szCs w:val="24"/>
        </w:rPr>
      </w:pPr>
    </w:p>
    <w:p w:rsidR="00A733AF" w:rsidRPr="00A21C46" w:rsidRDefault="00A733AF" w:rsidP="00A733AF">
      <w:pPr>
        <w:rPr>
          <w:b/>
          <w:bCs/>
          <w:sz w:val="24"/>
          <w:szCs w:val="24"/>
        </w:rPr>
      </w:pPr>
      <w:r w:rsidRPr="00A21C46">
        <w:rPr>
          <w:b/>
          <w:bCs/>
          <w:sz w:val="24"/>
          <w:szCs w:val="24"/>
        </w:rPr>
        <w:t>2.2. Popis a charakteristika návrhu</w:t>
      </w:r>
    </w:p>
    <w:p w:rsidR="00A733AF" w:rsidRPr="00A21C46" w:rsidRDefault="00A733AF" w:rsidP="00A733AF">
      <w:pPr>
        <w:rPr>
          <w:sz w:val="24"/>
          <w:szCs w:val="24"/>
        </w:rPr>
      </w:pPr>
    </w:p>
    <w:p w:rsidR="00A733AF" w:rsidRPr="00A21C46" w:rsidRDefault="00A733AF" w:rsidP="00A733AF">
      <w:pPr>
        <w:jc w:val="both"/>
        <w:rPr>
          <w:b/>
          <w:bCs/>
          <w:sz w:val="24"/>
          <w:szCs w:val="24"/>
        </w:rPr>
      </w:pPr>
      <w:r w:rsidRPr="00A21C46">
        <w:rPr>
          <w:b/>
          <w:bCs/>
          <w:sz w:val="24"/>
          <w:szCs w:val="24"/>
        </w:rPr>
        <w:t>2.2.1. Popis návrhu:</w:t>
      </w:r>
    </w:p>
    <w:p w:rsidR="00A733AF" w:rsidRPr="00A21C46" w:rsidRDefault="00A733AF" w:rsidP="00A733AF">
      <w:pPr>
        <w:jc w:val="both"/>
        <w:rPr>
          <w:rStyle w:val="Zstupntext"/>
          <w:color w:val="000000"/>
          <w:sz w:val="24"/>
          <w:szCs w:val="24"/>
        </w:rPr>
      </w:pPr>
      <w:r w:rsidRPr="00A21C46">
        <w:rPr>
          <w:rStyle w:val="Zstupntext"/>
          <w:color w:val="000000"/>
          <w:sz w:val="24"/>
          <w:szCs w:val="24"/>
        </w:rPr>
        <w:t>Novela zákona o dani z pridanej hodnoty</w:t>
      </w:r>
      <w:r w:rsidRPr="00A21C46">
        <w:rPr>
          <w:sz w:val="24"/>
          <w:szCs w:val="24"/>
        </w:rPr>
        <w:t xml:space="preserve"> preberá do zákona č. 222/2004 Z. z. o dani z pridanej hodnoty v znení neskorších predpisov smernice Rady Európskej únie.</w:t>
      </w:r>
      <w:r w:rsidRPr="00A21C46">
        <w:rPr>
          <w:rStyle w:val="Zstupntext"/>
          <w:color w:val="000000"/>
          <w:sz w:val="24"/>
          <w:szCs w:val="24"/>
        </w:rPr>
        <w:t xml:space="preserve"> Je zameraná na oblasti, ktoré je potrebné zosúladiť s judikatúrou Súdneho dvora Európskej únie, smernicou Rady 2006/112/ES o spoločnom systéme dane z pridanej hodnoty a taktiež na oblasti, v ktorých existujúce pravidlá dane z pridanej hodnoty spôsobujú pri ich uplatňovaní problémy v praxi.</w:t>
      </w:r>
    </w:p>
    <w:p w:rsidR="00A733AF" w:rsidRPr="00A21C46" w:rsidRDefault="00A733AF" w:rsidP="00A733AF">
      <w:pPr>
        <w:jc w:val="both"/>
        <w:rPr>
          <w:rStyle w:val="Zstupntext"/>
          <w:color w:val="000000"/>
          <w:sz w:val="24"/>
          <w:szCs w:val="24"/>
        </w:rPr>
      </w:pPr>
      <w:r w:rsidRPr="00A21C46">
        <w:rPr>
          <w:rStyle w:val="Zstupntext"/>
          <w:color w:val="000000"/>
          <w:sz w:val="24"/>
          <w:szCs w:val="24"/>
        </w:rPr>
        <w:t>Navrhované úpravy:</w:t>
      </w:r>
    </w:p>
    <w:p w:rsidR="00A733AF" w:rsidRPr="00A21C46"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sz w:val="24"/>
          <w:szCs w:val="24"/>
          <w:lang w:eastAsia="sk-SK"/>
        </w:rPr>
        <w:t xml:space="preserve">transpozícia </w:t>
      </w:r>
      <w:r w:rsidRPr="00A21C46">
        <w:rPr>
          <w:rFonts w:ascii="Times New Roman" w:hAnsi="Times New Roman"/>
          <w:sz w:val="24"/>
          <w:szCs w:val="24"/>
        </w:rPr>
        <w:t>smernice Rady (EÚ) 2016/1065 z 27. júna 2016, ktorou sa mení smernica 2006/112/ES, pokiaľ ide o zaobchádzanie z</w:t>
      </w:r>
      <w:r>
        <w:rPr>
          <w:rFonts w:ascii="Times New Roman" w:hAnsi="Times New Roman"/>
          <w:sz w:val="24"/>
          <w:szCs w:val="24"/>
        </w:rPr>
        <w:t> </w:t>
      </w:r>
      <w:r w:rsidRPr="00A21C46">
        <w:rPr>
          <w:rFonts w:ascii="Times New Roman" w:hAnsi="Times New Roman"/>
          <w:sz w:val="24"/>
          <w:szCs w:val="24"/>
        </w:rPr>
        <w:t>poukazmi</w:t>
      </w:r>
      <w:r>
        <w:rPr>
          <w:rFonts w:ascii="Times New Roman" w:hAnsi="Times New Roman"/>
          <w:sz w:val="24"/>
          <w:szCs w:val="24"/>
        </w:rPr>
        <w:t>,</w:t>
      </w:r>
    </w:p>
    <w:p w:rsidR="00A733AF" w:rsidRPr="00A21C46"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sz w:val="24"/>
          <w:szCs w:val="24"/>
          <w:lang w:eastAsia="sk-SK"/>
        </w:rPr>
        <w:t xml:space="preserve">transpozícia </w:t>
      </w:r>
      <w:r w:rsidRPr="00A21C46">
        <w:rPr>
          <w:rFonts w:ascii="Times New Roman" w:hAnsi="Times New Roman"/>
          <w:sz w:val="24"/>
          <w:szCs w:val="24"/>
        </w:rPr>
        <w:t>článku 1 smernice Rady (EÚ) 2017/2455 z 5. decembra  2017, ktorou sa mení smernica 2006/112/ES a smernica 2009/132/ES, pokiaľ ide o určité povinnosti týkajúce sa dane z pridanej hodnoty pri poskytovaní služieb a predaji tovaru na diaľku</w:t>
      </w:r>
      <w:r>
        <w:rPr>
          <w:rFonts w:ascii="Times New Roman" w:hAnsi="Times New Roman"/>
          <w:sz w:val="24"/>
          <w:szCs w:val="24"/>
        </w:rPr>
        <w:t>,</w:t>
      </w:r>
    </w:p>
    <w:p w:rsidR="00A733AF" w:rsidRPr="00A21C46"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sz w:val="24"/>
          <w:szCs w:val="24"/>
          <w:lang w:eastAsia="sk-SK"/>
        </w:rPr>
        <w:t xml:space="preserve">zmena </w:t>
      </w:r>
      <w:r w:rsidRPr="00A21C46">
        <w:rPr>
          <w:rFonts w:ascii="Times New Roman" w:hAnsi="Times New Roman"/>
          <w:bCs/>
          <w:sz w:val="24"/>
          <w:szCs w:val="24"/>
        </w:rPr>
        <w:t>v právnej úprave zdaňovania dodania nehnuteľnosti určených na bývanie</w:t>
      </w:r>
      <w:r>
        <w:rPr>
          <w:rFonts w:ascii="Times New Roman" w:hAnsi="Times New Roman"/>
          <w:bCs/>
          <w:sz w:val="24"/>
          <w:szCs w:val="24"/>
        </w:rPr>
        <w:t>,</w:t>
      </w:r>
    </w:p>
    <w:p w:rsidR="00A733AF" w:rsidRPr="00A21C46"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bCs/>
          <w:sz w:val="24"/>
          <w:szCs w:val="24"/>
        </w:rPr>
        <w:t>zmena v právnej úprave zdaňovania prenájmu nehnuteľnosti určených na bývanie</w:t>
      </w:r>
      <w:r>
        <w:rPr>
          <w:rFonts w:ascii="Times New Roman" w:hAnsi="Times New Roman"/>
          <w:bCs/>
          <w:sz w:val="24"/>
          <w:szCs w:val="24"/>
        </w:rPr>
        <w:t>,</w:t>
      </w:r>
    </w:p>
    <w:p w:rsidR="00A733AF" w:rsidRPr="00A21C46"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bCs/>
          <w:sz w:val="24"/>
          <w:szCs w:val="24"/>
        </w:rPr>
        <w:t>spresnenie časového momentu začatia počítania 5 ročného obdobia pri dodaní nehnuteľnosti</w:t>
      </w:r>
      <w:r>
        <w:rPr>
          <w:rFonts w:ascii="Times New Roman" w:hAnsi="Times New Roman"/>
          <w:bCs/>
          <w:sz w:val="24"/>
          <w:szCs w:val="24"/>
        </w:rPr>
        <w:t>,</w:t>
      </w:r>
    </w:p>
    <w:p w:rsidR="00A733AF" w:rsidRPr="00A21C46"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sz w:val="24"/>
          <w:szCs w:val="24"/>
          <w:lang w:eastAsia="sk-SK"/>
        </w:rPr>
        <w:t>precizovanie úpravy týkajúcej sa finančných lízingov</w:t>
      </w:r>
      <w:r>
        <w:rPr>
          <w:rFonts w:ascii="Times New Roman" w:hAnsi="Times New Roman"/>
          <w:sz w:val="24"/>
          <w:szCs w:val="24"/>
          <w:lang w:eastAsia="sk-SK"/>
        </w:rPr>
        <w:t>,</w:t>
      </w:r>
    </w:p>
    <w:p w:rsidR="00A733AF" w:rsidRDefault="00A733AF" w:rsidP="00A733AF">
      <w:pPr>
        <w:pStyle w:val="Odsekzoznamu"/>
        <w:numPr>
          <w:ilvl w:val="0"/>
          <w:numId w:val="4"/>
        </w:numPr>
        <w:spacing w:after="0" w:line="240" w:lineRule="auto"/>
        <w:rPr>
          <w:rFonts w:ascii="Times New Roman" w:hAnsi="Times New Roman"/>
          <w:sz w:val="24"/>
          <w:szCs w:val="24"/>
          <w:lang w:eastAsia="sk-SK"/>
        </w:rPr>
      </w:pPr>
      <w:r w:rsidRPr="00A21C46">
        <w:rPr>
          <w:rFonts w:ascii="Times New Roman" w:hAnsi="Times New Roman"/>
          <w:sz w:val="24"/>
          <w:szCs w:val="24"/>
          <w:lang w:eastAsia="sk-SK"/>
        </w:rPr>
        <w:t>zmena právnej úpravy odpočítania dane pri hnuteľnom majetku v súvislosti so zmenou rozsahu použitia hnuteľného majetku na podnikanie</w:t>
      </w:r>
      <w:r>
        <w:rPr>
          <w:rFonts w:ascii="Times New Roman" w:hAnsi="Times New Roman"/>
          <w:sz w:val="24"/>
          <w:szCs w:val="24"/>
          <w:lang w:eastAsia="sk-SK"/>
        </w:rPr>
        <w:t>,</w:t>
      </w:r>
    </w:p>
    <w:p w:rsidR="00617835" w:rsidRDefault="00A733AF" w:rsidP="00A733AF">
      <w:pPr>
        <w:pStyle w:val="Odsekzoznamu"/>
        <w:numPr>
          <w:ilvl w:val="0"/>
          <w:numId w:val="4"/>
        </w:numPr>
        <w:spacing w:after="0" w:line="240" w:lineRule="auto"/>
        <w:rPr>
          <w:rFonts w:ascii="Times New Roman" w:hAnsi="Times New Roman"/>
          <w:sz w:val="24"/>
          <w:szCs w:val="24"/>
          <w:lang w:eastAsia="sk-SK"/>
        </w:rPr>
      </w:pPr>
      <w:r>
        <w:rPr>
          <w:rFonts w:ascii="Times New Roman" w:hAnsi="Times New Roman"/>
          <w:sz w:val="24"/>
          <w:szCs w:val="24"/>
          <w:lang w:eastAsia="sk-SK"/>
        </w:rPr>
        <w:t>zrušenie inštitútu zábezpeky na daň pri registrácii za platiteľa dane</w:t>
      </w:r>
      <w:r w:rsidR="00617835">
        <w:rPr>
          <w:rFonts w:ascii="Times New Roman" w:hAnsi="Times New Roman"/>
          <w:sz w:val="24"/>
          <w:szCs w:val="24"/>
          <w:lang w:eastAsia="sk-SK"/>
        </w:rPr>
        <w:t>,</w:t>
      </w:r>
    </w:p>
    <w:p w:rsidR="00617835" w:rsidRPr="004B7D39" w:rsidRDefault="00617835" w:rsidP="00A733AF">
      <w:pPr>
        <w:pStyle w:val="Odsekzoznamu"/>
        <w:numPr>
          <w:ilvl w:val="0"/>
          <w:numId w:val="4"/>
        </w:numPr>
        <w:spacing w:after="0" w:line="240" w:lineRule="auto"/>
        <w:rPr>
          <w:rFonts w:ascii="Times New Roman" w:hAnsi="Times New Roman"/>
          <w:color w:val="000000" w:themeColor="text1"/>
          <w:sz w:val="24"/>
          <w:szCs w:val="24"/>
          <w:lang w:eastAsia="sk-SK"/>
        </w:rPr>
      </w:pPr>
      <w:r w:rsidRPr="004B7D39">
        <w:rPr>
          <w:rFonts w:ascii="Times New Roman" w:hAnsi="Times New Roman"/>
          <w:color w:val="000000" w:themeColor="text1"/>
          <w:sz w:val="24"/>
          <w:szCs w:val="24"/>
        </w:rPr>
        <w:t>zjednodušenie procesu vrátenia da</w:t>
      </w:r>
      <w:r w:rsidR="00AD1D71" w:rsidRPr="004B7D39">
        <w:rPr>
          <w:rFonts w:ascii="Times New Roman" w:hAnsi="Times New Roman"/>
          <w:color w:val="000000" w:themeColor="text1"/>
          <w:sz w:val="24"/>
          <w:szCs w:val="24"/>
        </w:rPr>
        <w:t>ne cestujúcim pri vývoze tovaru.</w:t>
      </w:r>
    </w:p>
    <w:p w:rsidR="00A733AF" w:rsidRPr="00A21C46" w:rsidRDefault="00A733AF" w:rsidP="00A733AF">
      <w:pPr>
        <w:rPr>
          <w:sz w:val="24"/>
          <w:szCs w:val="24"/>
        </w:rPr>
      </w:pPr>
    </w:p>
    <w:p w:rsidR="00A733AF" w:rsidRPr="00A21C46" w:rsidRDefault="00A733AF" w:rsidP="00A733AF">
      <w:pPr>
        <w:pStyle w:val="Odsekzoznamu"/>
        <w:spacing w:after="0" w:line="240" w:lineRule="auto"/>
        <w:rPr>
          <w:rFonts w:ascii="Times New Roman" w:hAnsi="Times New Roman"/>
          <w:sz w:val="24"/>
          <w:szCs w:val="24"/>
          <w:lang w:eastAsia="sk-SK"/>
        </w:rPr>
      </w:pPr>
      <w:r w:rsidRPr="00A21C46">
        <w:rPr>
          <w:rFonts w:ascii="Times New Roman" w:hAnsi="Times New Roman"/>
          <w:sz w:val="24"/>
          <w:szCs w:val="24"/>
          <w:lang w:eastAsia="sk-SK"/>
        </w:rPr>
        <w:t xml:space="preserve">  </w:t>
      </w:r>
    </w:p>
    <w:p w:rsidR="00A733AF" w:rsidRPr="00A21C46" w:rsidRDefault="00A733AF" w:rsidP="00A733AF">
      <w:pPr>
        <w:rPr>
          <w:b/>
          <w:bCs/>
          <w:sz w:val="24"/>
          <w:szCs w:val="24"/>
        </w:rPr>
      </w:pPr>
      <w:r w:rsidRPr="00A21C46">
        <w:rPr>
          <w:b/>
          <w:bCs/>
          <w:sz w:val="24"/>
          <w:szCs w:val="24"/>
        </w:rPr>
        <w:t>2.2.2. Charakteristika návrhu:</w:t>
      </w:r>
    </w:p>
    <w:p w:rsidR="00A733AF" w:rsidRPr="00A21C46" w:rsidRDefault="00A733AF" w:rsidP="00A733AF">
      <w:pPr>
        <w:rPr>
          <w:sz w:val="24"/>
          <w:szCs w:val="24"/>
        </w:rPr>
      </w:pPr>
    </w:p>
    <w:p w:rsidR="00A733AF" w:rsidRPr="002F5081" w:rsidRDefault="00A733AF" w:rsidP="00A733AF">
      <w:pPr>
        <w:rPr>
          <w:color w:val="FF0000"/>
          <w:sz w:val="24"/>
          <w:szCs w:val="24"/>
        </w:rPr>
      </w:pPr>
      <w:r w:rsidRPr="002F5081">
        <w:rPr>
          <w:b/>
          <w:color w:val="FF0000"/>
          <w:sz w:val="24"/>
          <w:szCs w:val="24"/>
          <w:bdr w:val="single" w:sz="4" w:space="0" w:color="auto"/>
        </w:rPr>
        <w:t xml:space="preserve">     </w:t>
      </w:r>
      <w:r w:rsidRPr="002F5081">
        <w:rPr>
          <w:b/>
          <w:color w:val="FF0000"/>
          <w:sz w:val="24"/>
          <w:szCs w:val="24"/>
        </w:rPr>
        <w:t xml:space="preserve">  </w:t>
      </w:r>
      <w:r w:rsidRPr="00AD1D71">
        <w:rPr>
          <w:sz w:val="24"/>
          <w:szCs w:val="24"/>
        </w:rPr>
        <w:t>zmena sadzby</w:t>
      </w:r>
    </w:p>
    <w:p w:rsidR="00A733AF" w:rsidRPr="00A21C46" w:rsidRDefault="003E687D" w:rsidP="00A733AF">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10795</wp:posOffset>
                </wp:positionV>
                <wp:extent cx="171450" cy="161925"/>
                <wp:effectExtent l="0" t="0" r="19050" b="28575"/>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FE7E54" id="Rovná spojnica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3.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" strokecolor="black [3040]">
                <o:lock v:ext="edit" shapetype="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1270</wp:posOffset>
                </wp:positionV>
                <wp:extent cx="180975" cy="161925"/>
                <wp:effectExtent l="0" t="0" r="28575" b="28575"/>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F7B41D"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pt" to="14.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" strokecolor="black [3040]">
                <o:lock v:ext="edit" shapetype="f"/>
              </v:line>
            </w:pict>
          </mc:Fallback>
        </mc:AlternateContent>
      </w:r>
      <w:r w:rsidR="00A733AF" w:rsidRPr="00A21C46">
        <w:rPr>
          <w:sz w:val="24"/>
          <w:szCs w:val="24"/>
          <w:bdr w:val="single" w:sz="4" w:space="0" w:color="auto"/>
        </w:rPr>
        <w:t xml:space="preserve">     </w:t>
      </w:r>
      <w:r w:rsidR="00A733AF" w:rsidRPr="00A21C46">
        <w:rPr>
          <w:sz w:val="24"/>
          <w:szCs w:val="24"/>
        </w:rPr>
        <w:t xml:space="preserve">  zmena v nároku</w:t>
      </w:r>
    </w:p>
    <w:p w:rsidR="00A733AF" w:rsidRPr="00A21C46" w:rsidRDefault="00A733AF" w:rsidP="00A733AF">
      <w:pPr>
        <w:rPr>
          <w:sz w:val="24"/>
          <w:szCs w:val="24"/>
        </w:rPr>
      </w:pPr>
      <w:r w:rsidRPr="00A21C46">
        <w:rPr>
          <w:sz w:val="24"/>
          <w:szCs w:val="24"/>
          <w:bdr w:val="single" w:sz="4" w:space="0" w:color="auto"/>
        </w:rPr>
        <w:t xml:space="preserve">     </w:t>
      </w:r>
      <w:r w:rsidRPr="00A21C46">
        <w:rPr>
          <w:sz w:val="24"/>
          <w:szCs w:val="24"/>
        </w:rPr>
        <w:t xml:space="preserve">  nová služba alebo nariadenie (alebo ich zrušenie)</w:t>
      </w:r>
    </w:p>
    <w:p w:rsidR="00A733AF" w:rsidRPr="00A21C46" w:rsidRDefault="00A733AF" w:rsidP="00A733AF">
      <w:pPr>
        <w:rPr>
          <w:sz w:val="24"/>
          <w:szCs w:val="24"/>
        </w:rPr>
      </w:pPr>
      <w:r w:rsidRPr="00A21C46">
        <w:rPr>
          <w:sz w:val="24"/>
          <w:szCs w:val="24"/>
          <w:bdr w:val="single" w:sz="4" w:space="0" w:color="auto"/>
        </w:rPr>
        <w:t xml:space="preserve">     </w:t>
      </w:r>
      <w:r w:rsidRPr="00A21C46">
        <w:rPr>
          <w:sz w:val="24"/>
          <w:szCs w:val="24"/>
        </w:rPr>
        <w:t xml:space="preserve">  kombinovaný návrh</w:t>
      </w:r>
    </w:p>
    <w:p w:rsidR="00A733AF" w:rsidRPr="00A21C46" w:rsidRDefault="00A733AF" w:rsidP="00A733AF">
      <w:pPr>
        <w:rPr>
          <w:sz w:val="24"/>
          <w:szCs w:val="24"/>
        </w:rPr>
      </w:pPr>
      <w:r w:rsidRPr="00A21C46">
        <w:rPr>
          <w:sz w:val="24"/>
          <w:szCs w:val="24"/>
          <w:bdr w:val="single" w:sz="4" w:space="0" w:color="auto"/>
        </w:rPr>
        <w:t xml:space="preserve">     </w:t>
      </w:r>
      <w:r w:rsidRPr="00A21C46">
        <w:rPr>
          <w:sz w:val="24"/>
          <w:szCs w:val="24"/>
        </w:rPr>
        <w:t xml:space="preserve">  iné </w:t>
      </w:r>
    </w:p>
    <w:p w:rsidR="00A733AF" w:rsidRPr="00A21C46" w:rsidRDefault="00A733AF" w:rsidP="00A733AF">
      <w:pPr>
        <w:rPr>
          <w:sz w:val="24"/>
          <w:szCs w:val="24"/>
        </w:rPr>
      </w:pPr>
    </w:p>
    <w:p w:rsidR="00A733AF" w:rsidRDefault="00A733AF" w:rsidP="00A733AF">
      <w:pPr>
        <w:rPr>
          <w:b/>
          <w:bCs/>
          <w:sz w:val="24"/>
          <w:szCs w:val="24"/>
        </w:rPr>
      </w:pPr>
    </w:p>
    <w:p w:rsidR="00A733AF" w:rsidRDefault="00A733AF" w:rsidP="00A733AF">
      <w:pPr>
        <w:rPr>
          <w:b/>
          <w:bCs/>
          <w:sz w:val="24"/>
          <w:szCs w:val="24"/>
        </w:rPr>
      </w:pPr>
    </w:p>
    <w:p w:rsidR="00A733AF" w:rsidRPr="00A21C46" w:rsidRDefault="00A733AF" w:rsidP="00A733AF">
      <w:pPr>
        <w:rPr>
          <w:sz w:val="24"/>
          <w:szCs w:val="24"/>
        </w:rPr>
      </w:pPr>
      <w:r w:rsidRPr="00A21C46">
        <w:rPr>
          <w:b/>
          <w:bCs/>
          <w:sz w:val="24"/>
          <w:szCs w:val="24"/>
        </w:rPr>
        <w:t>2.2.3. Predpoklady vývoja objemu aktivít:</w:t>
      </w:r>
    </w:p>
    <w:p w:rsidR="00A733AF" w:rsidRPr="00A21C46" w:rsidRDefault="00A733AF" w:rsidP="00A733AF">
      <w:pPr>
        <w:rPr>
          <w:sz w:val="24"/>
          <w:szCs w:val="24"/>
        </w:rPr>
      </w:pPr>
    </w:p>
    <w:p w:rsidR="00A733AF" w:rsidRPr="00A21C46" w:rsidRDefault="00A733AF" w:rsidP="00A733AF">
      <w:pPr>
        <w:ind w:firstLine="708"/>
        <w:jc w:val="both"/>
        <w:rPr>
          <w:sz w:val="24"/>
          <w:szCs w:val="24"/>
        </w:rPr>
      </w:pPr>
      <w:r w:rsidRPr="00A21C46">
        <w:rPr>
          <w:sz w:val="24"/>
          <w:szCs w:val="24"/>
        </w:rPr>
        <w:t>Jasne popíšte, v prípade potreby použite nižšie uvedenú tabuľku. Uveďte aj odhady základov daní a/alebo poplatkov, ak sa ich táto zmena týka.</w:t>
      </w:r>
    </w:p>
    <w:p w:rsidR="002255B0" w:rsidRDefault="002255B0" w:rsidP="00A733AF">
      <w:pPr>
        <w:jc w:val="right"/>
        <w:rPr>
          <w:sz w:val="24"/>
          <w:szCs w:val="24"/>
        </w:rPr>
      </w:pPr>
    </w:p>
    <w:p w:rsidR="000278BA" w:rsidRDefault="000278BA" w:rsidP="00A733AF">
      <w:pPr>
        <w:jc w:val="right"/>
        <w:rPr>
          <w:sz w:val="24"/>
          <w:szCs w:val="24"/>
        </w:rPr>
      </w:pPr>
    </w:p>
    <w:p w:rsidR="00A733AF" w:rsidRPr="00A21C46" w:rsidRDefault="00A733AF" w:rsidP="00A733AF">
      <w:pPr>
        <w:jc w:val="right"/>
        <w:rPr>
          <w:sz w:val="24"/>
          <w:szCs w:val="24"/>
        </w:rPr>
      </w:pPr>
      <w:r w:rsidRPr="00A21C46">
        <w:rPr>
          <w:sz w:val="24"/>
          <w:szCs w:val="24"/>
        </w:rPr>
        <w:lastRenderedPageBreak/>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733AF" w:rsidRPr="00A21C46" w:rsidTr="00A716FC">
        <w:trPr>
          <w:cantSplit/>
          <w:trHeight w:val="70"/>
        </w:trPr>
        <w:tc>
          <w:tcPr>
            <w:tcW w:w="4530" w:type="dxa"/>
            <w:vMerge w:val="restart"/>
            <w:shd w:val="clear" w:color="auto" w:fill="BFBFBF" w:themeFill="background1" w:themeFillShade="BF"/>
            <w:vAlign w:val="center"/>
          </w:tcPr>
          <w:p w:rsidR="00A733AF" w:rsidRPr="00A21C46" w:rsidRDefault="00A733AF" w:rsidP="00A716FC">
            <w:pPr>
              <w:autoSpaceDE w:val="0"/>
              <w:autoSpaceDN w:val="0"/>
              <w:adjustRightInd w:val="0"/>
              <w:jc w:val="center"/>
              <w:rPr>
                <w:b/>
                <w:bCs/>
                <w:sz w:val="24"/>
                <w:szCs w:val="24"/>
              </w:rPr>
            </w:pPr>
            <w:r w:rsidRPr="00A21C46">
              <w:rPr>
                <w:b/>
                <w:bCs/>
                <w:sz w:val="24"/>
                <w:szCs w:val="24"/>
              </w:rPr>
              <w:t>Objem aktivít</w:t>
            </w:r>
          </w:p>
        </w:tc>
        <w:tc>
          <w:tcPr>
            <w:tcW w:w="1134" w:type="dxa"/>
            <w:gridSpan w:val="4"/>
            <w:shd w:val="clear" w:color="auto" w:fill="BFBFBF" w:themeFill="background1" w:themeFillShade="BF"/>
            <w:vAlign w:val="center"/>
          </w:tcPr>
          <w:p w:rsidR="00A733AF" w:rsidRPr="00A21C46" w:rsidRDefault="00A733AF" w:rsidP="00A716FC">
            <w:pPr>
              <w:autoSpaceDE w:val="0"/>
              <w:autoSpaceDN w:val="0"/>
              <w:adjustRightInd w:val="0"/>
              <w:jc w:val="center"/>
              <w:rPr>
                <w:b/>
                <w:bCs/>
                <w:sz w:val="24"/>
                <w:szCs w:val="24"/>
              </w:rPr>
            </w:pPr>
            <w:r w:rsidRPr="00A21C46">
              <w:rPr>
                <w:b/>
                <w:bCs/>
                <w:sz w:val="24"/>
                <w:szCs w:val="24"/>
              </w:rPr>
              <w:t>Odhadované objemy</w:t>
            </w:r>
          </w:p>
        </w:tc>
      </w:tr>
      <w:tr w:rsidR="00A733AF" w:rsidRPr="00A21C46" w:rsidTr="00A716FC">
        <w:trPr>
          <w:cantSplit/>
          <w:trHeight w:val="70"/>
        </w:trPr>
        <w:tc>
          <w:tcPr>
            <w:tcW w:w="4530" w:type="dxa"/>
            <w:vMerge/>
            <w:shd w:val="clear" w:color="auto" w:fill="BFBFBF" w:themeFill="background1" w:themeFillShade="BF"/>
          </w:tcPr>
          <w:p w:rsidR="00A733AF" w:rsidRPr="00A21C46" w:rsidRDefault="00A733AF" w:rsidP="00A716FC">
            <w:pPr>
              <w:autoSpaceDE w:val="0"/>
              <w:autoSpaceDN w:val="0"/>
              <w:adjustRightInd w:val="0"/>
              <w:jc w:val="center"/>
              <w:rPr>
                <w:b/>
                <w:bCs/>
                <w:sz w:val="24"/>
                <w:szCs w:val="24"/>
              </w:rPr>
            </w:pPr>
          </w:p>
        </w:tc>
        <w:tc>
          <w:tcPr>
            <w:tcW w:w="1134" w:type="dxa"/>
            <w:shd w:val="clear" w:color="auto" w:fill="BFBFBF" w:themeFill="background1" w:themeFillShade="BF"/>
            <w:vAlign w:val="center"/>
          </w:tcPr>
          <w:p w:rsidR="00A733AF" w:rsidRPr="00A21C46" w:rsidRDefault="00A733AF" w:rsidP="00A716FC">
            <w:pPr>
              <w:autoSpaceDE w:val="0"/>
              <w:autoSpaceDN w:val="0"/>
              <w:adjustRightInd w:val="0"/>
              <w:jc w:val="center"/>
              <w:rPr>
                <w:b/>
                <w:bCs/>
                <w:sz w:val="24"/>
                <w:szCs w:val="24"/>
              </w:rPr>
            </w:pPr>
            <w:r w:rsidRPr="00A21C46">
              <w:rPr>
                <w:b/>
                <w:bCs/>
                <w:sz w:val="24"/>
                <w:szCs w:val="24"/>
              </w:rPr>
              <w:t>r</w:t>
            </w:r>
          </w:p>
        </w:tc>
        <w:tc>
          <w:tcPr>
            <w:tcW w:w="1134" w:type="dxa"/>
            <w:shd w:val="clear" w:color="auto" w:fill="BFBFBF" w:themeFill="background1" w:themeFillShade="BF"/>
            <w:vAlign w:val="center"/>
          </w:tcPr>
          <w:p w:rsidR="00A733AF" w:rsidRPr="00A21C46" w:rsidRDefault="00A733AF" w:rsidP="00A716FC">
            <w:pPr>
              <w:autoSpaceDE w:val="0"/>
              <w:autoSpaceDN w:val="0"/>
              <w:adjustRightInd w:val="0"/>
              <w:jc w:val="center"/>
              <w:rPr>
                <w:b/>
                <w:bCs/>
                <w:sz w:val="24"/>
                <w:szCs w:val="24"/>
              </w:rPr>
            </w:pPr>
            <w:r w:rsidRPr="00A21C46">
              <w:rPr>
                <w:b/>
                <w:bCs/>
                <w:sz w:val="24"/>
                <w:szCs w:val="24"/>
              </w:rPr>
              <w:t>r + 1</w:t>
            </w:r>
          </w:p>
        </w:tc>
        <w:tc>
          <w:tcPr>
            <w:tcW w:w="1134" w:type="dxa"/>
            <w:shd w:val="clear" w:color="auto" w:fill="BFBFBF" w:themeFill="background1" w:themeFillShade="BF"/>
            <w:vAlign w:val="center"/>
          </w:tcPr>
          <w:p w:rsidR="00A733AF" w:rsidRPr="00A21C46" w:rsidRDefault="00A733AF" w:rsidP="00A716FC">
            <w:pPr>
              <w:autoSpaceDE w:val="0"/>
              <w:autoSpaceDN w:val="0"/>
              <w:adjustRightInd w:val="0"/>
              <w:jc w:val="center"/>
              <w:rPr>
                <w:b/>
                <w:bCs/>
                <w:sz w:val="24"/>
                <w:szCs w:val="24"/>
              </w:rPr>
            </w:pPr>
            <w:r w:rsidRPr="00A21C46">
              <w:rPr>
                <w:b/>
                <w:bCs/>
                <w:sz w:val="24"/>
                <w:szCs w:val="24"/>
              </w:rPr>
              <w:t>r + 2</w:t>
            </w:r>
          </w:p>
        </w:tc>
        <w:tc>
          <w:tcPr>
            <w:tcW w:w="1134" w:type="dxa"/>
            <w:shd w:val="clear" w:color="auto" w:fill="BFBFBF" w:themeFill="background1" w:themeFillShade="BF"/>
            <w:vAlign w:val="center"/>
          </w:tcPr>
          <w:p w:rsidR="00A733AF" w:rsidRPr="00A21C46" w:rsidRDefault="00A733AF" w:rsidP="00A716FC">
            <w:pPr>
              <w:autoSpaceDE w:val="0"/>
              <w:autoSpaceDN w:val="0"/>
              <w:adjustRightInd w:val="0"/>
              <w:jc w:val="center"/>
              <w:rPr>
                <w:b/>
                <w:bCs/>
                <w:sz w:val="24"/>
                <w:szCs w:val="24"/>
              </w:rPr>
            </w:pPr>
            <w:r w:rsidRPr="00A21C46">
              <w:rPr>
                <w:b/>
                <w:bCs/>
                <w:sz w:val="24"/>
                <w:szCs w:val="24"/>
              </w:rPr>
              <w:t>r + 3</w:t>
            </w:r>
          </w:p>
        </w:tc>
      </w:tr>
      <w:tr w:rsidR="00A733AF" w:rsidRPr="00A21C46" w:rsidTr="00A716FC">
        <w:trPr>
          <w:trHeight w:val="70"/>
        </w:trPr>
        <w:tc>
          <w:tcPr>
            <w:tcW w:w="4530" w:type="dxa"/>
          </w:tcPr>
          <w:p w:rsidR="00A733AF" w:rsidRPr="00A21C46" w:rsidRDefault="00A733AF" w:rsidP="00A716FC">
            <w:pPr>
              <w:autoSpaceDE w:val="0"/>
              <w:autoSpaceDN w:val="0"/>
              <w:adjustRightInd w:val="0"/>
              <w:rPr>
                <w:color w:val="000000"/>
                <w:sz w:val="24"/>
                <w:szCs w:val="24"/>
              </w:rPr>
            </w:pPr>
            <w:r w:rsidRPr="00A21C46">
              <w:rPr>
                <w:color w:val="000000"/>
                <w:sz w:val="24"/>
                <w:szCs w:val="24"/>
              </w:rPr>
              <w:t>Indikátor ABC</w:t>
            </w: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r>
      <w:tr w:rsidR="00A733AF" w:rsidRPr="00A21C46" w:rsidTr="00A716FC">
        <w:trPr>
          <w:trHeight w:val="70"/>
        </w:trPr>
        <w:tc>
          <w:tcPr>
            <w:tcW w:w="4530" w:type="dxa"/>
          </w:tcPr>
          <w:p w:rsidR="00A733AF" w:rsidRPr="00A21C46" w:rsidRDefault="00A733AF" w:rsidP="00A716FC">
            <w:pPr>
              <w:autoSpaceDE w:val="0"/>
              <w:autoSpaceDN w:val="0"/>
              <w:adjustRightInd w:val="0"/>
              <w:rPr>
                <w:color w:val="000000"/>
                <w:sz w:val="24"/>
                <w:szCs w:val="24"/>
              </w:rPr>
            </w:pPr>
            <w:r w:rsidRPr="00A21C46">
              <w:rPr>
                <w:color w:val="000000"/>
                <w:sz w:val="24"/>
                <w:szCs w:val="24"/>
              </w:rPr>
              <w:t>Indikátor KLM</w:t>
            </w: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r>
      <w:tr w:rsidR="00A733AF" w:rsidRPr="00A21C46" w:rsidTr="00A716FC">
        <w:trPr>
          <w:trHeight w:val="70"/>
        </w:trPr>
        <w:tc>
          <w:tcPr>
            <w:tcW w:w="4530" w:type="dxa"/>
          </w:tcPr>
          <w:p w:rsidR="00A733AF" w:rsidRPr="00A21C46" w:rsidRDefault="00A733AF" w:rsidP="00A716FC">
            <w:pPr>
              <w:autoSpaceDE w:val="0"/>
              <w:autoSpaceDN w:val="0"/>
              <w:adjustRightInd w:val="0"/>
              <w:rPr>
                <w:color w:val="000000"/>
                <w:sz w:val="24"/>
                <w:szCs w:val="24"/>
              </w:rPr>
            </w:pPr>
            <w:r w:rsidRPr="00A21C46">
              <w:rPr>
                <w:color w:val="000000"/>
                <w:sz w:val="24"/>
                <w:szCs w:val="24"/>
              </w:rPr>
              <w:t>Indikátor XYZ</w:t>
            </w: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c>
          <w:tcPr>
            <w:tcW w:w="1134" w:type="dxa"/>
          </w:tcPr>
          <w:p w:rsidR="00A733AF" w:rsidRPr="00A21C46" w:rsidRDefault="00A733AF" w:rsidP="00A716FC">
            <w:pPr>
              <w:autoSpaceDE w:val="0"/>
              <w:autoSpaceDN w:val="0"/>
              <w:adjustRightInd w:val="0"/>
              <w:jc w:val="right"/>
              <w:rPr>
                <w:color w:val="000000"/>
                <w:sz w:val="24"/>
                <w:szCs w:val="24"/>
              </w:rPr>
            </w:pPr>
          </w:p>
        </w:tc>
      </w:tr>
    </w:tbl>
    <w:p w:rsidR="00A733AF" w:rsidRPr="00A21C46" w:rsidRDefault="00A733AF" w:rsidP="00A733AF">
      <w:pPr>
        <w:rPr>
          <w:sz w:val="24"/>
          <w:szCs w:val="24"/>
        </w:rPr>
      </w:pPr>
    </w:p>
    <w:p w:rsidR="00A733AF" w:rsidRPr="00A21C46" w:rsidRDefault="00A733AF" w:rsidP="00A733AF">
      <w:pPr>
        <w:rPr>
          <w:sz w:val="24"/>
          <w:szCs w:val="24"/>
        </w:rPr>
      </w:pPr>
    </w:p>
    <w:p w:rsidR="00A733AF" w:rsidRPr="00A21C46" w:rsidRDefault="00A733AF" w:rsidP="00A733AF">
      <w:pPr>
        <w:rPr>
          <w:b/>
          <w:bCs/>
          <w:sz w:val="24"/>
          <w:szCs w:val="24"/>
        </w:rPr>
      </w:pPr>
    </w:p>
    <w:p w:rsidR="00A733AF" w:rsidRPr="00A21C46" w:rsidRDefault="00A733AF" w:rsidP="00A733AF">
      <w:pPr>
        <w:rPr>
          <w:b/>
          <w:bCs/>
          <w:sz w:val="24"/>
          <w:szCs w:val="24"/>
        </w:rPr>
      </w:pPr>
      <w:r w:rsidRPr="00A21C46">
        <w:rPr>
          <w:b/>
          <w:bCs/>
          <w:sz w:val="24"/>
          <w:szCs w:val="24"/>
        </w:rPr>
        <w:t>2.2.4. Výpočty vplyvov na verejné financie</w:t>
      </w:r>
    </w:p>
    <w:p w:rsidR="00A733AF" w:rsidRPr="00A21C46" w:rsidRDefault="00A733AF" w:rsidP="00A733AF">
      <w:pPr>
        <w:rPr>
          <w:sz w:val="24"/>
          <w:szCs w:val="24"/>
        </w:rPr>
      </w:pPr>
    </w:p>
    <w:p w:rsidR="00A733AF" w:rsidRPr="00A21C46" w:rsidRDefault="00A733AF" w:rsidP="00A733AF">
      <w:pPr>
        <w:ind w:firstLine="708"/>
        <w:jc w:val="both"/>
        <w:rPr>
          <w:sz w:val="24"/>
          <w:szCs w:val="24"/>
        </w:rPr>
      </w:pPr>
      <w:r w:rsidRPr="00A21C46">
        <w:rPr>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733AF" w:rsidRPr="00A21C46" w:rsidRDefault="00A733AF" w:rsidP="00A733AF">
      <w:pPr>
        <w:ind w:firstLine="708"/>
        <w:jc w:val="both"/>
        <w:rPr>
          <w:sz w:val="24"/>
          <w:szCs w:val="24"/>
        </w:rPr>
      </w:pPr>
    </w:p>
    <w:p w:rsidR="00A733AF" w:rsidRPr="004B7D39" w:rsidRDefault="00A733AF"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A21C46">
        <w:rPr>
          <w:bCs/>
          <w:color w:val="000000" w:themeColor="text1"/>
          <w:sz w:val="24"/>
          <w:szCs w:val="24"/>
        </w:rPr>
        <w:t>MF SR požiadalo</w:t>
      </w:r>
      <w:r>
        <w:rPr>
          <w:bCs/>
          <w:color w:val="000000" w:themeColor="text1"/>
          <w:sz w:val="24"/>
          <w:szCs w:val="24"/>
        </w:rPr>
        <w:t xml:space="preserve"> FR SR o kvantifikáciu dopadov </w:t>
      </w:r>
      <w:r w:rsidRPr="00A21C46">
        <w:rPr>
          <w:bCs/>
          <w:color w:val="000000" w:themeColor="text1"/>
          <w:sz w:val="24"/>
          <w:szCs w:val="24"/>
        </w:rPr>
        <w:t>na informačný systém FS v sú</w:t>
      </w:r>
      <w:r w:rsidR="006564D3">
        <w:rPr>
          <w:bCs/>
          <w:color w:val="000000" w:themeColor="text1"/>
          <w:sz w:val="24"/>
          <w:szCs w:val="24"/>
        </w:rPr>
        <w:t>vislosti s navrhovanými opatreniami</w:t>
      </w:r>
      <w:r w:rsidRPr="00A21C46">
        <w:rPr>
          <w:bCs/>
          <w:color w:val="000000" w:themeColor="text1"/>
          <w:sz w:val="24"/>
          <w:szCs w:val="24"/>
        </w:rPr>
        <w:t xml:space="preserve">. Z odpovede vyplynulo, že odhadovaný finančný dopad na zmenu informačných systémov predstavuje čiastku </w:t>
      </w:r>
      <w:r w:rsidR="002F5081" w:rsidRPr="004B7D39">
        <w:rPr>
          <w:bCs/>
          <w:color w:val="000000" w:themeColor="text1"/>
          <w:sz w:val="24"/>
          <w:szCs w:val="24"/>
        </w:rPr>
        <w:t>5</w:t>
      </w:r>
      <w:r w:rsidR="002255B0" w:rsidRPr="004B7D39">
        <w:rPr>
          <w:bCs/>
          <w:color w:val="000000" w:themeColor="text1"/>
          <w:sz w:val="24"/>
          <w:szCs w:val="24"/>
        </w:rPr>
        <w:t>41</w:t>
      </w:r>
      <w:r w:rsidRPr="004B7D39">
        <w:rPr>
          <w:bCs/>
          <w:color w:val="000000" w:themeColor="text1"/>
          <w:sz w:val="24"/>
          <w:szCs w:val="24"/>
        </w:rPr>
        <w:t> 300 eur s DPH v členení na :</w:t>
      </w:r>
    </w:p>
    <w:p w:rsidR="00A733AF" w:rsidRPr="004B7D39" w:rsidRDefault="002F5081"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4B7D39">
        <w:rPr>
          <w:bCs/>
          <w:color w:val="000000" w:themeColor="text1"/>
          <w:sz w:val="24"/>
          <w:szCs w:val="24"/>
        </w:rPr>
        <w:t>- Informačné systémy finančnej správy</w:t>
      </w:r>
      <w:r w:rsidR="00A733AF" w:rsidRPr="004B7D39">
        <w:rPr>
          <w:bCs/>
          <w:color w:val="000000" w:themeColor="text1"/>
          <w:sz w:val="24"/>
          <w:szCs w:val="24"/>
        </w:rPr>
        <w:t xml:space="preserve"> - </w:t>
      </w:r>
      <w:r w:rsidRPr="004B7D39">
        <w:rPr>
          <w:bCs/>
          <w:color w:val="000000" w:themeColor="text1"/>
          <w:sz w:val="24"/>
          <w:szCs w:val="24"/>
        </w:rPr>
        <w:t>4</w:t>
      </w:r>
      <w:r w:rsidR="002255B0" w:rsidRPr="004B7D39">
        <w:rPr>
          <w:bCs/>
          <w:color w:val="000000" w:themeColor="text1"/>
          <w:sz w:val="24"/>
          <w:szCs w:val="24"/>
        </w:rPr>
        <w:t>21</w:t>
      </w:r>
      <w:r w:rsidR="00A733AF" w:rsidRPr="004B7D39">
        <w:rPr>
          <w:bCs/>
          <w:color w:val="000000" w:themeColor="text1"/>
          <w:sz w:val="24"/>
          <w:szCs w:val="24"/>
        </w:rPr>
        <w:t xml:space="preserve"> 000 eur – financuje FR SR </w:t>
      </w:r>
    </w:p>
    <w:p w:rsidR="006564D3" w:rsidRPr="00A21C46" w:rsidRDefault="00A733AF"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A21C46">
        <w:rPr>
          <w:bCs/>
          <w:color w:val="000000" w:themeColor="text1"/>
          <w:sz w:val="24"/>
          <w:szCs w:val="24"/>
        </w:rPr>
        <w:t>- Portál FS –        120 300 eur – financuje MF SR.</w:t>
      </w:r>
    </w:p>
    <w:p w:rsidR="00A733AF" w:rsidRPr="00A21C46" w:rsidRDefault="00A733AF"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p>
    <w:p w:rsidR="006564D3" w:rsidRDefault="000271D4"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Pr>
          <w:bCs/>
          <w:color w:val="000000" w:themeColor="text1"/>
          <w:sz w:val="24"/>
          <w:szCs w:val="24"/>
        </w:rPr>
        <w:t>Finančné prostriedky v roku 2018 budú zabezpečené v rámci limitov rozpočtu VS na rok 2018.</w:t>
      </w:r>
    </w:p>
    <w:p w:rsidR="006564D3" w:rsidRDefault="006564D3"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p>
    <w:p w:rsidR="007022E1" w:rsidRPr="004B7D39" w:rsidRDefault="006564D3" w:rsidP="00A733AF">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4B7D39">
        <w:rPr>
          <w:bCs/>
          <w:color w:val="000000" w:themeColor="text1"/>
          <w:sz w:val="24"/>
          <w:szCs w:val="24"/>
        </w:rPr>
        <w:t xml:space="preserve">Zníženie príjmov štátneho rozpočtu </w:t>
      </w:r>
      <w:r w:rsidR="007022E1" w:rsidRPr="004B7D39">
        <w:rPr>
          <w:bCs/>
          <w:color w:val="000000" w:themeColor="text1"/>
          <w:sz w:val="24"/>
          <w:szCs w:val="24"/>
        </w:rPr>
        <w:t>z časového a vecného hľadiska:</w:t>
      </w:r>
    </w:p>
    <w:p w:rsidR="007022E1" w:rsidRPr="004B7D39" w:rsidRDefault="00AD1D71" w:rsidP="007022E1">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4B7D39">
        <w:rPr>
          <w:bCs/>
          <w:color w:val="000000" w:themeColor="text1"/>
          <w:sz w:val="24"/>
          <w:szCs w:val="24"/>
        </w:rPr>
        <w:t xml:space="preserve">- </w:t>
      </w:r>
      <w:r w:rsidR="007022E1" w:rsidRPr="004B7D39">
        <w:rPr>
          <w:bCs/>
          <w:color w:val="000000" w:themeColor="text1"/>
          <w:sz w:val="24"/>
          <w:szCs w:val="24"/>
        </w:rPr>
        <w:t xml:space="preserve">2019 : </w:t>
      </w:r>
      <w:r w:rsidR="004B7D39" w:rsidRPr="004B7D39">
        <w:rPr>
          <w:bCs/>
          <w:color w:val="000000" w:themeColor="text1"/>
          <w:sz w:val="24"/>
          <w:szCs w:val="24"/>
        </w:rPr>
        <w:t xml:space="preserve">2,1 </w:t>
      </w:r>
      <w:r w:rsidR="007022E1" w:rsidRPr="004B7D39">
        <w:rPr>
          <w:bCs/>
          <w:color w:val="000000" w:themeColor="text1"/>
          <w:sz w:val="24"/>
          <w:szCs w:val="24"/>
        </w:rPr>
        <w:t>mil. eur vrát</w:t>
      </w:r>
      <w:r w:rsidRPr="004B7D39">
        <w:rPr>
          <w:bCs/>
          <w:color w:val="000000" w:themeColor="text1"/>
          <w:sz w:val="24"/>
          <w:szCs w:val="24"/>
        </w:rPr>
        <w:t xml:space="preserve">enie </w:t>
      </w:r>
      <w:r w:rsidR="007022E1" w:rsidRPr="004B7D39">
        <w:rPr>
          <w:bCs/>
          <w:color w:val="000000" w:themeColor="text1"/>
          <w:sz w:val="24"/>
          <w:szCs w:val="24"/>
        </w:rPr>
        <w:t>DPH cestujúcim pri vývoze tovaru,</w:t>
      </w:r>
    </w:p>
    <w:p w:rsidR="007022E1" w:rsidRPr="004B7D39" w:rsidRDefault="00AD1D71" w:rsidP="007022E1">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4B7D39">
        <w:rPr>
          <w:bCs/>
          <w:color w:val="000000" w:themeColor="text1"/>
          <w:sz w:val="24"/>
          <w:szCs w:val="24"/>
        </w:rPr>
        <w:t xml:space="preserve">- </w:t>
      </w:r>
      <w:r w:rsidR="004B7D39" w:rsidRPr="004B7D39">
        <w:rPr>
          <w:bCs/>
          <w:color w:val="000000" w:themeColor="text1"/>
          <w:sz w:val="24"/>
          <w:szCs w:val="24"/>
        </w:rPr>
        <w:t>2020 : 2,</w:t>
      </w:r>
      <w:r w:rsidR="00994067">
        <w:rPr>
          <w:bCs/>
          <w:color w:val="000000" w:themeColor="text1"/>
          <w:sz w:val="24"/>
          <w:szCs w:val="24"/>
        </w:rPr>
        <w:t>4</w:t>
      </w:r>
      <w:r w:rsidR="007022E1" w:rsidRPr="004B7D39">
        <w:rPr>
          <w:bCs/>
          <w:color w:val="000000" w:themeColor="text1"/>
          <w:sz w:val="24"/>
          <w:szCs w:val="24"/>
        </w:rPr>
        <w:t xml:space="preserve"> mil. eur vrátenie</w:t>
      </w:r>
      <w:r w:rsidR="007022E1" w:rsidRPr="004B7D39">
        <w:rPr>
          <w:bCs/>
          <w:color w:val="000000" w:themeColor="text1"/>
          <w:sz w:val="24"/>
          <w:szCs w:val="24"/>
        </w:rPr>
        <w:tab/>
        <w:t>DPH cestujúcim pri vývoze tovaru,</w:t>
      </w:r>
    </w:p>
    <w:p w:rsidR="007022E1" w:rsidRPr="004B7D39" w:rsidRDefault="00AD1D71" w:rsidP="007022E1">
      <w:pPr>
        <w:pBdr>
          <w:top w:val="single" w:sz="4" w:space="1" w:color="auto"/>
          <w:left w:val="single" w:sz="4" w:space="4" w:color="auto"/>
          <w:bottom w:val="single" w:sz="4" w:space="0" w:color="auto"/>
          <w:right w:val="single" w:sz="4" w:space="4" w:color="auto"/>
        </w:pBdr>
        <w:jc w:val="both"/>
        <w:rPr>
          <w:bCs/>
          <w:color w:val="000000" w:themeColor="text1"/>
          <w:sz w:val="24"/>
          <w:szCs w:val="24"/>
        </w:rPr>
      </w:pPr>
      <w:r w:rsidRPr="004B7D39">
        <w:rPr>
          <w:bCs/>
          <w:color w:val="000000" w:themeColor="text1"/>
          <w:sz w:val="24"/>
          <w:szCs w:val="24"/>
        </w:rPr>
        <w:t xml:space="preserve">- </w:t>
      </w:r>
      <w:r w:rsidR="007022E1" w:rsidRPr="004B7D39">
        <w:rPr>
          <w:bCs/>
          <w:color w:val="000000" w:themeColor="text1"/>
          <w:sz w:val="24"/>
          <w:szCs w:val="24"/>
        </w:rPr>
        <w:t xml:space="preserve">2021 : </w:t>
      </w:r>
      <w:r w:rsidR="004B7D39" w:rsidRPr="004B7D39">
        <w:rPr>
          <w:bCs/>
          <w:color w:val="000000" w:themeColor="text1"/>
          <w:sz w:val="24"/>
          <w:szCs w:val="24"/>
        </w:rPr>
        <w:t>2,</w:t>
      </w:r>
      <w:r w:rsidR="00994067">
        <w:rPr>
          <w:bCs/>
          <w:color w:val="000000" w:themeColor="text1"/>
          <w:sz w:val="24"/>
          <w:szCs w:val="24"/>
        </w:rPr>
        <w:t>8</w:t>
      </w:r>
      <w:r w:rsidR="007022E1" w:rsidRPr="004B7D39">
        <w:rPr>
          <w:bCs/>
          <w:color w:val="000000" w:themeColor="text1"/>
          <w:sz w:val="24"/>
          <w:szCs w:val="24"/>
        </w:rPr>
        <w:t xml:space="preserve"> mil. eur vrátenie</w:t>
      </w:r>
      <w:r w:rsidR="007022E1" w:rsidRPr="004B7D39">
        <w:rPr>
          <w:bCs/>
          <w:color w:val="000000" w:themeColor="text1"/>
          <w:sz w:val="24"/>
          <w:szCs w:val="24"/>
        </w:rPr>
        <w:tab/>
        <w:t>DPH cestujúcim pri vývoze tovaru.</w:t>
      </w:r>
    </w:p>
    <w:p w:rsidR="00A733AF" w:rsidRPr="00A21C46" w:rsidRDefault="00A733AF" w:rsidP="00A733AF">
      <w:pPr>
        <w:pBdr>
          <w:top w:val="single" w:sz="4" w:space="1" w:color="auto"/>
          <w:left w:val="single" w:sz="4" w:space="4" w:color="auto"/>
          <w:bottom w:val="single" w:sz="4" w:space="0" w:color="auto"/>
          <w:right w:val="single" w:sz="4" w:space="4" w:color="auto"/>
        </w:pBdr>
        <w:jc w:val="both"/>
        <w:rPr>
          <w:bCs/>
          <w:color w:val="FF0000"/>
          <w:sz w:val="24"/>
          <w:szCs w:val="24"/>
        </w:rPr>
      </w:pPr>
    </w:p>
    <w:p w:rsidR="00A733AF" w:rsidRPr="00A21C46" w:rsidRDefault="00A733AF" w:rsidP="00A733AF">
      <w:pPr>
        <w:ind w:firstLine="708"/>
        <w:jc w:val="both"/>
        <w:rPr>
          <w:sz w:val="24"/>
          <w:szCs w:val="24"/>
        </w:rPr>
      </w:pPr>
    </w:p>
    <w:p w:rsidR="00A733AF" w:rsidRPr="00A21C46" w:rsidRDefault="00A733AF" w:rsidP="00A733AF">
      <w:pPr>
        <w:jc w:val="both"/>
        <w:rPr>
          <w:sz w:val="24"/>
          <w:szCs w:val="24"/>
        </w:rPr>
      </w:pP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Cs/>
          <w:sz w:val="24"/>
          <w:szCs w:val="24"/>
        </w:rPr>
        <w:sectPr w:rsidR="00A733AF" w:rsidRPr="00A21C46" w:rsidSect="008719E2">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A733AF" w:rsidRPr="00A21C46" w:rsidRDefault="00A733AF" w:rsidP="00A733AF">
      <w:pPr>
        <w:tabs>
          <w:tab w:val="num" w:pos="1080"/>
        </w:tabs>
        <w:jc w:val="right"/>
        <w:rPr>
          <w:bCs/>
          <w:sz w:val="24"/>
          <w:szCs w:val="24"/>
        </w:rPr>
      </w:pPr>
      <w:r w:rsidRPr="00A21C46">
        <w:rPr>
          <w:bCs/>
          <w:sz w:val="24"/>
          <w:szCs w:val="24"/>
        </w:rPr>
        <w:lastRenderedPageBreak/>
        <w:t xml:space="preserve">Tabuľka č. 3 </w:t>
      </w:r>
    </w:p>
    <w:p w:rsidR="00A733AF" w:rsidRPr="00A21C46" w:rsidRDefault="00A733AF" w:rsidP="00A733AF">
      <w:pPr>
        <w:tabs>
          <w:tab w:val="num" w:pos="1080"/>
        </w:tabs>
        <w:jc w:val="both"/>
        <w:rPr>
          <w:bCs/>
          <w:sz w:val="24"/>
          <w:szCs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33AF" w:rsidRPr="00A21C46" w:rsidTr="00A716F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33AF" w:rsidRPr="00A21C46" w:rsidRDefault="00A733AF" w:rsidP="00A716FC">
            <w:pPr>
              <w:jc w:val="center"/>
              <w:rPr>
                <w:b/>
                <w:bCs/>
                <w:sz w:val="24"/>
                <w:szCs w:val="24"/>
              </w:rPr>
            </w:pPr>
            <w:r w:rsidRPr="00A21C46">
              <w:rPr>
                <w:b/>
                <w:bCs/>
                <w:sz w:val="24"/>
                <w:szCs w:val="24"/>
              </w:rPr>
              <w:t>poznámka</w:t>
            </w:r>
          </w:p>
        </w:tc>
      </w:tr>
      <w:tr w:rsidR="00A733AF" w:rsidRPr="00A21C46" w:rsidTr="00A716F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33AF" w:rsidRPr="00A21C46" w:rsidRDefault="00A733AF" w:rsidP="00A716FC">
            <w:pPr>
              <w:rPr>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A733AF" w:rsidRPr="00A21C46" w:rsidRDefault="00A733AF" w:rsidP="00A716FC">
            <w:pPr>
              <w:rPr>
                <w:b/>
                <w:bCs/>
                <w:color w:val="FFFFFF"/>
                <w:sz w:val="24"/>
                <w:szCs w:val="24"/>
              </w:rPr>
            </w:pPr>
          </w:p>
        </w:tc>
      </w:tr>
      <w:tr w:rsidR="002F5081" w:rsidRPr="00A21C46" w:rsidTr="006564D3">
        <w:trPr>
          <w:trHeight w:val="255"/>
        </w:trPr>
        <w:tc>
          <w:tcPr>
            <w:tcW w:w="4950" w:type="dxa"/>
            <w:tcBorders>
              <w:top w:val="nil"/>
              <w:left w:val="single" w:sz="4" w:space="0" w:color="auto"/>
              <w:bottom w:val="single" w:sz="4" w:space="0" w:color="auto"/>
              <w:right w:val="single" w:sz="4" w:space="0" w:color="auto"/>
            </w:tcBorders>
          </w:tcPr>
          <w:p w:rsidR="002F5081" w:rsidRPr="00A21C46" w:rsidRDefault="002F5081" w:rsidP="002F5081">
            <w:pPr>
              <w:rPr>
                <w:b/>
                <w:bCs/>
                <w:sz w:val="24"/>
                <w:szCs w:val="24"/>
                <w:vertAlign w:val="superscript"/>
              </w:rPr>
            </w:pPr>
            <w:r w:rsidRPr="00A21C46">
              <w:rPr>
                <w:b/>
                <w:bCs/>
                <w:sz w:val="24"/>
                <w:szCs w:val="24"/>
              </w:rPr>
              <w:t>Daňové príjmy (100)</w:t>
            </w:r>
            <w:r w:rsidRPr="00A21C46">
              <w:rPr>
                <w:b/>
                <w:bCs/>
                <w:sz w:val="24"/>
                <w:szCs w:val="24"/>
                <w:vertAlign w:val="superscript"/>
              </w:rPr>
              <w:t>1</w:t>
            </w:r>
          </w:p>
        </w:tc>
        <w:tc>
          <w:tcPr>
            <w:tcW w:w="1500" w:type="dxa"/>
            <w:tcBorders>
              <w:top w:val="nil"/>
              <w:left w:val="nil"/>
              <w:bottom w:val="single" w:sz="4" w:space="0" w:color="auto"/>
              <w:right w:val="single" w:sz="4" w:space="0" w:color="auto"/>
            </w:tcBorders>
          </w:tcPr>
          <w:p w:rsidR="002F5081" w:rsidRPr="00A21C46" w:rsidRDefault="002F5081" w:rsidP="002F5081">
            <w:pPr>
              <w:jc w:val="center"/>
              <w:rPr>
                <w:b/>
                <w:bCs/>
                <w:sz w:val="24"/>
                <w:szCs w:val="24"/>
              </w:rPr>
            </w:pPr>
            <w:r w:rsidRPr="00A21C46">
              <w:rPr>
                <w:b/>
                <w:bCs/>
                <w:sz w:val="24"/>
                <w:szCs w:val="24"/>
              </w:rPr>
              <w:t>0</w:t>
            </w:r>
          </w:p>
        </w:tc>
        <w:tc>
          <w:tcPr>
            <w:tcW w:w="1500" w:type="dxa"/>
            <w:tcBorders>
              <w:top w:val="nil"/>
              <w:left w:val="nil"/>
              <w:bottom w:val="single" w:sz="4" w:space="0" w:color="auto"/>
              <w:right w:val="single" w:sz="4" w:space="0" w:color="auto"/>
            </w:tcBorders>
            <w:vAlign w:val="center"/>
          </w:tcPr>
          <w:p w:rsidR="002F5081" w:rsidRPr="004B7D39" w:rsidRDefault="002F5081" w:rsidP="004B7D39">
            <w:pPr>
              <w:jc w:val="center"/>
              <w:rPr>
                <w:b/>
                <w:bCs/>
                <w:color w:val="000000" w:themeColor="text1"/>
                <w:sz w:val="24"/>
                <w:szCs w:val="24"/>
              </w:rPr>
            </w:pPr>
            <w:r w:rsidRPr="004B7D39">
              <w:rPr>
                <w:b/>
                <w:bCs/>
                <w:color w:val="000000" w:themeColor="text1"/>
                <w:sz w:val="24"/>
                <w:szCs w:val="24"/>
              </w:rPr>
              <w:t>-</w:t>
            </w:r>
            <w:r w:rsidR="004B7D39" w:rsidRPr="004B7D39">
              <w:rPr>
                <w:b/>
                <w:bCs/>
                <w:color w:val="000000" w:themeColor="text1"/>
                <w:sz w:val="24"/>
                <w:szCs w:val="24"/>
              </w:rPr>
              <w:t>2 1</w:t>
            </w:r>
            <w:r w:rsidRPr="004B7D39">
              <w:rPr>
                <w:b/>
                <w:bCs/>
                <w:color w:val="000000" w:themeColor="text1"/>
                <w:sz w:val="24"/>
                <w:szCs w:val="24"/>
              </w:rPr>
              <w:t>00 000</w:t>
            </w:r>
          </w:p>
        </w:tc>
        <w:tc>
          <w:tcPr>
            <w:tcW w:w="1500" w:type="dxa"/>
            <w:tcBorders>
              <w:top w:val="nil"/>
              <w:left w:val="nil"/>
              <w:bottom w:val="single" w:sz="4" w:space="0" w:color="auto"/>
              <w:right w:val="single" w:sz="4" w:space="0" w:color="auto"/>
            </w:tcBorders>
            <w:vAlign w:val="center"/>
          </w:tcPr>
          <w:p w:rsidR="002F5081" w:rsidRPr="004B7D39" w:rsidRDefault="002F5081" w:rsidP="00994067">
            <w:pPr>
              <w:jc w:val="center"/>
              <w:rPr>
                <w:b/>
                <w:bCs/>
                <w:color w:val="000000" w:themeColor="text1"/>
                <w:sz w:val="24"/>
                <w:szCs w:val="24"/>
              </w:rPr>
            </w:pPr>
            <w:r w:rsidRPr="004B7D39">
              <w:rPr>
                <w:b/>
                <w:bCs/>
                <w:color w:val="000000" w:themeColor="text1"/>
                <w:sz w:val="24"/>
                <w:szCs w:val="24"/>
              </w:rPr>
              <w:t>-</w:t>
            </w:r>
            <w:r w:rsidR="004B7D39" w:rsidRPr="004B7D39">
              <w:rPr>
                <w:b/>
                <w:bCs/>
                <w:color w:val="000000" w:themeColor="text1"/>
                <w:sz w:val="24"/>
                <w:szCs w:val="24"/>
              </w:rPr>
              <w:t xml:space="preserve">2 </w:t>
            </w:r>
            <w:r w:rsidR="00994067">
              <w:rPr>
                <w:b/>
                <w:bCs/>
                <w:color w:val="000000" w:themeColor="text1"/>
                <w:sz w:val="24"/>
                <w:szCs w:val="24"/>
              </w:rPr>
              <w:t>4</w:t>
            </w:r>
            <w:r w:rsidRPr="004B7D39">
              <w:rPr>
                <w:b/>
                <w:bCs/>
                <w:color w:val="000000" w:themeColor="text1"/>
                <w:sz w:val="24"/>
                <w:szCs w:val="24"/>
              </w:rPr>
              <w:t>00 000</w:t>
            </w:r>
          </w:p>
        </w:tc>
        <w:tc>
          <w:tcPr>
            <w:tcW w:w="1500" w:type="dxa"/>
            <w:tcBorders>
              <w:top w:val="nil"/>
              <w:left w:val="nil"/>
              <w:bottom w:val="single" w:sz="4" w:space="0" w:color="auto"/>
              <w:right w:val="single" w:sz="4" w:space="0" w:color="auto"/>
            </w:tcBorders>
            <w:vAlign w:val="center"/>
          </w:tcPr>
          <w:p w:rsidR="002F5081" w:rsidRPr="004B7D39" w:rsidRDefault="002F5081" w:rsidP="00994067">
            <w:pPr>
              <w:jc w:val="center"/>
              <w:rPr>
                <w:b/>
                <w:bCs/>
                <w:color w:val="000000" w:themeColor="text1"/>
                <w:sz w:val="24"/>
                <w:szCs w:val="24"/>
              </w:rPr>
            </w:pPr>
            <w:r w:rsidRPr="004B7D39">
              <w:rPr>
                <w:b/>
                <w:bCs/>
                <w:color w:val="000000" w:themeColor="text1"/>
                <w:sz w:val="24"/>
                <w:szCs w:val="24"/>
              </w:rPr>
              <w:t>-</w:t>
            </w:r>
            <w:r w:rsidR="004B7D39" w:rsidRPr="004B7D39">
              <w:rPr>
                <w:b/>
                <w:bCs/>
                <w:color w:val="000000" w:themeColor="text1"/>
                <w:sz w:val="24"/>
                <w:szCs w:val="24"/>
              </w:rPr>
              <w:t xml:space="preserve">2 </w:t>
            </w:r>
            <w:r w:rsidR="00994067">
              <w:rPr>
                <w:b/>
                <w:bCs/>
                <w:color w:val="000000" w:themeColor="text1"/>
                <w:sz w:val="24"/>
                <w:szCs w:val="24"/>
              </w:rPr>
              <w:t>8</w:t>
            </w:r>
            <w:r w:rsidR="004B7D39" w:rsidRPr="004B7D39">
              <w:rPr>
                <w:b/>
                <w:bCs/>
                <w:color w:val="000000" w:themeColor="text1"/>
                <w:sz w:val="24"/>
                <w:szCs w:val="24"/>
              </w:rPr>
              <w:t>00</w:t>
            </w:r>
            <w:r w:rsidRPr="004B7D39">
              <w:rPr>
                <w:b/>
                <w:bCs/>
                <w:color w:val="000000" w:themeColor="text1"/>
                <w:sz w:val="24"/>
                <w:szCs w:val="24"/>
              </w:rPr>
              <w:t xml:space="preserve"> 000</w:t>
            </w:r>
          </w:p>
        </w:tc>
        <w:tc>
          <w:tcPr>
            <w:tcW w:w="3000" w:type="dxa"/>
            <w:tcBorders>
              <w:top w:val="nil"/>
              <w:left w:val="nil"/>
              <w:bottom w:val="single" w:sz="4" w:space="0" w:color="auto"/>
              <w:right w:val="single" w:sz="4" w:space="0" w:color="auto"/>
            </w:tcBorders>
            <w:noWrap/>
            <w:vAlign w:val="bottom"/>
          </w:tcPr>
          <w:p w:rsidR="002F5081" w:rsidRPr="00A21C46" w:rsidRDefault="002F5081" w:rsidP="002F5081">
            <w:pPr>
              <w:rPr>
                <w:sz w:val="24"/>
                <w:szCs w:val="24"/>
              </w:rPr>
            </w:pPr>
            <w:r w:rsidRPr="00A21C46">
              <w:rPr>
                <w:sz w:val="24"/>
                <w:szCs w:val="24"/>
              </w:rPr>
              <w:t> </w:t>
            </w:r>
          </w:p>
        </w:tc>
      </w:tr>
      <w:tr w:rsidR="00A733AF" w:rsidRPr="00A21C46" w:rsidTr="00A716FC">
        <w:trPr>
          <w:trHeight w:val="255"/>
        </w:trPr>
        <w:tc>
          <w:tcPr>
            <w:tcW w:w="495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Nedaňové príjmy (200)</w:t>
            </w:r>
            <w:r w:rsidRPr="00A21C46">
              <w:rPr>
                <w:b/>
                <w:bCs/>
                <w:sz w:val="24"/>
                <w:szCs w:val="24"/>
                <w:vertAlign w:val="superscript"/>
              </w:rPr>
              <w:t>1</w:t>
            </w:r>
          </w:p>
        </w:tc>
        <w:tc>
          <w:tcPr>
            <w:tcW w:w="150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00" w:type="dxa"/>
            <w:tcBorders>
              <w:top w:val="nil"/>
              <w:left w:val="nil"/>
              <w:bottom w:val="single" w:sz="4" w:space="0" w:color="auto"/>
              <w:right w:val="single" w:sz="4" w:space="0" w:color="auto"/>
            </w:tcBorders>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tcPr>
          <w:p w:rsidR="00A733AF" w:rsidRPr="00A21C46" w:rsidRDefault="00A733AF" w:rsidP="00AD1D71">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495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Granty a transfery (300)</w:t>
            </w:r>
            <w:r w:rsidRPr="00A21C46">
              <w:rPr>
                <w:b/>
                <w:bCs/>
                <w:sz w:val="24"/>
                <w:szCs w:val="24"/>
                <w:vertAlign w:val="superscript"/>
              </w:rPr>
              <w:t>1</w:t>
            </w:r>
          </w:p>
        </w:tc>
        <w:tc>
          <w:tcPr>
            <w:tcW w:w="150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00" w:type="dxa"/>
            <w:tcBorders>
              <w:top w:val="nil"/>
              <w:left w:val="nil"/>
              <w:bottom w:val="single" w:sz="4" w:space="0" w:color="auto"/>
              <w:right w:val="single" w:sz="4" w:space="0" w:color="auto"/>
            </w:tcBorders>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tcPr>
          <w:p w:rsidR="00A733AF" w:rsidRPr="00A21C46" w:rsidRDefault="00A733AF" w:rsidP="00AD1D71">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495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716FC">
            <w:pPr>
              <w:jc w:val="center"/>
              <w:rPr>
                <w:b/>
                <w:bCs/>
                <w:sz w:val="24"/>
                <w:szCs w:val="24"/>
              </w:rPr>
            </w:pPr>
            <w:r w:rsidRPr="00A21C46">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D1D71">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495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716FC">
            <w:pPr>
              <w:jc w:val="center"/>
              <w:rPr>
                <w:b/>
                <w:bCs/>
                <w:sz w:val="24"/>
                <w:szCs w:val="24"/>
              </w:rPr>
            </w:pPr>
            <w:r w:rsidRPr="00A21C46">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D1D71">
            <w:pPr>
              <w:jc w:val="center"/>
              <w:rPr>
                <w:b/>
                <w:bCs/>
                <w:sz w:val="24"/>
                <w:szCs w:val="24"/>
              </w:rPr>
            </w:pPr>
          </w:p>
        </w:tc>
        <w:tc>
          <w:tcPr>
            <w:tcW w:w="1500" w:type="dxa"/>
            <w:tcBorders>
              <w:top w:val="nil"/>
              <w:left w:val="nil"/>
              <w:bottom w:val="single" w:sz="4" w:space="0" w:color="auto"/>
              <w:right w:val="single" w:sz="4" w:space="0" w:color="auto"/>
            </w:tcBorders>
            <w:shd w:val="clear" w:color="auto" w:fill="FFFF99"/>
          </w:tcPr>
          <w:p w:rsidR="00A733AF" w:rsidRPr="00A21C46" w:rsidRDefault="00A733AF" w:rsidP="00AD1D71">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2F5081" w:rsidRPr="00A21C46" w:rsidTr="006564D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2F5081" w:rsidRPr="00A21C46" w:rsidRDefault="002F5081" w:rsidP="002F5081">
            <w:pPr>
              <w:rPr>
                <w:b/>
                <w:bCs/>
                <w:sz w:val="24"/>
                <w:szCs w:val="24"/>
              </w:rPr>
            </w:pPr>
            <w:r w:rsidRPr="00A21C46">
              <w:rPr>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2F5081" w:rsidRPr="00A21C46" w:rsidRDefault="002F5081" w:rsidP="002F5081">
            <w:pPr>
              <w:jc w:val="center"/>
              <w:rPr>
                <w:b/>
                <w:bCs/>
                <w:sz w:val="24"/>
                <w:szCs w:val="24"/>
              </w:rPr>
            </w:pPr>
            <w:r w:rsidRPr="00A21C46">
              <w:rPr>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2F5081" w:rsidRPr="004B7D39" w:rsidRDefault="002F5081" w:rsidP="004B7D39">
            <w:pPr>
              <w:jc w:val="center"/>
              <w:rPr>
                <w:b/>
                <w:bCs/>
                <w:color w:val="000000" w:themeColor="text1"/>
                <w:sz w:val="24"/>
                <w:szCs w:val="24"/>
              </w:rPr>
            </w:pPr>
            <w:r w:rsidRPr="004B7D39">
              <w:rPr>
                <w:b/>
                <w:bCs/>
                <w:color w:val="000000" w:themeColor="text1"/>
                <w:sz w:val="24"/>
                <w:szCs w:val="24"/>
              </w:rPr>
              <w:t>-</w:t>
            </w:r>
            <w:r w:rsidR="004B7D39" w:rsidRPr="004B7D39">
              <w:rPr>
                <w:b/>
                <w:bCs/>
                <w:color w:val="000000" w:themeColor="text1"/>
                <w:sz w:val="24"/>
                <w:szCs w:val="24"/>
              </w:rPr>
              <w:t>2 100</w:t>
            </w:r>
            <w:r w:rsidRPr="004B7D39">
              <w:rPr>
                <w:b/>
                <w:bCs/>
                <w:color w:val="000000" w:themeColor="text1"/>
                <w:sz w:val="24"/>
                <w:szCs w:val="24"/>
              </w:rPr>
              <w:t xml:space="preserve">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2F5081" w:rsidRPr="004B7D39" w:rsidRDefault="002F5081" w:rsidP="00994067">
            <w:pPr>
              <w:jc w:val="center"/>
              <w:rPr>
                <w:b/>
                <w:bCs/>
                <w:color w:val="000000" w:themeColor="text1"/>
                <w:sz w:val="24"/>
                <w:szCs w:val="24"/>
              </w:rPr>
            </w:pPr>
            <w:r w:rsidRPr="004B7D39">
              <w:rPr>
                <w:b/>
                <w:bCs/>
                <w:color w:val="000000" w:themeColor="text1"/>
                <w:sz w:val="24"/>
                <w:szCs w:val="24"/>
              </w:rPr>
              <w:t>-</w:t>
            </w:r>
            <w:r w:rsidR="004B7D39" w:rsidRPr="004B7D39">
              <w:rPr>
                <w:b/>
                <w:bCs/>
                <w:color w:val="000000" w:themeColor="text1"/>
                <w:sz w:val="24"/>
                <w:szCs w:val="24"/>
              </w:rPr>
              <w:t xml:space="preserve">2 </w:t>
            </w:r>
            <w:r w:rsidR="00994067">
              <w:rPr>
                <w:b/>
                <w:bCs/>
                <w:color w:val="000000" w:themeColor="text1"/>
                <w:sz w:val="24"/>
                <w:szCs w:val="24"/>
              </w:rPr>
              <w:t>4</w:t>
            </w:r>
            <w:r w:rsidRPr="004B7D39">
              <w:rPr>
                <w:b/>
                <w:bCs/>
                <w:color w:val="000000" w:themeColor="text1"/>
                <w:sz w:val="24"/>
                <w:szCs w:val="24"/>
              </w:rPr>
              <w:t>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2F5081" w:rsidRPr="004B7D39" w:rsidRDefault="002F5081" w:rsidP="004B7D39">
            <w:pPr>
              <w:jc w:val="center"/>
              <w:rPr>
                <w:b/>
                <w:bCs/>
                <w:color w:val="000000" w:themeColor="text1"/>
                <w:sz w:val="24"/>
                <w:szCs w:val="24"/>
              </w:rPr>
            </w:pPr>
            <w:r w:rsidRPr="004B7D39">
              <w:rPr>
                <w:b/>
                <w:bCs/>
                <w:color w:val="000000" w:themeColor="text1"/>
                <w:sz w:val="24"/>
                <w:szCs w:val="24"/>
              </w:rPr>
              <w:t>-</w:t>
            </w:r>
            <w:r w:rsidR="00994067">
              <w:rPr>
                <w:b/>
                <w:bCs/>
                <w:color w:val="000000" w:themeColor="text1"/>
                <w:sz w:val="24"/>
                <w:szCs w:val="24"/>
              </w:rPr>
              <w:t>2 8</w:t>
            </w:r>
            <w:r w:rsidRPr="004B7D39">
              <w:rPr>
                <w:b/>
                <w:bCs/>
                <w:color w:val="000000" w:themeColor="text1"/>
                <w:sz w:val="24"/>
                <w:szCs w:val="24"/>
              </w:rPr>
              <w:t>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2F5081" w:rsidRPr="00A21C46" w:rsidRDefault="002F5081" w:rsidP="002F5081">
            <w:pPr>
              <w:rPr>
                <w:sz w:val="24"/>
                <w:szCs w:val="24"/>
              </w:rPr>
            </w:pPr>
            <w:r w:rsidRPr="00A21C46">
              <w:rPr>
                <w:sz w:val="24"/>
                <w:szCs w:val="24"/>
              </w:rPr>
              <w:t> </w:t>
            </w:r>
          </w:p>
        </w:tc>
      </w:tr>
    </w:tbl>
    <w:p w:rsidR="00A733AF" w:rsidRPr="00A21C46" w:rsidRDefault="00A733AF" w:rsidP="00A733AF">
      <w:pPr>
        <w:tabs>
          <w:tab w:val="num" w:pos="1080"/>
        </w:tabs>
        <w:jc w:val="both"/>
        <w:rPr>
          <w:bCs/>
          <w:sz w:val="24"/>
          <w:szCs w:val="24"/>
        </w:rPr>
      </w:pPr>
      <w:r w:rsidRPr="00A21C46">
        <w:rPr>
          <w:bCs/>
          <w:sz w:val="24"/>
          <w:szCs w:val="24"/>
        </w:rPr>
        <w:t>1 –  príjmy rozpísať až do položiek platnej ekonomickej klasifikácie</w:t>
      </w:r>
    </w:p>
    <w:p w:rsidR="00A733AF" w:rsidRPr="00A21C46" w:rsidRDefault="00A733AF" w:rsidP="00A733AF">
      <w:pPr>
        <w:tabs>
          <w:tab w:val="num" w:pos="1080"/>
        </w:tabs>
        <w:jc w:val="both"/>
        <w:rPr>
          <w:bCs/>
          <w:sz w:val="24"/>
          <w:szCs w:val="24"/>
        </w:rPr>
      </w:pPr>
    </w:p>
    <w:p w:rsidR="00A733AF" w:rsidRPr="00A21C46" w:rsidRDefault="00A733AF" w:rsidP="00A733AF">
      <w:pPr>
        <w:tabs>
          <w:tab w:val="num" w:pos="1080"/>
        </w:tabs>
        <w:jc w:val="both"/>
        <w:rPr>
          <w:b/>
          <w:bCs/>
          <w:sz w:val="24"/>
          <w:szCs w:val="24"/>
        </w:rPr>
      </w:pPr>
      <w:r w:rsidRPr="00A21C46">
        <w:rPr>
          <w:b/>
          <w:bCs/>
          <w:sz w:val="24"/>
          <w:szCs w:val="24"/>
        </w:rPr>
        <w:t>Poznámka:</w:t>
      </w:r>
    </w:p>
    <w:p w:rsidR="00A733AF" w:rsidRPr="00A21C46" w:rsidRDefault="00A733AF" w:rsidP="00A733AF">
      <w:pPr>
        <w:tabs>
          <w:tab w:val="num" w:pos="1080"/>
        </w:tabs>
        <w:jc w:val="both"/>
        <w:rPr>
          <w:bCs/>
          <w:sz w:val="24"/>
          <w:szCs w:val="24"/>
        </w:rPr>
      </w:pPr>
      <w:r w:rsidRPr="00A21C46">
        <w:rPr>
          <w:bCs/>
          <w:sz w:val="24"/>
          <w:szCs w:val="24"/>
        </w:rPr>
        <w:t>Ak sa vplyv týka viacerých subjektov verejnej správy, vypĺňa sa samostatná tabuľka za každý subjekt.</w:t>
      </w:r>
    </w:p>
    <w:p w:rsidR="00A733AF" w:rsidRPr="00A21C46" w:rsidRDefault="00A733AF" w:rsidP="00A733AF">
      <w:pPr>
        <w:tabs>
          <w:tab w:val="num" w:pos="1080"/>
        </w:tabs>
        <w:ind w:right="-578"/>
        <w:jc w:val="right"/>
        <w:rPr>
          <w:bCs/>
          <w:sz w:val="24"/>
          <w:szCs w:val="24"/>
        </w:rPr>
      </w:pPr>
      <w:r w:rsidRPr="00A21C46">
        <w:rPr>
          <w:bCs/>
          <w:sz w:val="24"/>
          <w:szCs w:val="24"/>
        </w:rPr>
        <w:t xml:space="preserve"> </w:t>
      </w: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578"/>
        <w:jc w:val="right"/>
        <w:rPr>
          <w:bCs/>
          <w:sz w:val="24"/>
          <w:szCs w:val="24"/>
        </w:rPr>
      </w:pPr>
    </w:p>
    <w:p w:rsidR="00A733AF" w:rsidRPr="00A21C46" w:rsidRDefault="00A733AF" w:rsidP="00A733AF">
      <w:pPr>
        <w:tabs>
          <w:tab w:val="num" w:pos="1080"/>
        </w:tabs>
        <w:ind w:right="-32"/>
        <w:jc w:val="right"/>
        <w:rPr>
          <w:bCs/>
          <w:sz w:val="24"/>
          <w:szCs w:val="24"/>
        </w:rPr>
      </w:pPr>
      <w:r w:rsidRPr="00A21C46">
        <w:rPr>
          <w:bCs/>
          <w:sz w:val="24"/>
          <w:szCs w:val="24"/>
        </w:rPr>
        <w:t xml:space="preserve">Tabuľka č. 4 </w:t>
      </w:r>
    </w:p>
    <w:p w:rsidR="00A733AF" w:rsidRPr="00A21C46" w:rsidRDefault="00A733AF" w:rsidP="00A733AF">
      <w:pPr>
        <w:tabs>
          <w:tab w:val="num" w:pos="1080"/>
        </w:tabs>
        <w:jc w:val="both"/>
        <w:rPr>
          <w:bCs/>
          <w:sz w:val="24"/>
          <w:szCs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A733AF" w:rsidRPr="00A21C46" w:rsidTr="00A716F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33AF" w:rsidRPr="00A21C46" w:rsidRDefault="00A733AF" w:rsidP="00A716FC">
            <w:pPr>
              <w:jc w:val="center"/>
              <w:rPr>
                <w:b/>
                <w:bCs/>
                <w:sz w:val="24"/>
                <w:szCs w:val="24"/>
              </w:rPr>
            </w:pPr>
            <w:r w:rsidRPr="00A21C46">
              <w:rPr>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33AF" w:rsidRPr="00A21C46" w:rsidRDefault="00A733AF" w:rsidP="00A716FC">
            <w:pPr>
              <w:jc w:val="center"/>
              <w:rPr>
                <w:b/>
                <w:bCs/>
                <w:sz w:val="24"/>
                <w:szCs w:val="24"/>
              </w:rPr>
            </w:pPr>
            <w:r w:rsidRPr="00A21C46">
              <w:rPr>
                <w:b/>
                <w:bCs/>
                <w:sz w:val="24"/>
                <w:szCs w:val="24"/>
              </w:rPr>
              <w:t>poznámka</w:t>
            </w:r>
          </w:p>
        </w:tc>
      </w:tr>
      <w:tr w:rsidR="00A733AF" w:rsidRPr="00A21C46" w:rsidTr="00A716F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33AF" w:rsidRPr="00A21C46" w:rsidRDefault="00A733AF" w:rsidP="00A716FC">
            <w:pPr>
              <w:rPr>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A733AF" w:rsidRPr="00A21C46" w:rsidRDefault="00A733AF" w:rsidP="00A716FC">
            <w:pPr>
              <w:rPr>
                <w:b/>
                <w:bCs/>
                <w:color w:val="FFFFFF"/>
                <w:sz w:val="24"/>
                <w:szCs w:val="24"/>
              </w:rPr>
            </w:pP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Bežné výdavky (600)</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rPr>
            </w:pPr>
            <w:r w:rsidRPr="00A21C46">
              <w:rPr>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vertAlign w:val="superscript"/>
              </w:rPr>
            </w:pPr>
            <w:r w:rsidRPr="00A21C46">
              <w:rPr>
                <w:sz w:val="24"/>
                <w:szCs w:val="24"/>
              </w:rPr>
              <w:t xml:space="preserve">  Poistné a príspevok do poisťovní (620)</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vertAlign w:val="superscript"/>
              </w:rPr>
            </w:pPr>
            <w:r w:rsidRPr="00A21C46">
              <w:rPr>
                <w:sz w:val="24"/>
                <w:szCs w:val="24"/>
              </w:rPr>
              <w:t xml:space="preserve">  Tovary a služby (630)</w:t>
            </w:r>
            <w:r w:rsidRPr="00A21C46">
              <w:rPr>
                <w:sz w:val="24"/>
                <w:szCs w:val="24"/>
                <w:vertAlign w:val="superscript"/>
              </w:rPr>
              <w:t>2</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rPr>
            </w:pPr>
            <w:r w:rsidRPr="00A21C46">
              <w:rPr>
                <w:sz w:val="24"/>
                <w:szCs w:val="24"/>
              </w:rPr>
              <w:t xml:space="preserve">  Bežné transfery (640)</w:t>
            </w:r>
            <w:r w:rsidRPr="00A21C46">
              <w:rPr>
                <w:sz w:val="24"/>
                <w:szCs w:val="24"/>
                <w:vertAlign w:val="superscript"/>
              </w:rPr>
              <w:t>2</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vAlign w:val="center"/>
          </w:tcPr>
          <w:p w:rsidR="00A733AF" w:rsidRPr="00A21C46" w:rsidRDefault="00A733AF" w:rsidP="00A716FC">
            <w:pPr>
              <w:rPr>
                <w:sz w:val="24"/>
                <w:szCs w:val="24"/>
              </w:rPr>
            </w:pPr>
            <w:r w:rsidRPr="00A21C46">
              <w:rPr>
                <w:sz w:val="24"/>
                <w:szCs w:val="24"/>
              </w:rPr>
              <w:t xml:space="preserve">  Splácanie úrokov a ostatné platby súvisiace s  úverom, pôžičkou, návratnou finančnou výpomocou a finančným prenájmom (650)</w:t>
            </w:r>
            <w:r w:rsidRPr="00A21C46">
              <w:rPr>
                <w:sz w:val="24"/>
                <w:szCs w:val="24"/>
                <w:vertAlign w:val="superscript"/>
              </w:rPr>
              <w:t>2</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Kapitálové výdavky (700)</w:t>
            </w:r>
          </w:p>
        </w:tc>
        <w:tc>
          <w:tcPr>
            <w:tcW w:w="1540" w:type="dxa"/>
            <w:tcBorders>
              <w:top w:val="nil"/>
              <w:left w:val="nil"/>
              <w:bottom w:val="single" w:sz="4" w:space="0" w:color="auto"/>
              <w:right w:val="single" w:sz="4" w:space="0" w:color="auto"/>
            </w:tcBorders>
          </w:tcPr>
          <w:p w:rsidR="00A733AF" w:rsidRPr="004B7D39" w:rsidRDefault="00086CFE" w:rsidP="002255B0">
            <w:pPr>
              <w:jc w:val="center"/>
              <w:rPr>
                <w:b/>
                <w:bCs/>
                <w:color w:val="000000" w:themeColor="text1"/>
                <w:sz w:val="24"/>
                <w:szCs w:val="24"/>
              </w:rPr>
            </w:pPr>
            <w:r w:rsidRPr="004B7D39">
              <w:rPr>
                <w:b/>
                <w:bCs/>
                <w:color w:val="000000" w:themeColor="text1"/>
                <w:sz w:val="24"/>
                <w:szCs w:val="24"/>
              </w:rPr>
              <w:t>5</w:t>
            </w:r>
            <w:r w:rsidR="002255B0" w:rsidRPr="004B7D39">
              <w:rPr>
                <w:b/>
                <w:bCs/>
                <w:color w:val="000000" w:themeColor="text1"/>
                <w:sz w:val="24"/>
                <w:szCs w:val="24"/>
              </w:rPr>
              <w:t xml:space="preserve">41 </w:t>
            </w:r>
            <w:r w:rsidR="00A733AF" w:rsidRPr="004B7D39">
              <w:rPr>
                <w:b/>
                <w:bCs/>
                <w:color w:val="000000" w:themeColor="text1"/>
                <w:sz w:val="24"/>
                <w:szCs w:val="24"/>
              </w:rPr>
              <w:t>300</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b/>
                <w:bCs/>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rPr>
            </w:pPr>
            <w:r w:rsidRPr="00A21C46">
              <w:rPr>
                <w:sz w:val="24"/>
                <w:szCs w:val="24"/>
              </w:rPr>
              <w:t xml:space="preserve">  Obstarávanie kapitálových aktív ( RP 718006, prvok 0EK0D02 )</w:t>
            </w:r>
            <w:r w:rsidRPr="00A21C46">
              <w:rPr>
                <w:sz w:val="24"/>
                <w:szCs w:val="24"/>
                <w:vertAlign w:val="superscript"/>
              </w:rPr>
              <w:t>2</w:t>
            </w:r>
          </w:p>
        </w:tc>
        <w:tc>
          <w:tcPr>
            <w:tcW w:w="1540" w:type="dxa"/>
            <w:tcBorders>
              <w:top w:val="nil"/>
              <w:left w:val="nil"/>
              <w:bottom w:val="single" w:sz="4" w:space="0" w:color="auto"/>
              <w:right w:val="single" w:sz="4" w:space="0" w:color="auto"/>
            </w:tcBorders>
          </w:tcPr>
          <w:p w:rsidR="00A733AF" w:rsidRPr="004B7D39" w:rsidRDefault="00086CFE" w:rsidP="002255B0">
            <w:pPr>
              <w:jc w:val="center"/>
              <w:rPr>
                <w:color w:val="000000" w:themeColor="text1"/>
                <w:sz w:val="24"/>
                <w:szCs w:val="24"/>
              </w:rPr>
            </w:pPr>
            <w:r w:rsidRPr="004B7D39">
              <w:rPr>
                <w:color w:val="000000" w:themeColor="text1"/>
                <w:sz w:val="24"/>
                <w:szCs w:val="24"/>
              </w:rPr>
              <w:t>4</w:t>
            </w:r>
            <w:r w:rsidR="002255B0" w:rsidRPr="004B7D39">
              <w:rPr>
                <w:color w:val="000000" w:themeColor="text1"/>
                <w:sz w:val="24"/>
                <w:szCs w:val="24"/>
              </w:rPr>
              <w:t>21</w:t>
            </w:r>
            <w:r w:rsidR="00A733AF" w:rsidRPr="004B7D39">
              <w:rPr>
                <w:color w:val="000000" w:themeColor="text1"/>
                <w:sz w:val="24"/>
                <w:szCs w:val="24"/>
              </w:rPr>
              <w:t xml:space="preserve"> 000</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rPr>
            </w:pPr>
            <w:r w:rsidRPr="00A21C46">
              <w:rPr>
                <w:sz w:val="24"/>
                <w:szCs w:val="24"/>
              </w:rPr>
              <w:t xml:space="preserve">  Obstarávanie kapitálových aktív ( </w:t>
            </w:r>
            <w:r w:rsidRPr="00A21C46">
              <w:rPr>
                <w:bCs/>
                <w:iCs/>
                <w:sz w:val="24"/>
                <w:szCs w:val="24"/>
              </w:rPr>
              <w:t>RP 718006, prvok 0EK0D0G )</w:t>
            </w:r>
            <w:r w:rsidRPr="00A21C46">
              <w:rPr>
                <w:bCs/>
                <w:iCs/>
                <w:sz w:val="24"/>
                <w:szCs w:val="24"/>
                <w:vertAlign w:val="superscript"/>
              </w:rPr>
              <w:t>2</w:t>
            </w:r>
          </w:p>
        </w:tc>
        <w:tc>
          <w:tcPr>
            <w:tcW w:w="1540" w:type="dxa"/>
            <w:tcBorders>
              <w:top w:val="nil"/>
              <w:left w:val="nil"/>
              <w:bottom w:val="single" w:sz="4" w:space="0" w:color="auto"/>
              <w:right w:val="single" w:sz="4" w:space="0" w:color="auto"/>
            </w:tcBorders>
          </w:tcPr>
          <w:p w:rsidR="00A733AF" w:rsidRPr="004B7D39" w:rsidRDefault="00A733AF" w:rsidP="00A716FC">
            <w:pPr>
              <w:jc w:val="center"/>
              <w:rPr>
                <w:color w:val="000000" w:themeColor="text1"/>
                <w:sz w:val="24"/>
                <w:szCs w:val="24"/>
              </w:rPr>
            </w:pPr>
            <w:r w:rsidRPr="004B7D39">
              <w:rPr>
                <w:color w:val="000000" w:themeColor="text1"/>
                <w:sz w:val="24"/>
                <w:szCs w:val="24"/>
              </w:rPr>
              <w:t>120 300</w:t>
            </w: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sz w:val="24"/>
                <w:szCs w:val="24"/>
              </w:rPr>
            </w:pPr>
            <w:r w:rsidRPr="00A21C46">
              <w:rPr>
                <w:sz w:val="24"/>
                <w:szCs w:val="24"/>
              </w:rPr>
              <w:t xml:space="preserve">  Kapitálové transfery (720)</w:t>
            </w:r>
            <w:r w:rsidRPr="00A21C46">
              <w:rPr>
                <w:sz w:val="24"/>
                <w:szCs w:val="24"/>
                <w:vertAlign w:val="superscript"/>
              </w:rPr>
              <w:t>2</w:t>
            </w:r>
          </w:p>
        </w:tc>
        <w:tc>
          <w:tcPr>
            <w:tcW w:w="1540" w:type="dxa"/>
            <w:tcBorders>
              <w:top w:val="nil"/>
              <w:left w:val="nil"/>
              <w:bottom w:val="single" w:sz="4" w:space="0" w:color="auto"/>
              <w:right w:val="single" w:sz="4" w:space="0" w:color="auto"/>
            </w:tcBorders>
          </w:tcPr>
          <w:p w:rsidR="00A733AF" w:rsidRPr="004B7D39" w:rsidRDefault="00A733AF" w:rsidP="00A716FC">
            <w:pPr>
              <w:jc w:val="center"/>
              <w:rPr>
                <w:color w:val="000000" w:themeColor="text1"/>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1540" w:type="dxa"/>
            <w:tcBorders>
              <w:top w:val="nil"/>
              <w:left w:val="nil"/>
              <w:bottom w:val="single" w:sz="4" w:space="0" w:color="auto"/>
              <w:right w:val="single" w:sz="4" w:space="0" w:color="auto"/>
            </w:tcBorders>
          </w:tcPr>
          <w:p w:rsidR="00A733AF" w:rsidRPr="00A21C46" w:rsidRDefault="00A733AF" w:rsidP="00A716FC">
            <w:pPr>
              <w:jc w:val="center"/>
              <w:rPr>
                <w:sz w:val="24"/>
                <w:szCs w:val="24"/>
              </w:rPr>
            </w:pP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nil"/>
              <w:left w:val="single" w:sz="4" w:space="0" w:color="auto"/>
              <w:bottom w:val="single" w:sz="4" w:space="0" w:color="auto"/>
              <w:right w:val="single" w:sz="4" w:space="0" w:color="auto"/>
            </w:tcBorders>
          </w:tcPr>
          <w:p w:rsidR="00A733AF" w:rsidRPr="00A21C46" w:rsidRDefault="00A733AF" w:rsidP="00A716FC">
            <w:pPr>
              <w:rPr>
                <w:b/>
                <w:bCs/>
                <w:sz w:val="24"/>
                <w:szCs w:val="24"/>
              </w:rPr>
            </w:pPr>
            <w:r w:rsidRPr="00A21C46">
              <w:rPr>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A733AF" w:rsidRPr="004B7D39" w:rsidRDefault="00A733AF" w:rsidP="00A716FC">
            <w:pPr>
              <w:jc w:val="center"/>
              <w:rPr>
                <w:b/>
                <w:bCs/>
                <w:color w:val="000000" w:themeColor="text1"/>
                <w:sz w:val="24"/>
                <w:szCs w:val="24"/>
              </w:rPr>
            </w:pPr>
            <w:r w:rsidRPr="004B7D39">
              <w:rPr>
                <w:b/>
                <w:bCs/>
                <w:color w:val="000000" w:themeColor="text1"/>
                <w:sz w:val="24"/>
                <w:szCs w:val="24"/>
              </w:rPr>
              <w:t> </w:t>
            </w:r>
          </w:p>
        </w:tc>
        <w:tc>
          <w:tcPr>
            <w:tcW w:w="1540" w:type="dxa"/>
            <w:tcBorders>
              <w:top w:val="nil"/>
              <w:left w:val="nil"/>
              <w:bottom w:val="single" w:sz="4" w:space="0" w:color="auto"/>
              <w:right w:val="single" w:sz="4" w:space="0" w:color="auto"/>
            </w:tcBorders>
            <w:shd w:val="clear" w:color="auto" w:fill="FFFF99"/>
          </w:tcPr>
          <w:p w:rsidR="00A733AF" w:rsidRPr="00A21C46" w:rsidRDefault="00A733AF" w:rsidP="00A716FC">
            <w:pPr>
              <w:jc w:val="center"/>
              <w:rPr>
                <w:b/>
                <w:bCs/>
                <w:sz w:val="24"/>
                <w:szCs w:val="24"/>
              </w:rPr>
            </w:pPr>
            <w:r w:rsidRPr="00A21C46">
              <w:rPr>
                <w:b/>
                <w:bCs/>
                <w:sz w:val="24"/>
                <w:szCs w:val="24"/>
              </w:rPr>
              <w:t> </w:t>
            </w:r>
          </w:p>
        </w:tc>
        <w:tc>
          <w:tcPr>
            <w:tcW w:w="1540" w:type="dxa"/>
            <w:tcBorders>
              <w:top w:val="nil"/>
              <w:left w:val="nil"/>
              <w:bottom w:val="single" w:sz="4" w:space="0" w:color="auto"/>
              <w:right w:val="single" w:sz="4" w:space="0" w:color="auto"/>
            </w:tcBorders>
            <w:shd w:val="clear" w:color="auto" w:fill="FFFF99"/>
          </w:tcPr>
          <w:p w:rsidR="00A733AF" w:rsidRPr="00A21C46" w:rsidRDefault="00A733AF" w:rsidP="00A716FC">
            <w:pPr>
              <w:jc w:val="center"/>
              <w:rPr>
                <w:b/>
                <w:bCs/>
                <w:sz w:val="24"/>
                <w:szCs w:val="24"/>
              </w:rPr>
            </w:pPr>
            <w:r w:rsidRPr="00A21C46">
              <w:rPr>
                <w:b/>
                <w:bCs/>
                <w:sz w:val="24"/>
                <w:szCs w:val="24"/>
              </w:rPr>
              <w:t> </w:t>
            </w:r>
          </w:p>
        </w:tc>
        <w:tc>
          <w:tcPr>
            <w:tcW w:w="1540" w:type="dxa"/>
            <w:tcBorders>
              <w:top w:val="nil"/>
              <w:left w:val="nil"/>
              <w:bottom w:val="single" w:sz="4" w:space="0" w:color="auto"/>
              <w:right w:val="single" w:sz="4" w:space="0" w:color="auto"/>
            </w:tcBorders>
            <w:shd w:val="clear" w:color="auto" w:fill="FFFF99"/>
          </w:tcPr>
          <w:p w:rsidR="00A733AF" w:rsidRPr="00A21C46" w:rsidRDefault="00A733AF" w:rsidP="00A716FC">
            <w:pPr>
              <w:jc w:val="center"/>
              <w:rPr>
                <w:b/>
                <w:bCs/>
                <w:sz w:val="24"/>
                <w:szCs w:val="24"/>
              </w:rPr>
            </w:pPr>
            <w:r w:rsidRPr="00A21C46">
              <w:rPr>
                <w:b/>
                <w:bCs/>
                <w:sz w:val="24"/>
                <w:szCs w:val="24"/>
              </w:rPr>
              <w:t> </w:t>
            </w:r>
          </w:p>
        </w:tc>
        <w:tc>
          <w:tcPr>
            <w:tcW w:w="2220" w:type="dxa"/>
            <w:tcBorders>
              <w:top w:val="nil"/>
              <w:left w:val="nil"/>
              <w:bottom w:val="single" w:sz="4" w:space="0" w:color="auto"/>
              <w:right w:val="single" w:sz="4" w:space="0" w:color="auto"/>
            </w:tcBorders>
            <w:noWrap/>
            <w:vAlign w:val="bottom"/>
          </w:tcPr>
          <w:p w:rsidR="00A733AF" w:rsidRPr="00A21C46" w:rsidRDefault="00A733AF" w:rsidP="00A716FC">
            <w:pPr>
              <w:rPr>
                <w:sz w:val="24"/>
                <w:szCs w:val="24"/>
              </w:rPr>
            </w:pPr>
            <w:r w:rsidRPr="00A21C46">
              <w:rPr>
                <w:sz w:val="24"/>
                <w:szCs w:val="24"/>
              </w:rPr>
              <w:t> </w:t>
            </w:r>
          </w:p>
        </w:tc>
      </w:tr>
      <w:tr w:rsidR="00A733AF" w:rsidRPr="00A21C46" w:rsidTr="00A716F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33AF" w:rsidRPr="00A21C46" w:rsidRDefault="00A733AF" w:rsidP="00A716FC">
            <w:pPr>
              <w:rPr>
                <w:b/>
                <w:bCs/>
                <w:sz w:val="24"/>
                <w:szCs w:val="24"/>
              </w:rPr>
            </w:pPr>
            <w:r w:rsidRPr="00A21C46">
              <w:rPr>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33AF" w:rsidRPr="004B7D39" w:rsidRDefault="00086CFE" w:rsidP="002255B0">
            <w:pPr>
              <w:jc w:val="center"/>
              <w:rPr>
                <w:b/>
                <w:bCs/>
                <w:color w:val="000000" w:themeColor="text1"/>
                <w:sz w:val="24"/>
                <w:szCs w:val="24"/>
              </w:rPr>
            </w:pPr>
            <w:r w:rsidRPr="004B7D39">
              <w:rPr>
                <w:b/>
                <w:bCs/>
                <w:color w:val="000000" w:themeColor="text1"/>
                <w:sz w:val="24"/>
                <w:szCs w:val="24"/>
              </w:rPr>
              <w:t>5</w:t>
            </w:r>
            <w:r w:rsidR="002255B0" w:rsidRPr="004B7D39">
              <w:rPr>
                <w:b/>
                <w:bCs/>
                <w:color w:val="000000" w:themeColor="text1"/>
                <w:sz w:val="24"/>
                <w:szCs w:val="24"/>
              </w:rPr>
              <w:t>41</w:t>
            </w:r>
            <w:r w:rsidR="00A733AF" w:rsidRPr="004B7D39">
              <w:rPr>
                <w:b/>
                <w:bCs/>
                <w:color w:val="000000" w:themeColor="text1"/>
                <w:sz w:val="24"/>
                <w:szCs w:val="24"/>
              </w:rPr>
              <w:t xml:space="preserve"> 300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33AF" w:rsidRPr="00A21C46" w:rsidRDefault="00A733AF" w:rsidP="00A716FC">
            <w:pPr>
              <w:jc w:val="center"/>
              <w:rPr>
                <w:b/>
                <w:bCs/>
                <w:sz w:val="24"/>
                <w:szCs w:val="24"/>
              </w:rPr>
            </w:pPr>
            <w:r w:rsidRPr="00A21C46">
              <w:rPr>
                <w:b/>
                <w:bCs/>
                <w:sz w:val="24"/>
                <w:szCs w:val="24"/>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33AF" w:rsidRPr="00A21C46" w:rsidRDefault="00A733AF" w:rsidP="00A716FC">
            <w:pPr>
              <w:rPr>
                <w:sz w:val="24"/>
                <w:szCs w:val="24"/>
              </w:rPr>
            </w:pPr>
            <w:r w:rsidRPr="00A21C46">
              <w:rPr>
                <w:sz w:val="24"/>
                <w:szCs w:val="24"/>
              </w:rPr>
              <w:t> </w:t>
            </w:r>
          </w:p>
        </w:tc>
      </w:tr>
    </w:tbl>
    <w:p w:rsidR="00A733AF" w:rsidRPr="00A21C46" w:rsidRDefault="00A733AF" w:rsidP="00A733AF">
      <w:pPr>
        <w:tabs>
          <w:tab w:val="num" w:pos="1080"/>
        </w:tabs>
        <w:ind w:left="-900"/>
        <w:jc w:val="both"/>
        <w:rPr>
          <w:bCs/>
          <w:sz w:val="24"/>
          <w:szCs w:val="24"/>
        </w:rPr>
      </w:pPr>
      <w:r w:rsidRPr="00A21C46">
        <w:rPr>
          <w:bCs/>
          <w:sz w:val="24"/>
          <w:szCs w:val="24"/>
        </w:rPr>
        <w:t xml:space="preserve">  2 –  výdavky rozpísať až do položiek platnej ekonomickej klasifikácie</w:t>
      </w:r>
    </w:p>
    <w:p w:rsidR="00A733AF" w:rsidRPr="00A21C46" w:rsidRDefault="00A733AF" w:rsidP="00A733AF">
      <w:pPr>
        <w:tabs>
          <w:tab w:val="num" w:pos="1080"/>
        </w:tabs>
        <w:ind w:left="-900"/>
        <w:jc w:val="both"/>
        <w:rPr>
          <w:bCs/>
          <w:sz w:val="24"/>
          <w:szCs w:val="24"/>
        </w:rPr>
      </w:pPr>
    </w:p>
    <w:p w:rsidR="00A733AF" w:rsidRPr="00A21C46" w:rsidRDefault="00A733AF" w:rsidP="00A733AF">
      <w:pPr>
        <w:tabs>
          <w:tab w:val="num" w:pos="1080"/>
        </w:tabs>
        <w:ind w:left="-900"/>
        <w:jc w:val="both"/>
        <w:rPr>
          <w:b/>
          <w:bCs/>
          <w:sz w:val="24"/>
          <w:szCs w:val="24"/>
        </w:rPr>
      </w:pPr>
      <w:r w:rsidRPr="00A21C46">
        <w:rPr>
          <w:b/>
          <w:bCs/>
          <w:sz w:val="24"/>
          <w:szCs w:val="24"/>
        </w:rPr>
        <w:t xml:space="preserve">  Poznámka:</w:t>
      </w:r>
    </w:p>
    <w:p w:rsidR="00A733AF" w:rsidRDefault="00A733AF" w:rsidP="00A733AF">
      <w:pPr>
        <w:tabs>
          <w:tab w:val="num" w:pos="1080"/>
        </w:tabs>
        <w:ind w:left="-900"/>
        <w:jc w:val="both"/>
        <w:rPr>
          <w:bCs/>
          <w:sz w:val="24"/>
          <w:szCs w:val="24"/>
        </w:rPr>
      </w:pPr>
      <w:r w:rsidRPr="00A21C46">
        <w:rPr>
          <w:bCs/>
          <w:sz w:val="24"/>
          <w:szCs w:val="24"/>
        </w:rPr>
        <w:t xml:space="preserve">  Ak sa vplyv týka viacerých subjektov verejnej správy, vypĺňa sa samostatná tabuľka za každý subjekt.</w:t>
      </w: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r>
        <w:rPr>
          <w:bCs/>
          <w:sz w:val="24"/>
          <w:szCs w:val="24"/>
        </w:rPr>
        <w:br w:type="page"/>
      </w:r>
    </w:p>
    <w:p w:rsidR="00A733AF" w:rsidRDefault="00A733AF" w:rsidP="00A733AF">
      <w:pPr>
        <w:tabs>
          <w:tab w:val="num" w:pos="1080"/>
        </w:tabs>
        <w:ind w:left="-900"/>
        <w:jc w:val="both"/>
        <w:rPr>
          <w:bCs/>
          <w:sz w:val="24"/>
          <w:szCs w:val="24"/>
        </w:rPr>
        <w:sectPr w:rsidR="00A733AF" w:rsidSect="00A733AF">
          <w:headerReference w:type="default" r:id="rId14"/>
          <w:pgSz w:w="16838" w:h="11906" w:orient="landscape"/>
          <w:pgMar w:top="1417" w:right="1417" w:bottom="1417" w:left="1134" w:header="708" w:footer="708" w:gutter="0"/>
          <w:cols w:space="708"/>
          <w:docGrid w:linePitch="360"/>
        </w:sectPr>
      </w:pPr>
    </w:p>
    <w:tbl>
      <w:tblPr>
        <w:tblStyle w:val="Mriekatabuky"/>
        <w:tblW w:w="0" w:type="auto"/>
        <w:tblLook w:val="04A0" w:firstRow="1" w:lastRow="0" w:firstColumn="1" w:lastColumn="0" w:noHBand="0" w:noVBand="1"/>
      </w:tblPr>
      <w:tblGrid>
        <w:gridCol w:w="9060"/>
      </w:tblGrid>
      <w:tr w:rsidR="00A733AF" w:rsidRPr="000F7E1D" w:rsidTr="00A716FC">
        <w:trPr>
          <w:trHeight w:val="567"/>
        </w:trPr>
        <w:tc>
          <w:tcPr>
            <w:tcW w:w="9212" w:type="dxa"/>
            <w:shd w:val="clear" w:color="auto" w:fill="D9D9D9" w:themeFill="background1" w:themeFillShade="D9"/>
          </w:tcPr>
          <w:p w:rsidR="00A733AF" w:rsidRPr="000F7E1D" w:rsidRDefault="00A733AF" w:rsidP="00A716FC">
            <w:pPr>
              <w:jc w:val="center"/>
              <w:rPr>
                <w:b/>
                <w:sz w:val="24"/>
                <w:szCs w:val="24"/>
              </w:rPr>
            </w:pPr>
            <w:r w:rsidRPr="000F7E1D">
              <w:rPr>
                <w:b/>
                <w:sz w:val="24"/>
                <w:szCs w:val="24"/>
              </w:rPr>
              <w:lastRenderedPageBreak/>
              <w:t xml:space="preserve">Analýza vplyvov na podnikateľské prostredie </w:t>
            </w:r>
          </w:p>
          <w:p w:rsidR="00A733AF" w:rsidRPr="000F7E1D" w:rsidRDefault="00A733AF" w:rsidP="00A716FC">
            <w:pPr>
              <w:jc w:val="center"/>
              <w:rPr>
                <w:b/>
                <w:sz w:val="24"/>
                <w:szCs w:val="24"/>
              </w:rPr>
            </w:pPr>
            <w:r w:rsidRPr="000F7E1D">
              <w:rPr>
                <w:b/>
                <w:sz w:val="24"/>
                <w:szCs w:val="24"/>
              </w:rPr>
              <w:t>(vrátane testu MSP)</w:t>
            </w:r>
          </w:p>
        </w:tc>
      </w:tr>
      <w:tr w:rsidR="00A733AF" w:rsidRPr="000F7E1D" w:rsidTr="00A716FC">
        <w:trPr>
          <w:trHeight w:val="567"/>
        </w:trPr>
        <w:tc>
          <w:tcPr>
            <w:tcW w:w="9212" w:type="dxa"/>
            <w:shd w:val="clear" w:color="auto" w:fill="D9D9D9" w:themeFill="background1" w:themeFillShade="D9"/>
          </w:tcPr>
          <w:p w:rsidR="00A733AF" w:rsidRPr="000F7E1D" w:rsidRDefault="00A733AF" w:rsidP="00A716FC">
            <w:pPr>
              <w:rPr>
                <w:b/>
                <w:sz w:val="24"/>
                <w:szCs w:val="24"/>
              </w:rPr>
            </w:pPr>
            <w:r w:rsidRPr="000F7E1D">
              <w:rPr>
                <w:b/>
                <w:sz w:val="24"/>
                <w:szCs w:val="24"/>
              </w:rPr>
              <w:t>Materiál bude mať vplyv s ohľadom na veľkostnú kategóriu podnikov:</w:t>
            </w:r>
          </w:p>
        </w:tc>
      </w:tr>
      <w:tr w:rsidR="00A733AF" w:rsidRPr="000F7E1D" w:rsidTr="00A716FC">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A733AF" w:rsidRPr="000F7E1D" w:rsidTr="00A716FC">
              <w:tc>
                <w:tcPr>
                  <w:tcW w:w="436" w:type="dxa"/>
                  <w:tcBorders>
                    <w:top w:val="nil"/>
                    <w:left w:val="nil"/>
                    <w:bottom w:val="nil"/>
                    <w:right w:val="nil"/>
                  </w:tcBorders>
                </w:tcPr>
                <w:p w:rsidR="00A733AF" w:rsidRPr="000F7E1D" w:rsidRDefault="00A733AF" w:rsidP="00A716FC">
                  <w:pPr>
                    <w:jc w:val="center"/>
                    <w:rPr>
                      <w:sz w:val="24"/>
                      <w:szCs w:val="24"/>
                    </w:rPr>
                  </w:pPr>
                  <w:r w:rsidRPr="000F7E1D">
                    <w:rPr>
                      <w:rFonts w:ascii="Segoe UI Symbol" w:eastAsia="MS Mincho" w:hAnsi="Segoe UI Symbol" w:cs="Segoe UI Symbol"/>
                      <w:sz w:val="24"/>
                      <w:szCs w:val="24"/>
                    </w:rPr>
                    <w:t>☐</w:t>
                  </w:r>
                </w:p>
              </w:tc>
              <w:tc>
                <w:tcPr>
                  <w:tcW w:w="8545" w:type="dxa"/>
                  <w:tcBorders>
                    <w:top w:val="nil"/>
                    <w:left w:val="nil"/>
                    <w:bottom w:val="nil"/>
                    <w:right w:val="nil"/>
                  </w:tcBorders>
                </w:tcPr>
                <w:p w:rsidR="00A733AF" w:rsidRPr="000F7E1D" w:rsidRDefault="00A733AF" w:rsidP="00A716FC">
                  <w:pPr>
                    <w:rPr>
                      <w:b/>
                      <w:sz w:val="24"/>
                      <w:szCs w:val="24"/>
                    </w:rPr>
                  </w:pPr>
                  <w:r w:rsidRPr="000F7E1D">
                    <w:rPr>
                      <w:b/>
                      <w:sz w:val="24"/>
                      <w:szCs w:val="24"/>
                    </w:rPr>
                    <w:t xml:space="preserve">iba na MSP (0 - 249 zamestnancov) </w:t>
                  </w:r>
                </w:p>
              </w:tc>
            </w:tr>
            <w:tr w:rsidR="00A733AF" w:rsidRPr="000F7E1D" w:rsidTr="00A716FC">
              <w:tc>
                <w:tcPr>
                  <w:tcW w:w="436" w:type="dxa"/>
                  <w:tcBorders>
                    <w:top w:val="nil"/>
                    <w:left w:val="nil"/>
                    <w:bottom w:val="nil"/>
                    <w:right w:val="nil"/>
                  </w:tcBorders>
                </w:tcPr>
                <w:p w:rsidR="00A733AF" w:rsidRPr="000F7E1D" w:rsidRDefault="00A733AF" w:rsidP="00A716FC">
                  <w:pPr>
                    <w:jc w:val="center"/>
                    <w:rPr>
                      <w:sz w:val="24"/>
                      <w:szCs w:val="24"/>
                    </w:rPr>
                  </w:pPr>
                  <w:r w:rsidRPr="000F7E1D">
                    <w:rPr>
                      <w:rFonts w:ascii="Segoe UI Symbol" w:eastAsia="MS Mincho" w:hAnsi="Segoe UI Symbol" w:cs="Segoe UI Symbol"/>
                      <w:sz w:val="24"/>
                      <w:szCs w:val="24"/>
                    </w:rPr>
                    <w:t>☐</w:t>
                  </w:r>
                </w:p>
              </w:tc>
              <w:tc>
                <w:tcPr>
                  <w:tcW w:w="8545" w:type="dxa"/>
                  <w:tcBorders>
                    <w:top w:val="nil"/>
                    <w:left w:val="nil"/>
                    <w:bottom w:val="nil"/>
                    <w:right w:val="nil"/>
                  </w:tcBorders>
                </w:tcPr>
                <w:p w:rsidR="00A733AF" w:rsidRPr="000F7E1D" w:rsidRDefault="00A733AF" w:rsidP="00A716FC">
                  <w:pPr>
                    <w:rPr>
                      <w:b/>
                      <w:sz w:val="24"/>
                      <w:szCs w:val="24"/>
                    </w:rPr>
                  </w:pPr>
                  <w:r w:rsidRPr="000F7E1D">
                    <w:rPr>
                      <w:b/>
                      <w:sz w:val="24"/>
                      <w:szCs w:val="24"/>
                    </w:rPr>
                    <w:t>iba na veľké podniky (250 a viac zamestnancov)</w:t>
                  </w:r>
                </w:p>
              </w:tc>
            </w:tr>
            <w:tr w:rsidR="00A733AF" w:rsidRPr="000F7E1D" w:rsidTr="00A716FC">
              <w:tc>
                <w:tcPr>
                  <w:tcW w:w="436" w:type="dxa"/>
                  <w:tcBorders>
                    <w:top w:val="nil"/>
                    <w:left w:val="nil"/>
                    <w:bottom w:val="nil"/>
                    <w:right w:val="nil"/>
                  </w:tcBorders>
                </w:tcPr>
                <w:p w:rsidR="00A733AF" w:rsidRPr="000F7E1D" w:rsidRDefault="00A733AF" w:rsidP="00A716FC">
                  <w:pPr>
                    <w:jc w:val="center"/>
                    <w:rPr>
                      <w:sz w:val="24"/>
                      <w:szCs w:val="24"/>
                    </w:rPr>
                  </w:pPr>
                  <w:r w:rsidRPr="000F7E1D">
                    <w:rPr>
                      <w:rFonts w:ascii="Segoe UI Symbol" w:eastAsia="MS Gothic" w:hAnsi="Segoe UI Symbol" w:cs="Segoe UI Symbol"/>
                      <w:sz w:val="24"/>
                      <w:szCs w:val="24"/>
                    </w:rPr>
                    <w:t>☒</w:t>
                  </w:r>
                </w:p>
              </w:tc>
              <w:tc>
                <w:tcPr>
                  <w:tcW w:w="8545" w:type="dxa"/>
                  <w:tcBorders>
                    <w:top w:val="nil"/>
                    <w:left w:val="nil"/>
                    <w:bottom w:val="nil"/>
                    <w:right w:val="nil"/>
                  </w:tcBorders>
                </w:tcPr>
                <w:p w:rsidR="00A733AF" w:rsidRPr="000F7E1D" w:rsidRDefault="00A733AF" w:rsidP="00A716FC">
                  <w:pPr>
                    <w:rPr>
                      <w:sz w:val="24"/>
                      <w:szCs w:val="24"/>
                    </w:rPr>
                  </w:pPr>
                  <w:r w:rsidRPr="000F7E1D">
                    <w:rPr>
                      <w:b/>
                      <w:sz w:val="24"/>
                      <w:szCs w:val="24"/>
                    </w:rPr>
                    <w:t>na všetky kategórie podnikov</w:t>
                  </w:r>
                </w:p>
              </w:tc>
            </w:tr>
          </w:tbl>
          <w:p w:rsidR="00A733AF" w:rsidRPr="000F7E1D" w:rsidRDefault="00A733AF" w:rsidP="00A716FC">
            <w:pPr>
              <w:rPr>
                <w:b/>
                <w:sz w:val="24"/>
                <w:szCs w:val="24"/>
              </w:rPr>
            </w:pPr>
          </w:p>
        </w:tc>
      </w:tr>
      <w:tr w:rsidR="00A733AF" w:rsidRPr="000F7E1D" w:rsidTr="00A716FC">
        <w:tc>
          <w:tcPr>
            <w:tcW w:w="9212" w:type="dxa"/>
            <w:shd w:val="clear" w:color="auto" w:fill="D9D9D9" w:themeFill="background1" w:themeFillShade="D9"/>
          </w:tcPr>
          <w:p w:rsidR="00A733AF" w:rsidRPr="000F7E1D" w:rsidRDefault="00A733AF" w:rsidP="00A716FC">
            <w:pPr>
              <w:rPr>
                <w:b/>
                <w:sz w:val="24"/>
                <w:szCs w:val="24"/>
              </w:rPr>
            </w:pPr>
            <w:r w:rsidRPr="000F7E1D">
              <w:rPr>
                <w:b/>
                <w:sz w:val="24"/>
                <w:szCs w:val="24"/>
              </w:rPr>
              <w:t>3.1 Dotknuté podnikateľské subjekty</w:t>
            </w:r>
          </w:p>
          <w:p w:rsidR="00A733AF" w:rsidRPr="000F7E1D" w:rsidRDefault="00A733AF" w:rsidP="00A716FC">
            <w:pPr>
              <w:ind w:left="284"/>
              <w:rPr>
                <w:b/>
                <w:sz w:val="24"/>
                <w:szCs w:val="24"/>
              </w:rPr>
            </w:pPr>
            <w:r w:rsidRPr="000F7E1D">
              <w:rPr>
                <w:sz w:val="24"/>
                <w:szCs w:val="24"/>
              </w:rPr>
              <w:t xml:space="preserve"> - </w:t>
            </w:r>
            <w:r w:rsidRPr="000F7E1D">
              <w:rPr>
                <w:b/>
                <w:sz w:val="24"/>
                <w:szCs w:val="24"/>
              </w:rPr>
              <w:t>z toho MSP</w:t>
            </w:r>
          </w:p>
        </w:tc>
      </w:tr>
      <w:tr w:rsidR="00A733AF" w:rsidRPr="000F7E1D" w:rsidTr="00A716FC">
        <w:tc>
          <w:tcPr>
            <w:tcW w:w="9212" w:type="dxa"/>
          </w:tcPr>
          <w:p w:rsidR="00A733AF" w:rsidRPr="000F7E1D" w:rsidRDefault="00A733AF" w:rsidP="00A716FC">
            <w:pPr>
              <w:rPr>
                <w:i/>
                <w:sz w:val="24"/>
                <w:szCs w:val="24"/>
              </w:rPr>
            </w:pPr>
            <w:r w:rsidRPr="000F7E1D">
              <w:rPr>
                <w:i/>
                <w:sz w:val="24"/>
                <w:szCs w:val="24"/>
              </w:rPr>
              <w:t>Uveďte, aké podnikateľské subjekty budú predkladaným návrhom ovplyvnené. Aký je ich počet?</w:t>
            </w:r>
          </w:p>
        </w:tc>
      </w:tr>
      <w:tr w:rsidR="00A733AF" w:rsidRPr="000F7E1D" w:rsidTr="00A716FC">
        <w:trPr>
          <w:trHeight w:val="794"/>
        </w:trPr>
        <w:tc>
          <w:tcPr>
            <w:tcW w:w="9212" w:type="dxa"/>
            <w:vAlign w:val="center"/>
          </w:tcPr>
          <w:p w:rsidR="00A733AF" w:rsidRPr="000F7E1D" w:rsidRDefault="00A733AF" w:rsidP="00A716FC">
            <w:pPr>
              <w:rPr>
                <w:sz w:val="24"/>
                <w:szCs w:val="24"/>
              </w:rPr>
            </w:pPr>
            <w:r>
              <w:rPr>
                <w:sz w:val="24"/>
                <w:szCs w:val="24"/>
              </w:rPr>
              <w:t>Ustanovenia n</w:t>
            </w:r>
            <w:r w:rsidRPr="000F7E1D">
              <w:rPr>
                <w:sz w:val="24"/>
                <w:szCs w:val="24"/>
              </w:rPr>
              <w:t>ávrh</w:t>
            </w:r>
            <w:r>
              <w:rPr>
                <w:sz w:val="24"/>
                <w:szCs w:val="24"/>
              </w:rPr>
              <w:t>u</w:t>
            </w:r>
            <w:r w:rsidRPr="000F7E1D">
              <w:rPr>
                <w:sz w:val="24"/>
                <w:szCs w:val="24"/>
              </w:rPr>
              <w:t xml:space="preserve"> zákona, ktorým</w:t>
            </w:r>
            <w:r>
              <w:rPr>
                <w:sz w:val="24"/>
                <w:szCs w:val="24"/>
              </w:rPr>
              <w:t>i</w:t>
            </w:r>
            <w:r w:rsidRPr="000F7E1D">
              <w:rPr>
                <w:sz w:val="24"/>
                <w:szCs w:val="24"/>
              </w:rPr>
              <w:t xml:space="preserve"> sa mení a dopĺňa zákon č. 222/2004 Z. z. o dani z pridanej hodnoty v znení neskorších predpisov, </w:t>
            </w:r>
            <w:r>
              <w:rPr>
                <w:sz w:val="24"/>
                <w:szCs w:val="24"/>
              </w:rPr>
              <w:t>sa dotknú</w:t>
            </w:r>
            <w:r w:rsidRPr="000F7E1D">
              <w:rPr>
                <w:sz w:val="24"/>
                <w:szCs w:val="24"/>
              </w:rPr>
              <w:t xml:space="preserve"> platiteľov dane z pridanej hodnoty, ktorí poskytujú telekomunikačné služby, služby rozhlasového a televízneho vysielania alebo elektronické služby (tzv. digitálne služby) nezdaniteľným osobám usadeným v inom členskom štáte, ako aj tých, ktorí vykonávajú transakcie týkajúce sa poukazov.  </w:t>
            </w:r>
          </w:p>
          <w:p w:rsidR="00A733AF" w:rsidRPr="000F7E1D" w:rsidRDefault="00A733AF" w:rsidP="00A716FC">
            <w:pPr>
              <w:rPr>
                <w:sz w:val="24"/>
                <w:szCs w:val="24"/>
              </w:rPr>
            </w:pPr>
          </w:p>
          <w:p w:rsidR="00A733AF" w:rsidRPr="000F7E1D" w:rsidRDefault="00A733AF" w:rsidP="00A716FC">
            <w:pPr>
              <w:rPr>
                <w:sz w:val="24"/>
                <w:szCs w:val="24"/>
              </w:rPr>
            </w:pPr>
            <w:r w:rsidRPr="000F7E1D">
              <w:rPr>
                <w:sz w:val="24"/>
                <w:szCs w:val="24"/>
              </w:rPr>
              <w:t xml:space="preserve">Transpozíciou smernice Rady (EÚ) 2016/1065 z 27. júna 2016, ktorou sa mení smernica 2006/112/ES, pokiaľ ide o zaobchádzanie z poukazmi, sa zavádza rozdelenie poukazov na jednoúčelové a viacúčelové, s čím sú spojené aj rozdielne pravidlá zdaňovania. Pri viacúčelových poukazoch nedochádza v podstate k žiadnym zmenám postupov zdaňovania. Predmetom dane bude až skutočné odovzdanie tovaru alebo dodanie služby ich dodávateľom. Pripravovaná právna úprava bude precizovať súčasne platné pravidlá, ktoré neboli v praxi vykladané jednoznačne. </w:t>
            </w:r>
          </w:p>
          <w:p w:rsidR="00A733AF" w:rsidRPr="000F7E1D" w:rsidRDefault="00A733AF" w:rsidP="00A716FC">
            <w:pPr>
              <w:rPr>
                <w:sz w:val="24"/>
                <w:szCs w:val="24"/>
              </w:rPr>
            </w:pPr>
            <w:r w:rsidRPr="000F7E1D">
              <w:rPr>
                <w:sz w:val="24"/>
                <w:szCs w:val="24"/>
              </w:rPr>
              <w:t xml:space="preserve">Ak v čase vystavenia poukazu je známe miesto dodania tovaru alebo služieb, na ktoré sa tento poukaz vzťahuje, ako aj suma splatnej dane z predmetného tovaru alebo služby, pôjde o tzv. jednoúčelový poukaz.  Predmetom dane pri týchto transakciách bude každý prevod poukazu vykonaný zdaniteľnou osobou, pričom samotné odovzdanie tovaru alebo poskytnutie služby ich dodávateľom výmenou za poukaz už nebude zdanené. </w:t>
            </w:r>
          </w:p>
          <w:p w:rsidR="00A733AF" w:rsidRPr="000F7E1D" w:rsidRDefault="00A733AF" w:rsidP="00A716FC">
            <w:pPr>
              <w:rPr>
                <w:sz w:val="24"/>
                <w:szCs w:val="24"/>
              </w:rPr>
            </w:pPr>
            <w:r w:rsidRPr="000F7E1D">
              <w:rPr>
                <w:sz w:val="24"/>
                <w:szCs w:val="24"/>
              </w:rPr>
              <w:t>Harmonizácia a spresnenie pravidiel pri zaobchádzaní s poukazmi zvyšuje stav právnej istoty, čo považujeme za pozitívny dopad na podnikateľské prostredie.</w:t>
            </w:r>
          </w:p>
          <w:p w:rsidR="00A733AF" w:rsidRPr="000F7E1D" w:rsidRDefault="00A733AF" w:rsidP="00A716FC">
            <w:pPr>
              <w:rPr>
                <w:sz w:val="24"/>
                <w:szCs w:val="24"/>
              </w:rPr>
            </w:pPr>
          </w:p>
          <w:p w:rsidR="00A733AF" w:rsidRPr="000F7E1D" w:rsidRDefault="00A733AF" w:rsidP="00A716FC">
            <w:pPr>
              <w:rPr>
                <w:sz w:val="24"/>
                <w:szCs w:val="24"/>
              </w:rPr>
            </w:pPr>
            <w:r w:rsidRPr="000F7E1D">
              <w:rPr>
                <w:sz w:val="24"/>
                <w:szCs w:val="24"/>
              </w:rPr>
              <w:t>Rovnako pozitívny vplyv hlavne na malé a stredné podniky prinesie transpozícia článku 1 smernice Rady (EÚ) 2017/2455 z 5. decembra  2017, ktorou sa mení smernica 2006/112/ES a smernica 2009/132/ES, pokiaľ ide o určité povinnosti týkajúce sa dane z pridanej hodnoty pri poskytovaní služieb a predaji tovaru na diaľku, keďže sa ním zavádza obratový limit pre registráciu vo výške 10 000 eur pre zdaniteľné osoby, ktoré sú usadené len v jednom členskom štáte Európskej únie a ktoré poskytujú telekomunikačné služby, služby rozhlasového a televízneho vysielania alebo elektronické služby (tzv. digitálne služby) nezdaniteľným osobám usadeným v inom členskom štáte. Pre podnikateľov pôsobiacich v tejto oblasti to znamená odbúranie administratívnych nákladov spojených s registráciou a zjednodušenie pri poskytovaní služieb v iných členských štátoch.</w:t>
            </w:r>
          </w:p>
          <w:p w:rsidR="00A733AF" w:rsidRPr="000F7E1D" w:rsidRDefault="00A733AF" w:rsidP="00A716FC">
            <w:pPr>
              <w:rPr>
                <w:bCs/>
                <w:sz w:val="24"/>
                <w:szCs w:val="24"/>
              </w:rPr>
            </w:pPr>
          </w:p>
          <w:p w:rsidR="00A733AF" w:rsidRPr="000F7E1D" w:rsidRDefault="00A733AF" w:rsidP="00A716FC">
            <w:pPr>
              <w:rPr>
                <w:bCs/>
                <w:sz w:val="24"/>
                <w:szCs w:val="24"/>
              </w:rPr>
            </w:pPr>
            <w:r w:rsidRPr="000F7E1D">
              <w:rPr>
                <w:bCs/>
                <w:sz w:val="24"/>
                <w:szCs w:val="24"/>
              </w:rPr>
              <w:t>Novelou zákona dochádza aj k zmenám v právnej úprave zdaňovania dodania stavby a v právnej úprave zdaňovania prenájmu nehnuteľnosti. Pokiaľ doteraz platiteľ dane pri dodaní nehnuteľnosti oslobodenej od dane, ktorá je určená na bývanie, mohol využiť možnosť zdanenia tejto nehnuteľnosti, podľa nových pravidiel ju bude musieť dodávať s oslobodením od dane.</w:t>
            </w:r>
          </w:p>
          <w:p w:rsidR="00A733AF" w:rsidRPr="000F7E1D" w:rsidRDefault="00A733AF" w:rsidP="00A716FC">
            <w:pPr>
              <w:rPr>
                <w:bCs/>
                <w:sz w:val="24"/>
                <w:szCs w:val="24"/>
              </w:rPr>
            </w:pPr>
            <w:r w:rsidRPr="000F7E1D">
              <w:rPr>
                <w:bCs/>
                <w:sz w:val="24"/>
                <w:szCs w:val="24"/>
              </w:rPr>
              <w:lastRenderedPageBreak/>
              <w:t>Zmena pri zdaňovaní prenájmu nehnuteľnosti spočíva taktiež v obmedzení práva voľby na zdanenie prenájmu nehnuteľnosti, ktorá je určená na bývanie. Bez ohľadu na postavenie príjemcu bude platiteľ dane vždy povinný uplatniť oslobodenie od dane pri nájomnom, ak je nehnuteľnosť určená na bývanie.</w:t>
            </w:r>
          </w:p>
          <w:p w:rsidR="00A733AF" w:rsidRDefault="00A733AF" w:rsidP="00A716FC">
            <w:pPr>
              <w:rPr>
                <w:bCs/>
                <w:sz w:val="24"/>
                <w:szCs w:val="24"/>
              </w:rPr>
            </w:pPr>
            <w:r w:rsidRPr="000F7E1D">
              <w:rPr>
                <w:bCs/>
                <w:sz w:val="24"/>
                <w:szCs w:val="24"/>
              </w:rPr>
              <w:t>Navrhované zmeny, hlavne pokiaľ ide o dodanie a nájmy stavieb, môžu mať negatívny vplyv na administratívne náklady podnikateľov, pretože ak platiteľ dane dodá nehnuteľnosť oslobodenú od dane, je povinný upraviť DPH odpočítanú z nadobudnutia nehnuteľnosti.</w:t>
            </w:r>
          </w:p>
          <w:p w:rsidR="00A733AF" w:rsidRDefault="00A733AF" w:rsidP="00A716FC">
            <w:pPr>
              <w:rPr>
                <w:bCs/>
                <w:sz w:val="24"/>
                <w:szCs w:val="24"/>
              </w:rPr>
            </w:pPr>
          </w:p>
          <w:p w:rsidR="00A733AF" w:rsidRDefault="00A733AF" w:rsidP="00A716FC">
            <w:pPr>
              <w:rPr>
                <w:bCs/>
                <w:sz w:val="24"/>
                <w:szCs w:val="24"/>
              </w:rPr>
            </w:pPr>
            <w:r>
              <w:rPr>
                <w:bCs/>
                <w:sz w:val="24"/>
                <w:szCs w:val="24"/>
              </w:rPr>
              <w:t>Navrhuje sa zrušiť ukladanie zá</w:t>
            </w:r>
            <w:r w:rsidRPr="00AE5D16">
              <w:rPr>
                <w:bCs/>
                <w:sz w:val="24"/>
                <w:szCs w:val="24"/>
              </w:rPr>
              <w:t>bezpek</w:t>
            </w:r>
            <w:r>
              <w:rPr>
                <w:bCs/>
                <w:sz w:val="24"/>
                <w:szCs w:val="24"/>
              </w:rPr>
              <w:t>y</w:t>
            </w:r>
            <w:r w:rsidRPr="00AE5D16">
              <w:rPr>
                <w:bCs/>
                <w:sz w:val="24"/>
                <w:szCs w:val="24"/>
              </w:rPr>
              <w:t xml:space="preserve"> na daň,</w:t>
            </w:r>
            <w:r>
              <w:rPr>
                <w:bCs/>
                <w:sz w:val="24"/>
                <w:szCs w:val="24"/>
              </w:rPr>
              <w:t xml:space="preserve"> ktoré bolo zavedené s cieľom elimi</w:t>
            </w:r>
            <w:r w:rsidRPr="00AE5D16">
              <w:rPr>
                <w:bCs/>
                <w:sz w:val="24"/>
                <w:szCs w:val="24"/>
              </w:rPr>
              <w:t xml:space="preserve">novať negatívne dôsledky spočívajúce vo vzniku nedoplatkov na dani spôsobených </w:t>
            </w:r>
            <w:proofErr w:type="spellStart"/>
            <w:r w:rsidRPr="00AE5D16">
              <w:rPr>
                <w:bCs/>
                <w:sz w:val="24"/>
                <w:szCs w:val="24"/>
              </w:rPr>
              <w:t>novoregistrovanými</w:t>
            </w:r>
            <w:proofErr w:type="spellEnd"/>
            <w:r w:rsidRPr="00AE5D16">
              <w:rPr>
                <w:bCs/>
                <w:sz w:val="24"/>
                <w:szCs w:val="24"/>
              </w:rPr>
              <w:t xml:space="preserve"> platiteľmi</w:t>
            </w:r>
            <w:r>
              <w:rPr>
                <w:bCs/>
                <w:sz w:val="24"/>
                <w:szCs w:val="24"/>
              </w:rPr>
              <w:t xml:space="preserve"> dane.</w:t>
            </w:r>
            <w:r w:rsidRPr="00AE5D16">
              <w:rPr>
                <w:bCs/>
                <w:sz w:val="24"/>
                <w:szCs w:val="24"/>
              </w:rPr>
              <w:t xml:space="preserve"> Súčasne sa navrhuje, aby sa všetky </w:t>
            </w:r>
            <w:r>
              <w:rPr>
                <w:bCs/>
                <w:sz w:val="24"/>
                <w:szCs w:val="24"/>
              </w:rPr>
              <w:t xml:space="preserve">vydané </w:t>
            </w:r>
            <w:r w:rsidRPr="00AE5D16">
              <w:rPr>
                <w:bCs/>
                <w:sz w:val="24"/>
                <w:szCs w:val="24"/>
              </w:rPr>
              <w:t xml:space="preserve">rozhodnutia o zložení zábezpeky na daň </w:t>
            </w:r>
            <w:r>
              <w:rPr>
                <w:bCs/>
                <w:sz w:val="24"/>
                <w:szCs w:val="24"/>
              </w:rPr>
              <w:t>zrušili a zložené finančné prostriedky vrátili podnikateľom do 31. januára 2019.</w:t>
            </w:r>
          </w:p>
          <w:p w:rsidR="00086CFE" w:rsidRPr="006158F5" w:rsidRDefault="00086CFE" w:rsidP="00A716FC">
            <w:pPr>
              <w:rPr>
                <w:bCs/>
                <w:sz w:val="24"/>
                <w:szCs w:val="24"/>
              </w:rPr>
            </w:pPr>
          </w:p>
        </w:tc>
      </w:tr>
      <w:tr w:rsidR="00A733AF" w:rsidRPr="000F7E1D" w:rsidTr="00A716FC">
        <w:trPr>
          <w:trHeight w:val="339"/>
        </w:trPr>
        <w:tc>
          <w:tcPr>
            <w:tcW w:w="9212" w:type="dxa"/>
            <w:shd w:val="clear" w:color="auto" w:fill="D9D9D9" w:themeFill="background1" w:themeFillShade="D9"/>
          </w:tcPr>
          <w:p w:rsidR="00A733AF" w:rsidRPr="000F7E1D" w:rsidRDefault="00A733AF" w:rsidP="00A716FC">
            <w:pPr>
              <w:rPr>
                <w:b/>
                <w:sz w:val="24"/>
                <w:szCs w:val="24"/>
              </w:rPr>
            </w:pPr>
            <w:r w:rsidRPr="000F7E1D">
              <w:rPr>
                <w:b/>
                <w:sz w:val="24"/>
                <w:szCs w:val="24"/>
              </w:rPr>
              <w:lastRenderedPageBreak/>
              <w:t>3.2 Vyhodnotenie konzultácií</w:t>
            </w:r>
          </w:p>
          <w:p w:rsidR="00A733AF" w:rsidRPr="000F7E1D" w:rsidRDefault="00A733AF" w:rsidP="00A716FC">
            <w:pPr>
              <w:rPr>
                <w:b/>
                <w:sz w:val="24"/>
                <w:szCs w:val="24"/>
              </w:rPr>
            </w:pPr>
            <w:r w:rsidRPr="000F7E1D">
              <w:rPr>
                <w:sz w:val="24"/>
                <w:szCs w:val="24"/>
              </w:rPr>
              <w:t xml:space="preserve">       - </w:t>
            </w:r>
            <w:r w:rsidRPr="000F7E1D">
              <w:rPr>
                <w:b/>
                <w:sz w:val="24"/>
                <w:szCs w:val="24"/>
              </w:rPr>
              <w:t>z toho MSP</w:t>
            </w:r>
          </w:p>
        </w:tc>
      </w:tr>
      <w:tr w:rsidR="00A733AF" w:rsidRPr="000F7E1D" w:rsidTr="00A716FC">
        <w:trPr>
          <w:trHeight w:val="454"/>
        </w:trPr>
        <w:tc>
          <w:tcPr>
            <w:tcW w:w="9212" w:type="dxa"/>
          </w:tcPr>
          <w:p w:rsidR="00A733AF" w:rsidRPr="000F7E1D" w:rsidRDefault="00A733AF" w:rsidP="00A716FC">
            <w:pPr>
              <w:rPr>
                <w:i/>
                <w:sz w:val="24"/>
                <w:szCs w:val="24"/>
              </w:rPr>
            </w:pPr>
            <w:r w:rsidRPr="000F7E1D">
              <w:rPr>
                <w:i/>
                <w:sz w:val="24"/>
                <w:szCs w:val="24"/>
              </w:rPr>
              <w:t>Uveďte, akou formou (verejné alebo cielené konzultácie a prečo) a s kým bol návrh konzultovaný.</w:t>
            </w:r>
          </w:p>
          <w:p w:rsidR="00A733AF" w:rsidRPr="000F7E1D" w:rsidRDefault="00A733AF" w:rsidP="00A716FC">
            <w:pPr>
              <w:rPr>
                <w:i/>
                <w:sz w:val="24"/>
                <w:szCs w:val="24"/>
              </w:rPr>
            </w:pPr>
            <w:r w:rsidRPr="000F7E1D">
              <w:rPr>
                <w:i/>
                <w:sz w:val="24"/>
                <w:szCs w:val="24"/>
              </w:rPr>
              <w:t xml:space="preserve">Ako dlho trvali konzultácie? Uveďte hlavné body konzultácií a výsledky konzultácií. </w:t>
            </w:r>
          </w:p>
        </w:tc>
      </w:tr>
      <w:tr w:rsidR="00A733AF" w:rsidRPr="000F7E1D" w:rsidTr="00A716FC">
        <w:trPr>
          <w:trHeight w:val="680"/>
        </w:trPr>
        <w:tc>
          <w:tcPr>
            <w:tcW w:w="9212" w:type="dxa"/>
            <w:vAlign w:val="center"/>
          </w:tcPr>
          <w:p w:rsidR="00A733AF" w:rsidRPr="000F7E1D" w:rsidRDefault="00A733AF" w:rsidP="00A716FC">
            <w:pPr>
              <w:rPr>
                <w:sz w:val="24"/>
                <w:szCs w:val="24"/>
              </w:rPr>
            </w:pPr>
            <w:r w:rsidRPr="000F7E1D">
              <w:rPr>
                <w:sz w:val="24"/>
                <w:szCs w:val="24"/>
              </w:rPr>
              <w:t xml:space="preserve">Nadväzne na Predbežnú informáciu k návrhu zákona, ktorým sa mení a dopĺňa zákon č. 222/2004 Z. z. o dani z pridanej hodnoty v znení neskorších predpisov (PI/2018/36), ktorá bola zverejnená na portáli Slov-Lex a verejnosť sa mala možnosť k nej vyjadriť v čase od 15.02.2018 do 28.02.2018, sa k novele zákona o DPH uskutočnili dňa 22.03.2018 konzultácie s podnikateľskými subjektmi. Konzultácií sa zúčastnili zástupcovia Asociácie emitentov stravovacích poukážok, </w:t>
            </w:r>
            <w:proofErr w:type="spellStart"/>
            <w:r w:rsidRPr="000F7E1D">
              <w:rPr>
                <w:sz w:val="24"/>
                <w:szCs w:val="24"/>
              </w:rPr>
              <w:t>Hillbridges</w:t>
            </w:r>
            <w:proofErr w:type="spellEnd"/>
            <w:r w:rsidRPr="000F7E1D">
              <w:rPr>
                <w:sz w:val="24"/>
                <w:szCs w:val="24"/>
              </w:rPr>
              <w:t xml:space="preserve">, </w:t>
            </w:r>
            <w:proofErr w:type="spellStart"/>
            <w:r w:rsidRPr="000F7E1D">
              <w:rPr>
                <w:sz w:val="24"/>
                <w:szCs w:val="24"/>
              </w:rPr>
              <w:t>s.r.o</w:t>
            </w:r>
            <w:proofErr w:type="spellEnd"/>
            <w:r w:rsidRPr="000F7E1D">
              <w:rPr>
                <w:sz w:val="24"/>
                <w:szCs w:val="24"/>
              </w:rPr>
              <w:t xml:space="preserve">., Fóra pre komunikačné technológie, Republikovej únie zamestnávateľov, Slovnaft, </w:t>
            </w:r>
            <w:proofErr w:type="spellStart"/>
            <w:r w:rsidRPr="000F7E1D">
              <w:rPr>
                <w:sz w:val="24"/>
                <w:szCs w:val="24"/>
              </w:rPr>
              <w:t>a.s</w:t>
            </w:r>
            <w:proofErr w:type="spellEnd"/>
            <w:r w:rsidRPr="000F7E1D">
              <w:rPr>
                <w:sz w:val="24"/>
                <w:szCs w:val="24"/>
              </w:rPr>
              <w:t xml:space="preserve">., </w:t>
            </w:r>
            <w:proofErr w:type="spellStart"/>
            <w:r w:rsidRPr="000F7E1D">
              <w:rPr>
                <w:sz w:val="24"/>
                <w:szCs w:val="24"/>
              </w:rPr>
              <w:t>Solitea</w:t>
            </w:r>
            <w:proofErr w:type="spellEnd"/>
            <w:r w:rsidRPr="000F7E1D">
              <w:rPr>
                <w:sz w:val="24"/>
                <w:szCs w:val="24"/>
              </w:rPr>
              <w:t xml:space="preserve">, </w:t>
            </w:r>
            <w:proofErr w:type="spellStart"/>
            <w:r w:rsidRPr="000F7E1D">
              <w:rPr>
                <w:sz w:val="24"/>
                <w:szCs w:val="24"/>
              </w:rPr>
              <w:t>a.s</w:t>
            </w:r>
            <w:proofErr w:type="spellEnd"/>
            <w:r w:rsidRPr="000F7E1D">
              <w:rPr>
                <w:sz w:val="24"/>
                <w:szCs w:val="24"/>
              </w:rPr>
              <w:t>.</w:t>
            </w:r>
          </w:p>
          <w:p w:rsidR="00A733AF" w:rsidRPr="000F7E1D" w:rsidRDefault="00A733AF" w:rsidP="00A716FC">
            <w:pPr>
              <w:jc w:val="both"/>
              <w:rPr>
                <w:sz w:val="24"/>
                <w:szCs w:val="24"/>
              </w:rPr>
            </w:pPr>
            <w:r w:rsidRPr="000F7E1D">
              <w:rPr>
                <w:sz w:val="24"/>
                <w:szCs w:val="24"/>
              </w:rPr>
              <w:t xml:space="preserve">Konzultácie sa uskutočnili v rámci legislatívneho procesu prípravy návrhu novely zákona v súlade s Jednotnou metodikou na posudzovanie vybraných vplyvov schválenou uznesením vlády SR č. 24 z 14.5.2015 v znení uznesení vlády SR č. 513 z 16.9.2015 a č. 76 z 24.2.2016. </w:t>
            </w:r>
          </w:p>
          <w:p w:rsidR="00A733AF" w:rsidRPr="000F7E1D" w:rsidRDefault="00A733AF" w:rsidP="00A716FC">
            <w:pPr>
              <w:pStyle w:val="Zkladntext"/>
              <w:rPr>
                <w:rFonts w:ascii="Times New Roman" w:hAnsi="Times New Roman"/>
                <w:sz w:val="24"/>
                <w:szCs w:val="24"/>
              </w:rPr>
            </w:pPr>
            <w:r w:rsidRPr="000F7E1D">
              <w:rPr>
                <w:rFonts w:ascii="Times New Roman" w:hAnsi="Times New Roman"/>
                <w:sz w:val="24"/>
                <w:szCs w:val="24"/>
              </w:rPr>
              <w:t>MF SR predstavilo okruh plánovaných legislatívnych úprav, ktoré budú súčasťou novely zákona o DPH. Hlavným predmetom novely je transpozícia dvoch nových smerníc v oblasti DPH, ktoré musí Slovenská republika transponovať do zákona o DPH – smernicu Rady 2017/2455 z 5. decembra 2017, ktorou sa mení smernica 2006/112/ES, a smernicu Rady 2009/132/ES, pokiaľ ide o určité povinnosti týkajúce sa dane z pridanej hodnoty pri poskytovaní služieb a predaji tovaru na diaľku a smernicu Rady 2016/1065 z 27. júna 2016, ktorou sa mení smernica 2006/112/ES, pokiaľ ide o zaobchádzanie s poukazmi.</w:t>
            </w:r>
          </w:p>
          <w:p w:rsidR="00A733AF" w:rsidRPr="000F7E1D" w:rsidRDefault="00A733AF" w:rsidP="00A716FC">
            <w:pPr>
              <w:jc w:val="both"/>
              <w:rPr>
                <w:sz w:val="24"/>
                <w:szCs w:val="24"/>
              </w:rPr>
            </w:pPr>
          </w:p>
          <w:p w:rsidR="00A733AF" w:rsidRPr="000F7E1D" w:rsidRDefault="00A733AF" w:rsidP="00A716FC">
            <w:pPr>
              <w:jc w:val="both"/>
              <w:rPr>
                <w:b/>
                <w:sz w:val="24"/>
                <w:szCs w:val="24"/>
              </w:rPr>
            </w:pPr>
            <w:r w:rsidRPr="000F7E1D">
              <w:rPr>
                <w:b/>
                <w:sz w:val="24"/>
                <w:szCs w:val="24"/>
              </w:rPr>
              <w:t>Transpozícia smernice o poukazoch</w:t>
            </w:r>
          </w:p>
          <w:p w:rsidR="00A733AF" w:rsidRPr="000F7E1D" w:rsidRDefault="00A733AF" w:rsidP="00A716FC">
            <w:pPr>
              <w:jc w:val="both"/>
              <w:rPr>
                <w:b/>
                <w:sz w:val="24"/>
                <w:szCs w:val="24"/>
              </w:rPr>
            </w:pPr>
          </w:p>
          <w:p w:rsidR="00A733AF" w:rsidRPr="000F7E1D" w:rsidRDefault="00A733AF" w:rsidP="00A716FC">
            <w:pPr>
              <w:jc w:val="both"/>
              <w:rPr>
                <w:sz w:val="24"/>
                <w:szCs w:val="24"/>
              </w:rPr>
            </w:pPr>
            <w:r w:rsidRPr="000F7E1D">
              <w:rPr>
                <w:b/>
                <w:sz w:val="24"/>
                <w:szCs w:val="24"/>
              </w:rPr>
              <w:t>Asociácia emitentov stravovacích poukážok</w:t>
            </w:r>
          </w:p>
          <w:p w:rsidR="00A733AF" w:rsidRPr="000F7E1D" w:rsidRDefault="00A733AF" w:rsidP="00A716FC">
            <w:pPr>
              <w:jc w:val="both"/>
              <w:rPr>
                <w:sz w:val="24"/>
                <w:szCs w:val="24"/>
              </w:rPr>
            </w:pPr>
            <w:r w:rsidRPr="000F7E1D">
              <w:rPr>
                <w:sz w:val="24"/>
                <w:szCs w:val="24"/>
              </w:rPr>
              <w:t xml:space="preserve">AESP svoje pripomienky poslala už skôr emailom a žiadne iné pripomienky a návrhy nemá. DPH majú podľa nich odvádzať tie prevádzky, kde je poukaz uplatnený. AESP ide o to, aby transpozícia bola taká, aby bolo dodržané členenie na jednoúčelové a viacúčelové poukazy tak, ako je definované v smernici. Myslia si, že by mal byť zachovaný  status </w:t>
            </w:r>
            <w:proofErr w:type="spellStart"/>
            <w:r w:rsidRPr="000F7E1D">
              <w:rPr>
                <w:sz w:val="24"/>
                <w:szCs w:val="24"/>
              </w:rPr>
              <w:t>quo</w:t>
            </w:r>
            <w:proofErr w:type="spellEnd"/>
            <w:r w:rsidRPr="000F7E1D">
              <w:rPr>
                <w:sz w:val="24"/>
                <w:szCs w:val="24"/>
              </w:rPr>
              <w:t xml:space="preserve"> pri zdaňovaní stravovacích poukážok. </w:t>
            </w:r>
          </w:p>
          <w:p w:rsidR="00A733AF" w:rsidRPr="000F7E1D" w:rsidRDefault="00A733AF" w:rsidP="00A716FC">
            <w:pPr>
              <w:jc w:val="both"/>
              <w:rPr>
                <w:i/>
                <w:sz w:val="24"/>
                <w:szCs w:val="24"/>
              </w:rPr>
            </w:pPr>
            <w:r w:rsidRPr="000F7E1D">
              <w:rPr>
                <w:i/>
                <w:sz w:val="24"/>
                <w:szCs w:val="24"/>
              </w:rPr>
              <w:t xml:space="preserve">MF SR: MF SR má v pláne zachovať rámec smernice, nebude rozširovať ani zužovať úpravu v smernici.  </w:t>
            </w:r>
          </w:p>
          <w:p w:rsidR="00A733AF" w:rsidRPr="000F7E1D" w:rsidRDefault="00A733AF" w:rsidP="00A716FC">
            <w:pPr>
              <w:jc w:val="both"/>
              <w:rPr>
                <w:sz w:val="24"/>
                <w:szCs w:val="24"/>
              </w:rPr>
            </w:pPr>
          </w:p>
          <w:p w:rsidR="00A733AF" w:rsidRPr="000F7E1D" w:rsidRDefault="00A733AF" w:rsidP="00A716FC">
            <w:pPr>
              <w:jc w:val="both"/>
              <w:rPr>
                <w:sz w:val="24"/>
                <w:szCs w:val="24"/>
              </w:rPr>
            </w:pPr>
            <w:r w:rsidRPr="000F7E1D">
              <w:rPr>
                <w:b/>
                <w:sz w:val="24"/>
                <w:szCs w:val="24"/>
              </w:rPr>
              <w:t xml:space="preserve">Orange Slovensko </w:t>
            </w:r>
          </w:p>
          <w:p w:rsidR="00A733AF" w:rsidRPr="000F7E1D" w:rsidRDefault="00A733AF" w:rsidP="00A716FC">
            <w:pPr>
              <w:jc w:val="both"/>
              <w:rPr>
                <w:sz w:val="24"/>
                <w:szCs w:val="24"/>
              </w:rPr>
            </w:pPr>
            <w:r w:rsidRPr="000F7E1D">
              <w:rPr>
                <w:sz w:val="24"/>
                <w:szCs w:val="24"/>
              </w:rPr>
              <w:t>Orange identifikoval tri problematické body pri transpozícií smernice:</w:t>
            </w:r>
          </w:p>
          <w:p w:rsidR="00A733AF" w:rsidRPr="000F7E1D" w:rsidRDefault="00A733AF" w:rsidP="00A733AF">
            <w:pPr>
              <w:numPr>
                <w:ilvl w:val="0"/>
                <w:numId w:val="5"/>
              </w:numPr>
              <w:jc w:val="both"/>
              <w:textAlignment w:val="center"/>
              <w:rPr>
                <w:color w:val="000000"/>
                <w:sz w:val="24"/>
                <w:szCs w:val="24"/>
              </w:rPr>
            </w:pPr>
            <w:r w:rsidRPr="000F7E1D">
              <w:rPr>
                <w:color w:val="000000"/>
                <w:sz w:val="24"/>
                <w:szCs w:val="24"/>
              </w:rPr>
              <w:lastRenderedPageBreak/>
              <w:t xml:space="preserve">predaj predplateného kreditu - ten sa dá použiť na nákup viacerých služieb aj u tretích strán. Ide o významnú zmenu v tom, ako sa predáva kredit. DPH sa nebude odvádzať pri zaplatení kreditu (napr. cez ERP), ale až po využití kreditu. </w:t>
            </w:r>
          </w:p>
          <w:p w:rsidR="00A733AF" w:rsidRPr="000F7E1D" w:rsidRDefault="00A733AF" w:rsidP="00A733AF">
            <w:pPr>
              <w:numPr>
                <w:ilvl w:val="0"/>
                <w:numId w:val="5"/>
              </w:numPr>
              <w:jc w:val="both"/>
              <w:textAlignment w:val="center"/>
              <w:rPr>
                <w:color w:val="000000"/>
                <w:sz w:val="24"/>
                <w:szCs w:val="24"/>
              </w:rPr>
            </w:pPr>
            <w:r w:rsidRPr="000F7E1D">
              <w:rPr>
                <w:color w:val="000000"/>
                <w:sz w:val="24"/>
                <w:szCs w:val="24"/>
              </w:rPr>
              <w:t>prechodné obdobie v zákone – čo v prípade, že kredit bude kúpený 31.12.2018 a využitý po 1.1.2019?</w:t>
            </w:r>
          </w:p>
          <w:p w:rsidR="00A733AF" w:rsidRPr="000F7E1D" w:rsidRDefault="00A733AF" w:rsidP="00A733AF">
            <w:pPr>
              <w:numPr>
                <w:ilvl w:val="0"/>
                <w:numId w:val="5"/>
              </w:numPr>
              <w:jc w:val="both"/>
              <w:textAlignment w:val="center"/>
              <w:rPr>
                <w:color w:val="000000"/>
                <w:sz w:val="24"/>
                <w:szCs w:val="24"/>
              </w:rPr>
            </w:pPr>
            <w:r w:rsidRPr="000F7E1D">
              <w:rPr>
                <w:color w:val="000000"/>
                <w:sz w:val="24"/>
                <w:szCs w:val="24"/>
              </w:rPr>
              <w:t>kredit, ktorý bude zaplatený, ale nikdy nebude použitý – čo s ním?</w:t>
            </w:r>
          </w:p>
          <w:p w:rsidR="00A733AF" w:rsidRPr="000F7E1D" w:rsidRDefault="00A733AF" w:rsidP="00A716FC">
            <w:pPr>
              <w:jc w:val="both"/>
              <w:textAlignment w:val="center"/>
              <w:rPr>
                <w:i/>
                <w:color w:val="000000"/>
                <w:sz w:val="24"/>
                <w:szCs w:val="24"/>
              </w:rPr>
            </w:pPr>
            <w:r w:rsidRPr="000F7E1D">
              <w:rPr>
                <w:i/>
                <w:color w:val="000000"/>
                <w:sz w:val="24"/>
                <w:szCs w:val="24"/>
              </w:rPr>
              <w:t xml:space="preserve">MF SR: Transpozíciou smernice sa nemení vznik daňovej povinnosti. Ten je aj dnes až v momente, kedy je kredit spotrebovaný, nie kúpený, iba operátori postupujú nesprávne. MF SR privítalo informáciu, že operátori plánujú zmeniť svoje postupy fakturácie. Pravidlá fakturácie nová smernica nemení. </w:t>
            </w:r>
            <w:r w:rsidRPr="000F7E1D">
              <w:rPr>
                <w:i/>
                <w:sz w:val="24"/>
                <w:szCs w:val="24"/>
              </w:rPr>
              <w:t xml:space="preserve">Nespotrebovaný kredit nie je problém. Keď sa neposkytne služba, nevzniká daňová povinnosť. </w:t>
            </w:r>
          </w:p>
          <w:p w:rsidR="00A733AF" w:rsidRPr="000F7E1D" w:rsidRDefault="00A733AF" w:rsidP="00A716FC">
            <w:pPr>
              <w:jc w:val="both"/>
              <w:rPr>
                <w:sz w:val="24"/>
                <w:szCs w:val="24"/>
              </w:rPr>
            </w:pPr>
          </w:p>
          <w:p w:rsidR="00A733AF" w:rsidRPr="000F7E1D" w:rsidRDefault="00A733AF" w:rsidP="00A716FC">
            <w:pPr>
              <w:jc w:val="both"/>
              <w:rPr>
                <w:sz w:val="24"/>
                <w:szCs w:val="24"/>
              </w:rPr>
            </w:pPr>
            <w:r w:rsidRPr="000F7E1D">
              <w:rPr>
                <w:b/>
                <w:sz w:val="24"/>
                <w:szCs w:val="24"/>
              </w:rPr>
              <w:t xml:space="preserve">Západoslovenská energetika, a.s. </w:t>
            </w:r>
          </w:p>
          <w:p w:rsidR="00A733AF" w:rsidRPr="000F7E1D" w:rsidRDefault="00A733AF" w:rsidP="00A716FC">
            <w:pPr>
              <w:jc w:val="both"/>
              <w:rPr>
                <w:sz w:val="24"/>
                <w:szCs w:val="24"/>
              </w:rPr>
            </w:pPr>
            <w:r w:rsidRPr="000F7E1D">
              <w:rPr>
                <w:sz w:val="24"/>
                <w:szCs w:val="24"/>
              </w:rPr>
              <w:t xml:space="preserve">Ako sa v tejto súvislosti budú riešiť vopred prijaté platby? </w:t>
            </w:r>
          </w:p>
          <w:p w:rsidR="00A733AF" w:rsidRPr="000F7E1D" w:rsidRDefault="00A733AF" w:rsidP="00A716FC">
            <w:pPr>
              <w:jc w:val="both"/>
              <w:rPr>
                <w:i/>
                <w:sz w:val="24"/>
                <w:szCs w:val="24"/>
              </w:rPr>
            </w:pPr>
            <w:r w:rsidRPr="000F7E1D">
              <w:rPr>
                <w:i/>
                <w:sz w:val="24"/>
                <w:szCs w:val="24"/>
              </w:rPr>
              <w:t xml:space="preserve">MF SR: Rozdiel v zaobchádzaní závisí na tom, či sa jedná o jednoúčelový alebo viacúčelový poukaz. Väčšie problémy sa očakávajú v praxi s jednoúčelovými poukazmi. </w:t>
            </w:r>
          </w:p>
          <w:p w:rsidR="00A733AF" w:rsidRPr="000F7E1D" w:rsidRDefault="00A733AF" w:rsidP="00A716FC">
            <w:pPr>
              <w:jc w:val="both"/>
              <w:rPr>
                <w:sz w:val="24"/>
                <w:szCs w:val="24"/>
              </w:rPr>
            </w:pPr>
          </w:p>
          <w:p w:rsidR="00A733AF" w:rsidRPr="000F7E1D" w:rsidRDefault="00A733AF" w:rsidP="00A716FC">
            <w:pPr>
              <w:jc w:val="both"/>
              <w:rPr>
                <w:sz w:val="24"/>
                <w:szCs w:val="24"/>
              </w:rPr>
            </w:pPr>
            <w:r w:rsidRPr="000F7E1D">
              <w:rPr>
                <w:b/>
                <w:sz w:val="24"/>
                <w:szCs w:val="24"/>
              </w:rPr>
              <w:t xml:space="preserve">O2 Slovakia, s.r.o. </w:t>
            </w:r>
            <w:r w:rsidRPr="000F7E1D">
              <w:rPr>
                <w:sz w:val="24"/>
                <w:szCs w:val="24"/>
              </w:rPr>
              <w:t xml:space="preserve"> </w:t>
            </w:r>
          </w:p>
          <w:p w:rsidR="00A733AF" w:rsidRPr="000F7E1D" w:rsidRDefault="00A733AF" w:rsidP="00A716FC">
            <w:pPr>
              <w:jc w:val="both"/>
              <w:rPr>
                <w:sz w:val="24"/>
                <w:szCs w:val="24"/>
              </w:rPr>
            </w:pPr>
            <w:r w:rsidRPr="000F7E1D">
              <w:rPr>
                <w:sz w:val="24"/>
                <w:szCs w:val="24"/>
              </w:rPr>
              <w:t xml:space="preserve">Je možné uviesť konkrétny príklad na jednoúčelový a viacúčelový poukaz?  </w:t>
            </w:r>
          </w:p>
          <w:p w:rsidR="00A733AF" w:rsidRPr="000F7E1D" w:rsidRDefault="00A733AF" w:rsidP="00A716FC">
            <w:pPr>
              <w:jc w:val="both"/>
              <w:rPr>
                <w:i/>
                <w:sz w:val="24"/>
                <w:szCs w:val="24"/>
              </w:rPr>
            </w:pPr>
            <w:r w:rsidRPr="000F7E1D">
              <w:rPr>
                <w:i/>
                <w:sz w:val="24"/>
                <w:szCs w:val="24"/>
              </w:rPr>
              <w:t xml:space="preserve">MF SR: Jednoúčelový poukaz je poukaz, pri ktorom je v čase jeho vystavenia známe miesto dodania tovaru alebo poskytnutia služieb, napríklad poukaz na konkrétne jedlo v konkrétnej reštaurácií. Viacúčelový poukaz je akýkoľvek iný ako jednoúčelový.   </w:t>
            </w:r>
          </w:p>
          <w:p w:rsidR="00A733AF" w:rsidRPr="000F7E1D" w:rsidRDefault="00A733AF" w:rsidP="00A716FC">
            <w:pPr>
              <w:pStyle w:val="Zkladntext"/>
              <w:rPr>
                <w:rFonts w:ascii="Times New Roman" w:hAnsi="Times New Roman"/>
                <w:b/>
                <w:sz w:val="24"/>
                <w:szCs w:val="24"/>
              </w:rPr>
            </w:pPr>
          </w:p>
          <w:p w:rsidR="00A733AF" w:rsidRPr="000F7E1D" w:rsidRDefault="00A733AF" w:rsidP="00A716FC">
            <w:pPr>
              <w:pStyle w:val="Zkladntext"/>
              <w:rPr>
                <w:rFonts w:ascii="Times New Roman" w:hAnsi="Times New Roman"/>
                <w:b/>
                <w:sz w:val="24"/>
                <w:szCs w:val="24"/>
              </w:rPr>
            </w:pPr>
            <w:r w:rsidRPr="000F7E1D">
              <w:rPr>
                <w:rFonts w:ascii="Times New Roman" w:hAnsi="Times New Roman"/>
                <w:b/>
                <w:sz w:val="24"/>
                <w:szCs w:val="24"/>
              </w:rPr>
              <w:t>Dodanie surovej ropy</w:t>
            </w:r>
          </w:p>
          <w:p w:rsidR="00A733AF" w:rsidRPr="000F7E1D" w:rsidRDefault="00A733AF" w:rsidP="00A716FC">
            <w:pPr>
              <w:pStyle w:val="Zkladntext"/>
              <w:rPr>
                <w:rFonts w:ascii="Times New Roman" w:hAnsi="Times New Roman"/>
                <w:b/>
                <w:sz w:val="24"/>
                <w:szCs w:val="24"/>
              </w:rPr>
            </w:pPr>
          </w:p>
          <w:p w:rsidR="00A733AF" w:rsidRPr="000F7E1D" w:rsidRDefault="00A733AF" w:rsidP="00A716FC">
            <w:pPr>
              <w:pStyle w:val="Zkladntext"/>
              <w:rPr>
                <w:rFonts w:ascii="Times New Roman" w:hAnsi="Times New Roman"/>
                <w:b/>
                <w:sz w:val="24"/>
                <w:szCs w:val="24"/>
              </w:rPr>
            </w:pPr>
            <w:r w:rsidRPr="000F7E1D">
              <w:rPr>
                <w:rFonts w:ascii="Times New Roman" w:hAnsi="Times New Roman"/>
                <w:b/>
                <w:sz w:val="24"/>
                <w:szCs w:val="24"/>
              </w:rPr>
              <w:t xml:space="preserve">TRANSPETROL, a.s. (v zastúpení </w:t>
            </w:r>
            <w:proofErr w:type="spellStart"/>
            <w:r w:rsidRPr="000F7E1D">
              <w:rPr>
                <w:rFonts w:ascii="Times New Roman" w:hAnsi="Times New Roman"/>
                <w:b/>
                <w:sz w:val="24"/>
                <w:szCs w:val="24"/>
              </w:rPr>
              <w:t>Hillbridges</w:t>
            </w:r>
            <w:proofErr w:type="spellEnd"/>
            <w:r w:rsidRPr="000F7E1D">
              <w:rPr>
                <w:rFonts w:ascii="Times New Roman" w:hAnsi="Times New Roman"/>
                <w:b/>
                <w:sz w:val="24"/>
                <w:szCs w:val="24"/>
              </w:rPr>
              <w:t xml:space="preserve">, </w:t>
            </w:r>
            <w:proofErr w:type="spellStart"/>
            <w:r w:rsidRPr="000F7E1D">
              <w:rPr>
                <w:rFonts w:ascii="Times New Roman" w:hAnsi="Times New Roman"/>
                <w:b/>
                <w:sz w:val="24"/>
                <w:szCs w:val="24"/>
              </w:rPr>
              <w:t>s.r.o</w:t>
            </w:r>
            <w:proofErr w:type="spellEnd"/>
            <w:r w:rsidRPr="000F7E1D">
              <w:rPr>
                <w:rFonts w:ascii="Times New Roman" w:hAnsi="Times New Roman"/>
                <w:b/>
                <w:sz w:val="24"/>
                <w:szCs w:val="24"/>
              </w:rPr>
              <w:t>. a </w:t>
            </w:r>
            <w:proofErr w:type="spellStart"/>
            <w:r w:rsidRPr="000F7E1D">
              <w:rPr>
                <w:rFonts w:ascii="Times New Roman" w:hAnsi="Times New Roman"/>
                <w:b/>
                <w:sz w:val="24"/>
                <w:szCs w:val="24"/>
              </w:rPr>
              <w:t>PwC</w:t>
            </w:r>
            <w:proofErr w:type="spellEnd"/>
            <w:r w:rsidRPr="000F7E1D">
              <w:rPr>
                <w:rFonts w:ascii="Times New Roman" w:hAnsi="Times New Roman"/>
                <w:b/>
                <w:sz w:val="24"/>
                <w:szCs w:val="24"/>
              </w:rPr>
              <w:t xml:space="preserve">) </w:t>
            </w:r>
          </w:p>
          <w:p w:rsidR="00A733AF" w:rsidRPr="000F7E1D" w:rsidRDefault="00A733AF" w:rsidP="00A716FC">
            <w:pPr>
              <w:jc w:val="both"/>
              <w:rPr>
                <w:sz w:val="24"/>
                <w:szCs w:val="24"/>
              </w:rPr>
            </w:pPr>
            <w:r w:rsidRPr="000F7E1D">
              <w:rPr>
                <w:sz w:val="24"/>
                <w:szCs w:val="24"/>
              </w:rPr>
              <w:t xml:space="preserve">Ďalším bodom stretnutia bola požiadavka spoločnosti TRANSPETROL o zavedenie takej legislatívnej úpravy zákona o DPH, ktorá by v zmysle čl. 154 a </w:t>
            </w:r>
            <w:proofErr w:type="spellStart"/>
            <w:r w:rsidRPr="000F7E1D">
              <w:rPr>
                <w:sz w:val="24"/>
                <w:szCs w:val="24"/>
              </w:rPr>
              <w:t>nasl</w:t>
            </w:r>
            <w:proofErr w:type="spellEnd"/>
            <w:r w:rsidRPr="000F7E1D">
              <w:rPr>
                <w:sz w:val="24"/>
                <w:szCs w:val="24"/>
              </w:rPr>
              <w:t>. smernice 2006/116/ES umožnila, aby bolo dodanie surovej ropy skladovanej v skladovacích zariadeniach oslobodené od DPH. Navrhovaná úprava by umožnila komerčné obchodovanie s uskladnenou surovou ropou v rámci skladovacích kapacít nachádzajúcich sa na území SR. O realizáciu takýchto transakcií na území SR prejavili záujem významné celosvetové ako aj regionálne trhové subjekty už v minulosti, a to i opakovane. Z dôvodu zaťaženia predmetných transakcií daňou z pridanej hodnoty sa však nepristúpilo k ich realizácii. Zároveň z pohľadu energetickej bezpečnosti dôjde k podpore strategicky priaznivého stavu, kedy bude v rámci územia SR skladovaný zvýšený objem surovej ropy.</w:t>
            </w:r>
          </w:p>
          <w:p w:rsidR="00A733AF" w:rsidRPr="000F7E1D" w:rsidRDefault="00A733AF" w:rsidP="00A716FC">
            <w:pPr>
              <w:pStyle w:val="Zkladntext2"/>
              <w:rPr>
                <w:rFonts w:ascii="Times New Roman" w:hAnsi="Times New Roman"/>
                <w:sz w:val="24"/>
                <w:szCs w:val="24"/>
              </w:rPr>
            </w:pPr>
            <w:r w:rsidRPr="000F7E1D">
              <w:rPr>
                <w:rFonts w:ascii="Times New Roman" w:hAnsi="Times New Roman"/>
                <w:sz w:val="24"/>
                <w:szCs w:val="24"/>
              </w:rPr>
              <w:t xml:space="preserve">MF SR: Aby EK schválila výnimku v zmysle článku 154 smernice o DPH, je potrebné tému otvoriť na zasadnutí VAT </w:t>
            </w:r>
            <w:proofErr w:type="spellStart"/>
            <w:r w:rsidRPr="000F7E1D">
              <w:rPr>
                <w:rFonts w:ascii="Times New Roman" w:hAnsi="Times New Roman"/>
                <w:sz w:val="24"/>
                <w:szCs w:val="24"/>
              </w:rPr>
              <w:t>Committee</w:t>
            </w:r>
            <w:proofErr w:type="spellEnd"/>
            <w:r w:rsidRPr="000F7E1D">
              <w:rPr>
                <w:rFonts w:ascii="Times New Roman" w:hAnsi="Times New Roman"/>
                <w:sz w:val="24"/>
                <w:szCs w:val="24"/>
              </w:rPr>
              <w:t xml:space="preserve">, ktoré sa koná 2x ročne. Najbližšie bude na jeseň, čiže v rámci pripravovanej novely zákona túto otázku nie je možné vyriešiť. Úprava prichádza do úvahy až pri ďalších novelách zákona. </w:t>
            </w:r>
          </w:p>
          <w:p w:rsidR="00A733AF" w:rsidRPr="000F7E1D" w:rsidRDefault="00A733AF" w:rsidP="00A716FC">
            <w:pPr>
              <w:jc w:val="both"/>
              <w:rPr>
                <w:sz w:val="24"/>
                <w:szCs w:val="24"/>
              </w:rPr>
            </w:pPr>
          </w:p>
          <w:p w:rsidR="00A733AF" w:rsidRPr="000F7E1D" w:rsidRDefault="00A733AF" w:rsidP="00A716FC">
            <w:pPr>
              <w:jc w:val="both"/>
              <w:rPr>
                <w:b/>
                <w:sz w:val="24"/>
                <w:szCs w:val="24"/>
              </w:rPr>
            </w:pPr>
            <w:r w:rsidRPr="000F7E1D">
              <w:rPr>
                <w:b/>
                <w:sz w:val="24"/>
                <w:szCs w:val="24"/>
              </w:rPr>
              <w:t>Prenos daňovej povinnosti pri dodaní vybraných tovarov</w:t>
            </w:r>
          </w:p>
          <w:p w:rsidR="00A733AF" w:rsidRPr="000F7E1D" w:rsidRDefault="00A733AF" w:rsidP="00A716FC">
            <w:pPr>
              <w:jc w:val="both"/>
              <w:rPr>
                <w:b/>
                <w:sz w:val="24"/>
                <w:szCs w:val="24"/>
              </w:rPr>
            </w:pPr>
          </w:p>
          <w:p w:rsidR="00A733AF" w:rsidRPr="000F7E1D" w:rsidRDefault="00A733AF" w:rsidP="00A716FC">
            <w:pPr>
              <w:jc w:val="both"/>
              <w:rPr>
                <w:b/>
                <w:sz w:val="24"/>
                <w:szCs w:val="24"/>
              </w:rPr>
            </w:pPr>
            <w:proofErr w:type="spellStart"/>
            <w:r w:rsidRPr="000F7E1D">
              <w:rPr>
                <w:b/>
                <w:sz w:val="24"/>
                <w:szCs w:val="24"/>
              </w:rPr>
              <w:t>Solitea</w:t>
            </w:r>
            <w:proofErr w:type="spellEnd"/>
            <w:r w:rsidRPr="000F7E1D">
              <w:rPr>
                <w:b/>
                <w:sz w:val="24"/>
                <w:szCs w:val="24"/>
              </w:rPr>
              <w:t xml:space="preserve"> Slovensko, </w:t>
            </w:r>
            <w:proofErr w:type="spellStart"/>
            <w:r w:rsidRPr="000F7E1D">
              <w:rPr>
                <w:b/>
                <w:sz w:val="24"/>
                <w:szCs w:val="24"/>
              </w:rPr>
              <w:t>a.s</w:t>
            </w:r>
            <w:proofErr w:type="spellEnd"/>
            <w:r w:rsidRPr="000F7E1D">
              <w:rPr>
                <w:b/>
                <w:sz w:val="24"/>
                <w:szCs w:val="24"/>
              </w:rPr>
              <w:t>.</w:t>
            </w:r>
          </w:p>
          <w:p w:rsidR="00A733AF" w:rsidRPr="000F7E1D" w:rsidRDefault="00A733AF" w:rsidP="00A716FC">
            <w:pPr>
              <w:jc w:val="both"/>
              <w:rPr>
                <w:sz w:val="24"/>
                <w:szCs w:val="24"/>
              </w:rPr>
            </w:pPr>
            <w:r w:rsidRPr="000F7E1D">
              <w:rPr>
                <w:sz w:val="24"/>
                <w:szCs w:val="24"/>
              </w:rPr>
              <w:t xml:space="preserve">Navrhuje znovu zaviesť limity pre uplatnenie režimu prenesenia daňovej povinnosti na tovary uvádzané v § 69 ods. 12 písm. h) a g). Do 31.12.2017 sa na tieto komodity vzťahoval režim prenesenia daňovej povinnosti až v prípade, ak bol základ dane vo faktúre 5 000 EUR a viac. Novelou zákona o DPH z decembra 2017 sa tento limit od 1.1.2018 zrušil a uvedené tovary podliehajú režimu prenesenia bez ohľadu na fakturovanú sumu. Zrušenie limitu pri fakturácii týchto tovarov spôsobilo, že režim prenesenia daňovej povinnosti musí uplatňovať oveľa vyšší počet podnikateľov – de </w:t>
            </w:r>
            <w:proofErr w:type="spellStart"/>
            <w:r w:rsidRPr="000F7E1D">
              <w:rPr>
                <w:sz w:val="24"/>
                <w:szCs w:val="24"/>
              </w:rPr>
              <w:t>facto</w:t>
            </w:r>
            <w:proofErr w:type="spellEnd"/>
            <w:r w:rsidRPr="000F7E1D">
              <w:rPr>
                <w:sz w:val="24"/>
                <w:szCs w:val="24"/>
              </w:rPr>
              <w:t xml:space="preserve"> sa prenos daňovej povinnosti dostal do </w:t>
            </w:r>
            <w:r w:rsidRPr="000F7E1D">
              <w:rPr>
                <w:sz w:val="24"/>
                <w:szCs w:val="24"/>
              </w:rPr>
              <w:lastRenderedPageBreak/>
              <w:t xml:space="preserve">maloobchodným prevádzok (napr. železiarstva, predajne s hutníckym a stavebným materiálom, obchody s potravinami) s hotovostným predajom. </w:t>
            </w:r>
          </w:p>
          <w:p w:rsidR="00A733AF" w:rsidRPr="000F7E1D" w:rsidRDefault="00A733AF" w:rsidP="00A716FC">
            <w:pPr>
              <w:pStyle w:val="Zkladntext"/>
              <w:rPr>
                <w:rFonts w:ascii="Times New Roman" w:hAnsi="Times New Roman"/>
                <w:sz w:val="24"/>
                <w:szCs w:val="24"/>
              </w:rPr>
            </w:pPr>
            <w:r w:rsidRPr="000F7E1D">
              <w:rPr>
                <w:rFonts w:ascii="Times New Roman" w:hAnsi="Times New Roman"/>
                <w:sz w:val="24"/>
                <w:szCs w:val="24"/>
              </w:rPr>
              <w:t xml:space="preserve">Spoločnosť považuje za najlepšie riešenie vrátiť to späť do pôvodného stavu; iba vylepšením nového zlého stavu sa problém nevyrieši, aj keď niektoré spoločnosti už investovali do zmien informačných systémov. </w:t>
            </w:r>
          </w:p>
          <w:p w:rsidR="00A733AF" w:rsidRPr="000F7E1D" w:rsidRDefault="00A733AF" w:rsidP="00A716FC">
            <w:pPr>
              <w:pStyle w:val="Zkladntext2"/>
              <w:rPr>
                <w:rFonts w:ascii="Times New Roman" w:hAnsi="Times New Roman"/>
                <w:sz w:val="24"/>
                <w:szCs w:val="24"/>
              </w:rPr>
            </w:pPr>
            <w:r w:rsidRPr="000F7E1D">
              <w:rPr>
                <w:rFonts w:ascii="Times New Roman" w:hAnsi="Times New Roman"/>
                <w:sz w:val="24"/>
                <w:szCs w:val="24"/>
              </w:rPr>
              <w:t xml:space="preserve">MF SR: Odstránením limitu 5 000 eur pri komoditách uvedených v § 69 ods. 12 písm. h) a g) sme sa snažili vyhovieť požiadavke podnikateľského prostredia, ktorú sa snažili presadiť už dlhšie obdobie. Zároveň to bolo zamýšľané aj ako opatrenie boja proti daňovým podvodom. Aplikačné problémy v praxi nemilo prekvapili, ale počas pripomienkového konania k predchádzajúcej novele neboli, či už zo strany zväzov zastupujúcich podnikateľov alebo verejnosti, vznesené žiadne pripomienky. Hľadáme riešenia ako tento stav napraviť. </w:t>
            </w:r>
          </w:p>
          <w:p w:rsidR="00A733AF" w:rsidRPr="000F7E1D" w:rsidRDefault="00A733AF" w:rsidP="00A716FC">
            <w:pPr>
              <w:jc w:val="both"/>
              <w:rPr>
                <w:i/>
                <w:sz w:val="24"/>
                <w:szCs w:val="24"/>
              </w:rPr>
            </w:pPr>
          </w:p>
          <w:p w:rsidR="00A733AF" w:rsidRPr="000F7E1D" w:rsidRDefault="00A733AF" w:rsidP="00A716FC">
            <w:pPr>
              <w:pStyle w:val="Zkladntext"/>
              <w:rPr>
                <w:rFonts w:ascii="Times New Roman" w:hAnsi="Times New Roman"/>
                <w:sz w:val="24"/>
                <w:szCs w:val="24"/>
              </w:rPr>
            </w:pPr>
            <w:r w:rsidRPr="000F7E1D">
              <w:rPr>
                <w:rFonts w:ascii="Times New Roman" w:hAnsi="Times New Roman"/>
                <w:sz w:val="24"/>
                <w:szCs w:val="24"/>
              </w:rPr>
              <w:t xml:space="preserve">Situáciu vníma ako problematickú aj spoločnosť </w:t>
            </w:r>
            <w:r w:rsidRPr="000F7E1D">
              <w:rPr>
                <w:rFonts w:ascii="Times New Roman" w:hAnsi="Times New Roman"/>
                <w:b/>
                <w:sz w:val="24"/>
                <w:szCs w:val="24"/>
              </w:rPr>
              <w:t xml:space="preserve">SLOVNAFT, a.s., </w:t>
            </w:r>
            <w:r w:rsidRPr="000F7E1D">
              <w:rPr>
                <w:rFonts w:ascii="Times New Roman" w:hAnsi="Times New Roman"/>
                <w:sz w:val="24"/>
                <w:szCs w:val="24"/>
              </w:rPr>
              <w:t xml:space="preserve">nakoľko na čerpacie stanice nakupujú rôzne tovary, a niektoré z nich podliehajú prenosu daňovej povinnosti (napr. mätové čaje, nesolené oriešky). Vznikajú rôzne problémy. SLOVNAFT je aj za posúdenie, či neupraviť celý colný sadzobník, keďže napríklad firma ich veľkosti produkuje 50 000 faktúr mesačne a nie je možné kontrolovať všetky položky. </w:t>
            </w:r>
          </w:p>
          <w:p w:rsidR="00A733AF" w:rsidRPr="000F7E1D" w:rsidRDefault="00A733AF" w:rsidP="00A716FC">
            <w:pPr>
              <w:pStyle w:val="Zkladntext"/>
              <w:rPr>
                <w:rFonts w:ascii="Times New Roman" w:hAnsi="Times New Roman"/>
                <w:sz w:val="24"/>
                <w:szCs w:val="24"/>
              </w:rPr>
            </w:pPr>
          </w:p>
          <w:p w:rsidR="00A733AF" w:rsidRPr="000F7E1D" w:rsidRDefault="00A733AF" w:rsidP="00A716FC">
            <w:pPr>
              <w:pStyle w:val="Zkladntext"/>
              <w:rPr>
                <w:rFonts w:ascii="Times New Roman" w:hAnsi="Times New Roman"/>
                <w:b/>
                <w:sz w:val="24"/>
                <w:szCs w:val="24"/>
              </w:rPr>
            </w:pPr>
            <w:proofErr w:type="spellStart"/>
            <w:r w:rsidRPr="000F7E1D">
              <w:rPr>
                <w:rFonts w:ascii="Times New Roman" w:hAnsi="Times New Roman"/>
                <w:b/>
                <w:sz w:val="24"/>
                <w:szCs w:val="24"/>
              </w:rPr>
              <w:t>Elektromobilita</w:t>
            </w:r>
            <w:proofErr w:type="spellEnd"/>
          </w:p>
          <w:p w:rsidR="00A733AF" w:rsidRPr="000F7E1D" w:rsidRDefault="00A733AF" w:rsidP="00A716FC">
            <w:pPr>
              <w:jc w:val="both"/>
              <w:rPr>
                <w:b/>
                <w:sz w:val="24"/>
                <w:szCs w:val="24"/>
              </w:rPr>
            </w:pPr>
          </w:p>
          <w:p w:rsidR="00A733AF" w:rsidRPr="000F7E1D" w:rsidRDefault="00A733AF" w:rsidP="00A716FC">
            <w:pPr>
              <w:jc w:val="both"/>
              <w:rPr>
                <w:sz w:val="24"/>
                <w:szCs w:val="24"/>
              </w:rPr>
            </w:pPr>
            <w:r w:rsidRPr="000F7E1D">
              <w:rPr>
                <w:b/>
                <w:sz w:val="24"/>
                <w:szCs w:val="24"/>
              </w:rPr>
              <w:t xml:space="preserve">Západoslovenská energetika, a.s. </w:t>
            </w:r>
          </w:p>
          <w:p w:rsidR="00A733AF" w:rsidRPr="000F7E1D" w:rsidRDefault="00A733AF" w:rsidP="00A716FC">
            <w:pPr>
              <w:jc w:val="both"/>
              <w:rPr>
                <w:sz w:val="24"/>
                <w:szCs w:val="24"/>
              </w:rPr>
            </w:pPr>
            <w:r w:rsidRPr="000F7E1D">
              <w:rPr>
                <w:sz w:val="24"/>
                <w:szCs w:val="24"/>
              </w:rPr>
              <w:t xml:space="preserve">Je nabíjanie elektromobilov dodanie tovaru alebo poskytnutie služby? </w:t>
            </w:r>
          </w:p>
          <w:p w:rsidR="00A733AF" w:rsidRPr="000F7E1D" w:rsidRDefault="00A733AF" w:rsidP="00A716FC">
            <w:pPr>
              <w:pStyle w:val="Zkladntext2"/>
              <w:rPr>
                <w:rFonts w:ascii="Times New Roman" w:hAnsi="Times New Roman"/>
                <w:sz w:val="24"/>
                <w:szCs w:val="24"/>
              </w:rPr>
            </w:pPr>
            <w:r w:rsidRPr="000F7E1D">
              <w:rPr>
                <w:rFonts w:ascii="Times New Roman" w:hAnsi="Times New Roman"/>
                <w:i w:val="0"/>
                <w:sz w:val="24"/>
                <w:szCs w:val="24"/>
                <w:lang w:eastAsia="sk-SK"/>
              </w:rPr>
              <w:t>MF SR</w:t>
            </w:r>
            <w:r w:rsidRPr="000F7E1D">
              <w:rPr>
                <w:rFonts w:ascii="Times New Roman" w:hAnsi="Times New Roman"/>
                <w:sz w:val="24"/>
                <w:szCs w:val="24"/>
              </w:rPr>
              <w:t xml:space="preserve">: Ide o dodanie tovaru. Elektrická energia je podľa definície v zákone o DPH považovaná za tovar. </w:t>
            </w:r>
          </w:p>
          <w:p w:rsidR="00A733AF" w:rsidRPr="000F7E1D" w:rsidRDefault="00A733AF" w:rsidP="00A716FC">
            <w:pPr>
              <w:pStyle w:val="Zkladntext2"/>
              <w:rPr>
                <w:rFonts w:ascii="Times New Roman" w:hAnsi="Times New Roman"/>
                <w:i w:val="0"/>
                <w:sz w:val="24"/>
                <w:szCs w:val="24"/>
              </w:rPr>
            </w:pPr>
          </w:p>
        </w:tc>
      </w:tr>
      <w:tr w:rsidR="00A733AF" w:rsidRPr="000F7E1D" w:rsidTr="00A716FC">
        <w:tc>
          <w:tcPr>
            <w:tcW w:w="9212" w:type="dxa"/>
            <w:shd w:val="clear" w:color="auto" w:fill="D9D9D9" w:themeFill="background1" w:themeFillShade="D9"/>
          </w:tcPr>
          <w:p w:rsidR="00A733AF" w:rsidRPr="000F7E1D" w:rsidRDefault="00A733AF" w:rsidP="00A716FC">
            <w:pPr>
              <w:rPr>
                <w:b/>
                <w:sz w:val="24"/>
                <w:szCs w:val="24"/>
              </w:rPr>
            </w:pPr>
            <w:r w:rsidRPr="000F7E1D">
              <w:rPr>
                <w:b/>
                <w:sz w:val="24"/>
                <w:szCs w:val="24"/>
              </w:rPr>
              <w:lastRenderedPageBreak/>
              <w:t>3.3 Náklady regulácie</w:t>
            </w:r>
          </w:p>
          <w:p w:rsidR="00A733AF" w:rsidRPr="000F7E1D" w:rsidRDefault="00A733AF" w:rsidP="00A716FC">
            <w:pPr>
              <w:rPr>
                <w:b/>
                <w:sz w:val="24"/>
                <w:szCs w:val="24"/>
              </w:rPr>
            </w:pPr>
            <w:r w:rsidRPr="000F7E1D">
              <w:rPr>
                <w:sz w:val="24"/>
                <w:szCs w:val="24"/>
              </w:rPr>
              <w:t xml:space="preserve">      - </w:t>
            </w:r>
            <w:r w:rsidRPr="000F7E1D">
              <w:rPr>
                <w:b/>
                <w:sz w:val="24"/>
                <w:szCs w:val="24"/>
              </w:rPr>
              <w:t>z toho MSP</w:t>
            </w:r>
          </w:p>
        </w:tc>
      </w:tr>
      <w:tr w:rsidR="00A733AF" w:rsidRPr="000F7E1D" w:rsidTr="00A716FC">
        <w:tc>
          <w:tcPr>
            <w:tcW w:w="9212" w:type="dxa"/>
          </w:tcPr>
          <w:p w:rsidR="00A733AF" w:rsidRPr="000F7E1D" w:rsidRDefault="00A733AF" w:rsidP="00A716FC">
            <w:pPr>
              <w:rPr>
                <w:b/>
                <w:i/>
                <w:sz w:val="24"/>
                <w:szCs w:val="24"/>
              </w:rPr>
            </w:pPr>
            <w:r w:rsidRPr="000F7E1D">
              <w:rPr>
                <w:b/>
                <w:i/>
                <w:sz w:val="24"/>
                <w:szCs w:val="24"/>
              </w:rPr>
              <w:t>3.3.1 Priame finančné náklady</w:t>
            </w:r>
          </w:p>
          <w:p w:rsidR="00A733AF" w:rsidRPr="000F7E1D" w:rsidRDefault="00A733AF" w:rsidP="00A716FC">
            <w:pPr>
              <w:rPr>
                <w:i/>
                <w:sz w:val="24"/>
                <w:szCs w:val="24"/>
              </w:rPr>
            </w:pPr>
            <w:r w:rsidRPr="000F7E1D">
              <w:rPr>
                <w:i/>
                <w:sz w:val="24"/>
                <w:szCs w:val="24"/>
              </w:rPr>
              <w:t xml:space="preserve">Dochádza k zvýšeniu/zníženiu priamych finančných nákladov (poplatky, odvody, dane clá...)? Ak áno, popíšte a vyčíslite ich. Uveďte tiež spôsob ich výpočtu. </w:t>
            </w:r>
          </w:p>
        </w:tc>
      </w:tr>
      <w:tr w:rsidR="00A733AF" w:rsidRPr="000F7E1D" w:rsidTr="00A716FC">
        <w:trPr>
          <w:trHeight w:val="397"/>
        </w:trPr>
        <w:tc>
          <w:tcPr>
            <w:tcW w:w="9212" w:type="dxa"/>
            <w:vAlign w:val="center"/>
          </w:tcPr>
          <w:p w:rsidR="00A733AF" w:rsidRPr="000F7E1D" w:rsidRDefault="00A733AF" w:rsidP="00A716FC">
            <w:pPr>
              <w:rPr>
                <w:sz w:val="24"/>
                <w:szCs w:val="24"/>
              </w:rPr>
            </w:pPr>
            <w:r w:rsidRPr="000F7E1D">
              <w:rPr>
                <w:sz w:val="24"/>
                <w:szCs w:val="24"/>
              </w:rPr>
              <w:t>Nedochádza ani k zvýšeniu, ani k zníženiu priamych finančných nákladov.</w:t>
            </w:r>
            <w:r>
              <w:rPr>
                <w:sz w:val="24"/>
                <w:szCs w:val="24"/>
              </w:rPr>
              <w:t xml:space="preserve"> </w:t>
            </w:r>
            <w:r w:rsidRPr="000F7E1D">
              <w:rPr>
                <w:sz w:val="24"/>
                <w:szCs w:val="24"/>
              </w:rPr>
              <w:t xml:space="preserve">Návrh novely zákona o DPH prináša </w:t>
            </w:r>
            <w:r w:rsidRPr="000F7E1D">
              <w:rPr>
                <w:bCs/>
                <w:sz w:val="24"/>
                <w:szCs w:val="24"/>
              </w:rPr>
              <w:t>zmeny v právnej úprave zdaňovania dodania nehnuteľnosti a v právnej úprave zdaňovania prenájmu nehnuteľnosti.</w:t>
            </w:r>
            <w:r w:rsidRPr="000F7E1D">
              <w:rPr>
                <w:sz w:val="24"/>
                <w:szCs w:val="24"/>
              </w:rPr>
              <w:t xml:space="preserve"> </w:t>
            </w:r>
            <w:r>
              <w:rPr>
                <w:bCs/>
                <w:sz w:val="24"/>
                <w:szCs w:val="24"/>
              </w:rPr>
              <w:t xml:space="preserve">Pripravované zmeny môžu mať vplyv na správanie </w:t>
            </w:r>
            <w:r w:rsidRPr="000F7E1D">
              <w:rPr>
                <w:bCs/>
                <w:sz w:val="24"/>
                <w:szCs w:val="24"/>
              </w:rPr>
              <w:t>podnikateľov, pretože ak platiteľ dane dodá</w:t>
            </w:r>
            <w:r>
              <w:rPr>
                <w:bCs/>
                <w:sz w:val="24"/>
                <w:szCs w:val="24"/>
              </w:rPr>
              <w:t xml:space="preserve"> alebo prenajme</w:t>
            </w:r>
            <w:r w:rsidRPr="000F7E1D">
              <w:rPr>
                <w:bCs/>
                <w:sz w:val="24"/>
                <w:szCs w:val="24"/>
              </w:rPr>
              <w:t xml:space="preserve"> nehnuteľnosť </w:t>
            </w:r>
            <w:r>
              <w:rPr>
                <w:bCs/>
                <w:sz w:val="24"/>
                <w:szCs w:val="24"/>
              </w:rPr>
              <w:t>s oslobodením</w:t>
            </w:r>
            <w:r w:rsidRPr="000F7E1D">
              <w:rPr>
                <w:bCs/>
                <w:sz w:val="24"/>
                <w:szCs w:val="24"/>
              </w:rPr>
              <w:t xml:space="preserve"> od dane, je povinný upraviť odpočítanú DPH.</w:t>
            </w:r>
            <w:r>
              <w:rPr>
                <w:bCs/>
                <w:sz w:val="24"/>
                <w:szCs w:val="24"/>
              </w:rPr>
              <w:t xml:space="preserve"> </w:t>
            </w:r>
            <w:r>
              <w:rPr>
                <w:sz w:val="24"/>
                <w:szCs w:val="24"/>
              </w:rPr>
              <w:t>T</w:t>
            </w:r>
            <w:r w:rsidRPr="000F7E1D">
              <w:rPr>
                <w:sz w:val="24"/>
                <w:szCs w:val="24"/>
              </w:rPr>
              <w:t>úto povinnosť majú platitelia dane aj dnes, ak sa rozhodnú dodať nehnuteľnosť s oslobodením od dane.</w:t>
            </w:r>
            <w:r>
              <w:rPr>
                <w:sz w:val="24"/>
                <w:szCs w:val="24"/>
              </w:rPr>
              <w:t xml:space="preserve"> Zastávame stanovisko, že v tomto prípade nie je možné úpravu odpočítanej dane voči štátnemu rozpočtu nazývať priamymi finančnými nákladmi, pretože DPH je spotrebnou daňou, ktorá nezaťažuje podnikateľa, ale konečného spotrebiteľa a</w:t>
            </w:r>
            <w:r w:rsidR="00117D66">
              <w:rPr>
                <w:sz w:val="24"/>
                <w:szCs w:val="24"/>
              </w:rPr>
              <w:t> </w:t>
            </w:r>
            <w:r>
              <w:rPr>
                <w:sz w:val="24"/>
                <w:szCs w:val="24"/>
              </w:rPr>
              <w:t>je</w:t>
            </w:r>
            <w:r w:rsidR="00117D66">
              <w:rPr>
                <w:sz w:val="24"/>
                <w:szCs w:val="24"/>
              </w:rPr>
              <w:t xml:space="preserve"> z</w:t>
            </w:r>
            <w:r>
              <w:rPr>
                <w:sz w:val="24"/>
                <w:szCs w:val="24"/>
              </w:rPr>
              <w:t xml:space="preserve"> pohľadu podnikateľa neutrálna.   </w:t>
            </w:r>
            <w:r w:rsidRPr="000F7E1D">
              <w:rPr>
                <w:sz w:val="24"/>
                <w:szCs w:val="24"/>
              </w:rPr>
              <w:t xml:space="preserve">  </w:t>
            </w:r>
          </w:p>
        </w:tc>
      </w:tr>
      <w:tr w:rsidR="00A733AF" w:rsidRPr="000F7E1D" w:rsidTr="00A716FC">
        <w:tc>
          <w:tcPr>
            <w:tcW w:w="9212" w:type="dxa"/>
          </w:tcPr>
          <w:p w:rsidR="00A733AF" w:rsidRPr="000F7E1D" w:rsidRDefault="00A733AF" w:rsidP="00A716FC">
            <w:pPr>
              <w:rPr>
                <w:b/>
                <w:i/>
                <w:sz w:val="24"/>
                <w:szCs w:val="24"/>
              </w:rPr>
            </w:pPr>
            <w:r w:rsidRPr="000F7E1D">
              <w:rPr>
                <w:b/>
                <w:i/>
                <w:sz w:val="24"/>
                <w:szCs w:val="24"/>
              </w:rPr>
              <w:t>3.3.2 Nepriame finančné náklady</w:t>
            </w:r>
          </w:p>
          <w:p w:rsidR="00A733AF" w:rsidRPr="000F7E1D" w:rsidRDefault="00A733AF" w:rsidP="00A716FC">
            <w:pPr>
              <w:rPr>
                <w:i/>
                <w:sz w:val="24"/>
                <w:szCs w:val="24"/>
              </w:rPr>
            </w:pPr>
            <w:r w:rsidRPr="000F7E1D">
              <w:rPr>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A733AF" w:rsidRPr="000F7E1D" w:rsidTr="00A716FC">
        <w:tc>
          <w:tcPr>
            <w:tcW w:w="9212" w:type="dxa"/>
          </w:tcPr>
          <w:p w:rsidR="00A733AF" w:rsidRPr="000F7E1D" w:rsidRDefault="00A733AF" w:rsidP="00A716FC">
            <w:pPr>
              <w:rPr>
                <w:b/>
                <w:i/>
                <w:sz w:val="24"/>
                <w:szCs w:val="24"/>
              </w:rPr>
            </w:pPr>
            <w:r w:rsidRPr="000F7E1D">
              <w:rPr>
                <w:sz w:val="24"/>
                <w:szCs w:val="24"/>
              </w:rPr>
              <w:t>Návrh novely zákona si nevyžaduje dodatočné náklady na nákup tovarov alebo služieb. Predkladateľ zastáva názor, že návrh nezvyšuje náklady súvisiace so zamestnanosťou.</w:t>
            </w:r>
          </w:p>
        </w:tc>
      </w:tr>
      <w:tr w:rsidR="00A733AF" w:rsidRPr="000F7E1D" w:rsidTr="00A716FC">
        <w:tc>
          <w:tcPr>
            <w:tcW w:w="9212" w:type="dxa"/>
          </w:tcPr>
          <w:p w:rsidR="00A733AF" w:rsidRPr="000F7E1D" w:rsidRDefault="00A733AF" w:rsidP="00A716FC">
            <w:pPr>
              <w:rPr>
                <w:b/>
                <w:i/>
                <w:sz w:val="24"/>
                <w:szCs w:val="24"/>
              </w:rPr>
            </w:pPr>
            <w:r w:rsidRPr="000F7E1D">
              <w:rPr>
                <w:b/>
                <w:i/>
                <w:sz w:val="24"/>
                <w:szCs w:val="24"/>
              </w:rPr>
              <w:t>3.3.3 Administratívne náklady</w:t>
            </w:r>
          </w:p>
          <w:p w:rsidR="00A733AF" w:rsidRPr="000F7E1D" w:rsidRDefault="00A733AF" w:rsidP="00A716FC">
            <w:pPr>
              <w:rPr>
                <w:i/>
                <w:sz w:val="24"/>
                <w:szCs w:val="24"/>
              </w:rPr>
            </w:pPr>
            <w:r w:rsidRPr="000F7E1D">
              <w:rPr>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p w:rsidR="00A733AF" w:rsidRPr="000F7E1D" w:rsidRDefault="00A733AF" w:rsidP="00A716FC">
            <w:pPr>
              <w:rPr>
                <w:i/>
                <w:sz w:val="24"/>
                <w:szCs w:val="24"/>
              </w:rPr>
            </w:pPr>
          </w:p>
        </w:tc>
      </w:tr>
      <w:tr w:rsidR="00A733AF" w:rsidRPr="000F7E1D" w:rsidTr="00A716FC">
        <w:trPr>
          <w:trHeight w:val="624"/>
        </w:trPr>
        <w:tc>
          <w:tcPr>
            <w:tcW w:w="9212" w:type="dxa"/>
            <w:vAlign w:val="center"/>
          </w:tcPr>
          <w:p w:rsidR="00A733AF" w:rsidRPr="000F7E1D" w:rsidRDefault="00A733AF" w:rsidP="00A716FC">
            <w:pPr>
              <w:rPr>
                <w:sz w:val="24"/>
                <w:szCs w:val="24"/>
              </w:rPr>
            </w:pPr>
            <w:r>
              <w:rPr>
                <w:sz w:val="24"/>
                <w:szCs w:val="24"/>
              </w:rPr>
              <w:lastRenderedPageBreak/>
              <w:t xml:space="preserve">Nepredpokladá sa zvýšenie administratívnych nákladov, pretože predkladaný návrh zákona nezavádza nové informačné povinnosti a nemení obsah ani frekvenciu v súčasnosti predkladaných dát.     </w:t>
            </w:r>
          </w:p>
        </w:tc>
      </w:tr>
      <w:tr w:rsidR="00A733AF" w:rsidRPr="000F7E1D" w:rsidTr="00A716FC">
        <w:trPr>
          <w:trHeight w:val="1814"/>
        </w:trPr>
        <w:tc>
          <w:tcPr>
            <w:tcW w:w="9212" w:type="dxa"/>
          </w:tcPr>
          <w:p w:rsidR="00A733AF" w:rsidRPr="000F7E1D" w:rsidRDefault="00A733AF" w:rsidP="00A716FC">
            <w:pPr>
              <w:rPr>
                <w:i/>
                <w:sz w:val="24"/>
                <w:szCs w:val="24"/>
              </w:rPr>
            </w:pPr>
            <w:r w:rsidRPr="000F7E1D">
              <w:rPr>
                <w:b/>
                <w:i/>
                <w:sz w:val="24"/>
                <w:szCs w:val="24"/>
              </w:rPr>
              <w:t>3.3.4 Súhrnná tabuľka nákladov regulácie</w:t>
            </w:r>
          </w:p>
          <w:tbl>
            <w:tblPr>
              <w:tblStyle w:val="Mriekatabuky"/>
              <w:tblW w:w="0" w:type="auto"/>
              <w:tblLook w:val="04A0" w:firstRow="1" w:lastRow="0" w:firstColumn="1" w:lastColumn="0" w:noHBand="0" w:noVBand="1"/>
            </w:tblPr>
            <w:tblGrid>
              <w:gridCol w:w="2950"/>
              <w:gridCol w:w="2939"/>
              <w:gridCol w:w="2945"/>
            </w:tblGrid>
            <w:tr w:rsidR="00A733AF" w:rsidRPr="000F7E1D" w:rsidTr="00A716FC">
              <w:tc>
                <w:tcPr>
                  <w:tcW w:w="2993"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rPr>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Náklady na celé podnikateľské prostredie</w:t>
                  </w:r>
                </w:p>
              </w:tc>
            </w:tr>
            <w:tr w:rsidR="00A733AF" w:rsidRPr="000F7E1D" w:rsidTr="00A716FC">
              <w:tc>
                <w:tcPr>
                  <w:tcW w:w="2993"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rPr>
                      <w:i/>
                      <w:sz w:val="24"/>
                      <w:szCs w:val="24"/>
                    </w:rPr>
                  </w:pPr>
                  <w:r w:rsidRPr="000F7E1D">
                    <w:rPr>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0</w:t>
                  </w:r>
                </w:p>
              </w:tc>
            </w:tr>
            <w:tr w:rsidR="00A733AF" w:rsidRPr="000F7E1D" w:rsidTr="00A716FC">
              <w:tc>
                <w:tcPr>
                  <w:tcW w:w="2993"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rPr>
                      <w:i/>
                      <w:sz w:val="24"/>
                      <w:szCs w:val="24"/>
                    </w:rPr>
                  </w:pPr>
                  <w:r w:rsidRPr="000F7E1D">
                    <w:rPr>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0</w:t>
                  </w:r>
                </w:p>
              </w:tc>
            </w:tr>
            <w:tr w:rsidR="00A733AF" w:rsidRPr="000F7E1D" w:rsidTr="00A716FC">
              <w:tc>
                <w:tcPr>
                  <w:tcW w:w="2993"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rPr>
                      <w:i/>
                      <w:sz w:val="24"/>
                      <w:szCs w:val="24"/>
                    </w:rPr>
                  </w:pPr>
                  <w:r w:rsidRPr="000F7E1D">
                    <w:rPr>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i/>
                      <w:sz w:val="24"/>
                      <w:szCs w:val="24"/>
                    </w:rPr>
                  </w:pPr>
                  <w:r w:rsidRPr="000F7E1D">
                    <w:rPr>
                      <w:i/>
                      <w:sz w:val="24"/>
                      <w:szCs w:val="24"/>
                    </w:rPr>
                    <w:t>0</w:t>
                  </w:r>
                </w:p>
              </w:tc>
            </w:tr>
            <w:tr w:rsidR="00A733AF" w:rsidRPr="000F7E1D" w:rsidTr="00A716FC">
              <w:tc>
                <w:tcPr>
                  <w:tcW w:w="2993"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rPr>
                      <w:b/>
                      <w:i/>
                      <w:sz w:val="24"/>
                      <w:szCs w:val="24"/>
                    </w:rPr>
                  </w:pPr>
                  <w:r w:rsidRPr="000F7E1D">
                    <w:rPr>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b/>
                      <w:i/>
                      <w:sz w:val="24"/>
                      <w:szCs w:val="24"/>
                    </w:rPr>
                  </w:pPr>
                  <w:r w:rsidRPr="000F7E1D">
                    <w:rPr>
                      <w:b/>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A733AF" w:rsidRPr="000F7E1D" w:rsidRDefault="00A733AF" w:rsidP="00A716FC">
                  <w:pPr>
                    <w:jc w:val="center"/>
                    <w:rPr>
                      <w:b/>
                      <w:i/>
                      <w:sz w:val="24"/>
                      <w:szCs w:val="24"/>
                    </w:rPr>
                  </w:pPr>
                  <w:r w:rsidRPr="000F7E1D">
                    <w:rPr>
                      <w:b/>
                      <w:i/>
                      <w:sz w:val="24"/>
                      <w:szCs w:val="24"/>
                    </w:rPr>
                    <w:t>0</w:t>
                  </w:r>
                </w:p>
              </w:tc>
            </w:tr>
          </w:tbl>
          <w:p w:rsidR="00A733AF" w:rsidRPr="000F7E1D" w:rsidRDefault="00A733AF" w:rsidP="00A716FC">
            <w:pPr>
              <w:ind w:firstLine="708"/>
              <w:rPr>
                <w:i/>
                <w:sz w:val="24"/>
                <w:szCs w:val="24"/>
              </w:rPr>
            </w:pPr>
          </w:p>
        </w:tc>
      </w:tr>
      <w:tr w:rsidR="00A733AF" w:rsidRPr="000F7E1D" w:rsidTr="00A716FC">
        <w:tc>
          <w:tcPr>
            <w:tcW w:w="9212" w:type="dxa"/>
            <w:shd w:val="clear" w:color="auto" w:fill="D9D9D9" w:themeFill="background1" w:themeFillShade="D9"/>
          </w:tcPr>
          <w:p w:rsidR="00A733AF" w:rsidRPr="000F7E1D" w:rsidRDefault="00A733AF" w:rsidP="00A716FC">
            <w:pPr>
              <w:rPr>
                <w:b/>
                <w:sz w:val="24"/>
                <w:szCs w:val="24"/>
              </w:rPr>
            </w:pPr>
            <w:r w:rsidRPr="000F7E1D">
              <w:rPr>
                <w:b/>
                <w:sz w:val="24"/>
                <w:szCs w:val="24"/>
              </w:rPr>
              <w:t>3.4 Konkurencieschopnosť a správanie sa podnikov na trhu</w:t>
            </w:r>
          </w:p>
          <w:p w:rsidR="00A733AF" w:rsidRPr="000F7E1D" w:rsidRDefault="00A733AF" w:rsidP="00A716FC">
            <w:pPr>
              <w:rPr>
                <w:sz w:val="24"/>
                <w:szCs w:val="24"/>
              </w:rPr>
            </w:pPr>
            <w:r w:rsidRPr="000F7E1D">
              <w:rPr>
                <w:b/>
                <w:sz w:val="24"/>
                <w:szCs w:val="24"/>
              </w:rPr>
              <w:t xml:space="preserve">       </w:t>
            </w:r>
            <w:r w:rsidRPr="000F7E1D">
              <w:rPr>
                <w:sz w:val="24"/>
                <w:szCs w:val="24"/>
              </w:rPr>
              <w:t xml:space="preserve">- </w:t>
            </w:r>
            <w:r w:rsidRPr="000F7E1D">
              <w:rPr>
                <w:b/>
                <w:sz w:val="24"/>
                <w:szCs w:val="24"/>
              </w:rPr>
              <w:t>z toho MSP</w:t>
            </w:r>
          </w:p>
        </w:tc>
      </w:tr>
      <w:tr w:rsidR="00A733AF" w:rsidRPr="000F7E1D" w:rsidTr="00A716FC">
        <w:tc>
          <w:tcPr>
            <w:tcW w:w="9212" w:type="dxa"/>
          </w:tcPr>
          <w:p w:rsidR="00A733AF" w:rsidRPr="000F7E1D" w:rsidRDefault="00A733AF" w:rsidP="00A716FC">
            <w:pPr>
              <w:rPr>
                <w:i/>
                <w:sz w:val="24"/>
                <w:szCs w:val="24"/>
              </w:rPr>
            </w:pPr>
            <w:r w:rsidRPr="000F7E1D">
              <w:rPr>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0F7E1D">
              <w:rPr>
                <w:i/>
                <w:sz w:val="24"/>
                <w:szCs w:val="24"/>
              </w:rPr>
              <w:t>mikro</w:t>
            </w:r>
            <w:proofErr w:type="spellEnd"/>
            <w:r w:rsidRPr="000F7E1D">
              <w:rPr>
                <w:i/>
                <w:sz w:val="24"/>
                <w:szCs w:val="24"/>
              </w:rPr>
              <w:t>, malé a stredné podniky tzv. MSP)? Ak áno, popíšte.</w:t>
            </w:r>
          </w:p>
          <w:p w:rsidR="00A733AF" w:rsidRPr="000F7E1D" w:rsidRDefault="00A733AF" w:rsidP="00A716FC">
            <w:pPr>
              <w:rPr>
                <w:i/>
                <w:sz w:val="24"/>
                <w:szCs w:val="24"/>
              </w:rPr>
            </w:pPr>
            <w:r w:rsidRPr="000F7E1D">
              <w:rPr>
                <w:i/>
                <w:sz w:val="24"/>
                <w:szCs w:val="24"/>
              </w:rPr>
              <w:t>Aký vplyv bude mať navrhovaná zmena na obchodné bariéry? Bude mať vplyv na vyvolanie cezhraničných investícií (príliv /odliv zahraničných investícií resp. uplatnenie slovenských podnikov na zahraničných trhoch)? Ak áno, popíšte. Ako ovplyvní cenu alebo dostupnosť základných zdrojov (suroviny, mechanizmy, pracovná sila, energie atď.)? Ovplyvňuje prístup k financiám? Ak áno, ako?</w:t>
            </w:r>
          </w:p>
        </w:tc>
      </w:tr>
      <w:tr w:rsidR="00A733AF" w:rsidRPr="000F7E1D" w:rsidTr="00A716FC">
        <w:trPr>
          <w:trHeight w:val="567"/>
        </w:trPr>
        <w:tc>
          <w:tcPr>
            <w:tcW w:w="9212" w:type="dxa"/>
            <w:vAlign w:val="center"/>
          </w:tcPr>
          <w:p w:rsidR="00A733AF" w:rsidRPr="000F7E1D" w:rsidRDefault="00A733AF" w:rsidP="00A716FC">
            <w:pPr>
              <w:rPr>
                <w:sz w:val="24"/>
                <w:szCs w:val="24"/>
              </w:rPr>
            </w:pPr>
            <w:r w:rsidRPr="000F7E1D">
              <w:rPr>
                <w:sz w:val="24"/>
                <w:szCs w:val="24"/>
              </w:rPr>
              <w:t xml:space="preserve">Návrh novely zákona nebude mať vplyv na konkurencieschopnosť a správanie sa podnikov na trhu z pohľadu vytvárania bariér. 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 nebude mať vplyv na vyvolanie cezhraničných investícií, neovplyvní cenu alebo dostupnosť základných zdrojov a neovplyvní prístup k financiám.  </w:t>
            </w:r>
          </w:p>
        </w:tc>
      </w:tr>
      <w:tr w:rsidR="00A733AF" w:rsidRPr="000F7E1D" w:rsidTr="00A716FC">
        <w:tc>
          <w:tcPr>
            <w:tcW w:w="9212" w:type="dxa"/>
            <w:shd w:val="clear" w:color="auto" w:fill="D9D9D9" w:themeFill="background1" w:themeFillShade="D9"/>
          </w:tcPr>
          <w:p w:rsidR="00A733AF" w:rsidRPr="000F7E1D" w:rsidRDefault="00A733AF" w:rsidP="00A716FC">
            <w:pPr>
              <w:rPr>
                <w:b/>
                <w:sz w:val="24"/>
                <w:szCs w:val="24"/>
              </w:rPr>
            </w:pPr>
            <w:r w:rsidRPr="000F7E1D">
              <w:rPr>
                <w:b/>
                <w:sz w:val="24"/>
                <w:szCs w:val="24"/>
              </w:rPr>
              <w:t xml:space="preserve">3.5 Inovácie </w:t>
            </w:r>
          </w:p>
          <w:p w:rsidR="00A733AF" w:rsidRPr="000F7E1D" w:rsidRDefault="00A733AF" w:rsidP="00A716FC">
            <w:pPr>
              <w:rPr>
                <w:b/>
                <w:sz w:val="24"/>
                <w:szCs w:val="24"/>
              </w:rPr>
            </w:pPr>
            <w:r w:rsidRPr="000F7E1D">
              <w:rPr>
                <w:sz w:val="24"/>
                <w:szCs w:val="24"/>
              </w:rPr>
              <w:t xml:space="preserve">       - </w:t>
            </w:r>
            <w:r w:rsidRPr="000F7E1D">
              <w:rPr>
                <w:b/>
                <w:sz w:val="24"/>
                <w:szCs w:val="24"/>
              </w:rPr>
              <w:t>z toho MSP</w:t>
            </w:r>
          </w:p>
        </w:tc>
      </w:tr>
      <w:tr w:rsidR="00A733AF" w:rsidRPr="000F7E1D" w:rsidTr="00A716FC">
        <w:tc>
          <w:tcPr>
            <w:tcW w:w="9212" w:type="dxa"/>
          </w:tcPr>
          <w:p w:rsidR="00A733AF" w:rsidRPr="000F7E1D" w:rsidRDefault="00A733AF" w:rsidP="00A716FC">
            <w:pPr>
              <w:rPr>
                <w:i/>
                <w:sz w:val="24"/>
                <w:szCs w:val="24"/>
              </w:rPr>
            </w:pPr>
            <w:r w:rsidRPr="000F7E1D">
              <w:rPr>
                <w:i/>
                <w:sz w:val="24"/>
                <w:szCs w:val="24"/>
              </w:rPr>
              <w:t>Uveďte, ako podporuje navrhovaná zmena inovácie.</w:t>
            </w:r>
          </w:p>
          <w:p w:rsidR="00A733AF" w:rsidRPr="000F7E1D" w:rsidRDefault="00A733AF" w:rsidP="00A716FC">
            <w:pPr>
              <w:rPr>
                <w:i/>
                <w:sz w:val="24"/>
                <w:szCs w:val="24"/>
              </w:rPr>
            </w:pPr>
            <w:r w:rsidRPr="000F7E1D">
              <w:rPr>
                <w:i/>
                <w:sz w:val="24"/>
                <w:szCs w:val="24"/>
              </w:rPr>
              <w:t>Zjednodušuje uvedenie alebo rozšírenie nových výrobných metód, technológií a výrobkov na trh?</w:t>
            </w:r>
          </w:p>
          <w:p w:rsidR="00A733AF" w:rsidRPr="000F7E1D" w:rsidRDefault="00A733AF" w:rsidP="00A716FC">
            <w:pPr>
              <w:rPr>
                <w:sz w:val="24"/>
                <w:szCs w:val="24"/>
              </w:rPr>
            </w:pPr>
            <w:r w:rsidRPr="000F7E1D">
              <w:rPr>
                <w:i/>
                <w:sz w:val="24"/>
                <w:szCs w:val="24"/>
              </w:rPr>
              <w:t>Uveďte, ako vplýva navrhovaná zmena na jednotlivé práva duševného vlastníctva (napr. patenty, ochranné známky, autorské práva, vlastníctvo know-how).Podporuje vyššiu efektivitu výroby/využívania zdrojov? Ak áno, ako? Vytvorí zmena nové pracovné miesta pre zamestnancov výskumu a vývoja v SR?</w:t>
            </w:r>
          </w:p>
        </w:tc>
      </w:tr>
      <w:tr w:rsidR="00A733AF" w:rsidRPr="000F7E1D" w:rsidTr="00A716FC">
        <w:trPr>
          <w:trHeight w:val="567"/>
        </w:trPr>
        <w:tc>
          <w:tcPr>
            <w:tcW w:w="9212" w:type="dxa"/>
            <w:vAlign w:val="center"/>
          </w:tcPr>
          <w:p w:rsidR="00A733AF" w:rsidRPr="000F7E1D" w:rsidRDefault="00A733AF" w:rsidP="00A716FC">
            <w:pPr>
              <w:rPr>
                <w:sz w:val="24"/>
                <w:szCs w:val="24"/>
              </w:rPr>
            </w:pPr>
            <w:r w:rsidRPr="000F7E1D">
              <w:rPr>
                <w:sz w:val="24"/>
                <w:szCs w:val="24"/>
              </w:rPr>
              <w:t>Návrh novely zákona nemá vplyv na inovácie podnikateľov.</w:t>
            </w:r>
          </w:p>
        </w:tc>
      </w:tr>
    </w:tbl>
    <w:p w:rsidR="00A733AF" w:rsidRPr="000F7E1D" w:rsidRDefault="00A733AF" w:rsidP="00A733AF">
      <w:pPr>
        <w:rPr>
          <w:sz w:val="24"/>
          <w:szCs w:val="24"/>
        </w:rPr>
      </w:pPr>
    </w:p>
    <w:p w:rsidR="00A733AF" w:rsidRPr="000F7E1D" w:rsidRDefault="00A733AF" w:rsidP="00A733AF">
      <w:pPr>
        <w:rPr>
          <w:b/>
          <w:sz w:val="24"/>
          <w:szCs w:val="24"/>
        </w:rPr>
      </w:pP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Pr="00D6260F" w:rsidRDefault="001D77FD" w:rsidP="001D77FD">
      <w:pPr>
        <w:pStyle w:val="Nzov"/>
      </w:pPr>
      <w:r w:rsidRPr="00D6260F">
        <w:lastRenderedPageBreak/>
        <w:t>DOLOŽKA ZLUČITEĽNOSTI</w:t>
      </w:r>
    </w:p>
    <w:p w:rsidR="001D77FD" w:rsidRPr="00B550E2" w:rsidRDefault="001D77FD" w:rsidP="001D77FD">
      <w:pPr>
        <w:pStyle w:val="Zkladntext0"/>
        <w:pBdr>
          <w:bottom w:val="single" w:sz="12" w:space="1" w:color="auto"/>
        </w:pBdr>
        <w:jc w:val="center"/>
        <w:rPr>
          <w:b/>
          <w:bCs/>
          <w:szCs w:val="24"/>
        </w:rPr>
      </w:pPr>
      <w:r w:rsidRPr="00B550E2">
        <w:rPr>
          <w:b/>
          <w:bCs/>
          <w:szCs w:val="24"/>
        </w:rPr>
        <w:t xml:space="preserve">návrhu </w:t>
      </w:r>
      <w:r w:rsidRPr="00B550E2">
        <w:rPr>
          <w:b/>
          <w:szCs w:val="24"/>
        </w:rPr>
        <w:t xml:space="preserve">zákona, ktorým sa mení a dopĺňa zákon č. 222/2004 Z. z. o dani z pridanej hodnoty v znení neskorších predpisov </w:t>
      </w:r>
      <w:r w:rsidRPr="00B550E2">
        <w:rPr>
          <w:b/>
          <w:bCs/>
          <w:szCs w:val="24"/>
        </w:rPr>
        <w:t>s právom Európskej únie</w:t>
      </w:r>
    </w:p>
    <w:p w:rsidR="001D77FD" w:rsidRPr="00D6260F" w:rsidRDefault="001D77FD" w:rsidP="001D77FD">
      <w:pPr>
        <w:pStyle w:val="Zkladntext0"/>
        <w:jc w:val="both"/>
        <w:rPr>
          <w:szCs w:val="24"/>
        </w:rPr>
      </w:pPr>
    </w:p>
    <w:p w:rsidR="001D77FD" w:rsidRPr="00D6260F" w:rsidRDefault="001D77FD" w:rsidP="001D77FD">
      <w:pPr>
        <w:jc w:val="center"/>
        <w:rPr>
          <w:b/>
          <w:bCs/>
        </w:rPr>
      </w:pPr>
    </w:p>
    <w:p w:rsidR="001D77FD" w:rsidRPr="000C578D" w:rsidRDefault="001D77FD" w:rsidP="001D77FD">
      <w:pPr>
        <w:numPr>
          <w:ilvl w:val="0"/>
          <w:numId w:val="6"/>
        </w:numPr>
        <w:spacing w:after="120"/>
        <w:jc w:val="both"/>
        <w:rPr>
          <w:sz w:val="24"/>
          <w:szCs w:val="24"/>
        </w:rPr>
      </w:pPr>
      <w:r w:rsidRPr="000C578D">
        <w:rPr>
          <w:b/>
          <w:bCs/>
          <w:sz w:val="24"/>
          <w:szCs w:val="24"/>
        </w:rPr>
        <w:t>Navrhovateľ zákona:</w:t>
      </w:r>
    </w:p>
    <w:p w:rsidR="001D77FD" w:rsidRPr="000C578D" w:rsidRDefault="001D77FD" w:rsidP="001D77FD">
      <w:pPr>
        <w:ind w:firstLine="425"/>
        <w:jc w:val="both"/>
        <w:rPr>
          <w:sz w:val="24"/>
          <w:szCs w:val="24"/>
        </w:rPr>
      </w:pPr>
      <w:r w:rsidRPr="000C578D">
        <w:rPr>
          <w:sz w:val="24"/>
          <w:szCs w:val="24"/>
        </w:rPr>
        <w:t xml:space="preserve">Vláda Slovenskej republiky. </w:t>
      </w:r>
    </w:p>
    <w:p w:rsidR="001D77FD" w:rsidRPr="000C578D" w:rsidRDefault="001D77FD" w:rsidP="001D77FD">
      <w:pPr>
        <w:jc w:val="both"/>
        <w:rPr>
          <w:bCs/>
          <w:sz w:val="24"/>
          <w:szCs w:val="24"/>
        </w:rPr>
      </w:pPr>
    </w:p>
    <w:p w:rsidR="001D77FD" w:rsidRPr="000C578D" w:rsidRDefault="001D77FD" w:rsidP="001D77FD">
      <w:pPr>
        <w:numPr>
          <w:ilvl w:val="0"/>
          <w:numId w:val="6"/>
        </w:numPr>
        <w:spacing w:after="120"/>
        <w:jc w:val="both"/>
        <w:rPr>
          <w:b/>
          <w:bCs/>
          <w:sz w:val="24"/>
          <w:szCs w:val="24"/>
        </w:rPr>
      </w:pPr>
      <w:r w:rsidRPr="000C578D">
        <w:rPr>
          <w:b/>
          <w:bCs/>
          <w:sz w:val="24"/>
          <w:szCs w:val="24"/>
        </w:rPr>
        <w:t>Názov návrhu zákona:</w:t>
      </w:r>
    </w:p>
    <w:p w:rsidR="001D77FD" w:rsidRPr="000C578D" w:rsidRDefault="001D77FD" w:rsidP="001D77FD">
      <w:pPr>
        <w:pStyle w:val="Zkladntext0"/>
        <w:ind w:left="426"/>
        <w:jc w:val="both"/>
        <w:rPr>
          <w:szCs w:val="24"/>
        </w:rPr>
      </w:pPr>
      <w:r w:rsidRPr="000C578D">
        <w:rPr>
          <w:szCs w:val="24"/>
        </w:rPr>
        <w:t>Návrh zákona, ktorým sa mení a dopĺňa zákon č. 222/2004 Z. z. o dani z pridanej hodnoty v znení neskorších predpisov.</w:t>
      </w:r>
    </w:p>
    <w:p w:rsidR="001D77FD" w:rsidRPr="000C578D" w:rsidRDefault="001D77FD" w:rsidP="001D77FD">
      <w:pPr>
        <w:spacing w:after="120"/>
        <w:jc w:val="both"/>
        <w:rPr>
          <w:bCs/>
          <w:sz w:val="24"/>
          <w:szCs w:val="24"/>
        </w:rPr>
      </w:pPr>
    </w:p>
    <w:p w:rsidR="001D77FD" w:rsidRPr="000C578D" w:rsidRDefault="001D77FD" w:rsidP="001D77FD">
      <w:pPr>
        <w:numPr>
          <w:ilvl w:val="0"/>
          <w:numId w:val="6"/>
        </w:numPr>
        <w:spacing w:after="120"/>
        <w:jc w:val="both"/>
        <w:rPr>
          <w:b/>
          <w:bCs/>
          <w:sz w:val="24"/>
          <w:szCs w:val="24"/>
        </w:rPr>
      </w:pPr>
      <w:r w:rsidRPr="000C578D">
        <w:rPr>
          <w:b/>
          <w:bCs/>
          <w:sz w:val="24"/>
          <w:szCs w:val="24"/>
        </w:rPr>
        <w:t xml:space="preserve">Problematika návrhu zákona: </w:t>
      </w:r>
    </w:p>
    <w:p w:rsidR="001D77FD" w:rsidRPr="000C578D" w:rsidRDefault="001D77FD" w:rsidP="001D77FD">
      <w:pPr>
        <w:pStyle w:val="Zkladntext"/>
        <w:ind w:left="850"/>
        <w:rPr>
          <w:rFonts w:ascii="Times New Roman" w:hAnsi="Times New Roman"/>
          <w:sz w:val="24"/>
          <w:szCs w:val="24"/>
        </w:rPr>
      </w:pPr>
      <w:r w:rsidRPr="000C578D">
        <w:rPr>
          <w:rFonts w:ascii="Times New Roman" w:hAnsi="Times New Roman"/>
          <w:sz w:val="24"/>
          <w:szCs w:val="24"/>
        </w:rPr>
        <w:t>je upravená v práve Európskej únie:</w:t>
      </w:r>
    </w:p>
    <w:p w:rsidR="001D77FD" w:rsidRPr="000C578D" w:rsidRDefault="001D77FD" w:rsidP="001D77FD">
      <w:pPr>
        <w:pStyle w:val="Zkladntext"/>
        <w:numPr>
          <w:ilvl w:val="1"/>
          <w:numId w:val="6"/>
        </w:numPr>
        <w:tabs>
          <w:tab w:val="left" w:pos="709"/>
          <w:tab w:val="left" w:pos="851"/>
        </w:tabs>
        <w:spacing w:after="120"/>
        <w:jc w:val="left"/>
        <w:rPr>
          <w:rFonts w:ascii="Times New Roman" w:hAnsi="Times New Roman"/>
          <w:b/>
          <w:bCs/>
          <w:iCs/>
          <w:sz w:val="24"/>
          <w:szCs w:val="24"/>
        </w:rPr>
      </w:pPr>
      <w:r w:rsidRPr="000C578D">
        <w:rPr>
          <w:rFonts w:ascii="Times New Roman" w:hAnsi="Times New Roman"/>
          <w:b/>
          <w:bCs/>
          <w:iCs/>
          <w:sz w:val="24"/>
          <w:szCs w:val="24"/>
        </w:rPr>
        <w:t xml:space="preserve">Primárne právo: </w:t>
      </w:r>
    </w:p>
    <w:p w:rsidR="001D77FD" w:rsidRPr="000C578D" w:rsidRDefault="001D77FD" w:rsidP="001D77FD">
      <w:pPr>
        <w:pStyle w:val="Zkladntext"/>
        <w:numPr>
          <w:ilvl w:val="0"/>
          <w:numId w:val="8"/>
        </w:numPr>
        <w:tabs>
          <w:tab w:val="clear" w:pos="900"/>
          <w:tab w:val="num" w:pos="851"/>
        </w:tabs>
        <w:spacing w:after="120"/>
        <w:ind w:left="896" w:hanging="329"/>
        <w:jc w:val="left"/>
        <w:rPr>
          <w:rFonts w:ascii="Times New Roman" w:hAnsi="Times New Roman"/>
          <w:sz w:val="24"/>
          <w:szCs w:val="24"/>
        </w:rPr>
      </w:pPr>
      <w:r w:rsidRPr="000C578D">
        <w:rPr>
          <w:rFonts w:ascii="Times New Roman" w:hAnsi="Times New Roman"/>
          <w:sz w:val="24"/>
          <w:szCs w:val="24"/>
        </w:rPr>
        <w:t>čl. 110 až 113, čl. 349 a 355 ods. 1 Zmluvy o fungovaní Európskej únie.</w:t>
      </w:r>
    </w:p>
    <w:p w:rsidR="001D77FD" w:rsidRPr="000C578D" w:rsidRDefault="001D77FD" w:rsidP="001D77FD">
      <w:pPr>
        <w:pStyle w:val="Zarkazkladnhotextu"/>
        <w:numPr>
          <w:ilvl w:val="1"/>
          <w:numId w:val="6"/>
        </w:numPr>
        <w:spacing w:after="0"/>
        <w:jc w:val="both"/>
        <w:rPr>
          <w:sz w:val="24"/>
          <w:szCs w:val="24"/>
        </w:rPr>
      </w:pPr>
      <w:r w:rsidRPr="000C578D">
        <w:rPr>
          <w:b/>
          <w:bCs/>
          <w:iCs/>
          <w:sz w:val="24"/>
          <w:szCs w:val="24"/>
        </w:rPr>
        <w:t>Sekundárne právo:</w:t>
      </w:r>
    </w:p>
    <w:p w:rsidR="001D77FD" w:rsidRPr="000C578D" w:rsidRDefault="001D77FD" w:rsidP="001D77FD">
      <w:pPr>
        <w:numPr>
          <w:ilvl w:val="0"/>
          <w:numId w:val="8"/>
        </w:numPr>
        <w:autoSpaceDE w:val="0"/>
        <w:autoSpaceDN w:val="0"/>
        <w:adjustRightInd w:val="0"/>
        <w:spacing w:before="120" w:after="120"/>
        <w:jc w:val="both"/>
        <w:rPr>
          <w:b/>
          <w:bCs/>
          <w:iCs/>
          <w:sz w:val="24"/>
          <w:szCs w:val="24"/>
          <w:u w:val="single"/>
        </w:rPr>
      </w:pPr>
      <w:r w:rsidRPr="000C578D">
        <w:rPr>
          <w:rStyle w:val="Siln"/>
          <w:sz w:val="24"/>
          <w:szCs w:val="24"/>
        </w:rPr>
        <w:t xml:space="preserve">čl. 1 smernice Rady (EÚ) </w:t>
      </w:r>
      <w:r w:rsidRPr="000C578D">
        <w:rPr>
          <w:rStyle w:val="Siln"/>
          <w:sz w:val="24"/>
          <w:szCs w:val="24"/>
          <w:u w:val="single"/>
        </w:rPr>
        <w:t>2017/2455</w:t>
      </w:r>
      <w:r w:rsidRPr="000C578D">
        <w:rPr>
          <w:rStyle w:val="Siln"/>
          <w:sz w:val="24"/>
          <w:szCs w:val="24"/>
        </w:rPr>
        <w:t xml:space="preserve"> z 5. decembra 2017, ktorou sa mení smernica 2006/112/ES a smernica 2009/132/ES, pokiaľ ide o určité povinnosti týkajúce sa dane z pridanej hodnoty pri poskytovaní služieb a predaji tovaru na diaľku (</w:t>
      </w:r>
      <w:r w:rsidRPr="000C578D">
        <w:rPr>
          <w:iCs/>
          <w:sz w:val="24"/>
          <w:szCs w:val="24"/>
        </w:rPr>
        <w:t>Ú. v. EÚ L 348, 29.12.2017), gestor: MF SR,</w:t>
      </w:r>
    </w:p>
    <w:p w:rsidR="001D77FD" w:rsidRPr="000C578D" w:rsidRDefault="001D77FD" w:rsidP="001D77FD">
      <w:pPr>
        <w:pStyle w:val="Zarkazkladnhotextu"/>
        <w:numPr>
          <w:ilvl w:val="0"/>
          <w:numId w:val="7"/>
        </w:numPr>
        <w:autoSpaceDE w:val="0"/>
        <w:autoSpaceDN w:val="0"/>
        <w:adjustRightInd w:val="0"/>
        <w:ind w:left="896" w:hanging="357"/>
        <w:jc w:val="both"/>
        <w:rPr>
          <w:rStyle w:val="Zvraznenie"/>
          <w:b/>
          <w:i w:val="0"/>
          <w:iCs w:val="0"/>
          <w:sz w:val="24"/>
          <w:szCs w:val="24"/>
        </w:rPr>
      </w:pPr>
      <w:r w:rsidRPr="000C578D">
        <w:rPr>
          <w:rStyle w:val="Siln"/>
          <w:sz w:val="24"/>
          <w:szCs w:val="24"/>
        </w:rPr>
        <w:t xml:space="preserve">smernica Rady (EÚ) </w:t>
      </w:r>
      <w:r w:rsidRPr="000C578D">
        <w:rPr>
          <w:rStyle w:val="Siln"/>
          <w:sz w:val="24"/>
          <w:szCs w:val="24"/>
          <w:u w:val="single"/>
        </w:rPr>
        <w:t>2016/1065</w:t>
      </w:r>
      <w:r w:rsidRPr="000C578D">
        <w:rPr>
          <w:rStyle w:val="Siln"/>
          <w:sz w:val="24"/>
          <w:szCs w:val="24"/>
        </w:rPr>
        <w:t xml:space="preserve"> z 27. júna 2016, ktorou sa mení smernica 2006/112/ES, pokiaľ ide o zaobchádzanie s poukazmi (</w:t>
      </w:r>
      <w:r w:rsidRPr="000C578D">
        <w:rPr>
          <w:iCs/>
          <w:sz w:val="24"/>
          <w:szCs w:val="24"/>
        </w:rPr>
        <w:t>Ú. v. EÚ L 177, 1.7.2016) gestor: MF SR</w:t>
      </w:r>
      <w:r w:rsidRPr="000C578D">
        <w:rPr>
          <w:rStyle w:val="Zvraznenie"/>
          <w:sz w:val="24"/>
          <w:szCs w:val="24"/>
        </w:rPr>
        <w:t>,</w:t>
      </w:r>
    </w:p>
    <w:p w:rsidR="001D77FD" w:rsidRPr="000C578D" w:rsidRDefault="001D77FD" w:rsidP="001D77FD">
      <w:pPr>
        <w:pStyle w:val="Zarkazkladnhotextu"/>
        <w:numPr>
          <w:ilvl w:val="0"/>
          <w:numId w:val="7"/>
        </w:numPr>
        <w:autoSpaceDE w:val="0"/>
        <w:autoSpaceDN w:val="0"/>
        <w:adjustRightInd w:val="0"/>
        <w:ind w:left="907" w:hanging="397"/>
        <w:jc w:val="both"/>
        <w:rPr>
          <w:sz w:val="24"/>
          <w:szCs w:val="24"/>
        </w:rPr>
      </w:pPr>
      <w:r w:rsidRPr="000C578D">
        <w:rPr>
          <w:bCs/>
          <w:sz w:val="24"/>
          <w:szCs w:val="24"/>
        </w:rPr>
        <w:t xml:space="preserve">smernica Rady </w:t>
      </w:r>
      <w:r w:rsidRPr="000C578D">
        <w:rPr>
          <w:bCs/>
          <w:sz w:val="24"/>
          <w:szCs w:val="24"/>
          <w:u w:val="single"/>
        </w:rPr>
        <w:t>2006/112/ES</w:t>
      </w:r>
      <w:r w:rsidRPr="000C578D">
        <w:rPr>
          <w:bCs/>
          <w:sz w:val="24"/>
          <w:szCs w:val="24"/>
        </w:rPr>
        <w:t xml:space="preserve"> z  28. novembra 2006 o spoločnom systéme dane z pridanej hodnoty </w:t>
      </w:r>
      <w:r w:rsidRPr="000C578D">
        <w:rPr>
          <w:sz w:val="24"/>
          <w:szCs w:val="24"/>
        </w:rPr>
        <w:t>(Ú. v. EÚ L 347, 11.12.2006)</w:t>
      </w:r>
      <w:r w:rsidRPr="000C578D">
        <w:rPr>
          <w:bCs/>
          <w:sz w:val="24"/>
          <w:szCs w:val="24"/>
        </w:rPr>
        <w:t xml:space="preserve"> v platnom znení, </w:t>
      </w:r>
      <w:r w:rsidRPr="000C578D">
        <w:rPr>
          <w:iCs/>
          <w:sz w:val="24"/>
          <w:szCs w:val="24"/>
        </w:rPr>
        <w:t>gestor: MF SR</w:t>
      </w:r>
      <w:r w:rsidRPr="000C578D">
        <w:rPr>
          <w:sz w:val="24"/>
          <w:szCs w:val="24"/>
        </w:rPr>
        <w:t>.</w:t>
      </w:r>
    </w:p>
    <w:p w:rsidR="001D77FD" w:rsidRPr="000C578D" w:rsidRDefault="001D77FD" w:rsidP="001D77FD">
      <w:pPr>
        <w:pStyle w:val="Zkladntext"/>
        <w:numPr>
          <w:ilvl w:val="1"/>
          <w:numId w:val="6"/>
        </w:numPr>
        <w:spacing w:after="120"/>
        <w:rPr>
          <w:rFonts w:ascii="Times New Roman" w:hAnsi="Times New Roman"/>
          <w:sz w:val="24"/>
          <w:szCs w:val="24"/>
        </w:rPr>
      </w:pPr>
      <w:r w:rsidRPr="000C578D">
        <w:rPr>
          <w:rFonts w:ascii="Times New Roman" w:hAnsi="Times New Roman"/>
          <w:sz w:val="24"/>
          <w:szCs w:val="24"/>
        </w:rPr>
        <w:t>je obsiahnutá v judikatúre Súdneho dvora Európskej únie:</w:t>
      </w:r>
    </w:p>
    <w:p w:rsidR="001D77FD" w:rsidRPr="000C578D" w:rsidRDefault="001D77FD" w:rsidP="001D77FD">
      <w:pPr>
        <w:pStyle w:val="Zkladntext"/>
        <w:numPr>
          <w:ilvl w:val="0"/>
          <w:numId w:val="10"/>
        </w:numPr>
        <w:spacing w:after="120"/>
        <w:ind w:left="907" w:hanging="397"/>
        <w:rPr>
          <w:rFonts w:ascii="Times New Roman" w:hAnsi="Times New Roman"/>
          <w:sz w:val="24"/>
          <w:szCs w:val="24"/>
          <w:lang w:eastAsia="sk-SK"/>
        </w:rPr>
      </w:pPr>
      <w:r w:rsidRPr="000C578D">
        <w:rPr>
          <w:rFonts w:ascii="Times New Roman" w:hAnsi="Times New Roman"/>
          <w:sz w:val="24"/>
          <w:szCs w:val="24"/>
        </w:rPr>
        <w:t xml:space="preserve">   rozhodnutie Súdneho dvora vo veci C - 381/97, </w:t>
      </w:r>
      <w:proofErr w:type="spellStart"/>
      <w:r w:rsidRPr="000C578D">
        <w:rPr>
          <w:rFonts w:ascii="Times New Roman" w:hAnsi="Times New Roman"/>
          <w:sz w:val="24"/>
          <w:szCs w:val="24"/>
        </w:rPr>
        <w:t>Belgocodex</w:t>
      </w:r>
      <w:proofErr w:type="spellEnd"/>
      <w:r w:rsidRPr="000C578D">
        <w:rPr>
          <w:rFonts w:ascii="Times New Roman" w:hAnsi="Times New Roman"/>
          <w:sz w:val="24"/>
          <w:szCs w:val="24"/>
        </w:rPr>
        <w:t xml:space="preserve"> SA proti Belgickému kráľovstvu </w:t>
      </w:r>
      <w:r w:rsidRPr="000C578D">
        <w:rPr>
          <w:rFonts w:ascii="Times New Roman" w:hAnsi="Times New Roman"/>
          <w:sz w:val="24"/>
          <w:szCs w:val="24"/>
          <w:lang w:eastAsia="sk-SK"/>
        </w:rPr>
        <w:t>[1998],</w:t>
      </w:r>
    </w:p>
    <w:p w:rsidR="001D77FD" w:rsidRPr="000C578D" w:rsidRDefault="001D77FD" w:rsidP="001D77FD">
      <w:pPr>
        <w:spacing w:before="150" w:after="240"/>
        <w:ind w:left="851"/>
        <w:jc w:val="both"/>
        <w:rPr>
          <w:sz w:val="24"/>
          <w:szCs w:val="24"/>
        </w:rPr>
      </w:pPr>
      <w:r w:rsidRPr="000C578D">
        <w:rPr>
          <w:sz w:val="24"/>
          <w:szCs w:val="24"/>
        </w:rPr>
        <w:t xml:space="preserve">Výrok rozhodnutia:  </w:t>
      </w:r>
    </w:p>
    <w:p w:rsidR="001D77FD" w:rsidRPr="000C578D" w:rsidRDefault="001D77FD" w:rsidP="001D77FD">
      <w:pPr>
        <w:pStyle w:val="Normlnywebov"/>
        <w:shd w:val="clear" w:color="auto" w:fill="FFFFFF"/>
        <w:spacing w:before="0" w:after="0"/>
        <w:ind w:left="851" w:right="0"/>
        <w:jc w:val="both"/>
        <w:rPr>
          <w:color w:val="000000"/>
          <w:sz w:val="24"/>
          <w:szCs w:val="24"/>
        </w:rPr>
      </w:pPr>
      <w:r w:rsidRPr="000C578D">
        <w:rPr>
          <w:color w:val="000000"/>
          <w:sz w:val="24"/>
          <w:szCs w:val="24"/>
        </w:rPr>
        <w:t xml:space="preserve">Článok 2 Prvej smernice Rady 67/227/EHS Rady z 11. apríla 1967 o harmonizácii právnych predpisov členských štátov týkajúcich sa dane sa má vykladať tak, že nebráni členskému štátu, </w:t>
      </w:r>
    </w:p>
    <w:p w:rsidR="001D77FD" w:rsidRPr="000C578D" w:rsidRDefault="001D77FD" w:rsidP="001D77FD">
      <w:pPr>
        <w:pStyle w:val="Normlnywebov"/>
        <w:shd w:val="clear" w:color="auto" w:fill="FFFFFF"/>
        <w:spacing w:before="0" w:after="0"/>
        <w:ind w:left="851" w:right="0"/>
        <w:jc w:val="both"/>
        <w:rPr>
          <w:color w:val="000000"/>
          <w:sz w:val="24"/>
          <w:szCs w:val="24"/>
        </w:rPr>
      </w:pPr>
      <w:r w:rsidRPr="000C578D">
        <w:rPr>
          <w:color w:val="000000"/>
          <w:sz w:val="24"/>
          <w:szCs w:val="24"/>
        </w:rPr>
        <w:t>- ktorý využil možnosť stanovenú článkom 13C Šiestej smernice Rady 77/388/EHS Rady zo 17. mája 1997 o zosúladení právnych predpisov členských štátov týkajúcich sa daní z obratu - spoločný systém dane z pridanej hodnoty: jednotný základ jej stanovenia, a </w:t>
      </w:r>
    </w:p>
    <w:p w:rsidR="001D77FD" w:rsidRPr="000C578D" w:rsidRDefault="001D77FD" w:rsidP="001D77FD">
      <w:pPr>
        <w:pStyle w:val="Normlnywebov"/>
        <w:shd w:val="clear" w:color="auto" w:fill="FFFFFF"/>
        <w:spacing w:before="0" w:after="0"/>
        <w:ind w:left="851" w:right="0"/>
        <w:jc w:val="both"/>
        <w:rPr>
          <w:color w:val="000000"/>
          <w:sz w:val="24"/>
          <w:szCs w:val="24"/>
        </w:rPr>
      </w:pPr>
      <w:r w:rsidRPr="000C578D">
        <w:rPr>
          <w:color w:val="000000"/>
          <w:sz w:val="24"/>
          <w:szCs w:val="24"/>
        </w:rPr>
        <w:t xml:space="preserve">- ktorý tak poskytol svojim zdaniteľným osobám právo využiť voľbu zdaňovania určitých nájmov nehnuteľného majetku, </w:t>
      </w:r>
    </w:p>
    <w:p w:rsidR="001D77FD" w:rsidRPr="000C578D" w:rsidRDefault="001D77FD" w:rsidP="001D77FD">
      <w:pPr>
        <w:pStyle w:val="Normlnywebov"/>
        <w:shd w:val="clear" w:color="auto" w:fill="FFFFFF"/>
        <w:spacing w:before="0" w:after="0"/>
        <w:ind w:left="851" w:right="0"/>
        <w:jc w:val="both"/>
        <w:rPr>
          <w:color w:val="000000"/>
          <w:sz w:val="24"/>
          <w:szCs w:val="24"/>
        </w:rPr>
      </w:pPr>
      <w:r w:rsidRPr="000C578D">
        <w:rPr>
          <w:color w:val="000000"/>
          <w:sz w:val="24"/>
          <w:szCs w:val="24"/>
        </w:rPr>
        <w:t>aby zrušil toto právo voľby následným zákonom a tým opätovne zaviedol oslobodenie.</w:t>
      </w:r>
    </w:p>
    <w:p w:rsidR="001D77FD" w:rsidRPr="000C578D" w:rsidRDefault="001D77FD" w:rsidP="001D77FD">
      <w:pPr>
        <w:pStyle w:val="Normlnywebov"/>
        <w:shd w:val="clear" w:color="auto" w:fill="FFFFFF"/>
        <w:spacing w:before="0" w:after="0"/>
        <w:ind w:left="851" w:right="0"/>
        <w:jc w:val="both"/>
        <w:rPr>
          <w:color w:val="000000"/>
          <w:sz w:val="24"/>
          <w:szCs w:val="24"/>
        </w:rPr>
      </w:pPr>
      <w:r w:rsidRPr="000C578D">
        <w:rPr>
          <w:color w:val="000000"/>
          <w:sz w:val="24"/>
          <w:szCs w:val="24"/>
        </w:rPr>
        <w:t>Vnútroštátnemu súdu prislúcha určiť, či porušenie zásady ochrany legitímnej dôvery alebo zásady právnej istoty bolo spochybnené retroaktívnym zrušením zákona, v súvislosti s ktorým nebolo prijaté vykonávacie nariadenie.</w:t>
      </w:r>
    </w:p>
    <w:p w:rsidR="001D77FD" w:rsidRPr="000C578D" w:rsidRDefault="001D77FD" w:rsidP="001D77FD">
      <w:pPr>
        <w:numPr>
          <w:ilvl w:val="0"/>
          <w:numId w:val="10"/>
        </w:numPr>
        <w:spacing w:before="150" w:after="240"/>
        <w:ind w:left="851" w:right="28" w:hanging="397"/>
        <w:jc w:val="both"/>
        <w:rPr>
          <w:sz w:val="24"/>
          <w:szCs w:val="24"/>
        </w:rPr>
      </w:pPr>
      <w:r w:rsidRPr="000C578D">
        <w:rPr>
          <w:sz w:val="24"/>
          <w:szCs w:val="24"/>
        </w:rPr>
        <w:lastRenderedPageBreak/>
        <w:t xml:space="preserve">   rozhodnutie Súdneho dvora vo veciach C - 487/01 a C - 7/02 </w:t>
      </w:r>
      <w:proofErr w:type="spellStart"/>
      <w:r w:rsidRPr="000C578D">
        <w:rPr>
          <w:sz w:val="24"/>
          <w:szCs w:val="24"/>
        </w:rPr>
        <w:t>Gemeente</w:t>
      </w:r>
      <w:proofErr w:type="spellEnd"/>
      <w:r w:rsidRPr="000C578D">
        <w:rPr>
          <w:sz w:val="24"/>
          <w:szCs w:val="24"/>
        </w:rPr>
        <w:t xml:space="preserve"> </w:t>
      </w:r>
      <w:proofErr w:type="spellStart"/>
      <w:r w:rsidRPr="000C578D">
        <w:rPr>
          <w:sz w:val="24"/>
          <w:szCs w:val="24"/>
        </w:rPr>
        <w:t>Leusden</w:t>
      </w:r>
      <w:proofErr w:type="spellEnd"/>
      <w:r w:rsidRPr="000C578D">
        <w:rPr>
          <w:sz w:val="24"/>
          <w:szCs w:val="24"/>
        </w:rPr>
        <w:t xml:space="preserve"> a </w:t>
      </w:r>
      <w:proofErr w:type="spellStart"/>
      <w:r w:rsidRPr="000C578D">
        <w:rPr>
          <w:sz w:val="24"/>
          <w:szCs w:val="24"/>
        </w:rPr>
        <w:t>Holin</w:t>
      </w:r>
      <w:proofErr w:type="spellEnd"/>
      <w:r w:rsidRPr="000C578D">
        <w:rPr>
          <w:sz w:val="24"/>
          <w:szCs w:val="24"/>
        </w:rPr>
        <w:t xml:space="preserve"> </w:t>
      </w:r>
      <w:proofErr w:type="spellStart"/>
      <w:r w:rsidRPr="000C578D">
        <w:rPr>
          <w:sz w:val="24"/>
          <w:szCs w:val="24"/>
        </w:rPr>
        <w:t>Groep</w:t>
      </w:r>
      <w:proofErr w:type="spellEnd"/>
      <w:r w:rsidRPr="000C578D">
        <w:rPr>
          <w:sz w:val="24"/>
          <w:szCs w:val="24"/>
        </w:rPr>
        <w:t xml:space="preserve"> BV </w:t>
      </w:r>
      <w:proofErr w:type="spellStart"/>
      <w:r w:rsidRPr="000C578D">
        <w:rPr>
          <w:sz w:val="24"/>
          <w:szCs w:val="24"/>
        </w:rPr>
        <w:t>cs</w:t>
      </w:r>
      <w:proofErr w:type="spellEnd"/>
      <w:r w:rsidRPr="000C578D">
        <w:rPr>
          <w:sz w:val="24"/>
          <w:szCs w:val="24"/>
        </w:rPr>
        <w:t xml:space="preserve"> proti </w:t>
      </w:r>
      <w:proofErr w:type="spellStart"/>
      <w:r w:rsidRPr="000C578D">
        <w:rPr>
          <w:sz w:val="24"/>
          <w:szCs w:val="24"/>
        </w:rPr>
        <w:t>Staatssecretaris</w:t>
      </w:r>
      <w:proofErr w:type="spellEnd"/>
      <w:r w:rsidRPr="000C578D">
        <w:rPr>
          <w:sz w:val="24"/>
          <w:szCs w:val="24"/>
        </w:rPr>
        <w:t xml:space="preserve"> van </w:t>
      </w:r>
      <w:proofErr w:type="spellStart"/>
      <w:r w:rsidRPr="000C578D">
        <w:rPr>
          <w:sz w:val="24"/>
          <w:szCs w:val="24"/>
        </w:rPr>
        <w:t>Financiën</w:t>
      </w:r>
      <w:proofErr w:type="spellEnd"/>
      <w:r w:rsidRPr="000C578D">
        <w:rPr>
          <w:sz w:val="24"/>
          <w:szCs w:val="24"/>
        </w:rPr>
        <w:t>, [2004],</w:t>
      </w:r>
    </w:p>
    <w:p w:rsidR="001D77FD" w:rsidRPr="000C578D" w:rsidRDefault="001D77FD" w:rsidP="001D77FD">
      <w:pPr>
        <w:spacing w:before="150" w:after="240"/>
        <w:ind w:left="851"/>
        <w:jc w:val="both"/>
        <w:rPr>
          <w:sz w:val="24"/>
          <w:szCs w:val="24"/>
        </w:rPr>
      </w:pPr>
    </w:p>
    <w:p w:rsidR="001D77FD" w:rsidRPr="000C578D" w:rsidRDefault="001D77FD" w:rsidP="001D77FD">
      <w:pPr>
        <w:spacing w:before="150" w:after="240"/>
        <w:ind w:left="851"/>
        <w:jc w:val="both"/>
        <w:rPr>
          <w:sz w:val="24"/>
          <w:szCs w:val="24"/>
        </w:rPr>
      </w:pPr>
      <w:r w:rsidRPr="000C578D">
        <w:rPr>
          <w:sz w:val="24"/>
          <w:szCs w:val="24"/>
        </w:rPr>
        <w:t xml:space="preserve">Výrok rozhodnutia:  </w:t>
      </w:r>
    </w:p>
    <w:p w:rsidR="001D77FD" w:rsidRPr="000C578D" w:rsidRDefault="001D77FD" w:rsidP="001D77FD">
      <w:pPr>
        <w:ind w:left="851"/>
        <w:jc w:val="both"/>
        <w:rPr>
          <w:bCs/>
          <w:color w:val="000000"/>
          <w:sz w:val="24"/>
          <w:szCs w:val="24"/>
        </w:rPr>
      </w:pPr>
      <w:r w:rsidRPr="000C578D">
        <w:rPr>
          <w:bCs/>
          <w:color w:val="000000"/>
          <w:sz w:val="24"/>
          <w:szCs w:val="24"/>
        </w:rPr>
        <w:t>1. Články 17 a 20 šiestej smernice Rady 77/388/EHS zo 17. mája 1977</w:t>
      </w:r>
      <w:r w:rsidRPr="000C578D">
        <w:rPr>
          <w:color w:val="000000"/>
          <w:sz w:val="24"/>
          <w:szCs w:val="24"/>
        </w:rPr>
        <w:t xml:space="preserve"> o zosúladení právnych predpisov členských štátov týkajúcich sa daní z obratu — spoločný systém dane z pridanej hodnoty: jednotný základ jej stanovenia</w:t>
      </w:r>
      <w:r w:rsidRPr="000C578D">
        <w:rPr>
          <w:bCs/>
          <w:color w:val="000000"/>
          <w:sz w:val="24"/>
          <w:szCs w:val="24"/>
        </w:rPr>
        <w:t xml:space="preserve">, vykladané v súlade so zásadami ochrany legitímnej dôvery a právnej istoty, nebránia tomu, aby členský štát zrušil právo voľby zdaňovania prenájmu nehnuteľného majetku s následnou úpravou odpočítanej dane vykonanej v súvislosti s nehnuteľným majetkom nadobudnutým ako investičný majetok,  v súlade s článkom 20 šiestej smernice 77/388. </w:t>
      </w:r>
    </w:p>
    <w:p w:rsidR="001D77FD" w:rsidRPr="000C578D" w:rsidRDefault="001D77FD" w:rsidP="001D77FD">
      <w:pPr>
        <w:ind w:left="851"/>
        <w:jc w:val="both"/>
        <w:rPr>
          <w:bCs/>
          <w:color w:val="000000"/>
          <w:sz w:val="24"/>
          <w:szCs w:val="24"/>
        </w:rPr>
      </w:pPr>
      <w:r w:rsidRPr="000C578D">
        <w:rPr>
          <w:bCs/>
          <w:color w:val="000000"/>
          <w:sz w:val="24"/>
          <w:szCs w:val="24"/>
        </w:rPr>
        <w:t>Ak členský štát zruší právo voľby zdaňovania nehnuteľného majetku, musí pri určovaní opatrení na vykonanie zmeny právnych predpisov zohľadniť legitímne očakávania svojich zdaniteľných osôb. Zrušenie právnych predpisov, z ktorých zdaniteľná osoba získala výhodu spočívajúcu v zaplatení nižšej dane, bez toho, aby došlo k akémukoľvek zneužitiu, však nemôže ako také porušiť legitímne očakávania založené na práve Spoločenstva.</w:t>
      </w:r>
      <w:r w:rsidRPr="000C578D">
        <w:rPr>
          <w:bCs/>
          <w:color w:val="000000"/>
          <w:sz w:val="24"/>
          <w:szCs w:val="24"/>
        </w:rPr>
        <w:br/>
      </w:r>
    </w:p>
    <w:p w:rsidR="001D77FD" w:rsidRPr="000C578D" w:rsidRDefault="001D77FD" w:rsidP="001D77FD">
      <w:pPr>
        <w:ind w:left="851"/>
        <w:jc w:val="both"/>
        <w:rPr>
          <w:bCs/>
          <w:color w:val="000000"/>
          <w:sz w:val="24"/>
          <w:szCs w:val="24"/>
        </w:rPr>
      </w:pPr>
      <w:r w:rsidRPr="000C578D">
        <w:rPr>
          <w:bCs/>
          <w:color w:val="000000"/>
          <w:sz w:val="24"/>
          <w:szCs w:val="24"/>
        </w:rPr>
        <w:t xml:space="preserve">2. Článok 5 ods. 7 písm. a) šiestej smernice 77/388 sa týka použitia tovaru zdaniteľnou osobou na účely jej podnikateľskej činnosti a nie legislatívnej zmeny zrušujúcej právo rozhodnúť sa pre zdanenie finančnej transakcie, ktorá je vo všeobecnosti oslobodená. </w:t>
      </w:r>
    </w:p>
    <w:p w:rsidR="001D77FD" w:rsidRPr="000C578D" w:rsidRDefault="001D77FD" w:rsidP="001D77FD">
      <w:pPr>
        <w:numPr>
          <w:ilvl w:val="0"/>
          <w:numId w:val="10"/>
        </w:numPr>
        <w:spacing w:before="150" w:after="240"/>
        <w:ind w:left="851" w:hanging="397"/>
        <w:jc w:val="both"/>
        <w:rPr>
          <w:sz w:val="24"/>
          <w:szCs w:val="24"/>
        </w:rPr>
      </w:pPr>
      <w:r w:rsidRPr="000C578D">
        <w:rPr>
          <w:sz w:val="24"/>
          <w:szCs w:val="24"/>
        </w:rPr>
        <w:t xml:space="preserve">  rozhodnutie Súdneho dvora vo veci C </w:t>
      </w:r>
      <w:r w:rsidRPr="000C578D">
        <w:rPr>
          <w:sz w:val="24"/>
          <w:szCs w:val="24"/>
        </w:rPr>
        <w:noBreakHyphen/>
        <w:t xml:space="preserve"> 308/16, </w:t>
      </w:r>
      <w:r w:rsidRPr="000C578D">
        <w:rPr>
          <w:bCs/>
          <w:sz w:val="24"/>
          <w:szCs w:val="24"/>
        </w:rPr>
        <w:t xml:space="preserve">Kozuba Premium </w:t>
      </w:r>
      <w:proofErr w:type="spellStart"/>
      <w:r w:rsidRPr="000C578D">
        <w:rPr>
          <w:bCs/>
          <w:sz w:val="24"/>
          <w:szCs w:val="24"/>
        </w:rPr>
        <w:t>Selection</w:t>
      </w:r>
      <w:proofErr w:type="spellEnd"/>
      <w:r w:rsidRPr="000C578D">
        <w:rPr>
          <w:bCs/>
          <w:sz w:val="24"/>
          <w:szCs w:val="24"/>
        </w:rPr>
        <w:t xml:space="preserve"> </w:t>
      </w:r>
      <w:proofErr w:type="spellStart"/>
      <w:r w:rsidRPr="000C578D">
        <w:rPr>
          <w:bCs/>
          <w:sz w:val="24"/>
          <w:szCs w:val="24"/>
        </w:rPr>
        <w:t>sp</w:t>
      </w:r>
      <w:proofErr w:type="spellEnd"/>
      <w:r w:rsidRPr="000C578D">
        <w:rPr>
          <w:bCs/>
          <w:sz w:val="24"/>
          <w:szCs w:val="24"/>
        </w:rPr>
        <w:t>. z </w:t>
      </w:r>
      <w:proofErr w:type="spellStart"/>
      <w:r w:rsidRPr="000C578D">
        <w:rPr>
          <w:bCs/>
          <w:sz w:val="24"/>
          <w:szCs w:val="24"/>
        </w:rPr>
        <w:t>o.o</w:t>
      </w:r>
      <w:proofErr w:type="spellEnd"/>
      <w:r w:rsidRPr="000C578D">
        <w:rPr>
          <w:bCs/>
          <w:sz w:val="24"/>
          <w:szCs w:val="24"/>
        </w:rPr>
        <w:t xml:space="preserve">. </w:t>
      </w:r>
      <w:r w:rsidRPr="000C578D">
        <w:rPr>
          <w:sz w:val="24"/>
          <w:szCs w:val="24"/>
        </w:rPr>
        <w:t xml:space="preserve">proti </w:t>
      </w:r>
      <w:proofErr w:type="spellStart"/>
      <w:r w:rsidRPr="000C578D">
        <w:rPr>
          <w:bCs/>
          <w:sz w:val="24"/>
          <w:szCs w:val="24"/>
        </w:rPr>
        <w:t>Dyrektor</w:t>
      </w:r>
      <w:proofErr w:type="spellEnd"/>
      <w:r w:rsidRPr="000C578D">
        <w:rPr>
          <w:bCs/>
          <w:sz w:val="24"/>
          <w:szCs w:val="24"/>
        </w:rPr>
        <w:t xml:space="preserve"> Izby </w:t>
      </w:r>
      <w:proofErr w:type="spellStart"/>
      <w:r w:rsidRPr="000C578D">
        <w:rPr>
          <w:bCs/>
          <w:sz w:val="24"/>
          <w:szCs w:val="24"/>
        </w:rPr>
        <w:t>Skarbowej</w:t>
      </w:r>
      <w:proofErr w:type="spellEnd"/>
      <w:r w:rsidRPr="000C578D">
        <w:rPr>
          <w:bCs/>
          <w:sz w:val="24"/>
          <w:szCs w:val="24"/>
        </w:rPr>
        <w:t xml:space="preserve"> w </w:t>
      </w:r>
      <w:proofErr w:type="spellStart"/>
      <w:r w:rsidRPr="000C578D">
        <w:rPr>
          <w:bCs/>
          <w:sz w:val="24"/>
          <w:szCs w:val="24"/>
        </w:rPr>
        <w:t>Warszawie</w:t>
      </w:r>
      <w:proofErr w:type="spellEnd"/>
      <w:r w:rsidRPr="000C578D">
        <w:rPr>
          <w:bCs/>
          <w:sz w:val="24"/>
          <w:szCs w:val="24"/>
        </w:rPr>
        <w:t xml:space="preserve">, </w:t>
      </w:r>
      <w:r w:rsidRPr="000C578D">
        <w:rPr>
          <w:sz w:val="24"/>
          <w:szCs w:val="24"/>
        </w:rPr>
        <w:t>[2017],</w:t>
      </w:r>
    </w:p>
    <w:p w:rsidR="001D77FD" w:rsidRPr="000C578D" w:rsidRDefault="001D77FD" w:rsidP="001D77FD">
      <w:pPr>
        <w:spacing w:before="150" w:after="240"/>
        <w:ind w:left="142" w:firstLine="709"/>
        <w:jc w:val="both"/>
        <w:rPr>
          <w:sz w:val="24"/>
          <w:szCs w:val="24"/>
        </w:rPr>
      </w:pPr>
      <w:r w:rsidRPr="000C578D">
        <w:rPr>
          <w:sz w:val="24"/>
          <w:szCs w:val="24"/>
        </w:rPr>
        <w:t xml:space="preserve">Výrok rozhodnutia:  </w:t>
      </w:r>
    </w:p>
    <w:p w:rsidR="001D77FD" w:rsidRPr="000C578D" w:rsidRDefault="001D77FD" w:rsidP="001D77FD">
      <w:pPr>
        <w:spacing w:before="150" w:after="240"/>
        <w:ind w:left="851"/>
        <w:jc w:val="both"/>
        <w:rPr>
          <w:sz w:val="24"/>
          <w:szCs w:val="24"/>
        </w:rPr>
      </w:pPr>
      <w:r w:rsidRPr="000C578D">
        <w:rPr>
          <w:bCs/>
          <w:sz w:val="24"/>
          <w:szCs w:val="24"/>
        </w:rPr>
        <w:t>Článok 12 ods. 1 a 2 a článok 135 ods. 1 písm. j) smernice Rady 2006/112/ES z 28. novembra 2006 o spoločnom systéme dane z pridanej hodnoty sa majú vykladať v tom zmysle, že bránia takej vnútroštátnej právnej úprave, o akú ide vo veci samej, ktorá podmieňuje oslobodenie od dane z pridanej hodnoty v prípade dodania budov tým, aby k prvému obývaniu týchto budov došlo v rámci zdaniteľnej transakcie. Tie isté ustanovenia sa majú vykladať v tom zmysle, že nebránia tomu, aby takáto vnútroštátna právna úprava podmieňovala to isté oslobodenie tým, aby v prípade „rekonštrukcie“ existujúcej budovy nepresiahli náklady na rekonštrukciu 30 % jej pôvodnej hodnoty, pokiaľ by sa pojem „rekonštrukcia“ vykladal rovnako ako pojem „prestavba“ nachádzajúci sa v článku 12 ods. 2 smernice 2006/112, a to v tom zmysle, že na dotknutej budove sa musia vykonať podstatné zmeny, ktorých účelom je zmeniť jej užívanie alebo podstatným spôsobom zmeniť podmienky jej obývania.</w:t>
      </w:r>
    </w:p>
    <w:p w:rsidR="001D77FD" w:rsidRPr="000C578D" w:rsidRDefault="001D77FD" w:rsidP="001D77FD">
      <w:pPr>
        <w:numPr>
          <w:ilvl w:val="0"/>
          <w:numId w:val="6"/>
        </w:numPr>
        <w:tabs>
          <w:tab w:val="left" w:pos="360"/>
        </w:tabs>
        <w:spacing w:after="120"/>
        <w:jc w:val="both"/>
        <w:rPr>
          <w:b/>
          <w:bCs/>
          <w:sz w:val="24"/>
          <w:szCs w:val="24"/>
        </w:rPr>
      </w:pPr>
      <w:r w:rsidRPr="000C578D">
        <w:rPr>
          <w:b/>
          <w:bCs/>
          <w:sz w:val="24"/>
          <w:szCs w:val="24"/>
        </w:rPr>
        <w:t>Záväzky Slovenskej republiky vo vzťahu k Európskej únii:</w:t>
      </w:r>
    </w:p>
    <w:p w:rsidR="001D77FD" w:rsidRPr="000C578D" w:rsidRDefault="001D77FD" w:rsidP="001D77FD">
      <w:pPr>
        <w:pStyle w:val="Zkladntext"/>
        <w:numPr>
          <w:ilvl w:val="0"/>
          <w:numId w:val="9"/>
        </w:numPr>
        <w:tabs>
          <w:tab w:val="left" w:pos="360"/>
          <w:tab w:val="left" w:pos="540"/>
        </w:tabs>
        <w:spacing w:after="120"/>
        <w:rPr>
          <w:rFonts w:ascii="Times New Roman" w:hAnsi="Times New Roman"/>
          <w:sz w:val="24"/>
          <w:szCs w:val="24"/>
        </w:rPr>
      </w:pPr>
      <w:r w:rsidRPr="000C578D">
        <w:rPr>
          <w:rFonts w:ascii="Times New Roman" w:hAnsi="Times New Roman"/>
          <w:sz w:val="24"/>
          <w:szCs w:val="24"/>
        </w:rPr>
        <w:t>Lehota na prebratie smernice 2016/1065 je stanovená do 31.12. 2018. Lehota na prebratie čl. 1 smernice 2017/2455 je stanovená  do 31.12. 2018.</w:t>
      </w:r>
    </w:p>
    <w:p w:rsidR="001D77FD" w:rsidRPr="000C578D" w:rsidRDefault="001D77FD" w:rsidP="001D77FD">
      <w:pPr>
        <w:pStyle w:val="Zkladntext"/>
        <w:numPr>
          <w:ilvl w:val="0"/>
          <w:numId w:val="9"/>
        </w:numPr>
        <w:tabs>
          <w:tab w:val="left" w:pos="360"/>
        </w:tabs>
        <w:spacing w:after="120"/>
        <w:rPr>
          <w:rFonts w:ascii="Times New Roman" w:hAnsi="Times New Roman"/>
          <w:sz w:val="24"/>
          <w:szCs w:val="24"/>
        </w:rPr>
      </w:pPr>
      <w:r w:rsidRPr="000C578D">
        <w:rPr>
          <w:rFonts w:ascii="Times New Roman" w:hAnsi="Times New Roman"/>
          <w:sz w:val="24"/>
          <w:szCs w:val="24"/>
        </w:rPr>
        <w:t>Proti Slovenskej republike nebolo začaté konanie v rámci „EÚ Pilot“, ani nebol začatý postup EK ako aj nebolo začaté konanie Súdneho dvora EÚ proti SR podľa čl. 258 až 260 Zmluvy o fungovaní Európskej únie.</w:t>
      </w:r>
    </w:p>
    <w:p w:rsidR="001D77FD" w:rsidRPr="000C578D" w:rsidRDefault="001D77FD" w:rsidP="001D77FD">
      <w:pPr>
        <w:pStyle w:val="Zkladntext"/>
        <w:numPr>
          <w:ilvl w:val="0"/>
          <w:numId w:val="9"/>
        </w:numPr>
        <w:tabs>
          <w:tab w:val="left" w:pos="360"/>
        </w:tabs>
        <w:spacing w:after="120"/>
        <w:rPr>
          <w:rFonts w:ascii="Times New Roman" w:hAnsi="Times New Roman"/>
          <w:sz w:val="24"/>
          <w:szCs w:val="24"/>
        </w:rPr>
      </w:pPr>
      <w:r w:rsidRPr="000C578D">
        <w:rPr>
          <w:rFonts w:ascii="Times New Roman" w:hAnsi="Times New Roman"/>
          <w:sz w:val="24"/>
          <w:szCs w:val="24"/>
        </w:rPr>
        <w:t xml:space="preserve">Bezpredmetné.  </w:t>
      </w:r>
    </w:p>
    <w:p w:rsidR="001D77FD" w:rsidRPr="000C578D" w:rsidRDefault="001D77FD" w:rsidP="001D77FD">
      <w:pPr>
        <w:pStyle w:val="Zkladntext"/>
        <w:tabs>
          <w:tab w:val="left" w:pos="360"/>
        </w:tabs>
        <w:ind w:left="785"/>
        <w:rPr>
          <w:rFonts w:ascii="Times New Roman" w:hAnsi="Times New Roman"/>
          <w:sz w:val="24"/>
          <w:szCs w:val="24"/>
        </w:rPr>
      </w:pPr>
    </w:p>
    <w:p w:rsidR="001D77FD" w:rsidRPr="000C578D" w:rsidRDefault="001D77FD" w:rsidP="001D77FD">
      <w:pPr>
        <w:tabs>
          <w:tab w:val="left" w:pos="360"/>
        </w:tabs>
        <w:spacing w:after="120"/>
        <w:jc w:val="both"/>
        <w:rPr>
          <w:b/>
          <w:bCs/>
          <w:sz w:val="24"/>
          <w:szCs w:val="24"/>
        </w:rPr>
      </w:pPr>
      <w:r w:rsidRPr="000C578D">
        <w:rPr>
          <w:b/>
          <w:bCs/>
          <w:sz w:val="24"/>
          <w:szCs w:val="24"/>
        </w:rPr>
        <w:t>5.</w:t>
      </w:r>
      <w:r w:rsidRPr="000C578D">
        <w:rPr>
          <w:b/>
          <w:bCs/>
          <w:sz w:val="24"/>
          <w:szCs w:val="24"/>
        </w:rPr>
        <w:tab/>
        <w:t>Stupeň zlučiteľnosti návrhu zákona s právom Európskej únie:</w:t>
      </w:r>
    </w:p>
    <w:p w:rsidR="001D77FD" w:rsidRPr="000C578D" w:rsidRDefault="001D77FD" w:rsidP="001D77FD">
      <w:pPr>
        <w:spacing w:after="120"/>
        <w:ind w:left="360"/>
        <w:jc w:val="both"/>
        <w:rPr>
          <w:sz w:val="24"/>
          <w:szCs w:val="24"/>
        </w:rPr>
      </w:pPr>
      <w:r w:rsidRPr="000C578D">
        <w:rPr>
          <w:sz w:val="24"/>
          <w:szCs w:val="24"/>
        </w:rPr>
        <w:t>Čiastočne. Čl. 2 smernice 2017/2455 bude prebratý do zákona o dani z pridanej hodnoty s účinnosťou od 1. januára 2021, čím sa dosiahne úplný súlad zákona o dani z pridanej hodnoty so smernicou 2017/2455.</w:t>
      </w:r>
    </w:p>
    <w:p w:rsidR="001D77FD" w:rsidRPr="00A21C46" w:rsidRDefault="001D77FD" w:rsidP="00A733AF">
      <w:pPr>
        <w:tabs>
          <w:tab w:val="num" w:pos="1080"/>
        </w:tabs>
        <w:ind w:left="-900"/>
        <w:jc w:val="both"/>
        <w:rPr>
          <w:bCs/>
          <w:sz w:val="24"/>
          <w:szCs w:val="24"/>
        </w:rPr>
      </w:pPr>
    </w:p>
    <w:p w:rsidR="00A733AF" w:rsidRDefault="00A733AF"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1D77FD" w:rsidRDefault="001D77FD" w:rsidP="00A733AF">
      <w:pPr>
        <w:tabs>
          <w:tab w:val="num" w:pos="1080"/>
        </w:tabs>
        <w:ind w:left="-900"/>
        <w:jc w:val="both"/>
        <w:rPr>
          <w:bCs/>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0C578D" w:rsidRDefault="000C578D" w:rsidP="001D77FD">
      <w:pPr>
        <w:rPr>
          <w:b/>
          <w:color w:val="000000"/>
          <w:sz w:val="24"/>
          <w:szCs w:val="24"/>
        </w:rPr>
      </w:pPr>
    </w:p>
    <w:p w:rsidR="001D77FD" w:rsidRPr="0025084D" w:rsidRDefault="001D77FD" w:rsidP="000C578D">
      <w:pPr>
        <w:jc w:val="both"/>
        <w:rPr>
          <w:b/>
          <w:color w:val="000000"/>
          <w:sz w:val="24"/>
          <w:szCs w:val="24"/>
        </w:rPr>
      </w:pPr>
      <w:r w:rsidRPr="0025084D">
        <w:rPr>
          <w:b/>
          <w:color w:val="000000"/>
          <w:sz w:val="24"/>
          <w:szCs w:val="24"/>
        </w:rPr>
        <w:lastRenderedPageBreak/>
        <w:t>B. Osobitná časť</w:t>
      </w:r>
    </w:p>
    <w:p w:rsidR="001D77FD" w:rsidRPr="0025084D" w:rsidRDefault="001D77FD" w:rsidP="000C578D">
      <w:pPr>
        <w:jc w:val="both"/>
        <w:rPr>
          <w:b/>
          <w:color w:val="000000"/>
          <w:sz w:val="24"/>
          <w:szCs w:val="24"/>
        </w:rPr>
      </w:pPr>
    </w:p>
    <w:p w:rsidR="001D77FD" w:rsidRPr="0025084D" w:rsidRDefault="001D77FD" w:rsidP="000C578D">
      <w:pPr>
        <w:jc w:val="both"/>
        <w:rPr>
          <w:b/>
          <w:color w:val="000000"/>
          <w:sz w:val="24"/>
          <w:szCs w:val="24"/>
        </w:rPr>
      </w:pPr>
      <w:r w:rsidRPr="0025084D">
        <w:rPr>
          <w:b/>
          <w:color w:val="000000"/>
          <w:sz w:val="24"/>
          <w:szCs w:val="24"/>
        </w:rPr>
        <w:t>K čl. I</w:t>
      </w:r>
    </w:p>
    <w:p w:rsidR="001D77FD" w:rsidRDefault="001D77FD" w:rsidP="000C578D">
      <w:pPr>
        <w:jc w:val="both"/>
        <w:rPr>
          <w:b/>
          <w:bCs/>
          <w:sz w:val="24"/>
          <w:szCs w:val="24"/>
        </w:rPr>
      </w:pPr>
    </w:p>
    <w:p w:rsidR="001D77FD" w:rsidRPr="00AE5D16" w:rsidRDefault="001D77FD" w:rsidP="000C578D">
      <w:pPr>
        <w:jc w:val="both"/>
        <w:rPr>
          <w:b/>
          <w:bCs/>
          <w:sz w:val="24"/>
          <w:szCs w:val="24"/>
        </w:rPr>
      </w:pPr>
      <w:r w:rsidRPr="00AE5D16">
        <w:rPr>
          <w:b/>
          <w:bCs/>
          <w:sz w:val="24"/>
          <w:szCs w:val="24"/>
        </w:rPr>
        <w:t>K bod</w:t>
      </w:r>
      <w:r>
        <w:rPr>
          <w:b/>
          <w:bCs/>
          <w:sz w:val="24"/>
          <w:szCs w:val="24"/>
        </w:rPr>
        <w:t>om 1, 4 a 53</w:t>
      </w:r>
      <w:r w:rsidRPr="00AE5D16">
        <w:rPr>
          <w:b/>
          <w:bCs/>
          <w:sz w:val="24"/>
          <w:szCs w:val="24"/>
        </w:rPr>
        <w:t xml:space="preserve"> (§ 4 ods. 3, § 4c a §</w:t>
      </w:r>
      <w:r>
        <w:rPr>
          <w:b/>
          <w:bCs/>
          <w:sz w:val="24"/>
          <w:szCs w:val="24"/>
        </w:rPr>
        <w:t xml:space="preserve"> </w:t>
      </w:r>
      <w:r w:rsidRPr="00AE5D16">
        <w:rPr>
          <w:b/>
          <w:bCs/>
          <w:sz w:val="24"/>
          <w:szCs w:val="24"/>
        </w:rPr>
        <w:t xml:space="preserve">85kg ods. </w:t>
      </w:r>
      <w:r>
        <w:rPr>
          <w:b/>
          <w:bCs/>
          <w:sz w:val="24"/>
          <w:szCs w:val="24"/>
        </w:rPr>
        <w:t>2</w:t>
      </w:r>
      <w:r w:rsidRPr="00AE5D16">
        <w:rPr>
          <w:b/>
          <w:bCs/>
          <w:sz w:val="24"/>
          <w:szCs w:val="24"/>
        </w:rPr>
        <w:t xml:space="preserve">) </w:t>
      </w:r>
    </w:p>
    <w:p w:rsidR="001D77FD" w:rsidRPr="00AE5D16" w:rsidRDefault="001D77FD" w:rsidP="000C578D">
      <w:pPr>
        <w:jc w:val="both"/>
        <w:rPr>
          <w:bCs/>
          <w:sz w:val="24"/>
          <w:szCs w:val="24"/>
        </w:rPr>
      </w:pPr>
      <w:r w:rsidRPr="00AE5D16">
        <w:rPr>
          <w:bCs/>
          <w:sz w:val="24"/>
          <w:szCs w:val="24"/>
        </w:rPr>
        <w:t xml:space="preserve">Ukazuje sa, že zábezpeka na daň, ako inštitút zavedený do zákona o DPH v roku 2012, ktorého účelom bolo eliminovať negatívne dôsledky spočívajúce vo vzniku nedoplatkov na </w:t>
      </w:r>
      <w:r>
        <w:rPr>
          <w:bCs/>
          <w:sz w:val="24"/>
          <w:szCs w:val="24"/>
        </w:rPr>
        <w:t>DPH</w:t>
      </w:r>
      <w:r w:rsidRPr="00AE5D16">
        <w:rPr>
          <w:bCs/>
          <w:sz w:val="24"/>
          <w:szCs w:val="24"/>
        </w:rPr>
        <w:t xml:space="preserve"> spôsobených </w:t>
      </w:r>
      <w:proofErr w:type="spellStart"/>
      <w:r w:rsidRPr="00AE5D16">
        <w:rPr>
          <w:bCs/>
          <w:sz w:val="24"/>
          <w:szCs w:val="24"/>
        </w:rPr>
        <w:t>novoregistrovanými</w:t>
      </w:r>
      <w:proofErr w:type="spellEnd"/>
      <w:r w:rsidRPr="00AE5D16">
        <w:rPr>
          <w:bCs/>
          <w:sz w:val="24"/>
          <w:szCs w:val="24"/>
        </w:rPr>
        <w:t xml:space="preserve"> platiteľmi</w:t>
      </w:r>
      <w:r>
        <w:rPr>
          <w:bCs/>
          <w:sz w:val="24"/>
          <w:szCs w:val="24"/>
        </w:rPr>
        <w:t xml:space="preserve"> dane</w:t>
      </w:r>
      <w:r w:rsidRPr="00AE5D16">
        <w:rPr>
          <w:bCs/>
          <w:sz w:val="24"/>
          <w:szCs w:val="24"/>
        </w:rPr>
        <w:t xml:space="preserve">, nie je viac potrebná pre efektívny boj proti daňovým podvodom. Z uvedeného dôvodu sa navrhuje tento inštitút vypustiť. </w:t>
      </w:r>
    </w:p>
    <w:p w:rsidR="001D77FD" w:rsidRPr="00227696" w:rsidRDefault="001D77FD" w:rsidP="000C578D">
      <w:pPr>
        <w:jc w:val="both"/>
        <w:rPr>
          <w:bCs/>
          <w:sz w:val="24"/>
          <w:szCs w:val="24"/>
        </w:rPr>
      </w:pPr>
      <w:r w:rsidRPr="00AE5D16">
        <w:rPr>
          <w:bCs/>
          <w:sz w:val="24"/>
          <w:szCs w:val="24"/>
        </w:rPr>
        <w:t xml:space="preserve">Súčasne sa navrhuje, aby sa všetky rozhodnutia o zložení zábezpeky na daň vydané pred dňom nadobudnutia účinnosti tohto návrhu zákona, pri ktorých ešte nedošlo k uplynutiu 12 mesiacov odo dňa zloženia zábezpeky na daň, zrušili </w:t>
      </w:r>
      <w:r w:rsidRPr="00AE5D16">
        <w:rPr>
          <w:bCs/>
          <w:i/>
          <w:sz w:val="24"/>
          <w:szCs w:val="24"/>
        </w:rPr>
        <w:t xml:space="preserve">ex </w:t>
      </w:r>
      <w:proofErr w:type="spellStart"/>
      <w:r w:rsidRPr="00AE5D16">
        <w:rPr>
          <w:bCs/>
          <w:i/>
          <w:sz w:val="24"/>
          <w:szCs w:val="24"/>
        </w:rPr>
        <w:t>lege</w:t>
      </w:r>
      <w:proofErr w:type="spellEnd"/>
      <w:r w:rsidRPr="00AE5D16">
        <w:rPr>
          <w:bCs/>
          <w:i/>
          <w:sz w:val="24"/>
          <w:szCs w:val="24"/>
        </w:rPr>
        <w:t xml:space="preserve">. </w:t>
      </w:r>
      <w:r w:rsidRPr="00AE5D16">
        <w:rPr>
          <w:bCs/>
          <w:sz w:val="24"/>
          <w:szCs w:val="24"/>
        </w:rPr>
        <w:t>Daňový úrad tak vráti dotknutým subjektom peňažnú zábezpeku alebo jej časť zloženú peňažnými prostriedkam</w:t>
      </w:r>
      <w:r>
        <w:rPr>
          <w:bCs/>
          <w:sz w:val="24"/>
          <w:szCs w:val="24"/>
        </w:rPr>
        <w:t>i najneskôr do 28. februára 2019</w:t>
      </w:r>
      <w:r w:rsidRPr="00AE5D16">
        <w:rPr>
          <w:bCs/>
          <w:sz w:val="24"/>
          <w:szCs w:val="24"/>
        </w:rPr>
        <w:t xml:space="preserve"> za podmienky, že táto zábezpeka alebo jej časť nebola použitá na úhradu nedoplatkov na </w:t>
      </w:r>
      <w:r>
        <w:rPr>
          <w:bCs/>
          <w:sz w:val="24"/>
          <w:szCs w:val="24"/>
        </w:rPr>
        <w:t>DPH</w:t>
      </w:r>
      <w:r w:rsidRPr="00AE5D16">
        <w:rPr>
          <w:bCs/>
          <w:sz w:val="24"/>
          <w:szCs w:val="24"/>
        </w:rPr>
        <w:t xml:space="preserve">. Pred týmto vrátením však daňový úrad primerane </w:t>
      </w:r>
      <w:r>
        <w:rPr>
          <w:bCs/>
          <w:sz w:val="24"/>
          <w:szCs w:val="24"/>
        </w:rPr>
        <w:t xml:space="preserve">uplatní postup podľa § 79 ods. </w:t>
      </w:r>
      <w:r w:rsidRPr="00AE5D16">
        <w:rPr>
          <w:bCs/>
          <w:sz w:val="24"/>
          <w:szCs w:val="24"/>
        </w:rPr>
        <w:t>1</w:t>
      </w:r>
      <w:r>
        <w:rPr>
          <w:bCs/>
          <w:sz w:val="24"/>
          <w:szCs w:val="24"/>
        </w:rPr>
        <w:t xml:space="preserve"> </w:t>
      </w:r>
      <w:r w:rsidRPr="00AE5D16">
        <w:rPr>
          <w:bCs/>
          <w:sz w:val="24"/>
          <w:szCs w:val="24"/>
        </w:rPr>
        <w:t>daňového poriadku.</w:t>
      </w:r>
    </w:p>
    <w:p w:rsidR="001D77FD" w:rsidRDefault="001D77FD" w:rsidP="000C578D">
      <w:pPr>
        <w:jc w:val="both"/>
        <w:rPr>
          <w:b/>
          <w:bCs/>
          <w:sz w:val="24"/>
          <w:szCs w:val="24"/>
        </w:rPr>
      </w:pPr>
      <w:r>
        <w:rPr>
          <w:b/>
          <w:bCs/>
          <w:sz w:val="24"/>
          <w:szCs w:val="24"/>
        </w:rPr>
        <w:t xml:space="preserve"> </w:t>
      </w:r>
    </w:p>
    <w:p w:rsidR="001D77FD" w:rsidRPr="0025084D" w:rsidRDefault="001D77FD" w:rsidP="000C578D">
      <w:pPr>
        <w:jc w:val="both"/>
        <w:rPr>
          <w:b/>
          <w:bCs/>
          <w:sz w:val="24"/>
          <w:szCs w:val="24"/>
        </w:rPr>
      </w:pPr>
      <w:r w:rsidRPr="0025084D">
        <w:rPr>
          <w:b/>
          <w:bCs/>
          <w:sz w:val="24"/>
          <w:szCs w:val="24"/>
        </w:rPr>
        <w:t>K bodu </w:t>
      </w:r>
      <w:r>
        <w:rPr>
          <w:b/>
          <w:bCs/>
          <w:sz w:val="24"/>
          <w:szCs w:val="24"/>
        </w:rPr>
        <w:t>2</w:t>
      </w:r>
      <w:r w:rsidRPr="0025084D">
        <w:rPr>
          <w:b/>
          <w:bCs/>
          <w:sz w:val="24"/>
          <w:szCs w:val="24"/>
        </w:rPr>
        <w:t xml:space="preserve"> (§ 4 ods. 4)</w:t>
      </w:r>
    </w:p>
    <w:p w:rsidR="001D77FD" w:rsidRPr="0025084D" w:rsidRDefault="001D77FD" w:rsidP="000C578D">
      <w:pPr>
        <w:pStyle w:val="Zkladntext0"/>
        <w:jc w:val="both"/>
        <w:rPr>
          <w:color w:val="auto"/>
          <w:szCs w:val="24"/>
        </w:rPr>
      </w:pPr>
      <w:r w:rsidRPr="0025084D">
        <w:rPr>
          <w:color w:val="auto"/>
          <w:szCs w:val="24"/>
        </w:rPr>
        <w:t xml:space="preserve">Z dôvodu, že pojem dodanie podniku prípadne časti podniku je pojmom </w:t>
      </w:r>
      <w:r>
        <w:rPr>
          <w:color w:val="auto"/>
          <w:szCs w:val="24"/>
        </w:rPr>
        <w:t>Európskej únie</w:t>
      </w:r>
      <w:r w:rsidRPr="0025084D">
        <w:rPr>
          <w:color w:val="auto"/>
          <w:szCs w:val="24"/>
        </w:rPr>
        <w:t>, nie je opodstatnené, aby sa predaj podniku riadil výlučne ustanoveniami Obchodného zákonníka. Z tohto dôvodu sa odkaz na Obchodný zákonník vypúšťa.</w:t>
      </w:r>
      <w:r>
        <w:rPr>
          <w:color w:val="auto"/>
          <w:szCs w:val="24"/>
        </w:rPr>
        <w:t xml:space="preserve"> </w:t>
      </w:r>
    </w:p>
    <w:p w:rsidR="001D77FD" w:rsidRPr="0025084D" w:rsidRDefault="001D77FD" w:rsidP="000C578D">
      <w:pPr>
        <w:pStyle w:val="Zkladntext0"/>
        <w:jc w:val="both"/>
        <w:rPr>
          <w:color w:val="auto"/>
          <w:szCs w:val="24"/>
        </w:rPr>
      </w:pPr>
    </w:p>
    <w:p w:rsidR="001D77FD" w:rsidRDefault="001D77FD" w:rsidP="000C578D">
      <w:pPr>
        <w:jc w:val="both"/>
        <w:rPr>
          <w:b/>
          <w:bCs/>
          <w:sz w:val="24"/>
          <w:szCs w:val="24"/>
        </w:rPr>
      </w:pPr>
      <w:r>
        <w:rPr>
          <w:b/>
          <w:bCs/>
          <w:sz w:val="24"/>
          <w:szCs w:val="24"/>
        </w:rPr>
        <w:t>K bodom 3, 22 a 53 (§ 4 ods. 7, § 50 a § 85kg ods. 1 a 5)</w:t>
      </w:r>
    </w:p>
    <w:p w:rsidR="001D77FD" w:rsidRDefault="001D77FD" w:rsidP="000C578D">
      <w:pPr>
        <w:pStyle w:val="Zkladntext0"/>
        <w:jc w:val="both"/>
        <w:rPr>
          <w:bCs/>
          <w:color w:val="auto"/>
          <w:szCs w:val="24"/>
        </w:rPr>
      </w:pPr>
      <w:r w:rsidRPr="00371F14">
        <w:rPr>
          <w:bCs/>
          <w:szCs w:val="24"/>
        </w:rPr>
        <w:t xml:space="preserve">Navrhuje sa nová definícia obratu na účely zákona o DPH. </w:t>
      </w:r>
      <w:r>
        <w:rPr>
          <w:bCs/>
          <w:szCs w:val="24"/>
        </w:rPr>
        <w:t>N</w:t>
      </w:r>
      <w:r w:rsidRPr="00371F14">
        <w:rPr>
          <w:bCs/>
          <w:szCs w:val="24"/>
        </w:rPr>
        <w:t xml:space="preserve">ová definícia je v súlade s článkom 288 smernice </w:t>
      </w:r>
      <w:r>
        <w:rPr>
          <w:bCs/>
          <w:szCs w:val="24"/>
        </w:rPr>
        <w:t xml:space="preserve">Rady </w:t>
      </w:r>
      <w:r w:rsidRPr="00371F14">
        <w:rPr>
          <w:bCs/>
          <w:szCs w:val="24"/>
        </w:rPr>
        <w:t>2006/112/ES o spoločnom systéme DPH</w:t>
      </w:r>
      <w:r>
        <w:rPr>
          <w:bCs/>
          <w:szCs w:val="24"/>
        </w:rPr>
        <w:t xml:space="preserve"> (ďalej len „smernica 2006/112/ES“)</w:t>
      </w:r>
      <w:r w:rsidRPr="00371F14">
        <w:rPr>
          <w:bCs/>
          <w:szCs w:val="24"/>
        </w:rPr>
        <w:t xml:space="preserve">. </w:t>
      </w:r>
      <w:r>
        <w:rPr>
          <w:bCs/>
          <w:szCs w:val="24"/>
        </w:rPr>
        <w:t xml:space="preserve">V platnej definícii obratu sú použité pojmy „príjmy“ a „výnosy“, čo </w:t>
      </w:r>
      <w:r w:rsidRPr="00371F14">
        <w:rPr>
          <w:bCs/>
          <w:szCs w:val="24"/>
        </w:rPr>
        <w:t>spôsob</w:t>
      </w:r>
      <w:r>
        <w:rPr>
          <w:bCs/>
          <w:szCs w:val="24"/>
        </w:rPr>
        <w:t xml:space="preserve">uje </w:t>
      </w:r>
      <w:r w:rsidRPr="00371F14">
        <w:rPr>
          <w:bCs/>
          <w:szCs w:val="24"/>
        </w:rPr>
        <w:t xml:space="preserve">nerovnaké podmienky pre zdaniteľné osoby, ktoré vedú podvojné účtovníctvo a pre zdaniteľné osoby, ktoré vedú jednoduché účtovníctvo. </w:t>
      </w:r>
      <w:r>
        <w:rPr>
          <w:bCs/>
          <w:szCs w:val="24"/>
        </w:rPr>
        <w:t xml:space="preserve">Z tohto dôvodu sa tieto pojmy </w:t>
      </w:r>
      <w:r w:rsidRPr="00D5400B">
        <w:rPr>
          <w:bCs/>
          <w:color w:val="auto"/>
          <w:szCs w:val="24"/>
        </w:rPr>
        <w:t>nahrádzajú pojmom „hodnot</w:t>
      </w:r>
      <w:r>
        <w:rPr>
          <w:bCs/>
          <w:color w:val="auto"/>
          <w:szCs w:val="24"/>
        </w:rPr>
        <w:t xml:space="preserve">a dodaných tovarov a služieb“, </w:t>
      </w:r>
      <w:r w:rsidRPr="00D5400B">
        <w:rPr>
          <w:bCs/>
          <w:color w:val="auto"/>
          <w:szCs w:val="24"/>
        </w:rPr>
        <w:t>čo znamená, že do obratu sa zahrnie reálna hodnota dodaných tovarov a</w:t>
      </w:r>
      <w:r>
        <w:rPr>
          <w:bCs/>
          <w:color w:val="auto"/>
          <w:szCs w:val="24"/>
        </w:rPr>
        <w:t> </w:t>
      </w:r>
      <w:r w:rsidRPr="00D5400B">
        <w:rPr>
          <w:bCs/>
          <w:color w:val="auto"/>
          <w:szCs w:val="24"/>
        </w:rPr>
        <w:t>služieb</w:t>
      </w:r>
      <w:r>
        <w:rPr>
          <w:bCs/>
          <w:color w:val="auto"/>
          <w:szCs w:val="24"/>
        </w:rPr>
        <w:t xml:space="preserve">, ktorá v podstate predstavuje protihodnotu </w:t>
      </w:r>
      <w:r w:rsidRPr="00D5400B">
        <w:rPr>
          <w:bCs/>
          <w:color w:val="auto"/>
          <w:szCs w:val="24"/>
        </w:rPr>
        <w:t>v zmysle § 22 ods. 1 zákona o DPH v čase ich dodania</w:t>
      </w:r>
      <w:r>
        <w:rPr>
          <w:bCs/>
          <w:color w:val="auto"/>
          <w:szCs w:val="24"/>
        </w:rPr>
        <w:t>. D</w:t>
      </w:r>
      <w:r w:rsidRPr="00D5400B">
        <w:rPr>
          <w:bCs/>
          <w:color w:val="auto"/>
          <w:szCs w:val="24"/>
        </w:rPr>
        <w:t xml:space="preserve">o obratu sa tak nezahrnie fiktívna protihodnota bezodplatne dodaných tovarov ani trhová hodnota v zmysle § 22 ods. 8 zákona o DPH. </w:t>
      </w:r>
      <w:r w:rsidRPr="00371F14">
        <w:rPr>
          <w:bCs/>
          <w:szCs w:val="24"/>
        </w:rPr>
        <w:t xml:space="preserve">Na základe novej definície sa do obratu nezahrnú platby, ktoré boli prijaté pred dodaním tovaru alebo služby. </w:t>
      </w:r>
      <w:r>
        <w:rPr>
          <w:bCs/>
          <w:szCs w:val="24"/>
        </w:rPr>
        <w:t xml:space="preserve">Tieto prijaté „preddavkové platby“ predstavujú súčasť </w:t>
      </w:r>
      <w:r w:rsidRPr="00371F14">
        <w:rPr>
          <w:bCs/>
          <w:szCs w:val="24"/>
        </w:rPr>
        <w:t xml:space="preserve">hodnoty </w:t>
      </w:r>
      <w:r w:rsidRPr="00CB6B04">
        <w:rPr>
          <w:bCs/>
          <w:color w:val="auto"/>
          <w:szCs w:val="24"/>
        </w:rPr>
        <w:t xml:space="preserve">tovaru alebo služby </w:t>
      </w:r>
      <w:r>
        <w:rPr>
          <w:bCs/>
          <w:color w:val="auto"/>
          <w:szCs w:val="24"/>
        </w:rPr>
        <w:t>a zahrnú sa do obratu za kalendárny mesiac, v ktorom bol tovar alebo služba dodaná.</w:t>
      </w:r>
      <w:r w:rsidRPr="00CB6B04">
        <w:rPr>
          <w:bCs/>
          <w:color w:val="auto"/>
          <w:szCs w:val="24"/>
        </w:rPr>
        <w:t xml:space="preserve"> </w:t>
      </w:r>
    </w:p>
    <w:p w:rsidR="001D77FD" w:rsidRDefault="001D77FD" w:rsidP="000C578D">
      <w:pPr>
        <w:pStyle w:val="Zkladntext0"/>
        <w:jc w:val="both"/>
        <w:rPr>
          <w:color w:val="auto"/>
          <w:szCs w:val="24"/>
        </w:rPr>
      </w:pPr>
      <w:r w:rsidRPr="00CB6B04">
        <w:rPr>
          <w:bCs/>
          <w:color w:val="auto"/>
          <w:szCs w:val="24"/>
        </w:rPr>
        <w:t xml:space="preserve">V súvislosti s novou definíciou obratu sa doplnilo do zákona prechodné ustanovenie, z ktorého vyplýva, že do </w:t>
      </w:r>
      <w:r w:rsidRPr="00CB6B04">
        <w:rPr>
          <w:color w:val="auto"/>
          <w:szCs w:val="24"/>
        </w:rPr>
        <w:t>obratu po 1.</w:t>
      </w:r>
      <w:r>
        <w:rPr>
          <w:color w:val="auto"/>
          <w:szCs w:val="24"/>
        </w:rPr>
        <w:t xml:space="preserve"> januári </w:t>
      </w:r>
      <w:r w:rsidRPr="00CB6B04">
        <w:rPr>
          <w:color w:val="auto"/>
          <w:szCs w:val="24"/>
        </w:rPr>
        <w:t xml:space="preserve">2019 sa zahrnie hodnota dodaných tovarov a služieb vo výške, v akej nebola zahrnutá do obratu podľa § 4 ods. 7 v znení účinnom do 31. decembra 2018. </w:t>
      </w:r>
    </w:p>
    <w:p w:rsidR="001D77FD" w:rsidRPr="00CB6B04" w:rsidRDefault="001D77FD" w:rsidP="000C578D">
      <w:pPr>
        <w:pStyle w:val="Zkladntext0"/>
        <w:jc w:val="both"/>
        <w:rPr>
          <w:color w:val="auto"/>
          <w:szCs w:val="24"/>
        </w:rPr>
      </w:pPr>
      <w:r>
        <w:rPr>
          <w:color w:val="auto"/>
          <w:szCs w:val="24"/>
        </w:rPr>
        <w:t>Okrem toho v nadväznosti na túto zmenu definície obratu bolo potrebné rovnako upraviť aj § 50 zákona a súčasne stanoviť prechodným ustanovením spôsob výpočtu koeficientu za kalendárny rok 2018 alebo hospodársky rok, ktorý sa začal v roku 2018.</w:t>
      </w:r>
      <w:r w:rsidRPr="00CB6B04">
        <w:rPr>
          <w:color w:val="auto"/>
          <w:szCs w:val="24"/>
        </w:rPr>
        <w:t xml:space="preserve"> </w:t>
      </w:r>
    </w:p>
    <w:p w:rsidR="001D77FD" w:rsidRDefault="001D77FD" w:rsidP="000C578D">
      <w:pPr>
        <w:jc w:val="both"/>
        <w:rPr>
          <w:b/>
          <w:bCs/>
          <w:sz w:val="24"/>
          <w:szCs w:val="24"/>
        </w:rPr>
      </w:pPr>
    </w:p>
    <w:p w:rsidR="001D77FD" w:rsidRPr="0025084D" w:rsidRDefault="001D77FD" w:rsidP="000C578D">
      <w:pPr>
        <w:jc w:val="both"/>
        <w:rPr>
          <w:b/>
          <w:bCs/>
          <w:sz w:val="24"/>
          <w:szCs w:val="24"/>
        </w:rPr>
      </w:pPr>
      <w:r w:rsidRPr="0025084D">
        <w:rPr>
          <w:b/>
          <w:bCs/>
          <w:sz w:val="24"/>
          <w:szCs w:val="24"/>
        </w:rPr>
        <w:t xml:space="preserve">K bodu </w:t>
      </w:r>
      <w:r>
        <w:rPr>
          <w:b/>
          <w:bCs/>
          <w:sz w:val="24"/>
          <w:szCs w:val="24"/>
        </w:rPr>
        <w:t>5</w:t>
      </w:r>
      <w:r w:rsidRPr="0025084D">
        <w:rPr>
          <w:b/>
          <w:bCs/>
          <w:sz w:val="24"/>
          <w:szCs w:val="24"/>
        </w:rPr>
        <w:t xml:space="preserve"> (§ 8 ods. 3)</w:t>
      </w:r>
    </w:p>
    <w:p w:rsidR="001D77FD" w:rsidRPr="0025084D" w:rsidRDefault="001D77FD" w:rsidP="000C578D">
      <w:pPr>
        <w:jc w:val="both"/>
        <w:rPr>
          <w:sz w:val="24"/>
          <w:szCs w:val="24"/>
        </w:rPr>
      </w:pPr>
      <w:r w:rsidRPr="0025084D">
        <w:rPr>
          <w:sz w:val="24"/>
          <w:szCs w:val="24"/>
        </w:rPr>
        <w:t xml:space="preserve">Navrhované ustanovenie sa spresňuje tak, aby bolo jednoznačné, že pri bezodplatnom dodaní tovaru, pri kúpe alebo vytvorení ktorého nebol uplatnený odpočet DPH, podlieha povinnosti odviesť DPH súčasť tovaru, pri kúpe alebo vytvorení ktorej bol uplatnený odpočet DPH. Platiteľ dane v týchto prípadoch pri určení základu dane vychádza len z nákladov, ktoré súvisia s tou časťou tovaru, ktorá bola následne po kúpe alebo vytvorení zhodnotená a pri ktorej si uplatnil odpočítanie DPH. </w:t>
      </w:r>
      <w:r>
        <w:rPr>
          <w:sz w:val="24"/>
          <w:szCs w:val="24"/>
        </w:rPr>
        <w:t>Týmto sa znenie odseku 3 zosúlaďuje so znením článku 16 smernice 2006/112/ES.</w:t>
      </w:r>
    </w:p>
    <w:p w:rsidR="001D77FD" w:rsidRPr="0025084D" w:rsidRDefault="001D77FD" w:rsidP="000C578D">
      <w:pPr>
        <w:jc w:val="both"/>
        <w:rPr>
          <w:sz w:val="24"/>
          <w:szCs w:val="24"/>
        </w:rPr>
      </w:pPr>
    </w:p>
    <w:p w:rsidR="001D77FD" w:rsidRPr="0025084D" w:rsidRDefault="001D77FD" w:rsidP="000C578D">
      <w:pPr>
        <w:jc w:val="both"/>
        <w:rPr>
          <w:b/>
          <w:bCs/>
          <w:sz w:val="24"/>
          <w:szCs w:val="24"/>
        </w:rPr>
      </w:pPr>
      <w:r w:rsidRPr="0025084D">
        <w:rPr>
          <w:b/>
          <w:bCs/>
          <w:sz w:val="24"/>
          <w:szCs w:val="24"/>
        </w:rPr>
        <w:t xml:space="preserve">K bodom </w:t>
      </w:r>
      <w:r>
        <w:rPr>
          <w:b/>
          <w:bCs/>
          <w:sz w:val="24"/>
          <w:szCs w:val="24"/>
        </w:rPr>
        <w:t xml:space="preserve">6 a 8 </w:t>
      </w:r>
      <w:r w:rsidRPr="0025084D">
        <w:rPr>
          <w:b/>
          <w:bCs/>
          <w:sz w:val="24"/>
          <w:szCs w:val="24"/>
        </w:rPr>
        <w:t>(§ 8 ods. 7, § 11 ods. 1 a 3)</w:t>
      </w:r>
    </w:p>
    <w:p w:rsidR="001D77FD" w:rsidRPr="0025084D" w:rsidRDefault="001D77FD" w:rsidP="000C578D">
      <w:pPr>
        <w:jc w:val="both"/>
        <w:rPr>
          <w:bCs/>
          <w:sz w:val="24"/>
          <w:szCs w:val="24"/>
        </w:rPr>
      </w:pPr>
      <w:r w:rsidRPr="00D5400B">
        <w:rPr>
          <w:bCs/>
          <w:sz w:val="24"/>
          <w:szCs w:val="24"/>
        </w:rPr>
        <w:t xml:space="preserve">Z dôvodu, že pojem finančný lízing, ktorý je dodaním tovaru v zmysle článku 14 ods. 1 písm. b) smernice </w:t>
      </w:r>
      <w:r>
        <w:rPr>
          <w:bCs/>
          <w:sz w:val="24"/>
          <w:szCs w:val="24"/>
        </w:rPr>
        <w:t>2006/112/ES</w:t>
      </w:r>
      <w:r w:rsidRPr="00D5400B">
        <w:rPr>
          <w:bCs/>
          <w:sz w:val="24"/>
          <w:szCs w:val="24"/>
        </w:rPr>
        <w:t xml:space="preserve">, má byť v členských štátoch vykladaný jednotne, nie je potrebné zachovanie pravidla, na základe ktorého poskytovateľ cezhraničného finančného lízingu prispôsobí zdaňovanie predmetného lízingu v závislosti od toho, ako sa táto transakcia posúdi podľa </w:t>
      </w:r>
      <w:r w:rsidRPr="0025084D">
        <w:rPr>
          <w:bCs/>
          <w:sz w:val="24"/>
          <w:szCs w:val="24"/>
        </w:rPr>
        <w:t xml:space="preserve">zákona o DPH platného v členskom štáte príjemcu (nájomcu), a preto sa predmetné ustanovenie vypúšťa. </w:t>
      </w:r>
    </w:p>
    <w:p w:rsidR="001D77FD" w:rsidRPr="0025084D" w:rsidRDefault="001D77FD" w:rsidP="000C578D">
      <w:pPr>
        <w:jc w:val="both"/>
        <w:rPr>
          <w:bCs/>
          <w:sz w:val="24"/>
          <w:szCs w:val="24"/>
        </w:rPr>
      </w:pPr>
      <w:r w:rsidRPr="0025084D">
        <w:rPr>
          <w:bCs/>
          <w:sz w:val="24"/>
          <w:szCs w:val="24"/>
        </w:rPr>
        <w:t>Z rovnakých dôvodov sa vypúšťa zo zákona aj ustanovenie týkajúce sa zdanenia nadobudnutia tovaru v tuzemsku, ktorý je najprv predmetom nájmu a po skončení nájmu prejde vlastnícke právo k tovaru na nájomcu, v závislosti od toho</w:t>
      </w:r>
      <w:r>
        <w:rPr>
          <w:bCs/>
          <w:sz w:val="24"/>
          <w:szCs w:val="24"/>
        </w:rPr>
        <w:t>,</w:t>
      </w:r>
      <w:r w:rsidRPr="0025084D">
        <w:rPr>
          <w:bCs/>
          <w:sz w:val="24"/>
          <w:szCs w:val="24"/>
        </w:rPr>
        <w:t xml:space="preserve"> ako štát dodávateľa posudzuje podľa zákona o DPH platného v štáte dodávateľa zdanenie finančného lízingu.</w:t>
      </w:r>
    </w:p>
    <w:p w:rsidR="001D77FD" w:rsidRPr="0025084D" w:rsidRDefault="001D77FD" w:rsidP="000C578D">
      <w:pPr>
        <w:jc w:val="both"/>
        <w:rPr>
          <w:bCs/>
          <w:sz w:val="24"/>
          <w:szCs w:val="24"/>
        </w:rPr>
      </w:pPr>
    </w:p>
    <w:p w:rsidR="001D77FD" w:rsidRPr="0025084D" w:rsidRDefault="001D77FD" w:rsidP="000C578D">
      <w:pPr>
        <w:jc w:val="both"/>
        <w:rPr>
          <w:b/>
          <w:bCs/>
          <w:sz w:val="24"/>
          <w:szCs w:val="24"/>
        </w:rPr>
      </w:pPr>
      <w:r w:rsidRPr="00AE5D16">
        <w:rPr>
          <w:b/>
          <w:bCs/>
          <w:sz w:val="24"/>
          <w:szCs w:val="24"/>
        </w:rPr>
        <w:t>K bodom</w:t>
      </w:r>
      <w:r w:rsidRPr="0025084D">
        <w:rPr>
          <w:b/>
          <w:bCs/>
          <w:sz w:val="24"/>
          <w:szCs w:val="24"/>
        </w:rPr>
        <w:t xml:space="preserve"> </w:t>
      </w:r>
      <w:r>
        <w:rPr>
          <w:b/>
          <w:bCs/>
          <w:sz w:val="24"/>
          <w:szCs w:val="24"/>
        </w:rPr>
        <w:t>7, 16 a 53</w:t>
      </w:r>
      <w:r w:rsidRPr="0025084D">
        <w:rPr>
          <w:b/>
          <w:bCs/>
          <w:sz w:val="24"/>
          <w:szCs w:val="24"/>
        </w:rPr>
        <w:t xml:space="preserve"> (§ 9a, § 22 ods. 10 a § 85kg ods.</w:t>
      </w:r>
      <w:r>
        <w:rPr>
          <w:b/>
          <w:bCs/>
          <w:sz w:val="24"/>
          <w:szCs w:val="24"/>
        </w:rPr>
        <w:t xml:space="preserve"> 3</w:t>
      </w:r>
      <w:r w:rsidRPr="0025084D">
        <w:rPr>
          <w:b/>
          <w:bCs/>
          <w:sz w:val="24"/>
          <w:szCs w:val="24"/>
        </w:rPr>
        <w:t>)</w:t>
      </w:r>
    </w:p>
    <w:p w:rsidR="001D77FD" w:rsidRPr="0025084D" w:rsidRDefault="001D77FD" w:rsidP="000C578D">
      <w:pPr>
        <w:widowControl w:val="0"/>
        <w:snapToGrid w:val="0"/>
        <w:jc w:val="both"/>
        <w:rPr>
          <w:sz w:val="24"/>
          <w:szCs w:val="24"/>
        </w:rPr>
      </w:pPr>
      <w:r>
        <w:rPr>
          <w:sz w:val="24"/>
          <w:szCs w:val="24"/>
        </w:rPr>
        <w:t xml:space="preserve">Smernicou Rady (EÚ) </w:t>
      </w:r>
      <w:r w:rsidRPr="0025084D">
        <w:rPr>
          <w:sz w:val="24"/>
          <w:szCs w:val="24"/>
        </w:rPr>
        <w:t>2016/1065, ktorou sa mení smernica 2006/112/ES pokiaľ ide o zaobchádzanie s poukazmi (ďalej len „smernica 2016/1065“), došlo k zavedeniu nových pravidiel uplatňovania DPH pri dodaniach tovarov a služieb, ktoré sa dodávajú za poukazy. Cieľom týchto nových pravidiel z hľadiska pravidiel DPH je zabezpečiť spoľahlivé a jednotné zaobchádzanie vo všetkých členských štátoch EÚ tak, aby sa eliminovali negatívne javy v podobe narúšania hospodárskej súťaže, dvojitého zdanenia alebo nezdanenia, ktoré boli identifikované pri transakciách zahŕňajúcich poukazy. V súlade s týmito pravidlami sa navrhuje vymedziť poukaz ako nástroj, s ktorým je spojené právo jeho držiteľa získať zodpovedajúci tovar alebo služby, ktoré majú byť na základe použitia poukazu dodané, pričom zodpovedajúce tovary alebo služby, respektíve aspoň totožnosť ich možných dodávateľov</w:t>
      </w:r>
      <w:r>
        <w:rPr>
          <w:sz w:val="24"/>
          <w:szCs w:val="24"/>
        </w:rPr>
        <w:t>,</w:t>
      </w:r>
      <w:r w:rsidRPr="0025084D">
        <w:rPr>
          <w:sz w:val="24"/>
          <w:szCs w:val="24"/>
        </w:rPr>
        <w:t xml:space="preserve"> musí byť na poukaze, alebo k nemu súvisiacej dokumentácii uvedená, spolu s podmienkami použitia tohto nástroja. Poukaz sa teda bude považovať za protihodnotu alebo jej časť za prislúchajúce dodanie tovaru alebo služieb. </w:t>
      </w:r>
    </w:p>
    <w:p w:rsidR="001D77FD" w:rsidRPr="0025084D" w:rsidRDefault="001D77FD" w:rsidP="000C578D">
      <w:pPr>
        <w:widowControl w:val="0"/>
        <w:snapToGrid w:val="0"/>
        <w:jc w:val="both"/>
        <w:rPr>
          <w:sz w:val="24"/>
          <w:szCs w:val="24"/>
        </w:rPr>
      </w:pPr>
      <w:r w:rsidRPr="0025084D">
        <w:rPr>
          <w:sz w:val="24"/>
          <w:szCs w:val="24"/>
        </w:rPr>
        <w:t xml:space="preserve">Navrhovaná úprava v súlade so smernicou 2016/1065 rozlišuje uplatňovanie pravidiel DPH v závislosti od skutočnosti, či je možné daňové zaobchádzanie </w:t>
      </w:r>
      <w:proofErr w:type="spellStart"/>
      <w:r w:rsidRPr="0025084D">
        <w:rPr>
          <w:sz w:val="24"/>
          <w:szCs w:val="24"/>
        </w:rPr>
        <w:t>priraditeľné</w:t>
      </w:r>
      <w:proofErr w:type="spellEnd"/>
      <w:r w:rsidRPr="0025084D">
        <w:rPr>
          <w:sz w:val="24"/>
          <w:szCs w:val="24"/>
        </w:rPr>
        <w:t xml:space="preserve"> príslušnému dodaniu tovarov alebo služieb s istotou určiť už pri vystavení poukazu alebo nie.</w:t>
      </w:r>
    </w:p>
    <w:p w:rsidR="001D77FD" w:rsidRDefault="001D77FD" w:rsidP="000C578D">
      <w:pPr>
        <w:widowControl w:val="0"/>
        <w:snapToGrid w:val="0"/>
        <w:jc w:val="both"/>
        <w:rPr>
          <w:sz w:val="24"/>
          <w:szCs w:val="24"/>
        </w:rPr>
      </w:pPr>
      <w:r>
        <w:rPr>
          <w:sz w:val="24"/>
          <w:szCs w:val="24"/>
        </w:rPr>
        <w:t xml:space="preserve">V prípade, že </w:t>
      </w:r>
      <w:r w:rsidRPr="0025084D">
        <w:rPr>
          <w:sz w:val="24"/>
          <w:szCs w:val="24"/>
        </w:rPr>
        <w:t xml:space="preserve">v čase vystavenia poukazu </w:t>
      </w:r>
      <w:r>
        <w:rPr>
          <w:sz w:val="24"/>
          <w:szCs w:val="24"/>
        </w:rPr>
        <w:t xml:space="preserve">je </w:t>
      </w:r>
      <w:r w:rsidRPr="0025084D">
        <w:rPr>
          <w:sz w:val="24"/>
          <w:szCs w:val="24"/>
        </w:rPr>
        <w:t>známe miesto dodania tovaru alebo služieb, na ktoré sa tento poukaz vzťahuje, ako aj suma splatnej dane z predmetného tovaru alebo služby, pôjde o tzv. jednoúčelový poukaz. Ako príklad možno uviesť poukaz na ubytovanie na jednu noc v  ktoromkoľvek hoteli hotelovej siete v Slovenskej republike, keďže v takomto prípade bude známe tak miesto poskytnutia prislúchajúcej služby (§ 16 ods. 1</w:t>
      </w:r>
      <w:r>
        <w:rPr>
          <w:sz w:val="24"/>
          <w:szCs w:val="24"/>
        </w:rPr>
        <w:t xml:space="preserve"> zákona</w:t>
      </w:r>
      <w:r w:rsidRPr="0025084D">
        <w:rPr>
          <w:sz w:val="24"/>
          <w:szCs w:val="24"/>
        </w:rPr>
        <w:t xml:space="preserve">), ako aj sadzba DPH vzťahujúca sa na túto službu. Následné prevody jednoúčelového poukazu zdaniteľnou osobou konajúcou vo svojom mene sa na účely pravidiel DPH budú považovať za dodanie prislúchajúceho tovaru alebo služieb, pričom samotné odovzdanie tovaru alebo poskytnutie služby ich dodávateľom výmenou za poukaz už nebude považované za samostatnú transakciu na účely DPH. </w:t>
      </w:r>
    </w:p>
    <w:p w:rsidR="001D77FD" w:rsidRPr="0025084D" w:rsidRDefault="001D77FD" w:rsidP="000C578D">
      <w:pPr>
        <w:widowControl w:val="0"/>
        <w:snapToGrid w:val="0"/>
        <w:jc w:val="both"/>
        <w:rPr>
          <w:sz w:val="24"/>
          <w:szCs w:val="24"/>
        </w:rPr>
      </w:pPr>
      <w:r w:rsidRPr="0025084D">
        <w:rPr>
          <w:sz w:val="24"/>
          <w:szCs w:val="24"/>
        </w:rPr>
        <w:t>V praxi môže dochádzať k situáciám, kedy jednoúčelový poukaz vystaví a vo svojom mene ďalej distribuuje osoba iná, ako je dodávateľ prislúchajúcich tovarov alebo služieb. Keďže prevod jednoúčelového poukazu vystaviteľom, ktorý je osobou odlišnou od osoby dodávateľa, sa považuje na účely DPH za samotné dodanie prislúchajúcich tovarov alebo služieb, bude sa v týchto prípadoch mať za to, že dodávateľ dodal vystaviteľovi tovary alebo služby, ktoré sa vzťahujú k jednoúčelovému poukazu, pričom k tomuto prevodu dôjde súčasne v momente, kedy dodávateľ výmenou za poukaz odovzdá prislúchajúci tovar alebo poskytne prislúchajúce služby zákazníkovi. Ostatné pravidlá DPH, vzťahujúce sa na prevod jednoúčelových poukazov ostávajú nezmenené.</w:t>
      </w:r>
    </w:p>
    <w:p w:rsidR="001D77FD" w:rsidRPr="0025084D" w:rsidRDefault="001D77FD" w:rsidP="000C578D">
      <w:pPr>
        <w:widowControl w:val="0"/>
        <w:snapToGrid w:val="0"/>
        <w:jc w:val="both"/>
        <w:rPr>
          <w:sz w:val="24"/>
          <w:szCs w:val="24"/>
        </w:rPr>
      </w:pPr>
      <w:r w:rsidRPr="0025084D">
        <w:rPr>
          <w:sz w:val="24"/>
          <w:szCs w:val="24"/>
        </w:rPr>
        <w:t xml:space="preserve">Naopak, ak v čase vystavenia poukazu nebude známa niektorá zo skutočností, umožňujúca určiť jednoznačné daňové zaobchádzanie z hľadiska DPH, v takýchto prípadoch sa vystavený </w:t>
      </w:r>
      <w:r w:rsidRPr="0025084D">
        <w:rPr>
          <w:sz w:val="24"/>
          <w:szCs w:val="24"/>
        </w:rPr>
        <w:lastRenderedPageBreak/>
        <w:t>poukaz bude považovať za tzv. viacúčelový. Pôjde napríklad poukaz na ubytovanie v ktoromkoľvek hoteli konkrétnej hotelovej siete, ktoré sa nachádzajú v Českej republike a Slovenskej republike, nakoľko v takomto prípade bude miesto poskytnutia a sadzba DPH známa až pri poskytnutí služby výmenou za poukaz. V prípadoch z</w:t>
      </w:r>
      <w:r>
        <w:rPr>
          <w:sz w:val="24"/>
          <w:szCs w:val="24"/>
        </w:rPr>
        <w:t>ahŕňajúcich viacúčelové poukazy</w:t>
      </w:r>
      <w:r w:rsidRPr="0025084D">
        <w:rPr>
          <w:sz w:val="24"/>
          <w:szCs w:val="24"/>
        </w:rPr>
        <w:t xml:space="preserve"> bude predmet dane predstavovať až skutočné odovzdanie tovaru alebo skutočné dodanie služby ich dodávateľom výmenou za viacúčelový poukaz. Predchádzajúce prevody viacúčelového poukazu nebudú predstavovať transakciu, ktorá by predstavovala predmet dane. Dani z pridanej hodnoty však v prípade prevodu viacúčelového poukazu, uskutočneného inou osobou ako dodávateľom prislúchajúceho tovaru alebo služby, budú podliehať súvisiace služby, ako napríklad distribučné alebo reklamné služby.</w:t>
      </w:r>
    </w:p>
    <w:p w:rsidR="001D77FD" w:rsidRPr="0025084D" w:rsidRDefault="001D77FD" w:rsidP="000C578D">
      <w:pPr>
        <w:widowControl w:val="0"/>
        <w:snapToGrid w:val="0"/>
        <w:jc w:val="both"/>
        <w:rPr>
          <w:color w:val="FFFFFF" w:themeColor="background1"/>
          <w:sz w:val="24"/>
          <w:szCs w:val="24"/>
        </w:rPr>
      </w:pPr>
      <w:r w:rsidRPr="0025084D">
        <w:rPr>
          <w:sz w:val="24"/>
          <w:szCs w:val="24"/>
        </w:rPr>
        <w:t xml:space="preserve">V súlade s článkom 73a smernice 2016/1065 sa v § 22 ods. 10 navrhuje, aby základom dane pri dodaní tovaru alebo služby za viacúčelový poukaz, bez toho, aby bol dotknutý § 22 ods. 1, bola suma, ktorú zákazník zaplatil za viacúčelový poukaz, znížená o daň vzťahujúcu sa na dodávaný tovar alebo službu; ak dodávateľ tovaru alebo služby nedisponuje takouto informáciou, navrhuje sa, aby základom dane bola suma rovnajúca sa nominálnej hodnote viacúčelového poukazu, znížená o príslušnú sumu dane. </w:t>
      </w:r>
    </w:p>
    <w:p w:rsidR="001D77FD" w:rsidRPr="0025084D" w:rsidRDefault="001D77FD" w:rsidP="000C578D">
      <w:pPr>
        <w:widowControl w:val="0"/>
        <w:snapToGrid w:val="0"/>
        <w:jc w:val="both"/>
        <w:rPr>
          <w:sz w:val="24"/>
          <w:szCs w:val="24"/>
        </w:rPr>
      </w:pPr>
      <w:r w:rsidRPr="0025084D">
        <w:rPr>
          <w:sz w:val="24"/>
          <w:szCs w:val="24"/>
        </w:rPr>
        <w:t>Navrhované úpravy sa budú vzťahovať na poukazy vydané po 31. decembri 2018.</w:t>
      </w:r>
    </w:p>
    <w:p w:rsidR="001D77FD" w:rsidRPr="0025084D" w:rsidRDefault="001D77FD" w:rsidP="000C578D">
      <w:pPr>
        <w:widowControl w:val="0"/>
        <w:snapToGrid w:val="0"/>
        <w:jc w:val="both"/>
        <w:rPr>
          <w:sz w:val="24"/>
          <w:szCs w:val="24"/>
        </w:rPr>
      </w:pPr>
    </w:p>
    <w:p w:rsidR="001D77FD" w:rsidRPr="0025084D" w:rsidRDefault="001D77FD" w:rsidP="000C578D">
      <w:pPr>
        <w:widowControl w:val="0"/>
        <w:snapToGrid w:val="0"/>
        <w:jc w:val="both"/>
        <w:rPr>
          <w:sz w:val="24"/>
          <w:szCs w:val="24"/>
        </w:rPr>
      </w:pPr>
      <w:r w:rsidRPr="00A7729F">
        <w:rPr>
          <w:b/>
          <w:bCs/>
          <w:sz w:val="24"/>
          <w:szCs w:val="24"/>
        </w:rPr>
        <w:t xml:space="preserve">K bodom </w:t>
      </w:r>
      <w:r>
        <w:rPr>
          <w:b/>
          <w:bCs/>
          <w:sz w:val="24"/>
          <w:szCs w:val="24"/>
        </w:rPr>
        <w:t xml:space="preserve">9 až 13 a 37 </w:t>
      </w:r>
      <w:r w:rsidRPr="0025084D">
        <w:rPr>
          <w:b/>
          <w:bCs/>
          <w:sz w:val="24"/>
          <w:szCs w:val="24"/>
        </w:rPr>
        <w:t>(§ 16 ods. 14 až 20 a § 68)</w:t>
      </w:r>
    </w:p>
    <w:p w:rsidR="001D77FD" w:rsidRDefault="001D77FD" w:rsidP="000C578D">
      <w:pPr>
        <w:jc w:val="both"/>
        <w:rPr>
          <w:color w:val="000000"/>
          <w:sz w:val="24"/>
          <w:szCs w:val="24"/>
        </w:rPr>
      </w:pPr>
      <w:r w:rsidRPr="0025084D">
        <w:rPr>
          <w:color w:val="000000"/>
          <w:sz w:val="24"/>
          <w:szCs w:val="24"/>
        </w:rPr>
        <w:t>V súlade s článkom 1 smernice Rady (EÚ) 2017/2455, ktorou sa mení smernica 2006/112/ES a smernica 2009/132/ES, pokiaľ ide o určité povinnosti týkajúce sa dane z pridanej hodnoty pri poskytovaní služieb a predaji tovaru na diaľku (ďalej len „smernica „2017/2455“), dochádza o. i. k zmene pôvodného článku 58 smernice 2006/112/ES, ktorý upravuje miesto dodania telekomunikačných služieb, služieb rozhlasového a televízneho vysielania a elek</w:t>
      </w:r>
      <w:r>
        <w:rPr>
          <w:color w:val="000000"/>
          <w:sz w:val="24"/>
          <w:szCs w:val="24"/>
        </w:rPr>
        <w:t>tronických služieb (ďalej len „</w:t>
      </w:r>
      <w:r w:rsidRPr="0025084D">
        <w:rPr>
          <w:color w:val="000000"/>
          <w:sz w:val="24"/>
          <w:szCs w:val="24"/>
        </w:rPr>
        <w:t xml:space="preserve">vybrané digitálne služby“) pre nezdaniteľné osoby. </w:t>
      </w:r>
    </w:p>
    <w:p w:rsidR="001D77FD" w:rsidRPr="0025084D" w:rsidRDefault="001D77FD" w:rsidP="000C578D">
      <w:pPr>
        <w:jc w:val="both"/>
        <w:rPr>
          <w:color w:val="000000"/>
          <w:sz w:val="24"/>
          <w:szCs w:val="24"/>
        </w:rPr>
      </w:pPr>
      <w:r w:rsidRPr="0025084D">
        <w:rPr>
          <w:color w:val="000000"/>
          <w:sz w:val="24"/>
          <w:szCs w:val="24"/>
        </w:rPr>
        <w:t>V súčasnosti platné pravidlá, ktoré sú transponované v § 16 ods. 14</w:t>
      </w:r>
      <w:r>
        <w:rPr>
          <w:color w:val="000000"/>
          <w:sz w:val="24"/>
          <w:szCs w:val="24"/>
        </w:rPr>
        <w:t xml:space="preserve"> zákona</w:t>
      </w:r>
      <w:r w:rsidRPr="0025084D">
        <w:rPr>
          <w:color w:val="000000"/>
          <w:sz w:val="24"/>
          <w:szCs w:val="24"/>
        </w:rPr>
        <w:t xml:space="preserve">, stanovujú miesto dodania týchto služieb ako miesto, kde je usadený príjemca týchto služieb. Ukázalo sa však, že takto nastavené pravidlá spôsobujú problémy pre príležitostných poskytovateľov vybraných digitálnych služieb pre nezdaniteľné osoby usadené v niektorom z členských štátov EÚ spočívajúce v neúmernom administratívnom zaťažení spojenom s plneniami povinností, ktoré vyplývajú z pravidiel DPH. </w:t>
      </w:r>
    </w:p>
    <w:p w:rsidR="001D77FD" w:rsidRDefault="001D77FD" w:rsidP="000C578D">
      <w:pPr>
        <w:jc w:val="both"/>
        <w:rPr>
          <w:color w:val="000000"/>
          <w:sz w:val="24"/>
          <w:szCs w:val="24"/>
        </w:rPr>
      </w:pPr>
      <w:r w:rsidRPr="0025084D">
        <w:rPr>
          <w:color w:val="000000"/>
          <w:sz w:val="24"/>
          <w:szCs w:val="24"/>
        </w:rPr>
        <w:t xml:space="preserve">V kontexte tejto zmeny sa navrhuje v § 16 ods. 14 </w:t>
      </w:r>
      <w:r>
        <w:rPr>
          <w:color w:val="000000"/>
          <w:sz w:val="24"/>
          <w:szCs w:val="24"/>
        </w:rPr>
        <w:t xml:space="preserve">zákona </w:t>
      </w:r>
      <w:r w:rsidRPr="0025084D">
        <w:rPr>
          <w:color w:val="000000"/>
          <w:sz w:val="24"/>
          <w:szCs w:val="24"/>
        </w:rPr>
        <w:t xml:space="preserve">stanoviť miesto dodania vybraných digitálnych služieb pre nezdaniteľné osoby, ktoré sú usadené v inom členskom štáte ako je členský štát usadenia poskytovateľa týchto služieb. Podľa navrhovaných zmien bude miesto dodania týchto služieb členský štát, </w:t>
      </w:r>
      <w:r>
        <w:rPr>
          <w:color w:val="000000"/>
          <w:sz w:val="24"/>
          <w:szCs w:val="24"/>
        </w:rPr>
        <w:t xml:space="preserve">v </w:t>
      </w:r>
      <w:r w:rsidRPr="0025084D">
        <w:rPr>
          <w:color w:val="000000"/>
          <w:sz w:val="24"/>
          <w:szCs w:val="24"/>
        </w:rPr>
        <w:t>ktorom je ich poskytovateľ usadený, za podmienky, že tento je usadený len v jednom členskom štáte a hodnota dodávaných digitálnych služieb bez dane, ktoré sú dodávané nezdaniteľným osobám usadeným v iných členských štátoch, ako je členský štát usadenia poskytovateľa, v</w:t>
      </w:r>
      <w:r>
        <w:rPr>
          <w:color w:val="000000"/>
          <w:sz w:val="24"/>
          <w:szCs w:val="24"/>
        </w:rPr>
        <w:t xml:space="preserve"> prebiehajúcom </w:t>
      </w:r>
      <w:r w:rsidRPr="0025084D">
        <w:rPr>
          <w:color w:val="000000"/>
          <w:sz w:val="24"/>
          <w:szCs w:val="24"/>
        </w:rPr>
        <w:t xml:space="preserve">kalendárnom roku nepresiahne sumu 10 000 eur a túto hodnotu nepresiahla ani v bezprostredne predchádzajúcom kalendárnom roku. </w:t>
      </w:r>
    </w:p>
    <w:p w:rsidR="001D77FD" w:rsidRPr="0025084D" w:rsidRDefault="001D77FD" w:rsidP="000C578D">
      <w:pPr>
        <w:jc w:val="both"/>
        <w:rPr>
          <w:color w:val="000000"/>
          <w:sz w:val="24"/>
          <w:szCs w:val="24"/>
        </w:rPr>
      </w:pPr>
      <w:r w:rsidRPr="0025084D">
        <w:rPr>
          <w:color w:val="000000"/>
          <w:sz w:val="24"/>
          <w:szCs w:val="24"/>
        </w:rPr>
        <w:t xml:space="preserve">Navrhovaná úprava však v § 16 ods. 16 </w:t>
      </w:r>
      <w:r>
        <w:rPr>
          <w:color w:val="000000"/>
          <w:sz w:val="24"/>
          <w:szCs w:val="24"/>
        </w:rPr>
        <w:t xml:space="preserve">zákona </w:t>
      </w:r>
      <w:r w:rsidRPr="0025084D">
        <w:rPr>
          <w:color w:val="000000"/>
          <w:sz w:val="24"/>
          <w:szCs w:val="24"/>
        </w:rPr>
        <w:t xml:space="preserve">dáva takýmto poskytovateľom právo rozhodnúť sa, že miesto dodania predmetných služieb, dodaných nezdaniteľným osobám usadeným v inom členskom štáte, bude miesto, kde je nezdaniteľná osoba, ktorá je príjemcom takejto služby usadená. Toto svoje rozhodnutie je poskytovateľ povinný uplatňovať počas </w:t>
      </w:r>
      <w:r>
        <w:rPr>
          <w:color w:val="000000"/>
          <w:sz w:val="24"/>
          <w:szCs w:val="24"/>
        </w:rPr>
        <w:t xml:space="preserve">dvoch </w:t>
      </w:r>
      <w:r w:rsidRPr="0025084D">
        <w:rPr>
          <w:color w:val="000000"/>
          <w:sz w:val="24"/>
          <w:szCs w:val="24"/>
        </w:rPr>
        <w:t>kalendárn</w:t>
      </w:r>
      <w:r>
        <w:rPr>
          <w:color w:val="000000"/>
          <w:sz w:val="24"/>
          <w:szCs w:val="24"/>
        </w:rPr>
        <w:t>ych rokov</w:t>
      </w:r>
      <w:r w:rsidRPr="0025084D">
        <w:rPr>
          <w:color w:val="000000"/>
          <w:sz w:val="24"/>
          <w:szCs w:val="24"/>
        </w:rPr>
        <w:t xml:space="preserve">. </w:t>
      </w:r>
    </w:p>
    <w:p w:rsidR="001D77FD" w:rsidRPr="0025084D" w:rsidRDefault="001D77FD" w:rsidP="000C578D">
      <w:pPr>
        <w:jc w:val="both"/>
        <w:rPr>
          <w:color w:val="000000"/>
          <w:sz w:val="24"/>
          <w:szCs w:val="24"/>
        </w:rPr>
      </w:pPr>
      <w:r w:rsidRPr="0025084D">
        <w:rPr>
          <w:color w:val="000000"/>
          <w:sz w:val="24"/>
          <w:szCs w:val="24"/>
        </w:rPr>
        <w:t>Predkladanými zmenami sa tak sleduje zníženie administratívneho zaťaženia pre tých poskytovateľov vybraných digitálnych služieb, ktorých dodania nezdaniteľným osobám do iných členských štátov možno charakterizovať ako príležitostné. Keďže takíto poskytovatelia by vo väčšine prípadov nemali byť registrovanými platiteľmi dane podľa § 4, v prípade, že sa nerozhodnú uplatňovať ako miesto dodania miesto usadenia nezdaniteľnej osoby, ktorá je príjemcom vybranej digitálnej služby, na dodania predmetných služieb nezdaniteľným osobám usadeným v inom členskom štáte nebudú uplatňovať DPH</w:t>
      </w:r>
      <w:r>
        <w:rPr>
          <w:color w:val="000000"/>
          <w:sz w:val="24"/>
          <w:szCs w:val="24"/>
        </w:rPr>
        <w:t xml:space="preserve"> (miesto dodania služby je </w:t>
      </w:r>
      <w:r>
        <w:rPr>
          <w:color w:val="000000"/>
          <w:sz w:val="24"/>
          <w:szCs w:val="24"/>
        </w:rPr>
        <w:lastRenderedPageBreak/>
        <w:t>v tuzemsku, poskytovateľ služby nie je platiteľom dane)</w:t>
      </w:r>
      <w:r w:rsidRPr="0025084D">
        <w:rPr>
          <w:color w:val="000000"/>
          <w:sz w:val="24"/>
          <w:szCs w:val="24"/>
        </w:rPr>
        <w:t>. Ak by však boli registrovanými platiteľmi dane, dodania týchto digitálnych služieb pre nezdaniteľné osoby usadené v inom členskom štáte budú podliehať DPH podľa sadzby platnej pre dodania predmetných služieb v Slovenskej republike.</w:t>
      </w:r>
    </w:p>
    <w:p w:rsidR="001D77FD" w:rsidRDefault="001D77FD" w:rsidP="000C578D">
      <w:pPr>
        <w:jc w:val="both"/>
        <w:rPr>
          <w:color w:val="000000"/>
          <w:sz w:val="24"/>
          <w:szCs w:val="24"/>
        </w:rPr>
      </w:pPr>
      <w:r>
        <w:rPr>
          <w:color w:val="000000"/>
          <w:sz w:val="24"/>
          <w:szCs w:val="24"/>
        </w:rPr>
        <w:t>V</w:t>
      </w:r>
      <w:r w:rsidRPr="0025084D">
        <w:rPr>
          <w:color w:val="000000"/>
          <w:sz w:val="24"/>
          <w:szCs w:val="24"/>
        </w:rPr>
        <w:t> súvislosti s navrhovanou zmenou miesta dodania vybraných digitálnych služieb sa v § 68 spresňuje, že uplatňovanie osobitných úprav uvedených v § 68a a § 68b sa bude vzťahovať len na vybrané digitálne služby, ktorých miestom dodania je členský štát, v ktorom je usadená nezdaniteľná osoba, ktorá je príjemcom takejto služby.</w:t>
      </w:r>
    </w:p>
    <w:p w:rsidR="001D77FD" w:rsidRDefault="001D77FD" w:rsidP="000C578D">
      <w:pPr>
        <w:jc w:val="both"/>
        <w:rPr>
          <w:b/>
          <w:bCs/>
          <w:sz w:val="24"/>
          <w:szCs w:val="24"/>
        </w:rPr>
      </w:pPr>
    </w:p>
    <w:p w:rsidR="001D77FD" w:rsidRPr="00B25D08" w:rsidRDefault="001D77FD" w:rsidP="000C578D">
      <w:pPr>
        <w:jc w:val="both"/>
        <w:rPr>
          <w:b/>
          <w:bCs/>
          <w:sz w:val="24"/>
          <w:szCs w:val="24"/>
        </w:rPr>
      </w:pPr>
      <w:r w:rsidRPr="00B25D08">
        <w:rPr>
          <w:b/>
          <w:bCs/>
          <w:sz w:val="24"/>
          <w:szCs w:val="24"/>
        </w:rPr>
        <w:t>K bodu 1</w:t>
      </w:r>
      <w:r>
        <w:rPr>
          <w:b/>
          <w:bCs/>
          <w:sz w:val="24"/>
          <w:szCs w:val="24"/>
        </w:rPr>
        <w:t>4</w:t>
      </w:r>
      <w:r w:rsidRPr="00B25D08">
        <w:rPr>
          <w:b/>
          <w:bCs/>
          <w:sz w:val="24"/>
          <w:szCs w:val="24"/>
        </w:rPr>
        <w:t xml:space="preserve"> (§ 22 ods. 5)</w:t>
      </w:r>
    </w:p>
    <w:p w:rsidR="001D77FD" w:rsidRDefault="001D77FD" w:rsidP="000C578D">
      <w:pPr>
        <w:jc w:val="both"/>
        <w:rPr>
          <w:bCs/>
          <w:sz w:val="24"/>
          <w:szCs w:val="24"/>
        </w:rPr>
      </w:pPr>
      <w:r w:rsidRPr="00B25D08">
        <w:rPr>
          <w:bCs/>
          <w:sz w:val="24"/>
          <w:szCs w:val="24"/>
        </w:rPr>
        <w:t>Navrhuje sa z dôvodu právnej istoty doplniť ustanovenie tak, aby bolo jednoznačné, že platiteľ dane, ktorý je povinný odviesť DPH z bezodplatného dodania tovaru podľa § 8 ods. 3 alebo bezodplatne dodanej služby podľa § 9 ods. 2, zohľadn</w:t>
      </w:r>
      <w:r>
        <w:rPr>
          <w:bCs/>
          <w:sz w:val="24"/>
          <w:szCs w:val="24"/>
        </w:rPr>
        <w:t>í</w:t>
      </w:r>
      <w:r w:rsidRPr="00B25D08">
        <w:rPr>
          <w:bCs/>
          <w:sz w:val="24"/>
          <w:szCs w:val="24"/>
        </w:rPr>
        <w:t xml:space="preserve"> pri výpočte </w:t>
      </w:r>
      <w:r>
        <w:rPr>
          <w:bCs/>
          <w:sz w:val="24"/>
          <w:szCs w:val="24"/>
        </w:rPr>
        <w:t xml:space="preserve">dane </w:t>
      </w:r>
      <w:r w:rsidRPr="00B25D08">
        <w:rPr>
          <w:bCs/>
          <w:sz w:val="24"/>
          <w:szCs w:val="24"/>
        </w:rPr>
        <w:t>prípadné skutočnosti, že si vstupnú daň odpočítaval v pomernej výške použitím koeficientu podľa § 50 alebo pri tovare, ktorý je v zmysle § 54 ods. 2 investičným majetkom, počas obdobia na úpravu odpočítanej dane vykonal jednu alebo viacero úprav odpočítanej dane.</w:t>
      </w:r>
    </w:p>
    <w:p w:rsidR="001D77FD" w:rsidRDefault="001D77FD" w:rsidP="000C578D">
      <w:pPr>
        <w:jc w:val="both"/>
        <w:rPr>
          <w:bCs/>
          <w:sz w:val="24"/>
          <w:szCs w:val="24"/>
        </w:rPr>
      </w:pPr>
    </w:p>
    <w:p w:rsidR="001D77FD" w:rsidRDefault="001D77FD" w:rsidP="000C578D">
      <w:pPr>
        <w:jc w:val="both"/>
        <w:rPr>
          <w:b/>
          <w:bCs/>
          <w:sz w:val="24"/>
          <w:szCs w:val="24"/>
        </w:rPr>
      </w:pPr>
      <w:r w:rsidRPr="00B25D08">
        <w:rPr>
          <w:b/>
          <w:bCs/>
          <w:sz w:val="24"/>
          <w:szCs w:val="24"/>
        </w:rPr>
        <w:t>K bodu 1</w:t>
      </w:r>
      <w:r>
        <w:rPr>
          <w:b/>
          <w:bCs/>
          <w:sz w:val="24"/>
          <w:szCs w:val="24"/>
        </w:rPr>
        <w:t>5</w:t>
      </w:r>
      <w:r w:rsidRPr="00B25D08">
        <w:rPr>
          <w:b/>
          <w:bCs/>
          <w:sz w:val="24"/>
          <w:szCs w:val="24"/>
        </w:rPr>
        <w:t xml:space="preserve"> (§ 22 ods. </w:t>
      </w:r>
      <w:r>
        <w:rPr>
          <w:b/>
          <w:bCs/>
          <w:sz w:val="24"/>
          <w:szCs w:val="24"/>
        </w:rPr>
        <w:t>9 písm. h/</w:t>
      </w:r>
      <w:r w:rsidRPr="00B25D08">
        <w:rPr>
          <w:b/>
          <w:bCs/>
          <w:sz w:val="24"/>
          <w:szCs w:val="24"/>
        </w:rPr>
        <w:t>)</w:t>
      </w:r>
    </w:p>
    <w:p w:rsidR="001D77FD" w:rsidRPr="007F71F1" w:rsidRDefault="001D77FD" w:rsidP="000C578D">
      <w:pPr>
        <w:jc w:val="both"/>
        <w:rPr>
          <w:bCs/>
          <w:sz w:val="24"/>
          <w:szCs w:val="24"/>
        </w:rPr>
      </w:pPr>
      <w:r w:rsidRPr="007F71F1">
        <w:rPr>
          <w:bCs/>
          <w:sz w:val="24"/>
          <w:szCs w:val="24"/>
        </w:rPr>
        <w:t xml:space="preserve">Ustanovenia § 22 ods. 8 a 9 zákona o DPH majú zabrániť zníženiu príjmov </w:t>
      </w:r>
      <w:r>
        <w:rPr>
          <w:bCs/>
          <w:sz w:val="24"/>
          <w:szCs w:val="24"/>
        </w:rPr>
        <w:t xml:space="preserve">z DPH </w:t>
      </w:r>
      <w:r w:rsidRPr="007F71F1">
        <w:rPr>
          <w:bCs/>
          <w:sz w:val="24"/>
          <w:szCs w:val="24"/>
        </w:rPr>
        <w:t xml:space="preserve">v prípadoch, ak platiteľ dane </w:t>
      </w:r>
      <w:r>
        <w:rPr>
          <w:bCs/>
          <w:sz w:val="24"/>
          <w:szCs w:val="24"/>
        </w:rPr>
        <w:t xml:space="preserve">poskytne plnenie </w:t>
      </w:r>
      <w:r w:rsidRPr="007F71F1">
        <w:rPr>
          <w:bCs/>
          <w:sz w:val="24"/>
          <w:szCs w:val="24"/>
        </w:rPr>
        <w:t xml:space="preserve">osobe, ktorá má </w:t>
      </w:r>
      <w:r>
        <w:rPr>
          <w:bCs/>
          <w:sz w:val="24"/>
          <w:szCs w:val="24"/>
        </w:rPr>
        <w:t xml:space="preserve">k nemu </w:t>
      </w:r>
      <w:r w:rsidRPr="007F71F1">
        <w:rPr>
          <w:bCs/>
          <w:sz w:val="24"/>
          <w:szCs w:val="24"/>
        </w:rPr>
        <w:t>osobitný vzťah  a požadovaná odplata je nižšia ako trhová hodnota a príjemca je osoba, ktorá nemá nárok na odpočítanie DPH. Na základe praktických poznatkov sa navrhuje  rozšíriť okruh osôb, ktoré majú osobitný vzťah k platiteľovi dane, o členov združení</w:t>
      </w:r>
      <w:r>
        <w:rPr>
          <w:bCs/>
          <w:sz w:val="24"/>
          <w:szCs w:val="24"/>
        </w:rPr>
        <w:t xml:space="preserve"> </w:t>
      </w:r>
      <w:r w:rsidRPr="007F71F1">
        <w:rPr>
          <w:bCs/>
          <w:sz w:val="24"/>
          <w:szCs w:val="24"/>
        </w:rPr>
        <w:t>príp. družstiev.</w:t>
      </w:r>
    </w:p>
    <w:p w:rsidR="001D77FD" w:rsidRPr="0025084D" w:rsidRDefault="001D77FD" w:rsidP="000C578D">
      <w:pPr>
        <w:jc w:val="both"/>
        <w:rPr>
          <w:b/>
          <w:bCs/>
          <w:sz w:val="24"/>
          <w:szCs w:val="24"/>
        </w:rPr>
      </w:pPr>
    </w:p>
    <w:p w:rsidR="001D77FD" w:rsidRPr="0025084D" w:rsidRDefault="001D77FD" w:rsidP="000C578D">
      <w:pPr>
        <w:jc w:val="both"/>
        <w:rPr>
          <w:b/>
          <w:bCs/>
          <w:sz w:val="24"/>
          <w:szCs w:val="24"/>
        </w:rPr>
      </w:pPr>
      <w:r w:rsidRPr="0025084D">
        <w:rPr>
          <w:b/>
          <w:bCs/>
          <w:sz w:val="24"/>
          <w:szCs w:val="24"/>
        </w:rPr>
        <w:t>K bodom 1</w:t>
      </w:r>
      <w:r>
        <w:rPr>
          <w:b/>
          <w:bCs/>
          <w:sz w:val="24"/>
          <w:szCs w:val="24"/>
        </w:rPr>
        <w:t>7 až 20, 42 a 53</w:t>
      </w:r>
      <w:r w:rsidRPr="0025084D">
        <w:rPr>
          <w:b/>
          <w:bCs/>
          <w:sz w:val="24"/>
          <w:szCs w:val="24"/>
        </w:rPr>
        <w:t xml:space="preserve"> (§ 38 ods. 1,</w:t>
      </w:r>
      <w:r>
        <w:rPr>
          <w:b/>
          <w:bCs/>
          <w:sz w:val="24"/>
          <w:szCs w:val="24"/>
        </w:rPr>
        <w:t xml:space="preserve"> 2,</w:t>
      </w:r>
      <w:r w:rsidRPr="0025084D">
        <w:rPr>
          <w:b/>
          <w:bCs/>
          <w:sz w:val="24"/>
          <w:szCs w:val="24"/>
        </w:rPr>
        <w:t xml:space="preserve"> 5, 7 a 8, </w:t>
      </w:r>
      <w:r w:rsidRPr="00AE0FD2">
        <w:rPr>
          <w:b/>
          <w:bCs/>
          <w:sz w:val="24"/>
          <w:szCs w:val="24"/>
        </w:rPr>
        <w:t xml:space="preserve">§ 69 ods. 12 písm. c), </w:t>
      </w:r>
      <w:r w:rsidRPr="0025084D">
        <w:rPr>
          <w:b/>
          <w:bCs/>
          <w:sz w:val="24"/>
          <w:szCs w:val="24"/>
        </w:rPr>
        <w:t>§ 85kg ods.</w:t>
      </w:r>
      <w:r>
        <w:rPr>
          <w:b/>
          <w:bCs/>
          <w:sz w:val="24"/>
          <w:szCs w:val="24"/>
        </w:rPr>
        <w:t xml:space="preserve"> 4</w:t>
      </w:r>
      <w:r w:rsidRPr="0025084D">
        <w:rPr>
          <w:b/>
          <w:bCs/>
          <w:sz w:val="24"/>
          <w:szCs w:val="24"/>
        </w:rPr>
        <w:t>)</w:t>
      </w:r>
    </w:p>
    <w:p w:rsidR="001D77FD" w:rsidRPr="0025084D" w:rsidRDefault="001D77FD" w:rsidP="000C578D">
      <w:pPr>
        <w:jc w:val="both"/>
        <w:rPr>
          <w:bCs/>
          <w:sz w:val="24"/>
          <w:szCs w:val="24"/>
        </w:rPr>
      </w:pPr>
      <w:r w:rsidRPr="0025084D">
        <w:rPr>
          <w:bCs/>
          <w:sz w:val="24"/>
          <w:szCs w:val="24"/>
        </w:rPr>
        <w:t xml:space="preserve">V § 38 </w:t>
      </w:r>
      <w:r>
        <w:rPr>
          <w:bCs/>
          <w:sz w:val="24"/>
          <w:szCs w:val="24"/>
        </w:rPr>
        <w:t xml:space="preserve">zákona </w:t>
      </w:r>
      <w:r w:rsidRPr="0025084D">
        <w:rPr>
          <w:bCs/>
          <w:sz w:val="24"/>
          <w:szCs w:val="24"/>
        </w:rPr>
        <w:t xml:space="preserve">dochádza k dvom zásadným zmenám, a to v právnej úprave zdaňovania dodania stavby a v právnej úprave zdaňovania prenájmu nehnuteľnosti. </w:t>
      </w:r>
    </w:p>
    <w:p w:rsidR="001D77FD" w:rsidRDefault="001D77FD" w:rsidP="000C578D">
      <w:pPr>
        <w:jc w:val="both"/>
        <w:rPr>
          <w:bCs/>
          <w:sz w:val="24"/>
          <w:szCs w:val="24"/>
        </w:rPr>
      </w:pPr>
      <w:r w:rsidRPr="0025084D">
        <w:rPr>
          <w:bCs/>
          <w:sz w:val="24"/>
          <w:szCs w:val="24"/>
        </w:rPr>
        <w:t xml:space="preserve">Prvá zásadná zmena sa týka obmedzenia práva voľby pri dodaní stavby resp. jej časti, ktorá spĺňa podmienky na oslobodenie od dane (odsek </w:t>
      </w:r>
      <w:r>
        <w:rPr>
          <w:bCs/>
          <w:sz w:val="24"/>
          <w:szCs w:val="24"/>
        </w:rPr>
        <w:t>8</w:t>
      </w:r>
      <w:r w:rsidRPr="0025084D">
        <w:rPr>
          <w:bCs/>
          <w:sz w:val="24"/>
          <w:szCs w:val="24"/>
        </w:rPr>
        <w:t xml:space="preserve">). Platiteľ dane pri dodaní nehnuteľnosti oslobodenej od dane, ktorá je určená na bývanie (byt, rodinný dom, bytový apartmán), nebude môcť využiť </w:t>
      </w:r>
      <w:r>
        <w:rPr>
          <w:bCs/>
          <w:sz w:val="24"/>
          <w:szCs w:val="24"/>
        </w:rPr>
        <w:t xml:space="preserve">voľbu </w:t>
      </w:r>
      <w:r w:rsidRPr="0025084D">
        <w:rPr>
          <w:bCs/>
          <w:sz w:val="24"/>
          <w:szCs w:val="24"/>
        </w:rPr>
        <w:t xml:space="preserve">zdanenia tejto nehnuteľnosti. Cieľom tohto návrhu je zabrániť zneužívaniu odpočtov dane na získanie neoprávnených ekonomických výhod spočívajúcich najmä v uplatnení si plného nároku na odpočet DPH pri nadobudnutí týchto nehnuteľností a následnom podhodnotení kúpnej ceny týchto nehnuteľností určených na bývanie po uplynutí 5 rokov od kolaudácie nehnuteľnosti. V prípade predaja nehnuteľnosti určenej na bývanie po uplynutí 5 rokov </w:t>
      </w:r>
      <w:r>
        <w:rPr>
          <w:bCs/>
          <w:sz w:val="24"/>
          <w:szCs w:val="24"/>
        </w:rPr>
        <w:t xml:space="preserve">od kolaudácie (s oslobodením od dane) </w:t>
      </w:r>
      <w:r w:rsidRPr="0025084D">
        <w:rPr>
          <w:bCs/>
          <w:sz w:val="24"/>
          <w:szCs w:val="24"/>
        </w:rPr>
        <w:t>a pred uplynutím obdobia na úpravu odpočítanej DPH (obdobie na úpravu odpočítanej DPH pri nehnuteľnosti je 20 rokov podľa § 54 zákona o DPH</w:t>
      </w:r>
      <w:r>
        <w:rPr>
          <w:bCs/>
          <w:sz w:val="24"/>
          <w:szCs w:val="24"/>
        </w:rPr>
        <w:t>)</w:t>
      </w:r>
      <w:r w:rsidRPr="0025084D">
        <w:rPr>
          <w:bCs/>
          <w:sz w:val="24"/>
          <w:szCs w:val="24"/>
        </w:rPr>
        <w:t xml:space="preserve"> bude platiteľ dane povinný upraviť DPH odpočítanú z nadobudnutia nehnuteľnosti (vrátiť DPH do štátneho rozpočtu).</w:t>
      </w:r>
      <w:r>
        <w:rPr>
          <w:bCs/>
          <w:sz w:val="24"/>
          <w:szCs w:val="24"/>
        </w:rPr>
        <w:t xml:space="preserve"> To, či je stavba resp. jej časť určená na bývanie, vyplýva z kolaudačného rozhodnutia. Kolaudačným rozhodnutím sa povoľuje užívanie stavby na určený účel. </w:t>
      </w:r>
    </w:p>
    <w:p w:rsidR="001D77FD" w:rsidRDefault="001D77FD" w:rsidP="000C578D">
      <w:pPr>
        <w:jc w:val="both"/>
        <w:rPr>
          <w:bCs/>
          <w:sz w:val="24"/>
          <w:szCs w:val="24"/>
        </w:rPr>
      </w:pPr>
      <w:r w:rsidRPr="0025084D">
        <w:rPr>
          <w:bCs/>
          <w:sz w:val="24"/>
          <w:szCs w:val="24"/>
        </w:rPr>
        <w:t xml:space="preserve">Z rovnakých dôvodov sa navrhuje aj druhá zásadná zmena spočívajúca v obmedzení práva voľby na zdanenie prenájmu nehnuteľnosti, ktorá je určená na bývanie (odsek 5). Bez ohľadu na postavenie príjemcu (nájomcu) bude platiteľ dane vždy povinný uplatniť oslobodenie od dane pri nájomnom, ak </w:t>
      </w:r>
      <w:r>
        <w:rPr>
          <w:bCs/>
          <w:sz w:val="24"/>
          <w:szCs w:val="24"/>
        </w:rPr>
        <w:t>je</w:t>
      </w:r>
      <w:r w:rsidRPr="0025084D">
        <w:rPr>
          <w:bCs/>
          <w:sz w:val="24"/>
          <w:szCs w:val="24"/>
        </w:rPr>
        <w:t xml:space="preserve"> </w:t>
      </w:r>
      <w:r>
        <w:rPr>
          <w:bCs/>
          <w:sz w:val="24"/>
          <w:szCs w:val="24"/>
        </w:rPr>
        <w:t>predmet nájmu</w:t>
      </w:r>
      <w:r w:rsidRPr="0025084D">
        <w:rPr>
          <w:bCs/>
          <w:sz w:val="24"/>
          <w:szCs w:val="24"/>
        </w:rPr>
        <w:t xml:space="preserve"> určen</w:t>
      </w:r>
      <w:r>
        <w:rPr>
          <w:bCs/>
          <w:sz w:val="24"/>
          <w:szCs w:val="24"/>
        </w:rPr>
        <w:t>ý</w:t>
      </w:r>
      <w:r w:rsidRPr="0025084D">
        <w:rPr>
          <w:bCs/>
          <w:sz w:val="24"/>
          <w:szCs w:val="24"/>
        </w:rPr>
        <w:t xml:space="preserve"> na bývanie. </w:t>
      </w:r>
    </w:p>
    <w:p w:rsidR="001D77FD" w:rsidRPr="00400008" w:rsidRDefault="001D77FD" w:rsidP="000C578D">
      <w:pPr>
        <w:jc w:val="both"/>
        <w:rPr>
          <w:bCs/>
          <w:sz w:val="24"/>
          <w:szCs w:val="24"/>
        </w:rPr>
      </w:pPr>
      <w:r w:rsidRPr="0025084D">
        <w:rPr>
          <w:bCs/>
          <w:sz w:val="24"/>
          <w:szCs w:val="24"/>
        </w:rPr>
        <w:t>V záujme dodržania zásady legitímneho očakávania sa navrhuje, aby sa táto zmena týkala len tých zmluvných vzťahov</w:t>
      </w:r>
      <w:r>
        <w:rPr>
          <w:bCs/>
          <w:sz w:val="24"/>
          <w:szCs w:val="24"/>
        </w:rPr>
        <w:t xml:space="preserve"> (napr. zmlúv o nájme bytu)</w:t>
      </w:r>
      <w:r w:rsidRPr="0025084D">
        <w:rPr>
          <w:bCs/>
          <w:sz w:val="24"/>
          <w:szCs w:val="24"/>
        </w:rPr>
        <w:t xml:space="preserve">, ktoré </w:t>
      </w:r>
      <w:r>
        <w:rPr>
          <w:bCs/>
          <w:sz w:val="24"/>
          <w:szCs w:val="24"/>
        </w:rPr>
        <w:t xml:space="preserve">budú </w:t>
      </w:r>
      <w:r w:rsidRPr="0025084D">
        <w:rPr>
          <w:bCs/>
          <w:sz w:val="24"/>
          <w:szCs w:val="24"/>
        </w:rPr>
        <w:t>uza</w:t>
      </w:r>
      <w:r>
        <w:rPr>
          <w:bCs/>
          <w:sz w:val="24"/>
          <w:szCs w:val="24"/>
        </w:rPr>
        <w:t xml:space="preserve">tvorené </w:t>
      </w:r>
      <w:r w:rsidRPr="0025084D">
        <w:rPr>
          <w:bCs/>
          <w:sz w:val="24"/>
          <w:szCs w:val="24"/>
        </w:rPr>
        <w:t xml:space="preserve">po </w:t>
      </w:r>
      <w:r w:rsidRPr="00400008">
        <w:rPr>
          <w:bCs/>
          <w:sz w:val="24"/>
          <w:szCs w:val="24"/>
        </w:rPr>
        <w:t>nadobudnutí účinnosti zákona. Ak k zmluvám uzatvoreným do účinnosti zákona budú uzatvorené dodatky po 1.</w:t>
      </w:r>
      <w:r>
        <w:rPr>
          <w:bCs/>
          <w:sz w:val="24"/>
          <w:szCs w:val="24"/>
        </w:rPr>
        <w:t xml:space="preserve"> januári 2</w:t>
      </w:r>
      <w:r w:rsidRPr="00400008">
        <w:rPr>
          <w:bCs/>
          <w:sz w:val="24"/>
          <w:szCs w:val="24"/>
        </w:rPr>
        <w:t xml:space="preserve">019 a na ich základe vznikne nový záväzkový vzťah, vzťahuje sa na tieto zmluvy ustanovenie odseku 5 v znení účinnom od 1. januára 2019. </w:t>
      </w:r>
    </w:p>
    <w:p w:rsidR="001D77FD" w:rsidRPr="0025084D" w:rsidRDefault="001D77FD" w:rsidP="000C578D">
      <w:pPr>
        <w:jc w:val="both"/>
        <w:rPr>
          <w:bCs/>
          <w:sz w:val="24"/>
          <w:szCs w:val="24"/>
        </w:rPr>
      </w:pPr>
      <w:r>
        <w:rPr>
          <w:bCs/>
          <w:sz w:val="24"/>
          <w:szCs w:val="24"/>
        </w:rPr>
        <w:lastRenderedPageBreak/>
        <w:t xml:space="preserve">Právnu oporu pre túto zmenu (odsek 5) možno nájsť v </w:t>
      </w:r>
      <w:r w:rsidRPr="0025084D">
        <w:rPr>
          <w:bCs/>
          <w:sz w:val="24"/>
          <w:szCs w:val="24"/>
        </w:rPr>
        <w:t>judikatúr</w:t>
      </w:r>
      <w:r>
        <w:rPr>
          <w:bCs/>
          <w:sz w:val="24"/>
          <w:szCs w:val="24"/>
        </w:rPr>
        <w:t>e</w:t>
      </w:r>
      <w:r w:rsidRPr="0025084D">
        <w:rPr>
          <w:bCs/>
          <w:sz w:val="24"/>
          <w:szCs w:val="24"/>
        </w:rPr>
        <w:t xml:space="preserve"> Súdneho dvora EÚ (rozsudky vo veci C-381/97 </w:t>
      </w:r>
      <w:proofErr w:type="spellStart"/>
      <w:r w:rsidRPr="0025084D">
        <w:rPr>
          <w:bCs/>
          <w:sz w:val="24"/>
          <w:szCs w:val="24"/>
        </w:rPr>
        <w:t>Belgocodex</w:t>
      </w:r>
      <w:proofErr w:type="spellEnd"/>
      <w:r w:rsidRPr="0025084D">
        <w:rPr>
          <w:bCs/>
          <w:sz w:val="24"/>
          <w:szCs w:val="24"/>
        </w:rPr>
        <w:t xml:space="preserve">, C-487/01, C-7/02 </w:t>
      </w:r>
      <w:proofErr w:type="spellStart"/>
      <w:r w:rsidRPr="0025084D">
        <w:rPr>
          <w:bCs/>
          <w:sz w:val="24"/>
          <w:szCs w:val="24"/>
        </w:rPr>
        <w:t>Gemeen</w:t>
      </w:r>
      <w:r>
        <w:rPr>
          <w:bCs/>
          <w:sz w:val="24"/>
          <w:szCs w:val="24"/>
        </w:rPr>
        <w:t>te</w:t>
      </w:r>
      <w:proofErr w:type="spellEnd"/>
      <w:r>
        <w:rPr>
          <w:bCs/>
          <w:sz w:val="24"/>
          <w:szCs w:val="24"/>
        </w:rPr>
        <w:t xml:space="preserve"> </w:t>
      </w:r>
      <w:proofErr w:type="spellStart"/>
      <w:r>
        <w:rPr>
          <w:bCs/>
          <w:sz w:val="24"/>
          <w:szCs w:val="24"/>
        </w:rPr>
        <w:t>Leusden</w:t>
      </w:r>
      <w:proofErr w:type="spellEnd"/>
      <w:r>
        <w:rPr>
          <w:bCs/>
          <w:sz w:val="24"/>
          <w:szCs w:val="24"/>
        </w:rPr>
        <w:t xml:space="preserve"> a </w:t>
      </w:r>
      <w:proofErr w:type="spellStart"/>
      <w:r>
        <w:rPr>
          <w:bCs/>
          <w:sz w:val="24"/>
          <w:szCs w:val="24"/>
        </w:rPr>
        <w:t>Holin</w:t>
      </w:r>
      <w:proofErr w:type="spellEnd"/>
      <w:r>
        <w:rPr>
          <w:bCs/>
          <w:sz w:val="24"/>
          <w:szCs w:val="24"/>
        </w:rPr>
        <w:t xml:space="preserve"> </w:t>
      </w:r>
      <w:proofErr w:type="spellStart"/>
      <w:r>
        <w:rPr>
          <w:bCs/>
          <w:sz w:val="24"/>
          <w:szCs w:val="24"/>
        </w:rPr>
        <w:t>Groep</w:t>
      </w:r>
      <w:proofErr w:type="spellEnd"/>
      <w:r>
        <w:rPr>
          <w:bCs/>
          <w:sz w:val="24"/>
          <w:szCs w:val="24"/>
        </w:rPr>
        <w:t xml:space="preserve"> BV </w:t>
      </w:r>
      <w:proofErr w:type="spellStart"/>
      <w:r>
        <w:rPr>
          <w:bCs/>
          <w:sz w:val="24"/>
          <w:szCs w:val="24"/>
        </w:rPr>
        <w:t>cs</w:t>
      </w:r>
      <w:proofErr w:type="spellEnd"/>
      <w:r>
        <w:rPr>
          <w:bCs/>
          <w:sz w:val="24"/>
          <w:szCs w:val="24"/>
        </w:rPr>
        <w:t xml:space="preserve">). Súdny dvor rozhodol, </w:t>
      </w:r>
      <w:r w:rsidRPr="0025084D">
        <w:rPr>
          <w:bCs/>
          <w:sz w:val="24"/>
          <w:szCs w:val="24"/>
        </w:rPr>
        <w:t>že článok 13 C Šiestej smernice (v súčasnosti platný článok 137 ods. 1 pís</w:t>
      </w:r>
      <w:r>
        <w:rPr>
          <w:bCs/>
          <w:sz w:val="24"/>
          <w:szCs w:val="24"/>
        </w:rPr>
        <w:t>m. b) smernice 2006/112/ES)</w:t>
      </w:r>
      <w:r w:rsidRPr="0025084D">
        <w:rPr>
          <w:bCs/>
          <w:sz w:val="24"/>
          <w:szCs w:val="24"/>
        </w:rPr>
        <w:t xml:space="preserve"> dáva členským štátom možnosť udeliť zdaniteľným osobám právo voľby zdaňovať prenájom nehnuteľnosti, no zároveň má aj právo obmedziť rozsah tohto práva, prípadne ho aj zrušiť. </w:t>
      </w:r>
    </w:p>
    <w:p w:rsidR="001D77FD" w:rsidRPr="00400008" w:rsidRDefault="001D77FD" w:rsidP="000C578D">
      <w:pPr>
        <w:jc w:val="both"/>
        <w:rPr>
          <w:bCs/>
          <w:sz w:val="24"/>
          <w:szCs w:val="24"/>
        </w:rPr>
      </w:pPr>
      <w:r w:rsidRPr="00400008">
        <w:rPr>
          <w:bCs/>
          <w:sz w:val="24"/>
          <w:szCs w:val="24"/>
        </w:rPr>
        <w:t xml:space="preserve">Zároveň sa navrhuje v odseku 1 stanoviť po novom podmienky na oslobodenie od dane pri dodaní stavby </w:t>
      </w:r>
      <w:r>
        <w:rPr>
          <w:bCs/>
          <w:sz w:val="24"/>
          <w:szCs w:val="24"/>
        </w:rPr>
        <w:t xml:space="preserve">resp. jej časti </w:t>
      </w:r>
      <w:r w:rsidRPr="00400008">
        <w:rPr>
          <w:bCs/>
          <w:sz w:val="24"/>
          <w:szCs w:val="24"/>
        </w:rPr>
        <w:t xml:space="preserve">(pojem „stavba“ je pojmom EÚ). Zachované ostáva 5-ročné obdobie, v rámci ktorého platiteľ dane nemôže uplatniť oslobodenie od dane na dodanú stavbu. </w:t>
      </w:r>
    </w:p>
    <w:p w:rsidR="001D77FD" w:rsidRDefault="001D77FD" w:rsidP="000C578D">
      <w:pPr>
        <w:jc w:val="both"/>
        <w:rPr>
          <w:bCs/>
          <w:sz w:val="24"/>
          <w:szCs w:val="24"/>
        </w:rPr>
      </w:pPr>
      <w:r>
        <w:rPr>
          <w:bCs/>
          <w:sz w:val="24"/>
          <w:szCs w:val="24"/>
        </w:rPr>
        <w:t xml:space="preserve">Podľa </w:t>
      </w:r>
      <w:r w:rsidRPr="0025084D">
        <w:rPr>
          <w:bCs/>
          <w:sz w:val="24"/>
          <w:szCs w:val="24"/>
        </w:rPr>
        <w:t xml:space="preserve">názoru generálneho advokáta vo veci C-308/16 Kozuba Premium </w:t>
      </w:r>
      <w:proofErr w:type="spellStart"/>
      <w:r w:rsidRPr="0025084D">
        <w:rPr>
          <w:bCs/>
          <w:sz w:val="24"/>
          <w:szCs w:val="24"/>
        </w:rPr>
        <w:t>Selection</w:t>
      </w:r>
      <w:proofErr w:type="spellEnd"/>
      <w:r w:rsidRPr="0025084D">
        <w:rPr>
          <w:bCs/>
          <w:sz w:val="24"/>
          <w:szCs w:val="24"/>
        </w:rPr>
        <w:t xml:space="preserve"> smernica o DPH umožňuje zdaniť nielen dodanie „nových“ budov, ale aj dodanie „použitých alebo starých“ budov, ale len vtedy, ak boli tieto použité alebo staré budovy prestavané do takej miery, že ich v skutočnosti možno </w:t>
      </w:r>
      <w:r w:rsidRPr="00400008">
        <w:rPr>
          <w:bCs/>
          <w:sz w:val="24"/>
          <w:szCs w:val="24"/>
        </w:rPr>
        <w:t xml:space="preserve">považovať za nové. Prestavba budovy má z tohto hľadiska rovnakú ekonomickú funkciu (vytvorenie pridanej hodnoty), akú kedysi mala pôvodná výstavba. Z uvedeného dôvodu v intenciách spomínanej judikatúry bude zdaneniu podliehať nielen dodanie novej stavby (zdaneniu bude podliehať dodanie stavby pokiaľ neuplynie 5 rokov od jej prvej kolaudácie alebo prvého užívania stavby), ale aj dodanie staršej stavby, pri ktorej došlo k zmene účelu používania, avšak len za predpokladu, že náklady na stavebné práce predstavovali najmenej </w:t>
      </w:r>
      <w:r>
        <w:rPr>
          <w:bCs/>
          <w:sz w:val="24"/>
          <w:szCs w:val="24"/>
        </w:rPr>
        <w:t>4</w:t>
      </w:r>
      <w:r w:rsidRPr="00400008">
        <w:rPr>
          <w:bCs/>
          <w:sz w:val="24"/>
          <w:szCs w:val="24"/>
        </w:rPr>
        <w:t xml:space="preserve">0 % hodnoty stavby pred začatím </w:t>
      </w:r>
      <w:r w:rsidRPr="0025084D">
        <w:rPr>
          <w:bCs/>
          <w:sz w:val="24"/>
          <w:szCs w:val="24"/>
        </w:rPr>
        <w:t>stavebných prác</w:t>
      </w:r>
      <w:r>
        <w:rPr>
          <w:bCs/>
          <w:sz w:val="24"/>
          <w:szCs w:val="24"/>
        </w:rPr>
        <w:t>,</w:t>
      </w:r>
      <w:r w:rsidRPr="0025084D">
        <w:rPr>
          <w:bCs/>
          <w:sz w:val="24"/>
          <w:szCs w:val="24"/>
        </w:rPr>
        <w:t xml:space="preserve"> a taktiež </w:t>
      </w:r>
      <w:r>
        <w:rPr>
          <w:bCs/>
          <w:sz w:val="24"/>
          <w:szCs w:val="24"/>
        </w:rPr>
        <w:t xml:space="preserve">dodanie zrekonštruovanej </w:t>
      </w:r>
      <w:r w:rsidRPr="0025084D">
        <w:rPr>
          <w:bCs/>
          <w:sz w:val="24"/>
          <w:szCs w:val="24"/>
        </w:rPr>
        <w:t>stavby</w:t>
      </w:r>
      <w:r>
        <w:rPr>
          <w:bCs/>
          <w:sz w:val="24"/>
          <w:szCs w:val="24"/>
        </w:rPr>
        <w:t xml:space="preserve"> </w:t>
      </w:r>
      <w:r w:rsidRPr="0025084D">
        <w:rPr>
          <w:bCs/>
          <w:sz w:val="24"/>
          <w:szCs w:val="24"/>
        </w:rPr>
        <w:t>za predpokladu, že stavebn</w:t>
      </w:r>
      <w:r>
        <w:rPr>
          <w:bCs/>
          <w:sz w:val="24"/>
          <w:szCs w:val="24"/>
        </w:rPr>
        <w:t xml:space="preserve">é </w:t>
      </w:r>
      <w:r w:rsidRPr="0025084D">
        <w:rPr>
          <w:bCs/>
          <w:sz w:val="24"/>
          <w:szCs w:val="24"/>
        </w:rPr>
        <w:t>prác</w:t>
      </w:r>
      <w:r>
        <w:rPr>
          <w:bCs/>
          <w:sz w:val="24"/>
          <w:szCs w:val="24"/>
        </w:rPr>
        <w:t xml:space="preserve">e predstavovali </w:t>
      </w:r>
      <w:r w:rsidRPr="0025084D">
        <w:rPr>
          <w:bCs/>
          <w:sz w:val="24"/>
          <w:szCs w:val="24"/>
        </w:rPr>
        <w:t xml:space="preserve">najmenej </w:t>
      </w:r>
      <w:r>
        <w:rPr>
          <w:bCs/>
          <w:sz w:val="24"/>
          <w:szCs w:val="24"/>
        </w:rPr>
        <w:t>4</w:t>
      </w:r>
      <w:r w:rsidRPr="0025084D">
        <w:rPr>
          <w:bCs/>
          <w:sz w:val="24"/>
          <w:szCs w:val="24"/>
        </w:rPr>
        <w:t>0 % z hodnoty stavby pred začatím prác. Pre naplnenie t</w:t>
      </w:r>
      <w:r>
        <w:rPr>
          <w:bCs/>
          <w:sz w:val="24"/>
          <w:szCs w:val="24"/>
        </w:rPr>
        <w:t xml:space="preserve">ohto zámeru </w:t>
      </w:r>
      <w:r w:rsidRPr="0025084D">
        <w:rPr>
          <w:bCs/>
          <w:sz w:val="24"/>
          <w:szCs w:val="24"/>
        </w:rPr>
        <w:t xml:space="preserve">bolo nevyhnutné zákonom stanoviť, čo sa považuje za „hodnotu stavby pred začatím stavebných prác“. Vzhľadom na to, že predmetom prestavby resp. rekonštrukcie sú najmä staré budovy, pri ktorých už nie je možné zistiť ich pôvodnú hodnotu, navrhuje sa, aby hlavným ukazovateľom pre porovnanie bola hodnota stavby na </w:t>
      </w:r>
      <w:r w:rsidRPr="00400008">
        <w:rPr>
          <w:bCs/>
          <w:sz w:val="24"/>
          <w:szCs w:val="24"/>
        </w:rPr>
        <w:t xml:space="preserve">voľnom trhu v čase pred prestavbou. Pri určovaní hodnoty vo vzťahu k porovnateľnej stavbe je potrebné brať do úvahy kritérium umiestnenia stavby a časové kritérium. Uplatnenie oslobodenia </w:t>
      </w:r>
      <w:r>
        <w:rPr>
          <w:bCs/>
          <w:sz w:val="24"/>
          <w:szCs w:val="24"/>
        </w:rPr>
        <w:t xml:space="preserve">od dane pri uvedených stavbách je možné až po uplynutí </w:t>
      </w:r>
      <w:r w:rsidRPr="0025084D">
        <w:rPr>
          <w:bCs/>
          <w:sz w:val="24"/>
          <w:szCs w:val="24"/>
        </w:rPr>
        <w:t>5</w:t>
      </w:r>
      <w:r>
        <w:rPr>
          <w:bCs/>
          <w:sz w:val="24"/>
          <w:szCs w:val="24"/>
        </w:rPr>
        <w:t xml:space="preserve"> rokov od kolaudácie vzťahujúcej sa na zmenu účelu používania stavby alebo na rekonštrukciu predmetnej stavby.</w:t>
      </w:r>
    </w:p>
    <w:p w:rsidR="001D77FD" w:rsidRPr="006F6271" w:rsidRDefault="001D77FD" w:rsidP="000C578D">
      <w:pPr>
        <w:jc w:val="both"/>
        <w:rPr>
          <w:bCs/>
          <w:sz w:val="24"/>
          <w:szCs w:val="24"/>
        </w:rPr>
      </w:pPr>
      <w:r>
        <w:rPr>
          <w:bCs/>
          <w:sz w:val="24"/>
          <w:szCs w:val="24"/>
        </w:rPr>
        <w:t xml:space="preserve">Navrhuje sa v odseku 7 osobitne upraviť podmienky oslobodenia od dane pri dodaní jednotlivého </w:t>
      </w:r>
      <w:r w:rsidRPr="006F6271">
        <w:rPr>
          <w:bCs/>
          <w:sz w:val="24"/>
          <w:szCs w:val="24"/>
        </w:rPr>
        <w:t>byt</w:t>
      </w:r>
      <w:r>
        <w:rPr>
          <w:bCs/>
          <w:sz w:val="24"/>
          <w:szCs w:val="24"/>
        </w:rPr>
        <w:t>u</w:t>
      </w:r>
      <w:r w:rsidRPr="006F6271">
        <w:rPr>
          <w:bCs/>
          <w:sz w:val="24"/>
          <w:szCs w:val="24"/>
        </w:rPr>
        <w:t>, bytov</w:t>
      </w:r>
      <w:r>
        <w:rPr>
          <w:bCs/>
          <w:sz w:val="24"/>
          <w:szCs w:val="24"/>
        </w:rPr>
        <w:t xml:space="preserve">ého </w:t>
      </w:r>
      <w:r w:rsidRPr="006F6271">
        <w:rPr>
          <w:bCs/>
          <w:sz w:val="24"/>
          <w:szCs w:val="24"/>
        </w:rPr>
        <w:t>apartmán</w:t>
      </w:r>
      <w:r>
        <w:rPr>
          <w:bCs/>
          <w:sz w:val="24"/>
          <w:szCs w:val="24"/>
        </w:rPr>
        <w:t>u</w:t>
      </w:r>
      <w:r w:rsidRPr="006F6271">
        <w:rPr>
          <w:bCs/>
          <w:sz w:val="24"/>
          <w:szCs w:val="24"/>
        </w:rPr>
        <w:t xml:space="preserve"> alebo nebytov</w:t>
      </w:r>
      <w:r>
        <w:rPr>
          <w:bCs/>
          <w:sz w:val="24"/>
          <w:szCs w:val="24"/>
        </w:rPr>
        <w:t xml:space="preserve">ého </w:t>
      </w:r>
      <w:r w:rsidRPr="006F6271">
        <w:rPr>
          <w:bCs/>
          <w:sz w:val="24"/>
          <w:szCs w:val="24"/>
        </w:rPr>
        <w:t>priestor</w:t>
      </w:r>
      <w:r>
        <w:rPr>
          <w:bCs/>
          <w:sz w:val="24"/>
          <w:szCs w:val="24"/>
        </w:rPr>
        <w:t>u.</w:t>
      </w:r>
      <w:r w:rsidRPr="006F6271">
        <w:rPr>
          <w:bCs/>
          <w:sz w:val="24"/>
          <w:szCs w:val="24"/>
        </w:rPr>
        <w:t xml:space="preserve"> Ak platiteľ dane bude predávať </w:t>
      </w:r>
      <w:r>
        <w:rPr>
          <w:bCs/>
          <w:sz w:val="24"/>
          <w:szCs w:val="24"/>
        </w:rPr>
        <w:t xml:space="preserve">samostatne jednotlivý </w:t>
      </w:r>
      <w:r w:rsidRPr="006F6271">
        <w:rPr>
          <w:bCs/>
          <w:sz w:val="24"/>
          <w:szCs w:val="24"/>
        </w:rPr>
        <w:t>byt, bytový apartmán alebo nebytový priestor, pri posúdení splnenia časovej podmienky oslobodenia od dane sa rovnako ako pri dodaní stavby bude brať do úvahy ich prvé užívanie povolené na základe kolaudácie budovy. Po dobu 5 rokov odo dňa prvej kolaudácie platiteľ dane nemôže uplatniť oslobodenie od dane na dodanie bytu, apartmánu alebo nebytového priestoru.</w:t>
      </w:r>
    </w:p>
    <w:p w:rsidR="001D77FD" w:rsidRPr="006F6271" w:rsidRDefault="001D77FD" w:rsidP="000C578D">
      <w:pPr>
        <w:pStyle w:val="Zkladntext0"/>
        <w:jc w:val="both"/>
        <w:rPr>
          <w:color w:val="auto"/>
          <w:szCs w:val="24"/>
        </w:rPr>
      </w:pPr>
      <w:r w:rsidRPr="006F6271">
        <w:rPr>
          <w:color w:val="auto"/>
          <w:szCs w:val="24"/>
        </w:rPr>
        <w:t>Ak sa povolí zmena účelu užívania bytu, apartmánu alebo nebytového priestoru, ku ktorej došlo v dôsledku vykonaných stavebných prác</w:t>
      </w:r>
      <w:r>
        <w:rPr>
          <w:color w:val="auto"/>
          <w:szCs w:val="24"/>
        </w:rPr>
        <w:t>,</w:t>
      </w:r>
      <w:r w:rsidRPr="006F6271">
        <w:rPr>
          <w:color w:val="auto"/>
          <w:szCs w:val="24"/>
        </w:rPr>
        <w:t xml:space="preserve"> a náklady na tieto stavebné práce budú najmenej 40 % z ich hodnoty pred začatím stavebných prác</w:t>
      </w:r>
      <w:r>
        <w:rPr>
          <w:color w:val="auto"/>
          <w:szCs w:val="24"/>
        </w:rPr>
        <w:t>,</w:t>
      </w:r>
      <w:r w:rsidRPr="006F6271">
        <w:rPr>
          <w:color w:val="auto"/>
          <w:szCs w:val="24"/>
        </w:rPr>
        <w:t xml:space="preserve"> na účely oslobodenia od dane sa bude pri ich dodaní brať do úvahy kolaudácia, ktorou sa povolí zmena účelu užívania bytu, apartmánu alebo nebytového priestoru. </w:t>
      </w:r>
    </w:p>
    <w:p w:rsidR="001D77FD" w:rsidRDefault="001D77FD" w:rsidP="000C578D">
      <w:pPr>
        <w:pStyle w:val="Zkladntext0"/>
        <w:jc w:val="both"/>
        <w:rPr>
          <w:color w:val="auto"/>
          <w:szCs w:val="24"/>
        </w:rPr>
      </w:pPr>
      <w:r>
        <w:rPr>
          <w:color w:val="auto"/>
          <w:szCs w:val="24"/>
        </w:rPr>
        <w:t>Ak sa bude na základe stavebného povolenia rekonštruovať (opravovať) budova resp. spoločné priestory budovy alebo sa budú rekonštruovať jednotlivé byty, nebytové priestory alebo apartmány a </w:t>
      </w:r>
      <w:r w:rsidRPr="00B05443">
        <w:rPr>
          <w:color w:val="auto"/>
          <w:szCs w:val="24"/>
        </w:rPr>
        <w:t>náklad</w:t>
      </w:r>
      <w:r>
        <w:rPr>
          <w:color w:val="auto"/>
          <w:szCs w:val="24"/>
        </w:rPr>
        <w:t xml:space="preserve">y na </w:t>
      </w:r>
      <w:r w:rsidRPr="00B05443">
        <w:rPr>
          <w:color w:val="auto"/>
          <w:szCs w:val="24"/>
        </w:rPr>
        <w:t>stavebné práce</w:t>
      </w:r>
      <w:r>
        <w:rPr>
          <w:color w:val="auto"/>
          <w:szCs w:val="24"/>
        </w:rPr>
        <w:t xml:space="preserve"> budú predstavovať </w:t>
      </w:r>
      <w:r w:rsidRPr="00B05443">
        <w:rPr>
          <w:color w:val="auto"/>
          <w:szCs w:val="24"/>
        </w:rPr>
        <w:t xml:space="preserve">najmenej </w:t>
      </w:r>
      <w:r>
        <w:rPr>
          <w:color w:val="auto"/>
          <w:szCs w:val="24"/>
        </w:rPr>
        <w:t>4</w:t>
      </w:r>
      <w:r w:rsidRPr="00B05443">
        <w:rPr>
          <w:color w:val="auto"/>
          <w:szCs w:val="24"/>
        </w:rPr>
        <w:t xml:space="preserve">0 % z hodnoty </w:t>
      </w:r>
      <w:r>
        <w:rPr>
          <w:color w:val="auto"/>
          <w:szCs w:val="24"/>
        </w:rPr>
        <w:t>bytu, apartmánu alebo nebytového priestoru</w:t>
      </w:r>
      <w:r w:rsidRPr="00B05443">
        <w:rPr>
          <w:color w:val="auto"/>
          <w:szCs w:val="24"/>
        </w:rPr>
        <w:t xml:space="preserve"> pred začatím stavebných prác</w:t>
      </w:r>
      <w:r>
        <w:rPr>
          <w:color w:val="auto"/>
          <w:szCs w:val="24"/>
        </w:rPr>
        <w:t>, na účely oslobodenia od dane sa bude pri ich dodaní brať do úvahy kolaudácia po vykonaní stavebných zmien.</w:t>
      </w:r>
    </w:p>
    <w:p w:rsidR="001D77FD" w:rsidRDefault="001D77FD" w:rsidP="000C578D">
      <w:pPr>
        <w:pStyle w:val="Zkladntext0"/>
        <w:jc w:val="both"/>
        <w:rPr>
          <w:color w:val="auto"/>
          <w:szCs w:val="24"/>
        </w:rPr>
      </w:pPr>
      <w:r>
        <w:rPr>
          <w:color w:val="auto"/>
          <w:szCs w:val="24"/>
        </w:rPr>
        <w:t>Ak sa bude rekonštrukcia (oprava) týkať len spoločných priestorov, je potrebné pri určení navýšenej hodnoty (40 %) dodávaného bytu, nebytového priestoru príp. apartmánu vychádzať zo stavebných nákladov rozpočítaných na jednotlivé byty, nebytové priestory, apartmány</w:t>
      </w:r>
      <w:r w:rsidRPr="00775D7E">
        <w:rPr>
          <w:color w:val="auto"/>
          <w:szCs w:val="24"/>
        </w:rPr>
        <w:t xml:space="preserve"> </w:t>
      </w:r>
      <w:r>
        <w:rPr>
          <w:color w:val="auto"/>
          <w:szCs w:val="24"/>
        </w:rPr>
        <w:t xml:space="preserve">podľa ich podlahovej plochy.  </w:t>
      </w:r>
    </w:p>
    <w:p w:rsidR="001D77FD" w:rsidRPr="0025084D" w:rsidRDefault="001D77FD" w:rsidP="000C578D">
      <w:pPr>
        <w:jc w:val="both"/>
        <w:rPr>
          <w:b/>
          <w:bCs/>
          <w:color w:val="FF0000"/>
          <w:sz w:val="24"/>
          <w:szCs w:val="24"/>
        </w:rPr>
      </w:pPr>
    </w:p>
    <w:p w:rsidR="001D77FD" w:rsidRPr="0025084D" w:rsidRDefault="001D77FD" w:rsidP="000C578D">
      <w:pPr>
        <w:jc w:val="both"/>
        <w:rPr>
          <w:b/>
          <w:bCs/>
          <w:sz w:val="24"/>
          <w:szCs w:val="24"/>
        </w:rPr>
      </w:pPr>
      <w:r w:rsidRPr="003D26E6">
        <w:rPr>
          <w:b/>
          <w:bCs/>
          <w:sz w:val="24"/>
          <w:szCs w:val="24"/>
        </w:rPr>
        <w:lastRenderedPageBreak/>
        <w:t>K bod</w:t>
      </w:r>
      <w:r>
        <w:rPr>
          <w:b/>
          <w:bCs/>
          <w:sz w:val="24"/>
          <w:szCs w:val="24"/>
        </w:rPr>
        <w:t>om</w:t>
      </w:r>
      <w:r w:rsidRPr="003D26E6">
        <w:rPr>
          <w:b/>
          <w:bCs/>
          <w:sz w:val="24"/>
          <w:szCs w:val="24"/>
        </w:rPr>
        <w:t xml:space="preserve"> </w:t>
      </w:r>
      <w:r>
        <w:rPr>
          <w:b/>
          <w:bCs/>
          <w:sz w:val="24"/>
          <w:szCs w:val="24"/>
        </w:rPr>
        <w:t>23, 24 a 54</w:t>
      </w:r>
      <w:r w:rsidRPr="003D26E6">
        <w:rPr>
          <w:b/>
          <w:bCs/>
          <w:sz w:val="24"/>
          <w:szCs w:val="24"/>
        </w:rPr>
        <w:t xml:space="preserve"> (§ 5</w:t>
      </w:r>
      <w:r>
        <w:rPr>
          <w:b/>
          <w:bCs/>
          <w:sz w:val="24"/>
          <w:szCs w:val="24"/>
        </w:rPr>
        <w:t>4</w:t>
      </w:r>
      <w:r w:rsidRPr="003D26E6">
        <w:rPr>
          <w:b/>
          <w:bCs/>
          <w:sz w:val="24"/>
          <w:szCs w:val="24"/>
        </w:rPr>
        <w:t xml:space="preserve"> ods. </w:t>
      </w:r>
      <w:r>
        <w:rPr>
          <w:b/>
          <w:bCs/>
          <w:sz w:val="24"/>
          <w:szCs w:val="24"/>
        </w:rPr>
        <w:t>4, § 54a ods. 2 a príloha č. 1</w:t>
      </w:r>
      <w:r w:rsidRPr="003D26E6">
        <w:rPr>
          <w:b/>
          <w:bCs/>
          <w:sz w:val="24"/>
          <w:szCs w:val="24"/>
        </w:rPr>
        <w:t>)</w:t>
      </w:r>
    </w:p>
    <w:p w:rsidR="001D77FD" w:rsidRPr="00F06A9D" w:rsidRDefault="001D77FD" w:rsidP="000C578D">
      <w:pPr>
        <w:tabs>
          <w:tab w:val="left" w:pos="283"/>
        </w:tabs>
        <w:autoSpaceDE w:val="0"/>
        <w:autoSpaceDN w:val="0"/>
        <w:adjustRightInd w:val="0"/>
        <w:jc w:val="both"/>
        <w:rPr>
          <w:bCs/>
          <w:sz w:val="24"/>
          <w:szCs w:val="24"/>
        </w:rPr>
      </w:pPr>
      <w:r w:rsidRPr="00F06A9D">
        <w:rPr>
          <w:bCs/>
          <w:sz w:val="24"/>
          <w:szCs w:val="24"/>
        </w:rPr>
        <w:t>Navrhuje sa spresnenie opisu dane na vstupe (DV), ktor</w:t>
      </w:r>
      <w:r>
        <w:rPr>
          <w:bCs/>
          <w:sz w:val="24"/>
          <w:szCs w:val="24"/>
        </w:rPr>
        <w:t>o</w:t>
      </w:r>
      <w:r w:rsidRPr="00F06A9D">
        <w:rPr>
          <w:bCs/>
          <w:sz w:val="24"/>
          <w:szCs w:val="24"/>
        </w:rPr>
        <w:t>u je obstarávaci</w:t>
      </w:r>
      <w:r>
        <w:rPr>
          <w:bCs/>
          <w:sz w:val="24"/>
          <w:szCs w:val="24"/>
        </w:rPr>
        <w:t>a</w:t>
      </w:r>
      <w:r w:rsidRPr="00F06A9D">
        <w:rPr>
          <w:bCs/>
          <w:sz w:val="24"/>
          <w:szCs w:val="24"/>
        </w:rPr>
        <w:t xml:space="preserve"> cena</w:t>
      </w:r>
      <w:r>
        <w:rPr>
          <w:bCs/>
          <w:sz w:val="24"/>
          <w:szCs w:val="24"/>
        </w:rPr>
        <w:t xml:space="preserve"> investičného majetku. Obstarávacou cenou je potrebné  ro</w:t>
      </w:r>
      <w:r w:rsidRPr="00F06A9D">
        <w:rPr>
          <w:bCs/>
          <w:sz w:val="24"/>
          <w:szCs w:val="24"/>
        </w:rPr>
        <w:t>zumieť aj sumu splátok, ktoré platiteľ dane zaplatil pri obstaraní majetku formou finančného lízingu, pri ktor</w:t>
      </w:r>
      <w:r>
        <w:rPr>
          <w:bCs/>
          <w:sz w:val="24"/>
          <w:szCs w:val="24"/>
        </w:rPr>
        <w:t>o</w:t>
      </w:r>
      <w:r w:rsidRPr="00F06A9D">
        <w:rPr>
          <w:bCs/>
          <w:sz w:val="24"/>
          <w:szCs w:val="24"/>
        </w:rPr>
        <w:t>m nevznikla daňová po</w:t>
      </w:r>
      <w:r>
        <w:rPr>
          <w:bCs/>
          <w:sz w:val="24"/>
          <w:szCs w:val="24"/>
        </w:rPr>
        <w:t>v</w:t>
      </w:r>
      <w:r w:rsidRPr="00F06A9D">
        <w:rPr>
          <w:bCs/>
          <w:sz w:val="24"/>
          <w:szCs w:val="24"/>
        </w:rPr>
        <w:t xml:space="preserve">innosť momentom odovzdania </w:t>
      </w:r>
      <w:r>
        <w:rPr>
          <w:bCs/>
          <w:sz w:val="24"/>
          <w:szCs w:val="24"/>
        </w:rPr>
        <w:t>predmetu nájmu (fin</w:t>
      </w:r>
      <w:r w:rsidRPr="00F06A9D">
        <w:rPr>
          <w:bCs/>
          <w:sz w:val="24"/>
          <w:szCs w:val="24"/>
        </w:rPr>
        <w:t>a</w:t>
      </w:r>
      <w:r>
        <w:rPr>
          <w:bCs/>
          <w:sz w:val="24"/>
          <w:szCs w:val="24"/>
        </w:rPr>
        <w:t>n</w:t>
      </w:r>
      <w:r w:rsidRPr="00F06A9D">
        <w:rPr>
          <w:bCs/>
          <w:sz w:val="24"/>
          <w:szCs w:val="24"/>
        </w:rPr>
        <w:t>čný lízin</w:t>
      </w:r>
      <w:r>
        <w:rPr>
          <w:bCs/>
          <w:sz w:val="24"/>
          <w:szCs w:val="24"/>
        </w:rPr>
        <w:t>g</w:t>
      </w:r>
      <w:r w:rsidRPr="00F06A9D">
        <w:rPr>
          <w:bCs/>
          <w:sz w:val="24"/>
          <w:szCs w:val="24"/>
        </w:rPr>
        <w:t>, ktorý nie je  považovaný za dodanie tovaru v</w:t>
      </w:r>
      <w:r>
        <w:rPr>
          <w:bCs/>
          <w:sz w:val="24"/>
          <w:szCs w:val="24"/>
        </w:rPr>
        <w:t> </w:t>
      </w:r>
      <w:r w:rsidRPr="00F06A9D">
        <w:rPr>
          <w:bCs/>
          <w:sz w:val="24"/>
          <w:szCs w:val="24"/>
        </w:rPr>
        <w:t>mom</w:t>
      </w:r>
      <w:r>
        <w:rPr>
          <w:bCs/>
          <w:sz w:val="24"/>
          <w:szCs w:val="24"/>
        </w:rPr>
        <w:t xml:space="preserve">ente </w:t>
      </w:r>
      <w:r w:rsidRPr="00F06A9D">
        <w:rPr>
          <w:bCs/>
          <w:sz w:val="24"/>
          <w:szCs w:val="24"/>
        </w:rPr>
        <w:t>od</w:t>
      </w:r>
      <w:r>
        <w:rPr>
          <w:bCs/>
          <w:sz w:val="24"/>
          <w:szCs w:val="24"/>
        </w:rPr>
        <w:t xml:space="preserve">ovzdania </w:t>
      </w:r>
      <w:r w:rsidRPr="00F06A9D">
        <w:rPr>
          <w:bCs/>
          <w:sz w:val="24"/>
          <w:szCs w:val="24"/>
        </w:rPr>
        <w:t xml:space="preserve"> predmetu lízingu).</w:t>
      </w:r>
    </w:p>
    <w:p w:rsidR="001D77FD" w:rsidRPr="00F06A9D" w:rsidRDefault="001D77FD" w:rsidP="000C578D">
      <w:pPr>
        <w:tabs>
          <w:tab w:val="left" w:pos="283"/>
        </w:tabs>
        <w:autoSpaceDE w:val="0"/>
        <w:autoSpaceDN w:val="0"/>
        <w:adjustRightInd w:val="0"/>
        <w:jc w:val="both"/>
        <w:rPr>
          <w:bCs/>
          <w:sz w:val="24"/>
          <w:szCs w:val="24"/>
        </w:rPr>
      </w:pPr>
      <w:r w:rsidRPr="00F06A9D">
        <w:rPr>
          <w:bCs/>
          <w:sz w:val="24"/>
          <w:szCs w:val="24"/>
        </w:rPr>
        <w:t xml:space="preserve">Znenie je spresnené z dôvodu odstránenia pochybností pre prípad </w:t>
      </w:r>
      <w:r>
        <w:rPr>
          <w:bCs/>
          <w:sz w:val="24"/>
          <w:szCs w:val="24"/>
        </w:rPr>
        <w:t xml:space="preserve">povinnej </w:t>
      </w:r>
      <w:r w:rsidRPr="00F06A9D">
        <w:rPr>
          <w:bCs/>
          <w:sz w:val="24"/>
          <w:szCs w:val="24"/>
        </w:rPr>
        <w:t xml:space="preserve">úpravy odpočítanej </w:t>
      </w:r>
      <w:r>
        <w:rPr>
          <w:bCs/>
          <w:sz w:val="24"/>
          <w:szCs w:val="24"/>
        </w:rPr>
        <w:t>dane pri zm</w:t>
      </w:r>
      <w:r w:rsidRPr="00F06A9D">
        <w:rPr>
          <w:bCs/>
          <w:sz w:val="24"/>
          <w:szCs w:val="24"/>
        </w:rPr>
        <w:t xml:space="preserve">ene účelu použitia </w:t>
      </w:r>
      <w:r>
        <w:rPr>
          <w:bCs/>
          <w:sz w:val="24"/>
          <w:szCs w:val="24"/>
        </w:rPr>
        <w:t xml:space="preserve">investičného </w:t>
      </w:r>
      <w:r w:rsidRPr="00F06A9D">
        <w:rPr>
          <w:bCs/>
          <w:sz w:val="24"/>
          <w:szCs w:val="24"/>
        </w:rPr>
        <w:t xml:space="preserve">majetku, ktorý platiteľ </w:t>
      </w:r>
      <w:r>
        <w:rPr>
          <w:bCs/>
          <w:sz w:val="24"/>
          <w:szCs w:val="24"/>
        </w:rPr>
        <w:t xml:space="preserve">dane </w:t>
      </w:r>
      <w:r w:rsidRPr="00F06A9D">
        <w:rPr>
          <w:bCs/>
          <w:sz w:val="24"/>
          <w:szCs w:val="24"/>
        </w:rPr>
        <w:t xml:space="preserve">nadobudol formou finančného lízingu. </w:t>
      </w:r>
    </w:p>
    <w:p w:rsidR="001D77FD" w:rsidRPr="008E430D" w:rsidRDefault="001D77FD" w:rsidP="000C578D">
      <w:pPr>
        <w:jc w:val="both"/>
        <w:rPr>
          <w:bCs/>
          <w:sz w:val="24"/>
          <w:szCs w:val="24"/>
        </w:rPr>
      </w:pPr>
      <w:r w:rsidRPr="008E430D">
        <w:rPr>
          <w:bCs/>
          <w:sz w:val="24"/>
          <w:szCs w:val="24"/>
        </w:rPr>
        <w:t xml:space="preserve">V tejto súvislosti bolo nevyhnutné v § 54 a § 54a </w:t>
      </w:r>
      <w:r>
        <w:rPr>
          <w:bCs/>
          <w:sz w:val="24"/>
          <w:szCs w:val="24"/>
        </w:rPr>
        <w:t xml:space="preserve">zákona </w:t>
      </w:r>
      <w:r w:rsidRPr="008E430D">
        <w:rPr>
          <w:bCs/>
          <w:sz w:val="24"/>
          <w:szCs w:val="24"/>
        </w:rPr>
        <w:t>stanoviť pri nadobudnutí investičného majetku  formou finančného lízingu začatie plynutia 20</w:t>
      </w:r>
      <w:r>
        <w:rPr>
          <w:bCs/>
          <w:sz w:val="24"/>
          <w:szCs w:val="24"/>
        </w:rPr>
        <w:t>-</w:t>
      </w:r>
      <w:r w:rsidRPr="008E430D">
        <w:rPr>
          <w:bCs/>
          <w:sz w:val="24"/>
          <w:szCs w:val="24"/>
        </w:rPr>
        <w:t>ročného obdobia na úpravu odpočítanej dane.</w:t>
      </w:r>
      <w:r>
        <w:rPr>
          <w:bCs/>
          <w:sz w:val="24"/>
          <w:szCs w:val="24"/>
        </w:rPr>
        <w:t xml:space="preserve"> Týmto momentom je odovzdanie investičného majetku platiteľovi dane do nájmu.  </w:t>
      </w:r>
    </w:p>
    <w:p w:rsidR="001D77FD" w:rsidRDefault="001D77FD" w:rsidP="000C578D">
      <w:pPr>
        <w:jc w:val="both"/>
        <w:rPr>
          <w:b/>
          <w:bCs/>
          <w:sz w:val="24"/>
          <w:szCs w:val="24"/>
        </w:rPr>
      </w:pPr>
    </w:p>
    <w:p w:rsidR="001D77FD" w:rsidRPr="0025084D" w:rsidRDefault="001D77FD" w:rsidP="000C578D">
      <w:pPr>
        <w:jc w:val="both"/>
        <w:rPr>
          <w:b/>
          <w:bCs/>
          <w:sz w:val="24"/>
          <w:szCs w:val="24"/>
        </w:rPr>
      </w:pPr>
      <w:r w:rsidRPr="0025084D">
        <w:rPr>
          <w:b/>
          <w:bCs/>
          <w:sz w:val="24"/>
          <w:szCs w:val="24"/>
        </w:rPr>
        <w:t xml:space="preserve">K bodom </w:t>
      </w:r>
      <w:r>
        <w:rPr>
          <w:b/>
          <w:bCs/>
          <w:sz w:val="24"/>
          <w:szCs w:val="24"/>
        </w:rPr>
        <w:t>25, 26 a 54</w:t>
      </w:r>
      <w:r w:rsidRPr="0025084D">
        <w:rPr>
          <w:b/>
          <w:bCs/>
          <w:sz w:val="24"/>
          <w:szCs w:val="24"/>
        </w:rPr>
        <w:t xml:space="preserve"> (§ 54c, § 54d, § 68d ods. 6 a príloha č. 1)</w:t>
      </w:r>
    </w:p>
    <w:p w:rsidR="001D77FD" w:rsidRPr="0025084D" w:rsidRDefault="001D77FD" w:rsidP="000C578D">
      <w:pPr>
        <w:jc w:val="both"/>
        <w:rPr>
          <w:bCs/>
          <w:sz w:val="24"/>
          <w:szCs w:val="24"/>
        </w:rPr>
      </w:pPr>
      <w:r w:rsidRPr="0025084D">
        <w:rPr>
          <w:bCs/>
          <w:sz w:val="24"/>
          <w:szCs w:val="24"/>
        </w:rPr>
        <w:t xml:space="preserve">Navrhuje sa </w:t>
      </w:r>
      <w:r>
        <w:rPr>
          <w:bCs/>
          <w:sz w:val="24"/>
          <w:szCs w:val="24"/>
        </w:rPr>
        <w:t xml:space="preserve">v § 54d </w:t>
      </w:r>
      <w:r w:rsidRPr="0025084D">
        <w:rPr>
          <w:bCs/>
          <w:sz w:val="24"/>
          <w:szCs w:val="24"/>
        </w:rPr>
        <w:t>zavedenie úpravy odpočítanej dane pri hnuteľnom majetku v súvislosti so zmenou rozsahu použitia hnuteľného majetku na podnikanie. Praktické poznatky ukazujú, že chýbajú pravidlá, ktoré umožnia po prvotnom odpočítaní dane upraviť odpočítanú daň v nasledujúcich kalendárnych rokoch, a to v závislosti od objektívnych okolností, na základe ktorých dôjde k zmene rozsahu používania hnuteľného majetku na podnikanie a aj na iný účel ako podnikanie.</w:t>
      </w:r>
    </w:p>
    <w:p w:rsidR="001D77FD" w:rsidRPr="0025084D" w:rsidRDefault="001D77FD" w:rsidP="000C578D">
      <w:pPr>
        <w:jc w:val="both"/>
        <w:rPr>
          <w:bCs/>
          <w:sz w:val="24"/>
          <w:szCs w:val="24"/>
        </w:rPr>
      </w:pPr>
      <w:r w:rsidRPr="0025084D">
        <w:rPr>
          <w:bCs/>
          <w:sz w:val="24"/>
          <w:szCs w:val="24"/>
        </w:rPr>
        <w:t>Táto úprava však neznamená prevzatie článku 168a ods. 2 smernice 2006/112/ES do zákona o DPH. V prípade prevzatia tohto článku do zákona o DPH by bol platiteľ dane hneď pri nadobudnutí hnuteľného majetku, ktorý plánuje použiť na podnikanie a súčasne na iný účel ako na podnikanie, oprávnený uplatniť len pomernú časť odpočtu DPH prináležiacu použitiu tohto hnuteľného majetku na podnikanie.</w:t>
      </w:r>
    </w:p>
    <w:p w:rsidR="001D77FD" w:rsidRPr="0025084D" w:rsidRDefault="001D77FD" w:rsidP="000C578D">
      <w:pPr>
        <w:jc w:val="both"/>
        <w:rPr>
          <w:bCs/>
          <w:sz w:val="24"/>
          <w:szCs w:val="24"/>
        </w:rPr>
      </w:pPr>
      <w:r w:rsidRPr="0025084D">
        <w:rPr>
          <w:bCs/>
          <w:sz w:val="24"/>
          <w:szCs w:val="24"/>
        </w:rPr>
        <w:t xml:space="preserve">Úprava odpočítanej DPH podľa navrhovaného ustanovenia sa vzťahuje len na tie hnuteľné veci, ktoré spĺňajú definíciu hnuteľného investičného majetku v zmysle § 54 </w:t>
      </w:r>
      <w:r>
        <w:rPr>
          <w:bCs/>
          <w:sz w:val="24"/>
          <w:szCs w:val="24"/>
        </w:rPr>
        <w:t xml:space="preserve">ods. 2 písm. a) </w:t>
      </w:r>
      <w:r w:rsidRPr="0025084D">
        <w:rPr>
          <w:bCs/>
          <w:sz w:val="24"/>
          <w:szCs w:val="24"/>
        </w:rPr>
        <w:t>zákona.</w:t>
      </w:r>
    </w:p>
    <w:p w:rsidR="001D77FD" w:rsidRPr="0025084D" w:rsidRDefault="001D77FD" w:rsidP="000C578D">
      <w:pPr>
        <w:jc w:val="both"/>
        <w:rPr>
          <w:b/>
          <w:bCs/>
          <w:color w:val="FF0000"/>
          <w:sz w:val="24"/>
          <w:szCs w:val="24"/>
        </w:rPr>
      </w:pPr>
    </w:p>
    <w:p w:rsidR="001D77FD" w:rsidRPr="002D7BDD" w:rsidRDefault="001D77FD" w:rsidP="000C578D">
      <w:pPr>
        <w:jc w:val="both"/>
        <w:rPr>
          <w:b/>
          <w:bCs/>
          <w:sz w:val="24"/>
          <w:szCs w:val="24"/>
        </w:rPr>
      </w:pPr>
      <w:r w:rsidRPr="002D7BDD">
        <w:rPr>
          <w:b/>
          <w:bCs/>
          <w:sz w:val="24"/>
          <w:szCs w:val="24"/>
        </w:rPr>
        <w:t>K bodom 30 až 35 (§ 59 ods. 3 až 6 a § 60 ods. 2 a ods. 5 až 9)</w:t>
      </w:r>
    </w:p>
    <w:p w:rsidR="001D77FD" w:rsidRPr="00C75E37" w:rsidRDefault="001D77FD" w:rsidP="000C578D">
      <w:pPr>
        <w:jc w:val="both"/>
        <w:rPr>
          <w:bCs/>
          <w:sz w:val="24"/>
          <w:szCs w:val="24"/>
        </w:rPr>
      </w:pPr>
      <w:r w:rsidRPr="00C75E37">
        <w:rPr>
          <w:bCs/>
          <w:sz w:val="24"/>
          <w:szCs w:val="24"/>
        </w:rPr>
        <w:t>V súvislosti s pokračujúcim trendom digitalizácie Finančnej správy Slovenskej republiky sa navrhuje  zjednodušenie procesu vrátenia dane cestujúcim pri vývoze tovaru. Navrhovaným opatrením bude cestujúcim z tretích štátov umožnené využitím elektronických prostriedkov uplatniť vrátenie dane, ktorú v Slovenskej republike zaplatili v cene tovaru nespotrebovávaného na území Európskej únie, u osoby, ktorú na tento účel cestujúci poveria, za podmienky, že táto osoba má uzavretú dohodu o vrátení dane s Finančným riaditeľstvom Slovenskej republiky. Spolu so zjednodušením procesu vrátenia dane cestujúcim sa taktiež navrhuje znížiť celková minimálna hodnota vyvážaného tovaru uvedená na jednom doklade</w:t>
      </w:r>
      <w:r>
        <w:rPr>
          <w:bCs/>
          <w:sz w:val="24"/>
          <w:szCs w:val="24"/>
        </w:rPr>
        <w:t xml:space="preserve"> </w:t>
      </w:r>
      <w:r w:rsidRPr="00C75E37">
        <w:rPr>
          <w:bCs/>
          <w:sz w:val="24"/>
          <w:szCs w:val="24"/>
        </w:rPr>
        <w:t xml:space="preserve">o kúpe </w:t>
      </w:r>
      <w:r>
        <w:rPr>
          <w:bCs/>
          <w:sz w:val="24"/>
          <w:szCs w:val="24"/>
        </w:rPr>
        <w:t>tovaru.</w:t>
      </w:r>
    </w:p>
    <w:p w:rsidR="001D77FD" w:rsidRPr="00C75E37" w:rsidRDefault="001D77FD" w:rsidP="000C578D">
      <w:pPr>
        <w:jc w:val="both"/>
        <w:rPr>
          <w:bCs/>
          <w:sz w:val="24"/>
          <w:szCs w:val="24"/>
        </w:rPr>
      </w:pPr>
      <w:r w:rsidRPr="00C75E37">
        <w:rPr>
          <w:bCs/>
          <w:sz w:val="24"/>
          <w:szCs w:val="24"/>
        </w:rPr>
        <w:t>Očakáva sa, že obe opatrenia povedú k podpore cestovného ruchu na Slovensku.</w:t>
      </w:r>
    </w:p>
    <w:p w:rsidR="001D77FD" w:rsidRPr="00C75E37" w:rsidRDefault="001D77FD" w:rsidP="000C578D">
      <w:pPr>
        <w:jc w:val="both"/>
        <w:rPr>
          <w:bCs/>
          <w:sz w:val="24"/>
          <w:szCs w:val="24"/>
        </w:rPr>
      </w:pPr>
    </w:p>
    <w:p w:rsidR="001D77FD" w:rsidRDefault="001D77FD" w:rsidP="000C578D">
      <w:pPr>
        <w:widowControl w:val="0"/>
        <w:snapToGrid w:val="0"/>
        <w:jc w:val="both"/>
        <w:rPr>
          <w:b/>
          <w:bCs/>
          <w:sz w:val="24"/>
          <w:szCs w:val="24"/>
        </w:rPr>
      </w:pPr>
      <w:r w:rsidRPr="003D26E6">
        <w:rPr>
          <w:b/>
          <w:bCs/>
          <w:sz w:val="24"/>
          <w:szCs w:val="24"/>
        </w:rPr>
        <w:t>K</w:t>
      </w:r>
      <w:r>
        <w:rPr>
          <w:b/>
          <w:bCs/>
          <w:sz w:val="24"/>
          <w:szCs w:val="24"/>
        </w:rPr>
        <w:t> </w:t>
      </w:r>
      <w:r w:rsidRPr="003D26E6">
        <w:rPr>
          <w:b/>
          <w:bCs/>
          <w:sz w:val="24"/>
          <w:szCs w:val="24"/>
        </w:rPr>
        <w:t>bod</w:t>
      </w:r>
      <w:r>
        <w:rPr>
          <w:b/>
          <w:bCs/>
          <w:sz w:val="24"/>
          <w:szCs w:val="24"/>
        </w:rPr>
        <w:t>u 36 (§ 62 ods. 1)</w:t>
      </w:r>
      <w:r w:rsidRPr="003D26E6">
        <w:rPr>
          <w:b/>
          <w:bCs/>
          <w:sz w:val="24"/>
          <w:szCs w:val="24"/>
        </w:rPr>
        <w:t xml:space="preserve"> </w:t>
      </w:r>
    </w:p>
    <w:p w:rsidR="001D77FD" w:rsidRPr="00B32FF1" w:rsidRDefault="001D77FD" w:rsidP="000C578D">
      <w:pPr>
        <w:widowControl w:val="0"/>
        <w:snapToGrid w:val="0"/>
        <w:jc w:val="both"/>
        <w:rPr>
          <w:bCs/>
          <w:sz w:val="24"/>
          <w:szCs w:val="24"/>
        </w:rPr>
      </w:pPr>
      <w:r w:rsidRPr="00B32FF1">
        <w:rPr>
          <w:bCs/>
          <w:sz w:val="24"/>
          <w:szCs w:val="24"/>
        </w:rPr>
        <w:t xml:space="preserve">Navrhuje sa nahradiť forma preukazovania splnenia podmienky reciprocity na elektronické potvrdenie, ktoré bude Daňovému úradu Bratislava zasielať </w:t>
      </w:r>
      <w:r>
        <w:rPr>
          <w:bCs/>
          <w:sz w:val="24"/>
          <w:szCs w:val="24"/>
        </w:rPr>
        <w:t>M</w:t>
      </w:r>
      <w:r w:rsidRPr="00B32FF1">
        <w:rPr>
          <w:bCs/>
          <w:sz w:val="24"/>
          <w:szCs w:val="24"/>
        </w:rPr>
        <w:t>inisterstvo zahraničných vecí</w:t>
      </w:r>
      <w:r>
        <w:rPr>
          <w:bCs/>
          <w:sz w:val="24"/>
          <w:szCs w:val="24"/>
        </w:rPr>
        <w:t xml:space="preserve"> a európskych záležitostí SR</w:t>
      </w:r>
      <w:r w:rsidRPr="00B32FF1">
        <w:rPr>
          <w:bCs/>
          <w:sz w:val="24"/>
          <w:szCs w:val="24"/>
        </w:rPr>
        <w:t>.</w:t>
      </w:r>
    </w:p>
    <w:p w:rsidR="001D77FD" w:rsidRDefault="001D77FD" w:rsidP="000C578D">
      <w:pPr>
        <w:widowControl w:val="0"/>
        <w:snapToGrid w:val="0"/>
        <w:jc w:val="both"/>
        <w:rPr>
          <w:b/>
          <w:bCs/>
          <w:sz w:val="24"/>
          <w:szCs w:val="24"/>
        </w:rPr>
      </w:pPr>
      <w:r>
        <w:rPr>
          <w:b/>
          <w:bCs/>
          <w:sz w:val="24"/>
          <w:szCs w:val="24"/>
        </w:rPr>
        <w:t xml:space="preserve"> </w:t>
      </w:r>
    </w:p>
    <w:p w:rsidR="001D77FD" w:rsidRPr="0025084D" w:rsidRDefault="001D77FD" w:rsidP="000C578D">
      <w:pPr>
        <w:widowControl w:val="0"/>
        <w:snapToGrid w:val="0"/>
        <w:jc w:val="both"/>
        <w:rPr>
          <w:bCs/>
          <w:sz w:val="24"/>
          <w:szCs w:val="24"/>
        </w:rPr>
      </w:pPr>
      <w:r w:rsidRPr="003D26E6">
        <w:rPr>
          <w:b/>
          <w:bCs/>
          <w:sz w:val="24"/>
          <w:szCs w:val="24"/>
        </w:rPr>
        <w:t xml:space="preserve">K bodom </w:t>
      </w:r>
      <w:r>
        <w:rPr>
          <w:b/>
          <w:bCs/>
          <w:sz w:val="24"/>
          <w:szCs w:val="24"/>
        </w:rPr>
        <w:t>38</w:t>
      </w:r>
      <w:r w:rsidRPr="003D26E6">
        <w:rPr>
          <w:b/>
          <w:bCs/>
          <w:sz w:val="24"/>
          <w:szCs w:val="24"/>
        </w:rPr>
        <w:t xml:space="preserve"> a</w:t>
      </w:r>
      <w:r>
        <w:rPr>
          <w:b/>
          <w:bCs/>
          <w:sz w:val="24"/>
          <w:szCs w:val="24"/>
        </w:rPr>
        <w:t> 39</w:t>
      </w:r>
      <w:r w:rsidRPr="0025084D">
        <w:rPr>
          <w:b/>
          <w:bCs/>
          <w:sz w:val="24"/>
          <w:szCs w:val="24"/>
        </w:rPr>
        <w:t xml:space="preserve"> (§ 68a ods. 1 a 2)</w:t>
      </w:r>
    </w:p>
    <w:p w:rsidR="001D77FD" w:rsidRDefault="001D77FD" w:rsidP="000C578D">
      <w:pPr>
        <w:jc w:val="both"/>
        <w:rPr>
          <w:bCs/>
          <w:sz w:val="24"/>
          <w:szCs w:val="24"/>
        </w:rPr>
      </w:pPr>
      <w:r w:rsidRPr="0025084D">
        <w:rPr>
          <w:bCs/>
          <w:sz w:val="24"/>
          <w:szCs w:val="24"/>
        </w:rPr>
        <w:t xml:space="preserve">V záujme čo najjednoduchšieho uplatňovania pravidiel DPH pri poskytovaní vybraných digitálnych služieb pre nezdaniteľné osoby usadené v niektorom z členských štátov EÚ poskytovateľmi, ktorí nemajú sídlo ani prevádzkareň na území EÚ, sa navrhuje, aby takíto poskytovatelia mohli uplatňovať osobitnú úpravu uvedenú v § 68a </w:t>
      </w:r>
      <w:r>
        <w:rPr>
          <w:bCs/>
          <w:sz w:val="24"/>
          <w:szCs w:val="24"/>
        </w:rPr>
        <w:t xml:space="preserve">zákona </w:t>
      </w:r>
      <w:r w:rsidRPr="0025084D">
        <w:rPr>
          <w:bCs/>
          <w:sz w:val="24"/>
          <w:szCs w:val="24"/>
        </w:rPr>
        <w:t>aj v prípadoch, ak sú v tuzemsku registrovaní podľa § 5 alebo sú identifikovaní pre daň v inom členskom štáte.</w:t>
      </w:r>
    </w:p>
    <w:p w:rsidR="001D77FD" w:rsidRDefault="001D77FD" w:rsidP="000C578D">
      <w:pPr>
        <w:jc w:val="both"/>
        <w:rPr>
          <w:bCs/>
          <w:sz w:val="24"/>
          <w:szCs w:val="24"/>
        </w:rPr>
      </w:pPr>
    </w:p>
    <w:p w:rsidR="001D77FD" w:rsidRPr="003D26E6" w:rsidRDefault="001D77FD" w:rsidP="000C578D">
      <w:pPr>
        <w:jc w:val="both"/>
        <w:rPr>
          <w:b/>
          <w:bCs/>
          <w:sz w:val="24"/>
          <w:szCs w:val="24"/>
        </w:rPr>
      </w:pPr>
      <w:r w:rsidRPr="003D26E6">
        <w:rPr>
          <w:b/>
          <w:bCs/>
          <w:sz w:val="24"/>
          <w:szCs w:val="24"/>
        </w:rPr>
        <w:t xml:space="preserve">K bodu </w:t>
      </w:r>
      <w:r>
        <w:rPr>
          <w:b/>
          <w:bCs/>
          <w:sz w:val="24"/>
          <w:szCs w:val="24"/>
        </w:rPr>
        <w:t>41</w:t>
      </w:r>
      <w:r w:rsidRPr="003D26E6">
        <w:rPr>
          <w:b/>
          <w:bCs/>
          <w:sz w:val="24"/>
          <w:szCs w:val="24"/>
        </w:rPr>
        <w:t xml:space="preserve"> (§ 68c ods. 1)</w:t>
      </w:r>
    </w:p>
    <w:p w:rsidR="001D77FD" w:rsidRPr="0025084D" w:rsidRDefault="001D77FD" w:rsidP="000C578D">
      <w:pPr>
        <w:jc w:val="both"/>
        <w:rPr>
          <w:b/>
          <w:bCs/>
          <w:sz w:val="24"/>
          <w:szCs w:val="24"/>
        </w:rPr>
      </w:pPr>
      <w:r w:rsidRPr="003D26E6">
        <w:rPr>
          <w:color w:val="000000"/>
          <w:sz w:val="24"/>
          <w:szCs w:val="24"/>
        </w:rPr>
        <w:t>Navrhuje sa, aby sa na správu dane v súvislosti s uplatňovaním osobitných úprav uvedených v § 68a a § 68b</w:t>
      </w:r>
      <w:r>
        <w:rPr>
          <w:color w:val="000000"/>
          <w:sz w:val="24"/>
          <w:szCs w:val="24"/>
        </w:rPr>
        <w:t xml:space="preserve"> zákona</w:t>
      </w:r>
      <w:r w:rsidRPr="003D26E6">
        <w:rPr>
          <w:color w:val="000000"/>
          <w:sz w:val="24"/>
          <w:szCs w:val="24"/>
        </w:rPr>
        <w:t>, kedy Slovenská republika je členským štátom identifikácie, použili subsidiárne ustanovenia daňového poriadku.</w:t>
      </w:r>
      <w:r>
        <w:rPr>
          <w:color w:val="000000"/>
          <w:sz w:val="24"/>
          <w:szCs w:val="24"/>
        </w:rPr>
        <w:t xml:space="preserve"> </w:t>
      </w:r>
    </w:p>
    <w:p w:rsidR="001D77FD" w:rsidRPr="0025084D" w:rsidRDefault="001D77FD" w:rsidP="000C578D">
      <w:pPr>
        <w:jc w:val="both"/>
        <w:rPr>
          <w:b/>
          <w:bCs/>
          <w:sz w:val="24"/>
          <w:szCs w:val="24"/>
        </w:rPr>
      </w:pPr>
    </w:p>
    <w:p w:rsidR="001D77FD" w:rsidRPr="0025084D" w:rsidRDefault="001D77FD" w:rsidP="000C578D">
      <w:pPr>
        <w:pStyle w:val="c01pointnumerotealtn"/>
        <w:spacing w:before="0" w:beforeAutospacing="0" w:after="0"/>
        <w:rPr>
          <w:b/>
          <w:bCs/>
          <w:lang w:eastAsia="en-US"/>
        </w:rPr>
      </w:pPr>
      <w:r w:rsidRPr="0025084D">
        <w:rPr>
          <w:b/>
          <w:bCs/>
          <w:lang w:eastAsia="en-US"/>
        </w:rPr>
        <w:t xml:space="preserve">K bodu </w:t>
      </w:r>
      <w:r>
        <w:rPr>
          <w:b/>
          <w:bCs/>
          <w:lang w:eastAsia="en-US"/>
        </w:rPr>
        <w:t>43</w:t>
      </w:r>
      <w:r w:rsidRPr="0025084D">
        <w:rPr>
          <w:b/>
          <w:bCs/>
          <w:lang w:eastAsia="en-US"/>
        </w:rPr>
        <w:t xml:space="preserve"> (§ 69 ods. 12 písm. f/ a </w:t>
      </w:r>
      <w:r>
        <w:rPr>
          <w:b/>
          <w:bCs/>
          <w:lang w:eastAsia="en-US"/>
        </w:rPr>
        <w:t>g</w:t>
      </w:r>
      <w:r w:rsidRPr="0025084D">
        <w:rPr>
          <w:b/>
          <w:bCs/>
          <w:lang w:eastAsia="en-US"/>
        </w:rPr>
        <w:t>/)</w:t>
      </w:r>
    </w:p>
    <w:p w:rsidR="001D77FD" w:rsidRPr="0025084D" w:rsidRDefault="001D77FD" w:rsidP="000C578D">
      <w:pPr>
        <w:jc w:val="both"/>
        <w:rPr>
          <w:bCs/>
          <w:sz w:val="24"/>
          <w:szCs w:val="24"/>
        </w:rPr>
      </w:pPr>
      <w:r w:rsidRPr="0025084D">
        <w:rPr>
          <w:bCs/>
          <w:sz w:val="24"/>
          <w:szCs w:val="24"/>
        </w:rPr>
        <w:t>Podľa zákona o DPH v znení účinnom do 31.12.2017 sa prenos daňovej povinnosti pri dodaní  poľnohospodárskych plodín a tovarov z kovov uplatnil na tie dodávky uvedených tovarov, pri ktorých základ dane (cena bez DPH) uvedený na faktúre bol 5 000 eur a viac. Novelou účinnou od 1. januára 2018 sa limit 5 000 eur vypustil, čo spôsobilo v praxi problémy vtedy</w:t>
      </w:r>
      <w:r>
        <w:rPr>
          <w:bCs/>
          <w:sz w:val="24"/>
          <w:szCs w:val="24"/>
        </w:rPr>
        <w:t>,</w:t>
      </w:r>
      <w:r w:rsidRPr="0025084D">
        <w:rPr>
          <w:bCs/>
          <w:sz w:val="24"/>
          <w:szCs w:val="24"/>
        </w:rPr>
        <w:t xml:space="preserve"> ak platiteľ dane ako kupujúci dostal o nákupe týchto tovarov v maloobchodnej sieti príp. veľkoobchode doklad z elektronickej registračnej pokladnice (ERP). Na rozdiel od riadnej faktúry nie je na doklade z ERP uvedená identifikácia odberateľa, t. j nie je tam uvedené jeho meno resp. názov, jeho identifikačné číslo DPH, adresa sídla a nie je tam uvedená ani informácia „prenesenie daňovej povinnosti“, čo je podstatnou náležitosťou pri uplatňovaní prenosu daňovej povinnosti.</w:t>
      </w:r>
    </w:p>
    <w:p w:rsidR="001D77FD" w:rsidRPr="0025084D" w:rsidRDefault="001D77FD" w:rsidP="000C578D">
      <w:pPr>
        <w:jc w:val="both"/>
        <w:rPr>
          <w:bCs/>
          <w:sz w:val="24"/>
          <w:szCs w:val="24"/>
        </w:rPr>
      </w:pPr>
      <w:r w:rsidRPr="0025084D">
        <w:rPr>
          <w:bCs/>
          <w:sz w:val="24"/>
          <w:szCs w:val="24"/>
        </w:rPr>
        <w:t xml:space="preserve">Keďže táto informácia nebola uvedená na zjednodušenej faktúre, kupujúci </w:t>
      </w:r>
      <w:r>
        <w:rPr>
          <w:bCs/>
          <w:sz w:val="24"/>
          <w:szCs w:val="24"/>
        </w:rPr>
        <w:t xml:space="preserve">v rozpore s § 69 ods. 12 písm. f) a g) zákona o DPH </w:t>
      </w:r>
      <w:r w:rsidRPr="0025084D">
        <w:rPr>
          <w:bCs/>
          <w:sz w:val="24"/>
          <w:szCs w:val="24"/>
        </w:rPr>
        <w:t>neuplatnil daň na kúpu tohto tova</w:t>
      </w:r>
      <w:r>
        <w:rPr>
          <w:bCs/>
          <w:sz w:val="24"/>
          <w:szCs w:val="24"/>
        </w:rPr>
        <w:t xml:space="preserve">ru. V záujme odstránenia týchto </w:t>
      </w:r>
      <w:r w:rsidRPr="0025084D">
        <w:rPr>
          <w:bCs/>
          <w:sz w:val="24"/>
          <w:szCs w:val="24"/>
        </w:rPr>
        <w:t xml:space="preserve">problémov sa navrhuje vylúčiť prenos daňovej povinnosti pri dodaní poľnohospodárskych plodín a tovarov z kovov, pri </w:t>
      </w:r>
      <w:r>
        <w:rPr>
          <w:bCs/>
          <w:sz w:val="24"/>
          <w:szCs w:val="24"/>
        </w:rPr>
        <w:t>ktorom</w:t>
      </w:r>
      <w:r w:rsidRPr="0025084D">
        <w:rPr>
          <w:bCs/>
          <w:sz w:val="24"/>
          <w:szCs w:val="24"/>
        </w:rPr>
        <w:t xml:space="preserve"> je vyhotovená zjednodušená faktúra. </w:t>
      </w:r>
    </w:p>
    <w:p w:rsidR="001D77FD" w:rsidRPr="0025084D" w:rsidRDefault="001D77FD" w:rsidP="000C578D">
      <w:pPr>
        <w:jc w:val="both"/>
        <w:rPr>
          <w:b/>
          <w:bCs/>
          <w:sz w:val="24"/>
          <w:szCs w:val="24"/>
        </w:rPr>
      </w:pPr>
    </w:p>
    <w:p w:rsidR="001D77FD" w:rsidRPr="0025084D" w:rsidRDefault="001D77FD" w:rsidP="000C578D">
      <w:pPr>
        <w:jc w:val="both"/>
        <w:rPr>
          <w:b/>
          <w:bCs/>
          <w:sz w:val="24"/>
          <w:szCs w:val="24"/>
        </w:rPr>
      </w:pPr>
      <w:r w:rsidRPr="0025084D">
        <w:rPr>
          <w:b/>
          <w:bCs/>
          <w:sz w:val="24"/>
          <w:szCs w:val="24"/>
        </w:rPr>
        <w:t xml:space="preserve">K bodu </w:t>
      </w:r>
      <w:r>
        <w:rPr>
          <w:b/>
          <w:bCs/>
          <w:sz w:val="24"/>
          <w:szCs w:val="24"/>
        </w:rPr>
        <w:t>44</w:t>
      </w:r>
      <w:r w:rsidRPr="0025084D">
        <w:rPr>
          <w:b/>
          <w:bCs/>
          <w:sz w:val="24"/>
          <w:szCs w:val="24"/>
        </w:rPr>
        <w:t xml:space="preserve"> (§ 70</w:t>
      </w:r>
      <w:r>
        <w:rPr>
          <w:b/>
          <w:bCs/>
          <w:sz w:val="24"/>
          <w:szCs w:val="24"/>
        </w:rPr>
        <w:t xml:space="preserve"> ods. 2 písm. d/ a e/)</w:t>
      </w:r>
    </w:p>
    <w:p w:rsidR="001D77FD" w:rsidRPr="0025084D" w:rsidRDefault="001D77FD" w:rsidP="000C578D">
      <w:pPr>
        <w:jc w:val="both"/>
        <w:rPr>
          <w:bCs/>
          <w:sz w:val="24"/>
          <w:szCs w:val="24"/>
        </w:rPr>
      </w:pPr>
      <w:r w:rsidRPr="0025084D">
        <w:rPr>
          <w:bCs/>
          <w:sz w:val="24"/>
          <w:szCs w:val="24"/>
        </w:rPr>
        <w:t>Z dôvodu, že plnenia, ktoré sú doplnené v </w:t>
      </w:r>
      <w:proofErr w:type="spellStart"/>
      <w:r w:rsidRPr="0025084D">
        <w:rPr>
          <w:bCs/>
          <w:sz w:val="24"/>
          <w:szCs w:val="24"/>
        </w:rPr>
        <w:t>novonavrhovanom</w:t>
      </w:r>
      <w:proofErr w:type="spellEnd"/>
      <w:r w:rsidRPr="0025084D">
        <w:rPr>
          <w:bCs/>
          <w:sz w:val="24"/>
          <w:szCs w:val="24"/>
        </w:rPr>
        <w:t xml:space="preserve"> písmene d) a e) odseku 2 sa neuvádzajú do daňového priznania, súhrnného výkazu a ani kontrolného výkazu, navrhuje sa, aby tieto plnenia platiteľ dane uvádzal vo svojich záznamoch pre DPH. Túto povinnosť nemajú zdaniteľné osoby, ktoré nemajú postavenie platiteľa dane.</w:t>
      </w:r>
    </w:p>
    <w:p w:rsidR="001D77FD" w:rsidRPr="0025084D" w:rsidRDefault="001D77FD" w:rsidP="000C578D">
      <w:pPr>
        <w:jc w:val="both"/>
        <w:rPr>
          <w:b/>
          <w:bCs/>
          <w:sz w:val="24"/>
          <w:szCs w:val="24"/>
        </w:rPr>
      </w:pPr>
    </w:p>
    <w:p w:rsidR="001D77FD" w:rsidRPr="0025084D" w:rsidRDefault="001D77FD" w:rsidP="000C578D">
      <w:pPr>
        <w:jc w:val="both"/>
        <w:rPr>
          <w:b/>
          <w:bCs/>
          <w:sz w:val="24"/>
          <w:szCs w:val="24"/>
        </w:rPr>
      </w:pPr>
      <w:r w:rsidRPr="00A00C79">
        <w:rPr>
          <w:b/>
          <w:bCs/>
          <w:sz w:val="24"/>
          <w:szCs w:val="24"/>
        </w:rPr>
        <w:t>K bodom</w:t>
      </w:r>
      <w:r w:rsidRPr="0025084D">
        <w:rPr>
          <w:b/>
          <w:bCs/>
          <w:sz w:val="24"/>
          <w:szCs w:val="24"/>
        </w:rPr>
        <w:t xml:space="preserve"> </w:t>
      </w:r>
      <w:r>
        <w:rPr>
          <w:b/>
          <w:bCs/>
          <w:sz w:val="24"/>
          <w:szCs w:val="24"/>
        </w:rPr>
        <w:t>45 až 47</w:t>
      </w:r>
      <w:r w:rsidRPr="0025084D">
        <w:rPr>
          <w:b/>
          <w:bCs/>
          <w:sz w:val="24"/>
          <w:szCs w:val="24"/>
        </w:rPr>
        <w:t xml:space="preserve"> (§ 72 ods. 1 písm. h/ a ods. 3</w:t>
      </w:r>
      <w:r>
        <w:rPr>
          <w:b/>
          <w:bCs/>
          <w:sz w:val="24"/>
          <w:szCs w:val="24"/>
        </w:rPr>
        <w:t>, § 74 ods. 1 písm. j/)</w:t>
      </w:r>
    </w:p>
    <w:p w:rsidR="001D77FD" w:rsidRPr="0025084D" w:rsidRDefault="001D77FD" w:rsidP="000C578D">
      <w:pPr>
        <w:jc w:val="both"/>
        <w:rPr>
          <w:bCs/>
          <w:sz w:val="24"/>
          <w:szCs w:val="24"/>
        </w:rPr>
      </w:pPr>
      <w:r w:rsidRPr="0025084D">
        <w:rPr>
          <w:bCs/>
          <w:sz w:val="24"/>
          <w:szCs w:val="24"/>
        </w:rPr>
        <w:t>Navrhuje sa, aby sa pri poskytnutí vybraných digitálnych služieb pre nezdaniteľné osoby s miestom dodania v inom členskom štáte vzťahovala povinnosť vyhotoviť faktúru podľa pravidiel stanovených v zákone o DPH, ak dodávateľ týchto služieb uplatňuje jednu z osobitných úprav uvedených v § 68a alebo § 68b</w:t>
      </w:r>
      <w:r>
        <w:rPr>
          <w:bCs/>
          <w:sz w:val="24"/>
          <w:szCs w:val="24"/>
        </w:rPr>
        <w:t xml:space="preserve"> zákona</w:t>
      </w:r>
      <w:r w:rsidRPr="0025084D">
        <w:rPr>
          <w:bCs/>
          <w:sz w:val="24"/>
          <w:szCs w:val="24"/>
        </w:rPr>
        <w:t>. Uvedená zmena predstavuje transpozíciu článku 219a smernice 2006/112/ES, zmeneného v dôsledku prijatia smernice 2017/2455, ktorej cieľom je zjednodušenie pravidiel pri uplatňovaní uvedených osobitných úprav.</w:t>
      </w:r>
    </w:p>
    <w:p w:rsidR="001D77FD" w:rsidRPr="0025084D" w:rsidRDefault="001D77FD" w:rsidP="000C578D">
      <w:pPr>
        <w:jc w:val="both"/>
        <w:rPr>
          <w:bCs/>
          <w:sz w:val="24"/>
          <w:szCs w:val="24"/>
        </w:rPr>
      </w:pPr>
      <w:r w:rsidRPr="0025084D">
        <w:rPr>
          <w:bCs/>
          <w:sz w:val="24"/>
          <w:szCs w:val="24"/>
        </w:rPr>
        <w:t>Súčasne sa v súlade s týmto článkom smernice 2006/112/ES zavádza povinnosť pre zahraničné osoby, ktoré nie sú usadené na území Európskej únie, vystavovať faktúry podľa zákona</w:t>
      </w:r>
      <w:r>
        <w:rPr>
          <w:bCs/>
          <w:sz w:val="24"/>
          <w:szCs w:val="24"/>
        </w:rPr>
        <w:t xml:space="preserve"> o</w:t>
      </w:r>
      <w:r w:rsidRPr="0025084D">
        <w:rPr>
          <w:bCs/>
          <w:sz w:val="24"/>
          <w:szCs w:val="24"/>
        </w:rPr>
        <w:t xml:space="preserve"> DPH, ak uskutočňujú dodanie tovaru alebo služby v tuzemsku. Táto povinnosť sa bude týkať aj tých zahraničných osôb, ktoré síce majú na území Európskej únie jednu alebo viac prevádzkarní, avšak tieto sa na predmetnom dodaní nezúčastňujú</w:t>
      </w:r>
      <w:r>
        <w:rPr>
          <w:bCs/>
          <w:sz w:val="24"/>
          <w:szCs w:val="24"/>
        </w:rPr>
        <w:t>.</w:t>
      </w:r>
    </w:p>
    <w:p w:rsidR="001D77FD" w:rsidRPr="0025084D" w:rsidRDefault="001D77FD" w:rsidP="000C578D">
      <w:pPr>
        <w:widowControl w:val="0"/>
        <w:snapToGrid w:val="0"/>
        <w:jc w:val="both"/>
        <w:rPr>
          <w:bCs/>
          <w:sz w:val="24"/>
          <w:szCs w:val="24"/>
        </w:rPr>
      </w:pPr>
    </w:p>
    <w:p w:rsidR="001D77FD" w:rsidRDefault="001D77FD" w:rsidP="000C578D">
      <w:pPr>
        <w:jc w:val="both"/>
        <w:rPr>
          <w:b/>
          <w:bCs/>
          <w:sz w:val="24"/>
          <w:szCs w:val="24"/>
        </w:rPr>
      </w:pPr>
    </w:p>
    <w:p w:rsidR="001D77FD" w:rsidRDefault="001D77FD" w:rsidP="000C578D">
      <w:pPr>
        <w:jc w:val="both"/>
        <w:rPr>
          <w:b/>
          <w:bCs/>
          <w:sz w:val="24"/>
          <w:szCs w:val="24"/>
        </w:rPr>
      </w:pPr>
    </w:p>
    <w:p w:rsidR="001D77FD" w:rsidRPr="0025084D" w:rsidRDefault="001D77FD" w:rsidP="000C578D">
      <w:pPr>
        <w:jc w:val="both"/>
        <w:rPr>
          <w:sz w:val="24"/>
          <w:szCs w:val="24"/>
        </w:rPr>
      </w:pPr>
      <w:r w:rsidRPr="00A00C79">
        <w:rPr>
          <w:b/>
          <w:bCs/>
          <w:sz w:val="24"/>
          <w:szCs w:val="24"/>
        </w:rPr>
        <w:t xml:space="preserve">K bodu </w:t>
      </w:r>
      <w:r>
        <w:rPr>
          <w:b/>
          <w:sz w:val="24"/>
          <w:szCs w:val="24"/>
        </w:rPr>
        <w:t>48</w:t>
      </w:r>
      <w:r w:rsidRPr="0025084D">
        <w:rPr>
          <w:sz w:val="24"/>
          <w:szCs w:val="24"/>
        </w:rPr>
        <w:t xml:space="preserve"> </w:t>
      </w:r>
      <w:r w:rsidRPr="0025084D">
        <w:rPr>
          <w:b/>
          <w:bCs/>
          <w:sz w:val="24"/>
          <w:szCs w:val="24"/>
        </w:rPr>
        <w:t>(§ 78 ods. 9)</w:t>
      </w:r>
    </w:p>
    <w:p w:rsidR="001D77FD" w:rsidRPr="0025084D" w:rsidRDefault="001D77FD" w:rsidP="000C578D">
      <w:pPr>
        <w:snapToGrid w:val="0"/>
        <w:jc w:val="both"/>
        <w:rPr>
          <w:sz w:val="24"/>
          <w:szCs w:val="24"/>
        </w:rPr>
      </w:pPr>
      <w:r w:rsidRPr="0025084D">
        <w:rPr>
          <w:sz w:val="24"/>
          <w:szCs w:val="24"/>
        </w:rPr>
        <w:t>Z dôvodu právnej istoty sa navrhuje spresniť, že v prípadoch, kedy daňový úrad povinne začína daňovú kontrolu za obdobie, v ktorom mala byť zdaniteľná osoba, ktorá si nesplnila registračnú povinnosť alebo si túto splnila oneskorene, platiteľom dane, nakoľko celková výška odpočítateľnej dane podľa § 55 ods. 3 alebo 4 prevyšuje celkovú splatnú daň podľa § 69 ods. 13, správca dane vráti daň vo výške zistenej na základe vykonanej daňovej kontroly. Súčasne sa navrhuje doplniť, že pri vrátení tejto dane daňový úrad použije postup podľa § 79 daňového poriadku.</w:t>
      </w:r>
    </w:p>
    <w:p w:rsidR="001D77FD" w:rsidRPr="0025084D" w:rsidRDefault="001D77FD" w:rsidP="000C578D">
      <w:pPr>
        <w:snapToGrid w:val="0"/>
        <w:jc w:val="both"/>
        <w:rPr>
          <w:sz w:val="24"/>
          <w:szCs w:val="24"/>
        </w:rPr>
      </w:pPr>
    </w:p>
    <w:p w:rsidR="001D77FD" w:rsidRPr="0025084D" w:rsidRDefault="001D77FD" w:rsidP="000C578D">
      <w:pPr>
        <w:jc w:val="both"/>
        <w:rPr>
          <w:b/>
          <w:bCs/>
          <w:sz w:val="24"/>
          <w:szCs w:val="24"/>
        </w:rPr>
      </w:pPr>
      <w:r w:rsidRPr="0025084D">
        <w:rPr>
          <w:b/>
          <w:bCs/>
          <w:sz w:val="24"/>
          <w:szCs w:val="24"/>
        </w:rPr>
        <w:t xml:space="preserve">K bodom </w:t>
      </w:r>
      <w:r>
        <w:rPr>
          <w:b/>
          <w:bCs/>
          <w:sz w:val="24"/>
          <w:szCs w:val="24"/>
        </w:rPr>
        <w:t>51</w:t>
      </w:r>
      <w:r w:rsidRPr="0025084D">
        <w:rPr>
          <w:b/>
          <w:bCs/>
          <w:sz w:val="24"/>
          <w:szCs w:val="24"/>
        </w:rPr>
        <w:t xml:space="preserve"> a </w:t>
      </w:r>
      <w:r>
        <w:rPr>
          <w:b/>
          <w:bCs/>
          <w:sz w:val="24"/>
          <w:szCs w:val="24"/>
        </w:rPr>
        <w:t>52</w:t>
      </w:r>
      <w:r w:rsidRPr="0025084D">
        <w:rPr>
          <w:b/>
          <w:bCs/>
          <w:sz w:val="24"/>
          <w:szCs w:val="24"/>
        </w:rPr>
        <w:t xml:space="preserve"> (§ 81 ods. 6 a 7)</w:t>
      </w:r>
    </w:p>
    <w:p w:rsidR="001D77FD" w:rsidRPr="0025084D" w:rsidRDefault="001D77FD" w:rsidP="000C578D">
      <w:pPr>
        <w:tabs>
          <w:tab w:val="left" w:pos="283"/>
        </w:tabs>
        <w:autoSpaceDE w:val="0"/>
        <w:autoSpaceDN w:val="0"/>
        <w:adjustRightInd w:val="0"/>
        <w:jc w:val="both"/>
        <w:rPr>
          <w:bCs/>
          <w:sz w:val="24"/>
          <w:szCs w:val="24"/>
        </w:rPr>
      </w:pPr>
      <w:r w:rsidRPr="0025084D">
        <w:rPr>
          <w:bCs/>
          <w:sz w:val="24"/>
          <w:szCs w:val="24"/>
        </w:rPr>
        <w:t xml:space="preserve">Odvod dane z majetku pri zrušení registrácie nemôže byť vyšší ako uplatnený odpočet dane. Preto sa navrhuje spresniť ustanovenie odseku 6. </w:t>
      </w:r>
    </w:p>
    <w:p w:rsidR="001D77FD" w:rsidRPr="0025084D" w:rsidRDefault="001D77FD" w:rsidP="000C578D">
      <w:pPr>
        <w:tabs>
          <w:tab w:val="left" w:pos="283"/>
        </w:tabs>
        <w:autoSpaceDE w:val="0"/>
        <w:autoSpaceDN w:val="0"/>
        <w:adjustRightInd w:val="0"/>
        <w:jc w:val="both"/>
        <w:rPr>
          <w:bCs/>
          <w:sz w:val="24"/>
          <w:szCs w:val="24"/>
        </w:rPr>
      </w:pPr>
      <w:r w:rsidRPr="0025084D">
        <w:rPr>
          <w:bCs/>
          <w:sz w:val="24"/>
          <w:szCs w:val="24"/>
        </w:rPr>
        <w:t xml:space="preserve">V ustanovení odseku 7 sa navrhuje vypustiť odkaz na príslušné konkrétne paragrafy zákona, na základe ktorých si platiteľ </w:t>
      </w:r>
      <w:r>
        <w:rPr>
          <w:bCs/>
          <w:sz w:val="24"/>
          <w:szCs w:val="24"/>
        </w:rPr>
        <w:t xml:space="preserve">dane </w:t>
      </w:r>
      <w:r w:rsidRPr="0025084D">
        <w:rPr>
          <w:bCs/>
          <w:sz w:val="24"/>
          <w:szCs w:val="24"/>
        </w:rPr>
        <w:t>uplatnil pomernú časť odpočtu DPH príp. vykonal úpravu odpočítanej dane. Vecne sa týmto ustanovenie nemení a ostáva zachované pravidlo, že platiteľ dane pri výpočte dane pri zrušení registrácie zohľadní tieto skutočnosti a vypočítanú DPH upraví po zohľadnení percentuálnej hodnoty použitej pri odpočítaní dane.</w:t>
      </w:r>
    </w:p>
    <w:p w:rsidR="001D77FD" w:rsidRPr="0025084D" w:rsidRDefault="001D77FD" w:rsidP="000C578D">
      <w:pPr>
        <w:tabs>
          <w:tab w:val="left" w:pos="283"/>
        </w:tabs>
        <w:autoSpaceDE w:val="0"/>
        <w:autoSpaceDN w:val="0"/>
        <w:adjustRightInd w:val="0"/>
        <w:jc w:val="both"/>
        <w:rPr>
          <w:bCs/>
          <w:sz w:val="24"/>
          <w:szCs w:val="24"/>
        </w:rPr>
      </w:pPr>
    </w:p>
    <w:p w:rsidR="001D77FD" w:rsidRDefault="001D77FD" w:rsidP="000C578D">
      <w:pPr>
        <w:widowControl w:val="0"/>
        <w:jc w:val="both"/>
        <w:rPr>
          <w:b/>
          <w:color w:val="000000"/>
          <w:sz w:val="24"/>
          <w:szCs w:val="24"/>
        </w:rPr>
      </w:pPr>
      <w:r>
        <w:rPr>
          <w:b/>
          <w:color w:val="000000"/>
          <w:sz w:val="24"/>
          <w:szCs w:val="24"/>
        </w:rPr>
        <w:t>K bodom 55 a 56 (príloha č. 6)</w:t>
      </w:r>
    </w:p>
    <w:p w:rsidR="001D77FD" w:rsidRPr="00490510" w:rsidRDefault="001D77FD" w:rsidP="000C578D">
      <w:pPr>
        <w:widowControl w:val="0"/>
        <w:jc w:val="both"/>
        <w:rPr>
          <w:bCs/>
          <w:sz w:val="24"/>
          <w:szCs w:val="24"/>
        </w:rPr>
      </w:pPr>
      <w:r w:rsidRPr="00490510">
        <w:rPr>
          <w:bCs/>
          <w:sz w:val="24"/>
          <w:szCs w:val="24"/>
        </w:rPr>
        <w:t>Aktualizuje sa transpozičná príloha doplnením smernice Rady (EÚ) 2018/912 z 22. júna 2018 a vypustením šiestej smernice, smernice 78/1035/EHS a smernice 83/181/EHS.</w:t>
      </w:r>
    </w:p>
    <w:p w:rsidR="001D77FD" w:rsidRDefault="001D77FD" w:rsidP="000C578D">
      <w:pPr>
        <w:widowControl w:val="0"/>
        <w:jc w:val="both"/>
        <w:rPr>
          <w:b/>
          <w:color w:val="000000"/>
          <w:sz w:val="24"/>
          <w:szCs w:val="24"/>
        </w:rPr>
      </w:pPr>
    </w:p>
    <w:p w:rsidR="001D77FD" w:rsidRPr="00F06A9D" w:rsidRDefault="001D77FD" w:rsidP="000C578D">
      <w:pPr>
        <w:widowControl w:val="0"/>
        <w:jc w:val="both"/>
        <w:rPr>
          <w:b/>
          <w:color w:val="000000"/>
          <w:sz w:val="24"/>
          <w:szCs w:val="24"/>
        </w:rPr>
      </w:pPr>
      <w:r>
        <w:rPr>
          <w:b/>
          <w:color w:val="000000"/>
          <w:sz w:val="24"/>
          <w:szCs w:val="24"/>
        </w:rPr>
        <w:t>K čl.</w:t>
      </w:r>
      <w:r w:rsidRPr="00F06A9D">
        <w:rPr>
          <w:b/>
          <w:color w:val="000000"/>
          <w:sz w:val="24"/>
          <w:szCs w:val="24"/>
        </w:rPr>
        <w:t xml:space="preserve"> II</w:t>
      </w:r>
    </w:p>
    <w:p w:rsidR="001D77FD" w:rsidRPr="001F6DBB" w:rsidRDefault="001D77FD" w:rsidP="000C578D">
      <w:pPr>
        <w:jc w:val="both"/>
        <w:rPr>
          <w:rStyle w:val="Zstupntext"/>
          <w:color w:val="000000"/>
          <w:sz w:val="24"/>
          <w:szCs w:val="24"/>
        </w:rPr>
      </w:pPr>
      <w:r w:rsidRPr="001F6DBB">
        <w:rPr>
          <w:rStyle w:val="Zstupntext"/>
          <w:color w:val="000000"/>
          <w:sz w:val="24"/>
          <w:szCs w:val="24"/>
        </w:rPr>
        <w:t xml:space="preserve">S ohľadom na stanovený termín transpozície cit. smerníc sa účinnosť zákona navrhuje od 1. januára 2019. </w:t>
      </w:r>
    </w:p>
    <w:p w:rsidR="001D77FD" w:rsidRDefault="001D77FD" w:rsidP="000C578D">
      <w:pPr>
        <w:tabs>
          <w:tab w:val="left" w:pos="283"/>
        </w:tabs>
        <w:autoSpaceDE w:val="0"/>
        <w:autoSpaceDN w:val="0"/>
        <w:adjustRightInd w:val="0"/>
        <w:jc w:val="both"/>
        <w:rPr>
          <w:b/>
          <w:bCs/>
          <w:sz w:val="24"/>
          <w:szCs w:val="24"/>
        </w:rPr>
      </w:pPr>
    </w:p>
    <w:p w:rsidR="001D77FD" w:rsidRDefault="001D77FD" w:rsidP="000C578D">
      <w:pPr>
        <w:tabs>
          <w:tab w:val="left" w:pos="283"/>
        </w:tabs>
        <w:autoSpaceDE w:val="0"/>
        <w:autoSpaceDN w:val="0"/>
        <w:adjustRightInd w:val="0"/>
        <w:jc w:val="both"/>
        <w:rPr>
          <w:b/>
          <w:bCs/>
          <w:sz w:val="24"/>
          <w:szCs w:val="24"/>
        </w:rPr>
      </w:pPr>
    </w:p>
    <w:p w:rsidR="001D77FD" w:rsidRDefault="001D77FD" w:rsidP="000C578D">
      <w:pPr>
        <w:tabs>
          <w:tab w:val="left" w:pos="283"/>
        </w:tabs>
        <w:autoSpaceDE w:val="0"/>
        <w:autoSpaceDN w:val="0"/>
        <w:adjustRightInd w:val="0"/>
        <w:jc w:val="both"/>
        <w:rPr>
          <w:bCs/>
          <w:sz w:val="24"/>
          <w:szCs w:val="24"/>
        </w:rPr>
      </w:pPr>
      <w:r w:rsidRPr="001D77FD">
        <w:rPr>
          <w:bCs/>
          <w:sz w:val="24"/>
          <w:szCs w:val="24"/>
        </w:rPr>
        <w:t>Schválené vládou Slovenskej republiky dňa 26. septembra 2018</w:t>
      </w:r>
      <w:r>
        <w:rPr>
          <w:bCs/>
          <w:sz w:val="24"/>
          <w:szCs w:val="24"/>
        </w:rPr>
        <w:t>.</w:t>
      </w:r>
    </w:p>
    <w:p w:rsidR="001D77FD" w:rsidRDefault="001D77FD" w:rsidP="001D77FD">
      <w:pPr>
        <w:tabs>
          <w:tab w:val="left" w:pos="283"/>
        </w:tabs>
        <w:autoSpaceDE w:val="0"/>
        <w:autoSpaceDN w:val="0"/>
        <w:adjustRightInd w:val="0"/>
        <w:rPr>
          <w:bCs/>
          <w:sz w:val="24"/>
          <w:szCs w:val="24"/>
        </w:rPr>
      </w:pPr>
    </w:p>
    <w:p w:rsidR="001D77FD" w:rsidRDefault="001D77FD" w:rsidP="001D77FD">
      <w:pPr>
        <w:tabs>
          <w:tab w:val="left" w:pos="283"/>
        </w:tabs>
        <w:autoSpaceDE w:val="0"/>
        <w:autoSpaceDN w:val="0"/>
        <w:adjustRightInd w:val="0"/>
        <w:rPr>
          <w:bCs/>
          <w:sz w:val="24"/>
          <w:szCs w:val="24"/>
        </w:rPr>
      </w:pPr>
    </w:p>
    <w:p w:rsidR="001D77FD" w:rsidRDefault="001D77FD" w:rsidP="001D77FD">
      <w:pPr>
        <w:tabs>
          <w:tab w:val="left" w:pos="283"/>
        </w:tabs>
        <w:autoSpaceDE w:val="0"/>
        <w:autoSpaceDN w:val="0"/>
        <w:adjustRightInd w:val="0"/>
        <w:rPr>
          <w:bCs/>
          <w:sz w:val="24"/>
          <w:szCs w:val="24"/>
        </w:rPr>
      </w:pPr>
    </w:p>
    <w:p w:rsidR="001D77FD" w:rsidRDefault="001D77FD" w:rsidP="001D77FD">
      <w:pPr>
        <w:tabs>
          <w:tab w:val="left" w:pos="283"/>
        </w:tabs>
        <w:autoSpaceDE w:val="0"/>
        <w:autoSpaceDN w:val="0"/>
        <w:adjustRightInd w:val="0"/>
        <w:rPr>
          <w:bCs/>
          <w:sz w:val="24"/>
          <w:szCs w:val="24"/>
        </w:rPr>
      </w:pPr>
    </w:p>
    <w:p w:rsidR="001D77FD" w:rsidRDefault="001D77FD" w:rsidP="001D77FD">
      <w:pPr>
        <w:tabs>
          <w:tab w:val="left" w:pos="283"/>
        </w:tabs>
        <w:autoSpaceDE w:val="0"/>
        <w:autoSpaceDN w:val="0"/>
        <w:adjustRightInd w:val="0"/>
        <w:rPr>
          <w:bCs/>
          <w:sz w:val="24"/>
          <w:szCs w:val="24"/>
        </w:rPr>
      </w:pPr>
    </w:p>
    <w:p w:rsidR="001D77FD" w:rsidRDefault="001D77FD" w:rsidP="001D77FD">
      <w:pPr>
        <w:tabs>
          <w:tab w:val="left" w:pos="283"/>
        </w:tabs>
        <w:autoSpaceDE w:val="0"/>
        <w:autoSpaceDN w:val="0"/>
        <w:adjustRightInd w:val="0"/>
        <w:rPr>
          <w:bCs/>
          <w:sz w:val="24"/>
          <w:szCs w:val="24"/>
        </w:rPr>
      </w:pPr>
    </w:p>
    <w:p w:rsidR="001D77FD" w:rsidRDefault="006C1F1F" w:rsidP="001D77FD">
      <w:pPr>
        <w:tabs>
          <w:tab w:val="left" w:pos="283"/>
        </w:tabs>
        <w:autoSpaceDE w:val="0"/>
        <w:autoSpaceDN w:val="0"/>
        <w:adjustRightInd w:val="0"/>
        <w:jc w:val="center"/>
        <w:rPr>
          <w:bCs/>
          <w:sz w:val="24"/>
          <w:szCs w:val="24"/>
        </w:rPr>
      </w:pPr>
      <w:r>
        <w:rPr>
          <w:bCs/>
          <w:sz w:val="24"/>
          <w:szCs w:val="24"/>
        </w:rPr>
        <w:t xml:space="preserve">Peter </w:t>
      </w:r>
      <w:proofErr w:type="spellStart"/>
      <w:r>
        <w:rPr>
          <w:bCs/>
          <w:sz w:val="24"/>
          <w:szCs w:val="24"/>
        </w:rPr>
        <w:t>Pellegrini</w:t>
      </w:r>
      <w:proofErr w:type="spellEnd"/>
      <w:r w:rsidR="00D60BF9">
        <w:rPr>
          <w:bCs/>
          <w:sz w:val="24"/>
          <w:szCs w:val="24"/>
        </w:rPr>
        <w:t>, v. r.</w:t>
      </w:r>
    </w:p>
    <w:p w:rsidR="001D77FD" w:rsidRDefault="001D77FD" w:rsidP="001D77FD">
      <w:pPr>
        <w:tabs>
          <w:tab w:val="left" w:pos="283"/>
        </w:tabs>
        <w:autoSpaceDE w:val="0"/>
        <w:autoSpaceDN w:val="0"/>
        <w:adjustRightInd w:val="0"/>
        <w:jc w:val="center"/>
        <w:rPr>
          <w:bCs/>
          <w:sz w:val="24"/>
          <w:szCs w:val="24"/>
        </w:rPr>
      </w:pPr>
      <w:r>
        <w:rPr>
          <w:bCs/>
          <w:sz w:val="24"/>
          <w:szCs w:val="24"/>
        </w:rPr>
        <w:t>predseda vlády Slovenskej republiky</w:t>
      </w:r>
    </w:p>
    <w:p w:rsidR="001D77FD" w:rsidRDefault="001D77FD" w:rsidP="001D77FD">
      <w:pPr>
        <w:tabs>
          <w:tab w:val="left" w:pos="283"/>
        </w:tabs>
        <w:autoSpaceDE w:val="0"/>
        <w:autoSpaceDN w:val="0"/>
        <w:adjustRightInd w:val="0"/>
        <w:jc w:val="center"/>
        <w:rPr>
          <w:bCs/>
          <w:sz w:val="24"/>
          <w:szCs w:val="24"/>
        </w:rPr>
      </w:pPr>
    </w:p>
    <w:p w:rsidR="001D77FD" w:rsidRDefault="001D77FD" w:rsidP="001D77FD">
      <w:pPr>
        <w:tabs>
          <w:tab w:val="left" w:pos="283"/>
        </w:tabs>
        <w:autoSpaceDE w:val="0"/>
        <w:autoSpaceDN w:val="0"/>
        <w:adjustRightInd w:val="0"/>
        <w:jc w:val="center"/>
        <w:rPr>
          <w:bCs/>
          <w:sz w:val="24"/>
          <w:szCs w:val="24"/>
        </w:rPr>
      </w:pPr>
    </w:p>
    <w:p w:rsidR="001D77FD" w:rsidRDefault="001D77FD" w:rsidP="001D77FD">
      <w:pPr>
        <w:tabs>
          <w:tab w:val="left" w:pos="283"/>
        </w:tabs>
        <w:autoSpaceDE w:val="0"/>
        <w:autoSpaceDN w:val="0"/>
        <w:adjustRightInd w:val="0"/>
        <w:jc w:val="center"/>
        <w:rPr>
          <w:bCs/>
          <w:sz w:val="24"/>
          <w:szCs w:val="24"/>
        </w:rPr>
      </w:pPr>
    </w:p>
    <w:p w:rsidR="001D77FD" w:rsidRDefault="001D77FD" w:rsidP="001D77FD">
      <w:pPr>
        <w:tabs>
          <w:tab w:val="left" w:pos="283"/>
        </w:tabs>
        <w:autoSpaceDE w:val="0"/>
        <w:autoSpaceDN w:val="0"/>
        <w:adjustRightInd w:val="0"/>
        <w:jc w:val="center"/>
        <w:rPr>
          <w:bCs/>
          <w:sz w:val="24"/>
          <w:szCs w:val="24"/>
        </w:rPr>
      </w:pPr>
    </w:p>
    <w:p w:rsidR="001D77FD" w:rsidRDefault="001D77FD" w:rsidP="001D77FD">
      <w:pPr>
        <w:tabs>
          <w:tab w:val="left" w:pos="283"/>
        </w:tabs>
        <w:autoSpaceDE w:val="0"/>
        <w:autoSpaceDN w:val="0"/>
        <w:adjustRightInd w:val="0"/>
        <w:jc w:val="center"/>
        <w:rPr>
          <w:bCs/>
          <w:sz w:val="24"/>
          <w:szCs w:val="24"/>
        </w:rPr>
      </w:pPr>
    </w:p>
    <w:p w:rsidR="001D77FD" w:rsidRDefault="006C1F1F" w:rsidP="001D77FD">
      <w:pPr>
        <w:tabs>
          <w:tab w:val="left" w:pos="283"/>
        </w:tabs>
        <w:autoSpaceDE w:val="0"/>
        <w:autoSpaceDN w:val="0"/>
        <w:adjustRightInd w:val="0"/>
        <w:jc w:val="center"/>
        <w:rPr>
          <w:bCs/>
          <w:sz w:val="24"/>
          <w:szCs w:val="24"/>
        </w:rPr>
      </w:pPr>
      <w:r>
        <w:rPr>
          <w:bCs/>
          <w:sz w:val="24"/>
          <w:szCs w:val="24"/>
        </w:rPr>
        <w:t xml:space="preserve">Peter </w:t>
      </w:r>
      <w:proofErr w:type="spellStart"/>
      <w:r>
        <w:rPr>
          <w:bCs/>
          <w:sz w:val="24"/>
          <w:szCs w:val="24"/>
        </w:rPr>
        <w:t>Kažimír</w:t>
      </w:r>
      <w:proofErr w:type="spellEnd"/>
      <w:r w:rsidR="00D60BF9">
        <w:rPr>
          <w:bCs/>
          <w:sz w:val="24"/>
          <w:szCs w:val="24"/>
        </w:rPr>
        <w:t>, v. r.</w:t>
      </w:r>
      <w:bookmarkStart w:id="1" w:name="_GoBack"/>
      <w:bookmarkEnd w:id="1"/>
    </w:p>
    <w:p w:rsidR="001D77FD" w:rsidRDefault="001D77FD" w:rsidP="001D77FD">
      <w:pPr>
        <w:tabs>
          <w:tab w:val="left" w:pos="283"/>
        </w:tabs>
        <w:autoSpaceDE w:val="0"/>
        <w:autoSpaceDN w:val="0"/>
        <w:adjustRightInd w:val="0"/>
        <w:jc w:val="center"/>
        <w:rPr>
          <w:bCs/>
          <w:sz w:val="24"/>
          <w:szCs w:val="24"/>
        </w:rPr>
      </w:pPr>
      <w:r>
        <w:rPr>
          <w:bCs/>
          <w:sz w:val="24"/>
          <w:szCs w:val="24"/>
        </w:rPr>
        <w:t>podpredseda vlády a minister financií Slovenskej republiky</w:t>
      </w:r>
    </w:p>
    <w:p w:rsidR="001D77FD" w:rsidRDefault="001D77FD" w:rsidP="001D77FD">
      <w:pPr>
        <w:tabs>
          <w:tab w:val="left" w:pos="283"/>
        </w:tabs>
        <w:autoSpaceDE w:val="0"/>
        <w:autoSpaceDN w:val="0"/>
        <w:adjustRightInd w:val="0"/>
        <w:jc w:val="center"/>
        <w:rPr>
          <w:bCs/>
          <w:sz w:val="24"/>
          <w:szCs w:val="24"/>
        </w:rPr>
      </w:pPr>
    </w:p>
    <w:p w:rsidR="001D77FD" w:rsidRDefault="001D77FD" w:rsidP="001D77FD">
      <w:pPr>
        <w:tabs>
          <w:tab w:val="left" w:pos="283"/>
        </w:tabs>
        <w:autoSpaceDE w:val="0"/>
        <w:autoSpaceDN w:val="0"/>
        <w:adjustRightInd w:val="0"/>
        <w:jc w:val="center"/>
        <w:rPr>
          <w:bCs/>
          <w:sz w:val="24"/>
          <w:szCs w:val="24"/>
        </w:rPr>
      </w:pPr>
    </w:p>
    <w:p w:rsidR="001D77FD" w:rsidRPr="001D77FD" w:rsidRDefault="001D77FD" w:rsidP="001D77FD">
      <w:pPr>
        <w:tabs>
          <w:tab w:val="left" w:pos="283"/>
        </w:tabs>
        <w:autoSpaceDE w:val="0"/>
        <w:autoSpaceDN w:val="0"/>
        <w:adjustRightInd w:val="0"/>
        <w:jc w:val="center"/>
        <w:rPr>
          <w:bCs/>
          <w:sz w:val="24"/>
          <w:szCs w:val="24"/>
        </w:rPr>
      </w:pPr>
    </w:p>
    <w:p w:rsidR="001D77FD" w:rsidRPr="000316C2" w:rsidRDefault="001D77FD" w:rsidP="001D77FD">
      <w:pPr>
        <w:tabs>
          <w:tab w:val="left" w:pos="283"/>
        </w:tabs>
        <w:autoSpaceDE w:val="0"/>
        <w:autoSpaceDN w:val="0"/>
        <w:adjustRightInd w:val="0"/>
        <w:rPr>
          <w:b/>
          <w:bCs/>
          <w:sz w:val="24"/>
          <w:szCs w:val="24"/>
        </w:rPr>
      </w:pPr>
    </w:p>
    <w:p w:rsidR="001D77FD" w:rsidRPr="00A21C46" w:rsidRDefault="001D77FD" w:rsidP="00A733AF">
      <w:pPr>
        <w:tabs>
          <w:tab w:val="num" w:pos="1080"/>
        </w:tabs>
        <w:ind w:left="-900"/>
        <w:jc w:val="both"/>
        <w:rPr>
          <w:bCs/>
          <w:sz w:val="24"/>
          <w:szCs w:val="24"/>
        </w:rPr>
      </w:pPr>
    </w:p>
    <w:sectPr w:rsidR="001D77FD" w:rsidRPr="00A21C46" w:rsidSect="00A733A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68" w:rsidRDefault="00606768" w:rsidP="003501A1">
      <w:r>
        <w:separator/>
      </w:r>
    </w:p>
  </w:endnote>
  <w:endnote w:type="continuationSeparator" w:id="0">
    <w:p w:rsidR="00606768" w:rsidRDefault="00606768"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D3" w:rsidRDefault="006564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564D3" w:rsidRDefault="006564D3">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4100"/>
      <w:docPartObj>
        <w:docPartGallery w:val="Page Numbers (Bottom of Page)"/>
        <w:docPartUnique/>
      </w:docPartObj>
    </w:sdtPr>
    <w:sdtEndPr/>
    <w:sdtContent>
      <w:p w:rsidR="00A76ADD" w:rsidRDefault="00A76ADD">
        <w:pPr>
          <w:pStyle w:val="Pta"/>
          <w:jc w:val="right"/>
        </w:pPr>
        <w:r>
          <w:fldChar w:fldCharType="begin"/>
        </w:r>
        <w:r>
          <w:instrText>PAGE   \* MERGEFORMAT</w:instrText>
        </w:r>
        <w:r>
          <w:fldChar w:fldCharType="separate"/>
        </w:r>
        <w:r w:rsidR="00D60BF9">
          <w:rPr>
            <w:noProof/>
          </w:rPr>
          <w:t>28</w:t>
        </w:r>
        <w:r>
          <w:fldChar w:fldCharType="end"/>
        </w:r>
      </w:p>
    </w:sdtContent>
  </w:sdt>
  <w:p w:rsidR="006564D3" w:rsidRDefault="006564D3">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D3" w:rsidRDefault="006564D3">
    <w:pPr>
      <w:pStyle w:val="Pta"/>
      <w:jc w:val="right"/>
    </w:pPr>
    <w:r>
      <w:fldChar w:fldCharType="begin"/>
    </w:r>
    <w:r>
      <w:instrText>PAGE   \* MERGEFORMAT</w:instrText>
    </w:r>
    <w:r>
      <w:fldChar w:fldCharType="separate"/>
    </w:r>
    <w:r>
      <w:rPr>
        <w:noProof/>
      </w:rPr>
      <w:t>0</w:t>
    </w:r>
    <w:r>
      <w:fldChar w:fldCharType="end"/>
    </w:r>
  </w:p>
  <w:p w:rsidR="006564D3" w:rsidRDefault="006564D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68" w:rsidRDefault="00606768" w:rsidP="003501A1">
      <w:r>
        <w:separator/>
      </w:r>
    </w:p>
  </w:footnote>
  <w:footnote w:type="continuationSeparator" w:id="0">
    <w:p w:rsidR="00606768" w:rsidRDefault="00606768"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D3" w:rsidRDefault="006564D3" w:rsidP="008719E2">
    <w:pPr>
      <w:pStyle w:val="Hlavika"/>
      <w:jc w:val="right"/>
      <w:rPr>
        <w:sz w:val="24"/>
        <w:szCs w:val="24"/>
      </w:rPr>
    </w:pPr>
    <w:r>
      <w:rPr>
        <w:sz w:val="24"/>
        <w:szCs w:val="24"/>
      </w:rPr>
      <w:t>Príloha č. 2</w:t>
    </w:r>
  </w:p>
  <w:p w:rsidR="006564D3" w:rsidRPr="00EB59C8" w:rsidRDefault="006564D3" w:rsidP="008719E2">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D3" w:rsidRPr="000A15AE" w:rsidRDefault="006564D3" w:rsidP="008719E2">
    <w:pPr>
      <w:pStyle w:val="Hlavika"/>
      <w:jc w:val="right"/>
      <w:rPr>
        <w:sz w:val="24"/>
        <w:szCs w:val="24"/>
      </w:rPr>
    </w:pPr>
    <w:r>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D3" w:rsidRDefault="006564D3" w:rsidP="003501A1">
    <w:pPr>
      <w:pStyle w:val="Hlavika"/>
      <w:jc w:val="right"/>
      <w:rPr>
        <w:sz w:val="24"/>
        <w:szCs w:val="24"/>
      </w:rPr>
    </w:pPr>
  </w:p>
  <w:p w:rsidR="006564D3" w:rsidRPr="000A15AE" w:rsidRDefault="006564D3" w:rsidP="003501A1">
    <w:pPr>
      <w:pStyle w:val="Hlavika"/>
      <w:jc w:val="right"/>
      <w:rPr>
        <w:sz w:val="24"/>
        <w:szCs w:val="24"/>
      </w:rPr>
    </w:pPr>
  </w:p>
  <w:p w:rsidR="006564D3" w:rsidRDefault="006564D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04642426"/>
    <w:multiLevelType w:val="multilevel"/>
    <w:tmpl w:val="E0AA8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bCs/>
      </w:rPr>
    </w:lvl>
    <w:lvl w:ilvl="1">
      <w:start w:val="1"/>
      <w:numFmt w:val="lowerLetter"/>
      <w:lvlText w:val="%2)"/>
      <w:legacy w:legacy="1" w:legacySpace="0" w:legacyIndent="425"/>
      <w:lvlJc w:val="left"/>
      <w:pPr>
        <w:ind w:left="1418" w:hanging="425"/>
      </w:pPr>
    </w:lvl>
    <w:lvl w:ilvl="2">
      <w:start w:val="1"/>
      <w:numFmt w:val="decimal"/>
      <w:lvlText w:val="%3.)"/>
      <w:legacy w:legacy="1" w:legacySpace="0" w:legacyIndent="425"/>
      <w:lvlJc w:val="left"/>
      <w:pPr>
        <w:ind w:left="1843" w:hanging="425"/>
      </w:pPr>
    </w:lvl>
    <w:lvl w:ilvl="3">
      <w:start w:val="1"/>
      <w:numFmt w:val="lowerLetter"/>
      <w:lvlText w:val="%4)"/>
      <w:legacy w:legacy="1" w:legacySpace="0" w:legacyIndent="708"/>
      <w:lvlJc w:val="left"/>
      <w:pPr>
        <w:ind w:left="2551" w:hanging="708"/>
      </w:pPr>
    </w:lvl>
    <w:lvl w:ilvl="4">
      <w:start w:val="1"/>
      <w:numFmt w:val="decimal"/>
      <w:lvlText w:val="(%5)"/>
      <w:legacy w:legacy="1" w:legacySpace="0" w:legacyIndent="708"/>
      <w:lvlJc w:val="left"/>
      <w:pPr>
        <w:ind w:left="3259" w:hanging="708"/>
      </w:pPr>
    </w:lvl>
    <w:lvl w:ilvl="5">
      <w:start w:val="1"/>
      <w:numFmt w:val="lowerLetter"/>
      <w:lvlText w:val="(%6)"/>
      <w:legacy w:legacy="1" w:legacySpace="0" w:legacyIndent="708"/>
      <w:lvlJc w:val="left"/>
      <w:pPr>
        <w:ind w:left="3967" w:hanging="708"/>
      </w:pPr>
    </w:lvl>
    <w:lvl w:ilvl="6">
      <w:start w:val="1"/>
      <w:numFmt w:val="lowerRoman"/>
      <w:lvlText w:val="(%7)"/>
      <w:legacy w:legacy="1" w:legacySpace="0" w:legacyIndent="708"/>
      <w:lvlJc w:val="left"/>
      <w:pPr>
        <w:ind w:left="4675" w:hanging="708"/>
      </w:pPr>
    </w:lvl>
    <w:lvl w:ilvl="7">
      <w:start w:val="1"/>
      <w:numFmt w:val="lowerLetter"/>
      <w:lvlText w:val="(%8)"/>
      <w:legacy w:legacy="1" w:legacySpace="0" w:legacyIndent="708"/>
      <w:lvlJc w:val="left"/>
      <w:pPr>
        <w:ind w:left="5383" w:hanging="708"/>
      </w:pPr>
    </w:lvl>
    <w:lvl w:ilvl="8">
      <w:start w:val="1"/>
      <w:numFmt w:val="lowerRoman"/>
      <w:lvlText w:val="(%9)"/>
      <w:legacy w:legacy="1" w:legacySpace="0" w:legacyIndent="708"/>
      <w:lvlJc w:val="left"/>
      <w:pPr>
        <w:ind w:left="6091" w:hanging="708"/>
      </w:pPr>
    </w:lvl>
  </w:abstractNum>
  <w:abstractNum w:abstractNumId="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Wingdings" w:hint="default"/>
      </w:rPr>
    </w:lvl>
    <w:lvl w:ilvl="3" w:tplc="041B0001">
      <w:start w:val="1"/>
      <w:numFmt w:val="bullet"/>
      <w:lvlText w:val=""/>
      <w:lvlJc w:val="left"/>
      <w:pPr>
        <w:tabs>
          <w:tab w:val="num" w:pos="3060"/>
        </w:tabs>
        <w:ind w:left="3060" w:hanging="360"/>
      </w:pPr>
      <w:rPr>
        <w:rFonts w:ascii="Symbol" w:hAnsi="Symbol" w:cs="Symbol"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Wingdings" w:hint="default"/>
      </w:rPr>
    </w:lvl>
    <w:lvl w:ilvl="6" w:tplc="041B0001">
      <w:start w:val="1"/>
      <w:numFmt w:val="bullet"/>
      <w:lvlText w:val=""/>
      <w:lvlJc w:val="left"/>
      <w:pPr>
        <w:tabs>
          <w:tab w:val="num" w:pos="5220"/>
        </w:tabs>
        <w:ind w:left="5220" w:hanging="360"/>
      </w:pPr>
      <w:rPr>
        <w:rFonts w:ascii="Symbol" w:hAnsi="Symbol" w:cs="Symbol"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41F64A4D"/>
    <w:multiLevelType w:val="hybridMultilevel"/>
    <w:tmpl w:val="2AA66CCC"/>
    <w:lvl w:ilvl="0" w:tplc="AEDA6A0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7" w15:restartNumberingAfterBreak="0">
    <w:nsid w:val="69FE7E3A"/>
    <w:multiLevelType w:val="hybridMultilevel"/>
    <w:tmpl w:val="86083F48"/>
    <w:lvl w:ilvl="0" w:tplc="655E21F2">
      <w:start w:val="1"/>
      <w:numFmt w:val="lowerLetter"/>
      <w:lvlText w:val="%1)"/>
      <w:lvlJc w:val="left"/>
      <w:pPr>
        <w:ind w:left="1698" w:hanging="99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8" w15:restartNumberingAfterBreak="0">
    <w:nsid w:val="6D9F4801"/>
    <w:multiLevelType w:val="hybridMultilevel"/>
    <w:tmpl w:val="E3C493A2"/>
    <w:lvl w:ilvl="0" w:tplc="2CF4F216">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9"/>
  </w:num>
  <w:num w:numId="2">
    <w:abstractNumId w:val="7"/>
  </w:num>
  <w:num w:numId="3">
    <w:abstractNumId w:val="5"/>
  </w:num>
  <w:num w:numId="4">
    <w:abstractNumId w:val="8"/>
  </w:num>
  <w:num w:numId="5">
    <w:abstractNumId w:val="1"/>
  </w:num>
  <w:num w:numId="6">
    <w:abstractNumId w:val="6"/>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06A08"/>
    <w:rsid w:val="000219F8"/>
    <w:rsid w:val="000271D4"/>
    <w:rsid w:val="000278BA"/>
    <w:rsid w:val="00036A60"/>
    <w:rsid w:val="0004649F"/>
    <w:rsid w:val="00051C6D"/>
    <w:rsid w:val="00086CFE"/>
    <w:rsid w:val="000A15AE"/>
    <w:rsid w:val="000B2CDB"/>
    <w:rsid w:val="000C578D"/>
    <w:rsid w:val="000E0323"/>
    <w:rsid w:val="000F7E1D"/>
    <w:rsid w:val="00104221"/>
    <w:rsid w:val="00104D25"/>
    <w:rsid w:val="00105D88"/>
    <w:rsid w:val="001152DB"/>
    <w:rsid w:val="00117D66"/>
    <w:rsid w:val="00120E28"/>
    <w:rsid w:val="001231BE"/>
    <w:rsid w:val="00127DAC"/>
    <w:rsid w:val="00144458"/>
    <w:rsid w:val="00156A23"/>
    <w:rsid w:val="00167FCD"/>
    <w:rsid w:val="00175FD8"/>
    <w:rsid w:val="00192DC1"/>
    <w:rsid w:val="001A237B"/>
    <w:rsid w:val="001B5DEB"/>
    <w:rsid w:val="001C069F"/>
    <w:rsid w:val="001D77FD"/>
    <w:rsid w:val="001E4D47"/>
    <w:rsid w:val="001E7C0B"/>
    <w:rsid w:val="00202F02"/>
    <w:rsid w:val="00213D8C"/>
    <w:rsid w:val="00214E86"/>
    <w:rsid w:val="00215E0C"/>
    <w:rsid w:val="002255B0"/>
    <w:rsid w:val="00244067"/>
    <w:rsid w:val="00244522"/>
    <w:rsid w:val="00246904"/>
    <w:rsid w:val="00252805"/>
    <w:rsid w:val="00282370"/>
    <w:rsid w:val="00297FB1"/>
    <w:rsid w:val="002B6929"/>
    <w:rsid w:val="002D014D"/>
    <w:rsid w:val="002F310C"/>
    <w:rsid w:val="002F4311"/>
    <w:rsid w:val="002F5081"/>
    <w:rsid w:val="00304B9E"/>
    <w:rsid w:val="0032130B"/>
    <w:rsid w:val="00334594"/>
    <w:rsid w:val="00337145"/>
    <w:rsid w:val="0034499C"/>
    <w:rsid w:val="003501A1"/>
    <w:rsid w:val="00350B73"/>
    <w:rsid w:val="00394D97"/>
    <w:rsid w:val="00394F2E"/>
    <w:rsid w:val="00395098"/>
    <w:rsid w:val="003A06D7"/>
    <w:rsid w:val="003C3BE8"/>
    <w:rsid w:val="003C4184"/>
    <w:rsid w:val="003D1FD4"/>
    <w:rsid w:val="003D5512"/>
    <w:rsid w:val="003E3C1F"/>
    <w:rsid w:val="003E687D"/>
    <w:rsid w:val="003F38F4"/>
    <w:rsid w:val="00422019"/>
    <w:rsid w:val="00435871"/>
    <w:rsid w:val="0045465B"/>
    <w:rsid w:val="00482F0C"/>
    <w:rsid w:val="004A6987"/>
    <w:rsid w:val="004B7D39"/>
    <w:rsid w:val="004C60B8"/>
    <w:rsid w:val="004C63A4"/>
    <w:rsid w:val="004C794A"/>
    <w:rsid w:val="004E7916"/>
    <w:rsid w:val="004F2C11"/>
    <w:rsid w:val="004F6F1F"/>
    <w:rsid w:val="004F7D6F"/>
    <w:rsid w:val="00516AE6"/>
    <w:rsid w:val="00517C2E"/>
    <w:rsid w:val="005253EB"/>
    <w:rsid w:val="005343CA"/>
    <w:rsid w:val="00550CA3"/>
    <w:rsid w:val="005539A3"/>
    <w:rsid w:val="00570B48"/>
    <w:rsid w:val="005922A1"/>
    <w:rsid w:val="005948AC"/>
    <w:rsid w:val="005B7A8D"/>
    <w:rsid w:val="005C5D23"/>
    <w:rsid w:val="006026DA"/>
    <w:rsid w:val="00603997"/>
    <w:rsid w:val="00606768"/>
    <w:rsid w:val="00607440"/>
    <w:rsid w:val="00611A12"/>
    <w:rsid w:val="006158F5"/>
    <w:rsid w:val="00617835"/>
    <w:rsid w:val="00643F29"/>
    <w:rsid w:val="00653ADA"/>
    <w:rsid w:val="006564D3"/>
    <w:rsid w:val="006605A2"/>
    <w:rsid w:val="0066363F"/>
    <w:rsid w:val="00665DAF"/>
    <w:rsid w:val="00676AE2"/>
    <w:rsid w:val="006961CD"/>
    <w:rsid w:val="006A6EC6"/>
    <w:rsid w:val="006A77D7"/>
    <w:rsid w:val="006C1F1F"/>
    <w:rsid w:val="006C3B7D"/>
    <w:rsid w:val="006D1395"/>
    <w:rsid w:val="006E4652"/>
    <w:rsid w:val="006E6042"/>
    <w:rsid w:val="007022E1"/>
    <w:rsid w:val="0070534E"/>
    <w:rsid w:val="00707D85"/>
    <w:rsid w:val="007260E8"/>
    <w:rsid w:val="00726EE4"/>
    <w:rsid w:val="00740DE6"/>
    <w:rsid w:val="007458C3"/>
    <w:rsid w:val="0075612D"/>
    <w:rsid w:val="0077380E"/>
    <w:rsid w:val="007945D9"/>
    <w:rsid w:val="007A2892"/>
    <w:rsid w:val="007A518E"/>
    <w:rsid w:val="007B2635"/>
    <w:rsid w:val="007B475E"/>
    <w:rsid w:val="007B71A4"/>
    <w:rsid w:val="007C4395"/>
    <w:rsid w:val="007D4B3F"/>
    <w:rsid w:val="007E312B"/>
    <w:rsid w:val="007E3D13"/>
    <w:rsid w:val="008143A2"/>
    <w:rsid w:val="008273FF"/>
    <w:rsid w:val="00830E10"/>
    <w:rsid w:val="00850EC6"/>
    <w:rsid w:val="00855824"/>
    <w:rsid w:val="00864A43"/>
    <w:rsid w:val="0086735F"/>
    <w:rsid w:val="008719E2"/>
    <w:rsid w:val="008A5794"/>
    <w:rsid w:val="008B6E60"/>
    <w:rsid w:val="008C0F20"/>
    <w:rsid w:val="008D63F1"/>
    <w:rsid w:val="008F1524"/>
    <w:rsid w:val="008F6FC4"/>
    <w:rsid w:val="00903306"/>
    <w:rsid w:val="009606B6"/>
    <w:rsid w:val="009634B3"/>
    <w:rsid w:val="0098290F"/>
    <w:rsid w:val="00987311"/>
    <w:rsid w:val="0099386C"/>
    <w:rsid w:val="00994067"/>
    <w:rsid w:val="009A0F8A"/>
    <w:rsid w:val="009A56EE"/>
    <w:rsid w:val="009C756D"/>
    <w:rsid w:val="009D05F7"/>
    <w:rsid w:val="009D4DE1"/>
    <w:rsid w:val="00A15B57"/>
    <w:rsid w:val="00A179AE"/>
    <w:rsid w:val="00A2028C"/>
    <w:rsid w:val="00A21C46"/>
    <w:rsid w:val="00A410AA"/>
    <w:rsid w:val="00A716FC"/>
    <w:rsid w:val="00A733AF"/>
    <w:rsid w:val="00A76ADD"/>
    <w:rsid w:val="00A82351"/>
    <w:rsid w:val="00A835AD"/>
    <w:rsid w:val="00A91698"/>
    <w:rsid w:val="00AB2DB9"/>
    <w:rsid w:val="00AC2477"/>
    <w:rsid w:val="00AD0738"/>
    <w:rsid w:val="00AD0F57"/>
    <w:rsid w:val="00AD125B"/>
    <w:rsid w:val="00AD1D71"/>
    <w:rsid w:val="00AE1909"/>
    <w:rsid w:val="00AE1D5A"/>
    <w:rsid w:val="00AE2271"/>
    <w:rsid w:val="00AE5D16"/>
    <w:rsid w:val="00B04510"/>
    <w:rsid w:val="00B0547E"/>
    <w:rsid w:val="00B136E6"/>
    <w:rsid w:val="00B57B58"/>
    <w:rsid w:val="00B65A86"/>
    <w:rsid w:val="00B83402"/>
    <w:rsid w:val="00B90C2A"/>
    <w:rsid w:val="00B93F60"/>
    <w:rsid w:val="00B95B3A"/>
    <w:rsid w:val="00BA0ED3"/>
    <w:rsid w:val="00BC4135"/>
    <w:rsid w:val="00BC4DD2"/>
    <w:rsid w:val="00BE5DB0"/>
    <w:rsid w:val="00BF3078"/>
    <w:rsid w:val="00BF4F69"/>
    <w:rsid w:val="00C221D4"/>
    <w:rsid w:val="00C35C7D"/>
    <w:rsid w:val="00C7091B"/>
    <w:rsid w:val="00CB3623"/>
    <w:rsid w:val="00CC1396"/>
    <w:rsid w:val="00CE326D"/>
    <w:rsid w:val="00D03893"/>
    <w:rsid w:val="00D13B6F"/>
    <w:rsid w:val="00D17628"/>
    <w:rsid w:val="00D41DE6"/>
    <w:rsid w:val="00D523DE"/>
    <w:rsid w:val="00D60BF9"/>
    <w:rsid w:val="00D75D35"/>
    <w:rsid w:val="00D769BA"/>
    <w:rsid w:val="00D77723"/>
    <w:rsid w:val="00D925AF"/>
    <w:rsid w:val="00D93B00"/>
    <w:rsid w:val="00DA27BC"/>
    <w:rsid w:val="00DA69AF"/>
    <w:rsid w:val="00DB7027"/>
    <w:rsid w:val="00DD449E"/>
    <w:rsid w:val="00DE2A12"/>
    <w:rsid w:val="00DE566F"/>
    <w:rsid w:val="00DE6459"/>
    <w:rsid w:val="00E126AA"/>
    <w:rsid w:val="00E16007"/>
    <w:rsid w:val="00E32490"/>
    <w:rsid w:val="00E42B1D"/>
    <w:rsid w:val="00E44C5F"/>
    <w:rsid w:val="00E63A8C"/>
    <w:rsid w:val="00E7071C"/>
    <w:rsid w:val="00E8575B"/>
    <w:rsid w:val="00E9458D"/>
    <w:rsid w:val="00E97DCB"/>
    <w:rsid w:val="00EA6280"/>
    <w:rsid w:val="00EB08A8"/>
    <w:rsid w:val="00EB59C8"/>
    <w:rsid w:val="00EB59E3"/>
    <w:rsid w:val="00EC20D3"/>
    <w:rsid w:val="00ED113A"/>
    <w:rsid w:val="00F067D2"/>
    <w:rsid w:val="00F20635"/>
    <w:rsid w:val="00F22831"/>
    <w:rsid w:val="00F62771"/>
    <w:rsid w:val="00F7447F"/>
    <w:rsid w:val="00F92A12"/>
    <w:rsid w:val="00F968E1"/>
    <w:rsid w:val="00FB1368"/>
    <w:rsid w:val="00FB17F1"/>
    <w:rsid w:val="00FB7D6F"/>
    <w:rsid w:val="00FE01D5"/>
    <w:rsid w:val="00FE09C4"/>
    <w:rsid w:val="00FE302B"/>
    <w:rsid w:val="00FE5694"/>
    <w:rsid w:val="00FE575F"/>
    <w:rsid w:val="00FE707A"/>
    <w:rsid w:val="00FF4157"/>
    <w:rsid w:val="00FF4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3968A9-C43B-4691-9C3F-AEB6451D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hAnsiTheme="minorHAns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501A1"/>
    <w:rPr>
      <w:rFonts w:ascii="Tahoma" w:hAnsi="Tahoma" w:cs="Tahoma"/>
      <w:sz w:val="16"/>
      <w:szCs w:val="16"/>
      <w:lang w:val="x-none"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locked/>
    <w:rsid w:val="003501A1"/>
    <w:rPr>
      <w:rFonts w:ascii="Times New Roman" w:hAnsi="Times New Roman" w:cs="Times New Roman"/>
      <w:sz w:val="20"/>
      <w:szCs w:val="20"/>
      <w:lang w:val="x-none"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locked/>
    <w:rsid w:val="003501A1"/>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locked/>
    <w:rsid w:val="00F22831"/>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F22831"/>
    <w:rPr>
      <w:rFonts w:cs="Times New Roman"/>
      <w:vertAlign w:val="superscript"/>
    </w:rPr>
  </w:style>
  <w:style w:type="character" w:styleId="Odkaznakomentr">
    <w:name w:val="annotation reference"/>
    <w:basedOn w:val="Predvolenpsmoodseku"/>
    <w:uiPriority w:val="99"/>
    <w:semiHidden/>
    <w:unhideWhenUsed/>
    <w:rsid w:val="00175FD8"/>
    <w:rPr>
      <w:rFonts w:cs="Times New Roman"/>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locked/>
    <w:rsid w:val="00175FD8"/>
    <w:rPr>
      <w:rFonts w:ascii="Times New Roman" w:hAnsi="Times New Roman" w:cs="Times New Roman"/>
      <w:sz w:val="20"/>
      <w:szCs w:val="20"/>
      <w:lang w:val="x-none" w:eastAsia="sk-SK"/>
    </w:rPr>
  </w:style>
  <w:style w:type="character" w:styleId="Zstupntext">
    <w:name w:val="Placeholder Text"/>
    <w:basedOn w:val="Predvolenpsmoodseku"/>
    <w:uiPriority w:val="99"/>
    <w:semiHidden/>
    <w:rsid w:val="001231BE"/>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locked/>
    <w:rsid w:val="00175FD8"/>
    <w:rPr>
      <w:rFonts w:ascii="Times New Roman" w:hAnsi="Times New Roman" w:cs="Times New Roman"/>
      <w:b/>
      <w:bCs/>
      <w:sz w:val="20"/>
      <w:szCs w:val="20"/>
      <w:lang w:val="x-none" w:eastAsia="sk-SK"/>
    </w:rPr>
  </w:style>
  <w:style w:type="character" w:styleId="Hypertextovprepojenie">
    <w:name w:val="Hyperlink"/>
    <w:basedOn w:val="Predvolenpsmoodseku"/>
    <w:uiPriority w:val="99"/>
    <w:rsid w:val="00D17628"/>
    <w:rPr>
      <w:rFonts w:cs="Times New Roman"/>
      <w:color w:val="0000FF" w:themeColor="hyperlink"/>
      <w:u w:val="single"/>
    </w:rPr>
  </w:style>
  <w:style w:type="character" w:styleId="slostrany">
    <w:name w:val="page number"/>
    <w:basedOn w:val="Predvolenpsmoodseku"/>
    <w:uiPriority w:val="99"/>
    <w:rsid w:val="00A733AF"/>
    <w:rPr>
      <w:rFonts w:cs="Times New Roman"/>
    </w:rPr>
  </w:style>
  <w:style w:type="paragraph" w:styleId="Zkladntext">
    <w:name w:val="Body Text"/>
    <w:basedOn w:val="Normlny"/>
    <w:link w:val="ZkladntextChar"/>
    <w:uiPriority w:val="99"/>
    <w:unhideWhenUsed/>
    <w:rsid w:val="00A733AF"/>
    <w:pPr>
      <w:jc w:val="both"/>
    </w:pPr>
    <w:rPr>
      <w:rFonts w:ascii="Arial Narrow" w:hAnsi="Arial Narrow"/>
      <w:sz w:val="22"/>
      <w:szCs w:val="22"/>
      <w:lang w:eastAsia="en-US"/>
    </w:rPr>
  </w:style>
  <w:style w:type="character" w:customStyle="1" w:styleId="ZkladntextChar">
    <w:name w:val="Základný text Char"/>
    <w:basedOn w:val="Predvolenpsmoodseku"/>
    <w:link w:val="Zkladntext"/>
    <w:uiPriority w:val="99"/>
    <w:locked/>
    <w:rsid w:val="00A733AF"/>
    <w:rPr>
      <w:rFonts w:ascii="Arial Narrow" w:hAnsi="Arial Narrow" w:cs="Times New Roman"/>
    </w:rPr>
  </w:style>
  <w:style w:type="paragraph" w:styleId="Zkladntext2">
    <w:name w:val="Body Text 2"/>
    <w:basedOn w:val="Normlny"/>
    <w:link w:val="Zkladntext2Char"/>
    <w:uiPriority w:val="99"/>
    <w:unhideWhenUsed/>
    <w:rsid w:val="00A733AF"/>
    <w:pPr>
      <w:jc w:val="both"/>
    </w:pPr>
    <w:rPr>
      <w:rFonts w:ascii="Arial Narrow" w:hAnsi="Arial Narrow"/>
      <w:i/>
      <w:sz w:val="22"/>
      <w:szCs w:val="22"/>
      <w:lang w:eastAsia="en-US"/>
    </w:rPr>
  </w:style>
  <w:style w:type="character" w:customStyle="1" w:styleId="Zkladntext2Char">
    <w:name w:val="Základný text 2 Char"/>
    <w:basedOn w:val="Predvolenpsmoodseku"/>
    <w:link w:val="Zkladntext2"/>
    <w:uiPriority w:val="99"/>
    <w:locked/>
    <w:rsid w:val="00A733AF"/>
    <w:rPr>
      <w:rFonts w:ascii="Arial Narrow" w:hAnsi="Arial Narrow" w:cs="Times New Roman"/>
      <w:i/>
    </w:rPr>
  </w:style>
  <w:style w:type="paragraph" w:customStyle="1" w:styleId="CharCharCharCharCharCharCharCharCharCharCharCharCharCharChar">
    <w:name w:val="Char Char Char Char Char Char Char Char Char Char Char Char Char Char Char"/>
    <w:basedOn w:val="Normlny"/>
    <w:uiPriority w:val="99"/>
    <w:rsid w:val="009D4DE1"/>
    <w:pPr>
      <w:spacing w:after="160" w:line="240" w:lineRule="exact"/>
    </w:pPr>
    <w:rPr>
      <w:rFonts w:ascii="Tahoma" w:hAnsi="Tahoma" w:cs="Tahoma"/>
      <w:lang w:val="en-US" w:eastAsia="en-US"/>
    </w:rPr>
  </w:style>
  <w:style w:type="paragraph" w:styleId="Zarkazkladnhotextu">
    <w:name w:val="Body Text Indent"/>
    <w:basedOn w:val="Normlny"/>
    <w:link w:val="ZarkazkladnhotextuChar"/>
    <w:uiPriority w:val="99"/>
    <w:rsid w:val="001D77FD"/>
    <w:pPr>
      <w:spacing w:after="120"/>
      <w:ind w:left="283"/>
    </w:pPr>
  </w:style>
  <w:style w:type="character" w:customStyle="1" w:styleId="ZarkazkladnhotextuChar">
    <w:name w:val="Zarážka základného textu Char"/>
    <w:basedOn w:val="Predvolenpsmoodseku"/>
    <w:link w:val="Zarkazkladnhotextu"/>
    <w:uiPriority w:val="99"/>
    <w:rsid w:val="001D77FD"/>
    <w:rPr>
      <w:rFonts w:ascii="Times New Roman" w:hAnsi="Times New Roman" w:cs="Times New Roman"/>
      <w:sz w:val="20"/>
      <w:szCs w:val="20"/>
      <w:lang w:eastAsia="sk-SK"/>
    </w:rPr>
  </w:style>
  <w:style w:type="paragraph" w:styleId="Nzov">
    <w:name w:val="Title"/>
    <w:basedOn w:val="Normlny"/>
    <w:link w:val="NzovChar"/>
    <w:qFormat/>
    <w:rsid w:val="001D77FD"/>
    <w:pPr>
      <w:jc w:val="center"/>
    </w:pPr>
    <w:rPr>
      <w:b/>
      <w:bCs/>
      <w:sz w:val="24"/>
      <w:szCs w:val="24"/>
    </w:rPr>
  </w:style>
  <w:style w:type="character" w:customStyle="1" w:styleId="NzovChar">
    <w:name w:val="Názov Char"/>
    <w:basedOn w:val="Predvolenpsmoodseku"/>
    <w:link w:val="Nzov"/>
    <w:rsid w:val="001D77FD"/>
    <w:rPr>
      <w:rFonts w:ascii="Times New Roman" w:hAnsi="Times New Roman" w:cs="Times New Roman"/>
      <w:b/>
      <w:bCs/>
      <w:sz w:val="24"/>
      <w:szCs w:val="24"/>
      <w:lang w:eastAsia="sk-SK"/>
    </w:rPr>
  </w:style>
  <w:style w:type="character" w:styleId="Zvraznenie">
    <w:name w:val="Emphasis"/>
    <w:uiPriority w:val="20"/>
    <w:qFormat/>
    <w:rsid w:val="001D77FD"/>
    <w:rPr>
      <w:i/>
      <w:iCs/>
    </w:rPr>
  </w:style>
  <w:style w:type="character" w:styleId="Siln">
    <w:name w:val="Strong"/>
    <w:uiPriority w:val="22"/>
    <w:qFormat/>
    <w:rsid w:val="001D77FD"/>
    <w:rPr>
      <w:b/>
      <w:bCs/>
    </w:rPr>
  </w:style>
  <w:style w:type="paragraph" w:customStyle="1" w:styleId="Zkladntext0">
    <w:name w:val="Základní text"/>
    <w:rsid w:val="001D77FD"/>
    <w:pPr>
      <w:widowControl w:val="0"/>
      <w:snapToGrid w:val="0"/>
      <w:spacing w:after="0" w:line="240" w:lineRule="auto"/>
    </w:pPr>
    <w:rPr>
      <w:rFonts w:ascii="Times New Roman" w:hAnsi="Times New Roman" w:cs="Times New Roman"/>
      <w:color w:val="000000"/>
      <w:sz w:val="24"/>
      <w:szCs w:val="20"/>
      <w:lang w:eastAsia="sk-SK"/>
    </w:rPr>
  </w:style>
  <w:style w:type="paragraph" w:styleId="Normlnywebov">
    <w:name w:val="Normal (Web)"/>
    <w:basedOn w:val="Normlny"/>
    <w:rsid w:val="001D77FD"/>
    <w:pPr>
      <w:spacing w:before="125" w:after="125"/>
      <w:ind w:left="563" w:right="438"/>
    </w:pPr>
    <w:rPr>
      <w:sz w:val="19"/>
      <w:szCs w:val="19"/>
    </w:rPr>
  </w:style>
  <w:style w:type="paragraph" w:customStyle="1" w:styleId="c01pointnumerotealtn">
    <w:name w:val="c01pointnumerotealtn"/>
    <w:basedOn w:val="Normlny"/>
    <w:rsid w:val="001D77FD"/>
    <w:pPr>
      <w:spacing w:before="100" w:beforeAutospacing="1" w:after="240"/>
      <w:ind w:left="567" w:hanging="53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miklos@mfsr.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7B42-D12F-46D3-84E9-1E1CF0F8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10786</Words>
  <Characters>61481</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Miklos Milos</cp:lastModifiedBy>
  <cp:revision>10</cp:revision>
  <cp:lastPrinted>2018-09-27T09:21:00Z</cp:lastPrinted>
  <dcterms:created xsi:type="dcterms:W3CDTF">2018-08-31T11:15:00Z</dcterms:created>
  <dcterms:modified xsi:type="dcterms:W3CDTF">2018-09-27T09:24:00Z</dcterms:modified>
</cp:coreProperties>
</file>