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79" w:rsidRDefault="003E2879" w:rsidP="00FC53AB">
      <w:pPr>
        <w:ind w:right="568" w:firstLine="0"/>
        <w:jc w:val="center"/>
        <w:outlineLvl w:val="0"/>
        <w:rPr>
          <w:b/>
          <w:bCs/>
          <w:sz w:val="28"/>
          <w:szCs w:val="28"/>
        </w:rPr>
      </w:pPr>
      <w:r w:rsidRPr="003E2879">
        <w:rPr>
          <w:b/>
          <w:bCs/>
          <w:sz w:val="28"/>
          <w:szCs w:val="28"/>
        </w:rPr>
        <w:t>Dôvodová správa</w:t>
      </w:r>
    </w:p>
    <w:p w:rsidR="003E2879" w:rsidRDefault="003E2879" w:rsidP="00C66F8C">
      <w:pPr>
        <w:ind w:right="568" w:firstLine="0"/>
        <w:jc w:val="center"/>
        <w:outlineLvl w:val="0"/>
        <w:rPr>
          <w:b/>
          <w:bCs/>
          <w:sz w:val="28"/>
          <w:szCs w:val="28"/>
        </w:rPr>
      </w:pPr>
    </w:p>
    <w:p w:rsidR="003E2879" w:rsidRPr="00262278" w:rsidRDefault="0035568A" w:rsidP="00262278">
      <w:pPr>
        <w:pStyle w:val="Odsekzoznamu"/>
        <w:numPr>
          <w:ilvl w:val="0"/>
          <w:numId w:val="9"/>
        </w:numPr>
        <w:ind w:right="568"/>
        <w:outlineLvl w:val="0"/>
        <w:rPr>
          <w:b/>
          <w:szCs w:val="24"/>
        </w:rPr>
      </w:pPr>
      <w:r w:rsidRPr="00262278">
        <w:rPr>
          <w:b/>
          <w:szCs w:val="24"/>
        </w:rPr>
        <w:t>Všeobecná časť</w:t>
      </w:r>
    </w:p>
    <w:p w:rsidR="0035568A" w:rsidRDefault="0035568A" w:rsidP="00C66F8C">
      <w:pPr>
        <w:ind w:right="568" w:firstLine="0"/>
        <w:jc w:val="both"/>
        <w:outlineLvl w:val="0"/>
        <w:rPr>
          <w:b/>
          <w:szCs w:val="24"/>
        </w:rPr>
      </w:pP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262278" w:rsidRPr="009B6D41" w:rsidRDefault="00FC53AB" w:rsidP="00262278">
      <w:pPr>
        <w:spacing w:line="276" w:lineRule="auto"/>
        <w:ind w:firstLine="426"/>
        <w:jc w:val="both"/>
        <w:rPr>
          <w:szCs w:val="24"/>
        </w:rPr>
      </w:pPr>
      <w:r>
        <w:rPr>
          <w:szCs w:val="24"/>
        </w:rPr>
        <w:t>Skupina poslancov</w:t>
      </w:r>
      <w:r w:rsidR="00262278" w:rsidRPr="009B6D41">
        <w:rPr>
          <w:szCs w:val="24"/>
        </w:rPr>
        <w:t xml:space="preserve"> Národnej rady Slovenskej republiky</w:t>
      </w:r>
      <w:r>
        <w:rPr>
          <w:szCs w:val="24"/>
        </w:rPr>
        <w:t xml:space="preserve"> z</w:t>
      </w:r>
      <w:r w:rsidR="00BA501B">
        <w:rPr>
          <w:szCs w:val="24"/>
        </w:rPr>
        <w:t>a poslanecký klub</w:t>
      </w:r>
      <w:bookmarkStart w:id="0" w:name="_GoBack"/>
      <w:bookmarkEnd w:id="0"/>
      <w:r>
        <w:rPr>
          <w:szCs w:val="24"/>
        </w:rPr>
        <w:t xml:space="preserve"> Most-Híd</w:t>
      </w:r>
      <w:r w:rsidR="00262278">
        <w:rPr>
          <w:szCs w:val="24"/>
        </w:rPr>
        <w:t xml:space="preserve"> </w:t>
      </w:r>
      <w:r w:rsidR="00262278" w:rsidRPr="009B6D41">
        <w:rPr>
          <w:szCs w:val="24"/>
        </w:rPr>
        <w:t>predklad</w:t>
      </w:r>
      <w:r>
        <w:rPr>
          <w:szCs w:val="24"/>
        </w:rPr>
        <w:t>á</w:t>
      </w:r>
      <w:r w:rsidR="00262278" w:rsidRPr="009B6D41">
        <w:rPr>
          <w:szCs w:val="24"/>
        </w:rPr>
        <w:t xml:space="preserve"> na schôdzu Národnej rady Slovenskej republiky návrh novely zákona Národn</w:t>
      </w:r>
      <w:r w:rsidR="00262278">
        <w:rPr>
          <w:szCs w:val="24"/>
        </w:rPr>
        <w:t xml:space="preserve">ej rady Slovenskej republiky </w:t>
      </w:r>
      <w:r w:rsidR="00262278" w:rsidRPr="005B6E0E">
        <w:rPr>
          <w:szCs w:val="24"/>
        </w:rPr>
        <w:t>č. 597/2003 Z. z. o financovaní základných škôl, stredných škôl a školských zariadení v znení neskorších predpisov a ktorým sa menia a dopĺňajú niektoré zákony</w:t>
      </w:r>
      <w:r w:rsidR="00262278" w:rsidRPr="009B6D41">
        <w:rPr>
          <w:szCs w:val="24"/>
        </w:rPr>
        <w:t xml:space="preserve"> (ďalej len „zákon“).   </w:t>
      </w:r>
    </w:p>
    <w:p w:rsidR="00262278" w:rsidRPr="009B6D41" w:rsidRDefault="00262278" w:rsidP="00262278">
      <w:pPr>
        <w:spacing w:line="276" w:lineRule="auto"/>
        <w:ind w:firstLine="426"/>
        <w:jc w:val="both"/>
        <w:rPr>
          <w:szCs w:val="24"/>
        </w:rPr>
      </w:pPr>
    </w:p>
    <w:p w:rsidR="00FC53AB" w:rsidRDefault="00262278" w:rsidP="00FC53AB">
      <w:pPr>
        <w:pStyle w:val="Zkladntext"/>
        <w:spacing w:line="276" w:lineRule="auto"/>
        <w:ind w:firstLine="426"/>
        <w:jc w:val="both"/>
      </w:pPr>
      <w:r w:rsidRPr="009B6D41">
        <w:t xml:space="preserve">Cieľom navrhovanej úpravy je </w:t>
      </w:r>
      <w:r>
        <w:t>predĺženie prechodného ustanovenia, ktoré NR SR schválila v júni 2017 zákonom č. 182/2017 Z.</w:t>
      </w:r>
      <w:r w:rsidR="00FC53AB">
        <w:t xml:space="preserve"> z.</w:t>
      </w:r>
      <w:r w:rsidR="00FC53AB" w:rsidRPr="00FC53AB">
        <w:rPr>
          <w:szCs w:val="24"/>
        </w:rPr>
        <w:t>, ktorým sa mení a dopĺňa zákon č. 597/2003 Z. z. o financovaní základných škôl, stredných škôl a školských zariadení v znení neskorších predpisov a ktorým sa menia a dopĺňajú niektoré zákony</w:t>
      </w:r>
      <w:r w:rsidR="00FC53AB">
        <w:rPr>
          <w:szCs w:val="24"/>
        </w:rPr>
        <w:t>.</w:t>
      </w:r>
    </w:p>
    <w:p w:rsidR="00FC53AB" w:rsidRDefault="00FC53AB" w:rsidP="00FC53AB">
      <w:pPr>
        <w:pStyle w:val="Zkladntext"/>
        <w:spacing w:line="276" w:lineRule="auto"/>
        <w:ind w:firstLine="0"/>
        <w:jc w:val="both"/>
      </w:pPr>
    </w:p>
    <w:p w:rsidR="00262278" w:rsidRDefault="00262278" w:rsidP="00C368F2">
      <w:pPr>
        <w:pStyle w:val="Zkladntext"/>
        <w:spacing w:line="276" w:lineRule="auto"/>
        <w:ind w:firstLine="426"/>
        <w:jc w:val="both"/>
      </w:pPr>
      <w:r w:rsidRPr="00824A6E">
        <w:t>Základná škola môže od nadobudnutia účinnos</w:t>
      </w:r>
      <w:r>
        <w:t>ti</w:t>
      </w:r>
      <w:r w:rsidR="000502C0">
        <w:t xml:space="preserve"> znenia</w:t>
      </w:r>
      <w:r>
        <w:t xml:space="preserve"> § 107 </w:t>
      </w:r>
      <w:r w:rsidR="00C368F2">
        <w:t>z</w:t>
      </w:r>
      <w:r w:rsidR="00C368F2" w:rsidRPr="00C368F2">
        <w:t>ákon</w:t>
      </w:r>
      <w:r w:rsidR="00C368F2">
        <w:t>a</w:t>
      </w:r>
      <w:r w:rsidR="00C368F2" w:rsidRPr="00C368F2">
        <w:t xml:space="preserve"> č. 245/2008 Z. z.</w:t>
      </w:r>
      <w:r w:rsidR="00C368F2">
        <w:t xml:space="preserve"> </w:t>
      </w:r>
      <w:r w:rsidR="00C368F2" w:rsidRPr="00C368F2">
        <w:rPr>
          <w:szCs w:val="24"/>
        </w:rPr>
        <w:t>o výchove a vzdelávaní (školský zákon) a o zmene a doplnení niektorých zákonov</w:t>
      </w:r>
      <w:r w:rsidR="00C368F2">
        <w:t xml:space="preserve"> </w:t>
      </w:r>
      <w:r>
        <w:t>od 1. </w:t>
      </w:r>
      <w:r w:rsidRPr="00824A6E">
        <w:t xml:space="preserve">septembra 2016 čerpať </w:t>
      </w:r>
      <w:r>
        <w:t>príspevok</w:t>
      </w:r>
      <w:r w:rsidRPr="00824A6E">
        <w:t xml:space="preserve"> na skvalitnenie podmienok na výchovu a vzdelávanie žiakov zo sociálne znevýhodneného prostredia v prípade, ak má v evidenčnom stave žiakov, ktorí boli zariadeniami výchovného poradenstva a prevencie diagnostikovaní ako žiaci zo sociálne znevýhodneného prostredia. V dôsledku </w:t>
      </w:r>
      <w:r>
        <w:t>stále pretrvávajúcej</w:t>
      </w:r>
      <w:r w:rsidRPr="00824A6E">
        <w:t xml:space="preserve"> situácie zariadení výchovného poradenstva a prevencie, ktoré nie sú kapacitne a odborne vybavené pre posúdenie všetkých žiakov zo sociálne znevýhodneného prostredia, sa navrhuje </w:t>
      </w:r>
      <w:r>
        <w:t xml:space="preserve">predĺžiť </w:t>
      </w:r>
      <w:r w:rsidRPr="00824A6E">
        <w:t>prechodné</w:t>
      </w:r>
      <w:r w:rsidR="007D751C">
        <w:t xml:space="preserve"> obdobie,</w:t>
      </w:r>
      <w:r w:rsidRPr="00824A6E">
        <w:t xml:space="preserve"> v</w:t>
      </w:r>
      <w:r w:rsidR="007D751C">
        <w:t> </w:t>
      </w:r>
      <w:r w:rsidRPr="00824A6E">
        <w:t xml:space="preserve">ktorom sa umožní poskytovanie príspevku aj na žiakov z domácnosti, ktorej členovi sa poskytuje pomoc </w:t>
      </w:r>
      <w:r>
        <w:t>v hmotnej núdzi podľa zákona č. </w:t>
      </w:r>
      <w:r w:rsidRPr="00824A6E">
        <w:t>417/2013 Z. z. o pomoci v hmotnej núdzi a</w:t>
      </w:r>
      <w:r w:rsidR="007D751C">
        <w:t> </w:t>
      </w:r>
      <w:r w:rsidRPr="00824A6E">
        <w:t xml:space="preserve">o zmene a doplnení niektorých zákonov. </w:t>
      </w:r>
    </w:p>
    <w:p w:rsidR="00262278" w:rsidRDefault="00262278" w:rsidP="00262278">
      <w:pPr>
        <w:pStyle w:val="Zkladntext"/>
        <w:spacing w:line="276" w:lineRule="auto"/>
        <w:ind w:firstLine="426"/>
        <w:jc w:val="both"/>
      </w:pPr>
    </w:p>
    <w:p w:rsidR="00262278" w:rsidRDefault="00262278" w:rsidP="007D751C">
      <w:pPr>
        <w:pStyle w:val="Zkladntext"/>
        <w:widowControl w:val="0"/>
        <w:spacing w:line="276" w:lineRule="auto"/>
        <w:ind w:firstLine="425"/>
        <w:jc w:val="both"/>
      </w:pPr>
      <w:r w:rsidRPr="00824A6E">
        <w:t xml:space="preserve">Do uplynutia </w:t>
      </w:r>
      <w:r>
        <w:t xml:space="preserve">tohto </w:t>
      </w:r>
      <w:r w:rsidRPr="00824A6E">
        <w:t xml:space="preserve">prechodného obdobia </w:t>
      </w:r>
      <w:r w:rsidR="007D751C">
        <w:t>je potrebné</w:t>
      </w:r>
      <w:r>
        <w:t xml:space="preserve"> vyriešiť</w:t>
      </w:r>
      <w:r w:rsidR="007D751C">
        <w:t xml:space="preserve"> otázku</w:t>
      </w:r>
      <w:r w:rsidRPr="00824A6E">
        <w:t xml:space="preserve"> vzťahu žiakov zo</w:t>
      </w:r>
      <w:r w:rsidR="007D751C">
        <w:t> </w:t>
      </w:r>
      <w:r w:rsidRPr="00824A6E">
        <w:t>sociálne znevýhodneného prostredia a žiakov z domácností, ktorých členovi sa poskytuje pomoc v hmotnej núdzi podľa zákona č. 417/2013 Z. z. o pomoci v hmotnej núdzi a o zmene a</w:t>
      </w:r>
      <w:r w:rsidR="007D751C">
        <w:t> </w:t>
      </w:r>
      <w:r w:rsidRPr="00824A6E">
        <w:t xml:space="preserve">doplnení niektorých zákonov. Predpokladá sa </w:t>
      </w:r>
      <w:r>
        <w:t>n</w:t>
      </w:r>
      <w:r w:rsidRPr="00747AFF">
        <w:t xml:space="preserve">astavenie adresnejšej finančnej podpory vzdelávania žiakov zo </w:t>
      </w:r>
      <w:r w:rsidR="00C368F2">
        <w:t>sociálne znevýhodneného prostredia</w:t>
      </w:r>
      <w:r>
        <w:t xml:space="preserve"> zmenou</w:t>
      </w:r>
      <w:r w:rsidRPr="00747AFF">
        <w:t xml:space="preserve"> definovania, identifikovania a financovania podpory vzdelávania </w:t>
      </w:r>
      <w:r w:rsidR="00C368F2">
        <w:t xml:space="preserve">takýchto </w:t>
      </w:r>
      <w:r w:rsidRPr="00747AFF">
        <w:t>žiakov s</w:t>
      </w:r>
      <w:r>
        <w:t> </w:t>
      </w:r>
      <w:r w:rsidRPr="00747AFF">
        <w:t>potrebami</w:t>
      </w:r>
      <w:r>
        <w:t xml:space="preserve"> vo výchove a</w:t>
      </w:r>
      <w:r w:rsidR="00C368F2">
        <w:t> </w:t>
      </w:r>
      <w:r>
        <w:t>vzdelávaní</w:t>
      </w:r>
      <w:r w:rsidR="00C368F2">
        <w:t>,</w:t>
      </w:r>
      <w:r>
        <w:t xml:space="preserve"> ale aj </w:t>
      </w:r>
      <w:r w:rsidRPr="00747AFF">
        <w:t>súvisiacimi s chudobou.</w:t>
      </w:r>
    </w:p>
    <w:p w:rsidR="007D751C" w:rsidRDefault="007D751C" w:rsidP="007D751C">
      <w:pPr>
        <w:pStyle w:val="Zkladntext"/>
        <w:widowControl w:val="0"/>
        <w:spacing w:line="276" w:lineRule="auto"/>
        <w:ind w:firstLine="425"/>
        <w:jc w:val="both"/>
      </w:pPr>
    </w:p>
    <w:p w:rsidR="00262278" w:rsidRPr="009B6D41" w:rsidRDefault="00262278" w:rsidP="00262278">
      <w:pPr>
        <w:pStyle w:val="Zkladntext"/>
        <w:spacing w:line="276" w:lineRule="auto"/>
        <w:ind w:firstLine="426"/>
        <w:jc w:val="both"/>
      </w:pPr>
      <w:r w:rsidRPr="00262278">
        <w:t xml:space="preserve">Súčasné znenie dotknutého ustanovenia zákona má účinnosť len do 31. decembra 2018. Od </w:t>
      </w:r>
      <w:r w:rsidR="00C368F2">
        <w:t>1. januára 2019</w:t>
      </w:r>
      <w:r w:rsidRPr="00262278">
        <w:t xml:space="preserve"> by pre výpočty </w:t>
      </w:r>
      <w:r w:rsidR="00C368F2">
        <w:t xml:space="preserve">počtu </w:t>
      </w:r>
      <w:r w:rsidRPr="00262278">
        <w:t>detí zo sociálne znevýhodneného prostredia boli považované len</w:t>
      </w:r>
      <w:r w:rsidR="006E644C">
        <w:t xml:space="preserve"> tie</w:t>
      </w:r>
      <w:r w:rsidRPr="00262278">
        <w:t xml:space="preserve"> deti/žiaci, ktorí boli zariadeniami výchovného poradenstva a prevencie diagnostikovaní ako žiaci zo sociálne znevýhodneného prostredia. V školskom roku 2017/2018 z celkového počtu 41 650 žiakov zo </w:t>
      </w:r>
      <w:r w:rsidR="00C368F2">
        <w:t xml:space="preserve">sociálne znevýhodneného prostredia </w:t>
      </w:r>
      <w:r w:rsidRPr="00262278">
        <w:t xml:space="preserve">bolo 22 146 </w:t>
      </w:r>
      <w:r w:rsidR="00C368F2">
        <w:t xml:space="preserve">žiakov </w:t>
      </w:r>
      <w:r w:rsidRPr="00262278">
        <w:t xml:space="preserve">s </w:t>
      </w:r>
      <w:r w:rsidRPr="00262278">
        <w:lastRenderedPageBreak/>
        <w:t>vyjadrením Centra pedagogicko-psychologického poradenstva a prevencie a až 19 504 žiakov z rodín, ktorej sa poskytuje pomoc v hmotnej núdzi.</w:t>
      </w:r>
    </w:p>
    <w:p w:rsidR="00262278" w:rsidRPr="00747AFF" w:rsidRDefault="00262278" w:rsidP="00262278">
      <w:pPr>
        <w:spacing w:line="276" w:lineRule="auto"/>
        <w:ind w:firstLine="426"/>
        <w:jc w:val="both"/>
        <w:rPr>
          <w:szCs w:val="24"/>
        </w:rPr>
      </w:pPr>
      <w:r w:rsidRPr="00747AFF">
        <w:rPr>
          <w:szCs w:val="24"/>
        </w:rPr>
        <w:t xml:space="preserve">Chudoba je aj podľa medzinárodných dokumentov jedným z najčastejších dôvodov, ktorý negatívne ovplyvňuje vzdelávanie žiakov. Preto môže </w:t>
      </w:r>
      <w:r w:rsidR="007D751C">
        <w:rPr>
          <w:szCs w:val="24"/>
        </w:rPr>
        <w:t>byť práve poskytovanie pomoci v </w:t>
      </w:r>
      <w:r w:rsidRPr="00747AFF">
        <w:rPr>
          <w:szCs w:val="24"/>
        </w:rPr>
        <w:t xml:space="preserve">hmotnej núdzi indikátorom, že žiak žije v prostredí, ktoré vzhľadom na sociálne, rodinné, ekonomické a kultúrne podmienky nedostatočne podnecuje rozvoj mentálnych, vôľových, emocionálnych vlastností dieťaťa alebo </w:t>
      </w:r>
      <w:r>
        <w:rPr>
          <w:szCs w:val="24"/>
        </w:rPr>
        <w:t xml:space="preserve">žiaka, nepodporuje jeho </w:t>
      </w:r>
      <w:r w:rsidRPr="00747AFF">
        <w:rPr>
          <w:szCs w:val="24"/>
        </w:rPr>
        <w:t>socializáciu a neposkytuje mu dostatok primeraných podnetov pre rozvoj osobnosti, ktoré sú predpokladom nadobudnutia školskej spôsobilosti</w:t>
      </w:r>
      <w:r>
        <w:rPr>
          <w:szCs w:val="24"/>
        </w:rPr>
        <w:t>.</w:t>
      </w:r>
    </w:p>
    <w:p w:rsidR="00262278" w:rsidRPr="009B6D41" w:rsidRDefault="00262278" w:rsidP="00262278">
      <w:pPr>
        <w:pStyle w:val="Zkladntext"/>
        <w:spacing w:line="276" w:lineRule="auto"/>
        <w:ind w:firstLine="426"/>
        <w:jc w:val="both"/>
      </w:pPr>
    </w:p>
    <w:p w:rsidR="00262278" w:rsidRPr="009B6D41" w:rsidRDefault="00262278" w:rsidP="00262278">
      <w:pPr>
        <w:pStyle w:val="Zkladntext"/>
        <w:spacing w:line="276" w:lineRule="auto"/>
        <w:ind w:firstLine="426"/>
        <w:jc w:val="both"/>
      </w:pPr>
      <w:r w:rsidRPr="009B6D41">
        <w:t xml:space="preserve">Navrhovaná úprava prináša predovšetkým </w:t>
      </w:r>
      <w:r w:rsidR="00C368F2">
        <w:t>potrebný priestor</w:t>
      </w:r>
      <w:r>
        <w:t xml:space="preserve"> na </w:t>
      </w:r>
      <w:r w:rsidRPr="009B6D41">
        <w:t>jedn</w:t>
      </w:r>
      <w:r w:rsidR="007D751C">
        <w:t>označnejšiu, systematickejšiu a </w:t>
      </w:r>
      <w:r w:rsidRPr="009B6D41">
        <w:t>prehľadnejšiu úpravu</w:t>
      </w:r>
      <w:r>
        <w:t xml:space="preserve"> financovania výchovy a vzdelávania detí zo sociálne znevýhodneného prostredia, nakoľko </w:t>
      </w:r>
      <w:r w:rsidRPr="00747AFF">
        <w:t>dnešný systém financovania p</w:t>
      </w:r>
      <w:r>
        <w:t xml:space="preserve">odpory vzdelávania týchto žiakov </w:t>
      </w:r>
      <w:r w:rsidRPr="00747AFF">
        <w:t>je</w:t>
      </w:r>
      <w:r w:rsidR="007D751C">
        <w:t> </w:t>
      </w:r>
      <w:r w:rsidRPr="00747AFF">
        <w:t xml:space="preserve">nepostačujúci a mal by vychádzať zo širšej definície znevýhodnenia, pretože </w:t>
      </w:r>
      <w:r>
        <w:t xml:space="preserve">takto </w:t>
      </w:r>
      <w:r w:rsidRPr="00747AFF">
        <w:t xml:space="preserve">úplne nezachytáva chudobu. </w:t>
      </w:r>
      <w:r w:rsidRPr="009B6D41">
        <w:t xml:space="preserve"> </w:t>
      </w:r>
    </w:p>
    <w:p w:rsidR="00262278" w:rsidRPr="009B6D41" w:rsidRDefault="00262278" w:rsidP="00262278">
      <w:pPr>
        <w:pStyle w:val="Zkladntext"/>
        <w:spacing w:line="276" w:lineRule="auto"/>
        <w:ind w:left="360" w:firstLine="633"/>
        <w:jc w:val="both"/>
      </w:pPr>
    </w:p>
    <w:p w:rsidR="005C1323" w:rsidRPr="00657768" w:rsidRDefault="005C1323" w:rsidP="005E7DD5">
      <w:pPr>
        <w:pStyle w:val="Zkladntext"/>
        <w:spacing w:line="276" w:lineRule="auto"/>
        <w:ind w:firstLine="426"/>
        <w:jc w:val="both"/>
      </w:pPr>
      <w:r w:rsidRPr="00657768">
        <w:t>Predkladaný návrh zákona nezakladá žiadne vplyvy na štátny roz</w:t>
      </w:r>
      <w:r w:rsidR="00FA0E89">
        <w:t>počet, rozpočet verejnej správy, podnikateľské prostredie</w:t>
      </w:r>
      <w:r w:rsidRPr="00657768">
        <w:t xml:space="preserve">, </w:t>
      </w:r>
      <w:r w:rsidR="00FA0E89">
        <w:t xml:space="preserve">vplyvy na životné prostredie, </w:t>
      </w:r>
      <w:r w:rsidRPr="00657768">
        <w:t>ani na informatizáciu spoločnosti.</w:t>
      </w:r>
      <w:r w:rsidR="00FA0E89">
        <w:t xml:space="preserve"> Predpokladá sa pozitívny sociálny vplyv a pozitívny vplyv na sociálnu </w:t>
      </w:r>
      <w:proofErr w:type="spellStart"/>
      <w:r w:rsidR="00FA0E89">
        <w:t>exklúziu</w:t>
      </w:r>
      <w:proofErr w:type="spellEnd"/>
      <w:r w:rsidR="00FA0E89">
        <w:t>.</w:t>
      </w:r>
    </w:p>
    <w:p w:rsidR="005C1323" w:rsidRPr="00657768" w:rsidRDefault="005C1323" w:rsidP="005C1323">
      <w:pPr>
        <w:pStyle w:val="Zkladntext"/>
        <w:spacing w:line="276" w:lineRule="auto"/>
        <w:jc w:val="both"/>
      </w:pPr>
    </w:p>
    <w:p w:rsidR="005C1323" w:rsidRDefault="005C1323" w:rsidP="005E7DD5">
      <w:pPr>
        <w:pStyle w:val="Zkladntext"/>
        <w:spacing w:line="276" w:lineRule="auto"/>
        <w:ind w:firstLine="360"/>
        <w:jc w:val="both"/>
      </w:pPr>
      <w:r w:rsidRPr="00657768">
        <w:t>Návrh zákona je v súlade s Ústavou Slovenskej republiky, ústavnými zákonmi a ostatnými všeobecne záväznými právnymi predpismi Slovenskej republiky, medzinárodnými zmluvami a</w:t>
      </w:r>
      <w:r w:rsidR="007D751C">
        <w:t> </w:t>
      </w:r>
      <w:r w:rsidRPr="00657768">
        <w:t>inými medzinárodnými dokumentmi, ktorými je Slovenská republika viazaná, ako aj s</w:t>
      </w:r>
      <w:r w:rsidR="007D751C">
        <w:t> </w:t>
      </w:r>
      <w:r w:rsidRPr="00657768">
        <w:t xml:space="preserve">právom Európskej únie. </w:t>
      </w:r>
    </w:p>
    <w:p w:rsidR="000502C0" w:rsidRDefault="000502C0" w:rsidP="005C1323">
      <w:pPr>
        <w:pStyle w:val="Zkladntext"/>
        <w:spacing w:line="276" w:lineRule="auto"/>
        <w:ind w:firstLine="0"/>
        <w:jc w:val="both"/>
      </w:pPr>
    </w:p>
    <w:p w:rsidR="000502C0" w:rsidRDefault="000502C0" w:rsidP="005C1323">
      <w:pPr>
        <w:pStyle w:val="Zkladntext"/>
        <w:spacing w:line="276" w:lineRule="auto"/>
        <w:ind w:firstLine="0"/>
        <w:jc w:val="both"/>
      </w:pPr>
    </w:p>
    <w:p w:rsidR="000502C0" w:rsidRPr="000502C0" w:rsidRDefault="000502C0" w:rsidP="000502C0">
      <w:pPr>
        <w:pStyle w:val="Zkladntext"/>
        <w:numPr>
          <w:ilvl w:val="0"/>
          <w:numId w:val="9"/>
        </w:numPr>
        <w:spacing w:line="276" w:lineRule="auto"/>
        <w:jc w:val="both"/>
        <w:rPr>
          <w:b/>
        </w:rPr>
      </w:pPr>
      <w:r w:rsidRPr="000502C0">
        <w:rPr>
          <w:b/>
        </w:rPr>
        <w:t>Osobitná časť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  <w:r>
        <w:rPr>
          <w:b/>
          <w:szCs w:val="24"/>
        </w:rPr>
        <w:t>K čl. I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5C1323" w:rsidRDefault="00262278" w:rsidP="005E7DD5">
      <w:pPr>
        <w:spacing w:line="276" w:lineRule="auto"/>
        <w:ind w:right="568" w:firstLine="426"/>
        <w:jc w:val="both"/>
        <w:outlineLvl w:val="0"/>
        <w:rPr>
          <w:szCs w:val="24"/>
        </w:rPr>
      </w:pPr>
      <w:r>
        <w:rPr>
          <w:szCs w:val="24"/>
        </w:rPr>
        <w:t xml:space="preserve">Účinnosť </w:t>
      </w:r>
      <w:r w:rsidR="00C368F2">
        <w:rPr>
          <w:szCs w:val="24"/>
        </w:rPr>
        <w:t>predmetného ustanovenia</w:t>
      </w:r>
      <w:r>
        <w:rPr>
          <w:szCs w:val="24"/>
        </w:rPr>
        <w:t xml:space="preserve"> je v súčasnosti vymedzená do 31. decembra 2018, ale kvôli plynulému zabezpečeniu diagnostiky špeciálnej výchovno-vzdelávacej potreby vyplývajúcej zo sociálne znevýhodneného prostredia je potrebné zachovať stav, kedy </w:t>
      </w:r>
      <w:r w:rsidR="00C368F2">
        <w:rPr>
          <w:szCs w:val="24"/>
        </w:rPr>
        <w:t xml:space="preserve">sa </w:t>
      </w:r>
      <w:r>
        <w:rPr>
          <w:szCs w:val="24"/>
        </w:rPr>
        <w:t xml:space="preserve">za žiaka zo sociálne znevýhodneného prostredia považuje aj žiak, ktorý je členom domácnosti, ktorej členovi sa poskytuje pomoc v hmotnej núdzi a zákonný zástupca žiaka túto skutočnosť preukáže riaditeľovi </w:t>
      </w:r>
      <w:r w:rsidR="007D751C">
        <w:rPr>
          <w:szCs w:val="24"/>
        </w:rPr>
        <w:t xml:space="preserve">základnej </w:t>
      </w:r>
      <w:r>
        <w:rPr>
          <w:szCs w:val="24"/>
        </w:rPr>
        <w:t>školy.</w:t>
      </w:r>
    </w:p>
    <w:p w:rsidR="005C1323" w:rsidRDefault="005C1323" w:rsidP="00C66F8C">
      <w:pPr>
        <w:ind w:right="568" w:firstLine="0"/>
        <w:jc w:val="both"/>
        <w:outlineLvl w:val="0"/>
        <w:rPr>
          <w:szCs w:val="24"/>
        </w:rPr>
      </w:pP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Default="0035568A" w:rsidP="00C66F8C">
      <w:pPr>
        <w:ind w:right="568" w:firstLine="0"/>
        <w:jc w:val="both"/>
        <w:outlineLvl w:val="0"/>
        <w:rPr>
          <w:b/>
          <w:szCs w:val="24"/>
        </w:rPr>
      </w:pPr>
      <w:r w:rsidRPr="0035568A">
        <w:rPr>
          <w:b/>
          <w:szCs w:val="24"/>
        </w:rPr>
        <w:t>K čl. II</w:t>
      </w:r>
    </w:p>
    <w:p w:rsidR="0035568A" w:rsidRDefault="0035568A" w:rsidP="005E7DD5">
      <w:pPr>
        <w:spacing w:line="276" w:lineRule="auto"/>
        <w:ind w:right="568" w:firstLine="426"/>
        <w:jc w:val="both"/>
        <w:outlineLvl w:val="0"/>
        <w:rPr>
          <w:bCs/>
          <w:szCs w:val="24"/>
        </w:rPr>
      </w:pPr>
      <w:r w:rsidRPr="0035568A">
        <w:rPr>
          <w:bCs/>
          <w:szCs w:val="24"/>
        </w:rPr>
        <w:t>Navrhuje sa n</w:t>
      </w:r>
      <w:r>
        <w:rPr>
          <w:bCs/>
          <w:szCs w:val="24"/>
        </w:rPr>
        <w:t xml:space="preserve">adobudnutie účinnosti </w:t>
      </w:r>
      <w:r w:rsidR="00C368F2">
        <w:rPr>
          <w:bCs/>
          <w:szCs w:val="24"/>
        </w:rPr>
        <w:t xml:space="preserve">návrhu </w:t>
      </w:r>
      <w:r>
        <w:rPr>
          <w:bCs/>
          <w:szCs w:val="24"/>
        </w:rPr>
        <w:t xml:space="preserve">zákona </w:t>
      </w:r>
      <w:r w:rsidR="00C458E5">
        <w:rPr>
          <w:bCs/>
          <w:szCs w:val="24"/>
        </w:rPr>
        <w:t>tak, aby k</w:t>
      </w:r>
      <w:r w:rsidR="004D32BC">
        <w:rPr>
          <w:bCs/>
          <w:szCs w:val="24"/>
        </w:rPr>
        <w:t> nadobudnutiu účinnosti návrhu došlo počas účinnosti p</w:t>
      </w:r>
      <w:r w:rsidR="007D751C">
        <w:rPr>
          <w:bCs/>
          <w:szCs w:val="24"/>
        </w:rPr>
        <w:t>rechodných ustanovení § 9f ods. </w:t>
      </w:r>
      <w:r w:rsidR="004D32BC">
        <w:rPr>
          <w:bCs/>
          <w:szCs w:val="24"/>
        </w:rPr>
        <w:t>3.</w:t>
      </w:r>
      <w:r w:rsidR="00C458E5">
        <w:rPr>
          <w:bCs/>
          <w:szCs w:val="24"/>
        </w:rPr>
        <w:t xml:space="preserve"> </w:t>
      </w:r>
    </w:p>
    <w:p w:rsidR="0035568A" w:rsidRDefault="0035568A" w:rsidP="00C66F8C">
      <w:pPr>
        <w:keepNext w:val="0"/>
        <w:spacing w:after="240" w:line="276" w:lineRule="auto"/>
        <w:ind w:right="568"/>
        <w:contextualSpacing w:val="0"/>
        <w:rPr>
          <w:bCs/>
          <w:szCs w:val="24"/>
        </w:rPr>
      </w:pPr>
      <w:r>
        <w:rPr>
          <w:bCs/>
          <w:szCs w:val="24"/>
        </w:rPr>
        <w:br w:type="page"/>
      </w:r>
    </w:p>
    <w:p w:rsidR="0035568A" w:rsidRPr="0035568A" w:rsidRDefault="0035568A" w:rsidP="00C66F8C">
      <w:pPr>
        <w:keepNext w:val="0"/>
        <w:keepLines/>
        <w:ind w:right="568" w:firstLine="0"/>
        <w:contextualSpacing w:val="0"/>
        <w:jc w:val="center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lastRenderedPageBreak/>
        <w:t>Doložka vybraných vplyvov</w:t>
      </w:r>
    </w:p>
    <w:p w:rsidR="0035568A" w:rsidRPr="0035568A" w:rsidRDefault="0035568A" w:rsidP="00C66F8C">
      <w:pPr>
        <w:keepNext w:val="0"/>
        <w:keepLines/>
        <w:widowControl w:val="0"/>
        <w:suppressAutoHyphens/>
        <w:ind w:right="568" w:firstLine="0"/>
        <w:contextualSpacing w:val="0"/>
        <w:rPr>
          <w:rFonts w:eastAsia="Times New Roman" w:cs="Times New Roman"/>
          <w:b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 xml:space="preserve">A.1. Názov materiálu: </w:t>
      </w:r>
    </w:p>
    <w:p w:rsidR="004D32BC" w:rsidRPr="004D32BC" w:rsidRDefault="0035568A" w:rsidP="004D32BC">
      <w:pPr>
        <w:keepNext w:val="0"/>
        <w:keepLines/>
        <w:widowControl w:val="0"/>
        <w:suppressAutoHyphens/>
        <w:ind w:right="568" w:firstLine="0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Návrh zákona, ktorým sa mení a dopĺňa </w:t>
      </w:r>
      <w:r w:rsidR="004D32BC" w:rsidRPr="004D32BC">
        <w:rPr>
          <w:rFonts w:eastAsia="Times New Roman" w:cs="Times New Roman"/>
          <w:bCs/>
          <w:szCs w:val="24"/>
        </w:rPr>
        <w:t xml:space="preserve">zákon </w:t>
      </w:r>
      <w:r w:rsidR="004D32BC" w:rsidRPr="004D32BC">
        <w:t>č. 597/2003 Z. z.</w:t>
      </w:r>
      <w:r w:rsidR="004D32BC" w:rsidRPr="004D32BC">
        <w:rPr>
          <w:rStyle w:val="h1a2"/>
          <w:specVanish w:val="0"/>
        </w:rPr>
        <w:t xml:space="preserve"> o financovaní základných škôl, stredných škôl a školských zariadení</w:t>
      </w:r>
      <w:r w:rsidR="004D32BC">
        <w:rPr>
          <w:rFonts w:eastAsia="Times New Roman" w:cs="Times New Roman"/>
          <w:color w:val="000000"/>
          <w:szCs w:val="24"/>
          <w:lang w:eastAsia="ar-SA"/>
        </w:rPr>
        <w:t xml:space="preserve"> </w:t>
      </w:r>
      <w:r w:rsidR="004D32BC" w:rsidRPr="004D32BC">
        <w:rPr>
          <w:rFonts w:eastAsia="Times New Roman" w:cs="Times New Roman"/>
          <w:bCs/>
          <w:szCs w:val="24"/>
        </w:rPr>
        <w:t>v znení neskorších predpisov</w:t>
      </w:r>
      <w:r w:rsidR="00C368F2">
        <w:rPr>
          <w:rFonts w:eastAsia="Times New Roman" w:cs="Times New Roman"/>
          <w:bCs/>
          <w:szCs w:val="24"/>
        </w:rPr>
        <w:t>.</w:t>
      </w:r>
    </w:p>
    <w:p w:rsidR="004D32BC" w:rsidRDefault="004D32BC" w:rsidP="00975794">
      <w:pPr>
        <w:keepNext w:val="0"/>
        <w:keepLines/>
        <w:ind w:right="1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</w:p>
    <w:p w:rsidR="004D32BC" w:rsidRDefault="004D32BC" w:rsidP="00975794">
      <w:pPr>
        <w:keepNext w:val="0"/>
        <w:keepLines/>
        <w:ind w:right="1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</w:p>
    <w:p w:rsidR="004D32BC" w:rsidRPr="0035568A" w:rsidRDefault="004D32BC" w:rsidP="00975794">
      <w:pPr>
        <w:keepNext w:val="0"/>
        <w:keepLines/>
        <w:ind w:right="1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</w:p>
    <w:p w:rsidR="0035568A" w:rsidRPr="0035568A" w:rsidRDefault="0035568A" w:rsidP="00975794">
      <w:pPr>
        <w:keepNext w:val="0"/>
        <w:keepLines/>
        <w:ind w:right="1" w:firstLine="0"/>
        <w:contextualSpacing w:val="0"/>
        <w:rPr>
          <w:rFonts w:eastAsia="Times New Roman" w:cs="Times New Roman"/>
          <w:color w:val="000000"/>
          <w:szCs w:val="24"/>
          <w:lang w:val="cs-CZ"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>A.2. Vplyvy: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276"/>
        <w:gridCol w:w="1134"/>
      </w:tblGrid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Žiadne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     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2. Vplyvy na podnikateľské prostredie – dochádza ku </w:t>
            </w:r>
          </w:p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zvýšeniu 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     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C368F2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ind w:right="1" w:firstLine="0"/>
              <w:contextualSpacing w:val="0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ind w:right="1" w:firstLine="0"/>
              <w:contextualSpacing w:val="0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sz w:val="22"/>
              </w:rPr>
            </w:pPr>
            <w:r w:rsidRPr="0035568A">
              <w:rPr>
                <w:rFonts w:eastAsia="Times New Roman" w:cs="Times New Roman"/>
                <w:sz w:val="22"/>
              </w:rPr>
              <w:t>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– </w:t>
            </w:r>
            <w:r w:rsidR="007D751C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</w:t>
            </w: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sociálnu </w:t>
            </w:r>
            <w:proofErr w:type="spellStart"/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exklúziu</w:t>
            </w:r>
            <w:proofErr w:type="spellEnd"/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FA0E89" w:rsidP="00FA0E89">
            <w:pPr>
              <w:keepNext w:val="0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</w:tr>
    </w:tbl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>A.3. Poznámky</w:t>
      </w:r>
      <w:r w:rsidRPr="0035568A">
        <w:rPr>
          <w:rFonts w:eastAsia="Times New Roman" w:cs="Times New Roman"/>
          <w:b/>
          <w:color w:val="000000"/>
          <w:szCs w:val="24"/>
          <w:lang w:eastAsia="ar-SA"/>
        </w:rPr>
        <w:t>:</w:t>
      </w: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</w:t>
      </w:r>
    </w:p>
    <w:p w:rsidR="0035568A" w:rsidRPr="0035568A" w:rsidRDefault="0035568A" w:rsidP="00C66F8C">
      <w:pPr>
        <w:keepNext w:val="0"/>
        <w:ind w:right="568" w:firstLine="426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6769D1">
      <w:pPr>
        <w:keepNext w:val="0"/>
        <w:ind w:right="568" w:firstLine="426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>Návrh zákona nebude mať žiadny vplyv na verejný rozpočet, životné prostredie, na informatizáciu spoločnosti, ani na služby verejnej správy pre občana.</w:t>
      </w:r>
    </w:p>
    <w:p w:rsidR="0035568A" w:rsidRPr="0035568A" w:rsidRDefault="0035568A" w:rsidP="00C66F8C">
      <w:pPr>
        <w:keepNext w:val="0"/>
        <w:keepLines/>
        <w:widowControl w:val="0"/>
        <w:suppressAutoHyphen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>A.4. Alternatívne riešenia:</w:t>
      </w: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>Bezpredmetné </w:t>
      </w: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 xml:space="preserve">A.5. </w:t>
      </w: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ab/>
        <w:t>Stanovisko gestorov:</w:t>
      </w: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>Bezpredmetné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Default="0035568A" w:rsidP="00C66F8C">
      <w:pPr>
        <w:keepNext w:val="0"/>
        <w:spacing w:after="240" w:line="276" w:lineRule="auto"/>
        <w:ind w:right="568"/>
        <w:contextualSpacing w:val="0"/>
        <w:rPr>
          <w:szCs w:val="24"/>
        </w:rPr>
      </w:pPr>
      <w:r>
        <w:rPr>
          <w:szCs w:val="24"/>
        </w:rPr>
        <w:br w:type="page"/>
      </w: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jc w:val="center"/>
        <w:rPr>
          <w:rFonts w:eastAsia="Times New Roman" w:cs="Times New Roman"/>
          <w:b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color w:val="000000"/>
          <w:szCs w:val="24"/>
          <w:lang w:eastAsia="ar-SA"/>
        </w:rPr>
        <w:lastRenderedPageBreak/>
        <w:t>Doložka zlučiteľnosti</w:t>
      </w: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jc w:val="center"/>
        <w:rPr>
          <w:rFonts w:eastAsia="Times New Roman" w:cs="Times New Roman"/>
          <w:b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color w:val="000000"/>
          <w:szCs w:val="24"/>
          <w:lang w:eastAsia="ar-SA"/>
        </w:rPr>
        <w:t>návrhu zákona s právom Európskej únie</w:t>
      </w: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numPr>
          <w:ilvl w:val="0"/>
          <w:numId w:val="6"/>
        </w:numPr>
        <w:suppressAutoHyphens/>
        <w:ind w:right="568"/>
        <w:contextualSpacing w:val="0"/>
        <w:rPr>
          <w:rFonts w:eastAsia="Times New Roman" w:cs="Times New Roman"/>
          <w:b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color w:val="000000"/>
          <w:szCs w:val="24"/>
          <w:lang w:eastAsia="ar-SA"/>
        </w:rPr>
        <w:t>Navrhovateľ zákona:</w:t>
      </w: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</w:t>
      </w:r>
      <w:r w:rsidR="004D32BC">
        <w:rPr>
          <w:rFonts w:eastAsia="Times New Roman" w:cs="Times New Roman"/>
          <w:color w:val="000000"/>
          <w:szCs w:val="24"/>
          <w:lang w:eastAsia="ar-SA"/>
        </w:rPr>
        <w:t>skupina poslancov</w:t>
      </w: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Národnej rady Slovenskej republiky</w:t>
      </w: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</w:t>
      </w:r>
    </w:p>
    <w:p w:rsidR="004D32BC" w:rsidRPr="004D32BC" w:rsidRDefault="0035568A" w:rsidP="004D32BC">
      <w:pPr>
        <w:keepNext w:val="0"/>
        <w:keepLines/>
        <w:numPr>
          <w:ilvl w:val="0"/>
          <w:numId w:val="6"/>
        </w:numPr>
        <w:suppressAutoHyphens/>
        <w:ind w:right="568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color w:val="000000"/>
          <w:szCs w:val="24"/>
          <w:lang w:eastAsia="ar-SA"/>
        </w:rPr>
        <w:t>Názov návrhu zákona:</w:t>
      </w: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Zákon, </w:t>
      </w:r>
      <w:r w:rsidR="003A15D6" w:rsidRPr="003A15D6">
        <w:rPr>
          <w:rFonts w:eastAsia="Times New Roman" w:cs="Times New Roman"/>
          <w:color w:val="000000"/>
          <w:szCs w:val="24"/>
          <w:lang w:eastAsia="ar-SA"/>
        </w:rPr>
        <w:t xml:space="preserve">ktorým sa mení a dopĺňa zákon </w:t>
      </w:r>
      <w:r w:rsidR="004D32BC" w:rsidRPr="004D32BC">
        <w:t>č. 597/2003 Z. z.</w:t>
      </w:r>
      <w:r w:rsidR="004D32BC" w:rsidRPr="004D32BC">
        <w:rPr>
          <w:rStyle w:val="h1a2"/>
          <w:specVanish w:val="0"/>
        </w:rPr>
        <w:t xml:space="preserve"> o financovaní základných škôl, stredných škôl a školských zariadení </w:t>
      </w:r>
      <w:r w:rsidR="004D32BC" w:rsidRPr="004D32BC">
        <w:rPr>
          <w:rFonts w:eastAsia="Times New Roman"/>
          <w:bCs/>
          <w:szCs w:val="24"/>
        </w:rPr>
        <w:t>v znení neskorších predpisov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b/>
          <w:bCs/>
          <w:szCs w:val="24"/>
          <w:lang w:eastAsia="sk-SK"/>
        </w:rPr>
      </w:pPr>
    </w:p>
    <w:p w:rsidR="0035568A" w:rsidRPr="0035568A" w:rsidRDefault="0035568A" w:rsidP="00C66F8C">
      <w:pPr>
        <w:keepNext w:val="0"/>
        <w:numPr>
          <w:ilvl w:val="0"/>
          <w:numId w:val="6"/>
        </w:numPr>
        <w:ind w:right="568"/>
        <w:contextualSpacing w:val="0"/>
        <w:rPr>
          <w:rFonts w:eastAsia="Times New Roman" w:cs="Times New Roman"/>
          <w:b/>
          <w:bCs/>
          <w:szCs w:val="24"/>
          <w:lang w:eastAsia="sk-SK"/>
        </w:rPr>
      </w:pPr>
      <w:r w:rsidRPr="0035568A">
        <w:rPr>
          <w:rFonts w:eastAsia="Times New Roman" w:cs="Times New Roman"/>
          <w:b/>
          <w:bCs/>
          <w:szCs w:val="24"/>
          <w:lang w:eastAsia="sk-SK"/>
        </w:rPr>
        <w:t>Problematika návrhu zákona: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szCs w:val="24"/>
          <w:lang w:eastAsia="sk-SK"/>
        </w:rPr>
      </w:pPr>
    </w:p>
    <w:p w:rsidR="0035568A" w:rsidRPr="0035568A" w:rsidRDefault="0035568A" w:rsidP="00C66F8C">
      <w:pPr>
        <w:keepNext w:val="0"/>
        <w:numPr>
          <w:ilvl w:val="0"/>
          <w:numId w:val="7"/>
        </w:numPr>
        <w:ind w:right="568"/>
        <w:contextualSpacing w:val="0"/>
        <w:rPr>
          <w:rFonts w:eastAsia="Times New Roman" w:cs="Times New Roman"/>
          <w:szCs w:val="24"/>
          <w:lang w:eastAsia="sk-SK"/>
        </w:rPr>
      </w:pPr>
      <w:r w:rsidRPr="0035568A">
        <w:rPr>
          <w:rFonts w:eastAsia="Times New Roman" w:cs="Times New Roman"/>
          <w:szCs w:val="24"/>
          <w:lang w:eastAsia="sk-SK"/>
        </w:rPr>
        <w:t>nie je upravená v primárnom práve Európskej únie,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szCs w:val="24"/>
          <w:lang w:eastAsia="sk-SK"/>
        </w:rPr>
      </w:pPr>
    </w:p>
    <w:p w:rsidR="0035568A" w:rsidRPr="0035568A" w:rsidRDefault="0035568A" w:rsidP="00C66F8C">
      <w:pPr>
        <w:keepNext w:val="0"/>
        <w:numPr>
          <w:ilvl w:val="0"/>
          <w:numId w:val="7"/>
        </w:numPr>
        <w:ind w:right="568"/>
        <w:contextualSpacing w:val="0"/>
        <w:rPr>
          <w:rFonts w:eastAsia="Times New Roman" w:cs="Verdana"/>
          <w:szCs w:val="24"/>
          <w:lang w:eastAsia="sk-SK"/>
        </w:rPr>
      </w:pPr>
      <w:r w:rsidRPr="0035568A">
        <w:rPr>
          <w:rFonts w:eastAsia="Times New Roman" w:cs="Times New Roman"/>
          <w:szCs w:val="24"/>
          <w:lang w:eastAsia="sk-SK"/>
        </w:rPr>
        <w:t>nie je upravená v sekundárnom práve Európskej únie,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Verdana"/>
          <w:szCs w:val="24"/>
          <w:lang w:eastAsia="sk-SK"/>
        </w:rPr>
      </w:pPr>
    </w:p>
    <w:p w:rsidR="0035568A" w:rsidRPr="0035568A" w:rsidRDefault="0035568A" w:rsidP="00C66F8C">
      <w:pPr>
        <w:keepNext w:val="0"/>
        <w:numPr>
          <w:ilvl w:val="0"/>
          <w:numId w:val="7"/>
        </w:numPr>
        <w:ind w:right="568"/>
        <w:contextualSpacing w:val="0"/>
        <w:rPr>
          <w:rFonts w:eastAsia="Times New Roman" w:cs="Verdana"/>
          <w:szCs w:val="24"/>
          <w:lang w:eastAsia="sk-SK"/>
        </w:rPr>
      </w:pPr>
      <w:r w:rsidRPr="0035568A">
        <w:rPr>
          <w:rFonts w:eastAsia="Times New Roman" w:cs="Times New Roman"/>
          <w:szCs w:val="24"/>
          <w:lang w:eastAsia="sk-SK"/>
        </w:rPr>
        <w:t>nie je obsiahnutá v judikatúre Súdneho dvora Európskej únie.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szCs w:val="24"/>
          <w:lang w:eastAsia="sk-SK"/>
        </w:rPr>
      </w:pP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szCs w:val="24"/>
          <w:lang w:eastAsia="sk-SK"/>
        </w:rPr>
      </w:pPr>
    </w:p>
    <w:p w:rsidR="0035568A" w:rsidRPr="0035568A" w:rsidRDefault="0035568A" w:rsidP="00C66F8C">
      <w:pPr>
        <w:ind w:right="568" w:firstLine="0"/>
        <w:jc w:val="both"/>
        <w:outlineLvl w:val="0"/>
        <w:rPr>
          <w:szCs w:val="24"/>
        </w:rPr>
      </w:pPr>
      <w:r w:rsidRPr="0035568A">
        <w:rPr>
          <w:rFonts w:eastAsia="Times New Roman" w:cs="Times New Roman"/>
          <w:b/>
          <w:bCs/>
          <w:szCs w:val="24"/>
          <w:lang w:eastAsia="sk-SK"/>
        </w:rPr>
        <w:t>Vzhľadom na vnútroštátny charakter navrhovaného právneho predpisu je bezpredmetné vyjadrovať sa k</w:t>
      </w:r>
      <w:r w:rsidR="00CE4A85">
        <w:rPr>
          <w:rFonts w:eastAsia="Times New Roman" w:cs="Times New Roman"/>
          <w:b/>
          <w:bCs/>
          <w:szCs w:val="24"/>
          <w:lang w:eastAsia="sk-SK"/>
        </w:rPr>
        <w:t xml:space="preserve"> bodom 4, 5 a 6</w:t>
      </w:r>
      <w:r w:rsidRPr="0035568A">
        <w:rPr>
          <w:rFonts w:eastAsia="Times New Roman" w:cs="Times New Roman"/>
          <w:b/>
          <w:bCs/>
          <w:szCs w:val="24"/>
          <w:lang w:eastAsia="sk-SK"/>
        </w:rPr>
        <w:t xml:space="preserve"> doložky zlučiteľnosti.</w:t>
      </w:r>
    </w:p>
    <w:p w:rsidR="0035568A" w:rsidRP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sectPr w:rsidR="0035568A" w:rsidRPr="0035568A" w:rsidSect="00262278">
      <w:footerReference w:type="default" r:id="rId8"/>
      <w:footerReference w:type="first" r:id="rId9"/>
      <w:pgSz w:w="11906" w:h="16838"/>
      <w:pgMar w:top="1560" w:right="1416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8E" w:rsidRDefault="0086058E" w:rsidP="001804FE">
      <w:r>
        <w:separator/>
      </w:r>
    </w:p>
  </w:endnote>
  <w:endnote w:type="continuationSeparator" w:id="0">
    <w:p w:rsidR="0086058E" w:rsidRDefault="0086058E" w:rsidP="0018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14251"/>
      <w:docPartObj>
        <w:docPartGallery w:val="Page Numbers (Bottom of Page)"/>
        <w:docPartUnique/>
      </w:docPartObj>
    </w:sdtPr>
    <w:sdtEndPr/>
    <w:sdtContent>
      <w:p w:rsidR="001804FE" w:rsidRDefault="001804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01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747612383"/>
      <w:docPartObj>
        <w:docPartGallery w:val="Page Numbers (Bottom of Page)"/>
        <w:docPartUnique/>
      </w:docPartObj>
    </w:sdtPr>
    <w:sdtEndPr/>
    <w:sdtContent>
      <w:p w:rsidR="00770352" w:rsidRPr="00770352" w:rsidRDefault="00770352">
        <w:pPr>
          <w:pStyle w:val="Pta"/>
          <w:jc w:val="center"/>
          <w:rPr>
            <w:sz w:val="18"/>
            <w:szCs w:val="18"/>
          </w:rPr>
        </w:pPr>
        <w:r w:rsidRPr="00770352">
          <w:rPr>
            <w:sz w:val="18"/>
            <w:szCs w:val="18"/>
          </w:rPr>
          <w:fldChar w:fldCharType="begin"/>
        </w:r>
        <w:r w:rsidRPr="00770352">
          <w:rPr>
            <w:sz w:val="18"/>
            <w:szCs w:val="18"/>
          </w:rPr>
          <w:instrText>PAGE   \* MERGEFORMAT</w:instrText>
        </w:r>
        <w:r w:rsidRPr="00770352">
          <w:rPr>
            <w:sz w:val="18"/>
            <w:szCs w:val="18"/>
          </w:rPr>
          <w:fldChar w:fldCharType="separate"/>
        </w:r>
        <w:r w:rsidR="00BA501B">
          <w:rPr>
            <w:noProof/>
            <w:sz w:val="18"/>
            <w:szCs w:val="18"/>
          </w:rPr>
          <w:t>1</w:t>
        </w:r>
        <w:r w:rsidRPr="00770352">
          <w:rPr>
            <w:sz w:val="18"/>
            <w:szCs w:val="18"/>
          </w:rPr>
          <w:fldChar w:fldCharType="end"/>
        </w:r>
      </w:p>
    </w:sdtContent>
  </w:sdt>
  <w:p w:rsidR="00770352" w:rsidRDefault="007703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8E" w:rsidRDefault="0086058E" w:rsidP="001804FE">
      <w:r>
        <w:separator/>
      </w:r>
    </w:p>
  </w:footnote>
  <w:footnote w:type="continuationSeparator" w:id="0">
    <w:p w:rsidR="0086058E" w:rsidRDefault="0086058E" w:rsidP="0018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7DF"/>
    <w:multiLevelType w:val="hybridMultilevel"/>
    <w:tmpl w:val="901E5744"/>
    <w:lvl w:ilvl="0" w:tplc="B718A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1B67DB"/>
    <w:multiLevelType w:val="hybridMultilevel"/>
    <w:tmpl w:val="244AA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567F68"/>
    <w:multiLevelType w:val="hybridMultilevel"/>
    <w:tmpl w:val="115C4494"/>
    <w:lvl w:ilvl="0" w:tplc="5338FF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CA87460"/>
    <w:multiLevelType w:val="hybridMultilevel"/>
    <w:tmpl w:val="4028ACBE"/>
    <w:lvl w:ilvl="0" w:tplc="EEDE6ECE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35466B05"/>
    <w:multiLevelType w:val="hybridMultilevel"/>
    <w:tmpl w:val="882EF0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15FB4"/>
    <w:multiLevelType w:val="hybridMultilevel"/>
    <w:tmpl w:val="979A7BA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E991499"/>
    <w:multiLevelType w:val="hybridMultilevel"/>
    <w:tmpl w:val="1144DA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44F01"/>
    <w:multiLevelType w:val="hybridMultilevel"/>
    <w:tmpl w:val="D4B01486"/>
    <w:lvl w:ilvl="0" w:tplc="6392335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FC"/>
    <w:rsid w:val="000037A0"/>
    <w:rsid w:val="00010FB7"/>
    <w:rsid w:val="00012BFB"/>
    <w:rsid w:val="00016CAC"/>
    <w:rsid w:val="000261FC"/>
    <w:rsid w:val="0002627C"/>
    <w:rsid w:val="00031310"/>
    <w:rsid w:val="0003243C"/>
    <w:rsid w:val="00033E3D"/>
    <w:rsid w:val="00043D21"/>
    <w:rsid w:val="000502C0"/>
    <w:rsid w:val="0005050F"/>
    <w:rsid w:val="00056245"/>
    <w:rsid w:val="00090915"/>
    <w:rsid w:val="000949ED"/>
    <w:rsid w:val="00096CED"/>
    <w:rsid w:val="000A6FE4"/>
    <w:rsid w:val="000B5B84"/>
    <w:rsid w:val="000C23E1"/>
    <w:rsid w:val="000D74F9"/>
    <w:rsid w:val="000E62FA"/>
    <w:rsid w:val="000F22A3"/>
    <w:rsid w:val="000F3D32"/>
    <w:rsid w:val="00100505"/>
    <w:rsid w:val="00103F37"/>
    <w:rsid w:val="00111289"/>
    <w:rsid w:val="001210FC"/>
    <w:rsid w:val="00131380"/>
    <w:rsid w:val="0013660D"/>
    <w:rsid w:val="00162C89"/>
    <w:rsid w:val="00165262"/>
    <w:rsid w:val="0017383F"/>
    <w:rsid w:val="00175ED2"/>
    <w:rsid w:val="001804FE"/>
    <w:rsid w:val="0018535B"/>
    <w:rsid w:val="00186E45"/>
    <w:rsid w:val="001870A0"/>
    <w:rsid w:val="0019720D"/>
    <w:rsid w:val="001B2350"/>
    <w:rsid w:val="001B7E3A"/>
    <w:rsid w:val="001E339E"/>
    <w:rsid w:val="002027D5"/>
    <w:rsid w:val="002032F8"/>
    <w:rsid w:val="002104E7"/>
    <w:rsid w:val="00213191"/>
    <w:rsid w:val="002168EF"/>
    <w:rsid w:val="00224F49"/>
    <w:rsid w:val="00242CFE"/>
    <w:rsid w:val="00247E4F"/>
    <w:rsid w:val="00256EEC"/>
    <w:rsid w:val="002577F3"/>
    <w:rsid w:val="00262278"/>
    <w:rsid w:val="00263C66"/>
    <w:rsid w:val="00263CDB"/>
    <w:rsid w:val="00275A32"/>
    <w:rsid w:val="002843F2"/>
    <w:rsid w:val="00284D63"/>
    <w:rsid w:val="00285B16"/>
    <w:rsid w:val="00290D86"/>
    <w:rsid w:val="0029420C"/>
    <w:rsid w:val="00295931"/>
    <w:rsid w:val="002A4A91"/>
    <w:rsid w:val="002A57B8"/>
    <w:rsid w:val="002A5D1C"/>
    <w:rsid w:val="002A7B1E"/>
    <w:rsid w:val="002B0EDE"/>
    <w:rsid w:val="002B11E6"/>
    <w:rsid w:val="002B3593"/>
    <w:rsid w:val="002C2A50"/>
    <w:rsid w:val="002C2F85"/>
    <w:rsid w:val="002C5CC6"/>
    <w:rsid w:val="002D48CA"/>
    <w:rsid w:val="002D6E92"/>
    <w:rsid w:val="002E29DE"/>
    <w:rsid w:val="002E5A7F"/>
    <w:rsid w:val="002F1D36"/>
    <w:rsid w:val="00307BE0"/>
    <w:rsid w:val="00312310"/>
    <w:rsid w:val="00315646"/>
    <w:rsid w:val="003273FB"/>
    <w:rsid w:val="00335725"/>
    <w:rsid w:val="00335EE2"/>
    <w:rsid w:val="00351341"/>
    <w:rsid w:val="0035568A"/>
    <w:rsid w:val="0035644E"/>
    <w:rsid w:val="0036320A"/>
    <w:rsid w:val="003858A2"/>
    <w:rsid w:val="003A15D6"/>
    <w:rsid w:val="003B233A"/>
    <w:rsid w:val="003C7D9F"/>
    <w:rsid w:val="003D0C96"/>
    <w:rsid w:val="003D179B"/>
    <w:rsid w:val="003D2CFB"/>
    <w:rsid w:val="003D32FB"/>
    <w:rsid w:val="003E2879"/>
    <w:rsid w:val="003E4F4D"/>
    <w:rsid w:val="003F5CCB"/>
    <w:rsid w:val="004043A9"/>
    <w:rsid w:val="0040689F"/>
    <w:rsid w:val="004106BF"/>
    <w:rsid w:val="00415B8A"/>
    <w:rsid w:val="00416A40"/>
    <w:rsid w:val="00417155"/>
    <w:rsid w:val="00424A69"/>
    <w:rsid w:val="0043158B"/>
    <w:rsid w:val="00436483"/>
    <w:rsid w:val="0044065D"/>
    <w:rsid w:val="00453BCA"/>
    <w:rsid w:val="00456765"/>
    <w:rsid w:val="00456D9E"/>
    <w:rsid w:val="00457857"/>
    <w:rsid w:val="0047295C"/>
    <w:rsid w:val="00483BB8"/>
    <w:rsid w:val="00491C14"/>
    <w:rsid w:val="00494530"/>
    <w:rsid w:val="00495B8C"/>
    <w:rsid w:val="004A7F38"/>
    <w:rsid w:val="004D32BC"/>
    <w:rsid w:val="004E406E"/>
    <w:rsid w:val="004E5AC0"/>
    <w:rsid w:val="004F1794"/>
    <w:rsid w:val="005016D6"/>
    <w:rsid w:val="005112ED"/>
    <w:rsid w:val="005124A8"/>
    <w:rsid w:val="00524391"/>
    <w:rsid w:val="00536F28"/>
    <w:rsid w:val="00541151"/>
    <w:rsid w:val="00542F98"/>
    <w:rsid w:val="00546FB9"/>
    <w:rsid w:val="0055120F"/>
    <w:rsid w:val="00562993"/>
    <w:rsid w:val="00566C3B"/>
    <w:rsid w:val="00566CBB"/>
    <w:rsid w:val="00567E5D"/>
    <w:rsid w:val="005725B3"/>
    <w:rsid w:val="005846AC"/>
    <w:rsid w:val="00585137"/>
    <w:rsid w:val="005958EC"/>
    <w:rsid w:val="005A1CA7"/>
    <w:rsid w:val="005A2AFD"/>
    <w:rsid w:val="005B0C98"/>
    <w:rsid w:val="005B5A8C"/>
    <w:rsid w:val="005C1323"/>
    <w:rsid w:val="005E0740"/>
    <w:rsid w:val="005E111A"/>
    <w:rsid w:val="005E42E1"/>
    <w:rsid w:val="005E7DD5"/>
    <w:rsid w:val="005F589D"/>
    <w:rsid w:val="00602DCE"/>
    <w:rsid w:val="00603551"/>
    <w:rsid w:val="006173C7"/>
    <w:rsid w:val="006301AE"/>
    <w:rsid w:val="0063052B"/>
    <w:rsid w:val="0063428C"/>
    <w:rsid w:val="00644192"/>
    <w:rsid w:val="006503F1"/>
    <w:rsid w:val="006513C0"/>
    <w:rsid w:val="00651C3D"/>
    <w:rsid w:val="00652F40"/>
    <w:rsid w:val="006575AF"/>
    <w:rsid w:val="00657789"/>
    <w:rsid w:val="00663627"/>
    <w:rsid w:val="006674D2"/>
    <w:rsid w:val="006721E1"/>
    <w:rsid w:val="006769D1"/>
    <w:rsid w:val="006833FC"/>
    <w:rsid w:val="00687EDD"/>
    <w:rsid w:val="00696136"/>
    <w:rsid w:val="006A28C1"/>
    <w:rsid w:val="006B2E1E"/>
    <w:rsid w:val="006B3E40"/>
    <w:rsid w:val="006B4DBA"/>
    <w:rsid w:val="006B6C8B"/>
    <w:rsid w:val="006C1711"/>
    <w:rsid w:val="006C2F73"/>
    <w:rsid w:val="006D29D3"/>
    <w:rsid w:val="006D48E3"/>
    <w:rsid w:val="006E2163"/>
    <w:rsid w:val="006E4F31"/>
    <w:rsid w:val="006E644C"/>
    <w:rsid w:val="006F0158"/>
    <w:rsid w:val="006F2CE3"/>
    <w:rsid w:val="006F334C"/>
    <w:rsid w:val="006F51B4"/>
    <w:rsid w:val="0070362C"/>
    <w:rsid w:val="00735EEF"/>
    <w:rsid w:val="00751246"/>
    <w:rsid w:val="0075236D"/>
    <w:rsid w:val="00756028"/>
    <w:rsid w:val="0076291F"/>
    <w:rsid w:val="00770352"/>
    <w:rsid w:val="007749BF"/>
    <w:rsid w:val="007755C5"/>
    <w:rsid w:val="00776C93"/>
    <w:rsid w:val="00794861"/>
    <w:rsid w:val="0079716F"/>
    <w:rsid w:val="00797E63"/>
    <w:rsid w:val="007C5787"/>
    <w:rsid w:val="007D751C"/>
    <w:rsid w:val="007E52AD"/>
    <w:rsid w:val="007F308B"/>
    <w:rsid w:val="007F3AB7"/>
    <w:rsid w:val="008043FE"/>
    <w:rsid w:val="008060DC"/>
    <w:rsid w:val="0081341B"/>
    <w:rsid w:val="008279D0"/>
    <w:rsid w:val="00857B3E"/>
    <w:rsid w:val="0086058E"/>
    <w:rsid w:val="008611A5"/>
    <w:rsid w:val="00861BFB"/>
    <w:rsid w:val="0086724D"/>
    <w:rsid w:val="00870685"/>
    <w:rsid w:val="00871378"/>
    <w:rsid w:val="00877FF9"/>
    <w:rsid w:val="00893202"/>
    <w:rsid w:val="008A3358"/>
    <w:rsid w:val="008A45D8"/>
    <w:rsid w:val="008A47FC"/>
    <w:rsid w:val="008A5525"/>
    <w:rsid w:val="008A6020"/>
    <w:rsid w:val="008B15E9"/>
    <w:rsid w:val="008C04FD"/>
    <w:rsid w:val="008C2C87"/>
    <w:rsid w:val="008C7AAA"/>
    <w:rsid w:val="008D3AFD"/>
    <w:rsid w:val="008E2180"/>
    <w:rsid w:val="008E4723"/>
    <w:rsid w:val="009235E5"/>
    <w:rsid w:val="0093345B"/>
    <w:rsid w:val="009525AB"/>
    <w:rsid w:val="00956B9F"/>
    <w:rsid w:val="00965E6A"/>
    <w:rsid w:val="00972446"/>
    <w:rsid w:val="00975794"/>
    <w:rsid w:val="00975A65"/>
    <w:rsid w:val="009A20AD"/>
    <w:rsid w:val="009A3AA4"/>
    <w:rsid w:val="009D5666"/>
    <w:rsid w:val="009F49C8"/>
    <w:rsid w:val="009F5D88"/>
    <w:rsid w:val="00A0401D"/>
    <w:rsid w:val="00A25524"/>
    <w:rsid w:val="00A3268D"/>
    <w:rsid w:val="00A32771"/>
    <w:rsid w:val="00A33556"/>
    <w:rsid w:val="00A35333"/>
    <w:rsid w:val="00A360F7"/>
    <w:rsid w:val="00A378B7"/>
    <w:rsid w:val="00A42696"/>
    <w:rsid w:val="00A4448E"/>
    <w:rsid w:val="00A4713D"/>
    <w:rsid w:val="00A548C7"/>
    <w:rsid w:val="00A6275A"/>
    <w:rsid w:val="00A64897"/>
    <w:rsid w:val="00A71F56"/>
    <w:rsid w:val="00A835AA"/>
    <w:rsid w:val="00A90AB7"/>
    <w:rsid w:val="00A910BF"/>
    <w:rsid w:val="00A918DD"/>
    <w:rsid w:val="00AA4C1C"/>
    <w:rsid w:val="00AB0D8B"/>
    <w:rsid w:val="00AB43FE"/>
    <w:rsid w:val="00AC5937"/>
    <w:rsid w:val="00AC60C7"/>
    <w:rsid w:val="00AD24DE"/>
    <w:rsid w:val="00AD783D"/>
    <w:rsid w:val="00AF375D"/>
    <w:rsid w:val="00B048CF"/>
    <w:rsid w:val="00B04BE9"/>
    <w:rsid w:val="00B26053"/>
    <w:rsid w:val="00B27D0D"/>
    <w:rsid w:val="00B3385F"/>
    <w:rsid w:val="00B35CCB"/>
    <w:rsid w:val="00B437A4"/>
    <w:rsid w:val="00B53FA3"/>
    <w:rsid w:val="00B6329B"/>
    <w:rsid w:val="00B7530C"/>
    <w:rsid w:val="00B7643D"/>
    <w:rsid w:val="00B83268"/>
    <w:rsid w:val="00B902B4"/>
    <w:rsid w:val="00B9488C"/>
    <w:rsid w:val="00B94BCE"/>
    <w:rsid w:val="00BA501B"/>
    <w:rsid w:val="00BC3F0C"/>
    <w:rsid w:val="00BC4A5F"/>
    <w:rsid w:val="00BD32DB"/>
    <w:rsid w:val="00BD38F3"/>
    <w:rsid w:val="00BD6263"/>
    <w:rsid w:val="00BD645C"/>
    <w:rsid w:val="00C014AC"/>
    <w:rsid w:val="00C01F94"/>
    <w:rsid w:val="00C02D8F"/>
    <w:rsid w:val="00C07FF7"/>
    <w:rsid w:val="00C11B01"/>
    <w:rsid w:val="00C209D0"/>
    <w:rsid w:val="00C275ED"/>
    <w:rsid w:val="00C368F2"/>
    <w:rsid w:val="00C410C8"/>
    <w:rsid w:val="00C458E5"/>
    <w:rsid w:val="00C55BA7"/>
    <w:rsid w:val="00C60B52"/>
    <w:rsid w:val="00C66F8C"/>
    <w:rsid w:val="00C80B32"/>
    <w:rsid w:val="00C933E3"/>
    <w:rsid w:val="00C94C27"/>
    <w:rsid w:val="00C95D18"/>
    <w:rsid w:val="00CB1A70"/>
    <w:rsid w:val="00CB6DCA"/>
    <w:rsid w:val="00CD1074"/>
    <w:rsid w:val="00CD41E3"/>
    <w:rsid w:val="00CD5A9C"/>
    <w:rsid w:val="00CE4A85"/>
    <w:rsid w:val="00CE52B8"/>
    <w:rsid w:val="00CF11F7"/>
    <w:rsid w:val="00D01483"/>
    <w:rsid w:val="00D02CC1"/>
    <w:rsid w:val="00D124AF"/>
    <w:rsid w:val="00D12805"/>
    <w:rsid w:val="00D16550"/>
    <w:rsid w:val="00D32DB6"/>
    <w:rsid w:val="00D44A55"/>
    <w:rsid w:val="00D51092"/>
    <w:rsid w:val="00D541D9"/>
    <w:rsid w:val="00D57D03"/>
    <w:rsid w:val="00D7448D"/>
    <w:rsid w:val="00D951F3"/>
    <w:rsid w:val="00DA1A18"/>
    <w:rsid w:val="00DA75FB"/>
    <w:rsid w:val="00DA7E4C"/>
    <w:rsid w:val="00DB03F2"/>
    <w:rsid w:val="00DC02DB"/>
    <w:rsid w:val="00DC2F0A"/>
    <w:rsid w:val="00DE24F8"/>
    <w:rsid w:val="00DF2815"/>
    <w:rsid w:val="00E12FB4"/>
    <w:rsid w:val="00E34949"/>
    <w:rsid w:val="00E35986"/>
    <w:rsid w:val="00E366B9"/>
    <w:rsid w:val="00E45F60"/>
    <w:rsid w:val="00E54278"/>
    <w:rsid w:val="00E704A0"/>
    <w:rsid w:val="00E80B56"/>
    <w:rsid w:val="00E87297"/>
    <w:rsid w:val="00E93997"/>
    <w:rsid w:val="00EA1D35"/>
    <w:rsid w:val="00EA4628"/>
    <w:rsid w:val="00EB233E"/>
    <w:rsid w:val="00EB5253"/>
    <w:rsid w:val="00EC207A"/>
    <w:rsid w:val="00EC5808"/>
    <w:rsid w:val="00ED38EE"/>
    <w:rsid w:val="00ED6F94"/>
    <w:rsid w:val="00EE7409"/>
    <w:rsid w:val="00F00833"/>
    <w:rsid w:val="00F031CA"/>
    <w:rsid w:val="00F315AA"/>
    <w:rsid w:val="00F33D0B"/>
    <w:rsid w:val="00F534FB"/>
    <w:rsid w:val="00F5399D"/>
    <w:rsid w:val="00F55C06"/>
    <w:rsid w:val="00F567FF"/>
    <w:rsid w:val="00F6029C"/>
    <w:rsid w:val="00F71DE7"/>
    <w:rsid w:val="00F87E8D"/>
    <w:rsid w:val="00F90E50"/>
    <w:rsid w:val="00F972FF"/>
    <w:rsid w:val="00FA0E89"/>
    <w:rsid w:val="00FA45DB"/>
    <w:rsid w:val="00FB0E91"/>
    <w:rsid w:val="00FB476E"/>
    <w:rsid w:val="00FC3964"/>
    <w:rsid w:val="00FC53AB"/>
    <w:rsid w:val="00FD08D8"/>
    <w:rsid w:val="00FE7E06"/>
    <w:rsid w:val="00FF2BE8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1393"/>
  <w15:docId w15:val="{00908682-16C6-4F98-A642-5EFD62BF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40" w:line="276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7FC"/>
    <w:pPr>
      <w:keepNext/>
      <w:spacing w:after="0" w:line="240" w:lineRule="auto"/>
      <w:contextualSpacing/>
    </w:pPr>
    <w:rPr>
      <w:rFonts w:ascii="Times New Roman" w:eastAsiaTheme="minorEastAsia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47FC"/>
    <w:pPr>
      <w:keepNext w:val="0"/>
      <w:overflowPunct w:val="0"/>
      <w:autoSpaceDE w:val="0"/>
      <w:autoSpaceDN w:val="0"/>
      <w:adjustRightInd w:val="0"/>
      <w:ind w:left="708"/>
      <w:contextualSpacing w:val="0"/>
      <w:jc w:val="both"/>
    </w:pPr>
    <w:rPr>
      <w:rFonts w:eastAsia="Times New Roman" w:cs="Times New Roman"/>
      <w:szCs w:val="20"/>
    </w:rPr>
  </w:style>
  <w:style w:type="paragraph" w:customStyle="1" w:styleId="Farebnzoznamzvraznenie111">
    <w:name w:val="Farebný zoznam – zvýraznenie 111"/>
    <w:basedOn w:val="Normlny"/>
    <w:uiPriority w:val="34"/>
    <w:qFormat/>
    <w:rsid w:val="008A47FC"/>
    <w:pPr>
      <w:keepNext w:val="0"/>
      <w:ind w:left="708"/>
      <w:contextualSpacing w:val="0"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09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0915"/>
    <w:rPr>
      <w:rFonts w:ascii="Tahoma" w:eastAsiaTheme="minorEastAsi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04FE"/>
    <w:rPr>
      <w:rFonts w:ascii="Times New Roman" w:eastAsiaTheme="minorEastAsia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04FE"/>
    <w:rPr>
      <w:rFonts w:ascii="Times New Roman" w:eastAsiaTheme="minorEastAsia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D7448D"/>
    <w:pPr>
      <w:keepNext w:val="0"/>
      <w:ind w:firstLine="720"/>
      <w:contextualSpacing w:val="0"/>
      <w:jc w:val="both"/>
    </w:pPr>
    <w:rPr>
      <w:rFonts w:eastAsia="Times New Roman" w:cs="Times New Roman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7448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027D5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D38F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D38F3"/>
    <w:rPr>
      <w:rFonts w:ascii="Times New Roman" w:eastAsiaTheme="minorEastAsia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D38F3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577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7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7789"/>
    <w:rPr>
      <w:rFonts w:ascii="Times New Roman" w:eastAsiaTheme="minorEastAsia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7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789"/>
    <w:rPr>
      <w:rFonts w:ascii="Times New Roman" w:eastAsiaTheme="minorEastAsia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D01483"/>
    <w:pPr>
      <w:spacing w:after="0" w:line="240" w:lineRule="auto"/>
      <w:ind w:firstLine="0"/>
    </w:pPr>
    <w:rPr>
      <w:rFonts w:ascii="Times New Roman" w:eastAsiaTheme="minorEastAsia" w:hAnsi="Times New Roman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247E4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47E4F"/>
    <w:rPr>
      <w:rFonts w:ascii="Times New Roman" w:eastAsiaTheme="minorEastAsia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7E4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7E4F"/>
    <w:rPr>
      <w:rFonts w:ascii="Times New Roman" w:eastAsiaTheme="minorEastAsia" w:hAnsi="Times New Roman"/>
      <w:sz w:val="24"/>
    </w:rPr>
  </w:style>
  <w:style w:type="paragraph" w:styleId="Nzov">
    <w:name w:val="Title"/>
    <w:basedOn w:val="Normlny"/>
    <w:link w:val="NzovChar"/>
    <w:uiPriority w:val="10"/>
    <w:qFormat/>
    <w:rsid w:val="00247E4F"/>
    <w:pPr>
      <w:keepNext w:val="0"/>
      <w:widowControl w:val="0"/>
      <w:autoSpaceDE w:val="0"/>
      <w:autoSpaceDN w:val="0"/>
      <w:adjustRightInd w:val="0"/>
      <w:ind w:firstLine="0"/>
      <w:contextualSpacing w:val="0"/>
      <w:jc w:val="center"/>
    </w:pPr>
    <w:rPr>
      <w:rFonts w:eastAsia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247E4F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h1a2">
    <w:name w:val="h1a2"/>
    <w:basedOn w:val="Predvolenpsmoodseku"/>
    <w:rsid w:val="00877FF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66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7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7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3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51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15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5C39-7B27-4421-ABE0-A7A25FE2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</dc:creator>
  <cp:lastModifiedBy>Mifková, Miroslava</cp:lastModifiedBy>
  <cp:revision>6</cp:revision>
  <cp:lastPrinted>2018-09-28T08:56:00Z</cp:lastPrinted>
  <dcterms:created xsi:type="dcterms:W3CDTF">2018-09-28T08:22:00Z</dcterms:created>
  <dcterms:modified xsi:type="dcterms:W3CDTF">2018-09-28T10:40:00Z</dcterms:modified>
</cp:coreProperties>
</file>