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79" w:rsidRDefault="003E2879" w:rsidP="00312B4C">
      <w:pPr>
        <w:keepNext w:val="0"/>
        <w:spacing w:after="240" w:line="276" w:lineRule="auto"/>
        <w:ind w:right="568" w:firstLine="0"/>
        <w:contextualSpacing w:val="0"/>
        <w:rPr>
          <w:szCs w:val="24"/>
        </w:rPr>
      </w:pPr>
    </w:p>
    <w:p w:rsidR="003E2879" w:rsidRPr="003E2879" w:rsidRDefault="003E2879" w:rsidP="00C66F8C">
      <w:pPr>
        <w:ind w:right="568" w:firstLine="0"/>
        <w:jc w:val="center"/>
        <w:outlineLvl w:val="0"/>
        <w:rPr>
          <w:b/>
          <w:szCs w:val="24"/>
        </w:rPr>
      </w:pPr>
    </w:p>
    <w:p w:rsidR="003E2879" w:rsidRDefault="003E2879" w:rsidP="00C66F8C">
      <w:pPr>
        <w:ind w:right="568" w:firstLine="0"/>
        <w:jc w:val="center"/>
        <w:outlineLvl w:val="0"/>
        <w:rPr>
          <w:b/>
          <w:bCs/>
          <w:sz w:val="28"/>
          <w:szCs w:val="28"/>
        </w:rPr>
      </w:pPr>
      <w:r w:rsidRPr="003E2879">
        <w:rPr>
          <w:b/>
          <w:bCs/>
          <w:sz w:val="28"/>
          <w:szCs w:val="28"/>
        </w:rPr>
        <w:t>Dôvodová správa</w:t>
      </w:r>
    </w:p>
    <w:p w:rsidR="003E2879" w:rsidRDefault="003E2879" w:rsidP="00C66F8C">
      <w:pPr>
        <w:ind w:right="568" w:firstLine="0"/>
        <w:jc w:val="center"/>
        <w:outlineLvl w:val="0"/>
        <w:rPr>
          <w:b/>
          <w:bCs/>
          <w:sz w:val="28"/>
          <w:szCs w:val="28"/>
        </w:rPr>
      </w:pPr>
    </w:p>
    <w:p w:rsidR="003E2879" w:rsidRDefault="0035568A" w:rsidP="00C66F8C">
      <w:pPr>
        <w:ind w:right="568" w:firstLine="0"/>
        <w:jc w:val="both"/>
        <w:outlineLvl w:val="0"/>
        <w:rPr>
          <w:b/>
          <w:szCs w:val="24"/>
        </w:rPr>
      </w:pPr>
      <w:r>
        <w:rPr>
          <w:b/>
          <w:szCs w:val="24"/>
        </w:rPr>
        <w:t>Všeobecná časť</w:t>
      </w:r>
    </w:p>
    <w:p w:rsid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</w:p>
    <w:p w:rsidR="008E4723" w:rsidRDefault="008E4723" w:rsidP="00C66F8C">
      <w:pPr>
        <w:ind w:right="568" w:firstLine="0"/>
        <w:jc w:val="both"/>
        <w:outlineLvl w:val="0"/>
        <w:rPr>
          <w:szCs w:val="24"/>
        </w:rPr>
      </w:pPr>
      <w:r>
        <w:rPr>
          <w:szCs w:val="24"/>
        </w:rPr>
        <w:t xml:space="preserve">Novela zákona o obecnom zriadení z tohto roka zaviedla určité obmedzenia v odmeňovaní poslancov obecných zastupiteľstiev a to tak, že v § 25 ods. 8 ustanovila strop. Poslanec obecného zastupiteľstva tak v súčasnosti môže ročne dostať odmenu najviac v sume jednej dvanástiny platu starostu obce. </w:t>
      </w:r>
    </w:p>
    <w:p w:rsidR="00D02CC1" w:rsidRDefault="00D02CC1" w:rsidP="00C66F8C">
      <w:pPr>
        <w:ind w:right="568" w:firstLine="0"/>
        <w:jc w:val="both"/>
        <w:outlineLvl w:val="0"/>
        <w:rPr>
          <w:szCs w:val="24"/>
        </w:rPr>
      </w:pPr>
    </w:p>
    <w:p w:rsidR="008E4723" w:rsidRDefault="008E4723" w:rsidP="00C66F8C">
      <w:pPr>
        <w:ind w:right="568" w:firstLine="0"/>
        <w:jc w:val="both"/>
        <w:outlineLvl w:val="0"/>
        <w:rPr>
          <w:szCs w:val="24"/>
        </w:rPr>
      </w:pPr>
      <w:r>
        <w:rPr>
          <w:szCs w:val="24"/>
        </w:rPr>
        <w:t>V krátkom čase, od účinnosti takejto zákonnej úpravy sa však ukázalo, že nie je možné diferencovať odmeňovanie poslancov obecných zastupiteľstiev najmä preto, že niektor</w:t>
      </w:r>
      <w:r w:rsidR="00230191">
        <w:rPr>
          <w:szCs w:val="24"/>
        </w:rPr>
        <w:t>í</w:t>
      </w:r>
      <w:r>
        <w:rPr>
          <w:szCs w:val="24"/>
        </w:rPr>
        <w:t xml:space="preserve"> poslanci vykonávajú len čisto poslanecký mandát, niektor</w:t>
      </w:r>
      <w:r w:rsidR="00230191">
        <w:rPr>
          <w:szCs w:val="24"/>
        </w:rPr>
        <w:t>í</w:t>
      </w:r>
      <w:r>
        <w:rPr>
          <w:szCs w:val="24"/>
        </w:rPr>
        <w:t xml:space="preserve"> plnia úlohy aj pri zastupovaní starostu obce, ďalší vykonávajú úkony pri rôznych príležitostiach občianskych obradov, ako sú uvítania detí do života, oslavy dožitia sa významných jubileí obyvateľov obce, uzatvárajú sobáše a pod. Všetko ide o spoločensky potrebné činnosti, ktoré majú významný vplyv na sociálny život v obci.</w:t>
      </w:r>
    </w:p>
    <w:p w:rsidR="00D02CC1" w:rsidRDefault="00D02CC1" w:rsidP="00C66F8C">
      <w:pPr>
        <w:ind w:right="568" w:firstLine="0"/>
        <w:jc w:val="both"/>
        <w:outlineLvl w:val="0"/>
        <w:rPr>
          <w:szCs w:val="24"/>
        </w:rPr>
      </w:pPr>
    </w:p>
    <w:p w:rsidR="008E4723" w:rsidRDefault="008E4723" w:rsidP="00C66F8C">
      <w:pPr>
        <w:ind w:right="568" w:firstLine="0"/>
        <w:jc w:val="both"/>
        <w:outlineLvl w:val="0"/>
        <w:rPr>
          <w:szCs w:val="24"/>
        </w:rPr>
      </w:pPr>
      <w:r>
        <w:rPr>
          <w:szCs w:val="24"/>
        </w:rPr>
        <w:t>Navrhuje sa preto upraviť v zákone viaceré ustanovenia, ktoré by zohľadňovali tieto potreby. Návrh novely nebude mať vplyv na rozpočty obce, pretože vychádza zo zaužívaných tradícií, postupov a schválených zásad odmeňovania a schválených rozpočtov. Odstránia sa však bariéry, ktoré obciam zväzovali možnosti spravodlivo odmeňovať poslancov obecného zastupiteľstva.</w:t>
      </w:r>
    </w:p>
    <w:p w:rsidR="00D02CC1" w:rsidRDefault="00D02CC1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8E4723" w:rsidP="00C66F8C">
      <w:pPr>
        <w:ind w:right="568" w:firstLine="0"/>
        <w:jc w:val="both"/>
        <w:outlineLvl w:val="0"/>
        <w:rPr>
          <w:szCs w:val="24"/>
        </w:rPr>
      </w:pPr>
      <w:r>
        <w:rPr>
          <w:szCs w:val="24"/>
        </w:rPr>
        <w:t>Návrh zákona je v súlade s Ústavou SR, ústavnými zákonmi, nálezmi ústavného súdu ako aj medzinárodnými zmluvami, ktorými je Slovenská republika viazaná a s právom Európskej únie.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  <w:r w:rsidRPr="0035568A">
        <w:rPr>
          <w:szCs w:val="24"/>
        </w:rPr>
        <w:t xml:space="preserve">Návrh zákona nemá vplyvy </w:t>
      </w:r>
      <w:r w:rsidR="00D02CC1">
        <w:rPr>
          <w:szCs w:val="24"/>
        </w:rPr>
        <w:t xml:space="preserve">ani </w:t>
      </w:r>
      <w:r w:rsidRPr="0035568A">
        <w:rPr>
          <w:szCs w:val="24"/>
        </w:rPr>
        <w:t>na rozpočet verejnej správy, na životné prostredie, na informatizáciu spoločnosti, ani na služby verejnej správy pre občana.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  <w:r>
        <w:rPr>
          <w:b/>
          <w:szCs w:val="24"/>
        </w:rPr>
        <w:t>Osobitná časť</w:t>
      </w:r>
    </w:p>
    <w:p w:rsid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  <w:r>
        <w:rPr>
          <w:b/>
          <w:szCs w:val="24"/>
        </w:rPr>
        <w:t>K čl. I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P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  <w:r w:rsidRPr="0035568A">
        <w:rPr>
          <w:b/>
          <w:szCs w:val="24"/>
        </w:rPr>
        <w:t>K bodu 1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  <w:r w:rsidRPr="0035568A">
        <w:rPr>
          <w:szCs w:val="24"/>
        </w:rPr>
        <w:t>V zákone sa explicitne vyjadruje právomoc starostu určiť plat svojho zástupcu v prípade, že zástupcom starostu je poslanec, ktorý je dlhodobo uvoľnený zo zamestnania. Takto určený plat má zohľadniť rozsah výkonu funkcie zástupcu starostu v písomnom poverení.</w:t>
      </w:r>
    </w:p>
    <w:p w:rsidR="0035568A" w:rsidRP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P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  <w:r w:rsidRPr="0035568A">
        <w:rPr>
          <w:b/>
          <w:szCs w:val="24"/>
        </w:rPr>
        <w:t>K bodu 2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  <w:r w:rsidRPr="0035568A">
        <w:rPr>
          <w:szCs w:val="24"/>
        </w:rPr>
        <w:t xml:space="preserve">Táto úprava odstraňuje nerovnosť pri odmeňovaní zástupcu starostu, ktorý nie je dlhodobo uvoľnený zo zamestnania. Keďže na zastupovanie starostu môže byť poverený aj poslanec, ktorý nie je zamestnaný a pre výkon tejto funkcie nemôže byť dlhodobo uvoľnený (napr. dôchodca, podnikateľ, nezamestnaný), dopĺňa sa úprava, podľa ktorej mu patrí za výkon </w:t>
      </w:r>
      <w:r w:rsidRPr="0035568A">
        <w:rPr>
          <w:szCs w:val="24"/>
        </w:rPr>
        <w:lastRenderedPageBreak/>
        <w:t>funkcie zástupcu starostu odmena od obce určená starostom. Výška odmeny má zohľadniť rozsah výkonu funkcie zástupcu starostu v písomnom poverení.</w:t>
      </w:r>
    </w:p>
    <w:p w:rsidR="0035568A" w:rsidRP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P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  <w:r w:rsidRPr="0035568A">
        <w:rPr>
          <w:b/>
          <w:szCs w:val="24"/>
        </w:rPr>
        <w:t>K bodu 3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  <w:r w:rsidRPr="0035568A">
        <w:rPr>
          <w:szCs w:val="24"/>
        </w:rPr>
        <w:t>Z aplikačnej praxe vyplynulo, že v dôsledku zavedenia stropu odmien poslancov niektoré činnosti vyplývajúce z výkonu funkcie poslanca je problematické zohľadniť v zákonom ustanovenej základnej odmene poslanca. Poslanci vykonávajú činnosti, ktoré im vyplývajú z osobitných predpisov (napr. zákona o rodine) a preto sa navrhuje, aby za tieto činnosti v zásadách odmeňovania poslancov mohla byť ustanovená ďalšia osobitná odmena.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ind w:right="568" w:firstLine="0"/>
        <w:jc w:val="both"/>
        <w:outlineLvl w:val="0"/>
        <w:rPr>
          <w:b/>
          <w:szCs w:val="24"/>
        </w:rPr>
      </w:pPr>
      <w:r w:rsidRPr="0035568A">
        <w:rPr>
          <w:b/>
          <w:szCs w:val="24"/>
        </w:rPr>
        <w:t>K čl. II</w:t>
      </w:r>
    </w:p>
    <w:p w:rsidR="0035568A" w:rsidRDefault="0035568A" w:rsidP="00C66F8C">
      <w:pPr>
        <w:ind w:right="568" w:firstLine="0"/>
        <w:jc w:val="both"/>
        <w:outlineLvl w:val="0"/>
        <w:rPr>
          <w:bCs/>
          <w:szCs w:val="24"/>
        </w:rPr>
      </w:pPr>
      <w:r w:rsidRPr="0035568A">
        <w:rPr>
          <w:bCs/>
          <w:szCs w:val="24"/>
        </w:rPr>
        <w:t>Navrhuje sa n</w:t>
      </w:r>
      <w:r>
        <w:rPr>
          <w:bCs/>
          <w:szCs w:val="24"/>
        </w:rPr>
        <w:t xml:space="preserve">adobudnutie účinnosti zákona od </w:t>
      </w:r>
      <w:r w:rsidR="008E4723">
        <w:rPr>
          <w:bCs/>
          <w:szCs w:val="24"/>
        </w:rPr>
        <w:t>1. januára 2019.</w:t>
      </w:r>
    </w:p>
    <w:p w:rsidR="0035568A" w:rsidRDefault="0035568A" w:rsidP="00C66F8C">
      <w:pPr>
        <w:keepNext w:val="0"/>
        <w:spacing w:after="240" w:line="276" w:lineRule="auto"/>
        <w:ind w:right="568"/>
        <w:contextualSpacing w:val="0"/>
        <w:rPr>
          <w:bCs/>
          <w:szCs w:val="24"/>
        </w:rPr>
      </w:pPr>
      <w:r>
        <w:rPr>
          <w:bCs/>
          <w:szCs w:val="24"/>
        </w:rPr>
        <w:br w:type="page"/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jc w:val="center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lastRenderedPageBreak/>
        <w:t>Doložka vybraných vplyvov</w:t>
      </w:r>
    </w:p>
    <w:p w:rsidR="0035568A" w:rsidRPr="0035568A" w:rsidRDefault="0035568A" w:rsidP="00C66F8C">
      <w:pPr>
        <w:keepNext w:val="0"/>
        <w:keepLines/>
        <w:widowControl w:val="0"/>
        <w:suppressAutoHyphens/>
        <w:ind w:right="568" w:firstLine="0"/>
        <w:contextualSpacing w:val="0"/>
        <w:rPr>
          <w:rFonts w:eastAsia="Times New Roman" w:cs="Times New Roman"/>
          <w:b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 xml:space="preserve">A.1. Názov materiálu: </w:t>
      </w:r>
    </w:p>
    <w:p w:rsidR="0035568A" w:rsidRPr="0035568A" w:rsidRDefault="0035568A" w:rsidP="00C66F8C">
      <w:pPr>
        <w:keepNext w:val="0"/>
        <w:keepLines/>
        <w:widowControl w:val="0"/>
        <w:suppressAutoHyphens/>
        <w:ind w:right="568" w:firstLine="0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>Návrh zákona, ktorým sa mení a dopĺňa zákon Slovenskej národnej rady č. 369/1990 Zb. o obecnom zriadení v znení neskorších predpisov</w:t>
      </w:r>
    </w:p>
    <w:p w:rsidR="0035568A" w:rsidRPr="0035568A" w:rsidRDefault="0035568A" w:rsidP="00975794">
      <w:pPr>
        <w:keepNext w:val="0"/>
        <w:keepLines/>
        <w:ind w:right="1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</w:p>
    <w:p w:rsidR="0035568A" w:rsidRPr="0035568A" w:rsidRDefault="0035568A" w:rsidP="00975794">
      <w:pPr>
        <w:keepNext w:val="0"/>
        <w:keepLines/>
        <w:ind w:right="1" w:firstLine="0"/>
        <w:contextualSpacing w:val="0"/>
        <w:rPr>
          <w:rFonts w:eastAsia="Times New Roman" w:cs="Times New Roman"/>
          <w:color w:val="000000"/>
          <w:szCs w:val="24"/>
          <w:lang w:val="cs-CZ"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>A.2. Vplyvy: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276"/>
        <w:gridCol w:w="1134"/>
      </w:tblGrid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Žiadne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     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2. Vplyvy na podnikateľské prostredie – dochádza ku </w:t>
            </w:r>
          </w:p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zvýšeniu 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     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ind w:right="1" w:firstLine="0"/>
              <w:contextualSpacing w:val="0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ind w:right="1" w:firstLine="0"/>
              <w:contextualSpacing w:val="0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sz w:val="22"/>
              </w:rPr>
            </w:pPr>
            <w:r w:rsidRPr="0035568A">
              <w:rPr>
                <w:rFonts w:eastAsia="Times New Roman" w:cs="Times New Roman"/>
                <w:sz w:val="22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ind w:right="1" w:firstLine="0"/>
              <w:contextualSpacing w:val="0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  <w:tr w:rsidR="0035568A" w:rsidRPr="0035568A" w:rsidTr="0035568A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5568A" w:rsidRPr="0035568A" w:rsidRDefault="0035568A" w:rsidP="00975794">
            <w:pPr>
              <w:keepNext w:val="0"/>
              <w:keepLines/>
              <w:spacing w:line="276" w:lineRule="auto"/>
              <w:ind w:right="1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 w:rsidRPr="0035568A">
              <w:rPr>
                <w:rFonts w:eastAsia="Times New Roman" w:cs="Times New Roman"/>
                <w:color w:val="000000"/>
                <w:szCs w:val="24"/>
                <w:lang w:eastAsia="ar-SA"/>
              </w:rPr>
              <w:t>x</w:t>
            </w:r>
          </w:p>
        </w:tc>
      </w:tr>
    </w:tbl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>A.3. Poznámky</w:t>
      </w:r>
      <w:r w:rsidRPr="0035568A">
        <w:rPr>
          <w:rFonts w:eastAsia="Times New Roman" w:cs="Times New Roman"/>
          <w:b/>
          <w:color w:val="000000"/>
          <w:szCs w:val="24"/>
          <w:lang w:eastAsia="ar-SA"/>
        </w:rPr>
        <w:t>: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</w:t>
      </w:r>
    </w:p>
    <w:p w:rsidR="0035568A" w:rsidRPr="0035568A" w:rsidRDefault="0035568A" w:rsidP="00C66F8C">
      <w:pPr>
        <w:keepNext w:val="0"/>
        <w:ind w:right="568" w:firstLine="426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6769D1">
      <w:pPr>
        <w:keepNext w:val="0"/>
        <w:ind w:right="568" w:firstLine="426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>Návrh zákona nebude mať žiadny vplyv na verejný rozpočet, životné prostredie, na informatizáciu spoločnosti, ani na služby verejnej správy pre občana.</w:t>
      </w:r>
    </w:p>
    <w:p w:rsidR="0035568A" w:rsidRPr="0035568A" w:rsidRDefault="0035568A" w:rsidP="00C66F8C">
      <w:pPr>
        <w:keepNext w:val="0"/>
        <w:keepLines/>
        <w:widowControl w:val="0"/>
        <w:suppressAutoHyphen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>A.4. Alternatívne riešenia:</w:t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>Bezpredmetné </w:t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b/>
          <w:bCs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 xml:space="preserve">A.5. </w:t>
      </w:r>
      <w:r w:rsidRPr="0035568A">
        <w:rPr>
          <w:rFonts w:eastAsia="Times New Roman" w:cs="Times New Roman"/>
          <w:b/>
          <w:bCs/>
          <w:color w:val="000000"/>
          <w:szCs w:val="24"/>
          <w:lang w:eastAsia="ar-SA"/>
        </w:rPr>
        <w:tab/>
        <w:t>Stanovisko gestorov:</w:t>
      </w:r>
    </w:p>
    <w:p w:rsidR="0035568A" w:rsidRPr="0035568A" w:rsidRDefault="0035568A" w:rsidP="00C66F8C">
      <w:pPr>
        <w:keepNext w:val="0"/>
        <w:keepLine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>Bezpredmetné</w:t>
      </w:r>
    </w:p>
    <w:p w:rsid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p w:rsidR="0035568A" w:rsidRDefault="0035568A" w:rsidP="00C66F8C">
      <w:pPr>
        <w:keepNext w:val="0"/>
        <w:spacing w:after="240" w:line="276" w:lineRule="auto"/>
        <w:ind w:right="568"/>
        <w:contextualSpacing w:val="0"/>
        <w:rPr>
          <w:szCs w:val="24"/>
        </w:rPr>
      </w:pPr>
      <w:r>
        <w:rPr>
          <w:szCs w:val="24"/>
        </w:rPr>
        <w:br w:type="page"/>
      </w: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lastRenderedPageBreak/>
        <w:t>Doložka zlučiteľnosti</w:t>
      </w: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t>návrhu zákona s právom Európskej únie</w:t>
      </w: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</w:p>
    <w:p w:rsidR="007C4C67" w:rsidRPr="007C4C67" w:rsidRDefault="0035568A" w:rsidP="007C4C67">
      <w:pPr>
        <w:keepNext w:val="0"/>
        <w:keepLines/>
        <w:numPr>
          <w:ilvl w:val="0"/>
          <w:numId w:val="6"/>
        </w:numPr>
        <w:suppressAutoHyphens/>
        <w:ind w:right="568"/>
        <w:contextualSpacing w:val="0"/>
        <w:rPr>
          <w:rFonts w:eastAsia="Times New Roman" w:cs="Times New Roman"/>
          <w:b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t>Navrhovateľ zákona: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</w:t>
      </w:r>
      <w:r w:rsidR="007C4C67">
        <w:rPr>
          <w:rFonts w:eastAsia="Times New Roman" w:cs="Times New Roman"/>
          <w:color w:val="000000"/>
          <w:szCs w:val="24"/>
          <w:lang w:eastAsia="ar-SA"/>
        </w:rPr>
        <w:t>Poslanci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Národnej rady Slovenskej republiky</w:t>
      </w:r>
      <w:r w:rsidR="007C4C67">
        <w:rPr>
          <w:rFonts w:eastAsia="Times New Roman" w:cs="Times New Roman"/>
          <w:color w:val="000000"/>
          <w:szCs w:val="24"/>
          <w:lang w:eastAsia="ar-SA"/>
        </w:rPr>
        <w:t xml:space="preserve"> </w:t>
      </w:r>
      <w:r w:rsidR="007C4C67">
        <w:t xml:space="preserve">Peter Antal, Elemér Jakab, </w:t>
      </w:r>
      <w:r w:rsidR="00D516F0">
        <w:t>Ladislav</w:t>
      </w:r>
      <w:bookmarkStart w:id="0" w:name="_GoBack"/>
      <w:bookmarkEnd w:id="0"/>
      <w:r w:rsidR="007C4C67">
        <w:t xml:space="preserve"> Balódi a Tibor Bastrnák</w:t>
      </w:r>
    </w:p>
    <w:p w:rsidR="007C4C67" w:rsidRPr="0035568A" w:rsidRDefault="007C4C67" w:rsidP="007C4C67">
      <w:pPr>
        <w:keepNext w:val="0"/>
        <w:keepLines/>
        <w:suppressAutoHyphens/>
        <w:ind w:right="568"/>
        <w:contextualSpacing w:val="0"/>
        <w:rPr>
          <w:rFonts w:eastAsia="Times New Roman" w:cs="Times New Roman"/>
          <w:b/>
          <w:color w:val="000000"/>
          <w:szCs w:val="24"/>
          <w:lang w:eastAsia="ar-SA"/>
        </w:rPr>
      </w:pPr>
    </w:p>
    <w:p w:rsidR="0035568A" w:rsidRPr="0035568A" w:rsidRDefault="0035568A" w:rsidP="00C66F8C">
      <w:pPr>
        <w:keepNext w:val="0"/>
        <w:keepLines/>
        <w:suppressAutoHyphens/>
        <w:ind w:right="568" w:firstLine="0"/>
        <w:contextualSpacing w:val="0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</w:t>
      </w:r>
    </w:p>
    <w:p w:rsidR="0035568A" w:rsidRPr="0035568A" w:rsidRDefault="0035568A" w:rsidP="00C66F8C">
      <w:pPr>
        <w:keepNext w:val="0"/>
        <w:keepLines/>
        <w:numPr>
          <w:ilvl w:val="0"/>
          <w:numId w:val="6"/>
        </w:numPr>
        <w:suppressAutoHyphens/>
        <w:ind w:right="568"/>
        <w:contextualSpacing w:val="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35568A">
        <w:rPr>
          <w:rFonts w:eastAsia="Times New Roman" w:cs="Times New Roman"/>
          <w:b/>
          <w:color w:val="000000"/>
          <w:szCs w:val="24"/>
          <w:lang w:eastAsia="ar-SA"/>
        </w:rPr>
        <w:t>Názov návrhu zákona:</w:t>
      </w:r>
      <w:r w:rsidRPr="0035568A">
        <w:rPr>
          <w:rFonts w:eastAsia="Times New Roman" w:cs="Times New Roman"/>
          <w:color w:val="000000"/>
          <w:szCs w:val="24"/>
          <w:lang w:eastAsia="ar-SA"/>
        </w:rPr>
        <w:t xml:space="preserve"> Zákon, </w:t>
      </w:r>
      <w:r w:rsidR="003A15D6" w:rsidRPr="003A15D6">
        <w:rPr>
          <w:rFonts w:eastAsia="Times New Roman" w:cs="Times New Roman"/>
          <w:color w:val="000000"/>
          <w:szCs w:val="24"/>
          <w:lang w:eastAsia="ar-SA"/>
        </w:rPr>
        <w:t xml:space="preserve">ktorým sa mení a dopĺňa zákon </w:t>
      </w:r>
      <w:r w:rsidR="00CE4A85">
        <w:rPr>
          <w:rFonts w:eastAsia="Times New Roman" w:cs="Times New Roman"/>
          <w:color w:val="000000"/>
          <w:szCs w:val="24"/>
          <w:lang w:eastAsia="ar-SA"/>
        </w:rPr>
        <w:t>Slovenskej národnej rady č. </w:t>
      </w:r>
      <w:r w:rsidR="003A15D6" w:rsidRPr="003A15D6">
        <w:rPr>
          <w:rFonts w:eastAsia="Times New Roman" w:cs="Times New Roman"/>
          <w:color w:val="000000"/>
          <w:szCs w:val="24"/>
          <w:lang w:eastAsia="ar-SA"/>
        </w:rPr>
        <w:t>369/1990 Zb. o obecnom zriadení v znení neskorších predpisov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b/>
          <w:bCs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6"/>
        </w:numPr>
        <w:ind w:right="568"/>
        <w:contextualSpacing w:val="0"/>
        <w:rPr>
          <w:rFonts w:eastAsia="Times New Roman" w:cs="Times New Roman"/>
          <w:b/>
          <w:bCs/>
          <w:szCs w:val="24"/>
          <w:lang w:eastAsia="sk-SK"/>
        </w:rPr>
      </w:pPr>
      <w:r w:rsidRPr="0035568A">
        <w:rPr>
          <w:rFonts w:eastAsia="Times New Roman" w:cs="Times New Roman"/>
          <w:b/>
          <w:bCs/>
          <w:szCs w:val="24"/>
          <w:lang w:eastAsia="sk-SK"/>
        </w:rPr>
        <w:t>Problematika návrhu zákona: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7"/>
        </w:numPr>
        <w:ind w:right="568"/>
        <w:contextualSpacing w:val="0"/>
        <w:rPr>
          <w:rFonts w:eastAsia="Times New Roman" w:cs="Times New Roman"/>
          <w:szCs w:val="24"/>
          <w:lang w:eastAsia="sk-SK"/>
        </w:rPr>
      </w:pPr>
      <w:r w:rsidRPr="0035568A">
        <w:rPr>
          <w:rFonts w:eastAsia="Times New Roman" w:cs="Times New Roman"/>
          <w:szCs w:val="24"/>
          <w:lang w:eastAsia="sk-SK"/>
        </w:rPr>
        <w:t>nie je upravená v primárnom práve Európskej únie,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7"/>
        </w:numPr>
        <w:ind w:right="568"/>
        <w:contextualSpacing w:val="0"/>
        <w:rPr>
          <w:rFonts w:eastAsia="Times New Roman" w:cs="Verdana"/>
          <w:szCs w:val="24"/>
          <w:lang w:eastAsia="sk-SK"/>
        </w:rPr>
      </w:pPr>
      <w:r w:rsidRPr="0035568A">
        <w:rPr>
          <w:rFonts w:eastAsia="Times New Roman" w:cs="Times New Roman"/>
          <w:szCs w:val="24"/>
          <w:lang w:eastAsia="sk-SK"/>
        </w:rPr>
        <w:t>nie je upravená v sekundárnom práve Európskej únie,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Verdana"/>
          <w:szCs w:val="24"/>
          <w:lang w:eastAsia="sk-SK"/>
        </w:rPr>
      </w:pPr>
    </w:p>
    <w:p w:rsidR="0035568A" w:rsidRPr="0035568A" w:rsidRDefault="0035568A" w:rsidP="00C66F8C">
      <w:pPr>
        <w:keepNext w:val="0"/>
        <w:numPr>
          <w:ilvl w:val="0"/>
          <w:numId w:val="7"/>
        </w:numPr>
        <w:ind w:right="568"/>
        <w:contextualSpacing w:val="0"/>
        <w:rPr>
          <w:rFonts w:eastAsia="Times New Roman" w:cs="Verdana"/>
          <w:szCs w:val="24"/>
          <w:lang w:eastAsia="sk-SK"/>
        </w:rPr>
      </w:pPr>
      <w:r w:rsidRPr="0035568A">
        <w:rPr>
          <w:rFonts w:eastAsia="Times New Roman" w:cs="Times New Roman"/>
          <w:szCs w:val="24"/>
          <w:lang w:eastAsia="sk-SK"/>
        </w:rPr>
        <w:t>nie je obsiahnutá v judikatúre Súdneho dvora Európskej únie.</w:t>
      </w: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keepNext w:val="0"/>
        <w:ind w:right="568" w:firstLine="0"/>
        <w:contextualSpacing w:val="0"/>
        <w:rPr>
          <w:rFonts w:eastAsia="Times New Roman" w:cs="Times New Roman"/>
          <w:szCs w:val="24"/>
          <w:lang w:eastAsia="sk-SK"/>
        </w:rPr>
      </w:pPr>
    </w:p>
    <w:p w:rsidR="0035568A" w:rsidRPr="0035568A" w:rsidRDefault="0035568A" w:rsidP="00C66F8C">
      <w:pPr>
        <w:ind w:right="568" w:firstLine="0"/>
        <w:jc w:val="both"/>
        <w:outlineLvl w:val="0"/>
        <w:rPr>
          <w:szCs w:val="24"/>
        </w:rPr>
      </w:pPr>
      <w:r w:rsidRPr="0035568A">
        <w:rPr>
          <w:rFonts w:eastAsia="Times New Roman" w:cs="Times New Roman"/>
          <w:b/>
          <w:bCs/>
          <w:szCs w:val="24"/>
          <w:lang w:eastAsia="sk-SK"/>
        </w:rPr>
        <w:t>Vzhľadom na vnútroštátny charakter navrhovaného právneho predpisu je bezpredmetné vyjadrovať sa k</w:t>
      </w:r>
      <w:r w:rsidR="00CE4A85">
        <w:rPr>
          <w:rFonts w:eastAsia="Times New Roman" w:cs="Times New Roman"/>
          <w:b/>
          <w:bCs/>
          <w:szCs w:val="24"/>
          <w:lang w:eastAsia="sk-SK"/>
        </w:rPr>
        <w:t xml:space="preserve"> bodom 4, 5 a 6</w:t>
      </w:r>
      <w:r w:rsidRPr="0035568A">
        <w:rPr>
          <w:rFonts w:eastAsia="Times New Roman" w:cs="Times New Roman"/>
          <w:b/>
          <w:bCs/>
          <w:szCs w:val="24"/>
          <w:lang w:eastAsia="sk-SK"/>
        </w:rPr>
        <w:t xml:space="preserve"> doložky zlučiteľnosti.</w:t>
      </w:r>
    </w:p>
    <w:p w:rsidR="0035568A" w:rsidRPr="0035568A" w:rsidRDefault="0035568A" w:rsidP="00C66F8C">
      <w:pPr>
        <w:ind w:right="568" w:firstLine="0"/>
        <w:jc w:val="both"/>
        <w:outlineLvl w:val="0"/>
        <w:rPr>
          <w:szCs w:val="24"/>
        </w:rPr>
      </w:pPr>
    </w:p>
    <w:sectPr w:rsidR="0035568A" w:rsidRPr="0035568A" w:rsidSect="002843F2">
      <w:footerReference w:type="default" r:id="rId8"/>
      <w:footerReference w:type="first" r:id="rId9"/>
      <w:pgSz w:w="11906" w:h="16838"/>
      <w:pgMar w:top="1560" w:right="849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E2" w:rsidRDefault="006543E2" w:rsidP="001804FE">
      <w:r>
        <w:separator/>
      </w:r>
    </w:p>
  </w:endnote>
  <w:endnote w:type="continuationSeparator" w:id="0">
    <w:p w:rsidR="006543E2" w:rsidRDefault="006543E2" w:rsidP="001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14251"/>
      <w:docPartObj>
        <w:docPartGallery w:val="Page Numbers (Bottom of Page)"/>
        <w:docPartUnique/>
      </w:docPartObj>
    </w:sdtPr>
    <w:sdtEndPr/>
    <w:sdtContent>
      <w:p w:rsidR="001804FE" w:rsidRDefault="001804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F0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747612383"/>
      <w:docPartObj>
        <w:docPartGallery w:val="Page Numbers (Bottom of Page)"/>
        <w:docPartUnique/>
      </w:docPartObj>
    </w:sdtPr>
    <w:sdtEndPr/>
    <w:sdtContent>
      <w:p w:rsidR="00770352" w:rsidRPr="00770352" w:rsidRDefault="00770352">
        <w:pPr>
          <w:pStyle w:val="Pta"/>
          <w:jc w:val="center"/>
          <w:rPr>
            <w:sz w:val="18"/>
            <w:szCs w:val="18"/>
          </w:rPr>
        </w:pPr>
        <w:r w:rsidRPr="00770352">
          <w:rPr>
            <w:sz w:val="18"/>
            <w:szCs w:val="18"/>
          </w:rPr>
          <w:fldChar w:fldCharType="begin"/>
        </w:r>
        <w:r w:rsidRPr="00770352">
          <w:rPr>
            <w:sz w:val="18"/>
            <w:szCs w:val="18"/>
          </w:rPr>
          <w:instrText>PAGE   \* MERGEFORMAT</w:instrText>
        </w:r>
        <w:r w:rsidRPr="00770352">
          <w:rPr>
            <w:sz w:val="18"/>
            <w:szCs w:val="18"/>
          </w:rPr>
          <w:fldChar w:fldCharType="separate"/>
        </w:r>
        <w:r w:rsidR="00D516F0">
          <w:rPr>
            <w:noProof/>
            <w:sz w:val="18"/>
            <w:szCs w:val="18"/>
          </w:rPr>
          <w:t>1</w:t>
        </w:r>
        <w:r w:rsidRPr="00770352">
          <w:rPr>
            <w:sz w:val="18"/>
            <w:szCs w:val="18"/>
          </w:rPr>
          <w:fldChar w:fldCharType="end"/>
        </w:r>
      </w:p>
    </w:sdtContent>
  </w:sdt>
  <w:p w:rsidR="00770352" w:rsidRDefault="007703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E2" w:rsidRDefault="006543E2" w:rsidP="001804FE">
      <w:r>
        <w:separator/>
      </w:r>
    </w:p>
  </w:footnote>
  <w:footnote w:type="continuationSeparator" w:id="0">
    <w:p w:rsidR="006543E2" w:rsidRDefault="006543E2" w:rsidP="0018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DF"/>
    <w:multiLevelType w:val="hybridMultilevel"/>
    <w:tmpl w:val="901E5744"/>
    <w:lvl w:ilvl="0" w:tplc="B718A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B67DB"/>
    <w:multiLevelType w:val="hybridMultilevel"/>
    <w:tmpl w:val="244AA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567F68"/>
    <w:multiLevelType w:val="hybridMultilevel"/>
    <w:tmpl w:val="115C4494"/>
    <w:lvl w:ilvl="0" w:tplc="5338FF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CA87460"/>
    <w:multiLevelType w:val="hybridMultilevel"/>
    <w:tmpl w:val="4028ACBE"/>
    <w:lvl w:ilvl="0" w:tplc="EEDE6ECE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40315FB4"/>
    <w:multiLevelType w:val="hybridMultilevel"/>
    <w:tmpl w:val="979A7BA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7344F01"/>
    <w:multiLevelType w:val="hybridMultilevel"/>
    <w:tmpl w:val="D4B01486"/>
    <w:lvl w:ilvl="0" w:tplc="6392335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FC"/>
    <w:rsid w:val="000037A0"/>
    <w:rsid w:val="00010FB7"/>
    <w:rsid w:val="00016CAC"/>
    <w:rsid w:val="000261FC"/>
    <w:rsid w:val="0002627C"/>
    <w:rsid w:val="00026821"/>
    <w:rsid w:val="00031310"/>
    <w:rsid w:val="0003243C"/>
    <w:rsid w:val="00033E3D"/>
    <w:rsid w:val="00043D21"/>
    <w:rsid w:val="0005050F"/>
    <w:rsid w:val="00056245"/>
    <w:rsid w:val="00090915"/>
    <w:rsid w:val="000949ED"/>
    <w:rsid w:val="00096CED"/>
    <w:rsid w:val="000A6FE4"/>
    <w:rsid w:val="000B5B84"/>
    <w:rsid w:val="000C23E1"/>
    <w:rsid w:val="000D74F9"/>
    <w:rsid w:val="000E62FA"/>
    <w:rsid w:val="000F22A3"/>
    <w:rsid w:val="000F3D32"/>
    <w:rsid w:val="00100505"/>
    <w:rsid w:val="00103F37"/>
    <w:rsid w:val="00111289"/>
    <w:rsid w:val="001210FC"/>
    <w:rsid w:val="0012246D"/>
    <w:rsid w:val="00127DFC"/>
    <w:rsid w:val="00131380"/>
    <w:rsid w:val="0013660D"/>
    <w:rsid w:val="00162C89"/>
    <w:rsid w:val="00165262"/>
    <w:rsid w:val="0017383F"/>
    <w:rsid w:val="00175ED2"/>
    <w:rsid w:val="001804FE"/>
    <w:rsid w:val="0018535B"/>
    <w:rsid w:val="00186E45"/>
    <w:rsid w:val="001870A0"/>
    <w:rsid w:val="0019720D"/>
    <w:rsid w:val="001B2350"/>
    <w:rsid w:val="001B7E3A"/>
    <w:rsid w:val="001E339E"/>
    <w:rsid w:val="002027D5"/>
    <w:rsid w:val="002032F8"/>
    <w:rsid w:val="002104E7"/>
    <w:rsid w:val="0021138C"/>
    <w:rsid w:val="00213191"/>
    <w:rsid w:val="002168EF"/>
    <w:rsid w:val="00224F49"/>
    <w:rsid w:val="00230191"/>
    <w:rsid w:val="00242CFE"/>
    <w:rsid w:val="00247E4F"/>
    <w:rsid w:val="00256EEC"/>
    <w:rsid w:val="002577F3"/>
    <w:rsid w:val="00263C66"/>
    <w:rsid w:val="00263CDB"/>
    <w:rsid w:val="00275A32"/>
    <w:rsid w:val="002843F2"/>
    <w:rsid w:val="00284D63"/>
    <w:rsid w:val="00285B16"/>
    <w:rsid w:val="00290D86"/>
    <w:rsid w:val="0029420C"/>
    <w:rsid w:val="00295931"/>
    <w:rsid w:val="002A4A91"/>
    <w:rsid w:val="002A5275"/>
    <w:rsid w:val="002A57B8"/>
    <w:rsid w:val="002A5D1C"/>
    <w:rsid w:val="002A7B1E"/>
    <w:rsid w:val="002B0EDE"/>
    <w:rsid w:val="002B11E6"/>
    <w:rsid w:val="002B3593"/>
    <w:rsid w:val="002C2A50"/>
    <w:rsid w:val="002C2F85"/>
    <w:rsid w:val="002C5CC6"/>
    <w:rsid w:val="002D48CA"/>
    <w:rsid w:val="002D6E92"/>
    <w:rsid w:val="002E29DE"/>
    <w:rsid w:val="002E5A7F"/>
    <w:rsid w:val="002F1D36"/>
    <w:rsid w:val="00307BE0"/>
    <w:rsid w:val="00312310"/>
    <w:rsid w:val="00312B4C"/>
    <w:rsid w:val="00315646"/>
    <w:rsid w:val="003273FB"/>
    <w:rsid w:val="00335725"/>
    <w:rsid w:val="00335EE2"/>
    <w:rsid w:val="00351341"/>
    <w:rsid w:val="0035568A"/>
    <w:rsid w:val="0035644E"/>
    <w:rsid w:val="0036320A"/>
    <w:rsid w:val="00374283"/>
    <w:rsid w:val="003858A2"/>
    <w:rsid w:val="003A15D6"/>
    <w:rsid w:val="003B233A"/>
    <w:rsid w:val="003C7D9F"/>
    <w:rsid w:val="003D0C96"/>
    <w:rsid w:val="003D179B"/>
    <w:rsid w:val="003D2CFB"/>
    <w:rsid w:val="003D32FB"/>
    <w:rsid w:val="003E2879"/>
    <w:rsid w:val="003E4F4D"/>
    <w:rsid w:val="003F5CCB"/>
    <w:rsid w:val="004043A9"/>
    <w:rsid w:val="0040689F"/>
    <w:rsid w:val="004106BF"/>
    <w:rsid w:val="00415B8A"/>
    <w:rsid w:val="00416A40"/>
    <w:rsid w:val="00417155"/>
    <w:rsid w:val="00424A69"/>
    <w:rsid w:val="0043158B"/>
    <w:rsid w:val="00436483"/>
    <w:rsid w:val="0044065D"/>
    <w:rsid w:val="00453BCA"/>
    <w:rsid w:val="00456765"/>
    <w:rsid w:val="00457857"/>
    <w:rsid w:val="0047295C"/>
    <w:rsid w:val="00483BB8"/>
    <w:rsid w:val="00487BCB"/>
    <w:rsid w:val="00491C14"/>
    <w:rsid w:val="00494530"/>
    <w:rsid w:val="00495B8C"/>
    <w:rsid w:val="004A7F38"/>
    <w:rsid w:val="004E406E"/>
    <w:rsid w:val="004E5AC0"/>
    <w:rsid w:val="004F1794"/>
    <w:rsid w:val="005016D6"/>
    <w:rsid w:val="005112ED"/>
    <w:rsid w:val="005124A8"/>
    <w:rsid w:val="00524391"/>
    <w:rsid w:val="00536F28"/>
    <w:rsid w:val="00541151"/>
    <w:rsid w:val="00542F98"/>
    <w:rsid w:val="0055120F"/>
    <w:rsid w:val="00562993"/>
    <w:rsid w:val="00566C3B"/>
    <w:rsid w:val="00566CBB"/>
    <w:rsid w:val="00567E5D"/>
    <w:rsid w:val="005725B3"/>
    <w:rsid w:val="005846AC"/>
    <w:rsid w:val="00585137"/>
    <w:rsid w:val="005958EC"/>
    <w:rsid w:val="005A1CA7"/>
    <w:rsid w:val="005A2AFD"/>
    <w:rsid w:val="005B0C98"/>
    <w:rsid w:val="005B5A8C"/>
    <w:rsid w:val="005E0740"/>
    <w:rsid w:val="005E111A"/>
    <w:rsid w:val="005E42E1"/>
    <w:rsid w:val="005F589D"/>
    <w:rsid w:val="00602DCE"/>
    <w:rsid w:val="00603551"/>
    <w:rsid w:val="006173C7"/>
    <w:rsid w:val="006301AE"/>
    <w:rsid w:val="0063052B"/>
    <w:rsid w:val="0063428C"/>
    <w:rsid w:val="00644192"/>
    <w:rsid w:val="006503F1"/>
    <w:rsid w:val="006513C0"/>
    <w:rsid w:val="00651C3D"/>
    <w:rsid w:val="00652F40"/>
    <w:rsid w:val="006543E2"/>
    <w:rsid w:val="006575AF"/>
    <w:rsid w:val="00657789"/>
    <w:rsid w:val="00663627"/>
    <w:rsid w:val="00665CF3"/>
    <w:rsid w:val="006674D2"/>
    <w:rsid w:val="006721E1"/>
    <w:rsid w:val="006769D1"/>
    <w:rsid w:val="006833FC"/>
    <w:rsid w:val="00687EDD"/>
    <w:rsid w:val="00696136"/>
    <w:rsid w:val="006A28C1"/>
    <w:rsid w:val="006B2E1E"/>
    <w:rsid w:val="006B3E40"/>
    <w:rsid w:val="006B4DBA"/>
    <w:rsid w:val="006B6C8B"/>
    <w:rsid w:val="006C1711"/>
    <w:rsid w:val="006C2F73"/>
    <w:rsid w:val="006D29D3"/>
    <w:rsid w:val="006D48E3"/>
    <w:rsid w:val="006E2163"/>
    <w:rsid w:val="006E4F31"/>
    <w:rsid w:val="006F0158"/>
    <w:rsid w:val="006F2CE3"/>
    <w:rsid w:val="006F334C"/>
    <w:rsid w:val="006F4BD1"/>
    <w:rsid w:val="006F51B4"/>
    <w:rsid w:val="0070362C"/>
    <w:rsid w:val="00735EEF"/>
    <w:rsid w:val="00751246"/>
    <w:rsid w:val="0075236D"/>
    <w:rsid w:val="00756028"/>
    <w:rsid w:val="0076291F"/>
    <w:rsid w:val="00770352"/>
    <w:rsid w:val="007749BF"/>
    <w:rsid w:val="007755C5"/>
    <w:rsid w:val="00776C93"/>
    <w:rsid w:val="00794861"/>
    <w:rsid w:val="0079716F"/>
    <w:rsid w:val="00797E63"/>
    <w:rsid w:val="007C4C67"/>
    <w:rsid w:val="007C5787"/>
    <w:rsid w:val="007E52AD"/>
    <w:rsid w:val="007F308B"/>
    <w:rsid w:val="007F3AB7"/>
    <w:rsid w:val="008043FE"/>
    <w:rsid w:val="008060DC"/>
    <w:rsid w:val="0081341B"/>
    <w:rsid w:val="008279D0"/>
    <w:rsid w:val="00840D99"/>
    <w:rsid w:val="00857B3E"/>
    <w:rsid w:val="008611A5"/>
    <w:rsid w:val="00861BFB"/>
    <w:rsid w:val="0086724D"/>
    <w:rsid w:val="00870685"/>
    <w:rsid w:val="00871378"/>
    <w:rsid w:val="00893202"/>
    <w:rsid w:val="008A3358"/>
    <w:rsid w:val="008A45D8"/>
    <w:rsid w:val="008A47FC"/>
    <w:rsid w:val="008A5525"/>
    <w:rsid w:val="008A6020"/>
    <w:rsid w:val="008B15E9"/>
    <w:rsid w:val="008C04FD"/>
    <w:rsid w:val="008C2C87"/>
    <w:rsid w:val="008C7AAA"/>
    <w:rsid w:val="008D3AFD"/>
    <w:rsid w:val="008E2180"/>
    <w:rsid w:val="008E4723"/>
    <w:rsid w:val="009235E5"/>
    <w:rsid w:val="0093345B"/>
    <w:rsid w:val="009525AB"/>
    <w:rsid w:val="00956B9F"/>
    <w:rsid w:val="00965E6A"/>
    <w:rsid w:val="00972446"/>
    <w:rsid w:val="00975794"/>
    <w:rsid w:val="00975A65"/>
    <w:rsid w:val="009A20AD"/>
    <w:rsid w:val="009A3AA4"/>
    <w:rsid w:val="009D5666"/>
    <w:rsid w:val="009F49C8"/>
    <w:rsid w:val="009F5D88"/>
    <w:rsid w:val="00A0401D"/>
    <w:rsid w:val="00A25524"/>
    <w:rsid w:val="00A3268D"/>
    <w:rsid w:val="00A32771"/>
    <w:rsid w:val="00A33556"/>
    <w:rsid w:val="00A35333"/>
    <w:rsid w:val="00A360F7"/>
    <w:rsid w:val="00A378B7"/>
    <w:rsid w:val="00A42696"/>
    <w:rsid w:val="00A4448E"/>
    <w:rsid w:val="00A4713D"/>
    <w:rsid w:val="00A548C7"/>
    <w:rsid w:val="00A6275A"/>
    <w:rsid w:val="00A64897"/>
    <w:rsid w:val="00A71F56"/>
    <w:rsid w:val="00A835AA"/>
    <w:rsid w:val="00A90AB7"/>
    <w:rsid w:val="00A910BF"/>
    <w:rsid w:val="00A918DD"/>
    <w:rsid w:val="00AA4C1C"/>
    <w:rsid w:val="00AB0D8B"/>
    <w:rsid w:val="00AB43FE"/>
    <w:rsid w:val="00AC5937"/>
    <w:rsid w:val="00AC60C7"/>
    <w:rsid w:val="00AD24DE"/>
    <w:rsid w:val="00AD783D"/>
    <w:rsid w:val="00AF375D"/>
    <w:rsid w:val="00B048CF"/>
    <w:rsid w:val="00B04BE9"/>
    <w:rsid w:val="00B26053"/>
    <w:rsid w:val="00B27D0D"/>
    <w:rsid w:val="00B3385F"/>
    <w:rsid w:val="00B35CCB"/>
    <w:rsid w:val="00B437A4"/>
    <w:rsid w:val="00B53FA3"/>
    <w:rsid w:val="00B6329B"/>
    <w:rsid w:val="00B7530C"/>
    <w:rsid w:val="00B7643D"/>
    <w:rsid w:val="00B83268"/>
    <w:rsid w:val="00B902B4"/>
    <w:rsid w:val="00B9488C"/>
    <w:rsid w:val="00B94BCE"/>
    <w:rsid w:val="00BC3F0C"/>
    <w:rsid w:val="00BC4A5F"/>
    <w:rsid w:val="00BD32DB"/>
    <w:rsid w:val="00BD38F3"/>
    <w:rsid w:val="00BD6263"/>
    <w:rsid w:val="00BD645C"/>
    <w:rsid w:val="00C01F94"/>
    <w:rsid w:val="00C07FF7"/>
    <w:rsid w:val="00C11B01"/>
    <w:rsid w:val="00C275ED"/>
    <w:rsid w:val="00C410C8"/>
    <w:rsid w:val="00C55BA7"/>
    <w:rsid w:val="00C60B52"/>
    <w:rsid w:val="00C66F8C"/>
    <w:rsid w:val="00C80B32"/>
    <w:rsid w:val="00C933E3"/>
    <w:rsid w:val="00C94C27"/>
    <w:rsid w:val="00C95D18"/>
    <w:rsid w:val="00CB1A70"/>
    <w:rsid w:val="00CB6DCA"/>
    <w:rsid w:val="00CD1074"/>
    <w:rsid w:val="00CD41E3"/>
    <w:rsid w:val="00CD5A9C"/>
    <w:rsid w:val="00CE4A85"/>
    <w:rsid w:val="00CE52B8"/>
    <w:rsid w:val="00CF11F7"/>
    <w:rsid w:val="00D01483"/>
    <w:rsid w:val="00D02CC1"/>
    <w:rsid w:val="00D124AF"/>
    <w:rsid w:val="00D12805"/>
    <w:rsid w:val="00D16550"/>
    <w:rsid w:val="00D32DB6"/>
    <w:rsid w:val="00D44A55"/>
    <w:rsid w:val="00D51092"/>
    <w:rsid w:val="00D516F0"/>
    <w:rsid w:val="00D541D9"/>
    <w:rsid w:val="00D57D03"/>
    <w:rsid w:val="00D7448D"/>
    <w:rsid w:val="00D951F3"/>
    <w:rsid w:val="00DA1A18"/>
    <w:rsid w:val="00DA75FB"/>
    <w:rsid w:val="00DA7E4C"/>
    <w:rsid w:val="00DB03F2"/>
    <w:rsid w:val="00DC02DB"/>
    <w:rsid w:val="00DC2F0A"/>
    <w:rsid w:val="00DE24F8"/>
    <w:rsid w:val="00DF2815"/>
    <w:rsid w:val="00E12FB4"/>
    <w:rsid w:val="00E34949"/>
    <w:rsid w:val="00E35986"/>
    <w:rsid w:val="00E366B9"/>
    <w:rsid w:val="00E45F60"/>
    <w:rsid w:val="00E54278"/>
    <w:rsid w:val="00E704A0"/>
    <w:rsid w:val="00E80B56"/>
    <w:rsid w:val="00E87297"/>
    <w:rsid w:val="00E93997"/>
    <w:rsid w:val="00EA1D35"/>
    <w:rsid w:val="00EA4628"/>
    <w:rsid w:val="00EB233E"/>
    <w:rsid w:val="00EB5253"/>
    <w:rsid w:val="00EC207A"/>
    <w:rsid w:val="00EC5808"/>
    <w:rsid w:val="00ED38EE"/>
    <w:rsid w:val="00ED6F94"/>
    <w:rsid w:val="00EE7409"/>
    <w:rsid w:val="00F00833"/>
    <w:rsid w:val="00F031CA"/>
    <w:rsid w:val="00F315AA"/>
    <w:rsid w:val="00F33D0B"/>
    <w:rsid w:val="00F534FB"/>
    <w:rsid w:val="00F5399D"/>
    <w:rsid w:val="00F55C06"/>
    <w:rsid w:val="00F567FF"/>
    <w:rsid w:val="00F6029C"/>
    <w:rsid w:val="00F706AD"/>
    <w:rsid w:val="00F71DE7"/>
    <w:rsid w:val="00F87E8D"/>
    <w:rsid w:val="00F90E50"/>
    <w:rsid w:val="00F972FF"/>
    <w:rsid w:val="00FA45DB"/>
    <w:rsid w:val="00FB0E91"/>
    <w:rsid w:val="00FB476E"/>
    <w:rsid w:val="00FC3964"/>
    <w:rsid w:val="00FD08D8"/>
    <w:rsid w:val="00FE7E06"/>
    <w:rsid w:val="00FF2BE8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017D"/>
  <w15:docId w15:val="{00908682-16C6-4F98-A642-5EFD62BF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40" w:line="276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7FC"/>
    <w:pPr>
      <w:keepNext/>
      <w:spacing w:after="0" w:line="240" w:lineRule="auto"/>
      <w:contextualSpacing/>
    </w:pPr>
    <w:rPr>
      <w:rFonts w:ascii="Times New Roman" w:eastAsiaTheme="minorEastAsia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7FC"/>
    <w:pPr>
      <w:keepNext w:val="0"/>
      <w:overflowPunct w:val="0"/>
      <w:autoSpaceDE w:val="0"/>
      <w:autoSpaceDN w:val="0"/>
      <w:adjustRightInd w:val="0"/>
      <w:ind w:left="708"/>
      <w:contextualSpacing w:val="0"/>
      <w:jc w:val="both"/>
    </w:pPr>
    <w:rPr>
      <w:rFonts w:eastAsia="Times New Roman" w:cs="Times New Roman"/>
      <w:szCs w:val="20"/>
    </w:rPr>
  </w:style>
  <w:style w:type="paragraph" w:customStyle="1" w:styleId="Farebnzoznamzvraznenie111">
    <w:name w:val="Farebný zoznam – zvýraznenie 111"/>
    <w:basedOn w:val="Normlny"/>
    <w:uiPriority w:val="34"/>
    <w:qFormat/>
    <w:rsid w:val="008A47FC"/>
    <w:pPr>
      <w:keepNext w:val="0"/>
      <w:ind w:left="708"/>
      <w:contextualSpacing w:val="0"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09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0915"/>
    <w:rPr>
      <w:rFonts w:ascii="Tahoma" w:eastAsiaTheme="minorEastAsi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04FE"/>
    <w:rPr>
      <w:rFonts w:ascii="Times New Roman" w:eastAsiaTheme="minorEastAsia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80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04FE"/>
    <w:rPr>
      <w:rFonts w:ascii="Times New Roman" w:eastAsiaTheme="minorEastAsia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D7448D"/>
    <w:pPr>
      <w:keepNext w:val="0"/>
      <w:ind w:firstLine="720"/>
      <w:contextualSpacing w:val="0"/>
      <w:jc w:val="both"/>
    </w:pPr>
    <w:rPr>
      <w:rFonts w:eastAsia="Times New Roman" w:cs="Times New Roman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448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027D5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38F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D38F3"/>
    <w:rPr>
      <w:rFonts w:ascii="Times New Roman" w:eastAsiaTheme="minorEastAsia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38F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577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7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7789"/>
    <w:rPr>
      <w:rFonts w:ascii="Times New Roman" w:eastAsiaTheme="minorEastAsia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7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789"/>
    <w:rPr>
      <w:rFonts w:ascii="Times New Roman" w:eastAsiaTheme="minorEastAsia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01483"/>
    <w:pPr>
      <w:spacing w:after="0" w:line="240" w:lineRule="auto"/>
      <w:ind w:firstLine="0"/>
    </w:pPr>
    <w:rPr>
      <w:rFonts w:ascii="Times New Roman" w:eastAsiaTheme="minorEastAsia" w:hAnsi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247E4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47E4F"/>
    <w:rPr>
      <w:rFonts w:ascii="Times New Roman" w:eastAsiaTheme="minorEastAsia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7E4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7E4F"/>
    <w:rPr>
      <w:rFonts w:ascii="Times New Roman" w:eastAsiaTheme="minorEastAsia" w:hAnsi="Times New Roman"/>
      <w:sz w:val="24"/>
    </w:rPr>
  </w:style>
  <w:style w:type="paragraph" w:styleId="Nzov">
    <w:name w:val="Title"/>
    <w:basedOn w:val="Normlny"/>
    <w:link w:val="NzovChar"/>
    <w:uiPriority w:val="10"/>
    <w:qFormat/>
    <w:rsid w:val="00247E4F"/>
    <w:pPr>
      <w:keepNext w:val="0"/>
      <w:widowControl w:val="0"/>
      <w:autoSpaceDE w:val="0"/>
      <w:autoSpaceDN w:val="0"/>
      <w:adjustRightInd w:val="0"/>
      <w:ind w:firstLine="0"/>
      <w:contextualSpacing w:val="0"/>
      <w:jc w:val="center"/>
    </w:pPr>
    <w:rPr>
      <w:rFonts w:eastAsia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47E4F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6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7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7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3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1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5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A4E9-37F2-4AF6-B11A-10F80518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</dc:creator>
  <cp:lastModifiedBy>Mifková, Miroslava</cp:lastModifiedBy>
  <cp:revision>4</cp:revision>
  <cp:lastPrinted>2018-09-27T07:33:00Z</cp:lastPrinted>
  <dcterms:created xsi:type="dcterms:W3CDTF">2018-09-27T07:29:00Z</dcterms:created>
  <dcterms:modified xsi:type="dcterms:W3CDTF">2018-09-28T10:13:00Z</dcterms:modified>
</cp:coreProperties>
</file>