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DB" w:rsidRPr="00493247" w:rsidRDefault="00961DDB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493247" w:rsidRDefault="00113283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="00961DDB" w:rsidRPr="00493247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493247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2ED" w:rsidRPr="009612ED" w:rsidRDefault="00961DDB" w:rsidP="009612ED">
      <w:pPr>
        <w:spacing w:after="0" w:line="240" w:lineRule="auto"/>
        <w:ind w:left="360" w:hanging="360"/>
        <w:rPr>
          <w:rFonts w:ascii="Times New Roman" w:hAnsi="Times New Roman"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1.</w:t>
      </w: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ab/>
        <w:t>Predkladateľ právneho predpisu:</w:t>
      </w:r>
      <w:r w:rsidRPr="00493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D61B2" w:rsidRPr="00493247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493247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  <w:r w:rsidR="00716DE1">
        <w:rPr>
          <w:rFonts w:ascii="Times New Roman" w:hAnsi="Times New Roman"/>
          <w:bCs/>
          <w:sz w:val="24"/>
          <w:szCs w:val="24"/>
          <w:lang w:val="sk-SK"/>
        </w:rPr>
        <w:t>Karol Galek a Jana Kiššová</w:t>
      </w:r>
    </w:p>
    <w:p w:rsidR="00961DDB" w:rsidRPr="00493247" w:rsidRDefault="00961DDB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</w:p>
    <w:p w:rsidR="00961DDB" w:rsidRPr="00493247" w:rsidRDefault="00961DDB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EC0D8E" w:rsidRPr="006A5A01" w:rsidRDefault="00961DDB" w:rsidP="00A20CA5">
      <w:pPr>
        <w:pStyle w:val="Zkladntext"/>
        <w:jc w:val="both"/>
      </w:pPr>
      <w:r w:rsidRPr="00EC0D8E">
        <w:rPr>
          <w:bCs w:val="0"/>
        </w:rPr>
        <w:t>2.</w:t>
      </w:r>
      <w:r w:rsidR="009612ED">
        <w:rPr>
          <w:bCs w:val="0"/>
        </w:rPr>
        <w:t xml:space="preserve"> </w:t>
      </w:r>
      <w:r w:rsidRPr="00EC0D8E">
        <w:rPr>
          <w:bCs w:val="0"/>
        </w:rPr>
        <w:t>Názov návrhu právneho predpisu</w:t>
      </w:r>
      <w:r w:rsidR="009612ED" w:rsidRPr="00496D57">
        <w:rPr>
          <w:bCs w:val="0"/>
        </w:rPr>
        <w:t xml:space="preserve"> </w:t>
      </w:r>
      <w:r w:rsidR="009612ED" w:rsidRPr="00496D57">
        <w:rPr>
          <w:b w:val="0"/>
          <w:bCs w:val="0"/>
        </w:rPr>
        <w:t>Návrh</w:t>
      </w:r>
      <w:r w:rsidR="009612ED" w:rsidRPr="009612ED">
        <w:rPr>
          <w:b w:val="0"/>
          <w:bCs w:val="0"/>
          <w:lang w:val="en-US"/>
        </w:rPr>
        <w:t xml:space="preserve"> </w:t>
      </w:r>
      <w:proofErr w:type="spellStart"/>
      <w:r w:rsidR="009612ED" w:rsidRPr="009612ED">
        <w:rPr>
          <w:b w:val="0"/>
          <w:bCs w:val="0"/>
          <w:lang w:val="en-US"/>
        </w:rPr>
        <w:t>zákona</w:t>
      </w:r>
      <w:proofErr w:type="spellEnd"/>
      <w:r w:rsidR="009612ED" w:rsidRPr="009612ED">
        <w:rPr>
          <w:b w:val="0"/>
          <w:bCs w:val="0"/>
          <w:lang w:val="en-US"/>
        </w:rPr>
        <w:t xml:space="preserve">, </w:t>
      </w:r>
      <w:proofErr w:type="spellStart"/>
      <w:r w:rsidR="00496D57" w:rsidRPr="00496D57">
        <w:rPr>
          <w:b w:val="0"/>
          <w:bCs w:val="0"/>
          <w:lang w:val="en-US"/>
        </w:rPr>
        <w:t>ktorým</w:t>
      </w:r>
      <w:proofErr w:type="spellEnd"/>
      <w:r w:rsidR="00496D57" w:rsidRPr="00496D57">
        <w:rPr>
          <w:b w:val="0"/>
          <w:bCs w:val="0"/>
          <w:lang w:val="en-US"/>
        </w:rPr>
        <w:t xml:space="preserve"> </w:t>
      </w:r>
      <w:proofErr w:type="spellStart"/>
      <w:r w:rsidR="00496D57" w:rsidRPr="00496D57">
        <w:rPr>
          <w:b w:val="0"/>
          <w:bCs w:val="0"/>
          <w:lang w:val="en-US"/>
        </w:rPr>
        <w:t>sa</w:t>
      </w:r>
      <w:proofErr w:type="spellEnd"/>
      <w:r w:rsidR="00496D57" w:rsidRPr="00496D57">
        <w:rPr>
          <w:b w:val="0"/>
          <w:bCs w:val="0"/>
          <w:lang w:val="en-US"/>
        </w:rPr>
        <w:t xml:space="preserve"> </w:t>
      </w:r>
      <w:proofErr w:type="spellStart"/>
      <w:r w:rsidR="00496D57" w:rsidRPr="00496D57">
        <w:rPr>
          <w:b w:val="0"/>
          <w:bCs w:val="0"/>
          <w:lang w:val="en-US"/>
        </w:rPr>
        <w:t>mení</w:t>
      </w:r>
      <w:proofErr w:type="spellEnd"/>
      <w:r w:rsidR="00496D57" w:rsidRPr="00496D57">
        <w:rPr>
          <w:b w:val="0"/>
          <w:bCs w:val="0"/>
          <w:lang w:val="en-US"/>
        </w:rPr>
        <w:t xml:space="preserve"> a </w:t>
      </w:r>
      <w:proofErr w:type="spellStart"/>
      <w:r w:rsidR="00496D57" w:rsidRPr="00496D57">
        <w:rPr>
          <w:b w:val="0"/>
          <w:bCs w:val="0"/>
          <w:lang w:val="en-US"/>
        </w:rPr>
        <w:t>dopĺňa</w:t>
      </w:r>
      <w:proofErr w:type="spellEnd"/>
      <w:r w:rsidR="00496D57" w:rsidRPr="00496D57">
        <w:rPr>
          <w:b w:val="0"/>
          <w:bCs w:val="0"/>
          <w:lang w:val="en-US"/>
        </w:rPr>
        <w:t xml:space="preserve"> </w:t>
      </w:r>
      <w:proofErr w:type="spellStart"/>
      <w:r w:rsidR="00496D57" w:rsidRPr="00496D57">
        <w:rPr>
          <w:b w:val="0"/>
          <w:bCs w:val="0"/>
          <w:lang w:val="en-US"/>
        </w:rPr>
        <w:t>zákon</w:t>
      </w:r>
      <w:proofErr w:type="spellEnd"/>
      <w:r w:rsidR="00496D57">
        <w:rPr>
          <w:b w:val="0"/>
          <w:bCs w:val="0"/>
          <w:lang w:val="en-US"/>
        </w:rPr>
        <w:t> </w:t>
      </w:r>
      <w:r w:rsidR="00496D57" w:rsidRPr="00496D57">
        <w:rPr>
          <w:b w:val="0"/>
          <w:bCs w:val="0"/>
          <w:lang w:val="en-US"/>
        </w:rPr>
        <w:t>č.</w:t>
      </w:r>
      <w:r w:rsidR="00496D57">
        <w:rPr>
          <w:b w:val="0"/>
          <w:bCs w:val="0"/>
          <w:lang w:val="en-US"/>
        </w:rPr>
        <w:t> </w:t>
      </w:r>
      <w:r w:rsidR="00496D57" w:rsidRPr="00496D57">
        <w:rPr>
          <w:b w:val="0"/>
          <w:bCs w:val="0"/>
          <w:lang w:val="en-US"/>
        </w:rPr>
        <w:t>250/2012</w:t>
      </w:r>
      <w:r w:rsidR="00496D57">
        <w:rPr>
          <w:b w:val="0"/>
          <w:bCs w:val="0"/>
          <w:lang w:val="en-US"/>
        </w:rPr>
        <w:t> </w:t>
      </w:r>
      <w:r w:rsidR="00496D57" w:rsidRPr="00496D57">
        <w:rPr>
          <w:b w:val="0"/>
          <w:bCs w:val="0"/>
          <w:lang w:val="en-US"/>
        </w:rPr>
        <w:t xml:space="preserve">Z. z. o </w:t>
      </w:r>
      <w:proofErr w:type="spellStart"/>
      <w:r w:rsidR="00496D57" w:rsidRPr="00496D57">
        <w:rPr>
          <w:b w:val="0"/>
          <w:bCs w:val="0"/>
          <w:lang w:val="en-US"/>
        </w:rPr>
        <w:t>regulácii</w:t>
      </w:r>
      <w:proofErr w:type="spellEnd"/>
      <w:r w:rsidR="00496D57" w:rsidRPr="00496D57">
        <w:rPr>
          <w:b w:val="0"/>
          <w:bCs w:val="0"/>
          <w:lang w:val="en-US"/>
        </w:rPr>
        <w:t xml:space="preserve"> v </w:t>
      </w:r>
      <w:proofErr w:type="spellStart"/>
      <w:r w:rsidR="00496D57" w:rsidRPr="00496D57">
        <w:rPr>
          <w:b w:val="0"/>
          <w:bCs w:val="0"/>
          <w:lang w:val="en-US"/>
        </w:rPr>
        <w:t>sieťových</w:t>
      </w:r>
      <w:proofErr w:type="spellEnd"/>
      <w:r w:rsidR="00496D57" w:rsidRPr="00496D57">
        <w:rPr>
          <w:b w:val="0"/>
          <w:bCs w:val="0"/>
          <w:lang w:val="en-US"/>
        </w:rPr>
        <w:t xml:space="preserve"> </w:t>
      </w:r>
      <w:proofErr w:type="spellStart"/>
      <w:r w:rsidR="00496D57" w:rsidRPr="00496D57">
        <w:rPr>
          <w:b w:val="0"/>
          <w:bCs w:val="0"/>
          <w:lang w:val="en-US"/>
        </w:rPr>
        <w:t>odvetviach</w:t>
      </w:r>
      <w:proofErr w:type="spellEnd"/>
      <w:r w:rsidR="00496D57" w:rsidRPr="00496D57">
        <w:rPr>
          <w:b w:val="0"/>
          <w:bCs w:val="0"/>
          <w:lang w:val="en-US"/>
        </w:rPr>
        <w:t xml:space="preserve"> v </w:t>
      </w:r>
      <w:proofErr w:type="spellStart"/>
      <w:r w:rsidR="00496D57" w:rsidRPr="00496D57">
        <w:rPr>
          <w:b w:val="0"/>
          <w:bCs w:val="0"/>
          <w:lang w:val="en-US"/>
        </w:rPr>
        <w:t>znení</w:t>
      </w:r>
      <w:proofErr w:type="spellEnd"/>
      <w:r w:rsidR="00496D57" w:rsidRPr="00496D57">
        <w:rPr>
          <w:b w:val="0"/>
          <w:bCs w:val="0"/>
          <w:lang w:val="en-US"/>
        </w:rPr>
        <w:t xml:space="preserve"> </w:t>
      </w:r>
      <w:proofErr w:type="spellStart"/>
      <w:r w:rsidR="00496D57" w:rsidRPr="00496D57">
        <w:rPr>
          <w:b w:val="0"/>
          <w:bCs w:val="0"/>
          <w:lang w:val="en-US"/>
        </w:rPr>
        <w:t>neskorších</w:t>
      </w:r>
      <w:proofErr w:type="spellEnd"/>
      <w:r w:rsidR="00496D57" w:rsidRPr="00496D57">
        <w:rPr>
          <w:b w:val="0"/>
          <w:bCs w:val="0"/>
          <w:lang w:val="en-US"/>
        </w:rPr>
        <w:t xml:space="preserve"> </w:t>
      </w:r>
      <w:proofErr w:type="spellStart"/>
      <w:r w:rsidR="00496D57" w:rsidRPr="00496D57">
        <w:rPr>
          <w:b w:val="0"/>
          <w:bCs w:val="0"/>
          <w:lang w:val="en-US"/>
        </w:rPr>
        <w:t>predpisov</w:t>
      </w:r>
      <w:proofErr w:type="spellEnd"/>
    </w:p>
    <w:p w:rsidR="00A062F7" w:rsidRPr="00493247" w:rsidRDefault="00A062F7" w:rsidP="009A1D7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493247" w:rsidRDefault="00961DDB" w:rsidP="00A062F7">
      <w:pPr>
        <w:tabs>
          <w:tab w:val="left" w:pos="426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3.</w:t>
      </w: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961DDB" w:rsidRPr="00493247" w:rsidRDefault="00961DDB" w:rsidP="00E5752D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>a)</w:t>
      </w:r>
      <w:r w:rsidRPr="00493247">
        <w:rPr>
          <w:rFonts w:ascii="Times New Roman" w:hAnsi="Times New Roman"/>
          <w:sz w:val="24"/>
          <w:szCs w:val="24"/>
          <w:lang w:val="sk-SK"/>
        </w:rPr>
        <w:tab/>
      </w:r>
      <w:r w:rsidR="00E5752D" w:rsidRPr="00493247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493247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493247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493247" w:rsidRDefault="00961DDB" w:rsidP="00961DDB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>b)</w:t>
      </w:r>
      <w:r w:rsidRPr="00493247">
        <w:rPr>
          <w:rFonts w:ascii="Times New Roman" w:hAnsi="Times New Roman"/>
          <w:sz w:val="24"/>
          <w:szCs w:val="24"/>
          <w:lang w:val="sk-SK"/>
        </w:rPr>
        <w:tab/>
      </w:r>
      <w:r w:rsidR="00E5752D" w:rsidRPr="00493247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493247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493247" w:rsidRDefault="00961DDB" w:rsidP="00961DDB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4.</w:t>
      </w: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961DDB" w:rsidRPr="00493247" w:rsidRDefault="00961DDB" w:rsidP="00E5752D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 w:rsidRDefault="000D01BA" w:rsidP="000D01BA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="00961DDB" w:rsidRPr="00493247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493247" w:rsidRDefault="00961D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493247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5.</w:t>
      </w: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961DDB" w:rsidRPr="00493247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493247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493247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Default="000153CB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496D57" w:rsidRPr="00493247" w:rsidRDefault="00496D57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B47D6D" w:rsidRPr="00493247" w:rsidRDefault="00B47D6D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B47D6D" w:rsidRPr="00493247" w:rsidRDefault="00B47D6D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551D2C" w:rsidRPr="00493247" w:rsidRDefault="00551D2C" w:rsidP="00551D2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3247">
        <w:rPr>
          <w:b/>
          <w:bCs/>
          <w:sz w:val="28"/>
          <w:szCs w:val="28"/>
        </w:rPr>
        <w:lastRenderedPageBreak/>
        <w:t>Doložka vybraných vplyvov</w:t>
      </w:r>
    </w:p>
    <w:p w:rsidR="00551D2C" w:rsidRPr="00493247" w:rsidRDefault="00551D2C" w:rsidP="00551D2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1869"/>
        <w:gridCol w:w="1869"/>
        <w:gridCol w:w="1869"/>
      </w:tblGrid>
      <w:tr w:rsidR="00551D2C" w:rsidRPr="00493247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 w:rsidR="00551D2C" w:rsidRPr="00493247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 w:rsidR="00551D2C" w:rsidRPr="00493247" w:rsidTr="00EC0D8E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551D2C" w:rsidRPr="00C55879" w:rsidRDefault="009612ED" w:rsidP="00496D5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proofErr w:type="spellStart"/>
            <w:r w:rsidRPr="009612ED">
              <w:rPr>
                <w:rFonts w:ascii="Times New Roman" w:hAnsi="Times New Roman"/>
                <w:sz w:val="20"/>
                <w:szCs w:val="20"/>
              </w:rPr>
              <w:t>Návrh</w:t>
            </w:r>
            <w:proofErr w:type="spellEnd"/>
            <w:r w:rsidRPr="009612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12ED">
              <w:rPr>
                <w:rFonts w:ascii="Times New Roman" w:hAnsi="Times New Roman"/>
                <w:sz w:val="20"/>
                <w:szCs w:val="20"/>
              </w:rPr>
              <w:t>zákona</w:t>
            </w:r>
            <w:proofErr w:type="spellEnd"/>
            <w:r w:rsidRPr="009612E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96D57" w:rsidRPr="00496D57">
              <w:rPr>
                <w:rFonts w:ascii="Times New Roman" w:hAnsi="Times New Roman"/>
                <w:sz w:val="20"/>
                <w:szCs w:val="20"/>
              </w:rPr>
              <w:t>ktorým</w:t>
            </w:r>
            <w:proofErr w:type="spellEnd"/>
            <w:r w:rsidR="00496D57" w:rsidRPr="00496D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96D57" w:rsidRPr="00496D57">
              <w:rPr>
                <w:rFonts w:ascii="Times New Roman" w:hAnsi="Times New Roman"/>
                <w:sz w:val="20"/>
                <w:szCs w:val="20"/>
              </w:rPr>
              <w:t>sa</w:t>
            </w:r>
            <w:proofErr w:type="spellEnd"/>
            <w:r w:rsidR="00496D57" w:rsidRPr="00496D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96D57" w:rsidRPr="00496D57">
              <w:rPr>
                <w:rFonts w:ascii="Times New Roman" w:hAnsi="Times New Roman"/>
                <w:sz w:val="20"/>
                <w:szCs w:val="20"/>
              </w:rPr>
              <w:t>mení</w:t>
            </w:r>
            <w:proofErr w:type="spellEnd"/>
            <w:r w:rsidR="00496D57" w:rsidRPr="00496D5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="00496D57" w:rsidRPr="00496D57">
              <w:rPr>
                <w:rFonts w:ascii="Times New Roman" w:hAnsi="Times New Roman"/>
                <w:sz w:val="20"/>
                <w:szCs w:val="20"/>
              </w:rPr>
              <w:t>dopĺňa</w:t>
            </w:r>
            <w:proofErr w:type="spellEnd"/>
            <w:r w:rsidR="00496D57" w:rsidRPr="00496D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96D57" w:rsidRPr="00496D57">
              <w:rPr>
                <w:rFonts w:ascii="Times New Roman" w:hAnsi="Times New Roman"/>
                <w:sz w:val="20"/>
                <w:szCs w:val="20"/>
              </w:rPr>
              <w:t>zákon</w:t>
            </w:r>
            <w:proofErr w:type="spellEnd"/>
            <w:r w:rsidR="00496D57" w:rsidRPr="00496D57">
              <w:rPr>
                <w:rFonts w:ascii="Times New Roman" w:hAnsi="Times New Roman"/>
                <w:sz w:val="20"/>
                <w:szCs w:val="20"/>
              </w:rPr>
              <w:t xml:space="preserve"> č. 250/2012 Z. z. o </w:t>
            </w:r>
            <w:proofErr w:type="spellStart"/>
            <w:r w:rsidR="00496D57" w:rsidRPr="00496D57">
              <w:rPr>
                <w:rFonts w:ascii="Times New Roman" w:hAnsi="Times New Roman"/>
                <w:sz w:val="20"/>
                <w:szCs w:val="20"/>
              </w:rPr>
              <w:t>regulácii</w:t>
            </w:r>
            <w:proofErr w:type="spellEnd"/>
            <w:r w:rsidR="00496D57" w:rsidRPr="00496D57">
              <w:rPr>
                <w:rFonts w:ascii="Times New Roman" w:hAnsi="Times New Roman"/>
                <w:sz w:val="20"/>
                <w:szCs w:val="20"/>
              </w:rPr>
              <w:t xml:space="preserve"> v </w:t>
            </w:r>
            <w:proofErr w:type="spellStart"/>
            <w:r w:rsidR="00496D57" w:rsidRPr="00496D57">
              <w:rPr>
                <w:rFonts w:ascii="Times New Roman" w:hAnsi="Times New Roman"/>
                <w:sz w:val="20"/>
                <w:szCs w:val="20"/>
              </w:rPr>
              <w:t>sieťových</w:t>
            </w:r>
            <w:proofErr w:type="spellEnd"/>
            <w:r w:rsidR="00496D57" w:rsidRPr="00496D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96D57" w:rsidRPr="00496D57">
              <w:rPr>
                <w:rFonts w:ascii="Times New Roman" w:hAnsi="Times New Roman"/>
                <w:sz w:val="20"/>
                <w:szCs w:val="20"/>
              </w:rPr>
              <w:t>odvetviach</w:t>
            </w:r>
            <w:proofErr w:type="spellEnd"/>
            <w:r w:rsidR="00496D57" w:rsidRPr="00496D57">
              <w:rPr>
                <w:rFonts w:ascii="Times New Roman" w:hAnsi="Times New Roman"/>
                <w:sz w:val="20"/>
                <w:szCs w:val="20"/>
              </w:rPr>
              <w:t xml:space="preserve"> v </w:t>
            </w:r>
            <w:proofErr w:type="spellStart"/>
            <w:r w:rsidR="00496D57" w:rsidRPr="00496D57">
              <w:rPr>
                <w:rFonts w:ascii="Times New Roman" w:hAnsi="Times New Roman"/>
                <w:sz w:val="20"/>
                <w:szCs w:val="20"/>
              </w:rPr>
              <w:t>znení</w:t>
            </w:r>
            <w:proofErr w:type="spellEnd"/>
            <w:r w:rsidR="00496D57" w:rsidRPr="00496D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96D57" w:rsidRPr="00496D57">
              <w:rPr>
                <w:rFonts w:ascii="Times New Roman" w:hAnsi="Times New Roman"/>
                <w:sz w:val="20"/>
                <w:szCs w:val="20"/>
              </w:rPr>
              <w:t>neskorších</w:t>
            </w:r>
            <w:proofErr w:type="spellEnd"/>
            <w:r w:rsidR="00496D57" w:rsidRPr="00496D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96D57" w:rsidRPr="00496D57">
              <w:rPr>
                <w:rFonts w:ascii="Times New Roman" w:hAnsi="Times New Roman"/>
                <w:sz w:val="20"/>
                <w:szCs w:val="20"/>
              </w:rPr>
              <w:t>predpisov</w:t>
            </w:r>
            <w:proofErr w:type="spellEnd"/>
          </w:p>
        </w:tc>
      </w:tr>
      <w:tr w:rsidR="00551D2C" w:rsidRPr="00493247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 w:rsidR="00551D2C" w:rsidRPr="00493247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493247" w:rsidRDefault="00551D2C" w:rsidP="00496D57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  <w:r w:rsidR="00496D57">
              <w:rPr>
                <w:rFonts w:ascii="Times" w:hAnsi="Times" w:cs="Times"/>
                <w:sz w:val="20"/>
                <w:szCs w:val="20"/>
                <w:lang w:val="sk-SK"/>
              </w:rPr>
              <w:t xml:space="preserve"> Karol Galek a Jana Kiššová </w:t>
            </w:r>
          </w:p>
        </w:tc>
      </w:tr>
      <w:tr w:rsidR="00551D2C" w:rsidRPr="00493247" w:rsidTr="00692A58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551D2C" w:rsidP="00692A58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 w:rsidR="00551D2C" w:rsidRPr="00493247" w:rsidTr="00692A58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 w:rsidR="00551D2C" w:rsidRPr="00493247" w:rsidTr="00692A58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 w:rsidR="00551D2C" w:rsidRPr="00493247" w:rsidTr="00692A58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 w:rsidR="00551D2C" w:rsidRPr="00493247" w:rsidTr="00692A58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 w:rsidR="00551D2C" w:rsidRPr="00493247" w:rsidTr="00692A58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 w:rsidR="00551D2C" w:rsidRPr="00493247" w:rsidTr="00692A58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</w: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 w:rsidR="00551D2C" w:rsidRPr="00493247" w:rsidTr="00692A58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 w:rsidR="00551D2C" w:rsidRPr="00493247" w:rsidTr="00692A58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47E1F" w:rsidRPr="00493247" w:rsidRDefault="00496D57" w:rsidP="00496D57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Návrh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zákona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reaguje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v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prvom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rade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fakt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že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napriek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každoročnej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ziskovosti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štátnej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spoločnosti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Slovenská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elektrizačná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prenosová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sústava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tarifa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za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systémové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služby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 je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jedna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z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najvyšších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v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rámci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Európskej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únie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pričom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túto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tarifu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v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koncovej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cene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elektriny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uhrádzajú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spotrebitelia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ostatní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koncoví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odberatelia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elektriny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inými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slovami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podieľajú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ziskovosti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predmetnej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štátnej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spoločnosti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551D2C" w:rsidRPr="00493247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 w:rsidR="00551D2C" w:rsidRPr="00493247" w:rsidTr="00692A58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Default="00496D57" w:rsidP="00496D57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ieľom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návrhu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zákona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je legislatívna úprava použitia zisku z poskytovania systémových služieb zo strany prevádzkovateľa prenosovej sústavy spoločnosti Slovenská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elektrizačná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prenosová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sústava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a.s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., ktorej 100 % vlastníkom akcií je Slovenská republika, v mene ktorej koná Ministerstvo financií SR. Táto spoločnosť má monopolné postavenie v rámci zabezpečenia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prevádzkovej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spoľahlivosti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celej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elektrizačnej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sústavy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Slovenskej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republiky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496D57" w:rsidRPr="00A20CA5" w:rsidRDefault="00496D57" w:rsidP="00496D57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Navrhuje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ustanovenie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obligatórneho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spôsobu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použitia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časti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celkového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kladného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hospodárskeho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výsledku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zisku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prevádzkovateľa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prenosovej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sústavy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, a to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dosiahnutého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v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okruhu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poskytovania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systémových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služieb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úhradu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plánovaných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nákladov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poskytovanie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systémových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služieb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do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konca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kalendárneho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roka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nasledujúceho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kalendárnom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roku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za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ktorý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tento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kladný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hospodársky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výsledok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zisk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vytvoril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551D2C" w:rsidRPr="00493247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 w:rsidR="00551D2C" w:rsidRPr="00493247" w:rsidTr="00045FCB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534740" w:rsidRPr="00493247" w:rsidRDefault="00241650" w:rsidP="009A1D7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Slovenská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elektrizačná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prenosová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sústava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.,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spotrebitelia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ostatní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koncoví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odberatelia</w:t>
            </w:r>
            <w:proofErr w:type="spellEnd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D57">
              <w:rPr>
                <w:rFonts w:ascii="Times New Roman" w:hAnsi="Times New Roman"/>
                <w:bCs/>
                <w:sz w:val="20"/>
                <w:szCs w:val="20"/>
              </w:rPr>
              <w:t>elektriny</w:t>
            </w:r>
            <w:proofErr w:type="spellEnd"/>
          </w:p>
        </w:tc>
      </w:tr>
      <w:tr w:rsidR="00551D2C" w:rsidRPr="00493247" w:rsidTr="00692A58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 w:rsidR="00551D2C" w:rsidRPr="00493247" w:rsidTr="00692A58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493247" w:rsidTr="00692A58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 w:rsidR="00551D2C" w:rsidRPr="00493247" w:rsidTr="00692A58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lastRenderedPageBreak/>
              <w:t>Predpokladá sa prijatie/zmena vykonávacích predpisov?                         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 w:rsidR="00551D2C" w:rsidRPr="00493247" w:rsidTr="00692A58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 w:rsidR="00551D2C" w:rsidRPr="00493247" w:rsidTr="00692A58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493247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 w:rsidR="00551D2C" w:rsidRPr="00493247" w:rsidTr="00B2032E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 w:rsidR="00551D2C" w:rsidRPr="00493247" w:rsidTr="00692A5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F7753E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16DE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bookmarkStart w:id="0" w:name="_GoBack"/>
            <w:bookmarkEnd w:id="0"/>
            <w:r w:rsidR="00716DE1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F7753E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4165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241650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AA471A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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16DE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716DE1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493247" w:rsidTr="00692A5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 w:rsidR="00551D2C" w:rsidRPr="00493247" w:rsidTr="00692A5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4165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241650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A474B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4165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241650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551D2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493247" w:rsidTr="00692A5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493247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086AD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086AD5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="00086AD5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086AD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086AD5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493247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258CB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4165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241650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6258CB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0153CB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="00241650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493247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663795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663795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4165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663795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="00663795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493247" w:rsidTr="00692A58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na procesy služieb vo verejnej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086AD5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086AD5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493247" w:rsidTr="00692A5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4165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241650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="00086AD5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086AD5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493247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B2032E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551D2C"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 w:rsidR="00551D2C" w:rsidRPr="00493247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493247" w:rsidRDefault="00045FCB" w:rsidP="005347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bezpredmetné</w:t>
            </w:r>
          </w:p>
        </w:tc>
      </w:tr>
      <w:tr w:rsidR="005E6358" w:rsidRPr="00493247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 w:rsidR="005E6358" w:rsidRPr="00493247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086AD5" w:rsidRDefault="00716DE1" w:rsidP="00A20CA5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hyperlink r:id="rId5" w:history="1">
              <w:r w:rsidR="00496D57" w:rsidRPr="000745DB">
                <w:rPr>
                  <w:rStyle w:val="Hypertextovprepojenie"/>
                  <w:rFonts w:ascii="Times New Roman" w:hAnsi="Times New Roman"/>
                  <w:sz w:val="20"/>
                  <w:szCs w:val="20"/>
                  <w:lang w:val="sk-SK"/>
                </w:rPr>
                <w:t>karol_galek@nrsr.sk</w:t>
              </w:r>
            </w:hyperlink>
          </w:p>
        </w:tc>
      </w:tr>
      <w:tr w:rsidR="00551D2C" w:rsidRPr="00493247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 w:rsidR="00551D2C" w:rsidRPr="00493247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493247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 w:rsidR="00551D2C" w:rsidRPr="00493247" w:rsidTr="00B2032E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493247" w:rsidRDefault="00551D2C" w:rsidP="0047737C">
      <w:pPr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 w:rsidR="00551D2C" w:rsidRPr="00493247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9C1034A"/>
    <w:multiLevelType w:val="hybridMultilevel"/>
    <w:tmpl w:val="A50C69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AF4A0C"/>
    <w:multiLevelType w:val="hybridMultilevel"/>
    <w:tmpl w:val="3486871A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7E36761"/>
    <w:multiLevelType w:val="hybridMultilevel"/>
    <w:tmpl w:val="1458C204"/>
    <w:lvl w:ilvl="0" w:tplc="A1523F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83FF9"/>
    <w:multiLevelType w:val="hybridMultilevel"/>
    <w:tmpl w:val="1940307E"/>
    <w:lvl w:ilvl="0" w:tplc="0000000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0000000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DA"/>
    <w:rsid w:val="000153CB"/>
    <w:rsid w:val="000434D0"/>
    <w:rsid w:val="00045FCB"/>
    <w:rsid w:val="00047966"/>
    <w:rsid w:val="00086AD5"/>
    <w:rsid w:val="000B2E04"/>
    <w:rsid w:val="000D01BA"/>
    <w:rsid w:val="000D197E"/>
    <w:rsid w:val="00103D80"/>
    <w:rsid w:val="001066BB"/>
    <w:rsid w:val="00113283"/>
    <w:rsid w:val="00126482"/>
    <w:rsid w:val="00146B4F"/>
    <w:rsid w:val="00197276"/>
    <w:rsid w:val="001A3DDF"/>
    <w:rsid w:val="0022395F"/>
    <w:rsid w:val="002270FC"/>
    <w:rsid w:val="00241650"/>
    <w:rsid w:val="0025096B"/>
    <w:rsid w:val="002C07B8"/>
    <w:rsid w:val="003111CA"/>
    <w:rsid w:val="00354077"/>
    <w:rsid w:val="00363EF5"/>
    <w:rsid w:val="003A295D"/>
    <w:rsid w:val="003D1E7E"/>
    <w:rsid w:val="003D3CD5"/>
    <w:rsid w:val="00400BA6"/>
    <w:rsid w:val="004470ED"/>
    <w:rsid w:val="0047737C"/>
    <w:rsid w:val="00493247"/>
    <w:rsid w:val="00496D57"/>
    <w:rsid w:val="004C3411"/>
    <w:rsid w:val="005068C9"/>
    <w:rsid w:val="00534740"/>
    <w:rsid w:val="0053778E"/>
    <w:rsid w:val="00551D2C"/>
    <w:rsid w:val="00584FFE"/>
    <w:rsid w:val="005A041D"/>
    <w:rsid w:val="005B7011"/>
    <w:rsid w:val="005E6358"/>
    <w:rsid w:val="00613621"/>
    <w:rsid w:val="006258CB"/>
    <w:rsid w:val="00663795"/>
    <w:rsid w:val="00692A58"/>
    <w:rsid w:val="006A5A01"/>
    <w:rsid w:val="006B2D7A"/>
    <w:rsid w:val="00716DE1"/>
    <w:rsid w:val="00746DDA"/>
    <w:rsid w:val="00747E1F"/>
    <w:rsid w:val="007C4BD9"/>
    <w:rsid w:val="007D6C7F"/>
    <w:rsid w:val="008003CB"/>
    <w:rsid w:val="00824000"/>
    <w:rsid w:val="00841FA5"/>
    <w:rsid w:val="00875C2E"/>
    <w:rsid w:val="008D0E09"/>
    <w:rsid w:val="00921D3D"/>
    <w:rsid w:val="00922803"/>
    <w:rsid w:val="009612ED"/>
    <w:rsid w:val="00961DDB"/>
    <w:rsid w:val="009A1D7A"/>
    <w:rsid w:val="009B4C62"/>
    <w:rsid w:val="00A062F7"/>
    <w:rsid w:val="00A110E6"/>
    <w:rsid w:val="00A12333"/>
    <w:rsid w:val="00A20CA5"/>
    <w:rsid w:val="00A4114F"/>
    <w:rsid w:val="00A474BC"/>
    <w:rsid w:val="00A55DF2"/>
    <w:rsid w:val="00AA471A"/>
    <w:rsid w:val="00AB2B3D"/>
    <w:rsid w:val="00AE359E"/>
    <w:rsid w:val="00B2032E"/>
    <w:rsid w:val="00B47BCE"/>
    <w:rsid w:val="00B47D6D"/>
    <w:rsid w:val="00B76372"/>
    <w:rsid w:val="00BB44C3"/>
    <w:rsid w:val="00BD61B2"/>
    <w:rsid w:val="00BD6A46"/>
    <w:rsid w:val="00C33769"/>
    <w:rsid w:val="00C55879"/>
    <w:rsid w:val="00C60A22"/>
    <w:rsid w:val="00CB54FD"/>
    <w:rsid w:val="00CD74F0"/>
    <w:rsid w:val="00D314FF"/>
    <w:rsid w:val="00D5285E"/>
    <w:rsid w:val="00D7413C"/>
    <w:rsid w:val="00DB75EA"/>
    <w:rsid w:val="00DC5240"/>
    <w:rsid w:val="00DF3878"/>
    <w:rsid w:val="00DF3DF7"/>
    <w:rsid w:val="00E20E0D"/>
    <w:rsid w:val="00E526B5"/>
    <w:rsid w:val="00E5752D"/>
    <w:rsid w:val="00EB31F3"/>
    <w:rsid w:val="00EB4ABD"/>
    <w:rsid w:val="00EC0D8E"/>
    <w:rsid w:val="00F10C74"/>
    <w:rsid w:val="00F378AD"/>
    <w:rsid w:val="00F7753E"/>
    <w:rsid w:val="00F8393A"/>
    <w:rsid w:val="00F90A6E"/>
    <w:rsid w:val="00F94C2C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1A0A3"/>
  <w14:defaultImageDpi w14:val="0"/>
  <w15:docId w15:val="{C55FA5F1-C1BF-4B3E-B933-3860386B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ormlnywebov">
    <w:name w:val="Normal (Web)"/>
    <w:aliases w:val="webb"/>
    <w:basedOn w:val="Normlny"/>
    <w:uiPriority w:val="99"/>
    <w:rsid w:val="0082400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551D2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E6358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6AD5"/>
    <w:rPr>
      <w:rFonts w:cs="Times New Roman"/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locked/>
    <w:rsid w:val="00045FCB"/>
    <w:pPr>
      <w:widowControl/>
      <w:adjustRightInd/>
      <w:spacing w:after="160" w:line="259" w:lineRule="auto"/>
      <w:ind w:left="720"/>
      <w:contextualSpacing/>
    </w:pPr>
    <w:rPr>
      <w:lang w:val="sk-SK"/>
    </w:rPr>
  </w:style>
  <w:style w:type="paragraph" w:styleId="Zkladntext">
    <w:name w:val="Body Text"/>
    <w:basedOn w:val="Normlny"/>
    <w:link w:val="ZkladntextChar"/>
    <w:uiPriority w:val="99"/>
    <w:rsid w:val="00EC0D8E"/>
    <w:pPr>
      <w:widowControl/>
      <w:adjustRightInd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C0D8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ol_galek@nrs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Kamil_Krnac</dc:creator>
  <cp:keywords/>
  <dc:description/>
  <cp:lastModifiedBy>klub SaS</cp:lastModifiedBy>
  <cp:revision>8</cp:revision>
  <cp:lastPrinted>2018-09-28T09:34:00Z</cp:lastPrinted>
  <dcterms:created xsi:type="dcterms:W3CDTF">2018-09-14T11:41:00Z</dcterms:created>
  <dcterms:modified xsi:type="dcterms:W3CDTF">2018-09-28T09:34:00Z</dcterms:modified>
</cp:coreProperties>
</file>