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24"/>
        <w:gridCol w:w="796"/>
        <w:gridCol w:w="5724"/>
        <w:gridCol w:w="426"/>
        <w:gridCol w:w="708"/>
        <w:gridCol w:w="709"/>
        <w:gridCol w:w="6095"/>
        <w:gridCol w:w="426"/>
        <w:gridCol w:w="492"/>
      </w:tblGrid>
      <w:tr w:rsidR="008C54C3" w:rsidRPr="00457F36"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EAB" w:rsidRPr="00457F36" w:rsidRDefault="00922EAB" w:rsidP="00922EAB">
            <w:pPr>
              <w:pStyle w:val="Nadpis1"/>
            </w:pPr>
            <w:bookmarkStart w:id="0" w:name="_GoBack"/>
            <w:bookmarkEnd w:id="0"/>
            <w:r w:rsidRPr="00457F36">
              <w:t>TABUĽKA  ZHODY</w:t>
            </w:r>
          </w:p>
          <w:p w:rsidR="008C54C3" w:rsidRPr="00457F36" w:rsidRDefault="00922EAB" w:rsidP="00922EAB">
            <w:pPr>
              <w:widowControl w:val="0"/>
              <w:jc w:val="center"/>
              <w:rPr>
                <w:b/>
                <w:bCs/>
              </w:rPr>
            </w:pPr>
            <w:r w:rsidRPr="00457F36">
              <w:rPr>
                <w:b/>
              </w:rPr>
              <w:t>k návrhu zákona, ktorým sa mení a dopĺňa zákon č. 371/2014 Z. z. o riešení krízových situácií na finančnom trhu a o zmene a doplnení niektorých zákonov v znení neskorších predpisov a ktorým sa menia a dopĺňajú niektoré zákony</w:t>
            </w:r>
            <w:r w:rsidR="001D49F9" w:rsidRPr="00457F36">
              <w:rPr>
                <w:b/>
              </w:rPr>
              <w:t xml:space="preserve"> s právom Európskej únie </w:t>
            </w:r>
          </w:p>
        </w:tc>
      </w:tr>
      <w:tr w:rsidR="008C54C3" w:rsidRPr="00457F36"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C54C3" w:rsidRPr="00457F36" w:rsidRDefault="008C54C3">
            <w:pPr>
              <w:pStyle w:val="Nadpis4"/>
              <w:jc w:val="both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457F36" w:rsidRDefault="00E239CD" w:rsidP="008935A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57F36">
              <w:rPr>
                <w:rStyle w:val="Siln"/>
                <w:rFonts w:ascii="Times New Roman" w:hAnsi="Times New Roman"/>
                <w:color w:val="auto"/>
              </w:rPr>
              <w:t xml:space="preserve">Smernica Európskeho parlamentu a Rady </w:t>
            </w:r>
            <w:r w:rsidRPr="00457F36">
              <w:rPr>
                <w:rStyle w:val="Siln"/>
                <w:rFonts w:ascii="Times New Roman" w:hAnsi="Times New Roman"/>
                <w:color w:val="auto"/>
                <w:u w:val="single"/>
              </w:rPr>
              <w:t>2008/48/ES</w:t>
            </w:r>
            <w:r w:rsidRPr="00457F36">
              <w:rPr>
                <w:rStyle w:val="Siln"/>
                <w:rFonts w:ascii="Times New Roman" w:hAnsi="Times New Roman"/>
                <w:color w:val="auto"/>
              </w:rPr>
              <w:t xml:space="preserve"> z  23. apríla 2008 o zmluvách o spotrebiteľskom úvere a o zrušení smernice Rady 87/102/EHS v</w:t>
            </w:r>
            <w:r w:rsidR="008935A5" w:rsidRPr="00457F36">
              <w:rPr>
                <w:rStyle w:val="Siln"/>
                <w:rFonts w:ascii="Times New Roman" w:hAnsi="Times New Roman"/>
                <w:color w:val="auto"/>
              </w:rPr>
              <w:t xml:space="preserve"> platnom </w:t>
            </w:r>
            <w:r w:rsidRPr="00457F36">
              <w:rPr>
                <w:rStyle w:val="Siln"/>
                <w:rFonts w:ascii="Times New Roman" w:hAnsi="Times New Roman"/>
                <w:color w:val="auto"/>
              </w:rPr>
              <w:t xml:space="preserve">znení </w:t>
            </w:r>
          </w:p>
        </w:tc>
      </w:tr>
      <w:tr w:rsidR="008C54C3" w:rsidRPr="00457F36" w:rsidTr="002371E4">
        <w:trPr>
          <w:trHeight w:val="567"/>
        </w:trPr>
        <w:tc>
          <w:tcPr>
            <w:tcW w:w="7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57F36" w:rsidRDefault="00DE0F85">
            <w:pPr>
              <w:pStyle w:val="Nadpis4"/>
              <w:spacing w:before="120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Smernica EÚ</w:t>
            </w:r>
          </w:p>
          <w:p w:rsidR="00A77F1B" w:rsidRDefault="00A77F1B" w:rsidP="00AB7D27">
            <w:pPr>
              <w:pStyle w:val="Zkladntext3"/>
              <w:spacing w:line="240" w:lineRule="exact"/>
              <w:rPr>
                <w:rStyle w:val="Siln"/>
              </w:rPr>
            </w:pPr>
          </w:p>
          <w:p w:rsidR="00A77F1B" w:rsidRPr="00A77F1B" w:rsidRDefault="00A77F1B" w:rsidP="00AB7D27">
            <w:pPr>
              <w:pStyle w:val="Zkladntext3"/>
              <w:spacing w:line="240" w:lineRule="exact"/>
              <w:rPr>
                <w:b/>
              </w:rPr>
            </w:pPr>
            <w:r w:rsidRPr="00A77F1B">
              <w:rPr>
                <w:b/>
                <w:shd w:val="clear" w:color="auto" w:fill="FFFFFF"/>
              </w:rPr>
              <w:t>Smernica Európskeho parlamentu a Rady z 23. apríla 2008</w:t>
            </w:r>
            <w:hyperlink r:id="rId7" w:tooltip="32008L0048" w:history="1">
              <w:r w:rsidRPr="00A77F1B">
                <w:rPr>
                  <w:b/>
                  <w:shd w:val="clear" w:color="auto" w:fill="FFFFFF"/>
                </w:rPr>
                <w:t>o zmluvách o spotrebiteľskom úvere a o zrušení smernice Rady 87/102/EHS</w:t>
              </w:r>
            </w:hyperlink>
            <w:r w:rsidRPr="00A77F1B">
              <w:rPr>
                <w:b/>
                <w:shd w:val="clear" w:color="auto" w:fill="FFFFFF"/>
              </w:rPr>
              <w:t xml:space="preserve"> v znení smernice 2011/90/EÚ, smernice 2014/17/EÚ a nariadenia (EÚ) 2016/1011</w:t>
            </w:r>
          </w:p>
        </w:tc>
        <w:tc>
          <w:tcPr>
            <w:tcW w:w="8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457F36" w:rsidRDefault="008C54C3">
            <w:pPr>
              <w:pStyle w:val="Nadpis4"/>
              <w:spacing w:before="120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Všeobecne záväzné právne predpisy Slovenskej republiky</w:t>
            </w:r>
          </w:p>
          <w:p w:rsidR="00C307E6" w:rsidRPr="00457F36" w:rsidRDefault="00922EAB" w:rsidP="00C307E6">
            <w:pPr>
              <w:jc w:val="both"/>
              <w:rPr>
                <w:b/>
              </w:rPr>
            </w:pPr>
            <w:r w:rsidRPr="00457F36">
              <w:rPr>
                <w:b/>
              </w:rPr>
              <w:t xml:space="preserve">Návrh zákona, </w:t>
            </w:r>
            <w:r w:rsidRPr="00457F36">
              <w:rPr>
                <w:b/>
                <w:bCs/>
              </w:rPr>
              <w:t>ktorým sa mení a dopĺňa zákon č. 371/2014 Z. z. o riešení krízových situácií na finančnom trhu a o zmene a doplnení niektorých zákonov v znení neskorších predpisov a ktorým sa menia a dopĺňajú niektoré zákony</w:t>
            </w:r>
            <w:r w:rsidR="00C307E6" w:rsidRPr="00457F36">
              <w:rPr>
                <w:b/>
                <w:bCs/>
              </w:rPr>
              <w:t xml:space="preserve"> </w:t>
            </w:r>
            <w:r w:rsidR="00C307E6" w:rsidRPr="00457F36">
              <w:rPr>
                <w:b/>
              </w:rPr>
              <w:t>(ďalej „návrh zákona“)</w:t>
            </w:r>
          </w:p>
          <w:p w:rsidR="00E239CD" w:rsidRPr="00457F36" w:rsidRDefault="00E239CD" w:rsidP="00E239CD">
            <w:pPr>
              <w:rPr>
                <w:bCs/>
              </w:rPr>
            </w:pPr>
          </w:p>
          <w:p w:rsidR="002E1D16" w:rsidRPr="00457F36" w:rsidRDefault="00E239CD" w:rsidP="00E41B66">
            <w:pPr>
              <w:jc w:val="both"/>
              <w:rPr>
                <w:bCs/>
              </w:rPr>
            </w:pPr>
            <w:r w:rsidRPr="00457F36">
              <w:rPr>
                <w:bCs/>
              </w:rPr>
              <w:t>Zákon č. 129/2010 Z.z. o spotrebiteľských úveroch a o iných úveroch a pôžičkách pre spotrebiteľov a o zmene a doplnení niektorých zákonov</w:t>
            </w:r>
            <w:r w:rsidR="002A422D" w:rsidRPr="00457F36">
              <w:rPr>
                <w:bCs/>
              </w:rPr>
              <w:t xml:space="preserve"> v znení neskorších predpisov</w:t>
            </w:r>
            <w:r w:rsidRPr="00457F36" w:rsidDel="00A96CD8">
              <w:rPr>
                <w:bCs/>
              </w:rPr>
              <w:t xml:space="preserve"> </w:t>
            </w:r>
            <w:r w:rsidR="00D05F7E" w:rsidRPr="00457F36">
              <w:rPr>
                <w:bCs/>
              </w:rPr>
              <w:t xml:space="preserve"> </w:t>
            </w:r>
            <w:r w:rsidR="0094486F" w:rsidRPr="00457F36">
              <w:rPr>
                <w:bCs/>
              </w:rPr>
              <w:t>(</w:t>
            </w:r>
            <w:r w:rsidR="00D05F7E" w:rsidRPr="00457F36">
              <w:rPr>
                <w:bCs/>
              </w:rPr>
              <w:t>„návrh zákona Čl. XI</w:t>
            </w:r>
            <w:r w:rsidR="000B5C90">
              <w:rPr>
                <w:bCs/>
              </w:rPr>
              <w:t>I</w:t>
            </w:r>
            <w:r w:rsidR="00A54ABB" w:rsidRPr="00457F36">
              <w:rPr>
                <w:bCs/>
              </w:rPr>
              <w:t>I</w:t>
            </w:r>
            <w:r w:rsidR="00D05F7E" w:rsidRPr="00457F36">
              <w:rPr>
                <w:bCs/>
              </w:rPr>
              <w:t>“</w:t>
            </w:r>
            <w:r w:rsidR="00E41B66" w:rsidRPr="00457F36">
              <w:rPr>
                <w:bCs/>
              </w:rPr>
              <w:t>)</w:t>
            </w:r>
          </w:p>
          <w:p w:rsidR="00501027" w:rsidRPr="00457F36" w:rsidRDefault="00501027" w:rsidP="00E41B66">
            <w:pPr>
              <w:jc w:val="both"/>
              <w:rPr>
                <w:bCs/>
              </w:rPr>
            </w:pPr>
          </w:p>
          <w:p w:rsidR="00501027" w:rsidRPr="00457F36" w:rsidRDefault="00501027" w:rsidP="0089291F">
            <w:pPr>
              <w:jc w:val="both"/>
              <w:rPr>
                <w:bCs/>
              </w:rPr>
            </w:pPr>
          </w:p>
        </w:tc>
      </w:tr>
      <w:tr w:rsidR="00A9063F" w:rsidRPr="00457F36" w:rsidTr="00E41B66"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jc w:val="center"/>
            </w:pPr>
            <w:r w:rsidRPr="00457F36"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jc w:val="center"/>
            </w:pPr>
            <w:r w:rsidRPr="00457F36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57F36" w:rsidRDefault="00A9063F">
            <w:pPr>
              <w:jc w:val="center"/>
            </w:pPr>
            <w:r w:rsidRPr="00457F3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jc w:val="center"/>
            </w:pPr>
            <w:r w:rsidRPr="00457F3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jc w:val="center"/>
            </w:pPr>
            <w:r w:rsidRPr="00457F36"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57F36" w:rsidRDefault="005170A9">
            <w:pPr>
              <w:jc w:val="center"/>
            </w:pPr>
            <w:r w:rsidRPr="00457F36">
              <w:t>8</w:t>
            </w:r>
          </w:p>
        </w:tc>
      </w:tr>
      <w:tr w:rsidR="00A9063F" w:rsidRPr="00457F36" w:rsidTr="00E41B66"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Článok</w:t>
            </w:r>
          </w:p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(Č, O,</w:t>
            </w:r>
          </w:p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V, P)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Text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Spôsob transp.</w:t>
            </w:r>
          </w:p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(N, O, D, n.a.)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Číslo</w:t>
            </w:r>
          </w:p>
          <w:p w:rsidR="00A9063F" w:rsidRDefault="00D86E33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P</w:t>
            </w:r>
            <w:r w:rsidR="00A9063F" w:rsidRPr="00457F36">
              <w:rPr>
                <w:sz w:val="24"/>
                <w:szCs w:val="24"/>
              </w:rPr>
              <w:t>redpisu</w:t>
            </w:r>
          </w:p>
          <w:p w:rsidR="00D86E33" w:rsidRDefault="00D86E33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D86E33" w:rsidRPr="00D86E33" w:rsidRDefault="00D86E33">
            <w:pPr>
              <w:pStyle w:val="Normlny0"/>
              <w:jc w:val="center"/>
              <w:rPr>
                <w:sz w:val="24"/>
                <w:szCs w:val="24"/>
              </w:rPr>
            </w:pPr>
            <w:r w:rsidRPr="00D86E33">
              <w:rPr>
                <w:sz w:val="24"/>
                <w:szCs w:val="24"/>
              </w:rPr>
              <w:t>129/2010 Z.z.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Text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Zhoda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57F36" w:rsidRDefault="00A9063F">
            <w:pPr>
              <w:pStyle w:val="Normlny0"/>
              <w:jc w:val="center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Poznámky</w:t>
            </w:r>
          </w:p>
        </w:tc>
      </w:tr>
      <w:tr w:rsidR="00E239CD" w:rsidRPr="00457F36" w:rsidTr="00E41B66">
        <w:tc>
          <w:tcPr>
            <w:tcW w:w="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39CD" w:rsidRPr="00457F36" w:rsidRDefault="00BF152F" w:rsidP="00BF152F">
            <w:r w:rsidRPr="00457F36">
              <w:t>Čl. 5</w:t>
            </w:r>
            <w:r w:rsidR="00E239CD" w:rsidRPr="00457F36">
              <w:t xml:space="preserve"> ods. </w:t>
            </w:r>
            <w:r w:rsidRPr="00457F36">
              <w:t>1</w:t>
            </w:r>
          </w:p>
          <w:p w:rsidR="008935A5" w:rsidRPr="00457F36" w:rsidRDefault="008935A5" w:rsidP="00BF152F">
            <w:r w:rsidRPr="00457F36">
              <w:t>1.pod-odsek</w:t>
            </w:r>
          </w:p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>
            <w:r w:rsidRPr="00457F36">
              <w:t>2.pod-odsek</w:t>
            </w:r>
          </w:p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BF152F"/>
          <w:p w:rsidR="008935A5" w:rsidRPr="00457F36" w:rsidRDefault="008935A5" w:rsidP="00F268FE"/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lastRenderedPageBreak/>
              <w:t xml:space="preserve">1.  V dostatočnom predstihu pred tým, ako sa spotrebiteľ zaviaže akoukoľvek zmluvou o úvere alebo ponukou, veriteľ a prípadne sprostredkovateľ úveru poskytnú spotrebiteľovi na základe podmienok úveru ponúkaných veriteľom, prípadne preferencií spotrebiteľa a informácií, ktoré spotrebiteľ poskytol, informácie potrebné na porovnanie rôznych ponúk, aby sa mohol s dobrou znalosťou veci rozhodnúť, či zmluvu o úvere uzavrie. Tieto informácie sa písomne alebo na inom trvalom nosiči poskytnú prostredníctvom tlačiva pre štandardné európske informácie o </w:t>
            </w:r>
            <w:r w:rsidRPr="00457F36">
              <w:lastRenderedPageBreak/>
              <w:t>spotrebiteľskom úvere uvedeného v prílohe II. Požiadavky na veriteľa uvedené v tomto odseku a v článku 3 ods. 1 a 2 smernice 2002/65/ES, týkajúce sa poskytovania informácií, sa považujú za splnené, ak veriteľ poskytol štandardné európske informácie o spotrebiteľskom úvere.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Tieto informácie sa týkajú: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a) druhu úveru;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b) totožnosti a geografickej adresy veriteľa, prípadne totožnosti a geografickej adresy zúčastneného sprostredkovateľa úveru;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c) celkovej výšky úveru a podmienok, ktoré upravujú jeho čerpanie;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d) dĺžky trvania zmluvy o úvere;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e) v prípade úveru vo forme odloženej platby za konkrétny tovar alebo službu a v prípade zmluvy o viazanom úvere tohto tovaru alebo služby a ich predajnej ceny;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f) úrokovej sadzby úveru, podmienok, ktoré upravujú jej uplatňovanie, a ak sú k dispozícii, akéhokoľvek indexu alebo referenčnej sadzby, ktoré sa vzťahujú na pôvodnú úrokovú sadzbu úveru, ako aj čiastkových období, podmienok a postupu týkajúcich sa jej zmeny; ak sa za rôznych podmienok uplatňujú rôzne úrokové sadzby úveru, uvádzajú sa vyššie uvedené informácie o všetkých uplatniteľných úrokových sadzbách;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 xml:space="preserve">g) ročnej percentuálnej miery nákladov a celkovej čiastky, ktorú musí spotrebiteľ zaplatiť, znázornenej pomocou reprezentatívneho príkladu, v ktorom sa uvedú všetky predpoklady použité na výpočet tejto miery; ak spotrebiteľ oznámil veriteľovi jeden alebo viac prvkov svojho preferovaného úveru, ako napríklad dĺžku trvania zmluvy o úvere a celkovú výšku úveru, veriteľ tieto prvky zohľadní; ak zmluva o úvere stanovuje rozličné spôsoby čerpania úveru s rôznymi poplatkami alebo úrokovými sadzbami úveru a </w:t>
            </w:r>
            <w:r w:rsidRPr="00457F36">
              <w:lastRenderedPageBreak/>
              <w:t>veriteľ používa predpoklad uvedený v prílohe I časti II písm. b), musí veriteľ uviesť, že iné mechanizmy čerpania pre tento typ zmluvy o úvere môžu viesť k vyššej ročnej percentuálnej miere nákladov;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h) výšky, počtu a frekvencie splátok spotrebiteľa a prípadne poradia, v ktorom sa budú splátky priraďovať k jednotlivým nesplateným zostatkom s rôznymi úrokovými sadzbami úveru na účely splatenia;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i) prípadne poplatkov za vedenie jedného alebo viacerých účtov pre zaznamenávanie platobných transakcií a čerpania, pokiaľ otvorenie účtu nie je dobrovoľné, a to spoločne s poplatkami za používanie platobných prostriedkov na platobné transakcie a čerpanie, akýmikoľvek inými poplatkami vyplývajúcimi zo zmluvy o úvere a podmienkami, na základe ktorých sa tieto poplatky môžu zmeniť;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j) prípadne akýchkoľvek nákladov hradených spotrebiteľom notárovi pri uzatváraní zmluvy o úvere;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k) prípadnej povinnosti uzavrieť zmluvu o doplnkovej službe súvisiacej so zmluvou o úvere, najmä poistenie, ak uzavretie takejto zmluvy je povinné na získanie úveru alebo na jeho získanie za ponúkaných podmienok;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l) úrokovej sadzby uplatniteľnej v prípade oneskorených platieb a spôsobu jej úpravy a prípadne poplatkov v prípade neplnenia zmluvy;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m) upozornenia na dôsledky chýbajúcich platieb;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n) prípadne vyžadovaných záruk;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o) existencie alebo neexistencie práva na odstúpenie od zmluvy;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p) práva na predčasné splatenie úveru a prípadne informácie o práve veriteľa na kompenzáciu a o spôsobe, akým sa táto kompenzácia určí v súlade s článkom 16;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 xml:space="preserve">q) práva spotrebiteľa na okamžité a bezplatné informácie podľa </w:t>
            </w:r>
            <w:r w:rsidRPr="00457F36">
              <w:lastRenderedPageBreak/>
              <w:t>článku 9 ods. 2 o výsledku nahliadnutia do databázy na účely posúdenia jeho úverovej bonity;</w:t>
            </w:r>
          </w:p>
          <w:p w:rsidR="002371E4" w:rsidRPr="00457F36" w:rsidRDefault="002371E4" w:rsidP="00BF152F">
            <w:pPr>
              <w:autoSpaceDE/>
              <w:autoSpaceDN/>
              <w:jc w:val="both"/>
            </w:pP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r) práva spotrebiteľa dostať na vlastnú žiadosť a bezplatne vyhotovenie návrhu zmluvy o úvere. Toto ustanovenie sa neuplatňuje, ak veriteľ v čase podania žiadosti spotrebiteľa nie je ochotný pristúpiť k uzavretiu zmluvy o úvere so spotrebiteľom, a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  <w:r w:rsidRPr="00457F36">
              <w:t>s) prípadne času, počas ktorého je veriteľ viazaný informáciami poskytovanými pred uzavretím zmluvy.</w:t>
            </w:r>
          </w:p>
          <w:p w:rsidR="00BF152F" w:rsidRPr="00457F36" w:rsidRDefault="00BF152F" w:rsidP="00BF152F">
            <w:pPr>
              <w:autoSpaceDE/>
              <w:autoSpaceDN/>
              <w:jc w:val="both"/>
            </w:pPr>
          </w:p>
          <w:p w:rsidR="00E239CD" w:rsidRPr="00457F36" w:rsidRDefault="00E239CD" w:rsidP="00BF152F">
            <w:pPr>
              <w:autoSpaceDE/>
              <w:autoSpaceDN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39CD" w:rsidRPr="00457F36" w:rsidRDefault="00E239CD" w:rsidP="00E239CD">
            <w:pPr>
              <w:jc w:val="center"/>
            </w:pPr>
            <w:r w:rsidRPr="00457F36">
              <w:lastRenderedPageBreak/>
              <w:t>N</w:t>
            </w: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/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  <w:p w:rsidR="00E239CD" w:rsidRPr="00457F36" w:rsidRDefault="00E239CD" w:rsidP="00E239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0C4F21" w:rsidRPr="00457F36" w:rsidRDefault="000C4F21" w:rsidP="00922EAB">
            <w:pPr>
              <w:jc w:val="center"/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C06BC0" w:rsidRDefault="00C06BC0" w:rsidP="00F268FE">
            <w:pPr>
              <w:rPr>
                <w:b/>
              </w:rPr>
            </w:pPr>
          </w:p>
          <w:p w:rsidR="00E239CD" w:rsidRPr="00457F36" w:rsidRDefault="002371E4" w:rsidP="00F268FE">
            <w:r w:rsidRPr="00457F36">
              <w:rPr>
                <w:b/>
              </w:rPr>
              <w:t>návrh zákona čl.X</w:t>
            </w:r>
            <w:r w:rsidR="000B5C90">
              <w:rPr>
                <w:b/>
              </w:rPr>
              <w:t>I</w:t>
            </w:r>
            <w:r w:rsidR="00D05F7E" w:rsidRPr="00457F36">
              <w:rPr>
                <w:b/>
              </w:rPr>
              <w:t>I</w:t>
            </w:r>
            <w:r w:rsidR="00A54ABB" w:rsidRPr="00457F36">
              <w:rPr>
                <w:b/>
              </w:rPr>
              <w:t>I</w:t>
            </w:r>
            <w:r w:rsidR="00E239CD" w:rsidRPr="00457F36">
              <w:t xml:space="preserve"> </w:t>
            </w: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922EAB">
            <w:pPr>
              <w:jc w:val="center"/>
            </w:pPr>
          </w:p>
          <w:p w:rsidR="00E41B66" w:rsidRPr="00457F36" w:rsidRDefault="00E41B66" w:rsidP="005010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21" w:rsidRDefault="00D86E33" w:rsidP="00BF152F">
            <w:pPr>
              <w:pStyle w:val="Normlny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129/2010 Z.z.</w:t>
            </w:r>
          </w:p>
          <w:p w:rsidR="00D86E33" w:rsidRDefault="00D86E33" w:rsidP="00BF152F">
            <w:pPr>
              <w:pStyle w:val="Normlny0"/>
              <w:rPr>
                <w:sz w:val="24"/>
                <w:szCs w:val="24"/>
              </w:rPr>
            </w:pPr>
          </w:p>
          <w:p w:rsidR="00D86E33" w:rsidRPr="00457F36" w:rsidRDefault="00D86E33" w:rsidP="00D86E33">
            <w:pPr>
              <w:pStyle w:val="Normlny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</w:t>
            </w:r>
            <w:r w:rsidRPr="00457F36">
              <w:rPr>
                <w:sz w:val="24"/>
                <w:szCs w:val="24"/>
              </w:rPr>
              <w:t xml:space="preserve"> 4 ods. 1</w:t>
            </w:r>
          </w:p>
          <w:p w:rsidR="00D86E33" w:rsidRPr="00457F36" w:rsidRDefault="00D86E33" w:rsidP="00D86E33">
            <w:pPr>
              <w:pStyle w:val="Normlny0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písm. h)</w:t>
            </w:r>
          </w:p>
          <w:p w:rsidR="00D86E33" w:rsidRPr="00457F36" w:rsidRDefault="00D86E33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</w:p>
          <w:p w:rsidR="000C4F21" w:rsidRDefault="00D86E33" w:rsidP="00BF152F">
            <w:pPr>
              <w:pStyle w:val="Normlny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129/2010 Z.z.</w:t>
            </w:r>
          </w:p>
          <w:p w:rsidR="00D86E33" w:rsidRPr="00457F36" w:rsidRDefault="00D86E33" w:rsidP="00BF152F">
            <w:pPr>
              <w:pStyle w:val="Normlny0"/>
              <w:rPr>
                <w:sz w:val="24"/>
                <w:szCs w:val="24"/>
              </w:rPr>
            </w:pPr>
          </w:p>
          <w:p w:rsidR="00E239CD" w:rsidRPr="00457F36" w:rsidRDefault="00E239CD" w:rsidP="00BF152F">
            <w:pPr>
              <w:pStyle w:val="Normlny0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 xml:space="preserve">§ </w:t>
            </w:r>
            <w:r w:rsidR="00BF152F" w:rsidRPr="00457F36">
              <w:rPr>
                <w:sz w:val="24"/>
                <w:szCs w:val="24"/>
              </w:rPr>
              <w:t>4 ods. 1</w:t>
            </w:r>
          </w:p>
          <w:p w:rsidR="000C4F21" w:rsidRPr="00457F36" w:rsidRDefault="000C4F21" w:rsidP="00BF152F">
            <w:pPr>
              <w:pStyle w:val="Normlny0"/>
              <w:rPr>
                <w:sz w:val="24"/>
                <w:szCs w:val="24"/>
              </w:rPr>
            </w:pPr>
            <w:r w:rsidRPr="00457F36">
              <w:rPr>
                <w:sz w:val="24"/>
                <w:szCs w:val="24"/>
              </w:rPr>
              <w:t>písm. h)</w:t>
            </w: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BF152F">
            <w:pPr>
              <w:pStyle w:val="Normlny0"/>
              <w:rPr>
                <w:sz w:val="24"/>
                <w:szCs w:val="24"/>
              </w:rPr>
            </w:pPr>
          </w:p>
          <w:p w:rsidR="00324C77" w:rsidRPr="00457F36" w:rsidRDefault="00324C77" w:rsidP="00324C77">
            <w:pPr>
              <w:pStyle w:val="Normlny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lastRenderedPageBreak/>
              <w:t xml:space="preserve">(1) Veriteľ alebo finančný agent je povinný v dostatočnom časovom predstihu pred uzavretím zmluvy o spotrebiteľskom úvere alebo pred prijatím ponuky o spotrebiteľskom úvere poskytnúť spotrebiteľovi v súlade so zmluvnými podmienkami ponúkanými veriteľom alebo požiadavkami spotrebiteľa informácie o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>a) druhu spotrebiteľského úveru,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b) veriteľovi, prípadne finančnom agentovi spotrebiteľského úveru, v rozsahu obchodné meno, sídlo a identifikačné číslo veriteľa, prípadne finančného agenta, ak ide o právnickú osobu, alebo meno, priezvisko, miesto podnikania alebo adresa trvalého pobytu a identifikačné číslo veriteľa alebo finančného agenta, ak ide o fyzickú osobu,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c) celkovej výške, konkrétnej mene ponúkaného spotrebiteľského úveru a podmienkach jeho čerpania,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>d) dobe trvania zmluvy o spotrebiteľskom úvere,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e) tovare alebo službe, na ktoré sa zmluva o spotrebiteľskom úvere vzťahuje, a o cene tovaru alebo poskytnutej služby, ak ide o spotrebiteľský úver vo forme odloženej platby za tovar alebo poskytnutú službu alebo o zmluvu o viazanom spotrebiteľskom úvere,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f) úrokovej sadzbe spotrebiteľského úveru, podmienkach, ktoré upravujú jej uplatňovanie, indexe alebo referenčnej úrokovej sadzbe, na ktorý je výška úrokovej sadzby spotrebiteľského úveru naviazaná, ako aj o časových obdobiach, v ktorých dochádza k zmene výšky úrokovej sadzby spotrebiteľského úveru, podmienkach a spôsobe vykonania tejto zmeny; ak sa za rôznych podmienok uplatňujú rôzne úrokové sadzby spotrebiteľského úveru, uvádzajú sa tieto informácie o všetkých uplatniteľných úrokových sadzbách spotrebiteľského úveru,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g) celkovej čiastke, ktorú musí spotrebiteľ zaplatiť, a o ročnej percentuálnej miere nákladov znázornenej pomocou reprezentatívneho príkladu, v ktorom sa uvedú všetky predpoklady použité na výpočet tejto ročnej percentuálnej miery nákladov; pri poskytovaní týchto informácií je veriteľ povinný zohľadniť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1. návrh podmienok poskytnutia spotrebiteľského úveru, ktoré </w:t>
            </w:r>
            <w:r w:rsidRPr="00457F36">
              <w:lastRenderedPageBreak/>
              <w:t xml:space="preserve">veriteľovi oznámil spotrebiteľ, vrátane dĺžky trvania zmluvy o spotrebiteľskom úvere a celkovú výšku spotrebiteľského úveru,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2. či zmluva o spotrebiteľskom úvere umožňuje rozličné spôsoby čerpania spotrebiteľského úveru s rôznymi poplatkami alebo úrokovými sadzbami spotrebiteľského úveru a veriteľ používa predpoklad uvedený v prílohe č. 2 časti II písm. b); v takom prípade musí veriteľ uviesť, že iné mechanizmy čerpania spotrebiteľského úveru môžu viesť k vyššej ročnej percentuálnej miere nákladov,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h) výške, počte, </w:t>
            </w:r>
            <w:r w:rsidRPr="00457F36">
              <w:rPr>
                <w:b/>
              </w:rPr>
              <w:t>frekvencii splátok a</w:t>
            </w:r>
            <w:r w:rsidRPr="00457F36">
              <w:t xml:space="preserve"> prípadne o poradí, v ktorom sa budú splátky priraďovať k jednotlivým nesplateným zostatkom s rôznymi úrokovými sadzbami spotrebiteľského úveru na účely jeho splatenia,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i) poplatkoch za vedenie jedného alebo viacerých účtov, na ktorých sa zaznamenávajú platobné operácie a čerpania, ak je otvorenie účtu povinné, o poplatkoch za používanie platobných prostriedkov na platobné operácie a čerpania, iných poplatkoch vyplývajúcich zo zmluvy o spotrebiteľskom úvere a o podmienkach, za ktorých sa tieto poplatky môžu zmeniť, </w:t>
            </w: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j) výške poplatkov hradených spotrebiteľom za úkony notára pri uzavretí zmluvy o spotrebiteľskom úvere, ak sú veriteľovi známe,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k) povinnosti uzavrieť poistnú zmluvu alebo zmluvu o zabezpečení záväzku spotrebiteľa podľa tohto zákona, ak uzavretie takejto zmluvy je povinné na získanie spotrebiteľského úveru alebo na jeho získanie za ponúkaných podmienok,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l) úrokovej sadzbe, ktorá sa použije v prípade omeškania spotrebiteľa s platením splátok, a spôsobe jej úpravy a prípadných poplatkoch pri neplnení zmluvy o spotrebiteľskom úvere,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 m) následkoch nesplácania spotrebiteľského úveru,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>n) veriteľom vyžadovanom zabezpečení alebo poistení,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>o) práve na odstúpenie od zmluvy o spotrebiteľskom úvere,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lastRenderedPageBreak/>
              <w:t xml:space="preserve">p) práve na splatenie spotrebiteľského úveru pred lehotou splatnosti, práve veriteľa na náhradu nákladov spojených so splatením spotrebiteľského úveru pred lehotou splatnosti a spôsobe určenia ich výšky,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q) práve spotrebiteľa na okamžité a bezplatné informácie o výsledku nahliadnutia veriteľa do príslušnej databázy na účely posúdenia jeho schopnosti splácať spotrebiteľský úver, </w:t>
            </w:r>
          </w:p>
          <w:p w:rsidR="00BF152F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r) práve spotrebiteľa dostať na vlastnú žiadosť a bezplatne jedno vyhotovenie návrhu zmluvy o spotrebiteľskom úvere, </w:t>
            </w: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2371E4" w:rsidRPr="00457F36" w:rsidRDefault="002371E4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E239CD" w:rsidRPr="00457F36" w:rsidRDefault="00BF152F" w:rsidP="00BF152F">
            <w:pPr>
              <w:tabs>
                <w:tab w:val="left" w:pos="220"/>
              </w:tabs>
              <w:autoSpaceDE/>
              <w:autoSpaceDN/>
              <w:jc w:val="both"/>
            </w:pPr>
            <w:r w:rsidRPr="00457F36">
              <w:t xml:space="preserve">s) dobe, počas ktorej je veriteľ viazaný informáciami poskytovanými pred uzavretím zmluvy o spotrebiteľskom úvere. </w:t>
            </w:r>
          </w:p>
          <w:p w:rsidR="00324C77" w:rsidRPr="00457F36" w:rsidRDefault="00324C77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  <w:p w:rsidR="00623041" w:rsidRPr="00457F36" w:rsidRDefault="00623041" w:rsidP="00BF152F">
            <w:pPr>
              <w:tabs>
                <w:tab w:val="left" w:pos="220"/>
              </w:tabs>
              <w:autoSpaceDE/>
              <w:autoSpaceDN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CD" w:rsidRPr="00457F36" w:rsidRDefault="00E239CD" w:rsidP="00E239CD">
            <w:pPr>
              <w:jc w:val="center"/>
            </w:pPr>
            <w:r w:rsidRPr="00457F36">
              <w:lastRenderedPageBreak/>
              <w:t>Ú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39CD" w:rsidRPr="00457F36" w:rsidRDefault="00E239CD" w:rsidP="00E239CD">
            <w:pPr>
              <w:pStyle w:val="Nadpis1"/>
              <w:rPr>
                <w:b w:val="0"/>
                <w:bCs w:val="0"/>
              </w:rPr>
            </w:pPr>
          </w:p>
        </w:tc>
      </w:tr>
    </w:tbl>
    <w:p w:rsidR="008C54C3" w:rsidRPr="00457F36" w:rsidRDefault="008C54C3">
      <w:pPr>
        <w:autoSpaceDE/>
        <w:autoSpaceDN/>
        <w:rPr>
          <w:sz w:val="20"/>
          <w:szCs w:val="20"/>
        </w:rPr>
      </w:pPr>
      <w:r w:rsidRPr="00457F36">
        <w:rPr>
          <w:sz w:val="20"/>
          <w:szCs w:val="20"/>
        </w:rPr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457F3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57F36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57F36">
              <w:rPr>
                <w:lang w:eastAsia="sk-SK"/>
              </w:rPr>
              <w:t>V stĺpci (1):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Č – článok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O – odsek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V – veta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 xml:space="preserve">P – </w:t>
            </w:r>
            <w:r w:rsidR="00DA0F6C" w:rsidRPr="00457F36">
              <w:rPr>
                <w:sz w:val="20"/>
                <w:szCs w:val="20"/>
              </w:rPr>
              <w:t>číslo</w:t>
            </w:r>
            <w:r w:rsidRPr="00457F36">
              <w:rPr>
                <w:sz w:val="20"/>
                <w:szCs w:val="20"/>
              </w:rPr>
              <w:t xml:space="preserve"> (</w:t>
            </w:r>
            <w:r w:rsidR="00DA0F6C" w:rsidRPr="00457F36">
              <w:rPr>
                <w:sz w:val="20"/>
                <w:szCs w:val="20"/>
              </w:rPr>
              <w:t>písmeno</w:t>
            </w:r>
            <w:r w:rsidRPr="00457F36">
              <w:rPr>
                <w:sz w:val="20"/>
                <w:szCs w:val="20"/>
              </w:rPr>
              <w:t>)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57F36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57F36">
              <w:rPr>
                <w:lang w:eastAsia="sk-SK"/>
              </w:rPr>
              <w:t>V stĺpci (3):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N – bežná transpozícia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O – transpozícia s možnosťou voľby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D – transpozícia podľa úvahy (dobrovoľná)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57F36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57F36">
              <w:rPr>
                <w:lang w:eastAsia="sk-SK"/>
              </w:rPr>
              <w:t>V stĺpci (5):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Č – článok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§ – paragraf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O – odsek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V – veta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57F36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57F36">
              <w:rPr>
                <w:lang w:eastAsia="sk-SK"/>
              </w:rPr>
              <w:t>V stĺpci (7):</w:t>
            </w:r>
          </w:p>
          <w:p w:rsidR="008C54C3" w:rsidRPr="00457F36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457F36">
              <w:rPr>
                <w:sz w:val="20"/>
                <w:szCs w:val="20"/>
              </w:rPr>
              <w:t>e</w:t>
            </w:r>
            <w:r w:rsidRPr="00457F36">
              <w:rPr>
                <w:sz w:val="20"/>
                <w:szCs w:val="20"/>
              </w:rPr>
              <w:t>, so zabezpečenou inštitucionálnou</w:t>
            </w:r>
            <w:r w:rsidR="000C2E53" w:rsidRPr="00457F36">
              <w:rPr>
                <w:sz w:val="20"/>
                <w:szCs w:val="20"/>
              </w:rPr>
              <w:t xml:space="preserve"> </w:t>
            </w:r>
            <w:r w:rsidRPr="00457F36">
              <w:rPr>
                <w:sz w:val="20"/>
                <w:szCs w:val="20"/>
              </w:rPr>
              <w:t xml:space="preserve"> </w:t>
            </w:r>
            <w:r w:rsidR="000C2E53" w:rsidRPr="00457F36">
              <w:rPr>
                <w:sz w:val="20"/>
                <w:szCs w:val="20"/>
              </w:rPr>
              <w:t>i</w:t>
            </w:r>
            <w:r w:rsidRPr="00457F36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57F36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57F36" w:rsidRDefault="008C54C3">
            <w:pPr>
              <w:pStyle w:val="Zarkazkladnhotextu2"/>
            </w:pPr>
            <w:r w:rsidRPr="00457F36">
              <w:t>Ž – žiadna zhoda (ak nebola dosiahnutá ani úplná ani čiast. zhoda alebo k prebratiu dôjde v budúcnosti)</w:t>
            </w:r>
          </w:p>
          <w:p w:rsidR="008C54C3" w:rsidRPr="00457F36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57F36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57F36" w:rsidRDefault="008C54C3">
      <w:pPr>
        <w:autoSpaceDE/>
        <w:autoSpaceDN/>
      </w:pPr>
    </w:p>
    <w:p w:rsidR="008C54C3" w:rsidRPr="00457F36" w:rsidRDefault="008C54C3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8C54C3" w:rsidRPr="00457F36" w:rsidSect="00BF152F">
      <w:footerReference w:type="default" r:id="rId8"/>
      <w:pgSz w:w="16838" w:h="11906" w:orient="landscape" w:code="9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1C" w:rsidRDefault="002D2A1C">
      <w:r>
        <w:separator/>
      </w:r>
    </w:p>
  </w:endnote>
  <w:endnote w:type="continuationSeparator" w:id="0">
    <w:p w:rsidR="002D2A1C" w:rsidRDefault="002D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E5D" w:rsidRDefault="00CB2E5D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7074C">
      <w:rPr>
        <w:rStyle w:val="slostrany"/>
        <w:noProof/>
      </w:rPr>
      <w:t>2</w:t>
    </w:r>
    <w:r>
      <w:rPr>
        <w:rStyle w:val="slostrany"/>
      </w:rPr>
      <w:fldChar w:fldCharType="end"/>
    </w:r>
  </w:p>
  <w:p w:rsidR="00CB2E5D" w:rsidRDefault="00CB2E5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1C" w:rsidRDefault="002D2A1C">
      <w:r>
        <w:separator/>
      </w:r>
    </w:p>
  </w:footnote>
  <w:footnote w:type="continuationSeparator" w:id="0">
    <w:p w:rsidR="002D2A1C" w:rsidRDefault="002D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1532E"/>
    <w:multiLevelType w:val="hybridMultilevel"/>
    <w:tmpl w:val="A540F8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A4B4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F477580"/>
    <w:multiLevelType w:val="hybridMultilevel"/>
    <w:tmpl w:val="E6BC4DE8"/>
    <w:lvl w:ilvl="0" w:tplc="470294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73AAC1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AA451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0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9"/>
  </w:num>
  <w:num w:numId="4">
    <w:abstractNumId w:val="9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10F49"/>
    <w:rsid w:val="00087CF5"/>
    <w:rsid w:val="000B332B"/>
    <w:rsid w:val="000B5C90"/>
    <w:rsid w:val="000C2E53"/>
    <w:rsid w:val="000C4F21"/>
    <w:rsid w:val="000E68BD"/>
    <w:rsid w:val="00127033"/>
    <w:rsid w:val="00153B33"/>
    <w:rsid w:val="0017074C"/>
    <w:rsid w:val="001D49F9"/>
    <w:rsid w:val="001E7D96"/>
    <w:rsid w:val="00200C12"/>
    <w:rsid w:val="00217BF4"/>
    <w:rsid w:val="002371E4"/>
    <w:rsid w:val="00256C0A"/>
    <w:rsid w:val="00270E65"/>
    <w:rsid w:val="00276C25"/>
    <w:rsid w:val="00280C42"/>
    <w:rsid w:val="00281632"/>
    <w:rsid w:val="002A422D"/>
    <w:rsid w:val="002D0BBF"/>
    <w:rsid w:val="002D1850"/>
    <w:rsid w:val="002D2A1C"/>
    <w:rsid w:val="002E1D16"/>
    <w:rsid w:val="00301EF9"/>
    <w:rsid w:val="00302BB0"/>
    <w:rsid w:val="00324C77"/>
    <w:rsid w:val="00324F99"/>
    <w:rsid w:val="00327E63"/>
    <w:rsid w:val="00391DC5"/>
    <w:rsid w:val="00394143"/>
    <w:rsid w:val="003B12D8"/>
    <w:rsid w:val="003E67E3"/>
    <w:rsid w:val="003E7B78"/>
    <w:rsid w:val="00411B19"/>
    <w:rsid w:val="00417D01"/>
    <w:rsid w:val="00424270"/>
    <w:rsid w:val="004358C6"/>
    <w:rsid w:val="00440A2A"/>
    <w:rsid w:val="004577EC"/>
    <w:rsid w:val="00457F36"/>
    <w:rsid w:val="004C39C8"/>
    <w:rsid w:val="004C4E86"/>
    <w:rsid w:val="004F2191"/>
    <w:rsid w:val="00501027"/>
    <w:rsid w:val="005170A9"/>
    <w:rsid w:val="00565CAE"/>
    <w:rsid w:val="005947B8"/>
    <w:rsid w:val="005A00F5"/>
    <w:rsid w:val="005B3AD4"/>
    <w:rsid w:val="005D775A"/>
    <w:rsid w:val="005E0477"/>
    <w:rsid w:val="005E147F"/>
    <w:rsid w:val="005F2C49"/>
    <w:rsid w:val="00623041"/>
    <w:rsid w:val="0064397E"/>
    <w:rsid w:val="00656B18"/>
    <w:rsid w:val="00657B83"/>
    <w:rsid w:val="00683A6B"/>
    <w:rsid w:val="0068771C"/>
    <w:rsid w:val="006B6209"/>
    <w:rsid w:val="006E3918"/>
    <w:rsid w:val="006E689D"/>
    <w:rsid w:val="007134D7"/>
    <w:rsid w:val="00770EFC"/>
    <w:rsid w:val="0078287E"/>
    <w:rsid w:val="0079768E"/>
    <w:rsid w:val="007C5B40"/>
    <w:rsid w:val="00804D33"/>
    <w:rsid w:val="0083025F"/>
    <w:rsid w:val="00853A89"/>
    <w:rsid w:val="008636B5"/>
    <w:rsid w:val="0089291F"/>
    <w:rsid w:val="008935A5"/>
    <w:rsid w:val="008A0B4B"/>
    <w:rsid w:val="008A5161"/>
    <w:rsid w:val="008C54C3"/>
    <w:rsid w:val="008D6ABB"/>
    <w:rsid w:val="0091636B"/>
    <w:rsid w:val="00922EAB"/>
    <w:rsid w:val="0094486F"/>
    <w:rsid w:val="009612CE"/>
    <w:rsid w:val="009719C2"/>
    <w:rsid w:val="009826E3"/>
    <w:rsid w:val="00990495"/>
    <w:rsid w:val="00992433"/>
    <w:rsid w:val="00992969"/>
    <w:rsid w:val="009C5E2D"/>
    <w:rsid w:val="009D55B1"/>
    <w:rsid w:val="00A02F9A"/>
    <w:rsid w:val="00A131D6"/>
    <w:rsid w:val="00A14127"/>
    <w:rsid w:val="00A14CA7"/>
    <w:rsid w:val="00A47BED"/>
    <w:rsid w:val="00A54ABB"/>
    <w:rsid w:val="00A5769A"/>
    <w:rsid w:val="00A6682A"/>
    <w:rsid w:val="00A77F1B"/>
    <w:rsid w:val="00A823F0"/>
    <w:rsid w:val="00A9063F"/>
    <w:rsid w:val="00A91B17"/>
    <w:rsid w:val="00A96CD8"/>
    <w:rsid w:val="00AA55DA"/>
    <w:rsid w:val="00AB7D27"/>
    <w:rsid w:val="00AD4DF5"/>
    <w:rsid w:val="00AF1CDE"/>
    <w:rsid w:val="00B24FEB"/>
    <w:rsid w:val="00B64B09"/>
    <w:rsid w:val="00B8039F"/>
    <w:rsid w:val="00BA7B72"/>
    <w:rsid w:val="00BB20AA"/>
    <w:rsid w:val="00BB5752"/>
    <w:rsid w:val="00BF152F"/>
    <w:rsid w:val="00C06BC0"/>
    <w:rsid w:val="00C139A5"/>
    <w:rsid w:val="00C21CEF"/>
    <w:rsid w:val="00C22C6A"/>
    <w:rsid w:val="00C307E6"/>
    <w:rsid w:val="00C32C8D"/>
    <w:rsid w:val="00C34E53"/>
    <w:rsid w:val="00C34EF5"/>
    <w:rsid w:val="00CB2E5D"/>
    <w:rsid w:val="00CD6CD3"/>
    <w:rsid w:val="00D05F7E"/>
    <w:rsid w:val="00D2186F"/>
    <w:rsid w:val="00D22A7B"/>
    <w:rsid w:val="00D74257"/>
    <w:rsid w:val="00D86E33"/>
    <w:rsid w:val="00DA0F6C"/>
    <w:rsid w:val="00DB6355"/>
    <w:rsid w:val="00DD61E5"/>
    <w:rsid w:val="00DE0F85"/>
    <w:rsid w:val="00DE2137"/>
    <w:rsid w:val="00DF5FBA"/>
    <w:rsid w:val="00E030B3"/>
    <w:rsid w:val="00E239CD"/>
    <w:rsid w:val="00E41B66"/>
    <w:rsid w:val="00EA1748"/>
    <w:rsid w:val="00EB4349"/>
    <w:rsid w:val="00EE7DD6"/>
    <w:rsid w:val="00F047A8"/>
    <w:rsid w:val="00F268FE"/>
    <w:rsid w:val="00F4080C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55656A-124A-4388-80E8-5956E9D1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Char1,Char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aliases w:val="Char1 Char,Char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uiPriority w:val="34"/>
    <w:qFormat/>
    <w:rsid w:val="00E030B3"/>
    <w:pPr>
      <w:autoSpaceDE/>
      <w:autoSpaceDN/>
      <w:ind w:left="720"/>
      <w:contextualSpacing/>
    </w:pPr>
  </w:style>
  <w:style w:type="character" w:styleId="Siln">
    <w:name w:val="Strong"/>
    <w:basedOn w:val="Predvolenpsmoodseku"/>
    <w:uiPriority w:val="99"/>
    <w:qFormat/>
    <w:rsid w:val="00E239CD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rsid w:val="00CD6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CD6CD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935A5"/>
    <w:rPr>
      <w:rFonts w:cs="Times New Roman"/>
      <w:color w:val="0000FF"/>
      <w:u w:val="single"/>
    </w:rPr>
  </w:style>
  <w:style w:type="character" w:customStyle="1" w:styleId="superscript">
    <w:name w:val="superscript"/>
    <w:rsid w:val="008935A5"/>
    <w:rPr>
      <w:sz w:val="17"/>
      <w:vertAlign w:val="superscript"/>
    </w:rPr>
  </w:style>
  <w:style w:type="paragraph" w:styleId="Revzia">
    <w:name w:val="Revision"/>
    <w:hidden/>
    <w:uiPriority w:val="99"/>
    <w:semiHidden/>
    <w:rsid w:val="00F268F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K/AUTO/?uri=celex:32008L0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Cirakova Lucia</cp:lastModifiedBy>
  <cp:revision>2</cp:revision>
  <cp:lastPrinted>2017-08-15T12:22:00Z</cp:lastPrinted>
  <dcterms:created xsi:type="dcterms:W3CDTF">2018-09-28T11:18:00Z</dcterms:created>
  <dcterms:modified xsi:type="dcterms:W3CDTF">2018-09-28T11:18:00Z</dcterms:modified>
</cp:coreProperties>
</file>