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BB" w:rsidRPr="00A274B1" w:rsidRDefault="00F62501" w:rsidP="004330E0">
      <w:pPr>
        <w:spacing w:after="0" w:line="240" w:lineRule="auto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ab/>
      </w:r>
    </w:p>
    <w:tbl>
      <w:tblPr>
        <w:tblStyle w:val="Mriekatabuky"/>
        <w:tblW w:w="9217" w:type="dxa"/>
        <w:jc w:val="center"/>
        <w:tblLayout w:type="fixed"/>
        <w:tblLook w:val="04A0" w:firstRow="1" w:lastRow="0" w:firstColumn="1" w:lastColumn="0" w:noHBand="0" w:noVBand="1"/>
      </w:tblPr>
      <w:tblGrid>
        <w:gridCol w:w="9217"/>
      </w:tblGrid>
      <w:tr w:rsidR="005066BB" w:rsidRPr="00A274B1" w:rsidTr="009B09A7">
        <w:trPr>
          <w:trHeight w:val="567"/>
          <w:jc w:val="center"/>
        </w:trPr>
        <w:tc>
          <w:tcPr>
            <w:tcW w:w="9217" w:type="dxa"/>
            <w:shd w:val="clear" w:color="auto" w:fill="D9D9D9"/>
          </w:tcPr>
          <w:p w:rsidR="005066BB" w:rsidRPr="00A274B1" w:rsidRDefault="005066BB" w:rsidP="004330E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 xml:space="preserve">Analýza vplyvov na podnikateľské prostredie </w:t>
            </w:r>
          </w:p>
          <w:p w:rsidR="005066BB" w:rsidRPr="00A274B1" w:rsidRDefault="005066BB" w:rsidP="004330E0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>(vrátane testu MSP)</w:t>
            </w:r>
          </w:p>
        </w:tc>
      </w:tr>
      <w:tr w:rsidR="005066BB" w:rsidRPr="00A274B1" w:rsidTr="009B09A7">
        <w:trPr>
          <w:trHeight w:val="567"/>
          <w:jc w:val="center"/>
        </w:trPr>
        <w:tc>
          <w:tcPr>
            <w:tcW w:w="9217" w:type="dxa"/>
            <w:shd w:val="clear" w:color="auto" w:fill="D9D9D9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>Materiál bude mať vplyv s ohľadom na veľkostnú kategóriu podnikov:</w:t>
            </w:r>
          </w:p>
        </w:tc>
      </w:tr>
      <w:tr w:rsidR="005066BB" w:rsidRPr="00A274B1" w:rsidTr="009B09A7">
        <w:trPr>
          <w:trHeight w:val="567"/>
          <w:jc w:val="center"/>
        </w:trPr>
        <w:tc>
          <w:tcPr>
            <w:tcW w:w="9217" w:type="dxa"/>
          </w:tcPr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066BB" w:rsidRPr="00A274B1" w:rsidTr="009B09A7">
              <w:tc>
                <w:tcPr>
                  <w:tcW w:w="436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  <w:r w:rsidRPr="00A274B1">
                    <w:rPr>
                      <w:rFonts w:ascii="Segoe UI Symbol" w:eastAsia="MS Mincho" w:hAnsi="Segoe UI Symbol" w:cs="Segoe UI Symbol"/>
                    </w:rPr>
                    <w:t>☐</w:t>
                  </w:r>
                </w:p>
              </w:tc>
              <w:tc>
                <w:tcPr>
                  <w:tcW w:w="8545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  <w:r w:rsidRPr="00A274B1">
                    <w:rPr>
                      <w:rFonts w:ascii="Arial Narrow" w:hAnsi="Arial Narrow"/>
                      <w:b/>
                    </w:rPr>
                    <w:t xml:space="preserve">iba na MSP (0 - 249 zamestnancov) </w:t>
                  </w:r>
                </w:p>
              </w:tc>
            </w:tr>
            <w:tr w:rsidR="005066BB" w:rsidRPr="00A274B1" w:rsidTr="009B09A7">
              <w:tc>
                <w:tcPr>
                  <w:tcW w:w="436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  <w:r w:rsidRPr="00A274B1">
                    <w:rPr>
                      <w:rFonts w:ascii="Segoe UI Symbol" w:eastAsia="MS Gothic" w:hAnsi="Segoe UI Symbol" w:cs="Segoe UI Symbol"/>
                    </w:rPr>
                    <w:t>☒</w:t>
                  </w:r>
                </w:p>
              </w:tc>
              <w:tc>
                <w:tcPr>
                  <w:tcW w:w="8545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  <w:b/>
                    </w:rPr>
                  </w:pPr>
                  <w:r w:rsidRPr="00A274B1">
                    <w:rPr>
                      <w:rFonts w:ascii="Arial Narrow" w:hAnsi="Arial Narrow"/>
                      <w:b/>
                    </w:rPr>
                    <w:t>iba na veľké podniky (250 a viac zamestnancov)</w:t>
                  </w:r>
                </w:p>
              </w:tc>
            </w:tr>
            <w:tr w:rsidR="005066BB" w:rsidRPr="00A274B1" w:rsidTr="009B09A7">
              <w:tc>
                <w:tcPr>
                  <w:tcW w:w="436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  <w:r w:rsidRPr="00A274B1">
                    <w:rPr>
                      <w:rFonts w:ascii="Segoe UI Symbol" w:eastAsia="MS Gothic" w:hAnsi="Segoe UI Symbol" w:cs="Segoe UI Symbol"/>
                    </w:rPr>
                    <w:t>☐</w:t>
                  </w:r>
                </w:p>
              </w:tc>
              <w:tc>
                <w:tcPr>
                  <w:tcW w:w="8545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A274B1">
                    <w:rPr>
                      <w:rFonts w:ascii="Arial Narrow" w:hAnsi="Arial Narrow"/>
                      <w:b/>
                    </w:rPr>
                    <w:t>na všetky kategórie podnikov</w:t>
                  </w:r>
                </w:p>
              </w:tc>
            </w:tr>
          </w:tbl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  <w:shd w:val="clear" w:color="auto" w:fill="D9D9D9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>3.1 Dotknuté podnikateľské subjekty</w:t>
            </w:r>
          </w:p>
          <w:p w:rsidR="005066BB" w:rsidRPr="00A274B1" w:rsidRDefault="005066BB" w:rsidP="004330E0">
            <w:pPr>
              <w:spacing w:after="0" w:line="240" w:lineRule="auto"/>
              <w:ind w:left="284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</w:rPr>
              <w:t xml:space="preserve"> - </w:t>
            </w:r>
            <w:r w:rsidRPr="00A274B1">
              <w:rPr>
                <w:rFonts w:ascii="Arial Narrow" w:hAnsi="Arial Narrow"/>
                <w:b/>
              </w:rPr>
              <w:t>z toho MSP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Uveďte, aké podnikateľské subjekty budú predkladaným návrhom ovplyvnené.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Aký je ich počet?</w:t>
            </w:r>
          </w:p>
        </w:tc>
      </w:tr>
      <w:tr w:rsidR="005066BB" w:rsidRPr="00A274B1" w:rsidTr="00AC7E02">
        <w:trPr>
          <w:trHeight w:val="925"/>
          <w:jc w:val="center"/>
        </w:trPr>
        <w:tc>
          <w:tcPr>
            <w:tcW w:w="9217" w:type="dxa"/>
          </w:tcPr>
          <w:p w:rsidR="00F12143" w:rsidRPr="00B64447" w:rsidRDefault="00F12143" w:rsidP="00BF551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Pridanie nového parametra „viacročných nákladových skupín“ do prerozdeľovacieho mechanizmu a vypustenie parametra „nadlimitná suma“ bude mať negatívny vplyv </w:t>
            </w:r>
            <w:r w:rsidR="00762715">
              <w:rPr>
                <w:rFonts w:ascii="Arial Narrow" w:hAnsi="Arial Narrow"/>
              </w:rPr>
              <w:t xml:space="preserve">na príjmy súkromných poisťovní </w:t>
            </w:r>
            <w:r w:rsidR="00AC7E02">
              <w:rPr>
                <w:rFonts w:ascii="Arial Narrow" w:hAnsi="Arial Narrow"/>
              </w:rPr>
              <w:t>vo výške cca 8</w:t>
            </w:r>
            <w:r>
              <w:rPr>
                <w:rFonts w:ascii="Arial Narrow" w:hAnsi="Arial Narrow"/>
              </w:rPr>
              <w:t xml:space="preserve"> mil. eur.</w:t>
            </w:r>
          </w:p>
          <w:p w:rsidR="006D67A3" w:rsidRDefault="00AC7E02" w:rsidP="00AC7E0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zdravotné poisťovne (3)</w:t>
            </w:r>
          </w:p>
          <w:p w:rsidR="004C54AB" w:rsidRPr="00491D30" w:rsidRDefault="004C54AB" w:rsidP="004C54AB">
            <w:pPr>
              <w:spacing w:after="0" w:line="240" w:lineRule="auto"/>
              <w:rPr>
                <w:rFonts w:ascii="Arial Narrow" w:hAnsi="Arial Narrow" w:cs="Times"/>
                <w:bCs/>
              </w:rPr>
            </w:pPr>
            <w:r w:rsidRPr="00491D30">
              <w:rPr>
                <w:rFonts w:ascii="Arial Narrow" w:hAnsi="Arial Narrow" w:cs="Times"/>
                <w:bCs/>
              </w:rPr>
              <w:t xml:space="preserve">Základným predpokladom prerozdeľovania poistného je snaha o predikciu budúcich nákladov, na základe ktorých je vybrané poistné prerozdeľované medzi zdravotné poisťovne. Čím vyššia je predikčná sila modelu, tým presnejšie definujeme budúce náklady jednotlivých poistencov. </w:t>
            </w:r>
          </w:p>
          <w:p w:rsidR="004C54AB" w:rsidRPr="00491D30" w:rsidRDefault="004C54AB" w:rsidP="004C54AB">
            <w:pPr>
              <w:spacing w:after="0" w:line="240" w:lineRule="auto"/>
              <w:rPr>
                <w:rFonts w:ascii="Arial Narrow" w:hAnsi="Arial Narrow" w:cs="Times"/>
                <w:bCs/>
              </w:rPr>
            </w:pPr>
            <w:r w:rsidRPr="00491D30">
              <w:rPr>
                <w:rFonts w:ascii="Arial Narrow" w:hAnsi="Arial Narrow" w:cs="Times"/>
                <w:bCs/>
              </w:rPr>
              <w:t xml:space="preserve">Z tohto dôvodu bol do prerozdeľovacieho mechanizmu doplnený dodatočný parameter a to výška nákladov na poistenca za predchádzajúce obdobie (2-3 roky). V zahraničí sa tento parameter ukázal ako veľmi spoľahlivý. Na základe predbežných analýz je dopad na predikčnú silu modelu na úrovni 8 percentuálnych bodov, čo pri súčasnej hodnote približne 17% predstavuje významný posun k spravodlivejšiemu a presnejšiemu prerozdeleniu. </w:t>
            </w:r>
          </w:p>
          <w:p w:rsidR="004C54AB" w:rsidRPr="00491D30" w:rsidRDefault="004C54AB" w:rsidP="004C54AB">
            <w:pPr>
              <w:spacing w:after="0" w:line="240" w:lineRule="auto"/>
              <w:rPr>
                <w:rFonts w:ascii="Arial Narrow" w:hAnsi="Arial Narrow" w:cs="Times"/>
                <w:bCs/>
              </w:rPr>
            </w:pPr>
            <w:r w:rsidRPr="00491D30">
              <w:rPr>
                <w:rFonts w:ascii="Arial Narrow" w:hAnsi="Arial Narrow" w:cs="Times"/>
                <w:bCs/>
              </w:rPr>
              <w:t xml:space="preserve">Pre účely zvýšenia predikčnej sily prerozďelovacieho modelu dochádza pri vekovej skupine 0 – 5 rokov k osobitnému vyčleneniu skupiny 0 – 1 rokov a k osobitnému sledovaniu nákladov tejto skupiny, nakoľko z pohľadu nákladovosti tejto skupiny sa skupina javí ako významná. </w:t>
            </w:r>
          </w:p>
          <w:p w:rsidR="004C54AB" w:rsidRPr="00491D30" w:rsidRDefault="004C54AB" w:rsidP="004C54AB">
            <w:pPr>
              <w:spacing w:after="0" w:line="240" w:lineRule="auto"/>
              <w:rPr>
                <w:rFonts w:ascii="Arial Narrow" w:hAnsi="Arial Narrow" w:cs="Times"/>
                <w:bCs/>
              </w:rPr>
            </w:pPr>
            <w:r w:rsidRPr="00491D30">
              <w:rPr>
                <w:rFonts w:ascii="Arial Narrow" w:hAnsi="Arial Narrow" w:cs="Times"/>
                <w:bCs/>
              </w:rPr>
              <w:t xml:space="preserve">Zároveň sa tiež z dôvodu zvýšenia predikčnej sily modelu prerozdelenia zavádzajú viacročné nákladové skupiny, pre ktoré sa budú určovať osobitné indexy rizika nákladov a do ktorých budú poistenci zaraďovaní v závislosti od histórie ich nákladov na zdravotnú starostlivosť za predchádzajúce 3 roky. Zdravotné poisťovne a Úrad pre dohľad nad zdravotnou starostlivosťou budú môcť navrhovať zmeny v štruktúre týchto skupín; zmeny budú akceptované, ak zvýšia predpovedaciu silu prerozdelenia minimálne o 1%. </w:t>
            </w:r>
          </w:p>
          <w:p w:rsidR="004C54AB" w:rsidRPr="00491D30" w:rsidRDefault="004C54AB" w:rsidP="004C54AB">
            <w:pPr>
              <w:spacing w:after="0" w:line="240" w:lineRule="auto"/>
              <w:rPr>
                <w:rFonts w:ascii="Arial Narrow" w:hAnsi="Arial Narrow" w:cs="Times"/>
                <w:bCs/>
              </w:rPr>
            </w:pPr>
            <w:r w:rsidRPr="00491D30">
              <w:rPr>
                <w:rFonts w:ascii="Arial Narrow" w:hAnsi="Arial Narrow" w:cs="Times"/>
                <w:bCs/>
              </w:rPr>
              <w:t>Práve implementácia výšky historických nákladov do mechanizmu predstavuje hlavný dôvod na vypnutie nadlimitného prerozdelenia, ktorý sa z tohto dôvodu návrhom zákona vypúšťa, keďže vo svojej podstate majú oba faktory eliminovať rovnaké riziko. Jediným rozdielom je, že v prípade ex-ante prerozdelenia nedochádza k takému pokriveniu efektivity nákupu zdravotnej starostlivosti, aké hrozí v prípade ex-post prerozdelenia.</w:t>
            </w:r>
          </w:p>
          <w:p w:rsidR="004C54AB" w:rsidRPr="00491D30" w:rsidRDefault="004C54AB" w:rsidP="004C54AB">
            <w:pPr>
              <w:spacing w:after="0" w:line="240" w:lineRule="auto"/>
              <w:rPr>
                <w:rFonts w:ascii="Arial Narrow" w:hAnsi="Arial Narrow" w:cs="Times"/>
                <w:bCs/>
              </w:rPr>
            </w:pPr>
            <w:r w:rsidRPr="00491D30">
              <w:rPr>
                <w:rFonts w:ascii="Arial Narrow" w:hAnsi="Arial Narrow" w:cs="Times"/>
                <w:bCs/>
              </w:rPr>
              <w:t xml:space="preserve">V prípade dodatočného prerozdelenia nadlimitnej sumy však nešlo o zvýšenie predikčnej sily prerozdeľovacieho mechanizmu, ale o tzv. ex-post prerozdelenie, na základe ktorého bolo eliminované riziko zdravotných poisťovní, vyplývajúce z príliš vysokých nákladov na individuálnych poistencov, ktoré nebolo kryté súčasným modelom (kombinácia demografických faktorov populácie a chronicita ochorení jednotlivých poistencov). Nedostatkom ex-post prerozdelenia je, že môže viesť k plytvaniu disponibilných zdrojov, keďže sú zdravotné poisťovne motivované hradiť akúkoľvek aditívnu starostlivosť pre svojich „nadlimitných“ poistencov, na úkor starostlivosti pre poistencov, ktorí do tejto skupiny nespadajú. </w:t>
            </w:r>
          </w:p>
          <w:p w:rsidR="004C54AB" w:rsidRPr="00E1469C" w:rsidRDefault="004C54AB" w:rsidP="004C54A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91D30">
              <w:rPr>
                <w:rFonts w:ascii="Arial Narrow" w:hAnsi="Arial Narrow" w:cs="Times"/>
                <w:bCs/>
              </w:rPr>
              <w:t>Dopad navrhovaného nového parametra „viacročných nákladových skupín“ a vypustenie parametra „nadlimitnej sumy“ prináša cca viac o 8 mil. eur pre chronicky chorých a nákladných poistencov.</w:t>
            </w:r>
          </w:p>
        </w:tc>
      </w:tr>
      <w:tr w:rsidR="005066BB" w:rsidRPr="00A274B1" w:rsidTr="009B09A7">
        <w:trPr>
          <w:trHeight w:val="339"/>
          <w:jc w:val="center"/>
        </w:trPr>
        <w:tc>
          <w:tcPr>
            <w:tcW w:w="9217" w:type="dxa"/>
            <w:shd w:val="clear" w:color="auto" w:fill="D9D9D9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>3.2 Vyhodnotenie konz</w:t>
            </w:r>
            <w:r w:rsidR="00E1469C">
              <w:rPr>
                <w:rFonts w:ascii="Arial Narrow" w:hAnsi="Arial Narrow"/>
                <w:b/>
              </w:rPr>
              <w:t>u</w:t>
            </w:r>
            <w:r w:rsidRPr="00A274B1">
              <w:rPr>
                <w:rFonts w:ascii="Arial Narrow" w:hAnsi="Arial Narrow"/>
                <w:b/>
              </w:rPr>
              <w:t>ltácií</w:t>
            </w:r>
          </w:p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</w:rPr>
              <w:t xml:space="preserve">       - </w:t>
            </w:r>
            <w:r w:rsidRPr="00A274B1">
              <w:rPr>
                <w:rFonts w:ascii="Arial Narrow" w:hAnsi="Arial Narrow"/>
                <w:b/>
              </w:rPr>
              <w:t>z toho MSP</w:t>
            </w:r>
          </w:p>
        </w:tc>
      </w:tr>
      <w:tr w:rsidR="005066BB" w:rsidRPr="00A274B1" w:rsidTr="009B09A7">
        <w:trPr>
          <w:trHeight w:val="557"/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Uveďte, akou formou (verejné alebo cielené konzultácie a prečo) a s kým bol návrh konzultovaný.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Ako dlho trvali konzultácie?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 xml:space="preserve">Uveďte hlavné body konzultácií a výsledky konzultácií. </w:t>
            </w:r>
          </w:p>
        </w:tc>
      </w:tr>
      <w:tr w:rsidR="005066BB" w:rsidRPr="00A274B1" w:rsidTr="009B09A7">
        <w:trPr>
          <w:trHeight w:val="548"/>
          <w:jc w:val="center"/>
        </w:trPr>
        <w:tc>
          <w:tcPr>
            <w:tcW w:w="9217" w:type="dxa"/>
          </w:tcPr>
          <w:p w:rsidR="005066BB" w:rsidRPr="00A274B1" w:rsidRDefault="00E1469C" w:rsidP="004330E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Konzultácie prebiehali so zdravotnými poisťovňami, Úradom pre dohľad nad zdravotnou starostlivosťou. Výsledkom je dohoda na znení návrhu zákona.</w:t>
            </w:r>
            <w:r w:rsidR="005066BB" w:rsidRPr="00A274B1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  <w:shd w:val="clear" w:color="auto" w:fill="D9D9D9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>3.3 Náklady regulácie</w:t>
            </w:r>
          </w:p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</w:rPr>
              <w:t xml:space="preserve">    - </w:t>
            </w:r>
            <w:r w:rsidRPr="00A274B1">
              <w:rPr>
                <w:rFonts w:ascii="Arial Narrow" w:hAnsi="Arial Narrow"/>
                <w:b/>
              </w:rPr>
              <w:t>z toho MSP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A274B1">
              <w:rPr>
                <w:rFonts w:ascii="Arial Narrow" w:hAnsi="Arial Narrow"/>
                <w:b/>
                <w:i/>
              </w:rPr>
              <w:lastRenderedPageBreak/>
              <w:t>3.3.1 Priame finančné náklady</w:t>
            </w:r>
          </w:p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AC7E02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A274B1">
              <w:rPr>
                <w:rFonts w:ascii="Arial Narrow" w:hAnsi="Arial Narrow"/>
                <w:color w:val="000000"/>
              </w:rPr>
              <w:t>K zvýšeniu priamych finančných nákladov (poplatky, odvody, dane clá...) nedochádza.</w:t>
            </w:r>
            <w:r w:rsidR="00E1469C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A274B1">
              <w:rPr>
                <w:rFonts w:ascii="Arial Narrow" w:hAnsi="Arial Narrow"/>
                <w:b/>
                <w:i/>
              </w:rPr>
              <w:t>3.3.2 Nepriame finančné náklady</w:t>
            </w:r>
          </w:p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Vyžaduje si predkladaný návrh dodatočné náklady na nákup tovarov alebo služieb? Zvyšuje predkladaný návrh náklady súvisiace so zamestnávaním? Ak áno, popíšte a vyčíslite ich. Uveďte tiež spôsob ich výpočtu.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A274B1">
              <w:rPr>
                <w:rFonts w:ascii="Arial Narrow" w:hAnsi="Arial Narrow"/>
                <w:color w:val="000000"/>
              </w:rPr>
              <w:t>Návrh nevyžaduje vyššie dodatočné náklady pre podnikateľov.</w:t>
            </w:r>
          </w:p>
          <w:p w:rsidR="005066BB" w:rsidRPr="00A274B1" w:rsidRDefault="005066BB" w:rsidP="00E1469C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</w:rPr>
            </w:pP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A274B1">
              <w:rPr>
                <w:rFonts w:ascii="Arial Narrow" w:hAnsi="Arial Narrow"/>
                <w:b/>
                <w:i/>
              </w:rPr>
              <w:t>3.3.3 Administratívne náklady</w:t>
            </w:r>
          </w:p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6D67A3" w:rsidRDefault="002E3C64" w:rsidP="00BF5512">
            <w:pPr>
              <w:keepNext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Zdravotné poisťovne si budú musieť upraviť informačné systémy. Výpočet nákladov na zmenu informačných systémov nie je možné, nakoľko každá zdravotná poisťovňa má uzatvorenú zmluvu s iným dodávateľom a nám nie sú známe podrobnosti týchto zmlúv. </w:t>
            </w:r>
            <w:r w:rsidR="006D67A3" w:rsidRPr="00B64447">
              <w:rPr>
                <w:rFonts w:ascii="Arial Narrow" w:hAnsi="Arial Narrow"/>
              </w:rPr>
              <w:t>Akékoľvek administratívne náklady zdravotné poisťovne vykryjú z</w:t>
            </w:r>
            <w:r>
              <w:rPr>
                <w:rFonts w:ascii="Arial Narrow" w:hAnsi="Arial Narrow"/>
              </w:rPr>
              <w:t>o zdrojov určených na správu</w:t>
            </w:r>
            <w:r w:rsidR="006D67A3" w:rsidRPr="00B64447">
              <w:rPr>
                <w:rFonts w:ascii="Arial Narrow" w:hAnsi="Arial Narrow"/>
              </w:rPr>
              <w:t>.</w:t>
            </w:r>
          </w:p>
          <w:p w:rsidR="005066BB" w:rsidRPr="00A274B1" w:rsidRDefault="005066BB" w:rsidP="00AC7E02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</w:rPr>
            </w:pPr>
          </w:p>
        </w:tc>
      </w:tr>
      <w:tr w:rsidR="005066BB" w:rsidRPr="00A274B1" w:rsidTr="009B09A7">
        <w:trPr>
          <w:trHeight w:val="2318"/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b/>
                <w:i/>
              </w:rPr>
              <w:t>3.3.4 Súhrnná tabuľka nákladov regulácie</w:t>
            </w:r>
          </w:p>
          <w:tbl>
            <w:tblPr>
              <w:tblStyle w:val="Mriekatabuky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5066BB" w:rsidRPr="00A274B1" w:rsidTr="009B09A7">
              <w:tc>
                <w:tcPr>
                  <w:tcW w:w="2993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Náklady na celé podnikateľské prostredie</w:t>
                  </w:r>
                </w:p>
              </w:tc>
            </w:tr>
            <w:tr w:rsidR="005066BB" w:rsidRPr="00A274B1" w:rsidTr="009B09A7">
              <w:tc>
                <w:tcPr>
                  <w:tcW w:w="2993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0</w:t>
                  </w:r>
                </w:p>
              </w:tc>
            </w:tr>
            <w:tr w:rsidR="005066BB" w:rsidRPr="00A274B1" w:rsidTr="009B09A7">
              <w:tc>
                <w:tcPr>
                  <w:tcW w:w="2993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0</w:t>
                  </w:r>
                </w:p>
              </w:tc>
            </w:tr>
            <w:tr w:rsidR="005066BB" w:rsidRPr="00A274B1" w:rsidTr="009B09A7">
              <w:tc>
                <w:tcPr>
                  <w:tcW w:w="2993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A274B1">
                    <w:rPr>
                      <w:rFonts w:ascii="Arial Narrow" w:hAnsi="Arial Narrow"/>
                      <w:i/>
                    </w:rPr>
                    <w:t>0</w:t>
                  </w:r>
                </w:p>
              </w:tc>
            </w:tr>
            <w:tr w:rsidR="005066BB" w:rsidRPr="00A274B1" w:rsidTr="009B09A7">
              <w:tc>
                <w:tcPr>
                  <w:tcW w:w="2993" w:type="dxa"/>
                </w:tcPr>
                <w:p w:rsidR="005066BB" w:rsidRPr="00A274B1" w:rsidRDefault="005066BB" w:rsidP="004330E0">
                  <w:pPr>
                    <w:spacing w:after="0" w:line="240" w:lineRule="auto"/>
                    <w:rPr>
                      <w:rFonts w:ascii="Arial Narrow" w:hAnsi="Arial Narrow"/>
                      <w:b/>
                      <w:i/>
                    </w:rPr>
                  </w:pPr>
                  <w:r w:rsidRPr="00A274B1">
                    <w:rPr>
                      <w:rFonts w:ascii="Arial Narrow" w:hAnsi="Arial Narrow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A274B1">
                    <w:rPr>
                      <w:rFonts w:ascii="Arial Narrow" w:hAnsi="Arial Narrow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5066BB" w:rsidRPr="00A274B1" w:rsidRDefault="005066BB" w:rsidP="004330E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 w:rsidRPr="00A274B1">
                    <w:rPr>
                      <w:rFonts w:ascii="Arial Narrow" w:hAnsi="Arial Narrow"/>
                      <w:b/>
                      <w:i/>
                    </w:rPr>
                    <w:t>0</w:t>
                  </w:r>
                </w:p>
              </w:tc>
            </w:tr>
          </w:tbl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  <w:shd w:val="clear" w:color="auto" w:fill="D9D9D9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>3.4 Konkurencieschopnosť a správanie sa podnikov na trhu</w:t>
            </w:r>
          </w:p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</w:rPr>
            </w:pPr>
            <w:r w:rsidRPr="00A274B1">
              <w:rPr>
                <w:rFonts w:ascii="Arial Narrow" w:hAnsi="Arial Narrow"/>
                <w:b/>
              </w:rPr>
              <w:t xml:space="preserve">       </w:t>
            </w:r>
            <w:r w:rsidRPr="00A274B1">
              <w:rPr>
                <w:rFonts w:ascii="Arial Narrow" w:hAnsi="Arial Narrow"/>
              </w:rPr>
              <w:t xml:space="preserve">- </w:t>
            </w:r>
            <w:r w:rsidRPr="00A274B1">
              <w:rPr>
                <w:rFonts w:ascii="Arial Narrow" w:hAnsi="Arial Narrow"/>
                <w:b/>
              </w:rPr>
              <w:t>z toho MSP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Ako ovplyvní cenu alebo dostupnosť základných zdrojov (suroviny, mechanizmy, pracovná sila, energie atď.)?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Ovplyvňuje prístup k financiám? Ak áno, ako?</w:t>
            </w:r>
          </w:p>
        </w:tc>
      </w:tr>
      <w:tr w:rsidR="005066BB" w:rsidRPr="00A274B1" w:rsidTr="009B09A7">
        <w:trPr>
          <w:trHeight w:val="389"/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color w:val="000000"/>
              </w:rPr>
              <w:t>Návrh neovplyvňuje konkurencieschopnosť a správanie sa na trhu.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  <w:shd w:val="clear" w:color="auto" w:fill="D9D9D9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  <w:b/>
              </w:rPr>
              <w:t xml:space="preserve">3.5 Inovácie </w:t>
            </w:r>
          </w:p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274B1">
              <w:rPr>
                <w:rFonts w:ascii="Arial Narrow" w:hAnsi="Arial Narrow"/>
              </w:rPr>
              <w:t xml:space="preserve">       - </w:t>
            </w:r>
            <w:r w:rsidRPr="00A274B1">
              <w:rPr>
                <w:rFonts w:ascii="Arial Narrow" w:hAnsi="Arial Narrow"/>
                <w:b/>
              </w:rPr>
              <w:t>z toho MSP</w:t>
            </w:r>
          </w:p>
        </w:tc>
      </w:tr>
      <w:tr w:rsidR="005066BB" w:rsidRPr="00A274B1" w:rsidTr="009B09A7">
        <w:trPr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Uveďte, ako podporuje navrhovaná zmena inovácie.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Zjednodušuje uvedenie alebo rozšírenie nových výrobných metód, technológií a výrobkov na trh?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Uveďte, ako vplýva navrhovaná zmena na jednotlivé práva duševného vlastníctva (napr. patenty, ochranné známky, autorské práva, vlastníctvo know-how).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A274B1">
              <w:rPr>
                <w:rFonts w:ascii="Arial Narrow" w:hAnsi="Arial Narrow"/>
                <w:i/>
              </w:rPr>
              <w:t>Podporuje vyššiu efektivitu výroby/využívania zdrojov? Ak áno, ako?</w:t>
            </w:r>
          </w:p>
          <w:p w:rsidR="005066BB" w:rsidRPr="00A274B1" w:rsidRDefault="005066BB" w:rsidP="004330E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274B1">
              <w:rPr>
                <w:rFonts w:ascii="Arial Narrow" w:hAnsi="Arial Narrow"/>
                <w:i/>
              </w:rPr>
              <w:t>Vytvorí zmena nové pracovné miesta pre zamestnancov výskumu a vývoja v SR?</w:t>
            </w:r>
          </w:p>
        </w:tc>
      </w:tr>
      <w:tr w:rsidR="005066BB" w:rsidRPr="00A274B1" w:rsidTr="009B09A7">
        <w:trPr>
          <w:trHeight w:val="429"/>
          <w:jc w:val="center"/>
        </w:trPr>
        <w:tc>
          <w:tcPr>
            <w:tcW w:w="9217" w:type="dxa"/>
          </w:tcPr>
          <w:p w:rsidR="005066BB" w:rsidRPr="00A274B1" w:rsidRDefault="005066BB" w:rsidP="004330E0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274B1">
              <w:rPr>
                <w:rFonts w:ascii="Arial Narrow" w:hAnsi="Arial Narrow"/>
                <w:color w:val="000000"/>
              </w:rPr>
              <w:t>Navrhovaná zmena neovplyvňuje inovácie.</w:t>
            </w:r>
          </w:p>
        </w:tc>
      </w:tr>
    </w:tbl>
    <w:p w:rsidR="005066BB" w:rsidRPr="00A274B1" w:rsidRDefault="005066BB" w:rsidP="00903881">
      <w:pPr>
        <w:spacing w:after="0" w:line="240" w:lineRule="auto"/>
        <w:rPr>
          <w:rFonts w:ascii="Arial Narrow" w:hAnsi="Arial Narrow"/>
        </w:rPr>
      </w:pPr>
    </w:p>
    <w:sectPr w:rsidR="005066BB" w:rsidRPr="00A2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795"/>
    <w:multiLevelType w:val="hybridMultilevel"/>
    <w:tmpl w:val="2222D3D2"/>
    <w:lvl w:ilvl="0" w:tplc="E196BC38">
      <w:start w:val="6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BB"/>
    <w:rsid w:val="00040C3F"/>
    <w:rsid w:val="000F03B3"/>
    <w:rsid w:val="001B5AE0"/>
    <w:rsid w:val="001D1A6C"/>
    <w:rsid w:val="002E3C64"/>
    <w:rsid w:val="00355A2C"/>
    <w:rsid w:val="004330E0"/>
    <w:rsid w:val="00491D30"/>
    <w:rsid w:val="004C54AB"/>
    <w:rsid w:val="005066BB"/>
    <w:rsid w:val="006B19F8"/>
    <w:rsid w:val="006D67A3"/>
    <w:rsid w:val="006F0F06"/>
    <w:rsid w:val="00753C36"/>
    <w:rsid w:val="00762715"/>
    <w:rsid w:val="007D6F88"/>
    <w:rsid w:val="008D3B51"/>
    <w:rsid w:val="00903881"/>
    <w:rsid w:val="009B09A7"/>
    <w:rsid w:val="00A274B1"/>
    <w:rsid w:val="00AC7E02"/>
    <w:rsid w:val="00B64447"/>
    <w:rsid w:val="00B754BC"/>
    <w:rsid w:val="00BF5512"/>
    <w:rsid w:val="00E06127"/>
    <w:rsid w:val="00E1469C"/>
    <w:rsid w:val="00E948AD"/>
    <w:rsid w:val="00F12143"/>
    <w:rsid w:val="00F51ED1"/>
    <w:rsid w:val="00F6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DF3C971-A211-45F6-9F47-9E6B2B83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66BB"/>
    <w:pPr>
      <w:spacing w:after="200" w:line="276" w:lineRule="auto"/>
      <w:jc w:val="left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066BB"/>
    <w:pPr>
      <w:spacing w:after="0" w:line="240" w:lineRule="auto"/>
      <w:jc w:val="left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5066B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5066BB"/>
    <w:rPr>
      <w:rFonts w:eastAsiaTheme="minorEastAsia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B5AE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1B5AE0"/>
    <w:rPr>
      <w:rFonts w:ascii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76271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27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62715"/>
    <w:rPr>
      <w:rFonts w:eastAsiaTheme="minorEastAsia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27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62715"/>
    <w:rPr>
      <w:rFonts w:eastAsiaTheme="minorEastAsia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62715"/>
    <w:rPr>
      <w:rFonts w:ascii="Segoe UI" w:eastAsiaTheme="minorEastAsia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Horňáková Miroslava</dc:creator>
  <cp:keywords/>
  <dc:description/>
  <cp:lastModifiedBy>Lukšová Anna</cp:lastModifiedBy>
  <cp:revision>2</cp:revision>
  <cp:lastPrinted>2018-09-27T08:34:00Z</cp:lastPrinted>
  <dcterms:created xsi:type="dcterms:W3CDTF">2018-09-28T07:48:00Z</dcterms:created>
  <dcterms:modified xsi:type="dcterms:W3CDTF">2018-09-28T07:48:00Z</dcterms:modified>
</cp:coreProperties>
</file>