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828" w:rsidRPr="0087428E" w:rsidRDefault="00D14828" w:rsidP="0087428E">
      <w:pPr>
        <w:tabs>
          <w:tab w:val="num" w:pos="1080"/>
        </w:tabs>
        <w:spacing w:after="0" w:line="240" w:lineRule="auto"/>
        <w:jc w:val="both"/>
        <w:rPr>
          <w:rFonts w:ascii="Arial Narrow" w:hAnsi="Arial Narrow"/>
          <w:bCs/>
        </w:rPr>
      </w:pPr>
      <w:bookmarkStart w:id="0" w:name="_GoBack"/>
      <w:bookmarkEnd w:id="0"/>
    </w:p>
    <w:p w:rsidR="00D14828" w:rsidRPr="00CB04BF" w:rsidRDefault="00D14828" w:rsidP="0087428E">
      <w:pPr>
        <w:spacing w:after="0" w:line="240" w:lineRule="auto"/>
        <w:ind w:left="7080" w:hanging="7080"/>
        <w:jc w:val="center"/>
        <w:rPr>
          <w:rFonts w:ascii="Arial Narrow" w:hAnsi="Arial Narrow"/>
          <w:b/>
          <w:bCs/>
          <w:sz w:val="24"/>
        </w:rPr>
      </w:pPr>
      <w:r w:rsidRPr="00CB04BF">
        <w:rPr>
          <w:rFonts w:ascii="Arial Narrow" w:hAnsi="Arial Narrow"/>
          <w:b/>
          <w:bCs/>
          <w:sz w:val="24"/>
        </w:rPr>
        <w:t>Doložka vybraných vplyvov</w:t>
      </w:r>
    </w:p>
    <w:p w:rsidR="001B2916" w:rsidRPr="0087428E" w:rsidRDefault="001B2916" w:rsidP="0087428E">
      <w:pPr>
        <w:spacing w:after="0" w:line="240" w:lineRule="auto"/>
        <w:ind w:left="7080" w:hanging="7080"/>
        <w:jc w:val="center"/>
        <w:rPr>
          <w:rFonts w:ascii="Arial Narrow" w:hAnsi="Arial Narrow"/>
          <w:b/>
          <w:bCs/>
        </w:rPr>
      </w:pPr>
    </w:p>
    <w:tbl>
      <w:tblPr>
        <w:tblStyle w:val="Mriekatabuky"/>
        <w:tblW w:w="9209" w:type="dxa"/>
        <w:tblLayout w:type="fixed"/>
        <w:tblLook w:val="00A0" w:firstRow="1" w:lastRow="0" w:firstColumn="1" w:lastColumn="0" w:noHBand="0" w:noVBand="0"/>
      </w:tblPr>
      <w:tblGrid>
        <w:gridCol w:w="3652"/>
        <w:gridCol w:w="400"/>
        <w:gridCol w:w="196"/>
        <w:gridCol w:w="509"/>
        <w:gridCol w:w="717"/>
        <w:gridCol w:w="569"/>
        <w:gridCol w:w="1133"/>
        <w:gridCol w:w="284"/>
        <w:gridCol w:w="332"/>
        <w:gridCol w:w="1417"/>
      </w:tblGrid>
      <w:tr w:rsidR="00D14828" w:rsidRPr="0087428E" w:rsidTr="009B09A7">
        <w:tc>
          <w:tcPr>
            <w:tcW w:w="9209" w:type="dxa"/>
            <w:gridSpan w:val="10"/>
            <w:tcBorders>
              <w:bottom w:val="single" w:sz="4" w:space="0" w:color="FFFFFF"/>
            </w:tcBorders>
            <w:shd w:val="clear" w:color="auto" w:fill="E2E2E2"/>
          </w:tcPr>
          <w:p w:rsidR="00D14828" w:rsidRPr="0087428E" w:rsidRDefault="00D14828" w:rsidP="0087428E">
            <w:pPr>
              <w:pStyle w:val="Odsekzoznamu"/>
              <w:numPr>
                <w:ilvl w:val="0"/>
                <w:numId w:val="1"/>
              </w:numPr>
              <w:spacing w:after="0" w:line="240" w:lineRule="auto"/>
              <w:ind w:left="426"/>
              <w:jc w:val="both"/>
              <w:rPr>
                <w:rFonts w:ascii="Arial Narrow" w:hAnsi="Arial Narrow"/>
                <w:b/>
              </w:rPr>
            </w:pPr>
            <w:r w:rsidRPr="0087428E">
              <w:rPr>
                <w:rFonts w:ascii="Arial Narrow" w:hAnsi="Arial Narrow"/>
                <w:b/>
              </w:rPr>
              <w:t>Základné údaje</w:t>
            </w:r>
          </w:p>
        </w:tc>
      </w:tr>
      <w:tr w:rsidR="00D14828" w:rsidRPr="0087428E" w:rsidTr="009B09A7">
        <w:tc>
          <w:tcPr>
            <w:tcW w:w="9209" w:type="dxa"/>
            <w:gridSpan w:val="10"/>
            <w:tcBorders>
              <w:bottom w:val="single" w:sz="4" w:space="0" w:color="FFFFFF"/>
            </w:tcBorders>
            <w:shd w:val="clear" w:color="auto" w:fill="E2E2E2"/>
          </w:tcPr>
          <w:p w:rsidR="00D14828" w:rsidRPr="0087428E" w:rsidRDefault="00D14828" w:rsidP="0087428E">
            <w:pPr>
              <w:pStyle w:val="Odsekzoznamu"/>
              <w:spacing w:after="0" w:line="240" w:lineRule="auto"/>
              <w:ind w:left="142"/>
              <w:jc w:val="both"/>
              <w:rPr>
                <w:rFonts w:ascii="Arial Narrow" w:hAnsi="Arial Narrow"/>
                <w:b/>
              </w:rPr>
            </w:pPr>
            <w:r w:rsidRPr="0087428E">
              <w:rPr>
                <w:rFonts w:ascii="Arial Narrow" w:hAnsi="Arial Narrow"/>
                <w:b/>
              </w:rPr>
              <w:t>Názov materiálu</w:t>
            </w:r>
          </w:p>
        </w:tc>
      </w:tr>
      <w:tr w:rsidR="00D14828" w:rsidRPr="0087428E" w:rsidTr="009B09A7">
        <w:trPr>
          <w:trHeight w:val="808"/>
        </w:trPr>
        <w:tc>
          <w:tcPr>
            <w:tcW w:w="9209" w:type="dxa"/>
            <w:gridSpan w:val="10"/>
            <w:tcBorders>
              <w:top w:val="single" w:sz="4" w:space="0" w:color="FFFFFF"/>
            </w:tcBorders>
          </w:tcPr>
          <w:p w:rsidR="00D14828" w:rsidRPr="0087428E" w:rsidRDefault="00C71D88" w:rsidP="0087428E">
            <w:pPr>
              <w:spacing w:after="0" w:line="240" w:lineRule="auto"/>
              <w:jc w:val="both"/>
              <w:rPr>
                <w:rFonts w:ascii="Arial Narrow" w:hAnsi="Arial Narrow"/>
              </w:rPr>
            </w:pPr>
            <w:r w:rsidRPr="0087428E">
              <w:rPr>
                <w:rFonts w:ascii="Arial Narrow" w:hAnsi="Arial Narrow"/>
              </w:rPr>
              <w:t>Návrh zákona, ktorým sa mení a dopĺňa zákon č. 581/2004 Z.</w:t>
            </w:r>
            <w:r w:rsidR="00D877CD" w:rsidRPr="0087428E">
              <w:rPr>
                <w:rFonts w:ascii="Arial Narrow" w:hAnsi="Arial Narrow"/>
              </w:rPr>
              <w:t xml:space="preserve"> </w:t>
            </w:r>
            <w:r w:rsidRPr="0087428E">
              <w:rPr>
                <w:rFonts w:ascii="Arial Narrow" w:hAnsi="Arial Narrow"/>
              </w:rPr>
              <w:t>z. o zdravotných poisťovniach, dohľade nad zdravotnou starostlivosťou a o zmene a doplnení niektorých zákonov v znení neskorších predpisov.</w:t>
            </w:r>
          </w:p>
        </w:tc>
      </w:tr>
      <w:tr w:rsidR="00D14828" w:rsidRPr="0087428E" w:rsidTr="009B09A7">
        <w:tc>
          <w:tcPr>
            <w:tcW w:w="9209" w:type="dxa"/>
            <w:gridSpan w:val="10"/>
            <w:tcBorders>
              <w:bottom w:val="single" w:sz="4" w:space="0" w:color="FFFFFF"/>
            </w:tcBorders>
            <w:shd w:val="clear" w:color="auto" w:fill="E2E2E2"/>
          </w:tcPr>
          <w:p w:rsidR="00D14828" w:rsidRPr="0087428E" w:rsidRDefault="00D14828" w:rsidP="0087428E">
            <w:pPr>
              <w:pStyle w:val="Odsekzoznamu"/>
              <w:spacing w:after="0" w:line="240" w:lineRule="auto"/>
              <w:ind w:left="142"/>
              <w:jc w:val="both"/>
              <w:rPr>
                <w:rFonts w:ascii="Arial Narrow" w:hAnsi="Arial Narrow"/>
              </w:rPr>
            </w:pPr>
            <w:r w:rsidRPr="0087428E">
              <w:rPr>
                <w:rFonts w:ascii="Arial Narrow" w:hAnsi="Arial Narrow"/>
              </w:rPr>
              <w:t>Predkladateľ (a spolupredkladateľ)</w:t>
            </w:r>
          </w:p>
        </w:tc>
      </w:tr>
      <w:tr w:rsidR="00D14828" w:rsidRPr="0087428E" w:rsidTr="00BD277D">
        <w:trPr>
          <w:trHeight w:val="212"/>
        </w:trPr>
        <w:tc>
          <w:tcPr>
            <w:tcW w:w="9209" w:type="dxa"/>
            <w:gridSpan w:val="10"/>
            <w:tcBorders>
              <w:top w:val="single" w:sz="4" w:space="0" w:color="FFFFFF"/>
            </w:tcBorders>
            <w:shd w:val="clear" w:color="auto" w:fill="FFFFFF"/>
          </w:tcPr>
          <w:p w:rsidR="00D14828" w:rsidRPr="0087428E" w:rsidRDefault="00D14828" w:rsidP="0087428E">
            <w:pPr>
              <w:spacing w:after="0" w:line="240" w:lineRule="auto"/>
              <w:jc w:val="both"/>
              <w:rPr>
                <w:rFonts w:ascii="Arial Narrow" w:hAnsi="Arial Narrow"/>
              </w:rPr>
            </w:pPr>
            <w:r w:rsidRPr="0087428E">
              <w:rPr>
                <w:rFonts w:ascii="Arial Narrow" w:hAnsi="Arial Narrow"/>
              </w:rPr>
              <w:t xml:space="preserve">Ministerstvo zdravotníctva Slovenskej republiky </w:t>
            </w:r>
          </w:p>
        </w:tc>
      </w:tr>
      <w:tr w:rsidR="00D14828" w:rsidRPr="0087428E" w:rsidTr="009B09A7">
        <w:tc>
          <w:tcPr>
            <w:tcW w:w="4052" w:type="dxa"/>
            <w:gridSpan w:val="2"/>
            <w:vMerge w:val="restart"/>
            <w:tcBorders>
              <w:bottom w:val="single" w:sz="4" w:space="0" w:color="FFFFFF"/>
            </w:tcBorders>
            <w:shd w:val="clear" w:color="auto" w:fill="E2E2E2"/>
            <w:vAlign w:val="center"/>
          </w:tcPr>
          <w:p w:rsidR="00D14828" w:rsidRPr="0087428E" w:rsidRDefault="00D14828" w:rsidP="0087428E">
            <w:pPr>
              <w:pStyle w:val="Odsekzoznamu"/>
              <w:spacing w:after="0" w:line="240" w:lineRule="auto"/>
              <w:ind w:left="142"/>
              <w:jc w:val="both"/>
              <w:rPr>
                <w:rFonts w:ascii="Arial Narrow" w:hAnsi="Arial Narrow"/>
                <w:b/>
              </w:rPr>
            </w:pPr>
            <w:r w:rsidRPr="0087428E">
              <w:rPr>
                <w:rFonts w:ascii="Arial Narrow" w:hAnsi="Arial Narrow"/>
                <w:b/>
              </w:rPr>
              <w:t>Charakter predkladaného materiálu</w:t>
            </w:r>
          </w:p>
        </w:tc>
        <w:tc>
          <w:tcPr>
            <w:tcW w:w="705" w:type="dxa"/>
            <w:gridSpan w:val="2"/>
            <w:tcBorders>
              <w:right w:val="nil"/>
            </w:tcBorders>
            <w:shd w:val="clear" w:color="auto" w:fill="FFFFFF"/>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4452" w:type="dxa"/>
            <w:gridSpan w:val="6"/>
            <w:tcBorders>
              <w:left w:val="nil"/>
            </w:tcBorders>
            <w:shd w:val="clear" w:color="auto" w:fill="FFFFFF"/>
          </w:tcPr>
          <w:p w:rsidR="00D14828" w:rsidRPr="0087428E" w:rsidRDefault="00D14828" w:rsidP="0087428E">
            <w:pPr>
              <w:spacing w:after="0" w:line="240" w:lineRule="auto"/>
              <w:jc w:val="both"/>
              <w:rPr>
                <w:rFonts w:ascii="Arial Narrow" w:hAnsi="Arial Narrow"/>
              </w:rPr>
            </w:pPr>
            <w:r w:rsidRPr="0087428E">
              <w:rPr>
                <w:rFonts w:ascii="Arial Narrow" w:hAnsi="Arial Narrow"/>
              </w:rPr>
              <w:t>Materiál nelegislatívnej povahy</w:t>
            </w:r>
          </w:p>
        </w:tc>
      </w:tr>
      <w:tr w:rsidR="00D14828" w:rsidRPr="0087428E" w:rsidTr="009B09A7">
        <w:tc>
          <w:tcPr>
            <w:tcW w:w="4052" w:type="dxa"/>
            <w:gridSpan w:val="2"/>
            <w:vMerge/>
            <w:tcBorders>
              <w:top w:val="nil"/>
              <w:bottom w:val="single" w:sz="4" w:space="0" w:color="FFFFFF"/>
            </w:tcBorders>
            <w:shd w:val="clear" w:color="auto" w:fill="E2E2E2"/>
          </w:tcPr>
          <w:p w:rsidR="00D14828" w:rsidRPr="0087428E" w:rsidRDefault="00D14828" w:rsidP="0087428E">
            <w:pPr>
              <w:spacing w:after="0" w:line="240" w:lineRule="auto"/>
              <w:jc w:val="both"/>
              <w:rPr>
                <w:rFonts w:ascii="Arial Narrow" w:hAnsi="Arial Narrow"/>
              </w:rPr>
            </w:pPr>
          </w:p>
        </w:tc>
        <w:tc>
          <w:tcPr>
            <w:tcW w:w="705" w:type="dxa"/>
            <w:gridSpan w:val="2"/>
            <w:tcBorders>
              <w:right w:val="nil"/>
            </w:tcBorders>
            <w:shd w:val="clear" w:color="auto" w:fill="FFFFFF"/>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4452" w:type="dxa"/>
            <w:gridSpan w:val="6"/>
            <w:tcBorders>
              <w:left w:val="nil"/>
            </w:tcBorders>
            <w:shd w:val="clear" w:color="auto" w:fill="FFFFFF"/>
          </w:tcPr>
          <w:p w:rsidR="00D14828" w:rsidRPr="0087428E" w:rsidRDefault="00D14828" w:rsidP="0087428E">
            <w:pPr>
              <w:spacing w:after="0" w:line="240" w:lineRule="auto"/>
              <w:ind w:left="175" w:hanging="175"/>
              <w:jc w:val="both"/>
              <w:rPr>
                <w:rFonts w:ascii="Arial Narrow" w:hAnsi="Arial Narrow"/>
              </w:rPr>
            </w:pPr>
            <w:r w:rsidRPr="0087428E">
              <w:rPr>
                <w:rFonts w:ascii="Arial Narrow" w:hAnsi="Arial Narrow"/>
              </w:rPr>
              <w:t>Materiál legislatívnej povahy</w:t>
            </w:r>
          </w:p>
        </w:tc>
      </w:tr>
      <w:tr w:rsidR="00D14828" w:rsidRPr="0087428E" w:rsidTr="009B09A7">
        <w:tc>
          <w:tcPr>
            <w:tcW w:w="4052" w:type="dxa"/>
            <w:gridSpan w:val="2"/>
            <w:vMerge/>
            <w:tcBorders>
              <w:top w:val="nil"/>
            </w:tcBorders>
            <w:shd w:val="clear" w:color="auto" w:fill="E2E2E2"/>
          </w:tcPr>
          <w:p w:rsidR="00D14828" w:rsidRPr="0087428E" w:rsidRDefault="00D14828" w:rsidP="0087428E">
            <w:pPr>
              <w:spacing w:after="0" w:line="240" w:lineRule="auto"/>
              <w:jc w:val="both"/>
              <w:rPr>
                <w:rFonts w:ascii="Arial Narrow" w:hAnsi="Arial Narrow"/>
              </w:rPr>
            </w:pPr>
          </w:p>
        </w:tc>
        <w:tc>
          <w:tcPr>
            <w:tcW w:w="705" w:type="dxa"/>
            <w:gridSpan w:val="2"/>
            <w:tcBorders>
              <w:right w:val="nil"/>
            </w:tcBorders>
            <w:shd w:val="clear" w:color="auto" w:fill="FFFFFF"/>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4452" w:type="dxa"/>
            <w:gridSpan w:val="6"/>
            <w:tcBorders>
              <w:left w:val="nil"/>
            </w:tcBorders>
            <w:shd w:val="clear" w:color="auto" w:fill="FFFFFF"/>
          </w:tcPr>
          <w:p w:rsidR="00D14828" w:rsidRPr="0087428E" w:rsidRDefault="00D14828" w:rsidP="0087428E">
            <w:pPr>
              <w:spacing w:after="0" w:line="240" w:lineRule="auto"/>
              <w:jc w:val="both"/>
              <w:rPr>
                <w:rFonts w:ascii="Arial Narrow" w:hAnsi="Arial Narrow"/>
              </w:rPr>
            </w:pPr>
            <w:r w:rsidRPr="0087428E">
              <w:rPr>
                <w:rFonts w:ascii="Arial Narrow" w:hAnsi="Arial Narrow"/>
              </w:rPr>
              <w:t>Transpozícia práva EÚ</w:t>
            </w:r>
          </w:p>
        </w:tc>
      </w:tr>
      <w:tr w:rsidR="00D14828" w:rsidRPr="0087428E" w:rsidTr="009B09A7">
        <w:tc>
          <w:tcPr>
            <w:tcW w:w="9209" w:type="dxa"/>
            <w:gridSpan w:val="10"/>
            <w:tcBorders>
              <w:bottom w:val="single" w:sz="4" w:space="0" w:color="FFFFFF"/>
            </w:tcBorders>
            <w:shd w:val="clear" w:color="auto" w:fill="FFFFFF"/>
          </w:tcPr>
          <w:p w:rsidR="00D14828" w:rsidRPr="0087428E" w:rsidRDefault="00D14828" w:rsidP="0087428E">
            <w:pPr>
              <w:spacing w:after="0" w:line="240" w:lineRule="auto"/>
              <w:jc w:val="both"/>
              <w:rPr>
                <w:rFonts w:ascii="Arial Narrow" w:hAnsi="Arial Narrow"/>
                <w:i/>
              </w:rPr>
            </w:pPr>
            <w:r w:rsidRPr="0087428E">
              <w:rPr>
                <w:rFonts w:ascii="Arial Narrow" w:hAnsi="Arial Narrow"/>
                <w:i/>
              </w:rPr>
              <w:t>V prípade transpozície uveďte zoznam transponovaných predpisov:</w:t>
            </w:r>
          </w:p>
          <w:p w:rsidR="00D14828" w:rsidRPr="0087428E" w:rsidRDefault="00D14828" w:rsidP="0087428E">
            <w:pPr>
              <w:spacing w:after="0" w:line="240" w:lineRule="auto"/>
              <w:jc w:val="both"/>
              <w:rPr>
                <w:rFonts w:ascii="Arial Narrow" w:hAnsi="Arial Narrow"/>
              </w:rPr>
            </w:pPr>
            <w:r w:rsidRPr="0087428E">
              <w:rPr>
                <w:rFonts w:ascii="Arial Narrow" w:hAnsi="Arial Narrow"/>
              </w:rPr>
              <w:t xml:space="preserve">Návrhom zákona sa netransponujú predpisy EÚ. </w:t>
            </w:r>
          </w:p>
        </w:tc>
      </w:tr>
      <w:tr w:rsidR="00D14828" w:rsidRPr="0087428E" w:rsidTr="009B09A7">
        <w:tc>
          <w:tcPr>
            <w:tcW w:w="5474" w:type="dxa"/>
            <w:gridSpan w:val="5"/>
            <w:tcBorders>
              <w:top w:val="single" w:sz="4" w:space="0" w:color="000000"/>
              <w:bottom w:val="single" w:sz="4" w:space="0" w:color="FFFFFF"/>
            </w:tcBorders>
            <w:shd w:val="clear" w:color="auto" w:fill="E2E2E2"/>
          </w:tcPr>
          <w:p w:rsidR="00D14828" w:rsidRPr="0087428E" w:rsidRDefault="00D14828" w:rsidP="0087428E">
            <w:pPr>
              <w:spacing w:after="0" w:line="240" w:lineRule="auto"/>
              <w:jc w:val="both"/>
              <w:rPr>
                <w:rFonts w:ascii="Arial Narrow" w:hAnsi="Arial Narrow"/>
                <w:b/>
              </w:rPr>
            </w:pPr>
            <w:r w:rsidRPr="0087428E">
              <w:rPr>
                <w:rFonts w:ascii="Arial Narrow" w:hAnsi="Arial Narrow"/>
                <w:b/>
              </w:rPr>
              <w:t xml:space="preserve">Termín začiatku a ukončenia PPK </w:t>
            </w:r>
          </w:p>
        </w:tc>
        <w:tc>
          <w:tcPr>
            <w:tcW w:w="3735" w:type="dxa"/>
            <w:gridSpan w:val="5"/>
            <w:tcBorders>
              <w:top w:val="single" w:sz="4" w:space="0" w:color="000000"/>
            </w:tcBorders>
          </w:tcPr>
          <w:p w:rsidR="00D14828" w:rsidRPr="0087428E" w:rsidRDefault="00D14828" w:rsidP="0087428E">
            <w:pPr>
              <w:spacing w:after="0" w:line="240" w:lineRule="auto"/>
              <w:jc w:val="both"/>
              <w:rPr>
                <w:rFonts w:ascii="Arial Narrow" w:hAnsi="Arial Narrow"/>
              </w:rPr>
            </w:pPr>
          </w:p>
        </w:tc>
      </w:tr>
      <w:tr w:rsidR="00D14828" w:rsidRPr="0087428E" w:rsidTr="009B09A7">
        <w:tc>
          <w:tcPr>
            <w:tcW w:w="5474" w:type="dxa"/>
            <w:gridSpan w:val="5"/>
            <w:tcBorders>
              <w:bottom w:val="single" w:sz="4" w:space="0" w:color="FFFFFF"/>
            </w:tcBorders>
            <w:shd w:val="clear" w:color="auto" w:fill="E2E2E2"/>
          </w:tcPr>
          <w:p w:rsidR="00D14828" w:rsidRPr="0087428E" w:rsidRDefault="00D14828" w:rsidP="0087428E">
            <w:pPr>
              <w:pStyle w:val="Odsekzoznamu"/>
              <w:spacing w:after="0" w:line="240" w:lineRule="auto"/>
              <w:ind w:left="142"/>
              <w:jc w:val="both"/>
              <w:rPr>
                <w:rFonts w:ascii="Arial Narrow" w:hAnsi="Arial Narrow"/>
                <w:b/>
              </w:rPr>
            </w:pPr>
            <w:r w:rsidRPr="0087428E">
              <w:rPr>
                <w:rFonts w:ascii="Arial Narrow" w:hAnsi="Arial Narrow"/>
                <w:b/>
              </w:rPr>
              <w:t>Predpokladaný termín predloženia na MPK*</w:t>
            </w:r>
          </w:p>
        </w:tc>
        <w:tc>
          <w:tcPr>
            <w:tcW w:w="3735" w:type="dxa"/>
            <w:gridSpan w:val="5"/>
          </w:tcPr>
          <w:p w:rsidR="00D14828" w:rsidRPr="0087428E" w:rsidRDefault="00D877CD" w:rsidP="0087428E">
            <w:pPr>
              <w:spacing w:after="0" w:line="240" w:lineRule="auto"/>
              <w:jc w:val="both"/>
              <w:rPr>
                <w:rFonts w:ascii="Arial Narrow" w:hAnsi="Arial Narrow"/>
              </w:rPr>
            </w:pPr>
            <w:r w:rsidRPr="0087428E">
              <w:rPr>
                <w:rFonts w:ascii="Arial Narrow" w:hAnsi="Arial Narrow"/>
              </w:rPr>
              <w:t xml:space="preserve">júl </w:t>
            </w:r>
            <w:r w:rsidR="00D14828" w:rsidRPr="0087428E">
              <w:rPr>
                <w:rFonts w:ascii="Arial Narrow" w:hAnsi="Arial Narrow"/>
              </w:rPr>
              <w:t>2018</w:t>
            </w:r>
          </w:p>
        </w:tc>
      </w:tr>
      <w:tr w:rsidR="00D14828" w:rsidRPr="0087428E" w:rsidTr="00BD277D">
        <w:trPr>
          <w:trHeight w:val="486"/>
        </w:trPr>
        <w:tc>
          <w:tcPr>
            <w:tcW w:w="5474" w:type="dxa"/>
            <w:gridSpan w:val="5"/>
            <w:tcBorders>
              <w:bottom w:val="single" w:sz="4" w:space="0" w:color="FFFFFF"/>
            </w:tcBorders>
            <w:shd w:val="clear" w:color="auto" w:fill="E2E2E2"/>
          </w:tcPr>
          <w:p w:rsidR="00D14828" w:rsidRPr="0087428E" w:rsidRDefault="00D14828" w:rsidP="0087428E">
            <w:pPr>
              <w:pStyle w:val="Odsekzoznamu"/>
              <w:spacing w:after="0" w:line="240" w:lineRule="auto"/>
              <w:ind w:left="142"/>
              <w:jc w:val="both"/>
              <w:rPr>
                <w:rFonts w:ascii="Arial Narrow" w:hAnsi="Arial Narrow"/>
                <w:b/>
              </w:rPr>
            </w:pPr>
            <w:r w:rsidRPr="0087428E">
              <w:rPr>
                <w:rFonts w:ascii="Arial Narrow" w:hAnsi="Arial Narrow"/>
                <w:b/>
              </w:rPr>
              <w:t xml:space="preserve">Predpokladaný termín predloženia na </w:t>
            </w:r>
            <w:r w:rsidR="00D877CD" w:rsidRPr="0087428E">
              <w:rPr>
                <w:rFonts w:ascii="Arial Narrow" w:hAnsi="Arial Narrow"/>
                <w:b/>
              </w:rPr>
              <w:t>r</w:t>
            </w:r>
            <w:r w:rsidRPr="0087428E">
              <w:rPr>
                <w:rFonts w:ascii="Arial Narrow" w:hAnsi="Arial Narrow"/>
                <w:b/>
              </w:rPr>
              <w:t xml:space="preserve">okovanie </w:t>
            </w:r>
            <w:r w:rsidR="00D877CD" w:rsidRPr="0087428E">
              <w:rPr>
                <w:rFonts w:ascii="Arial Narrow" w:hAnsi="Arial Narrow"/>
                <w:b/>
              </w:rPr>
              <w:t>vlády SR</w:t>
            </w:r>
            <w:r w:rsidRPr="0087428E">
              <w:rPr>
                <w:rFonts w:ascii="Arial Narrow" w:hAnsi="Arial Narrow"/>
                <w:b/>
              </w:rPr>
              <w:t>*</w:t>
            </w:r>
          </w:p>
        </w:tc>
        <w:tc>
          <w:tcPr>
            <w:tcW w:w="3735" w:type="dxa"/>
            <w:gridSpan w:val="5"/>
          </w:tcPr>
          <w:p w:rsidR="00D14828" w:rsidRPr="0087428E" w:rsidRDefault="00D877CD" w:rsidP="0087428E">
            <w:pPr>
              <w:spacing w:after="0" w:line="240" w:lineRule="auto"/>
              <w:jc w:val="both"/>
              <w:rPr>
                <w:rFonts w:ascii="Arial Narrow" w:hAnsi="Arial Narrow"/>
              </w:rPr>
            </w:pPr>
            <w:r w:rsidRPr="0087428E">
              <w:rPr>
                <w:rFonts w:ascii="Arial Narrow" w:hAnsi="Arial Narrow"/>
              </w:rPr>
              <w:t>august</w:t>
            </w:r>
            <w:r w:rsidR="00D14828" w:rsidRPr="0087428E">
              <w:rPr>
                <w:rFonts w:ascii="Arial Narrow" w:hAnsi="Arial Narrow"/>
              </w:rPr>
              <w:t xml:space="preserve"> 2018</w:t>
            </w:r>
          </w:p>
        </w:tc>
      </w:tr>
      <w:tr w:rsidR="00D14828" w:rsidRPr="0087428E" w:rsidTr="009B09A7">
        <w:tc>
          <w:tcPr>
            <w:tcW w:w="9209" w:type="dxa"/>
            <w:gridSpan w:val="10"/>
            <w:tcBorders>
              <w:left w:val="nil"/>
              <w:right w:val="nil"/>
            </w:tcBorders>
            <w:shd w:val="clear" w:color="auto" w:fill="FFFFFF"/>
          </w:tcPr>
          <w:p w:rsidR="00D14828" w:rsidRPr="0087428E" w:rsidRDefault="00D14828" w:rsidP="0087428E">
            <w:pPr>
              <w:spacing w:after="0" w:line="240" w:lineRule="auto"/>
              <w:jc w:val="both"/>
              <w:rPr>
                <w:rFonts w:ascii="Arial Narrow" w:hAnsi="Arial Narrow"/>
              </w:rPr>
            </w:pPr>
          </w:p>
        </w:tc>
      </w:tr>
      <w:tr w:rsidR="00D14828" w:rsidRPr="0087428E" w:rsidTr="009B09A7">
        <w:tc>
          <w:tcPr>
            <w:tcW w:w="9209" w:type="dxa"/>
            <w:gridSpan w:val="10"/>
            <w:tcBorders>
              <w:bottom w:val="single" w:sz="4" w:space="0" w:color="FFFFFF"/>
            </w:tcBorders>
            <w:shd w:val="clear" w:color="auto" w:fill="E2E2E2"/>
          </w:tcPr>
          <w:p w:rsidR="00D14828" w:rsidRPr="0087428E" w:rsidRDefault="00D14828" w:rsidP="0087428E">
            <w:pPr>
              <w:pStyle w:val="Odsekzoznamu"/>
              <w:numPr>
                <w:ilvl w:val="0"/>
                <w:numId w:val="1"/>
              </w:numPr>
              <w:spacing w:after="0" w:line="240" w:lineRule="auto"/>
              <w:ind w:left="426"/>
              <w:jc w:val="both"/>
              <w:rPr>
                <w:rFonts w:ascii="Arial Narrow" w:hAnsi="Arial Narrow"/>
                <w:b/>
              </w:rPr>
            </w:pPr>
            <w:r w:rsidRPr="0087428E">
              <w:rPr>
                <w:rFonts w:ascii="Arial Narrow" w:hAnsi="Arial Narrow"/>
                <w:b/>
              </w:rPr>
              <w:t>Definícia problému</w:t>
            </w:r>
          </w:p>
        </w:tc>
      </w:tr>
      <w:tr w:rsidR="00D14828" w:rsidRPr="0087428E" w:rsidTr="009B09A7">
        <w:trPr>
          <w:trHeight w:val="132"/>
        </w:trPr>
        <w:tc>
          <w:tcPr>
            <w:tcW w:w="9209" w:type="dxa"/>
            <w:gridSpan w:val="10"/>
            <w:tcBorders>
              <w:top w:val="single" w:sz="4" w:space="0" w:color="FFFFFF"/>
            </w:tcBorders>
            <w:shd w:val="clear" w:color="auto" w:fill="FFFFFF"/>
          </w:tcPr>
          <w:p w:rsidR="00D94D57" w:rsidRPr="0087428E" w:rsidRDefault="00D94D57" w:rsidP="003414EC">
            <w:pPr>
              <w:autoSpaceDE w:val="0"/>
              <w:autoSpaceDN w:val="0"/>
              <w:adjustRightInd w:val="0"/>
              <w:spacing w:after="0" w:line="240" w:lineRule="auto"/>
              <w:jc w:val="both"/>
              <w:rPr>
                <w:rFonts w:ascii="Arial Narrow" w:hAnsi="Arial Narrow"/>
                <w:b/>
                <w:u w:val="single"/>
              </w:rPr>
            </w:pPr>
            <w:r w:rsidRPr="0087428E">
              <w:rPr>
                <w:rFonts w:ascii="Arial Narrow" w:hAnsi="Arial Narrow"/>
                <w:b/>
                <w:color w:val="000000"/>
                <w:u w:val="single"/>
              </w:rPr>
              <w:t>A </w:t>
            </w:r>
            <w:r w:rsidRPr="0087428E">
              <w:rPr>
                <w:rFonts w:ascii="Arial Narrow" w:hAnsi="Arial Narrow"/>
                <w:b/>
                <w:u w:val="single"/>
              </w:rPr>
              <w:t>Rozhodovanie zdravotnej poisťovne v prvom stupni</w:t>
            </w:r>
          </w:p>
          <w:p w:rsidR="00D94D57" w:rsidRPr="0087428E" w:rsidRDefault="0087428E" w:rsidP="0087428E">
            <w:pPr>
              <w:spacing w:after="0" w:line="240" w:lineRule="auto"/>
              <w:jc w:val="both"/>
              <w:rPr>
                <w:rFonts w:ascii="Arial Narrow" w:hAnsi="Arial Narrow"/>
              </w:rPr>
            </w:pPr>
            <w:r w:rsidRPr="0087428E">
              <w:rPr>
                <w:rFonts w:ascii="Arial Narrow" w:hAnsi="Arial Narrow"/>
              </w:rPr>
              <w:t>Vymáhanie pohľadávok na poistnom sa realizuje v súčasnosti dvoma spôsobmi, výkazom nedoplatkov prostredníctvom zdravotných poisťovní alebo platobným výmerom prostredníctvom Úradu pre dohľad nad zdravotnou starostlivosťou (ďalej len „Úrad“). Navrhuje sa zrušiť možnosť vydania platobného výmeru Úradom, nakoľko tento nemal dostatočný čas na preverenie situácie poistenca. Cieľom je zabezpečiť, aby vymáhanie pohľadávok na poistnom sa v prvom stupni realizovalo výlučne prostredníctvom zdravotných poisťovní.</w:t>
            </w:r>
          </w:p>
          <w:p w:rsidR="0087428E" w:rsidRPr="0087428E" w:rsidRDefault="0087428E" w:rsidP="0087428E">
            <w:pPr>
              <w:spacing w:after="0" w:line="240" w:lineRule="auto"/>
              <w:jc w:val="both"/>
              <w:rPr>
                <w:rFonts w:ascii="Arial Narrow" w:eastAsia="Times New Roman" w:hAnsi="Arial Narrow"/>
              </w:rPr>
            </w:pPr>
          </w:p>
          <w:p w:rsidR="00D94D57" w:rsidRPr="0087428E" w:rsidRDefault="003414EC" w:rsidP="0087428E">
            <w:pPr>
              <w:keepNext/>
              <w:spacing w:after="0" w:line="240" w:lineRule="auto"/>
              <w:contextualSpacing/>
              <w:jc w:val="both"/>
              <w:rPr>
                <w:rFonts w:ascii="Arial Narrow" w:hAnsi="Arial Narrow"/>
                <w:b/>
                <w:u w:val="single"/>
              </w:rPr>
            </w:pPr>
            <w:r>
              <w:rPr>
                <w:rFonts w:ascii="Arial Narrow" w:hAnsi="Arial Narrow"/>
                <w:b/>
                <w:u w:val="single"/>
              </w:rPr>
              <w:t>B</w:t>
            </w:r>
            <w:r w:rsidR="00D94D57" w:rsidRPr="0087428E">
              <w:rPr>
                <w:rFonts w:ascii="Arial Narrow" w:hAnsi="Arial Narrow"/>
                <w:b/>
                <w:u w:val="single"/>
              </w:rPr>
              <w:t xml:space="preserve"> Prerozdeľovanie poistného</w:t>
            </w:r>
          </w:p>
          <w:p w:rsidR="00D94D57" w:rsidRPr="0087428E" w:rsidRDefault="00D94D57" w:rsidP="0087428E">
            <w:pPr>
              <w:spacing w:after="0" w:line="240" w:lineRule="auto"/>
              <w:jc w:val="both"/>
              <w:rPr>
                <w:rFonts w:ascii="Arial Narrow" w:hAnsi="Arial Narrow"/>
              </w:rPr>
            </w:pPr>
            <w:r w:rsidRPr="0087428E">
              <w:rPr>
                <w:rFonts w:ascii="Arial Narrow" w:hAnsi="Arial Narrow"/>
              </w:rPr>
              <w:t xml:space="preserve">Prerozdeľovanie poistného sa v súčasnosti vykonáva pri zohľadnení demografických indexov, farmaceuticko-nákladových skupín a nadlimitnej sumy. </w:t>
            </w:r>
          </w:p>
          <w:p w:rsidR="00D14828" w:rsidRPr="0087428E" w:rsidRDefault="00D14828" w:rsidP="0087428E">
            <w:pPr>
              <w:spacing w:after="0" w:line="240" w:lineRule="auto"/>
              <w:jc w:val="both"/>
              <w:rPr>
                <w:rFonts w:ascii="Arial Narrow" w:hAnsi="Arial Narrow"/>
              </w:rPr>
            </w:pPr>
          </w:p>
        </w:tc>
      </w:tr>
      <w:tr w:rsidR="00D14828" w:rsidRPr="0087428E" w:rsidTr="009B09A7">
        <w:tc>
          <w:tcPr>
            <w:tcW w:w="9209" w:type="dxa"/>
            <w:gridSpan w:val="10"/>
            <w:tcBorders>
              <w:bottom w:val="nil"/>
            </w:tcBorders>
            <w:shd w:val="clear" w:color="auto" w:fill="E2E2E2"/>
          </w:tcPr>
          <w:p w:rsidR="00D14828" w:rsidRPr="0087428E" w:rsidRDefault="001B2916" w:rsidP="0087428E">
            <w:pPr>
              <w:pStyle w:val="Odsekzoznamu"/>
              <w:numPr>
                <w:ilvl w:val="0"/>
                <w:numId w:val="1"/>
              </w:numPr>
              <w:spacing w:after="0" w:line="240" w:lineRule="auto"/>
              <w:ind w:left="426"/>
              <w:jc w:val="both"/>
              <w:rPr>
                <w:rFonts w:ascii="Arial Narrow" w:hAnsi="Arial Narrow"/>
                <w:b/>
              </w:rPr>
            </w:pPr>
            <w:r w:rsidRPr="0087428E">
              <w:rPr>
                <w:rFonts w:ascii="Arial Narrow" w:hAnsi="Arial Narrow"/>
                <w:b/>
              </w:rPr>
              <w:t>C</w:t>
            </w:r>
            <w:r w:rsidR="00D14828" w:rsidRPr="0087428E">
              <w:rPr>
                <w:rFonts w:ascii="Arial Narrow" w:hAnsi="Arial Narrow"/>
                <w:b/>
              </w:rPr>
              <w:t>iele a výsledný stav</w:t>
            </w:r>
          </w:p>
        </w:tc>
      </w:tr>
      <w:tr w:rsidR="00D14828" w:rsidRPr="0087428E" w:rsidTr="009B09A7">
        <w:trPr>
          <w:trHeight w:val="741"/>
        </w:trPr>
        <w:tc>
          <w:tcPr>
            <w:tcW w:w="9209" w:type="dxa"/>
            <w:gridSpan w:val="10"/>
            <w:tcBorders>
              <w:top w:val="nil"/>
            </w:tcBorders>
            <w:shd w:val="clear" w:color="auto" w:fill="FFFFFF"/>
          </w:tcPr>
          <w:p w:rsidR="00D94D57" w:rsidRPr="0087428E" w:rsidRDefault="003414EC" w:rsidP="0087428E">
            <w:pPr>
              <w:tabs>
                <w:tab w:val="left" w:pos="709"/>
              </w:tabs>
              <w:spacing w:after="0" w:line="240" w:lineRule="auto"/>
              <w:jc w:val="both"/>
              <w:rPr>
                <w:rFonts w:ascii="Arial Narrow" w:hAnsi="Arial Narrow"/>
                <w:b/>
                <w:u w:val="single"/>
              </w:rPr>
            </w:pPr>
            <w:r>
              <w:rPr>
                <w:rFonts w:ascii="Arial Narrow" w:hAnsi="Arial Narrow"/>
                <w:b/>
                <w:u w:val="single"/>
              </w:rPr>
              <w:t>A</w:t>
            </w:r>
            <w:r w:rsidR="00D94D57" w:rsidRPr="0087428E">
              <w:rPr>
                <w:rFonts w:ascii="Arial Narrow" w:hAnsi="Arial Narrow"/>
                <w:b/>
                <w:u w:val="single"/>
              </w:rPr>
              <w:t xml:space="preserve"> Rozhodovanie zdravotnej poisťovne v prvom stupni</w:t>
            </w:r>
          </w:p>
          <w:p w:rsidR="0087428E" w:rsidRPr="0087428E" w:rsidRDefault="0087428E" w:rsidP="0087428E">
            <w:pPr>
              <w:spacing w:after="0" w:line="240" w:lineRule="auto"/>
              <w:jc w:val="both"/>
              <w:rPr>
                <w:rFonts w:ascii="Arial Narrow" w:hAnsi="Arial Narrow"/>
              </w:rPr>
            </w:pPr>
            <w:r w:rsidRPr="0087428E">
              <w:rPr>
                <w:rFonts w:ascii="Arial Narrow" w:hAnsi="Arial Narrow"/>
              </w:rPr>
              <w:t>Navrhuje sa zrušiť možnosť vydania platobného výmeru Úradom. Úlohy druhostupňového (odvolacieho) orgánu v plnej miere prevezme Úrad. Zároveň by malo prísť k rozšíreniu kompetencií úradu o kontrolu aj neposkytnutej zdravotnej starostlivosti, resp. či bola poskytnutá neodkladná zdravotná starostlivosť.</w:t>
            </w:r>
          </w:p>
          <w:p w:rsidR="00D94D57" w:rsidRPr="0087428E" w:rsidRDefault="00D94D57" w:rsidP="0087428E">
            <w:pPr>
              <w:spacing w:after="0" w:line="240" w:lineRule="auto"/>
              <w:jc w:val="both"/>
              <w:rPr>
                <w:rFonts w:ascii="Arial Narrow" w:hAnsi="Arial Narrow"/>
              </w:rPr>
            </w:pPr>
            <w:r w:rsidRPr="0087428E">
              <w:rPr>
                <w:rFonts w:ascii="Arial Narrow" w:hAnsi="Arial Narrow"/>
              </w:rPr>
              <w:t>Zároveň by malo prísť k rozšíreniu kompetencií úradu o kontrolu aj neposkytnutej zdravotnej starostlivosti, rozhodovania, či ide o neodkladnú zdravotnú starostlivosť.</w:t>
            </w:r>
          </w:p>
          <w:p w:rsidR="00D94D57" w:rsidRPr="0087428E" w:rsidRDefault="00D94D57" w:rsidP="0087428E">
            <w:pPr>
              <w:spacing w:after="0" w:line="240" w:lineRule="auto"/>
              <w:jc w:val="both"/>
              <w:rPr>
                <w:rFonts w:ascii="Arial Narrow" w:hAnsi="Arial Narrow"/>
              </w:rPr>
            </w:pPr>
          </w:p>
          <w:p w:rsidR="00D94D57" w:rsidRPr="0087428E" w:rsidRDefault="003414EC" w:rsidP="0087428E">
            <w:pPr>
              <w:keepNext/>
              <w:spacing w:after="0" w:line="240" w:lineRule="auto"/>
              <w:contextualSpacing/>
              <w:jc w:val="both"/>
              <w:rPr>
                <w:rFonts w:ascii="Arial Narrow" w:hAnsi="Arial Narrow"/>
                <w:b/>
                <w:u w:val="single"/>
              </w:rPr>
            </w:pPr>
            <w:r>
              <w:rPr>
                <w:rFonts w:ascii="Arial Narrow" w:hAnsi="Arial Narrow"/>
                <w:b/>
                <w:u w:val="single"/>
              </w:rPr>
              <w:t>B</w:t>
            </w:r>
            <w:r w:rsidR="00D94D57" w:rsidRPr="0087428E">
              <w:rPr>
                <w:rFonts w:ascii="Arial Narrow" w:hAnsi="Arial Narrow"/>
                <w:b/>
                <w:u w:val="single"/>
              </w:rPr>
              <w:t xml:space="preserve"> Prerozdeľovanie poistného</w:t>
            </w:r>
          </w:p>
          <w:p w:rsidR="00D94D57" w:rsidRPr="0087428E" w:rsidRDefault="00AA018B" w:rsidP="0087428E">
            <w:pPr>
              <w:spacing w:after="0" w:line="240" w:lineRule="auto"/>
              <w:jc w:val="both"/>
              <w:rPr>
                <w:rFonts w:ascii="Arial Narrow" w:hAnsi="Arial Narrow"/>
              </w:rPr>
            </w:pPr>
            <w:r>
              <w:rPr>
                <w:rFonts w:ascii="Arial Narrow" w:hAnsi="Arial Narrow"/>
              </w:rPr>
              <w:t>Je</w:t>
            </w:r>
            <w:r w:rsidR="00D94D57" w:rsidRPr="0087428E">
              <w:rPr>
                <w:rFonts w:ascii="Arial Narrow" w:hAnsi="Arial Narrow"/>
              </w:rPr>
              <w:t xml:space="preserve"> snahou zachovať prerozdeľovací mechanizmus a naďalej ho zdokonaľovať tak, aby v čo najvyššej miere bránil selekcii rizika  poisťovňami, a aby každá poisťovňa mala k dispozícii obdobný objem zdrojov na poistenca s vybranými charakteristikami; v situácii, kedy zdravotná poisťovňa spravuje verejné zdroje je nevyhnutné, aby zdravotné profily poistencov jednotlivej zdravotnej poisťovne nespôsobovali nerovnaké postavenie zdravotných poisťovní navzájom. </w:t>
            </w:r>
          </w:p>
          <w:p w:rsidR="00D94D57" w:rsidRPr="0087428E" w:rsidRDefault="00D94D57" w:rsidP="0087428E">
            <w:pPr>
              <w:spacing w:after="0" w:line="240" w:lineRule="auto"/>
              <w:jc w:val="both"/>
              <w:rPr>
                <w:rFonts w:ascii="Arial Narrow" w:hAnsi="Arial Narrow"/>
              </w:rPr>
            </w:pPr>
          </w:p>
          <w:p w:rsidR="00D94D57" w:rsidRPr="0087428E" w:rsidRDefault="003414EC" w:rsidP="0087428E">
            <w:pPr>
              <w:keepNext/>
              <w:spacing w:after="0" w:line="240" w:lineRule="auto"/>
              <w:contextualSpacing/>
              <w:jc w:val="both"/>
              <w:rPr>
                <w:rFonts w:ascii="Arial Narrow" w:hAnsi="Arial Narrow"/>
                <w:b/>
                <w:bCs/>
                <w:u w:val="single"/>
              </w:rPr>
            </w:pPr>
            <w:r>
              <w:rPr>
                <w:rFonts w:ascii="Arial Narrow" w:hAnsi="Arial Narrow"/>
                <w:b/>
                <w:u w:val="single"/>
              </w:rPr>
              <w:t>C</w:t>
            </w:r>
            <w:r w:rsidR="00D94D57" w:rsidRPr="0087428E">
              <w:rPr>
                <w:rFonts w:ascii="Arial Narrow" w:hAnsi="Arial Narrow"/>
                <w:b/>
                <w:u w:val="single"/>
              </w:rPr>
              <w:t> </w:t>
            </w:r>
            <w:r w:rsidR="00D94D57" w:rsidRPr="0087428E">
              <w:rPr>
                <w:rFonts w:ascii="Arial Narrow" w:hAnsi="Arial Narrow"/>
                <w:b/>
                <w:bCs/>
                <w:u w:val="single"/>
              </w:rPr>
              <w:t>Riešenie ďalších problémov z aplikačnej praxe verejného zdravotného poistenia</w:t>
            </w:r>
          </w:p>
          <w:p w:rsidR="00D94D57" w:rsidRPr="0087428E" w:rsidRDefault="00D94D57" w:rsidP="0087428E">
            <w:pPr>
              <w:spacing w:after="0" w:line="240" w:lineRule="auto"/>
              <w:jc w:val="both"/>
              <w:rPr>
                <w:rFonts w:ascii="Arial Narrow" w:hAnsi="Arial Narrow"/>
              </w:rPr>
            </w:pPr>
            <w:r w:rsidRPr="0087428E">
              <w:rPr>
                <w:rFonts w:ascii="Arial Narrow" w:hAnsi="Arial Narrow"/>
              </w:rPr>
              <w:t>Viaceré čiastkové oblasti, týkajúce sa výkonu verejného zdravotného poistenia, ktorých potreba riešenia vyplynula z aplikačnej praxe (obete obchodovania s ľuďmi a ich verejné zdravotné poistenie, spresnenie náležitostí prihlášky poistenca, úprava ustanovení o ročnom zúčtovaní poistného, proces predpisovania pohľadávok, odpisovania pohľadávok a pod.)</w:t>
            </w:r>
          </w:p>
          <w:p w:rsidR="00D94D57" w:rsidRPr="0087428E" w:rsidRDefault="00D94D57" w:rsidP="0087428E">
            <w:pPr>
              <w:pStyle w:val="Odsekzoznamu"/>
              <w:spacing w:after="0" w:line="240" w:lineRule="auto"/>
              <w:ind w:left="0"/>
              <w:jc w:val="both"/>
              <w:rPr>
                <w:rFonts w:ascii="Arial Narrow" w:hAnsi="Arial Narrow"/>
                <w:color w:val="000000"/>
              </w:rPr>
            </w:pPr>
          </w:p>
        </w:tc>
      </w:tr>
      <w:tr w:rsidR="00D14828" w:rsidRPr="0087428E" w:rsidTr="009B09A7">
        <w:tc>
          <w:tcPr>
            <w:tcW w:w="9209" w:type="dxa"/>
            <w:gridSpan w:val="10"/>
            <w:tcBorders>
              <w:bottom w:val="nil"/>
            </w:tcBorders>
            <w:shd w:val="clear" w:color="auto" w:fill="E2E2E2"/>
          </w:tcPr>
          <w:p w:rsidR="00D14828" w:rsidRPr="0087428E" w:rsidRDefault="00D14828" w:rsidP="0087428E">
            <w:pPr>
              <w:pStyle w:val="Odsekzoznamu"/>
              <w:numPr>
                <w:ilvl w:val="0"/>
                <w:numId w:val="1"/>
              </w:numPr>
              <w:spacing w:after="0" w:line="240" w:lineRule="auto"/>
              <w:ind w:left="426" w:hanging="426"/>
              <w:jc w:val="both"/>
              <w:rPr>
                <w:rFonts w:ascii="Arial Narrow" w:hAnsi="Arial Narrow"/>
                <w:b/>
              </w:rPr>
            </w:pPr>
            <w:r w:rsidRPr="0087428E">
              <w:rPr>
                <w:rFonts w:ascii="Arial Narrow" w:hAnsi="Arial Narrow"/>
                <w:b/>
              </w:rPr>
              <w:t>Dotknuté subjekty</w:t>
            </w:r>
          </w:p>
        </w:tc>
      </w:tr>
      <w:tr w:rsidR="00D14828" w:rsidRPr="0087428E" w:rsidTr="009B09A7">
        <w:tc>
          <w:tcPr>
            <w:tcW w:w="9209" w:type="dxa"/>
            <w:gridSpan w:val="10"/>
            <w:tcBorders>
              <w:top w:val="nil"/>
            </w:tcBorders>
            <w:shd w:val="clear" w:color="auto" w:fill="FFFFFF"/>
          </w:tcPr>
          <w:p w:rsidR="00D14828" w:rsidRPr="0087428E" w:rsidRDefault="003414EC" w:rsidP="0087428E">
            <w:pPr>
              <w:spacing w:after="0" w:line="240" w:lineRule="auto"/>
              <w:jc w:val="both"/>
              <w:rPr>
                <w:rFonts w:ascii="Arial Narrow" w:hAnsi="Arial Narrow"/>
              </w:rPr>
            </w:pPr>
            <w:r>
              <w:rPr>
                <w:rFonts w:ascii="Arial Narrow" w:hAnsi="Arial Narrow"/>
              </w:rPr>
              <w:lastRenderedPageBreak/>
              <w:t>Z</w:t>
            </w:r>
            <w:r w:rsidR="00D14828" w:rsidRPr="0087428E">
              <w:rPr>
                <w:rFonts w:ascii="Arial Narrow" w:hAnsi="Arial Narrow"/>
              </w:rPr>
              <w:t>dravotné poisťovne</w:t>
            </w:r>
            <w:r w:rsidR="00D94D57" w:rsidRPr="0087428E">
              <w:rPr>
                <w:rFonts w:ascii="Arial Narrow" w:hAnsi="Arial Narrow"/>
              </w:rPr>
              <w:t>, poistenci, platitelia poistného, úrad pre dohľad nad zdravotnou starostlivosťou</w:t>
            </w:r>
          </w:p>
          <w:p w:rsidR="00E327DC" w:rsidRPr="0087428E" w:rsidRDefault="00E327DC" w:rsidP="0087428E">
            <w:pPr>
              <w:spacing w:after="0" w:line="240" w:lineRule="auto"/>
              <w:jc w:val="both"/>
              <w:rPr>
                <w:rFonts w:ascii="Arial Narrow" w:hAnsi="Arial Narrow"/>
              </w:rPr>
            </w:pPr>
          </w:p>
        </w:tc>
      </w:tr>
      <w:tr w:rsidR="00D14828" w:rsidRPr="0087428E" w:rsidTr="009B09A7">
        <w:tc>
          <w:tcPr>
            <w:tcW w:w="9209" w:type="dxa"/>
            <w:gridSpan w:val="10"/>
            <w:tcBorders>
              <w:bottom w:val="nil"/>
            </w:tcBorders>
            <w:shd w:val="clear" w:color="auto" w:fill="E2E2E2"/>
          </w:tcPr>
          <w:p w:rsidR="00D14828" w:rsidRPr="0087428E" w:rsidRDefault="00D14828" w:rsidP="0087428E">
            <w:pPr>
              <w:pStyle w:val="Odsekzoznamu"/>
              <w:numPr>
                <w:ilvl w:val="0"/>
                <w:numId w:val="1"/>
              </w:numPr>
              <w:spacing w:after="0" w:line="240" w:lineRule="auto"/>
              <w:ind w:left="502"/>
              <w:jc w:val="both"/>
              <w:rPr>
                <w:rFonts w:ascii="Arial Narrow" w:hAnsi="Arial Narrow"/>
                <w:b/>
              </w:rPr>
            </w:pPr>
            <w:r w:rsidRPr="0087428E">
              <w:rPr>
                <w:rFonts w:ascii="Arial Narrow" w:hAnsi="Arial Narrow"/>
                <w:b/>
              </w:rPr>
              <w:t>Alternatívne riešenia</w:t>
            </w:r>
          </w:p>
        </w:tc>
      </w:tr>
      <w:tr w:rsidR="00D14828" w:rsidRPr="0087428E" w:rsidTr="009B09A7">
        <w:trPr>
          <w:trHeight w:val="427"/>
        </w:trPr>
        <w:tc>
          <w:tcPr>
            <w:tcW w:w="9209" w:type="dxa"/>
            <w:gridSpan w:val="10"/>
            <w:tcBorders>
              <w:top w:val="nil"/>
            </w:tcBorders>
            <w:shd w:val="clear" w:color="auto" w:fill="FFFFFF"/>
          </w:tcPr>
          <w:p w:rsidR="00D14828" w:rsidRPr="0087428E" w:rsidRDefault="00D14828" w:rsidP="0087428E">
            <w:pPr>
              <w:spacing w:after="0" w:line="240" w:lineRule="auto"/>
              <w:jc w:val="both"/>
              <w:rPr>
                <w:rFonts w:ascii="Arial Narrow" w:hAnsi="Arial Narrow"/>
              </w:rPr>
            </w:pPr>
            <w:r w:rsidRPr="0087428E">
              <w:rPr>
                <w:rFonts w:ascii="Arial Narrow" w:hAnsi="Arial Narrow"/>
              </w:rPr>
              <w:t xml:space="preserve">Nie sú. </w:t>
            </w:r>
          </w:p>
          <w:p w:rsidR="00D14828" w:rsidRPr="0087428E" w:rsidRDefault="00D14828" w:rsidP="0087428E">
            <w:pPr>
              <w:spacing w:after="0" w:line="240" w:lineRule="auto"/>
              <w:jc w:val="both"/>
              <w:rPr>
                <w:rFonts w:ascii="Arial Narrow" w:hAnsi="Arial Narrow"/>
              </w:rPr>
            </w:pPr>
            <w:r w:rsidRPr="0087428E">
              <w:rPr>
                <w:rFonts w:ascii="Arial Narrow" w:hAnsi="Arial Narrow"/>
              </w:rPr>
              <w:t xml:space="preserve">Nultý variant: Platná právna úprava si vyžaduje zmenu, nakoľko </w:t>
            </w:r>
            <w:r w:rsidR="00D94D57" w:rsidRPr="0087428E">
              <w:rPr>
                <w:rFonts w:ascii="Arial Narrow" w:hAnsi="Arial Narrow"/>
              </w:rPr>
              <w:t>nedostatočne upravuje vzťahy pri vykonávaní verejného zdravotného poistenia.</w:t>
            </w:r>
            <w:r w:rsidRPr="0087428E">
              <w:rPr>
                <w:rFonts w:ascii="Arial Narrow" w:hAnsi="Arial Narrow"/>
              </w:rPr>
              <w:t xml:space="preserve"> Ak by nedošlo k vydaniu </w:t>
            </w:r>
            <w:r w:rsidR="00D94D57" w:rsidRPr="0087428E">
              <w:rPr>
                <w:rFonts w:ascii="Arial Narrow" w:hAnsi="Arial Narrow"/>
              </w:rPr>
              <w:t xml:space="preserve">tejto právnej úpravy </w:t>
            </w:r>
            <w:r w:rsidRPr="0087428E">
              <w:rPr>
                <w:rFonts w:ascii="Arial Narrow" w:hAnsi="Arial Narrow"/>
              </w:rPr>
              <w:t xml:space="preserve">by bola v rozpore s aplikovaním </w:t>
            </w:r>
            <w:r w:rsidR="00D94D57" w:rsidRPr="0087428E">
              <w:rPr>
                <w:rFonts w:ascii="Arial Narrow" w:hAnsi="Arial Narrow"/>
              </w:rPr>
              <w:t>napr. GDPR</w:t>
            </w:r>
            <w:r w:rsidRPr="0087428E">
              <w:rPr>
                <w:rFonts w:ascii="Arial Narrow" w:hAnsi="Arial Narrow"/>
              </w:rPr>
              <w:t>. Uvedené by malo priamy negatívny dopad na kvalitu poskytovania zdravotnej starostlivosti a</w:t>
            </w:r>
            <w:r w:rsidR="00D94D57" w:rsidRPr="0087428E">
              <w:rPr>
                <w:rFonts w:ascii="Arial Narrow" w:hAnsi="Arial Narrow"/>
              </w:rPr>
              <w:t> vykonávania verejného zdravotného poistenia</w:t>
            </w:r>
            <w:r w:rsidRPr="0087428E">
              <w:rPr>
                <w:rFonts w:ascii="Arial Narrow" w:hAnsi="Arial Narrow"/>
              </w:rPr>
              <w:t>.</w:t>
            </w:r>
          </w:p>
        </w:tc>
      </w:tr>
      <w:tr w:rsidR="00D14828" w:rsidRPr="0087428E" w:rsidTr="009B09A7">
        <w:tc>
          <w:tcPr>
            <w:tcW w:w="9209" w:type="dxa"/>
            <w:gridSpan w:val="10"/>
            <w:tcBorders>
              <w:bottom w:val="single" w:sz="4" w:space="0" w:color="FFFFFF"/>
            </w:tcBorders>
            <w:shd w:val="clear" w:color="auto" w:fill="E2E2E2"/>
          </w:tcPr>
          <w:p w:rsidR="00D14828" w:rsidRPr="0087428E" w:rsidRDefault="00D14828" w:rsidP="0087428E">
            <w:pPr>
              <w:pStyle w:val="Odsekzoznamu"/>
              <w:numPr>
                <w:ilvl w:val="0"/>
                <w:numId w:val="1"/>
              </w:numPr>
              <w:spacing w:after="0" w:line="240" w:lineRule="auto"/>
              <w:ind w:left="426"/>
              <w:jc w:val="both"/>
              <w:rPr>
                <w:rFonts w:ascii="Arial Narrow" w:hAnsi="Arial Narrow"/>
                <w:b/>
              </w:rPr>
            </w:pPr>
            <w:r w:rsidRPr="0087428E">
              <w:rPr>
                <w:rFonts w:ascii="Arial Narrow" w:hAnsi="Arial Narrow"/>
                <w:b/>
              </w:rPr>
              <w:t>Vykonávacie predpisy</w:t>
            </w:r>
          </w:p>
        </w:tc>
      </w:tr>
      <w:tr w:rsidR="00D14828" w:rsidRPr="0087428E" w:rsidTr="009B09A7">
        <w:tc>
          <w:tcPr>
            <w:tcW w:w="6043" w:type="dxa"/>
            <w:gridSpan w:val="6"/>
            <w:tcBorders>
              <w:top w:val="single" w:sz="4" w:space="0" w:color="FFFFFF"/>
              <w:bottom w:val="nil"/>
              <w:right w:val="nil"/>
            </w:tcBorders>
            <w:shd w:val="clear" w:color="auto" w:fill="FFFFFF"/>
          </w:tcPr>
          <w:p w:rsidR="00D14828" w:rsidRPr="0087428E" w:rsidRDefault="00D14828" w:rsidP="0087428E">
            <w:pPr>
              <w:spacing w:after="0" w:line="240" w:lineRule="auto"/>
              <w:jc w:val="both"/>
              <w:rPr>
                <w:rFonts w:ascii="Arial Narrow" w:hAnsi="Arial Narrow"/>
                <w:i/>
              </w:rPr>
            </w:pPr>
            <w:r w:rsidRPr="0087428E">
              <w:rPr>
                <w:rFonts w:ascii="Arial Narrow" w:hAnsi="Arial Narrow"/>
                <w:i/>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D14828" w:rsidRPr="0087428E" w:rsidRDefault="00D94D57" w:rsidP="0087428E">
            <w:pPr>
              <w:spacing w:after="0" w:line="240" w:lineRule="auto"/>
              <w:jc w:val="both"/>
              <w:rPr>
                <w:rFonts w:ascii="Arial Narrow" w:hAnsi="Arial Narrow"/>
                <w:b/>
              </w:rPr>
            </w:pPr>
            <w:r w:rsidRPr="0087428E">
              <w:rPr>
                <w:rFonts w:ascii="Segoe UI Symbol" w:eastAsia="MS Mincho" w:hAnsi="Segoe UI Symbol" w:cs="Segoe UI Symbol"/>
              </w:rPr>
              <w:t>☒</w:t>
            </w:r>
            <w:r w:rsidR="00D14828" w:rsidRPr="0087428E">
              <w:rPr>
                <w:rFonts w:ascii="Arial Narrow" w:hAnsi="Arial Narrow"/>
                <w:b/>
              </w:rPr>
              <w:t xml:space="preserve"> Áno</w:t>
            </w:r>
          </w:p>
        </w:tc>
        <w:tc>
          <w:tcPr>
            <w:tcW w:w="1749" w:type="dxa"/>
            <w:gridSpan w:val="2"/>
            <w:tcBorders>
              <w:top w:val="single" w:sz="4" w:space="0" w:color="FFFFFF"/>
              <w:left w:val="nil"/>
              <w:bottom w:val="nil"/>
            </w:tcBorders>
            <w:shd w:val="clear" w:color="auto" w:fill="FFFFFF"/>
          </w:tcPr>
          <w:p w:rsidR="00D14828" w:rsidRPr="0087428E" w:rsidRDefault="00D94D57" w:rsidP="0087428E">
            <w:pPr>
              <w:spacing w:after="0" w:line="240" w:lineRule="auto"/>
              <w:jc w:val="both"/>
              <w:rPr>
                <w:rFonts w:ascii="Arial Narrow" w:hAnsi="Arial Narrow"/>
              </w:rPr>
            </w:pPr>
            <w:r w:rsidRPr="0087428E">
              <w:rPr>
                <w:rFonts w:ascii="Segoe UI Symbol" w:eastAsia="MS Mincho" w:hAnsi="Segoe UI Symbol" w:cs="Segoe UI Symbol"/>
              </w:rPr>
              <w:t>☐</w:t>
            </w:r>
            <w:r w:rsidR="00D14828" w:rsidRPr="0087428E">
              <w:rPr>
                <w:rFonts w:ascii="Arial Narrow" w:hAnsi="Arial Narrow"/>
              </w:rPr>
              <w:t xml:space="preserve"> Nie</w:t>
            </w:r>
          </w:p>
        </w:tc>
      </w:tr>
      <w:tr w:rsidR="00D14828" w:rsidRPr="0087428E" w:rsidTr="009B09A7">
        <w:tc>
          <w:tcPr>
            <w:tcW w:w="9209" w:type="dxa"/>
            <w:gridSpan w:val="10"/>
            <w:tcBorders>
              <w:top w:val="nil"/>
            </w:tcBorders>
            <w:shd w:val="clear" w:color="auto" w:fill="FFFFFF"/>
          </w:tcPr>
          <w:p w:rsidR="00D14828" w:rsidRPr="0087428E" w:rsidRDefault="00D14828" w:rsidP="0087428E">
            <w:pPr>
              <w:spacing w:after="0" w:line="240" w:lineRule="auto"/>
              <w:jc w:val="both"/>
              <w:rPr>
                <w:rFonts w:ascii="Arial Narrow" w:hAnsi="Arial Narrow"/>
                <w:i/>
              </w:rPr>
            </w:pPr>
            <w:r w:rsidRPr="0087428E">
              <w:rPr>
                <w:rFonts w:ascii="Arial Narrow" w:hAnsi="Arial Narrow"/>
                <w:i/>
              </w:rPr>
              <w:t>Ak áno, uveďte ktoré oblasti budú nimi upravené, resp. ktorých vykonávacích predpisov sa zmena dotkne:</w:t>
            </w:r>
          </w:p>
          <w:p w:rsidR="00C756CA" w:rsidRPr="0087428E" w:rsidRDefault="00370B65" w:rsidP="0087428E">
            <w:pPr>
              <w:pStyle w:val="Zkladntext"/>
              <w:numPr>
                <w:ilvl w:val="0"/>
                <w:numId w:val="9"/>
              </w:numPr>
              <w:spacing w:after="0"/>
              <w:jc w:val="both"/>
              <w:rPr>
                <w:rFonts w:ascii="Arial Narrow" w:eastAsiaTheme="minorEastAsia" w:hAnsi="Arial Narrow"/>
                <w:sz w:val="22"/>
                <w:szCs w:val="22"/>
                <w:lang w:eastAsia="sk-SK"/>
              </w:rPr>
            </w:pPr>
            <w:r w:rsidRPr="0087428E">
              <w:rPr>
                <w:rFonts w:ascii="Arial Narrow" w:eastAsiaTheme="minorEastAsia" w:hAnsi="Arial Narrow"/>
                <w:sz w:val="22"/>
                <w:szCs w:val="22"/>
                <w:lang w:eastAsia="sk-SK"/>
              </w:rPr>
              <w:t>V</w:t>
            </w:r>
            <w:r w:rsidR="004F29F7" w:rsidRPr="0087428E">
              <w:rPr>
                <w:rFonts w:ascii="Arial Narrow" w:eastAsiaTheme="minorEastAsia" w:hAnsi="Arial Narrow"/>
                <w:sz w:val="22"/>
                <w:szCs w:val="22"/>
                <w:lang w:eastAsia="sk-SK"/>
              </w:rPr>
              <w:t>yhláška MZSR o viacročných nákladových skupinách</w:t>
            </w:r>
          </w:p>
          <w:p w:rsidR="00C756CA" w:rsidRPr="0087428E" w:rsidRDefault="00370B65" w:rsidP="0087428E">
            <w:pPr>
              <w:pStyle w:val="Zkladntext"/>
              <w:numPr>
                <w:ilvl w:val="0"/>
                <w:numId w:val="9"/>
              </w:numPr>
              <w:spacing w:after="0"/>
              <w:jc w:val="both"/>
              <w:rPr>
                <w:rFonts w:ascii="Arial Narrow" w:eastAsiaTheme="minorEastAsia" w:hAnsi="Arial Narrow"/>
                <w:sz w:val="22"/>
                <w:szCs w:val="22"/>
                <w:lang w:eastAsia="sk-SK"/>
              </w:rPr>
            </w:pPr>
            <w:r w:rsidRPr="0087428E">
              <w:rPr>
                <w:rFonts w:ascii="Arial Narrow" w:hAnsi="Arial Narrow"/>
                <w:sz w:val="22"/>
                <w:szCs w:val="22"/>
              </w:rPr>
              <w:t>Vyhláška</w:t>
            </w:r>
            <w:r w:rsidR="004F29F7" w:rsidRPr="0087428E">
              <w:rPr>
                <w:rFonts w:ascii="Arial Narrow" w:hAnsi="Arial Narrow"/>
                <w:sz w:val="22"/>
                <w:szCs w:val="22"/>
              </w:rPr>
              <w:t xml:space="preserve"> Ministerstva zdravotníctva Slovenskej republiky č. 765/2004 Z. z. o výške úhrady za úkony Úradu pre dohľad nad zdravotnou starostlivosťou v znení neskorších predpisov</w:t>
            </w:r>
          </w:p>
          <w:p w:rsidR="00D14828" w:rsidRPr="0087428E" w:rsidRDefault="00D14828" w:rsidP="0087428E">
            <w:pPr>
              <w:pStyle w:val="Odsekzoznamu"/>
              <w:widowControl w:val="0"/>
              <w:autoSpaceDE w:val="0"/>
              <w:autoSpaceDN w:val="0"/>
              <w:adjustRightInd w:val="0"/>
              <w:spacing w:after="0" w:line="240" w:lineRule="auto"/>
              <w:jc w:val="both"/>
              <w:rPr>
                <w:rFonts w:ascii="Arial Narrow" w:hAnsi="Arial Narrow"/>
              </w:rPr>
            </w:pPr>
          </w:p>
        </w:tc>
      </w:tr>
      <w:tr w:rsidR="00D14828" w:rsidRPr="0087428E" w:rsidTr="009B09A7">
        <w:tc>
          <w:tcPr>
            <w:tcW w:w="9209" w:type="dxa"/>
            <w:gridSpan w:val="10"/>
            <w:tcBorders>
              <w:bottom w:val="single" w:sz="4" w:space="0" w:color="FFFFFF"/>
            </w:tcBorders>
            <w:shd w:val="clear" w:color="auto" w:fill="E2E2E2"/>
          </w:tcPr>
          <w:p w:rsidR="00D14828" w:rsidRPr="0087428E" w:rsidRDefault="00D14828" w:rsidP="0087428E">
            <w:pPr>
              <w:pStyle w:val="Odsekzoznamu"/>
              <w:numPr>
                <w:ilvl w:val="0"/>
                <w:numId w:val="1"/>
              </w:numPr>
              <w:spacing w:after="0" w:line="240" w:lineRule="auto"/>
              <w:ind w:left="426"/>
              <w:jc w:val="both"/>
              <w:rPr>
                <w:rFonts w:ascii="Arial Narrow" w:hAnsi="Arial Narrow"/>
                <w:b/>
              </w:rPr>
            </w:pPr>
            <w:r w:rsidRPr="0087428E">
              <w:rPr>
                <w:rFonts w:ascii="Arial Narrow" w:hAnsi="Arial Narrow"/>
                <w:b/>
              </w:rPr>
              <w:t xml:space="preserve">Transpozícia práva EÚ </w:t>
            </w:r>
          </w:p>
        </w:tc>
      </w:tr>
      <w:tr w:rsidR="00D14828" w:rsidRPr="0087428E" w:rsidTr="00BD277D">
        <w:trPr>
          <w:trHeight w:val="645"/>
        </w:trPr>
        <w:tc>
          <w:tcPr>
            <w:tcW w:w="9209" w:type="dxa"/>
            <w:gridSpan w:val="10"/>
            <w:tcBorders>
              <w:top w:val="nil"/>
              <w:left w:val="single" w:sz="4" w:space="0" w:color="000000"/>
              <w:bottom w:val="nil"/>
            </w:tcBorders>
            <w:shd w:val="clear" w:color="auto" w:fill="FFFFFF"/>
          </w:tcPr>
          <w:p w:rsidR="00D14828" w:rsidRPr="0087428E" w:rsidRDefault="00D14828" w:rsidP="0087428E">
            <w:pPr>
              <w:spacing w:after="0" w:line="240" w:lineRule="auto"/>
              <w:jc w:val="both"/>
              <w:rPr>
                <w:rFonts w:ascii="Arial Narrow" w:hAnsi="Arial Narrow"/>
                <w:i/>
              </w:rPr>
            </w:pPr>
            <w:r w:rsidRPr="0087428E">
              <w:rPr>
                <w:rFonts w:ascii="Arial Narrow" w:hAnsi="Arial Narrow"/>
                <w:i/>
              </w:rPr>
              <w:t>Uveďte, v ktorých ustanoveniach ide národná právna úprava nad rámec minimálnych požiadaviek EÚ spolu s odôvodnením.</w:t>
            </w:r>
          </w:p>
          <w:p w:rsidR="00D14828" w:rsidRPr="0087428E" w:rsidRDefault="00D14828" w:rsidP="0087428E">
            <w:pPr>
              <w:numPr>
                <w:ilvl w:val="0"/>
                <w:numId w:val="2"/>
              </w:numPr>
              <w:spacing w:after="0" w:line="240" w:lineRule="auto"/>
              <w:jc w:val="both"/>
              <w:rPr>
                <w:rFonts w:ascii="Arial Narrow" w:hAnsi="Arial Narrow"/>
              </w:rPr>
            </w:pPr>
          </w:p>
        </w:tc>
      </w:tr>
      <w:tr w:rsidR="00D14828" w:rsidRPr="0087428E" w:rsidTr="009B09A7">
        <w:tc>
          <w:tcPr>
            <w:tcW w:w="9209" w:type="dxa"/>
            <w:gridSpan w:val="10"/>
            <w:tcBorders>
              <w:bottom w:val="single" w:sz="4" w:space="0" w:color="FFFFFF"/>
            </w:tcBorders>
            <w:shd w:val="clear" w:color="auto" w:fill="E2E2E2"/>
          </w:tcPr>
          <w:p w:rsidR="00D14828" w:rsidRPr="0087428E" w:rsidRDefault="00D14828" w:rsidP="0087428E">
            <w:pPr>
              <w:pStyle w:val="Odsekzoznamu"/>
              <w:numPr>
                <w:ilvl w:val="0"/>
                <w:numId w:val="1"/>
              </w:numPr>
              <w:spacing w:after="0" w:line="240" w:lineRule="auto"/>
              <w:ind w:left="426"/>
              <w:jc w:val="both"/>
              <w:rPr>
                <w:rFonts w:ascii="Arial Narrow" w:hAnsi="Arial Narrow"/>
                <w:b/>
              </w:rPr>
            </w:pPr>
            <w:r w:rsidRPr="0087428E">
              <w:rPr>
                <w:rFonts w:ascii="Arial Narrow" w:hAnsi="Arial Narrow"/>
                <w:b/>
              </w:rPr>
              <w:t>Preskúmanie účelnosti**</w:t>
            </w:r>
          </w:p>
        </w:tc>
      </w:tr>
      <w:tr w:rsidR="00D14828" w:rsidRPr="0087428E" w:rsidTr="009B09A7">
        <w:tc>
          <w:tcPr>
            <w:tcW w:w="9209" w:type="dxa"/>
            <w:gridSpan w:val="10"/>
            <w:tcBorders>
              <w:top w:val="single" w:sz="4" w:space="0" w:color="FFFFFF"/>
            </w:tcBorders>
            <w:shd w:val="clear" w:color="auto" w:fill="FFFFFF"/>
          </w:tcPr>
          <w:p w:rsidR="00D14828" w:rsidRPr="0087428E" w:rsidRDefault="00D14828" w:rsidP="0087428E">
            <w:pPr>
              <w:spacing w:after="0" w:line="240" w:lineRule="auto"/>
              <w:jc w:val="both"/>
              <w:rPr>
                <w:rFonts w:ascii="Arial Narrow" w:hAnsi="Arial Narrow"/>
                <w:i/>
              </w:rPr>
            </w:pPr>
            <w:r w:rsidRPr="0087428E">
              <w:rPr>
                <w:rFonts w:ascii="Arial Narrow" w:hAnsi="Arial Narrow"/>
                <w:i/>
              </w:rPr>
              <w:t>Uveďte termín, kedy by malo dôjsť k preskúmaniu účinnosti a účelnosti navrhovaného predpisu.</w:t>
            </w:r>
          </w:p>
          <w:p w:rsidR="00D14828" w:rsidRPr="0087428E" w:rsidRDefault="00D14828" w:rsidP="0087428E">
            <w:pPr>
              <w:spacing w:after="0" w:line="240" w:lineRule="auto"/>
              <w:jc w:val="both"/>
              <w:rPr>
                <w:rFonts w:ascii="Arial Narrow" w:hAnsi="Arial Narrow"/>
                <w:i/>
              </w:rPr>
            </w:pPr>
            <w:r w:rsidRPr="0087428E">
              <w:rPr>
                <w:rFonts w:ascii="Arial Narrow" w:hAnsi="Arial Narrow"/>
                <w:i/>
              </w:rPr>
              <w:t>Uveďte kritériá, na základe ktorých bude preskúmanie vykonané.</w:t>
            </w:r>
          </w:p>
        </w:tc>
      </w:tr>
      <w:tr w:rsidR="00D14828" w:rsidRPr="0087428E" w:rsidTr="009B09A7">
        <w:tc>
          <w:tcPr>
            <w:tcW w:w="9209" w:type="dxa"/>
            <w:gridSpan w:val="10"/>
            <w:tcBorders>
              <w:top w:val="nil"/>
              <w:left w:val="nil"/>
              <w:right w:val="nil"/>
            </w:tcBorders>
            <w:shd w:val="clear" w:color="auto" w:fill="FFFFFF"/>
          </w:tcPr>
          <w:p w:rsidR="00D14828" w:rsidRPr="0087428E" w:rsidRDefault="00D14828" w:rsidP="0087428E">
            <w:pPr>
              <w:spacing w:after="0" w:line="240" w:lineRule="auto"/>
              <w:jc w:val="both"/>
              <w:rPr>
                <w:rFonts w:ascii="Arial Narrow" w:hAnsi="Arial Narrow"/>
                <w:b/>
              </w:rPr>
            </w:pPr>
          </w:p>
        </w:tc>
      </w:tr>
      <w:tr w:rsidR="00D14828" w:rsidRPr="0087428E" w:rsidTr="009B09A7">
        <w:trPr>
          <w:trHeight w:val="577"/>
        </w:trPr>
        <w:tc>
          <w:tcPr>
            <w:tcW w:w="9209" w:type="dxa"/>
            <w:gridSpan w:val="10"/>
            <w:tcBorders>
              <w:bottom w:val="single" w:sz="4" w:space="0" w:color="FFFFFF"/>
            </w:tcBorders>
            <w:shd w:val="clear" w:color="auto" w:fill="E2E2E2"/>
            <w:vAlign w:val="center"/>
          </w:tcPr>
          <w:p w:rsidR="00D14828" w:rsidRPr="0087428E" w:rsidRDefault="00D14828" w:rsidP="0087428E">
            <w:pPr>
              <w:pStyle w:val="Odsekzoznamu"/>
              <w:numPr>
                <w:ilvl w:val="0"/>
                <w:numId w:val="1"/>
              </w:numPr>
              <w:spacing w:after="0" w:line="240" w:lineRule="auto"/>
              <w:ind w:left="426"/>
              <w:jc w:val="both"/>
              <w:rPr>
                <w:rFonts w:ascii="Arial Narrow" w:hAnsi="Arial Narrow"/>
                <w:b/>
              </w:rPr>
            </w:pPr>
            <w:r w:rsidRPr="0087428E">
              <w:rPr>
                <w:rFonts w:ascii="Arial Narrow" w:hAnsi="Arial Narrow"/>
                <w:b/>
              </w:rPr>
              <w:t>Vplyvy navrhovaného materiálu</w:t>
            </w:r>
          </w:p>
        </w:tc>
      </w:tr>
      <w:tr w:rsidR="00D14828" w:rsidRPr="0087428E" w:rsidTr="009B09A7">
        <w:tc>
          <w:tcPr>
            <w:tcW w:w="3652" w:type="dxa"/>
            <w:tcBorders>
              <w:bottom w:val="nil"/>
            </w:tcBorders>
            <w:shd w:val="clear" w:color="auto" w:fill="E2E2E2"/>
          </w:tcPr>
          <w:p w:rsidR="00D14828" w:rsidRPr="0087428E" w:rsidRDefault="00D14828" w:rsidP="0087428E">
            <w:pPr>
              <w:spacing w:after="0" w:line="240" w:lineRule="auto"/>
              <w:jc w:val="both"/>
              <w:rPr>
                <w:rFonts w:ascii="Arial Narrow" w:hAnsi="Arial Narrow"/>
              </w:rPr>
            </w:pPr>
            <w:r w:rsidRPr="0087428E">
              <w:rPr>
                <w:rFonts w:ascii="Arial Narrow" w:hAnsi="Arial Narrow"/>
              </w:rPr>
              <w:t>Vplyvy na rozpočet verejnej správy</w:t>
            </w:r>
          </w:p>
        </w:tc>
        <w:tc>
          <w:tcPr>
            <w:tcW w:w="596" w:type="dxa"/>
            <w:gridSpan w:val="2"/>
            <w:tcBorders>
              <w:right w:val="nil"/>
            </w:tcBorders>
          </w:tcPr>
          <w:p w:rsidR="00D14828" w:rsidRPr="0087428E" w:rsidRDefault="00694AF2"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226" w:type="dxa"/>
            <w:gridSpan w:val="2"/>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Arial Narrow" w:hAnsi="Arial Narrow"/>
              </w:rPr>
              <w:t>Pozitívne</w:t>
            </w:r>
          </w:p>
        </w:tc>
        <w:tc>
          <w:tcPr>
            <w:tcW w:w="569" w:type="dxa"/>
            <w:tcBorders>
              <w:left w:val="nil"/>
              <w:right w:val="nil"/>
            </w:tcBorders>
          </w:tcPr>
          <w:p w:rsidR="00D14828" w:rsidRPr="0087428E" w:rsidRDefault="00694AF2"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133" w:type="dxa"/>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Arial Narrow" w:hAnsi="Arial Narrow"/>
              </w:rPr>
              <w:t>Žiadne</w:t>
            </w:r>
          </w:p>
        </w:tc>
        <w:tc>
          <w:tcPr>
            <w:tcW w:w="616" w:type="dxa"/>
            <w:gridSpan w:val="2"/>
            <w:tcBorders>
              <w:left w:val="nil"/>
              <w:right w:val="nil"/>
            </w:tcBorders>
          </w:tcPr>
          <w:p w:rsidR="00D14828" w:rsidRPr="0087428E" w:rsidRDefault="00694AF2" w:rsidP="0087428E">
            <w:pPr>
              <w:spacing w:after="0" w:line="240" w:lineRule="auto"/>
              <w:ind w:left="-107" w:right="-108"/>
              <w:jc w:val="both"/>
              <w:rPr>
                <w:rFonts w:ascii="Arial Narrow" w:hAnsi="Arial Narrow"/>
              </w:rPr>
            </w:pPr>
            <w:r w:rsidRPr="0087428E">
              <w:rPr>
                <w:rFonts w:ascii="Segoe UI Symbol" w:eastAsia="MS Mincho" w:hAnsi="Segoe UI Symbol" w:cs="Segoe UI Symbol"/>
              </w:rPr>
              <w:t>☒</w:t>
            </w:r>
          </w:p>
        </w:tc>
        <w:tc>
          <w:tcPr>
            <w:tcW w:w="1417" w:type="dxa"/>
            <w:tcBorders>
              <w:left w:val="nil"/>
            </w:tcBorders>
          </w:tcPr>
          <w:p w:rsidR="00D14828" w:rsidRPr="0087428E" w:rsidRDefault="00D14828" w:rsidP="0087428E">
            <w:pPr>
              <w:spacing w:after="0" w:line="240" w:lineRule="auto"/>
              <w:ind w:left="34"/>
              <w:jc w:val="both"/>
              <w:rPr>
                <w:rFonts w:ascii="Arial Narrow" w:hAnsi="Arial Narrow"/>
              </w:rPr>
            </w:pPr>
            <w:r w:rsidRPr="0087428E">
              <w:rPr>
                <w:rFonts w:ascii="Arial Narrow" w:hAnsi="Arial Narrow"/>
              </w:rPr>
              <w:t>Negatívne</w:t>
            </w:r>
          </w:p>
        </w:tc>
      </w:tr>
      <w:tr w:rsidR="00D14828" w:rsidRPr="0087428E" w:rsidTr="009B09A7">
        <w:tc>
          <w:tcPr>
            <w:tcW w:w="3652" w:type="dxa"/>
            <w:tcBorders>
              <w:top w:val="nil"/>
              <w:bottom w:val="single" w:sz="4" w:space="0" w:color="000000"/>
            </w:tcBorders>
            <w:shd w:val="clear" w:color="auto" w:fill="E2E2E2"/>
          </w:tcPr>
          <w:p w:rsidR="00D14828" w:rsidRPr="0087428E" w:rsidRDefault="00D14828" w:rsidP="0087428E">
            <w:pPr>
              <w:spacing w:after="0" w:line="240" w:lineRule="auto"/>
              <w:jc w:val="both"/>
              <w:rPr>
                <w:rFonts w:ascii="Arial Narrow" w:hAnsi="Arial Narrow"/>
              </w:rPr>
            </w:pPr>
            <w:r w:rsidRPr="0087428E">
              <w:rPr>
                <w:rFonts w:ascii="Arial Narrow" w:hAnsi="Arial Narrow"/>
              </w:rPr>
              <w:t xml:space="preserve">    z toho rozpočtovo zabezpečené vplyvy</w:t>
            </w:r>
          </w:p>
        </w:tc>
        <w:tc>
          <w:tcPr>
            <w:tcW w:w="596" w:type="dxa"/>
            <w:gridSpan w:val="2"/>
            <w:tcBorders>
              <w:right w:val="nil"/>
            </w:tcBorders>
          </w:tcPr>
          <w:p w:rsidR="00D14828" w:rsidRPr="0087428E" w:rsidRDefault="003414EC"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226" w:type="dxa"/>
            <w:gridSpan w:val="2"/>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Arial Narrow" w:hAnsi="Arial Narrow"/>
              </w:rPr>
              <w:t>Áno</w:t>
            </w:r>
          </w:p>
        </w:tc>
        <w:tc>
          <w:tcPr>
            <w:tcW w:w="569" w:type="dxa"/>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133" w:type="dxa"/>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Arial Narrow" w:hAnsi="Arial Narrow"/>
              </w:rPr>
              <w:t>Nie</w:t>
            </w:r>
          </w:p>
        </w:tc>
        <w:tc>
          <w:tcPr>
            <w:tcW w:w="616" w:type="dxa"/>
            <w:gridSpan w:val="2"/>
            <w:tcBorders>
              <w:left w:val="nil"/>
              <w:right w:val="nil"/>
            </w:tcBorders>
          </w:tcPr>
          <w:p w:rsidR="00D14828" w:rsidRPr="0087428E" w:rsidRDefault="003414EC" w:rsidP="0087428E">
            <w:pPr>
              <w:spacing w:after="0" w:line="240" w:lineRule="auto"/>
              <w:ind w:left="-107" w:right="-108"/>
              <w:jc w:val="both"/>
              <w:rPr>
                <w:rFonts w:ascii="Arial Narrow" w:hAnsi="Arial Narrow"/>
              </w:rPr>
            </w:pPr>
            <w:r w:rsidRPr="0087428E">
              <w:rPr>
                <w:rFonts w:ascii="Segoe UI Symbol" w:eastAsia="MS Mincho" w:hAnsi="Segoe UI Symbol" w:cs="Segoe UI Symbol"/>
              </w:rPr>
              <w:t>☐</w:t>
            </w:r>
          </w:p>
        </w:tc>
        <w:tc>
          <w:tcPr>
            <w:tcW w:w="1417" w:type="dxa"/>
            <w:tcBorders>
              <w:left w:val="nil"/>
            </w:tcBorders>
          </w:tcPr>
          <w:p w:rsidR="00D14828" w:rsidRPr="0087428E" w:rsidRDefault="00D14828" w:rsidP="0087428E">
            <w:pPr>
              <w:spacing w:after="0" w:line="240" w:lineRule="auto"/>
              <w:ind w:left="34"/>
              <w:jc w:val="both"/>
              <w:rPr>
                <w:rFonts w:ascii="Arial Narrow" w:hAnsi="Arial Narrow"/>
              </w:rPr>
            </w:pPr>
            <w:r w:rsidRPr="0087428E">
              <w:rPr>
                <w:rFonts w:ascii="Arial Narrow" w:hAnsi="Arial Narrow"/>
              </w:rPr>
              <w:t>Čiastočne</w:t>
            </w:r>
          </w:p>
        </w:tc>
      </w:tr>
      <w:tr w:rsidR="00D14828" w:rsidRPr="0087428E" w:rsidTr="009B09A7">
        <w:tc>
          <w:tcPr>
            <w:tcW w:w="3652" w:type="dxa"/>
            <w:tcBorders>
              <w:top w:val="single" w:sz="4" w:space="0" w:color="000000"/>
              <w:bottom w:val="nil"/>
            </w:tcBorders>
            <w:shd w:val="clear" w:color="auto" w:fill="E2E2E2"/>
          </w:tcPr>
          <w:p w:rsidR="00D14828" w:rsidRPr="0087428E" w:rsidRDefault="00D14828" w:rsidP="0087428E">
            <w:pPr>
              <w:spacing w:after="0" w:line="240" w:lineRule="auto"/>
              <w:jc w:val="both"/>
              <w:rPr>
                <w:rFonts w:ascii="Arial Narrow" w:hAnsi="Arial Narrow"/>
              </w:rPr>
            </w:pPr>
            <w:r w:rsidRPr="0087428E">
              <w:rPr>
                <w:rFonts w:ascii="Arial Narrow" w:hAnsi="Arial Narrow"/>
              </w:rPr>
              <w:t>Vplyvy na podnikateľské prostredie</w:t>
            </w:r>
          </w:p>
        </w:tc>
        <w:tc>
          <w:tcPr>
            <w:tcW w:w="596" w:type="dxa"/>
            <w:gridSpan w:val="2"/>
            <w:tcBorders>
              <w:right w:val="nil"/>
            </w:tcBorders>
          </w:tcPr>
          <w:p w:rsidR="00D14828" w:rsidRPr="0087428E" w:rsidRDefault="00DF6735" w:rsidP="0087428E">
            <w:pPr>
              <w:spacing w:after="0" w:line="240" w:lineRule="auto"/>
              <w:jc w:val="both"/>
              <w:rPr>
                <w:rFonts w:ascii="Arial Narrow" w:hAnsi="Arial Narrow"/>
              </w:rPr>
            </w:pPr>
            <w:r w:rsidRPr="00DF6735">
              <w:rPr>
                <w:rFonts w:ascii="Segoe UI Symbol" w:eastAsia="MS Mincho" w:hAnsi="Segoe UI Symbol" w:cs="Segoe UI Symbol"/>
              </w:rPr>
              <w:t>☐</w:t>
            </w:r>
          </w:p>
        </w:tc>
        <w:tc>
          <w:tcPr>
            <w:tcW w:w="1226" w:type="dxa"/>
            <w:gridSpan w:val="2"/>
            <w:tcBorders>
              <w:left w:val="nil"/>
              <w:right w:val="nil"/>
            </w:tcBorders>
          </w:tcPr>
          <w:p w:rsidR="00D14828" w:rsidRPr="0087428E" w:rsidRDefault="00D14828" w:rsidP="0087428E">
            <w:pPr>
              <w:spacing w:after="0" w:line="240" w:lineRule="auto"/>
              <w:ind w:right="-108"/>
              <w:jc w:val="both"/>
              <w:rPr>
                <w:rFonts w:ascii="Arial Narrow" w:hAnsi="Arial Narrow"/>
              </w:rPr>
            </w:pPr>
            <w:r w:rsidRPr="0087428E">
              <w:rPr>
                <w:rFonts w:ascii="Arial Narrow" w:hAnsi="Arial Narrow"/>
              </w:rPr>
              <w:t>Pozitívne</w:t>
            </w:r>
          </w:p>
        </w:tc>
        <w:tc>
          <w:tcPr>
            <w:tcW w:w="569" w:type="dxa"/>
            <w:tcBorders>
              <w:left w:val="nil"/>
              <w:right w:val="nil"/>
            </w:tcBorders>
          </w:tcPr>
          <w:p w:rsidR="00D14828" w:rsidRPr="0087428E" w:rsidRDefault="00694AF2"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133" w:type="dxa"/>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Arial Narrow" w:hAnsi="Arial Narrow"/>
              </w:rPr>
              <w:t>Žiadne</w:t>
            </w:r>
          </w:p>
        </w:tc>
        <w:tc>
          <w:tcPr>
            <w:tcW w:w="616" w:type="dxa"/>
            <w:gridSpan w:val="2"/>
            <w:tcBorders>
              <w:left w:val="nil"/>
              <w:right w:val="nil"/>
            </w:tcBorders>
          </w:tcPr>
          <w:p w:rsidR="00D14828" w:rsidRPr="0087428E" w:rsidRDefault="00694AF2"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417" w:type="dxa"/>
            <w:tcBorders>
              <w:left w:val="nil"/>
            </w:tcBorders>
          </w:tcPr>
          <w:p w:rsidR="00D14828" w:rsidRPr="0087428E" w:rsidRDefault="00D14828" w:rsidP="0087428E">
            <w:pPr>
              <w:spacing w:after="0" w:line="240" w:lineRule="auto"/>
              <w:ind w:left="54"/>
              <w:jc w:val="both"/>
              <w:rPr>
                <w:rFonts w:ascii="Arial Narrow" w:hAnsi="Arial Narrow"/>
              </w:rPr>
            </w:pPr>
            <w:r w:rsidRPr="0087428E">
              <w:rPr>
                <w:rFonts w:ascii="Arial Narrow" w:hAnsi="Arial Narrow"/>
              </w:rPr>
              <w:t>Negatívne</w:t>
            </w:r>
          </w:p>
        </w:tc>
      </w:tr>
      <w:tr w:rsidR="00D14828" w:rsidRPr="0087428E" w:rsidTr="009B09A7">
        <w:tc>
          <w:tcPr>
            <w:tcW w:w="3652" w:type="dxa"/>
            <w:tcBorders>
              <w:top w:val="nil"/>
              <w:left w:val="single" w:sz="4" w:space="0" w:color="000000"/>
              <w:bottom w:val="single" w:sz="4" w:space="0" w:color="000000"/>
              <w:right w:val="single" w:sz="4" w:space="0" w:color="000000"/>
            </w:tcBorders>
            <w:shd w:val="clear" w:color="auto" w:fill="E2E2E2"/>
          </w:tcPr>
          <w:p w:rsidR="00D14828" w:rsidRPr="0087428E" w:rsidRDefault="00D14828" w:rsidP="0087428E">
            <w:pPr>
              <w:spacing w:after="0" w:line="240" w:lineRule="auto"/>
              <w:jc w:val="both"/>
              <w:rPr>
                <w:rFonts w:ascii="Arial Narrow" w:hAnsi="Arial Narrow"/>
              </w:rPr>
            </w:pPr>
            <w:r w:rsidRPr="0087428E">
              <w:rPr>
                <w:rFonts w:ascii="Arial Narrow" w:hAnsi="Arial Narrow"/>
              </w:rPr>
              <w:t xml:space="preserve">    z toho vplyvy na MSP</w:t>
            </w:r>
          </w:p>
        </w:tc>
        <w:tc>
          <w:tcPr>
            <w:tcW w:w="596" w:type="dxa"/>
            <w:gridSpan w:val="2"/>
            <w:tcBorders>
              <w:left w:val="single" w:sz="4" w:space="0" w:color="000000"/>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226" w:type="dxa"/>
            <w:gridSpan w:val="2"/>
            <w:tcBorders>
              <w:left w:val="nil"/>
              <w:right w:val="nil"/>
            </w:tcBorders>
          </w:tcPr>
          <w:p w:rsidR="00D14828" w:rsidRPr="0087428E" w:rsidRDefault="00D14828" w:rsidP="0087428E">
            <w:pPr>
              <w:spacing w:after="0" w:line="240" w:lineRule="auto"/>
              <w:ind w:right="-108"/>
              <w:jc w:val="both"/>
              <w:rPr>
                <w:rFonts w:ascii="Arial Narrow" w:hAnsi="Arial Narrow"/>
              </w:rPr>
            </w:pPr>
            <w:r w:rsidRPr="0087428E">
              <w:rPr>
                <w:rFonts w:ascii="Arial Narrow" w:hAnsi="Arial Narrow"/>
              </w:rPr>
              <w:t>Pozitívne</w:t>
            </w:r>
          </w:p>
        </w:tc>
        <w:tc>
          <w:tcPr>
            <w:tcW w:w="569" w:type="dxa"/>
            <w:tcBorders>
              <w:left w:val="nil"/>
              <w:right w:val="nil"/>
            </w:tcBorders>
          </w:tcPr>
          <w:p w:rsidR="00D14828" w:rsidRPr="0087428E" w:rsidRDefault="00694AF2"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133" w:type="dxa"/>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Arial Narrow" w:hAnsi="Arial Narrow"/>
              </w:rPr>
              <w:t>Žiadne</w:t>
            </w:r>
          </w:p>
        </w:tc>
        <w:tc>
          <w:tcPr>
            <w:tcW w:w="616" w:type="dxa"/>
            <w:gridSpan w:val="2"/>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417" w:type="dxa"/>
            <w:tcBorders>
              <w:left w:val="nil"/>
            </w:tcBorders>
          </w:tcPr>
          <w:p w:rsidR="00D14828" w:rsidRPr="0087428E" w:rsidRDefault="00D14828" w:rsidP="0087428E">
            <w:pPr>
              <w:spacing w:after="0" w:line="240" w:lineRule="auto"/>
              <w:ind w:left="54"/>
              <w:jc w:val="both"/>
              <w:rPr>
                <w:rFonts w:ascii="Arial Narrow" w:hAnsi="Arial Narrow"/>
              </w:rPr>
            </w:pPr>
            <w:r w:rsidRPr="0087428E">
              <w:rPr>
                <w:rFonts w:ascii="Arial Narrow" w:hAnsi="Arial Narrow"/>
              </w:rPr>
              <w:t>Negatívne</w:t>
            </w:r>
          </w:p>
        </w:tc>
      </w:tr>
      <w:tr w:rsidR="00D14828" w:rsidRPr="0087428E" w:rsidTr="009B09A7">
        <w:tc>
          <w:tcPr>
            <w:tcW w:w="3652" w:type="dxa"/>
            <w:tcBorders>
              <w:top w:val="single" w:sz="4" w:space="0" w:color="000000"/>
            </w:tcBorders>
            <w:shd w:val="clear" w:color="auto" w:fill="E2E2E2"/>
          </w:tcPr>
          <w:p w:rsidR="00D14828" w:rsidRPr="0087428E" w:rsidRDefault="00D14828" w:rsidP="0087428E">
            <w:pPr>
              <w:spacing w:after="0" w:line="240" w:lineRule="auto"/>
              <w:jc w:val="both"/>
              <w:rPr>
                <w:rFonts w:ascii="Arial Narrow" w:hAnsi="Arial Narrow"/>
              </w:rPr>
            </w:pPr>
            <w:r w:rsidRPr="0087428E">
              <w:rPr>
                <w:rFonts w:ascii="Arial Narrow" w:hAnsi="Arial Narrow"/>
              </w:rPr>
              <w:t>Sociálne vplyvy</w:t>
            </w:r>
          </w:p>
        </w:tc>
        <w:tc>
          <w:tcPr>
            <w:tcW w:w="596" w:type="dxa"/>
            <w:gridSpan w:val="2"/>
            <w:tcBorders>
              <w:right w:val="nil"/>
            </w:tcBorders>
          </w:tcPr>
          <w:p w:rsidR="00D14828" w:rsidRPr="0087428E" w:rsidRDefault="003414EC"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226" w:type="dxa"/>
            <w:gridSpan w:val="2"/>
            <w:tcBorders>
              <w:left w:val="nil"/>
              <w:right w:val="nil"/>
            </w:tcBorders>
          </w:tcPr>
          <w:p w:rsidR="00D14828" w:rsidRPr="0087428E" w:rsidRDefault="00D14828" w:rsidP="0087428E">
            <w:pPr>
              <w:spacing w:after="0" w:line="240" w:lineRule="auto"/>
              <w:ind w:right="-108"/>
              <w:jc w:val="both"/>
              <w:rPr>
                <w:rFonts w:ascii="Arial Narrow" w:hAnsi="Arial Narrow"/>
              </w:rPr>
            </w:pPr>
            <w:r w:rsidRPr="0087428E">
              <w:rPr>
                <w:rFonts w:ascii="Arial Narrow" w:hAnsi="Arial Narrow"/>
              </w:rPr>
              <w:t>Pozitívne</w:t>
            </w:r>
          </w:p>
        </w:tc>
        <w:tc>
          <w:tcPr>
            <w:tcW w:w="569" w:type="dxa"/>
            <w:tcBorders>
              <w:left w:val="nil"/>
              <w:right w:val="nil"/>
            </w:tcBorders>
          </w:tcPr>
          <w:p w:rsidR="00D14828" w:rsidRPr="0087428E" w:rsidRDefault="003414EC"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133" w:type="dxa"/>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Arial Narrow" w:hAnsi="Arial Narrow"/>
              </w:rPr>
              <w:t>Žiadne</w:t>
            </w:r>
          </w:p>
        </w:tc>
        <w:tc>
          <w:tcPr>
            <w:tcW w:w="616" w:type="dxa"/>
            <w:gridSpan w:val="2"/>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417" w:type="dxa"/>
            <w:tcBorders>
              <w:left w:val="nil"/>
            </w:tcBorders>
          </w:tcPr>
          <w:p w:rsidR="00D14828" w:rsidRPr="0087428E" w:rsidRDefault="00D14828" w:rsidP="0087428E">
            <w:pPr>
              <w:spacing w:after="0" w:line="240" w:lineRule="auto"/>
              <w:ind w:left="54"/>
              <w:jc w:val="both"/>
              <w:rPr>
                <w:rFonts w:ascii="Arial Narrow" w:hAnsi="Arial Narrow"/>
              </w:rPr>
            </w:pPr>
            <w:r w:rsidRPr="0087428E">
              <w:rPr>
                <w:rFonts w:ascii="Arial Narrow" w:hAnsi="Arial Narrow"/>
              </w:rPr>
              <w:t>Negatívne</w:t>
            </w:r>
          </w:p>
        </w:tc>
      </w:tr>
      <w:tr w:rsidR="00D14828" w:rsidRPr="0087428E" w:rsidTr="009B09A7">
        <w:tc>
          <w:tcPr>
            <w:tcW w:w="3652" w:type="dxa"/>
            <w:shd w:val="clear" w:color="auto" w:fill="E2E2E2"/>
          </w:tcPr>
          <w:p w:rsidR="00D14828" w:rsidRPr="0087428E" w:rsidRDefault="00D14828" w:rsidP="0087428E">
            <w:pPr>
              <w:spacing w:after="0" w:line="240" w:lineRule="auto"/>
              <w:jc w:val="both"/>
              <w:rPr>
                <w:rFonts w:ascii="Arial Narrow" w:hAnsi="Arial Narrow"/>
              </w:rPr>
            </w:pPr>
            <w:r w:rsidRPr="0087428E">
              <w:rPr>
                <w:rFonts w:ascii="Arial Narrow" w:hAnsi="Arial Narrow"/>
              </w:rPr>
              <w:t>Vplyvy na životné prostredie</w:t>
            </w:r>
          </w:p>
        </w:tc>
        <w:tc>
          <w:tcPr>
            <w:tcW w:w="596" w:type="dxa"/>
            <w:gridSpan w:val="2"/>
            <w:tcBorders>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226" w:type="dxa"/>
            <w:gridSpan w:val="2"/>
            <w:tcBorders>
              <w:left w:val="nil"/>
              <w:right w:val="nil"/>
            </w:tcBorders>
          </w:tcPr>
          <w:p w:rsidR="00D14828" w:rsidRPr="0087428E" w:rsidRDefault="00D14828" w:rsidP="0087428E">
            <w:pPr>
              <w:spacing w:after="0" w:line="240" w:lineRule="auto"/>
              <w:ind w:right="-108"/>
              <w:jc w:val="both"/>
              <w:rPr>
                <w:rFonts w:ascii="Arial Narrow" w:hAnsi="Arial Narrow"/>
              </w:rPr>
            </w:pPr>
            <w:r w:rsidRPr="0087428E">
              <w:rPr>
                <w:rFonts w:ascii="Arial Narrow" w:hAnsi="Arial Narrow"/>
              </w:rPr>
              <w:t>Pozitívne</w:t>
            </w:r>
          </w:p>
        </w:tc>
        <w:tc>
          <w:tcPr>
            <w:tcW w:w="569" w:type="dxa"/>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133" w:type="dxa"/>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Arial Narrow" w:hAnsi="Arial Narrow"/>
              </w:rPr>
              <w:t>Žiadne</w:t>
            </w:r>
          </w:p>
        </w:tc>
        <w:tc>
          <w:tcPr>
            <w:tcW w:w="616" w:type="dxa"/>
            <w:gridSpan w:val="2"/>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417" w:type="dxa"/>
            <w:tcBorders>
              <w:left w:val="nil"/>
            </w:tcBorders>
          </w:tcPr>
          <w:p w:rsidR="00D14828" w:rsidRPr="0087428E" w:rsidRDefault="00D14828" w:rsidP="0087428E">
            <w:pPr>
              <w:spacing w:after="0" w:line="240" w:lineRule="auto"/>
              <w:ind w:left="54"/>
              <w:jc w:val="both"/>
              <w:rPr>
                <w:rFonts w:ascii="Arial Narrow" w:hAnsi="Arial Narrow"/>
              </w:rPr>
            </w:pPr>
            <w:r w:rsidRPr="0087428E">
              <w:rPr>
                <w:rFonts w:ascii="Arial Narrow" w:hAnsi="Arial Narrow"/>
              </w:rPr>
              <w:t>Negatívne</w:t>
            </w:r>
          </w:p>
        </w:tc>
      </w:tr>
      <w:tr w:rsidR="00D14828" w:rsidRPr="0087428E" w:rsidTr="009B09A7">
        <w:tc>
          <w:tcPr>
            <w:tcW w:w="3652" w:type="dxa"/>
            <w:shd w:val="clear" w:color="auto" w:fill="E2E2E2"/>
          </w:tcPr>
          <w:p w:rsidR="00D14828" w:rsidRPr="0087428E" w:rsidRDefault="00D14828" w:rsidP="0087428E">
            <w:pPr>
              <w:spacing w:after="0" w:line="240" w:lineRule="auto"/>
              <w:jc w:val="both"/>
              <w:rPr>
                <w:rFonts w:ascii="Arial Narrow" w:hAnsi="Arial Narrow"/>
              </w:rPr>
            </w:pPr>
            <w:r w:rsidRPr="0087428E">
              <w:rPr>
                <w:rFonts w:ascii="Arial Narrow" w:hAnsi="Arial Narrow"/>
              </w:rPr>
              <w:t>Vplyvy na informatizáciu</w:t>
            </w:r>
          </w:p>
        </w:tc>
        <w:tc>
          <w:tcPr>
            <w:tcW w:w="596" w:type="dxa"/>
            <w:gridSpan w:val="2"/>
            <w:tcBorders>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226" w:type="dxa"/>
            <w:gridSpan w:val="2"/>
            <w:tcBorders>
              <w:left w:val="nil"/>
              <w:right w:val="nil"/>
            </w:tcBorders>
          </w:tcPr>
          <w:p w:rsidR="00D14828" w:rsidRPr="0087428E" w:rsidRDefault="00D14828" w:rsidP="0087428E">
            <w:pPr>
              <w:spacing w:after="0" w:line="240" w:lineRule="auto"/>
              <w:ind w:right="-108"/>
              <w:jc w:val="both"/>
              <w:rPr>
                <w:rFonts w:ascii="Arial Narrow" w:hAnsi="Arial Narrow"/>
              </w:rPr>
            </w:pPr>
            <w:r w:rsidRPr="0087428E">
              <w:rPr>
                <w:rFonts w:ascii="Arial Narrow" w:hAnsi="Arial Narrow"/>
              </w:rPr>
              <w:t>Pozitívne</w:t>
            </w:r>
          </w:p>
        </w:tc>
        <w:tc>
          <w:tcPr>
            <w:tcW w:w="569" w:type="dxa"/>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133" w:type="dxa"/>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Arial Narrow" w:hAnsi="Arial Narrow"/>
              </w:rPr>
              <w:t>Žiadne</w:t>
            </w:r>
          </w:p>
        </w:tc>
        <w:tc>
          <w:tcPr>
            <w:tcW w:w="616" w:type="dxa"/>
            <w:gridSpan w:val="2"/>
            <w:tcBorders>
              <w:left w:val="nil"/>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417" w:type="dxa"/>
            <w:tcBorders>
              <w:left w:val="nil"/>
            </w:tcBorders>
          </w:tcPr>
          <w:p w:rsidR="00D14828" w:rsidRPr="0087428E" w:rsidRDefault="00D14828" w:rsidP="0087428E">
            <w:pPr>
              <w:spacing w:after="0" w:line="240" w:lineRule="auto"/>
              <w:ind w:left="54"/>
              <w:jc w:val="both"/>
              <w:rPr>
                <w:rFonts w:ascii="Arial Narrow" w:hAnsi="Arial Narrow"/>
              </w:rPr>
            </w:pPr>
            <w:r w:rsidRPr="0087428E">
              <w:rPr>
                <w:rFonts w:ascii="Arial Narrow" w:hAnsi="Arial Narrow"/>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596"/>
        <w:gridCol w:w="1276"/>
        <w:gridCol w:w="567"/>
        <w:gridCol w:w="1134"/>
        <w:gridCol w:w="567"/>
        <w:gridCol w:w="1388"/>
      </w:tblGrid>
      <w:tr w:rsidR="00D14828" w:rsidRPr="0087428E" w:rsidTr="009B09A7">
        <w:tc>
          <w:tcPr>
            <w:tcW w:w="3652" w:type="dxa"/>
            <w:tcBorders>
              <w:bottom w:val="nil"/>
            </w:tcBorders>
            <w:shd w:val="clear" w:color="auto" w:fill="E2E2E2"/>
          </w:tcPr>
          <w:p w:rsidR="00D14828" w:rsidRPr="0087428E" w:rsidRDefault="00D14828" w:rsidP="0087428E">
            <w:pPr>
              <w:spacing w:after="0" w:line="240" w:lineRule="auto"/>
              <w:jc w:val="both"/>
              <w:rPr>
                <w:rFonts w:ascii="Arial Narrow" w:hAnsi="Arial Narrow"/>
              </w:rPr>
            </w:pPr>
            <w:r w:rsidRPr="0087428E">
              <w:rPr>
                <w:rFonts w:ascii="Arial Narrow" w:hAnsi="Arial Narrow"/>
              </w:rPr>
              <w:t>Vplyvy na služby verejnej správy pre občana, z toho</w:t>
            </w:r>
          </w:p>
        </w:tc>
        <w:tc>
          <w:tcPr>
            <w:tcW w:w="596" w:type="dxa"/>
            <w:tcBorders>
              <w:bottom w:val="nil"/>
              <w:right w:val="nil"/>
            </w:tcBorders>
          </w:tcPr>
          <w:p w:rsidR="00D14828" w:rsidRPr="0087428E" w:rsidRDefault="00D14828" w:rsidP="0087428E">
            <w:pPr>
              <w:spacing w:after="0" w:line="240" w:lineRule="auto"/>
              <w:jc w:val="both"/>
              <w:rPr>
                <w:rFonts w:ascii="Arial Narrow" w:eastAsia="MS Mincho" w:hAnsi="Arial Narrow"/>
              </w:rPr>
            </w:pPr>
          </w:p>
        </w:tc>
        <w:tc>
          <w:tcPr>
            <w:tcW w:w="1276" w:type="dxa"/>
            <w:tcBorders>
              <w:left w:val="nil"/>
              <w:bottom w:val="nil"/>
              <w:right w:val="nil"/>
            </w:tcBorders>
          </w:tcPr>
          <w:p w:rsidR="00D14828" w:rsidRPr="0087428E" w:rsidRDefault="00D14828" w:rsidP="0087428E">
            <w:pPr>
              <w:spacing w:after="0" w:line="240" w:lineRule="auto"/>
              <w:ind w:right="-108"/>
              <w:jc w:val="both"/>
              <w:rPr>
                <w:rFonts w:ascii="Arial Narrow" w:hAnsi="Arial Narrow"/>
              </w:rPr>
            </w:pPr>
          </w:p>
        </w:tc>
        <w:tc>
          <w:tcPr>
            <w:tcW w:w="567" w:type="dxa"/>
            <w:tcBorders>
              <w:left w:val="nil"/>
              <w:bottom w:val="nil"/>
              <w:right w:val="nil"/>
            </w:tcBorders>
          </w:tcPr>
          <w:p w:rsidR="00D14828" w:rsidRPr="0087428E" w:rsidRDefault="00D14828" w:rsidP="0087428E">
            <w:pPr>
              <w:spacing w:after="0" w:line="240" w:lineRule="auto"/>
              <w:jc w:val="both"/>
              <w:rPr>
                <w:rFonts w:ascii="Arial Narrow" w:eastAsia="MS Mincho" w:hAnsi="Arial Narrow"/>
              </w:rPr>
            </w:pPr>
          </w:p>
        </w:tc>
        <w:tc>
          <w:tcPr>
            <w:tcW w:w="1134" w:type="dxa"/>
            <w:tcBorders>
              <w:left w:val="nil"/>
              <w:bottom w:val="nil"/>
              <w:right w:val="nil"/>
            </w:tcBorders>
          </w:tcPr>
          <w:p w:rsidR="00D14828" w:rsidRPr="0087428E" w:rsidRDefault="00D14828" w:rsidP="0087428E">
            <w:pPr>
              <w:spacing w:after="0" w:line="240" w:lineRule="auto"/>
              <w:jc w:val="both"/>
              <w:rPr>
                <w:rFonts w:ascii="Arial Narrow" w:hAnsi="Arial Narrow"/>
              </w:rPr>
            </w:pPr>
          </w:p>
        </w:tc>
        <w:tc>
          <w:tcPr>
            <w:tcW w:w="567" w:type="dxa"/>
            <w:tcBorders>
              <w:left w:val="nil"/>
              <w:bottom w:val="nil"/>
              <w:right w:val="nil"/>
            </w:tcBorders>
          </w:tcPr>
          <w:p w:rsidR="00D14828" w:rsidRPr="0087428E" w:rsidRDefault="00D14828" w:rsidP="0087428E">
            <w:pPr>
              <w:spacing w:after="0" w:line="240" w:lineRule="auto"/>
              <w:jc w:val="both"/>
              <w:rPr>
                <w:rFonts w:ascii="Arial Narrow" w:eastAsia="MS Mincho" w:hAnsi="Arial Narrow"/>
              </w:rPr>
            </w:pPr>
          </w:p>
        </w:tc>
        <w:tc>
          <w:tcPr>
            <w:tcW w:w="1388" w:type="dxa"/>
            <w:tcBorders>
              <w:left w:val="nil"/>
              <w:bottom w:val="nil"/>
            </w:tcBorders>
          </w:tcPr>
          <w:p w:rsidR="00D14828" w:rsidRPr="0087428E" w:rsidRDefault="00D14828" w:rsidP="0087428E">
            <w:pPr>
              <w:spacing w:after="0" w:line="240" w:lineRule="auto"/>
              <w:ind w:left="54"/>
              <w:jc w:val="both"/>
              <w:rPr>
                <w:rFonts w:ascii="Arial Narrow" w:hAnsi="Arial Narrow"/>
              </w:rPr>
            </w:pPr>
          </w:p>
        </w:tc>
      </w:tr>
      <w:tr w:rsidR="00D14828" w:rsidRPr="0087428E" w:rsidTr="00370B65">
        <w:trPr>
          <w:trHeight w:val="410"/>
        </w:trPr>
        <w:tc>
          <w:tcPr>
            <w:tcW w:w="3652" w:type="dxa"/>
            <w:tcBorders>
              <w:top w:val="nil"/>
              <w:bottom w:val="nil"/>
            </w:tcBorders>
            <w:shd w:val="clear" w:color="auto" w:fill="E2E2E2"/>
          </w:tcPr>
          <w:p w:rsidR="00D14828" w:rsidRPr="0087428E" w:rsidRDefault="00D14828" w:rsidP="0087428E">
            <w:pPr>
              <w:spacing w:after="0" w:line="240" w:lineRule="auto"/>
              <w:ind w:left="196" w:hanging="196"/>
              <w:jc w:val="both"/>
              <w:rPr>
                <w:rFonts w:ascii="Arial Narrow" w:hAnsi="Arial Narrow"/>
              </w:rPr>
            </w:pPr>
            <w:r w:rsidRPr="0087428E">
              <w:rPr>
                <w:rFonts w:ascii="Arial Narrow" w:hAnsi="Arial Narrow"/>
              </w:rPr>
              <w:t xml:space="preserve">    vplyvy služieb verejnej správy na občana</w:t>
            </w:r>
          </w:p>
        </w:tc>
        <w:tc>
          <w:tcPr>
            <w:tcW w:w="596" w:type="dxa"/>
            <w:tcBorders>
              <w:top w:val="nil"/>
              <w:bottom w:val="nil"/>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276" w:type="dxa"/>
            <w:tcBorders>
              <w:top w:val="nil"/>
              <w:left w:val="nil"/>
              <w:bottom w:val="nil"/>
              <w:right w:val="nil"/>
            </w:tcBorders>
          </w:tcPr>
          <w:p w:rsidR="00D14828" w:rsidRPr="0087428E" w:rsidRDefault="00D14828" w:rsidP="0087428E">
            <w:pPr>
              <w:spacing w:after="0" w:line="240" w:lineRule="auto"/>
              <w:ind w:right="-108"/>
              <w:jc w:val="both"/>
              <w:rPr>
                <w:rFonts w:ascii="Arial Narrow" w:hAnsi="Arial Narrow"/>
              </w:rPr>
            </w:pPr>
            <w:r w:rsidRPr="0087428E">
              <w:rPr>
                <w:rFonts w:ascii="Arial Narrow" w:hAnsi="Arial Narrow"/>
              </w:rPr>
              <w:t>Pozitívne</w:t>
            </w:r>
          </w:p>
        </w:tc>
        <w:tc>
          <w:tcPr>
            <w:tcW w:w="567" w:type="dxa"/>
            <w:tcBorders>
              <w:top w:val="nil"/>
              <w:left w:val="nil"/>
              <w:bottom w:val="nil"/>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134" w:type="dxa"/>
            <w:tcBorders>
              <w:top w:val="nil"/>
              <w:left w:val="nil"/>
              <w:bottom w:val="nil"/>
              <w:right w:val="nil"/>
            </w:tcBorders>
          </w:tcPr>
          <w:p w:rsidR="00D14828" w:rsidRPr="0087428E" w:rsidRDefault="00D14828" w:rsidP="0087428E">
            <w:pPr>
              <w:spacing w:after="0" w:line="240" w:lineRule="auto"/>
              <w:jc w:val="both"/>
              <w:rPr>
                <w:rFonts w:ascii="Arial Narrow" w:hAnsi="Arial Narrow"/>
              </w:rPr>
            </w:pPr>
            <w:r w:rsidRPr="0087428E">
              <w:rPr>
                <w:rFonts w:ascii="Arial Narrow" w:hAnsi="Arial Narrow"/>
              </w:rPr>
              <w:t>Žiadne</w:t>
            </w:r>
          </w:p>
        </w:tc>
        <w:tc>
          <w:tcPr>
            <w:tcW w:w="567" w:type="dxa"/>
            <w:tcBorders>
              <w:top w:val="nil"/>
              <w:left w:val="nil"/>
              <w:bottom w:val="nil"/>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388" w:type="dxa"/>
            <w:tcBorders>
              <w:top w:val="nil"/>
              <w:left w:val="nil"/>
              <w:bottom w:val="nil"/>
            </w:tcBorders>
          </w:tcPr>
          <w:p w:rsidR="00D14828" w:rsidRPr="0087428E" w:rsidRDefault="00D14828" w:rsidP="0087428E">
            <w:pPr>
              <w:spacing w:after="0" w:line="240" w:lineRule="auto"/>
              <w:ind w:left="54"/>
              <w:jc w:val="both"/>
              <w:rPr>
                <w:rFonts w:ascii="Arial Narrow" w:hAnsi="Arial Narrow"/>
              </w:rPr>
            </w:pPr>
            <w:r w:rsidRPr="0087428E">
              <w:rPr>
                <w:rFonts w:ascii="Arial Narrow" w:hAnsi="Arial Narrow"/>
              </w:rPr>
              <w:t>Negatívne</w:t>
            </w:r>
          </w:p>
        </w:tc>
      </w:tr>
      <w:tr w:rsidR="00D14828" w:rsidRPr="0087428E" w:rsidTr="00370B65">
        <w:trPr>
          <w:trHeight w:val="59"/>
        </w:trPr>
        <w:tc>
          <w:tcPr>
            <w:tcW w:w="3652" w:type="dxa"/>
            <w:tcBorders>
              <w:top w:val="nil"/>
            </w:tcBorders>
            <w:shd w:val="clear" w:color="auto" w:fill="E2E2E2"/>
          </w:tcPr>
          <w:p w:rsidR="00D14828" w:rsidRPr="0087428E" w:rsidRDefault="00D14828" w:rsidP="0087428E">
            <w:pPr>
              <w:spacing w:after="0" w:line="240" w:lineRule="auto"/>
              <w:ind w:left="168" w:hanging="168"/>
              <w:jc w:val="both"/>
              <w:rPr>
                <w:rFonts w:ascii="Arial Narrow" w:hAnsi="Arial Narrow"/>
              </w:rPr>
            </w:pPr>
            <w:r w:rsidRPr="0087428E">
              <w:rPr>
                <w:rFonts w:ascii="Arial Narrow" w:hAnsi="Arial Narrow"/>
              </w:rPr>
              <w:t xml:space="preserve">    vplyvy na procesy služieb vo verejnej správe</w:t>
            </w:r>
          </w:p>
        </w:tc>
        <w:tc>
          <w:tcPr>
            <w:tcW w:w="596" w:type="dxa"/>
            <w:tcBorders>
              <w:top w:val="nil"/>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276" w:type="dxa"/>
            <w:tcBorders>
              <w:top w:val="nil"/>
              <w:left w:val="nil"/>
              <w:right w:val="nil"/>
            </w:tcBorders>
          </w:tcPr>
          <w:p w:rsidR="00D14828" w:rsidRPr="0087428E" w:rsidRDefault="00D14828" w:rsidP="0087428E">
            <w:pPr>
              <w:spacing w:after="0" w:line="240" w:lineRule="auto"/>
              <w:ind w:right="-108"/>
              <w:jc w:val="both"/>
              <w:rPr>
                <w:rFonts w:ascii="Arial Narrow" w:hAnsi="Arial Narrow"/>
              </w:rPr>
            </w:pPr>
            <w:r w:rsidRPr="0087428E">
              <w:rPr>
                <w:rFonts w:ascii="Arial Narrow" w:hAnsi="Arial Narrow"/>
              </w:rPr>
              <w:t>Pozitívne</w:t>
            </w:r>
          </w:p>
        </w:tc>
        <w:tc>
          <w:tcPr>
            <w:tcW w:w="567" w:type="dxa"/>
            <w:tcBorders>
              <w:top w:val="nil"/>
              <w:left w:val="nil"/>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134" w:type="dxa"/>
            <w:tcBorders>
              <w:top w:val="nil"/>
              <w:left w:val="nil"/>
              <w:right w:val="nil"/>
            </w:tcBorders>
          </w:tcPr>
          <w:p w:rsidR="00D14828" w:rsidRPr="0087428E" w:rsidRDefault="00D14828" w:rsidP="0087428E">
            <w:pPr>
              <w:spacing w:after="0" w:line="240" w:lineRule="auto"/>
              <w:jc w:val="both"/>
              <w:rPr>
                <w:rFonts w:ascii="Arial Narrow" w:hAnsi="Arial Narrow"/>
              </w:rPr>
            </w:pPr>
            <w:r w:rsidRPr="0087428E">
              <w:rPr>
                <w:rFonts w:ascii="Arial Narrow" w:hAnsi="Arial Narrow"/>
              </w:rPr>
              <w:t>Žiadne</w:t>
            </w:r>
          </w:p>
        </w:tc>
        <w:tc>
          <w:tcPr>
            <w:tcW w:w="567" w:type="dxa"/>
            <w:tcBorders>
              <w:top w:val="nil"/>
              <w:left w:val="nil"/>
              <w:right w:val="nil"/>
            </w:tcBorders>
          </w:tcPr>
          <w:p w:rsidR="00D14828" w:rsidRPr="0087428E" w:rsidRDefault="00D14828" w:rsidP="0087428E">
            <w:pPr>
              <w:spacing w:after="0" w:line="240" w:lineRule="auto"/>
              <w:jc w:val="both"/>
              <w:rPr>
                <w:rFonts w:ascii="Arial Narrow" w:hAnsi="Arial Narrow"/>
              </w:rPr>
            </w:pPr>
            <w:r w:rsidRPr="0087428E">
              <w:rPr>
                <w:rFonts w:ascii="Segoe UI Symbol" w:eastAsia="MS Mincho" w:hAnsi="Segoe UI Symbol" w:cs="Segoe UI Symbol"/>
              </w:rPr>
              <w:t>☐</w:t>
            </w:r>
          </w:p>
        </w:tc>
        <w:tc>
          <w:tcPr>
            <w:tcW w:w="1388" w:type="dxa"/>
            <w:tcBorders>
              <w:top w:val="nil"/>
              <w:left w:val="nil"/>
            </w:tcBorders>
          </w:tcPr>
          <w:p w:rsidR="00D14828" w:rsidRPr="0087428E" w:rsidRDefault="00D14828" w:rsidP="0087428E">
            <w:pPr>
              <w:spacing w:after="0" w:line="240" w:lineRule="auto"/>
              <w:ind w:left="54"/>
              <w:jc w:val="both"/>
              <w:rPr>
                <w:rFonts w:ascii="Arial Narrow" w:hAnsi="Arial Narrow"/>
              </w:rPr>
            </w:pPr>
            <w:r w:rsidRPr="0087428E">
              <w:rPr>
                <w:rFonts w:ascii="Arial Narrow" w:hAnsi="Arial Narrow"/>
              </w:rPr>
              <w:t>Negatívne</w:t>
            </w:r>
          </w:p>
        </w:tc>
      </w:tr>
    </w:tbl>
    <w:p w:rsidR="00D14828" w:rsidRPr="0087428E" w:rsidRDefault="00D14828" w:rsidP="0087428E">
      <w:pPr>
        <w:spacing w:after="0" w:line="240" w:lineRule="auto"/>
        <w:jc w:val="both"/>
        <w:rPr>
          <w:rFonts w:ascii="Arial Narrow" w:hAnsi="Arial Narrow"/>
          <w:vanish/>
          <w:lang w:eastAsia="en-US"/>
        </w:rPr>
      </w:pPr>
    </w:p>
    <w:tbl>
      <w:tblPr>
        <w:tblStyle w:val="Mriekatabuky"/>
        <w:tblW w:w="9176" w:type="dxa"/>
        <w:tblLayout w:type="fixed"/>
        <w:tblLook w:val="00A0" w:firstRow="1" w:lastRow="0" w:firstColumn="1" w:lastColumn="0" w:noHBand="0" w:noVBand="0"/>
      </w:tblPr>
      <w:tblGrid>
        <w:gridCol w:w="9176"/>
      </w:tblGrid>
      <w:tr w:rsidR="00D14828" w:rsidRPr="0087428E" w:rsidTr="009B09A7">
        <w:tc>
          <w:tcPr>
            <w:tcW w:w="9176" w:type="dxa"/>
            <w:tcBorders>
              <w:bottom w:val="nil"/>
            </w:tcBorders>
            <w:shd w:val="clear" w:color="auto" w:fill="E2E2E2"/>
          </w:tcPr>
          <w:p w:rsidR="00D14828" w:rsidRPr="0087428E" w:rsidRDefault="00D14828" w:rsidP="0087428E">
            <w:pPr>
              <w:pStyle w:val="Odsekzoznamu"/>
              <w:numPr>
                <w:ilvl w:val="0"/>
                <w:numId w:val="1"/>
              </w:numPr>
              <w:spacing w:after="0" w:line="240" w:lineRule="auto"/>
              <w:ind w:left="567" w:hanging="436"/>
              <w:jc w:val="both"/>
              <w:rPr>
                <w:rFonts w:ascii="Arial Narrow" w:hAnsi="Arial Narrow"/>
                <w:b/>
              </w:rPr>
            </w:pPr>
            <w:r w:rsidRPr="0087428E">
              <w:rPr>
                <w:rFonts w:ascii="Arial Narrow" w:hAnsi="Arial Narrow"/>
                <w:b/>
              </w:rPr>
              <w:t>Poznámky</w:t>
            </w:r>
          </w:p>
        </w:tc>
      </w:tr>
      <w:tr w:rsidR="00D14828" w:rsidRPr="0087428E" w:rsidTr="00CB04BF">
        <w:trPr>
          <w:trHeight w:val="330"/>
        </w:trPr>
        <w:tc>
          <w:tcPr>
            <w:tcW w:w="9176" w:type="dxa"/>
            <w:tcBorders>
              <w:top w:val="nil"/>
              <w:bottom w:val="single" w:sz="4" w:space="0" w:color="FFFFFF"/>
            </w:tcBorders>
          </w:tcPr>
          <w:p w:rsidR="007725A7" w:rsidRPr="004002E5" w:rsidRDefault="007725A7" w:rsidP="007725A7">
            <w:pPr>
              <w:spacing w:after="0" w:line="240" w:lineRule="auto"/>
              <w:jc w:val="both"/>
              <w:rPr>
                <w:rFonts w:ascii="Arial Narrow" w:hAnsi="Arial Narrow"/>
                <w:i/>
                <w:sz w:val="20"/>
                <w:szCs w:val="20"/>
              </w:rPr>
            </w:pPr>
            <w:r w:rsidRPr="004002E5">
              <w:rPr>
                <w:rFonts w:ascii="Arial Narrow" w:hAnsi="Arial Narrow"/>
                <w:i/>
                <w:sz w:val="20"/>
                <w:szCs w:val="20"/>
              </w:rPr>
              <w:t>Stanovisko MZSR:</w:t>
            </w:r>
          </w:p>
          <w:p w:rsidR="007725A7" w:rsidRPr="004002E5" w:rsidRDefault="007725A7" w:rsidP="007725A7">
            <w:pPr>
              <w:spacing w:after="0" w:line="240" w:lineRule="auto"/>
              <w:jc w:val="both"/>
              <w:rPr>
                <w:rFonts w:ascii="Arial Narrow" w:hAnsi="Arial Narrow"/>
                <w:sz w:val="20"/>
                <w:szCs w:val="20"/>
              </w:rPr>
            </w:pPr>
            <w:r w:rsidRPr="004002E5">
              <w:rPr>
                <w:rFonts w:ascii="Arial Narrow" w:hAnsi="Arial Narrow"/>
                <w:sz w:val="20"/>
                <w:szCs w:val="20"/>
              </w:rPr>
              <w:t xml:space="preserve">Krytie negatívneho vplyvu na rozpočet verejnej správy je zabezpečené zo zdrojov verejného zdravotného poistenia. Dotknutým subjektom, ktorý zabezpečí realizáciu krytia sú zdravotné poisťovne. </w:t>
            </w:r>
          </w:p>
          <w:p w:rsidR="007725A7" w:rsidRPr="004002E5" w:rsidRDefault="007725A7" w:rsidP="007725A7">
            <w:pPr>
              <w:spacing w:after="0" w:line="240" w:lineRule="auto"/>
              <w:jc w:val="both"/>
              <w:rPr>
                <w:rFonts w:ascii="Arial Narrow" w:hAnsi="Arial Narrow"/>
                <w:sz w:val="20"/>
                <w:szCs w:val="20"/>
              </w:rPr>
            </w:pPr>
            <w:r w:rsidRPr="004002E5">
              <w:rPr>
                <w:rFonts w:ascii="Arial Narrow" w:hAnsi="Arial Narrow"/>
                <w:sz w:val="20"/>
                <w:szCs w:val="20"/>
              </w:rPr>
              <w:t>Podľa záverov Európskej komisie  z 15. 10. 2014, podľa ktorého v slovenskom systéme zdravotného poistenia prevládajú sociálne ciele, jedná sa o systém založený najmä na zásade solidarity, pričom Komisia dospela k záveru, že dotknuté činnosti (výkon verejného zdravotného poistenia) nemajú ekonomickú povahu. (</w:t>
            </w:r>
            <w:hyperlink r:id="rId5" w:history="1">
              <w:r w:rsidRPr="004002E5">
                <w:rPr>
                  <w:rStyle w:val="Nadpis2Char"/>
                  <w:rFonts w:ascii="Arial Narrow" w:hAnsi="Arial Narrow"/>
                  <w:sz w:val="20"/>
                  <w:szCs w:val="20"/>
                </w:rPr>
                <w:t>http://europa.eu/rapid/press-release_IP-14-1158_sk.htm</w:t>
              </w:r>
            </w:hyperlink>
            <w:r w:rsidRPr="004002E5">
              <w:rPr>
                <w:rFonts w:ascii="Arial Narrow" w:hAnsi="Arial Narrow"/>
                <w:sz w:val="20"/>
                <w:szCs w:val="20"/>
              </w:rPr>
              <w:t>). Tento záver sa vzťahuje na osobitný spôsob, akým je táto činnosť na Slovensku organizovaná a vykonávaná, a týka sa preto tohto konkrétneho systému v Slovenskej republike.</w:t>
            </w:r>
          </w:p>
          <w:p w:rsidR="00D14828" w:rsidRDefault="007725A7" w:rsidP="007725A7">
            <w:pPr>
              <w:spacing w:after="0" w:line="240" w:lineRule="auto"/>
              <w:jc w:val="both"/>
              <w:rPr>
                <w:rFonts w:ascii="Arial Narrow" w:hAnsi="Arial Narrow"/>
                <w:sz w:val="20"/>
                <w:szCs w:val="20"/>
              </w:rPr>
            </w:pPr>
            <w:r w:rsidRPr="004002E5">
              <w:rPr>
                <w:rFonts w:ascii="Arial Narrow" w:hAnsi="Arial Narrow"/>
                <w:sz w:val="20"/>
                <w:szCs w:val="20"/>
              </w:rPr>
              <w:t xml:space="preserve">V súlade s vyššie uvedenými závermi Európskej komisie nie je možné pokladať úhradu nákladov, spojených s danou zmenou z rozpočtu zdravotných poisťovní (t. j. zo zdrojov verejného zdravotného poistenia) za ekonomickú činnosť, nakoľko jednak výkon verejného zdravotného poistenia v SR nemá ekonomickú povahu, jednak sa jedná iba o prerozdelenie zdrojov verejného zdravotného poistenia, ktoré sa dostali do príjmov verejného zdravotného poistenia z titulu zvýšenia platby za poistencov štátu (zo štátneho rozpočtu).     </w:t>
            </w:r>
          </w:p>
          <w:p w:rsidR="007725A7" w:rsidRDefault="007725A7" w:rsidP="007725A7">
            <w:pPr>
              <w:spacing w:after="0" w:line="240" w:lineRule="auto"/>
              <w:jc w:val="both"/>
              <w:rPr>
                <w:rFonts w:ascii="Arial Narrow" w:hAnsi="Arial Narrow"/>
                <w:sz w:val="20"/>
                <w:szCs w:val="20"/>
              </w:rPr>
            </w:pPr>
          </w:p>
          <w:p w:rsidR="007725A7" w:rsidRPr="0087428E" w:rsidRDefault="007725A7" w:rsidP="007725A7">
            <w:pPr>
              <w:spacing w:after="0" w:line="240" w:lineRule="auto"/>
              <w:jc w:val="both"/>
              <w:rPr>
                <w:rFonts w:ascii="Arial Narrow" w:hAnsi="Arial Narrow"/>
              </w:rPr>
            </w:pPr>
          </w:p>
        </w:tc>
      </w:tr>
      <w:tr w:rsidR="00D14828" w:rsidRPr="0087428E" w:rsidTr="009B09A7">
        <w:tc>
          <w:tcPr>
            <w:tcW w:w="9176" w:type="dxa"/>
            <w:tcBorders>
              <w:bottom w:val="single" w:sz="4" w:space="0" w:color="FFFFFF"/>
            </w:tcBorders>
            <w:shd w:val="clear" w:color="auto" w:fill="E2E2E2"/>
          </w:tcPr>
          <w:p w:rsidR="00D14828" w:rsidRPr="0087428E" w:rsidRDefault="00D14828" w:rsidP="0087428E">
            <w:pPr>
              <w:pStyle w:val="Odsekzoznamu"/>
              <w:numPr>
                <w:ilvl w:val="0"/>
                <w:numId w:val="1"/>
              </w:numPr>
              <w:spacing w:after="0" w:line="240" w:lineRule="auto"/>
              <w:ind w:left="426"/>
              <w:jc w:val="both"/>
              <w:rPr>
                <w:rFonts w:ascii="Arial Narrow" w:hAnsi="Arial Narrow"/>
                <w:b/>
              </w:rPr>
            </w:pPr>
          </w:p>
        </w:tc>
      </w:tr>
      <w:tr w:rsidR="00D14828" w:rsidRPr="0087428E" w:rsidTr="009B09A7">
        <w:trPr>
          <w:trHeight w:val="586"/>
        </w:trPr>
        <w:tc>
          <w:tcPr>
            <w:tcW w:w="9176" w:type="dxa"/>
            <w:tcBorders>
              <w:top w:val="single" w:sz="4" w:space="0" w:color="FFFFFF"/>
            </w:tcBorders>
            <w:shd w:val="clear" w:color="auto" w:fill="FFFFFF"/>
          </w:tcPr>
          <w:p w:rsidR="00D14828" w:rsidRPr="0087428E" w:rsidRDefault="00AF4E74" w:rsidP="0087428E">
            <w:pPr>
              <w:spacing w:after="0" w:line="240" w:lineRule="auto"/>
              <w:jc w:val="both"/>
              <w:rPr>
                <w:rFonts w:ascii="Arial Narrow" w:hAnsi="Arial Narrow"/>
              </w:rPr>
            </w:pPr>
            <w:r w:rsidRPr="0087428E">
              <w:rPr>
                <w:rFonts w:ascii="Arial Narrow" w:hAnsi="Arial Narrow"/>
              </w:rPr>
              <w:t>Inštitút zdravotnej politiky MZSR</w:t>
            </w:r>
          </w:p>
        </w:tc>
      </w:tr>
      <w:tr w:rsidR="00D14828" w:rsidRPr="0087428E" w:rsidTr="009B09A7">
        <w:tc>
          <w:tcPr>
            <w:tcW w:w="9176" w:type="dxa"/>
            <w:tcBorders>
              <w:bottom w:val="single" w:sz="4" w:space="0" w:color="FFFFFF"/>
            </w:tcBorders>
            <w:shd w:val="clear" w:color="auto" w:fill="E2E2E2"/>
          </w:tcPr>
          <w:p w:rsidR="00D14828" w:rsidRPr="0087428E" w:rsidRDefault="00D14828" w:rsidP="0087428E">
            <w:pPr>
              <w:pStyle w:val="Odsekzoznamu"/>
              <w:numPr>
                <w:ilvl w:val="0"/>
                <w:numId w:val="1"/>
              </w:numPr>
              <w:spacing w:after="0" w:line="240" w:lineRule="auto"/>
              <w:ind w:left="502"/>
              <w:jc w:val="both"/>
              <w:rPr>
                <w:rFonts w:ascii="Arial Narrow" w:hAnsi="Arial Narrow"/>
                <w:b/>
              </w:rPr>
            </w:pPr>
            <w:r w:rsidRPr="0087428E">
              <w:rPr>
                <w:rFonts w:ascii="Arial Narrow" w:hAnsi="Arial Narrow"/>
                <w:b/>
              </w:rPr>
              <w:t>Zdroje</w:t>
            </w:r>
          </w:p>
        </w:tc>
      </w:tr>
      <w:tr w:rsidR="00D14828" w:rsidRPr="0087428E" w:rsidTr="009B09A7">
        <w:trPr>
          <w:trHeight w:val="401"/>
        </w:trPr>
        <w:tc>
          <w:tcPr>
            <w:tcW w:w="9176" w:type="dxa"/>
            <w:tcBorders>
              <w:top w:val="single" w:sz="4" w:space="0" w:color="FFFFFF"/>
            </w:tcBorders>
            <w:shd w:val="clear" w:color="auto" w:fill="FFFFFF"/>
          </w:tcPr>
          <w:p w:rsidR="00D14828" w:rsidRPr="0087428E" w:rsidRDefault="00D14828" w:rsidP="0087428E">
            <w:pPr>
              <w:spacing w:after="0" w:line="240" w:lineRule="auto"/>
              <w:jc w:val="both"/>
              <w:rPr>
                <w:rFonts w:ascii="Arial Narrow" w:hAnsi="Arial Narrow"/>
              </w:rPr>
            </w:pPr>
            <w:r w:rsidRPr="0087428E">
              <w:rPr>
                <w:rFonts w:ascii="Arial Narrow" w:hAnsi="Arial Narrow"/>
              </w:rPr>
              <w:t>Súvisiace platné právne predpisy, údaje zdravotných poisťovní</w:t>
            </w:r>
          </w:p>
          <w:p w:rsidR="00D14828" w:rsidRPr="0087428E" w:rsidRDefault="00D14828" w:rsidP="0087428E">
            <w:pPr>
              <w:spacing w:after="0" w:line="240" w:lineRule="auto"/>
              <w:jc w:val="both"/>
              <w:rPr>
                <w:rFonts w:ascii="Arial Narrow" w:hAnsi="Arial Narrow"/>
              </w:rPr>
            </w:pPr>
            <w:r w:rsidRPr="0087428E">
              <w:rPr>
                <w:rFonts w:ascii="Arial Narrow" w:hAnsi="Arial Narrow"/>
              </w:rPr>
              <w:t>Národné centrum zdravotníckych informácií, údaje od poskytovateľov zdravotnej starostlivosti</w:t>
            </w:r>
          </w:p>
        </w:tc>
      </w:tr>
      <w:tr w:rsidR="00D14828" w:rsidRPr="0087428E" w:rsidTr="009B09A7">
        <w:tc>
          <w:tcPr>
            <w:tcW w:w="9176" w:type="dxa"/>
            <w:tcBorders>
              <w:bottom w:val="single" w:sz="4" w:space="0" w:color="FFFFFF"/>
            </w:tcBorders>
            <w:shd w:val="clear" w:color="auto" w:fill="E2E2E2"/>
          </w:tcPr>
          <w:p w:rsidR="00D14828" w:rsidRPr="0087428E" w:rsidRDefault="00D14828" w:rsidP="0087428E">
            <w:pPr>
              <w:pStyle w:val="Odsekzoznamu"/>
              <w:numPr>
                <w:ilvl w:val="0"/>
                <w:numId w:val="1"/>
              </w:numPr>
              <w:spacing w:after="0" w:line="240" w:lineRule="auto"/>
              <w:ind w:left="502"/>
              <w:jc w:val="both"/>
              <w:rPr>
                <w:rFonts w:ascii="Arial Narrow" w:hAnsi="Arial Narrow"/>
                <w:b/>
              </w:rPr>
            </w:pPr>
            <w:r w:rsidRPr="0087428E">
              <w:rPr>
                <w:rFonts w:ascii="Arial Narrow" w:hAnsi="Arial Narrow"/>
                <w:b/>
              </w:rPr>
              <w:t>Stanovisko Komisie pre posudzovanie vybraných vplyvov z PPK</w:t>
            </w:r>
          </w:p>
        </w:tc>
      </w:tr>
      <w:tr w:rsidR="00D14828" w:rsidRPr="0087428E" w:rsidTr="009B09A7">
        <w:tc>
          <w:tcPr>
            <w:tcW w:w="9176" w:type="dxa"/>
            <w:tcBorders>
              <w:top w:val="single" w:sz="4" w:space="0" w:color="FFFFFF"/>
            </w:tcBorders>
            <w:shd w:val="clear" w:color="auto" w:fill="FFFFFF"/>
          </w:tcPr>
          <w:p w:rsidR="00D14828" w:rsidRDefault="00D14828" w:rsidP="0087428E">
            <w:pPr>
              <w:spacing w:after="0" w:line="240" w:lineRule="auto"/>
              <w:jc w:val="both"/>
              <w:rPr>
                <w:rFonts w:ascii="Arial Narrow" w:hAnsi="Arial Narrow"/>
                <w:i/>
              </w:rPr>
            </w:pPr>
            <w:r w:rsidRPr="0087428E">
              <w:rPr>
                <w:rFonts w:ascii="Arial Narrow" w:hAnsi="Arial Narrow"/>
                <w:i/>
              </w:rPr>
              <w:t>Uveďte stanovisko Komisie pre posudzovanie vybraných vplyvov, ktoré Vám bolo zaslané v rámci predbežného pripomienkového konania</w:t>
            </w:r>
            <w:r w:rsidR="004002E5" w:rsidRPr="0087428E">
              <w:rPr>
                <w:rFonts w:ascii="Arial Narrow" w:hAnsi="Arial Narrow"/>
                <w:i/>
              </w:rPr>
              <w:t>:</w:t>
            </w:r>
          </w:p>
          <w:p w:rsidR="007725A7" w:rsidRPr="007725A7" w:rsidRDefault="007725A7" w:rsidP="007725A7">
            <w:pPr>
              <w:tabs>
                <w:tab w:val="center" w:pos="6379"/>
              </w:tabs>
              <w:spacing w:after="0" w:line="240" w:lineRule="auto"/>
              <w:ind w:right="-2"/>
              <w:jc w:val="both"/>
              <w:rPr>
                <w:rFonts w:ascii="Arial Narrow" w:hAnsi="Arial Narrow"/>
                <w:i/>
              </w:rPr>
            </w:pPr>
            <w:r w:rsidRPr="007725A7">
              <w:rPr>
                <w:rFonts w:ascii="Arial Narrow" w:hAnsi="Arial Narrow"/>
                <w:i/>
              </w:rPr>
              <w:t>Vzhľadom na fakt, že predkladateľ uvádza v Doložke vybraných vplyvov tak negatívny, ako aj pozitívny vplyv na podnikateľské prostredie, Komisia žiada aj o kvalitatívny a kvantitatívny popis pozitívnych vplyvov, keďže v časti 3.1 Dotknuté podnikateľské subjekty sú spomínané len negatívne vplyvy.</w:t>
            </w:r>
          </w:p>
          <w:p w:rsidR="007725A7" w:rsidRPr="007725A7" w:rsidRDefault="007725A7" w:rsidP="007725A7">
            <w:pPr>
              <w:tabs>
                <w:tab w:val="center" w:pos="6379"/>
              </w:tabs>
              <w:spacing w:after="0" w:line="240" w:lineRule="auto"/>
              <w:ind w:right="-2"/>
              <w:jc w:val="both"/>
              <w:rPr>
                <w:rFonts w:ascii="Arial Narrow" w:hAnsi="Arial Narrow"/>
                <w:i/>
              </w:rPr>
            </w:pPr>
            <w:r w:rsidRPr="007725A7">
              <w:rPr>
                <w:rFonts w:ascii="Arial Narrow" w:hAnsi="Arial Narrow"/>
                <w:i/>
              </w:rPr>
              <w:tab/>
              <w:t>V súvislosti s vyššie uvedeným Komisia žiada predkladateľa o zaradenie vplyvu v podobe straty na príjmoch súkromných poisťovní do príslušnej časti Analýzy, keďže síce nedochádza k zvýšeniu, resp. zníženiu finančných nákladov, ale ide o určitú stratu na strane súkromných poisťovní a tiež o popis toho, na základe čoho k tejto strate dôjde.</w:t>
            </w:r>
          </w:p>
          <w:p w:rsidR="007725A7" w:rsidRPr="007725A7" w:rsidRDefault="007725A7" w:rsidP="007725A7">
            <w:pPr>
              <w:tabs>
                <w:tab w:val="center" w:pos="6379"/>
              </w:tabs>
              <w:spacing w:after="0" w:line="240" w:lineRule="auto"/>
              <w:ind w:right="-2"/>
              <w:jc w:val="both"/>
              <w:rPr>
                <w:rFonts w:ascii="Arial Narrow" w:hAnsi="Arial Narrow"/>
                <w:i/>
              </w:rPr>
            </w:pPr>
            <w:r w:rsidRPr="007725A7">
              <w:rPr>
                <w:rFonts w:ascii="Arial Narrow" w:hAnsi="Arial Narrow"/>
                <w:i/>
              </w:rPr>
              <w:tab/>
              <w:t>Zároveň Komisia žiada predkladateľa o konkrétnejší popis administratívnych nákladov, ktoré  podnikateľom môžu potenciálne vzniknúť, keďže formuláciu „Akékoľvek administratívne náklady zdravotné poisťovne vykryjú z vlastných zdrojov“  Komisia považuje za príliš všeobecnú.</w:t>
            </w:r>
          </w:p>
          <w:p w:rsidR="007725A7" w:rsidRPr="007725A7" w:rsidRDefault="007725A7" w:rsidP="007725A7">
            <w:pPr>
              <w:tabs>
                <w:tab w:val="center" w:pos="6379"/>
              </w:tabs>
              <w:spacing w:after="0" w:line="240" w:lineRule="auto"/>
              <w:ind w:right="-2"/>
              <w:jc w:val="both"/>
              <w:rPr>
                <w:rFonts w:ascii="Arial Narrow" w:hAnsi="Arial Narrow"/>
                <w:i/>
              </w:rPr>
            </w:pPr>
            <w:r w:rsidRPr="007725A7">
              <w:rPr>
                <w:rFonts w:ascii="Arial Narrow" w:hAnsi="Arial Narrow"/>
                <w:i/>
              </w:rPr>
              <w:t xml:space="preserve">III. Záver: Stála pracovná komisia na posudzovanie vybraných vplyvov vyjadruje </w:t>
            </w:r>
          </w:p>
          <w:p w:rsidR="007725A7" w:rsidRPr="007725A7" w:rsidRDefault="007725A7" w:rsidP="007725A7">
            <w:pPr>
              <w:tabs>
                <w:tab w:val="center" w:pos="6379"/>
              </w:tabs>
              <w:spacing w:after="0" w:line="240" w:lineRule="auto"/>
              <w:ind w:right="-2"/>
              <w:jc w:val="center"/>
              <w:rPr>
                <w:rFonts w:ascii="Arial Narrow" w:hAnsi="Arial Narrow"/>
                <w:i/>
              </w:rPr>
            </w:pPr>
            <w:r w:rsidRPr="007725A7">
              <w:rPr>
                <w:rFonts w:ascii="Arial Narrow" w:hAnsi="Arial Narrow"/>
                <w:i/>
              </w:rPr>
              <w:t xml:space="preserve">nesúhlasné stanovisko </w:t>
            </w:r>
          </w:p>
          <w:p w:rsidR="007725A7" w:rsidRDefault="007725A7" w:rsidP="007725A7">
            <w:pPr>
              <w:spacing w:after="0" w:line="240" w:lineRule="auto"/>
              <w:jc w:val="both"/>
              <w:rPr>
                <w:rFonts w:ascii="Arial Narrow" w:hAnsi="Arial Narrow"/>
                <w:i/>
              </w:rPr>
            </w:pPr>
            <w:r w:rsidRPr="007725A7">
              <w:rPr>
                <w:rFonts w:ascii="Arial Narrow" w:hAnsi="Arial Narrow"/>
                <w:i/>
              </w:rPr>
              <w:t>s materiálom, ktorý bol predložený na záverečné posúdenie s odporúčaním na jeho dopracovanie podľa pripomienok v bode II.</w:t>
            </w:r>
          </w:p>
          <w:p w:rsidR="007725A7" w:rsidRDefault="007725A7" w:rsidP="007725A7">
            <w:pPr>
              <w:spacing w:after="0" w:line="240" w:lineRule="auto"/>
              <w:jc w:val="both"/>
              <w:rPr>
                <w:rFonts w:ascii="Arial Narrow" w:hAnsi="Arial Narrow"/>
                <w:i/>
              </w:rPr>
            </w:pPr>
          </w:p>
          <w:p w:rsidR="007725A7" w:rsidRDefault="007725A7" w:rsidP="007725A7">
            <w:pPr>
              <w:spacing w:after="0" w:line="240" w:lineRule="auto"/>
              <w:jc w:val="both"/>
              <w:rPr>
                <w:rFonts w:ascii="Arial Narrow" w:hAnsi="Arial Narrow"/>
                <w:i/>
              </w:rPr>
            </w:pPr>
            <w:r>
              <w:rPr>
                <w:rFonts w:ascii="Arial Narrow" w:hAnsi="Arial Narrow"/>
                <w:i/>
              </w:rPr>
              <w:t>Stanovisko MZSR:</w:t>
            </w:r>
          </w:p>
          <w:p w:rsidR="007725A7" w:rsidRDefault="007725A7" w:rsidP="007725A7">
            <w:pPr>
              <w:spacing w:after="0" w:line="240" w:lineRule="auto"/>
              <w:jc w:val="both"/>
              <w:rPr>
                <w:rFonts w:ascii="Arial Narrow" w:hAnsi="Arial Narrow"/>
                <w:i/>
              </w:rPr>
            </w:pPr>
            <w:r>
              <w:rPr>
                <w:rFonts w:ascii="Arial Narrow" w:hAnsi="Arial Narrow"/>
                <w:i/>
              </w:rPr>
              <w:t>V doložke vybraných vplyvov bol upravený vplyv iba na negatívne, mylne bol označený ak pozitívny vplyv.</w:t>
            </w:r>
          </w:p>
          <w:p w:rsidR="00945AF4" w:rsidRDefault="00945AF4" w:rsidP="007725A7">
            <w:pPr>
              <w:spacing w:after="0" w:line="240" w:lineRule="auto"/>
              <w:jc w:val="both"/>
              <w:rPr>
                <w:rFonts w:ascii="Arial Narrow" w:hAnsi="Arial Narrow"/>
                <w:i/>
              </w:rPr>
            </w:pPr>
            <w:r>
              <w:rPr>
                <w:rFonts w:ascii="Arial Narrow" w:hAnsi="Arial Narrow"/>
                <w:i/>
              </w:rPr>
              <w:t>Upravili sme aj administratívne náklady.</w:t>
            </w:r>
          </w:p>
          <w:p w:rsidR="007725A7" w:rsidRPr="007725A7" w:rsidRDefault="007725A7" w:rsidP="007725A7">
            <w:pPr>
              <w:spacing w:after="0" w:line="240" w:lineRule="auto"/>
              <w:jc w:val="both"/>
              <w:rPr>
                <w:rFonts w:ascii="Arial Narrow" w:hAnsi="Arial Narrow"/>
                <w:i/>
              </w:rPr>
            </w:pPr>
            <w:r w:rsidRPr="007725A7">
              <w:rPr>
                <w:rFonts w:ascii="Arial Narrow" w:hAnsi="Arial Narrow"/>
                <w:i/>
              </w:rPr>
              <w:t>Podľa záverov Európskej komisie  z 15. 10. 2014, podľa ktorého v slovenskom systéme zdravotného poistenia prevládajú sociálne ciele, jedná sa o systém založený najmä na zásade solidarity, pričom Komisia dospela k záveru, že dotknuté činnosti (výkon verejného zdravotného poistenia) nemajú ekonomickú povahu. (http://europa.eu/rapid/press-release_IP-14-1158_sk.htm). Tento záver sa vzťahuje na osobitný spôsob, akým je táto činnosť na Slovensku organizovaná a vykonávaná, a týka sa preto tohto konkrétneho systému v Slovenskej republike.</w:t>
            </w:r>
          </w:p>
          <w:p w:rsidR="007725A7" w:rsidRPr="007725A7" w:rsidRDefault="007725A7" w:rsidP="007725A7">
            <w:pPr>
              <w:spacing w:after="0" w:line="240" w:lineRule="auto"/>
              <w:jc w:val="both"/>
              <w:rPr>
                <w:rFonts w:ascii="Arial Narrow" w:hAnsi="Arial Narrow"/>
                <w:i/>
              </w:rPr>
            </w:pPr>
            <w:r w:rsidRPr="007725A7">
              <w:rPr>
                <w:rFonts w:ascii="Arial Narrow" w:hAnsi="Arial Narrow"/>
                <w:i/>
              </w:rPr>
              <w:t xml:space="preserve">V súlade s vyššie uvedenými závermi Európskej komisie nie je možné pokladať úhradu nákladov, spojených s danou zmenou z rozpočtu zdravotných poisťovní (t. j. zo zdrojov verejného zdravotného poistenia) za ekonomickú činnosť, nakoľko jednak výkon verejného zdravotného poistenia v SR nemá ekonomickú povahu, jednak sa jedná iba o prerozdelenie zdrojov verejného zdravotného poistenia, ktoré sa dostali do príjmov verejného zdravotného poistenia z titulu zvýšenia platby za poistencov štátu (zo štátneho rozpočtu).  </w:t>
            </w:r>
          </w:p>
          <w:p w:rsidR="007725A7" w:rsidRDefault="007725A7" w:rsidP="0087428E">
            <w:pPr>
              <w:spacing w:after="0" w:line="240" w:lineRule="auto"/>
              <w:jc w:val="both"/>
              <w:rPr>
                <w:rFonts w:ascii="Arial Narrow" w:hAnsi="Arial Narrow"/>
                <w:i/>
              </w:rPr>
            </w:pPr>
          </w:p>
          <w:p w:rsidR="007725A7" w:rsidRDefault="007725A7" w:rsidP="0087428E">
            <w:pPr>
              <w:spacing w:after="0" w:line="240" w:lineRule="auto"/>
              <w:jc w:val="both"/>
              <w:rPr>
                <w:rFonts w:ascii="Arial Narrow" w:hAnsi="Arial Narrow"/>
                <w:i/>
              </w:rPr>
            </w:pPr>
          </w:p>
          <w:p w:rsidR="004002E5" w:rsidRPr="0087428E" w:rsidRDefault="004002E5" w:rsidP="0087428E">
            <w:pPr>
              <w:spacing w:after="0" w:line="240" w:lineRule="auto"/>
              <w:jc w:val="both"/>
              <w:rPr>
                <w:rFonts w:ascii="Arial Narrow" w:hAnsi="Arial Narrow"/>
              </w:rPr>
            </w:pPr>
            <w:r w:rsidRPr="0087428E">
              <w:rPr>
                <w:rFonts w:ascii="Arial Narrow" w:hAnsi="Arial Narrow"/>
              </w:rPr>
              <w:t xml:space="preserve">     </w:t>
            </w:r>
          </w:p>
        </w:tc>
      </w:tr>
    </w:tbl>
    <w:p w:rsidR="00D14828" w:rsidRPr="0087428E" w:rsidRDefault="00D14828" w:rsidP="0087428E">
      <w:pPr>
        <w:tabs>
          <w:tab w:val="num" w:pos="1080"/>
        </w:tabs>
        <w:spacing w:after="0" w:line="240" w:lineRule="auto"/>
        <w:jc w:val="both"/>
        <w:rPr>
          <w:rFonts w:ascii="Arial Narrow" w:hAnsi="Arial Narrow"/>
          <w:bCs/>
        </w:rPr>
      </w:pPr>
    </w:p>
    <w:sectPr w:rsidR="00D14828" w:rsidRPr="00874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altName w:val="Arial"/>
    <w:panose1 w:val="020F0502020204030204"/>
    <w:charset w:val="EE"/>
    <w:family w:val="swiss"/>
    <w:pitch w:val="variable"/>
    <w:sig w:usb0="E0002AFF" w:usb1="C0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egoe UI">
    <w:altName w:val="Century Gothic"/>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6F89"/>
    <w:multiLevelType w:val="hybridMultilevel"/>
    <w:tmpl w:val="D296493E"/>
    <w:lvl w:ilvl="0" w:tplc="7A00F64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22901E6"/>
    <w:multiLevelType w:val="hybridMultilevel"/>
    <w:tmpl w:val="F8743C7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E3C435E"/>
    <w:multiLevelType w:val="hybridMultilevel"/>
    <w:tmpl w:val="412805F4"/>
    <w:lvl w:ilvl="0" w:tplc="BED0B3DC">
      <w:start w:val="1"/>
      <w:numFmt w:val="decimal"/>
      <w:lvlText w:val="%1."/>
      <w:lvlJc w:val="left"/>
      <w:pPr>
        <w:ind w:left="1239" w:hanging="360"/>
      </w:pPr>
      <w:rPr>
        <w:rFonts w:ascii="Arial Narrow" w:hAnsi="Arial Narrow" w:cs="Times New Roman" w:hint="default"/>
        <w:i w:val="0"/>
      </w:rPr>
    </w:lvl>
    <w:lvl w:ilvl="1" w:tplc="00000001">
      <w:start w:val="1"/>
      <w:numFmt w:val="lowerLetter"/>
      <w:lvlText w:val="%2."/>
      <w:lvlJc w:val="left"/>
      <w:pPr>
        <w:ind w:left="1959" w:hanging="360"/>
      </w:pPr>
      <w:rPr>
        <w:rFonts w:ascii="Times New Roman" w:hAnsi="Times New Roman" w:cs="Times New Roman"/>
      </w:rPr>
    </w:lvl>
    <w:lvl w:ilvl="2" w:tplc="00000002">
      <w:start w:val="1"/>
      <w:numFmt w:val="lowerRoman"/>
      <w:lvlText w:val="%3."/>
      <w:lvlJc w:val="right"/>
      <w:pPr>
        <w:ind w:left="2679" w:hanging="180"/>
      </w:pPr>
      <w:rPr>
        <w:rFonts w:ascii="Times New Roman" w:hAnsi="Times New Roman" w:cs="Times New Roman"/>
      </w:rPr>
    </w:lvl>
    <w:lvl w:ilvl="3" w:tplc="3D320F50">
      <w:start w:val="1"/>
      <w:numFmt w:val="decimal"/>
      <w:lvlText w:val="%4."/>
      <w:lvlJc w:val="left"/>
      <w:pPr>
        <w:ind w:left="3399" w:hanging="360"/>
      </w:pPr>
      <w:rPr>
        <w:rFonts w:ascii="Arial Narrow" w:hAnsi="Arial Narrow" w:cs="Times New Roman" w:hint="default"/>
      </w:rPr>
    </w:lvl>
    <w:lvl w:ilvl="4" w:tplc="00000004">
      <w:start w:val="1"/>
      <w:numFmt w:val="lowerLetter"/>
      <w:lvlText w:val="%5."/>
      <w:lvlJc w:val="left"/>
      <w:pPr>
        <w:ind w:left="4119" w:hanging="360"/>
      </w:pPr>
      <w:rPr>
        <w:rFonts w:ascii="Times New Roman" w:hAnsi="Times New Roman" w:cs="Times New Roman"/>
      </w:rPr>
    </w:lvl>
    <w:lvl w:ilvl="5" w:tplc="00000005">
      <w:start w:val="1"/>
      <w:numFmt w:val="lowerRoman"/>
      <w:lvlText w:val="%6."/>
      <w:lvlJc w:val="right"/>
      <w:pPr>
        <w:ind w:left="4839" w:hanging="180"/>
      </w:pPr>
      <w:rPr>
        <w:rFonts w:ascii="Times New Roman" w:hAnsi="Times New Roman" w:cs="Times New Roman"/>
      </w:rPr>
    </w:lvl>
    <w:lvl w:ilvl="6" w:tplc="00000006">
      <w:start w:val="1"/>
      <w:numFmt w:val="decimal"/>
      <w:lvlText w:val="%7."/>
      <w:lvlJc w:val="left"/>
      <w:pPr>
        <w:ind w:left="5559" w:hanging="360"/>
      </w:pPr>
      <w:rPr>
        <w:rFonts w:ascii="Times New Roman" w:hAnsi="Times New Roman" w:cs="Times New Roman"/>
      </w:rPr>
    </w:lvl>
    <w:lvl w:ilvl="7" w:tplc="00000007">
      <w:start w:val="1"/>
      <w:numFmt w:val="lowerLetter"/>
      <w:lvlText w:val="%8."/>
      <w:lvlJc w:val="left"/>
      <w:pPr>
        <w:ind w:left="6279" w:hanging="360"/>
      </w:pPr>
      <w:rPr>
        <w:rFonts w:ascii="Times New Roman" w:hAnsi="Times New Roman" w:cs="Times New Roman"/>
      </w:rPr>
    </w:lvl>
    <w:lvl w:ilvl="8" w:tplc="00000008">
      <w:start w:val="1"/>
      <w:numFmt w:val="lowerRoman"/>
      <w:lvlText w:val="%9."/>
      <w:lvlJc w:val="right"/>
      <w:pPr>
        <w:ind w:left="6999" w:hanging="180"/>
      </w:pPr>
      <w:rPr>
        <w:rFonts w:ascii="Times New Roman" w:hAnsi="Times New Roman" w:cs="Times New Roman"/>
      </w:rPr>
    </w:lvl>
  </w:abstractNum>
  <w:abstractNum w:abstractNumId="3" w15:restartNumberingAfterBreak="0">
    <w:nsid w:val="3FA55A7A"/>
    <w:multiLevelType w:val="hybridMultilevel"/>
    <w:tmpl w:val="F52C5E6A"/>
    <w:lvl w:ilvl="0" w:tplc="06DA47D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1EB0DE5"/>
    <w:multiLevelType w:val="hybridMultilevel"/>
    <w:tmpl w:val="528E6934"/>
    <w:lvl w:ilvl="0" w:tplc="8D187D8E">
      <w:start w:val="1"/>
      <w:numFmt w:val="bullet"/>
      <w:lvlText w:val="-"/>
      <w:lvlJc w:val="left"/>
      <w:pPr>
        <w:ind w:left="720" w:hanging="360"/>
      </w:pPr>
      <w:rPr>
        <w:rFonts w:ascii="Arial Narrow" w:eastAsiaTheme="minorEastAsia"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53849DB"/>
    <w:multiLevelType w:val="hybridMultilevel"/>
    <w:tmpl w:val="3D60FCAC"/>
    <w:lvl w:ilvl="0" w:tplc="041B0015">
      <w:start w:val="1"/>
      <w:numFmt w:val="upp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46195F82"/>
    <w:multiLevelType w:val="hybridMultilevel"/>
    <w:tmpl w:val="4B72B6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A03488E"/>
    <w:multiLevelType w:val="hybridMultilevel"/>
    <w:tmpl w:val="42C61446"/>
    <w:lvl w:ilvl="0" w:tplc="3D8A57DA">
      <w:start w:val="1"/>
      <w:numFmt w:val="upperLetter"/>
      <w:pStyle w:val="Nadpis2"/>
      <w:lvlText w:val="%1."/>
      <w:lvlJc w:val="left"/>
      <w:pPr>
        <w:ind w:left="940" w:hanging="360"/>
      </w:pPr>
      <w:rPr>
        <w:rFonts w:cs="Times New Roman"/>
        <w:b/>
      </w:rPr>
    </w:lvl>
    <w:lvl w:ilvl="1" w:tplc="04090019">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8" w15:restartNumberingAfterBreak="0">
    <w:nsid w:val="6FFF4838"/>
    <w:multiLevelType w:val="hybridMultilevel"/>
    <w:tmpl w:val="9C40B122"/>
    <w:lvl w:ilvl="0" w:tplc="230E205A">
      <w:start w:val="1"/>
      <w:numFmt w:val="upperLetter"/>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9"/>
  </w:num>
  <w:num w:numId="2">
    <w:abstractNumId w:val="3"/>
  </w:num>
  <w:num w:numId="3">
    <w:abstractNumId w:val="5"/>
  </w:num>
  <w:num w:numId="4">
    <w:abstractNumId w:val="0"/>
  </w:num>
  <w:num w:numId="5">
    <w:abstractNumId w:val="8"/>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28"/>
    <w:rsid w:val="0012158E"/>
    <w:rsid w:val="001B2916"/>
    <w:rsid w:val="003414EC"/>
    <w:rsid w:val="00370B65"/>
    <w:rsid w:val="004002E5"/>
    <w:rsid w:val="004F29F7"/>
    <w:rsid w:val="00531D78"/>
    <w:rsid w:val="00690EE8"/>
    <w:rsid w:val="00694AF2"/>
    <w:rsid w:val="007725A7"/>
    <w:rsid w:val="0087428E"/>
    <w:rsid w:val="008D3B51"/>
    <w:rsid w:val="00945AF4"/>
    <w:rsid w:val="009B09A7"/>
    <w:rsid w:val="00AA018B"/>
    <w:rsid w:val="00AF4E74"/>
    <w:rsid w:val="00B15A20"/>
    <w:rsid w:val="00B80AC8"/>
    <w:rsid w:val="00BD277D"/>
    <w:rsid w:val="00C71D88"/>
    <w:rsid w:val="00C756CA"/>
    <w:rsid w:val="00CB04BF"/>
    <w:rsid w:val="00D14828"/>
    <w:rsid w:val="00D877CD"/>
    <w:rsid w:val="00D94D57"/>
    <w:rsid w:val="00DF6735"/>
    <w:rsid w:val="00E237DD"/>
    <w:rsid w:val="00E327DC"/>
    <w:rsid w:val="00E92522"/>
    <w:rsid w:val="00ED29FF"/>
    <w:rsid w:val="00EF0F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FFE317-433A-4E5D-B6A4-EFCFBE81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4828"/>
    <w:pPr>
      <w:spacing w:after="200" w:line="276" w:lineRule="auto"/>
      <w:jc w:val="left"/>
    </w:pPr>
    <w:rPr>
      <w:rFonts w:eastAsiaTheme="minorEastAsia" w:cs="Times New Roman"/>
      <w:lang w:eastAsia="sk-SK"/>
    </w:rPr>
  </w:style>
  <w:style w:type="paragraph" w:styleId="Nadpis2">
    <w:name w:val="heading 2"/>
    <w:aliases w:val="Nadpis 2T,Podnadpis,F2,F21,H2,Podkapitola1,hlavicka,h2,V_Head2"/>
    <w:basedOn w:val="Obsah2"/>
    <w:next w:val="Normlny"/>
    <w:link w:val="Nadpis2Char"/>
    <w:uiPriority w:val="9"/>
    <w:qFormat/>
    <w:rsid w:val="004002E5"/>
    <w:pPr>
      <w:keepNext/>
      <w:numPr>
        <w:numId w:val="6"/>
      </w:numPr>
      <w:spacing w:before="240" w:after="60"/>
      <w:outlineLvl w:val="1"/>
    </w:pPr>
    <w:rPr>
      <w:rFonts w:ascii="Calibri" w:eastAsia="MS Gothic" w:hAnsi="Calibri"/>
      <w:b/>
      <w:bCs/>
      <w:i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Nadpis 2T Char,Podnadpis Char,F2 Char,F21 Char,H2 Char,Podkapitola1 Char,hlavicka Char,h2 Char,V_Head2 Char"/>
    <w:basedOn w:val="Predvolenpsmoodseku"/>
    <w:link w:val="Nadpis2"/>
    <w:uiPriority w:val="9"/>
    <w:qFormat/>
    <w:locked/>
    <w:rsid w:val="004002E5"/>
    <w:rPr>
      <w:rFonts w:ascii="Calibri" w:eastAsia="MS Gothic" w:hAnsi="Calibri" w:cs="Times New Roman"/>
      <w:b/>
      <w:bCs/>
      <w:iCs/>
      <w:sz w:val="28"/>
      <w:szCs w:val="28"/>
    </w:rPr>
  </w:style>
  <w:style w:type="table" w:styleId="Mriekatabuky">
    <w:name w:val="Table Grid"/>
    <w:basedOn w:val="Normlnatabuka"/>
    <w:uiPriority w:val="59"/>
    <w:rsid w:val="00D14828"/>
    <w:pPr>
      <w:spacing w:after="0" w:line="240" w:lineRule="auto"/>
      <w:jc w:val="left"/>
    </w:pPr>
    <w:rPr>
      <w:rFonts w:eastAsiaTheme="minorEastAsia"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D14828"/>
    <w:rPr>
      <w:rFonts w:cs="Times New Roman"/>
      <w:color w:val="0000FF"/>
      <w:u w:val="single"/>
    </w:rPr>
  </w:style>
  <w:style w:type="paragraph" w:styleId="Odsekzoznamu">
    <w:name w:val="List Paragraph"/>
    <w:aliases w:val="body,Odsek zoznamu2,Odsek"/>
    <w:basedOn w:val="Normlny"/>
    <w:link w:val="OdsekzoznamuChar"/>
    <w:uiPriority w:val="34"/>
    <w:qFormat/>
    <w:rsid w:val="00D14828"/>
    <w:pPr>
      <w:ind w:left="720"/>
      <w:contextualSpacing/>
    </w:pPr>
  </w:style>
  <w:style w:type="character" w:customStyle="1" w:styleId="OdsekzoznamuChar">
    <w:name w:val="Odsek zoznamu Char"/>
    <w:aliases w:val="body Char,Odsek zoznamu2 Char,Odsek Char"/>
    <w:link w:val="Odsekzoznamu"/>
    <w:uiPriority w:val="34"/>
    <w:qFormat/>
    <w:locked/>
    <w:rsid w:val="00D14828"/>
    <w:rPr>
      <w:rFonts w:eastAsiaTheme="minorEastAsia"/>
      <w:lang w:val="x-none" w:eastAsia="sk-SK"/>
    </w:rPr>
  </w:style>
  <w:style w:type="character" w:styleId="Zstupntext">
    <w:name w:val="Placeholder Text"/>
    <w:basedOn w:val="Predvolenpsmoodseku"/>
    <w:uiPriority w:val="99"/>
    <w:qFormat/>
    <w:rsid w:val="00D14828"/>
    <w:rPr>
      <w:rFonts w:ascii="Times New Roman" w:hAnsi="Times New Roman" w:cs="Times New Roman"/>
      <w:color w:val="808080"/>
    </w:rPr>
  </w:style>
  <w:style w:type="paragraph" w:styleId="Obsah2">
    <w:name w:val="toc 2"/>
    <w:basedOn w:val="Normlny"/>
    <w:next w:val="Normlny"/>
    <w:autoRedefine/>
    <w:uiPriority w:val="39"/>
    <w:semiHidden/>
    <w:unhideWhenUsed/>
    <w:rsid w:val="004002E5"/>
    <w:pPr>
      <w:spacing w:after="100"/>
      <w:ind w:left="220"/>
    </w:pPr>
  </w:style>
  <w:style w:type="character" w:customStyle="1" w:styleId="Textzstupnhosymbolu1">
    <w:name w:val="Text zástupného symbolu1"/>
    <w:uiPriority w:val="99"/>
    <w:semiHidden/>
    <w:rsid w:val="00C71D88"/>
    <w:rPr>
      <w:rFonts w:ascii="Times New Roman" w:hAnsi="Times New Roman"/>
      <w:color w:val="808080"/>
    </w:rPr>
  </w:style>
  <w:style w:type="paragraph" w:styleId="Zkladntext">
    <w:name w:val="Body Text"/>
    <w:basedOn w:val="Normlny"/>
    <w:link w:val="ZkladntextChar"/>
    <w:uiPriority w:val="99"/>
    <w:unhideWhenUsed/>
    <w:rsid w:val="00C756CA"/>
    <w:pPr>
      <w:spacing w:after="120" w:line="240" w:lineRule="auto"/>
    </w:pPr>
    <w:rPr>
      <w:rFonts w:ascii="Times New Roman" w:eastAsia="Times New Roman" w:hAnsi="Times New Roman"/>
      <w:sz w:val="20"/>
      <w:szCs w:val="20"/>
      <w:lang w:eastAsia="en-US"/>
    </w:rPr>
  </w:style>
  <w:style w:type="character" w:customStyle="1" w:styleId="ZkladntextChar">
    <w:name w:val="Základný text Char"/>
    <w:basedOn w:val="Predvolenpsmoodseku"/>
    <w:link w:val="Zkladntext"/>
    <w:uiPriority w:val="99"/>
    <w:locked/>
    <w:rsid w:val="00C756CA"/>
    <w:rPr>
      <w:rFonts w:ascii="Times New Roman" w:hAnsi="Times New Roman" w:cs="Times New Roman"/>
      <w:sz w:val="20"/>
      <w:szCs w:val="20"/>
    </w:rPr>
  </w:style>
  <w:style w:type="paragraph" w:styleId="Textkomentra">
    <w:name w:val="annotation text"/>
    <w:basedOn w:val="Normlny"/>
    <w:link w:val="TextkomentraChar"/>
    <w:uiPriority w:val="99"/>
    <w:semiHidden/>
    <w:unhideWhenUsed/>
    <w:rsid w:val="0087428E"/>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87428E"/>
    <w:rPr>
      <w:rFonts w:eastAsiaTheme="minorEastAsia" w:cs="Times New Roman"/>
      <w:sz w:val="20"/>
      <w:szCs w:val="20"/>
      <w:lang w:val="x-none" w:eastAsia="sk-SK"/>
    </w:rPr>
  </w:style>
  <w:style w:type="paragraph" w:styleId="Textbubliny">
    <w:name w:val="Balloon Text"/>
    <w:basedOn w:val="Normlny"/>
    <w:link w:val="TextbublinyChar"/>
    <w:uiPriority w:val="99"/>
    <w:semiHidden/>
    <w:unhideWhenUsed/>
    <w:rsid w:val="00E237D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E237DD"/>
    <w:rPr>
      <w:rFonts w:ascii="Segoe UI" w:eastAsiaTheme="minorEastAsia" w:hAnsi="Segoe UI" w:cs="Segoe UI"/>
      <w:sz w:val="18"/>
      <w:szCs w:val="18"/>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uropa.eu/rapid/press-release_IP-14-1158_sk.ht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1345</Words>
  <Characters>7671</Characters>
  <Application>Microsoft Office Word</Application>
  <DocSecurity>0</DocSecurity>
  <Lines>63</Lines>
  <Paragraphs>17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Horňáková Miroslava</dc:creator>
  <cp:keywords/>
  <dc:description/>
  <cp:lastModifiedBy>Lukšová Anna</cp:lastModifiedBy>
  <cp:revision>2</cp:revision>
  <cp:lastPrinted>2018-09-27T08:34:00Z</cp:lastPrinted>
  <dcterms:created xsi:type="dcterms:W3CDTF">2018-09-28T07:46:00Z</dcterms:created>
  <dcterms:modified xsi:type="dcterms:W3CDTF">2018-09-28T07:46:00Z</dcterms:modified>
</cp:coreProperties>
</file>