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1696" w:rsidRPr="00A422CF" w:rsidRDefault="001B1696" w:rsidP="001B1696">
      <w:pPr>
        <w:jc w:val="center"/>
        <w:rPr>
          <w:b/>
          <w:caps/>
          <w:color w:val="000000"/>
          <w:spacing w:val="30"/>
        </w:rPr>
      </w:pPr>
      <w:r w:rsidRPr="00A422CF">
        <w:rPr>
          <w:b/>
          <w:caps/>
          <w:color w:val="000000"/>
          <w:spacing w:val="30"/>
        </w:rPr>
        <w:t>Dôvodová správa</w:t>
      </w:r>
    </w:p>
    <w:p w:rsidR="001B1696" w:rsidRPr="00A422CF" w:rsidRDefault="001B1696" w:rsidP="001B1696">
      <w:pPr>
        <w:jc w:val="both"/>
        <w:rPr>
          <w:color w:val="000000"/>
        </w:rPr>
      </w:pPr>
    </w:p>
    <w:p w:rsidR="001B1696" w:rsidRPr="00A422CF" w:rsidRDefault="001B1696" w:rsidP="001B1696">
      <w:pPr>
        <w:jc w:val="both"/>
        <w:rPr>
          <w:color w:val="000000"/>
        </w:rPr>
      </w:pPr>
    </w:p>
    <w:p w:rsidR="001B1696" w:rsidRPr="00A422CF" w:rsidRDefault="001B1696" w:rsidP="001B1696">
      <w:pPr>
        <w:jc w:val="both"/>
        <w:rPr>
          <w:b/>
          <w:color w:val="000000"/>
        </w:rPr>
      </w:pPr>
      <w:r w:rsidRPr="00A422CF">
        <w:rPr>
          <w:b/>
          <w:color w:val="000000"/>
        </w:rPr>
        <w:t>A. Všeobecná časť</w:t>
      </w:r>
    </w:p>
    <w:p w:rsidR="001B1696" w:rsidRPr="00A422CF" w:rsidRDefault="001B1696" w:rsidP="001B1696">
      <w:pPr>
        <w:rPr>
          <w:bCs/>
        </w:rPr>
      </w:pPr>
    </w:p>
    <w:p w:rsidR="004026E1" w:rsidRPr="001B0AFE" w:rsidRDefault="004026E1" w:rsidP="004026E1">
      <w:pPr>
        <w:ind w:firstLine="567"/>
        <w:jc w:val="both"/>
      </w:pPr>
      <w:r w:rsidRPr="001B0AFE">
        <w:t>Ministerstvo financií Slovenskej republiky predkladá na rokovanie vlády Slovenskej republiky iniciatívny návrh zákona, ktorým sa mení a dopĺňa zákon č. 98/2004 Z. z.</w:t>
      </w:r>
      <w:r w:rsidR="00301B7B">
        <w:t xml:space="preserve">                        </w:t>
      </w:r>
      <w:r>
        <w:t xml:space="preserve"> </w:t>
      </w:r>
      <w:r w:rsidRPr="001B0AFE">
        <w:t xml:space="preserve">o spotrebnej dani z minerálneho oleja v znení neskorších predpisov </w:t>
      </w:r>
      <w:r>
        <w:t>a </w:t>
      </w:r>
      <w:r w:rsidR="00C91EF0">
        <w:rPr>
          <w:lang w:val="sl-SI"/>
        </w:rPr>
        <w:t>ktorým sa mení a dopĺňa zákon</w:t>
      </w:r>
      <w:r>
        <w:t xml:space="preserve"> </w:t>
      </w:r>
      <w:r w:rsidRPr="00C27370">
        <w:t xml:space="preserve">č. 530/2011 Z. z. o spotrebnej dani z alkoholických nápojov v znení neskorších predpisov </w:t>
      </w:r>
      <w:r w:rsidRPr="001B0AFE">
        <w:t>(ďalej len „návrh zákona“).</w:t>
      </w:r>
    </w:p>
    <w:p w:rsidR="004026E1" w:rsidRPr="001B0AFE" w:rsidRDefault="004026E1" w:rsidP="004026E1">
      <w:pPr>
        <w:jc w:val="both"/>
      </w:pPr>
    </w:p>
    <w:p w:rsidR="004026E1" w:rsidRPr="008336C4" w:rsidRDefault="004026E1" w:rsidP="004026E1">
      <w:pPr>
        <w:pStyle w:val="Zkladntext0"/>
        <w:ind w:firstLine="567"/>
        <w:jc w:val="both"/>
        <w:rPr>
          <w:rFonts w:ascii="Times New Roman" w:hAnsi="Times New Roman" w:cs="Times New Roman"/>
        </w:rPr>
      </w:pPr>
      <w:r w:rsidRPr="008336C4">
        <w:rPr>
          <w:rFonts w:ascii="Times New Roman" w:hAnsi="Times New Roman" w:cs="Times New Roman"/>
        </w:rPr>
        <w:t>Cieľom návrhu zákona je:</w:t>
      </w:r>
    </w:p>
    <w:p w:rsidR="004026E1" w:rsidRPr="008336C4" w:rsidRDefault="004026E1" w:rsidP="008336C4">
      <w:pPr>
        <w:pStyle w:val="Odsekzoznamu"/>
        <w:numPr>
          <w:ilvl w:val="0"/>
          <w:numId w:val="5"/>
        </w:numPr>
        <w:spacing w:after="0" w:line="240" w:lineRule="auto"/>
        <w:ind w:left="567" w:hanging="567"/>
        <w:jc w:val="both"/>
        <w:rPr>
          <w:rFonts w:ascii="Times New Roman" w:hAnsi="Times New Roman"/>
          <w:sz w:val="24"/>
          <w:szCs w:val="24"/>
        </w:rPr>
      </w:pPr>
      <w:r w:rsidRPr="008336C4">
        <w:rPr>
          <w:rFonts w:ascii="Times New Roman" w:hAnsi="Times New Roman"/>
          <w:sz w:val="24"/>
          <w:szCs w:val="24"/>
        </w:rPr>
        <w:t xml:space="preserve">upraviť základnú sadzbu dane na pohonné látky, t. j. na motorový benzín a motorovú naftu v súlade s rozhodnutím Európskej komisie, štátna pomoc </w:t>
      </w:r>
      <w:r w:rsidRPr="008336C4">
        <w:rPr>
          <w:rFonts w:ascii="Times New Roman" w:hAnsi="Times New Roman"/>
          <w:color w:val="000000"/>
          <w:sz w:val="24"/>
          <w:szCs w:val="24"/>
        </w:rPr>
        <w:t xml:space="preserve">SA.49509 (2017/N) – Slovensko – Daňové zvýhodnenie </w:t>
      </w:r>
      <w:proofErr w:type="spellStart"/>
      <w:r w:rsidRPr="008336C4">
        <w:rPr>
          <w:rFonts w:ascii="Times New Roman" w:hAnsi="Times New Roman"/>
          <w:color w:val="000000"/>
          <w:sz w:val="24"/>
          <w:szCs w:val="24"/>
        </w:rPr>
        <w:t>biopalív</w:t>
      </w:r>
      <w:proofErr w:type="spellEnd"/>
      <w:r w:rsidR="00BE13C3" w:rsidRPr="008336C4">
        <w:rPr>
          <w:rFonts w:ascii="Times New Roman" w:hAnsi="Times New Roman"/>
          <w:color w:val="000000"/>
          <w:sz w:val="24"/>
          <w:szCs w:val="24"/>
        </w:rPr>
        <w:t xml:space="preserve"> </w:t>
      </w:r>
      <w:r w:rsidR="00CD1532" w:rsidRPr="008336C4">
        <w:rPr>
          <w:rFonts w:ascii="Times New Roman" w:hAnsi="Times New Roman"/>
          <w:sz w:val="24"/>
          <w:szCs w:val="24"/>
        </w:rPr>
        <w:t>na základe s</w:t>
      </w:r>
      <w:r w:rsidR="00BE13C3" w:rsidRPr="008336C4">
        <w:rPr>
          <w:rFonts w:ascii="Times New Roman" w:hAnsi="Times New Roman"/>
          <w:sz w:val="24"/>
          <w:szCs w:val="24"/>
        </w:rPr>
        <w:t>chválenia poskytnutia štátnej pomoci v zmysle ustanovení článkov 107 a 108 Zmluvy o fungovaní Európskej únie – Prípady, v ktorých Komisia nemá námietky alebo opatrenie nepredstavuje pomoc (2018/C 31/02) (Ú. v. EÚ C 31, 27.1.2018),</w:t>
      </w:r>
    </w:p>
    <w:p w:rsidR="004026E1" w:rsidRPr="008336C4" w:rsidRDefault="004026E1" w:rsidP="004026E1">
      <w:pPr>
        <w:pStyle w:val="Odsekzoznamu"/>
        <w:numPr>
          <w:ilvl w:val="0"/>
          <w:numId w:val="5"/>
        </w:numPr>
        <w:spacing w:after="0" w:line="240" w:lineRule="auto"/>
        <w:ind w:left="567" w:hanging="567"/>
        <w:jc w:val="both"/>
        <w:rPr>
          <w:rFonts w:ascii="Times New Roman" w:hAnsi="Times New Roman"/>
          <w:sz w:val="24"/>
          <w:szCs w:val="24"/>
        </w:rPr>
      </w:pPr>
      <w:r w:rsidRPr="008336C4">
        <w:rPr>
          <w:rFonts w:ascii="Times New Roman" w:hAnsi="Times New Roman"/>
          <w:sz w:val="24"/>
          <w:szCs w:val="24"/>
        </w:rPr>
        <w:t>stanoviť povinnosť označovania pohonných látok identifikačnou látkou a podmienky jej výroby, distribúcie a nakladania s touto identifikačnou látkou,</w:t>
      </w:r>
    </w:p>
    <w:p w:rsidR="004026E1" w:rsidRPr="008336C4" w:rsidRDefault="004026E1" w:rsidP="004026E1">
      <w:pPr>
        <w:pStyle w:val="Odsekzoznamu"/>
        <w:numPr>
          <w:ilvl w:val="0"/>
          <w:numId w:val="5"/>
        </w:numPr>
        <w:spacing w:after="0" w:line="240" w:lineRule="auto"/>
        <w:ind w:left="567" w:hanging="567"/>
        <w:jc w:val="both"/>
        <w:rPr>
          <w:rFonts w:ascii="Times New Roman" w:hAnsi="Times New Roman"/>
          <w:color w:val="000000"/>
          <w:sz w:val="24"/>
          <w:szCs w:val="24"/>
        </w:rPr>
      </w:pPr>
      <w:r w:rsidRPr="008336C4">
        <w:rPr>
          <w:rStyle w:val="Zstupntext"/>
          <w:color w:val="000000"/>
          <w:sz w:val="24"/>
          <w:szCs w:val="24"/>
        </w:rPr>
        <w:t>zaviesť legislatívnu zmenu tak, aby sa v nadväznosti na zámer vlády Slovenskej republiky prijímať opatrenia na zníženie administratívnej záťaže podnikateľských subjektov ustanovili opatrenia sprevádzajúce zavedenie zdanenia výživových doplnkov bez zbytočného administratívneho zaťaženia daňových subjektov.</w:t>
      </w:r>
    </w:p>
    <w:p w:rsidR="001D0D77" w:rsidRPr="008336C4" w:rsidRDefault="001D0D77" w:rsidP="001D0D77">
      <w:pPr>
        <w:pStyle w:val="Zkladntext0"/>
        <w:shd w:val="clear" w:color="auto" w:fill="FFFFFF"/>
        <w:jc w:val="both"/>
      </w:pPr>
    </w:p>
    <w:p w:rsidR="001D0D77" w:rsidRPr="001D0D77" w:rsidRDefault="001D0D77" w:rsidP="001D0D77">
      <w:pPr>
        <w:pStyle w:val="Odsekzoznamu"/>
        <w:shd w:val="clear" w:color="auto" w:fill="FFFFFF"/>
        <w:spacing w:after="0" w:line="240" w:lineRule="auto"/>
        <w:ind w:left="0" w:firstLine="567"/>
        <w:jc w:val="both"/>
        <w:rPr>
          <w:rFonts w:ascii="Times New Roman" w:hAnsi="Times New Roman"/>
          <w:bCs/>
          <w:color w:val="000000"/>
          <w:sz w:val="24"/>
          <w:szCs w:val="24"/>
        </w:rPr>
      </w:pPr>
      <w:r w:rsidRPr="008336C4">
        <w:rPr>
          <w:rStyle w:val="Zstupntext"/>
          <w:color w:val="000000"/>
          <w:sz w:val="24"/>
          <w:szCs w:val="24"/>
        </w:rPr>
        <w:t xml:space="preserve">Účinnosť zákona sa navrhuje od </w:t>
      </w:r>
      <w:r w:rsidR="003134F6" w:rsidRPr="008336C4">
        <w:rPr>
          <w:rFonts w:ascii="Times New Roman" w:hAnsi="Times New Roman"/>
          <w:color w:val="000000"/>
          <w:sz w:val="24"/>
          <w:szCs w:val="24"/>
        </w:rPr>
        <w:t xml:space="preserve">1. januára 2019 okrem čl. </w:t>
      </w:r>
      <w:r w:rsidR="003134F6" w:rsidRPr="008336C4">
        <w:rPr>
          <w:rFonts w:ascii="Times New Roman" w:hAnsi="Times New Roman"/>
          <w:sz w:val="24"/>
          <w:szCs w:val="24"/>
        </w:rPr>
        <w:t xml:space="preserve">I bodu 4 § 9 ods. 1 až 5 a ods. 6 písm. b) až d), ktorý nadobúda účinnosť 1. marca 2019, </w:t>
      </w:r>
      <w:r w:rsidR="003134F6" w:rsidRPr="008336C4">
        <w:rPr>
          <w:rFonts w:ascii="Times New Roman" w:hAnsi="Times New Roman"/>
          <w:color w:val="000000"/>
          <w:sz w:val="24"/>
          <w:szCs w:val="24"/>
        </w:rPr>
        <w:t>čl. II bodov 1 až 15, ktoré nadobúdajú účinnosť 1. mája 2019</w:t>
      </w:r>
      <w:r w:rsidR="003134F6" w:rsidRPr="003134F6">
        <w:rPr>
          <w:rFonts w:ascii="Times New Roman" w:hAnsi="Times New Roman"/>
          <w:color w:val="000000"/>
          <w:sz w:val="24"/>
          <w:szCs w:val="24"/>
        </w:rPr>
        <w:t xml:space="preserve"> a čl. I bodu 4 § 8, </w:t>
      </w:r>
      <w:r w:rsidR="003134F6" w:rsidRPr="00770E24">
        <w:rPr>
          <w:rFonts w:ascii="Times New Roman" w:hAnsi="Times New Roman"/>
          <w:sz w:val="24"/>
          <w:szCs w:val="24"/>
        </w:rPr>
        <w:t>§ 9 ods. 6 písm. a),</w:t>
      </w:r>
      <w:r w:rsidR="003134F6" w:rsidRPr="00770E24">
        <w:t xml:space="preserve"> </w:t>
      </w:r>
      <w:r w:rsidR="003134F6" w:rsidRPr="003134F6">
        <w:rPr>
          <w:rFonts w:ascii="Times New Roman" w:hAnsi="Times New Roman"/>
          <w:color w:val="000000"/>
          <w:sz w:val="24"/>
          <w:szCs w:val="24"/>
        </w:rPr>
        <w:t xml:space="preserve">§ 9b a 9c a bodov 5, 6, 14, 15, 20, 21, 22, 25 až 30 a 32, ktoré nadobúdajú účinnosť prvým dňom kalendárneho mesiaca nasledujúceho po kalendárnom mesiaci, v ktorom </w:t>
      </w:r>
      <w:r w:rsidR="003134F6" w:rsidRPr="003134F6">
        <w:rPr>
          <w:rFonts w:ascii="Times New Roman" w:hAnsi="Times New Roman"/>
          <w:color w:val="000000"/>
          <w:sz w:val="24"/>
          <w:szCs w:val="24"/>
          <w:shd w:val="clear" w:color="auto" w:fill="FFFFFF"/>
        </w:rPr>
        <w:t>finančné riaditeľstvo uverejnilo na svojom webovom sídle oznámenie o začatí označovania minerálneho oleja</w:t>
      </w:r>
      <w:r w:rsidR="003134F6" w:rsidRPr="003134F6">
        <w:rPr>
          <w:rFonts w:ascii="Times New Roman" w:hAnsi="Times New Roman"/>
          <w:color w:val="000000"/>
          <w:sz w:val="24"/>
          <w:szCs w:val="24"/>
        </w:rPr>
        <w:t xml:space="preserve"> uvedeného v § 6 ods. 1 písm. a) a d) alebo  v § 7 ods. 1 a </w:t>
      </w:r>
      <w:r w:rsidR="003134F6" w:rsidRPr="003134F6">
        <w:rPr>
          <w:rFonts w:ascii="Times New Roman" w:hAnsi="Times New Roman"/>
          <w:color w:val="000000"/>
          <w:sz w:val="24"/>
          <w:szCs w:val="24"/>
          <w:shd w:val="clear" w:color="auto" w:fill="FFFFFF"/>
        </w:rPr>
        <w:t xml:space="preserve">2 identifikačnou </w:t>
      </w:r>
      <w:r w:rsidR="003134F6" w:rsidRPr="008336C4">
        <w:rPr>
          <w:rFonts w:ascii="Times New Roman" w:hAnsi="Times New Roman"/>
          <w:color w:val="000000"/>
          <w:sz w:val="24"/>
          <w:szCs w:val="24"/>
          <w:shd w:val="clear" w:color="auto" w:fill="FFFFFF"/>
        </w:rPr>
        <w:t>látkou</w:t>
      </w:r>
      <w:r w:rsidRPr="008336C4">
        <w:rPr>
          <w:rFonts w:ascii="Times New Roman" w:hAnsi="Times New Roman"/>
          <w:color w:val="000000"/>
          <w:sz w:val="24"/>
          <w:szCs w:val="24"/>
          <w:shd w:val="clear" w:color="auto" w:fill="FFFFFF"/>
        </w:rPr>
        <w:t>.</w:t>
      </w:r>
    </w:p>
    <w:p w:rsidR="001D0D77" w:rsidRPr="001B0AFE" w:rsidRDefault="001D0D77" w:rsidP="00F85286">
      <w:pPr>
        <w:jc w:val="both"/>
      </w:pPr>
    </w:p>
    <w:p w:rsidR="00F85286" w:rsidRPr="001B0AFE" w:rsidRDefault="00F85286" w:rsidP="00F85286">
      <w:pPr>
        <w:ind w:firstLine="567"/>
        <w:jc w:val="both"/>
        <w:rPr>
          <w:rStyle w:val="Zstupntext"/>
          <w:color w:val="000000"/>
        </w:rPr>
      </w:pPr>
      <w:r w:rsidRPr="001B0AFE">
        <w:rPr>
          <w:rStyle w:val="Nadpis1Char"/>
          <w:color w:val="000000"/>
          <w:lang w:eastAsia="sk-SK"/>
        </w:rPr>
        <w:t xml:space="preserve">Vplyv návrhu zákona na rozpočet verejnej správy, na podnikateľské prostredie </w:t>
      </w:r>
      <w:r w:rsidRPr="001B0AFE">
        <w:rPr>
          <w:rStyle w:val="Zstupntext"/>
          <w:color w:val="000000"/>
        </w:rPr>
        <w:t>je podrobne uvedený v doložke vybraných vplyvov</w:t>
      </w:r>
      <w:r w:rsidRPr="001B0AFE">
        <w:rPr>
          <w:rStyle w:val="Nadpis1Char"/>
          <w:color w:val="000000"/>
          <w:lang w:eastAsia="sk-SK"/>
        </w:rPr>
        <w:t xml:space="preserve">. Návrh zákona nepredpokladá žiadne vplyvy </w:t>
      </w:r>
      <w:r w:rsidRPr="001B0AFE">
        <w:t>na sociálne prostredie</w:t>
      </w:r>
      <w:r w:rsidRPr="001B0AFE">
        <w:rPr>
          <w:rStyle w:val="Nadpis1Char"/>
          <w:color w:val="000000"/>
          <w:lang w:eastAsia="sk-SK"/>
        </w:rPr>
        <w:t xml:space="preserve">, na životné prostredie, na informatizáciu spoločnosti a </w:t>
      </w:r>
      <w:r w:rsidRPr="001B0AFE">
        <w:t>na služby verejnej správy pre občana</w:t>
      </w:r>
      <w:r w:rsidRPr="001B0AFE">
        <w:rPr>
          <w:rStyle w:val="Zstupntext"/>
          <w:color w:val="000000"/>
        </w:rPr>
        <w:t>. Predkladaný návrh zákona nebude mať vplyv na rozpočty obcí a rozpočty vyšších územných celkov.</w:t>
      </w:r>
    </w:p>
    <w:p w:rsidR="00F85286" w:rsidRPr="001B0AFE" w:rsidRDefault="00F85286" w:rsidP="00F85286"/>
    <w:p w:rsidR="00F85286" w:rsidRPr="001B0AFE" w:rsidRDefault="00F85286" w:rsidP="00F85286">
      <w:pPr>
        <w:autoSpaceDE w:val="0"/>
        <w:autoSpaceDN w:val="0"/>
        <w:adjustRightInd w:val="0"/>
        <w:ind w:firstLine="567"/>
        <w:jc w:val="both"/>
        <w:rPr>
          <w:color w:val="000000"/>
        </w:rPr>
      </w:pPr>
      <w:r w:rsidRPr="001B0AFE">
        <w:t>Predkladaný návrh zákona je v súlade s Ústavou Slovenskej republiky</w:t>
      </w:r>
      <w:r w:rsidRPr="001B0AFE">
        <w:rPr>
          <w:color w:val="000000"/>
        </w:rPr>
        <w:t xml:space="preserve">, s ústavnými zákonmi, s nálezmi Ústavného súdu Slovenskej republiky a s medzinárodnými zmluvami </w:t>
      </w:r>
      <w:r>
        <w:rPr>
          <w:color w:val="000000"/>
        </w:rPr>
        <w:t xml:space="preserve">              </w:t>
      </w:r>
      <w:r w:rsidRPr="001B0AFE">
        <w:rPr>
          <w:color w:val="000000"/>
        </w:rPr>
        <w:t>a inými medzinárodnými dokumentmi, ktorými je Slovenská republika viazaná, ako aj v súlade s právom Európskej únie.</w:t>
      </w:r>
    </w:p>
    <w:p w:rsidR="00F85286" w:rsidRPr="00F85286" w:rsidRDefault="00F85286" w:rsidP="00F85286">
      <w:pPr>
        <w:jc w:val="both"/>
      </w:pPr>
    </w:p>
    <w:p w:rsidR="00F85286" w:rsidRPr="00F85286" w:rsidRDefault="00F85286" w:rsidP="00F85286">
      <w:pPr>
        <w:rPr>
          <w:sz w:val="22"/>
          <w:szCs w:val="22"/>
        </w:rPr>
      </w:pPr>
    </w:p>
    <w:p w:rsidR="005D74CF" w:rsidRPr="00F85286" w:rsidRDefault="005D74CF" w:rsidP="005D74CF">
      <w:pPr>
        <w:rPr>
          <w:bCs/>
        </w:rPr>
      </w:pPr>
    </w:p>
    <w:p w:rsidR="005D74CF" w:rsidRPr="00A422CF" w:rsidRDefault="005D74CF" w:rsidP="005D74CF">
      <w:pPr>
        <w:jc w:val="both"/>
      </w:pPr>
    </w:p>
    <w:p w:rsidR="005D74CF" w:rsidRPr="00A422CF" w:rsidRDefault="005D74CF" w:rsidP="005D74CF">
      <w:pPr>
        <w:jc w:val="both"/>
      </w:pPr>
    </w:p>
    <w:p w:rsidR="005D74CF" w:rsidRDefault="005D74CF" w:rsidP="005D74CF"/>
    <w:p w:rsidR="00BB42F2" w:rsidRDefault="00BB42F2" w:rsidP="005D74CF"/>
    <w:p w:rsidR="00BB42F2" w:rsidRDefault="00BB42F2" w:rsidP="005D74CF"/>
    <w:p w:rsidR="00BB42F2" w:rsidRPr="00A422CF" w:rsidRDefault="00BB42F2" w:rsidP="005D74CF"/>
    <w:p w:rsidR="00BB42F2" w:rsidRPr="00151301" w:rsidRDefault="00BB42F2" w:rsidP="00BB42F2">
      <w:pPr>
        <w:spacing w:after="120"/>
        <w:jc w:val="center"/>
        <w:rPr>
          <w:b/>
          <w:sz w:val="28"/>
          <w:szCs w:val="28"/>
        </w:rPr>
      </w:pPr>
      <w:r w:rsidRPr="00151301">
        <w:rPr>
          <w:b/>
          <w:bCs/>
          <w:sz w:val="28"/>
          <w:szCs w:val="28"/>
        </w:rPr>
        <w:lastRenderedPageBreak/>
        <w:t>Doložka vybraných vplyvov</w:t>
      </w:r>
    </w:p>
    <w:tbl>
      <w:tblPr>
        <w:tblStyle w:val="Mriekatabuky"/>
        <w:tblW w:w="9180" w:type="dxa"/>
        <w:tblLayout w:type="fixed"/>
        <w:tblLook w:val="04A0" w:firstRow="1" w:lastRow="0" w:firstColumn="1" w:lastColumn="0" w:noHBand="0" w:noVBand="1"/>
      </w:tblPr>
      <w:tblGrid>
        <w:gridCol w:w="3812"/>
        <w:gridCol w:w="400"/>
        <w:gridCol w:w="141"/>
        <w:gridCol w:w="564"/>
        <w:gridCol w:w="717"/>
        <w:gridCol w:w="569"/>
        <w:gridCol w:w="1133"/>
        <w:gridCol w:w="284"/>
        <w:gridCol w:w="263"/>
        <w:gridCol w:w="1297"/>
      </w:tblGrid>
      <w:tr w:rsidR="00BB42F2" w:rsidRPr="003C289B" w:rsidTr="00BE020B">
        <w:tc>
          <w:tcPr>
            <w:tcW w:w="9180" w:type="dxa"/>
            <w:gridSpan w:val="10"/>
            <w:tcBorders>
              <w:bottom w:val="single" w:sz="4" w:space="0" w:color="FFFFFF" w:themeColor="background1"/>
            </w:tcBorders>
            <w:shd w:val="clear" w:color="auto" w:fill="E2E2E2"/>
          </w:tcPr>
          <w:p w:rsidR="00BB42F2" w:rsidRPr="003C289B" w:rsidRDefault="00BB42F2" w:rsidP="00BB42F2">
            <w:pPr>
              <w:pStyle w:val="Odsekzoznamu"/>
              <w:numPr>
                <w:ilvl w:val="0"/>
                <w:numId w:val="16"/>
              </w:numPr>
              <w:spacing w:after="0" w:line="240" w:lineRule="auto"/>
              <w:ind w:left="426"/>
              <w:rPr>
                <w:rFonts w:ascii="Times New Roman" w:hAnsi="Times New Roman"/>
                <w:b/>
              </w:rPr>
            </w:pPr>
            <w:r w:rsidRPr="003C289B">
              <w:rPr>
                <w:rFonts w:ascii="Times New Roman" w:hAnsi="Times New Roman"/>
                <w:b/>
              </w:rPr>
              <w:t>Základné údaje</w:t>
            </w:r>
          </w:p>
        </w:tc>
      </w:tr>
      <w:tr w:rsidR="00BB42F2" w:rsidRPr="003C289B" w:rsidTr="00BE020B">
        <w:tc>
          <w:tcPr>
            <w:tcW w:w="9180" w:type="dxa"/>
            <w:gridSpan w:val="10"/>
            <w:tcBorders>
              <w:bottom w:val="single" w:sz="4" w:space="0" w:color="FFFFFF" w:themeColor="background1"/>
            </w:tcBorders>
            <w:shd w:val="clear" w:color="auto" w:fill="E2E2E2"/>
          </w:tcPr>
          <w:p w:rsidR="00BB42F2" w:rsidRPr="003C289B" w:rsidRDefault="00BB42F2" w:rsidP="00BE020B">
            <w:pPr>
              <w:pStyle w:val="Odsekzoznamu"/>
              <w:ind w:left="142"/>
              <w:rPr>
                <w:rFonts w:ascii="Times New Roman" w:hAnsi="Times New Roman"/>
                <w:b/>
              </w:rPr>
            </w:pPr>
            <w:r w:rsidRPr="003C289B">
              <w:rPr>
                <w:rFonts w:ascii="Times New Roman" w:hAnsi="Times New Roman"/>
                <w:b/>
              </w:rPr>
              <w:t>Názov materiálu</w:t>
            </w:r>
          </w:p>
        </w:tc>
      </w:tr>
      <w:tr w:rsidR="00BB42F2" w:rsidRPr="003C289B" w:rsidTr="00BE020B">
        <w:tc>
          <w:tcPr>
            <w:tcW w:w="9180" w:type="dxa"/>
            <w:gridSpan w:val="10"/>
            <w:tcBorders>
              <w:top w:val="single" w:sz="4" w:space="0" w:color="FFFFFF" w:themeColor="background1"/>
            </w:tcBorders>
          </w:tcPr>
          <w:p w:rsidR="00BB42F2" w:rsidRDefault="00BB42F2" w:rsidP="00BE020B">
            <w:pPr>
              <w:jc w:val="both"/>
              <w:rPr>
                <w:rFonts w:ascii="Times New Roman" w:hAnsi="Times New Roman"/>
                <w:bCs/>
              </w:rPr>
            </w:pPr>
          </w:p>
          <w:p w:rsidR="00BB42F2" w:rsidRPr="00E61FA1" w:rsidRDefault="00BB42F2" w:rsidP="00BE020B">
            <w:pPr>
              <w:jc w:val="both"/>
              <w:rPr>
                <w:rFonts w:ascii="Times New Roman" w:hAnsi="Times New Roman"/>
                <w:bCs/>
              </w:rPr>
            </w:pPr>
            <w:r w:rsidRPr="00E61FA1">
              <w:rPr>
                <w:rFonts w:ascii="Times New Roman" w:hAnsi="Times New Roman"/>
                <w:bCs/>
              </w:rPr>
              <w:t xml:space="preserve">Návrh </w:t>
            </w:r>
            <w:r w:rsidRPr="00E61FA1">
              <w:rPr>
                <w:rFonts w:ascii="Times New Roman" w:hAnsi="Times New Roman"/>
              </w:rPr>
              <w:t>zákona, ktorým sa mení a dopĺňa zákon č. 98/2004 Z. z. o spotrebnej dani z minerálneho oleja v znení neskorších predpisov a </w:t>
            </w:r>
            <w:r w:rsidRPr="00E61FA1">
              <w:rPr>
                <w:rFonts w:ascii="Times New Roman" w:hAnsi="Times New Roman"/>
                <w:lang w:val="sl-SI"/>
              </w:rPr>
              <w:t>ktorým sa mení a dopĺňa zákon</w:t>
            </w:r>
            <w:r w:rsidRPr="00E61FA1">
              <w:rPr>
                <w:rFonts w:ascii="Times New Roman" w:hAnsi="Times New Roman"/>
              </w:rPr>
              <w:t xml:space="preserve"> č. 530/2011 Z. z. o spotrebnej dani z alkoholických nápojov v znení neskorších predpisov</w:t>
            </w:r>
          </w:p>
          <w:p w:rsidR="00BB42F2" w:rsidRPr="00453013" w:rsidRDefault="00BB42F2" w:rsidP="00BE020B">
            <w:pPr>
              <w:jc w:val="both"/>
              <w:rPr>
                <w:rFonts w:ascii="Times New Roman" w:hAnsi="Times New Roman"/>
              </w:rPr>
            </w:pPr>
          </w:p>
        </w:tc>
      </w:tr>
      <w:tr w:rsidR="00BB42F2" w:rsidRPr="003C289B" w:rsidTr="00BE020B">
        <w:tc>
          <w:tcPr>
            <w:tcW w:w="9180" w:type="dxa"/>
            <w:gridSpan w:val="10"/>
            <w:tcBorders>
              <w:bottom w:val="single" w:sz="4" w:space="0" w:color="FFFFFF" w:themeColor="background1"/>
            </w:tcBorders>
            <w:shd w:val="clear" w:color="auto" w:fill="E2E2E2"/>
          </w:tcPr>
          <w:p w:rsidR="00BB42F2" w:rsidRPr="003C289B" w:rsidRDefault="00BB42F2" w:rsidP="00BE020B">
            <w:pPr>
              <w:pStyle w:val="Odsekzoznamu"/>
              <w:ind w:left="142"/>
              <w:rPr>
                <w:rFonts w:ascii="Times New Roman" w:hAnsi="Times New Roman"/>
                <w:b/>
              </w:rPr>
            </w:pPr>
            <w:r w:rsidRPr="003C289B">
              <w:rPr>
                <w:rFonts w:ascii="Times New Roman" w:hAnsi="Times New Roman"/>
                <w:b/>
              </w:rPr>
              <w:t>Predkladateľ (a spolupredkladateľ)</w:t>
            </w:r>
          </w:p>
        </w:tc>
      </w:tr>
      <w:tr w:rsidR="00BB42F2" w:rsidRPr="003C289B" w:rsidTr="00BE020B">
        <w:tc>
          <w:tcPr>
            <w:tcW w:w="9180" w:type="dxa"/>
            <w:gridSpan w:val="10"/>
            <w:tcBorders>
              <w:top w:val="single" w:sz="4" w:space="0" w:color="FFFFFF" w:themeColor="background1"/>
            </w:tcBorders>
            <w:shd w:val="clear" w:color="auto" w:fill="FFFFFF" w:themeFill="background1"/>
          </w:tcPr>
          <w:p w:rsidR="00BB42F2" w:rsidRDefault="00BB42F2" w:rsidP="00BE020B">
            <w:pPr>
              <w:rPr>
                <w:rFonts w:ascii="Times New Roman" w:hAnsi="Times New Roman"/>
                <w:sz w:val="20"/>
                <w:szCs w:val="20"/>
              </w:rPr>
            </w:pPr>
          </w:p>
          <w:p w:rsidR="00BB42F2" w:rsidRPr="002E36DF" w:rsidRDefault="00BB42F2" w:rsidP="00BE020B">
            <w:pPr>
              <w:rPr>
                <w:rFonts w:ascii="Times New Roman" w:hAnsi="Times New Roman"/>
                <w:sz w:val="20"/>
                <w:szCs w:val="20"/>
              </w:rPr>
            </w:pPr>
            <w:r w:rsidRPr="002E36DF">
              <w:rPr>
                <w:rFonts w:ascii="Times New Roman" w:hAnsi="Times New Roman"/>
                <w:sz w:val="20"/>
                <w:szCs w:val="20"/>
              </w:rPr>
              <w:t>Ministerstvo financií Slovenskej republiky</w:t>
            </w:r>
          </w:p>
          <w:p w:rsidR="00BB42F2" w:rsidRPr="003C289B" w:rsidRDefault="00BB42F2" w:rsidP="00BE020B">
            <w:pPr>
              <w:rPr>
                <w:rFonts w:ascii="Times New Roman" w:hAnsi="Times New Roman"/>
              </w:rPr>
            </w:pPr>
          </w:p>
        </w:tc>
      </w:tr>
      <w:tr w:rsidR="00BB42F2" w:rsidRPr="003C289B" w:rsidTr="00BE020B">
        <w:tc>
          <w:tcPr>
            <w:tcW w:w="4212" w:type="dxa"/>
            <w:gridSpan w:val="2"/>
            <w:vMerge w:val="restart"/>
            <w:tcBorders>
              <w:bottom w:val="single" w:sz="4" w:space="0" w:color="FFFFFF" w:themeColor="background1"/>
            </w:tcBorders>
            <w:shd w:val="clear" w:color="auto" w:fill="E2E2E2"/>
            <w:vAlign w:val="center"/>
          </w:tcPr>
          <w:p w:rsidR="00BB42F2" w:rsidRPr="003C289B" w:rsidRDefault="00BB42F2" w:rsidP="00BE020B">
            <w:pPr>
              <w:pStyle w:val="Odsekzoznamu"/>
              <w:ind w:left="142"/>
              <w:rPr>
                <w:rFonts w:ascii="Times New Roman" w:hAnsi="Times New Roman"/>
                <w:b/>
              </w:rPr>
            </w:pPr>
            <w:r w:rsidRPr="003C289B">
              <w:rPr>
                <w:rFonts w:ascii="Times New Roman" w:hAnsi="Times New Roman"/>
                <w:b/>
              </w:rPr>
              <w:t>Charakter predkladaného materiálu</w:t>
            </w:r>
          </w:p>
        </w:tc>
        <w:tc>
          <w:tcPr>
            <w:tcW w:w="705" w:type="dxa"/>
            <w:gridSpan w:val="2"/>
            <w:tcBorders>
              <w:right w:val="nil"/>
            </w:tcBorders>
            <w:shd w:val="clear" w:color="auto" w:fill="FFFFFF" w:themeFill="background1"/>
          </w:tcPr>
          <w:p w:rsidR="00BB42F2" w:rsidRPr="003C289B" w:rsidRDefault="00BB42F2" w:rsidP="00BE020B">
            <w:pPr>
              <w:jc w:val="center"/>
              <w:rPr>
                <w:rFonts w:ascii="Times New Roman" w:hAnsi="Times New Roman"/>
              </w:rPr>
            </w:pPr>
            <w:r w:rsidRPr="003C289B">
              <w:rPr>
                <w:rFonts w:ascii="Segoe UI Symbol" w:eastAsia="MS Mincho" w:hAnsi="Segoe UI Symbol" w:cs="Segoe UI Symbol"/>
              </w:rPr>
              <w:t>☐</w:t>
            </w:r>
          </w:p>
        </w:tc>
        <w:tc>
          <w:tcPr>
            <w:tcW w:w="4263" w:type="dxa"/>
            <w:gridSpan w:val="6"/>
            <w:tcBorders>
              <w:left w:val="nil"/>
            </w:tcBorders>
            <w:shd w:val="clear" w:color="auto" w:fill="FFFFFF" w:themeFill="background1"/>
          </w:tcPr>
          <w:p w:rsidR="00BB42F2" w:rsidRPr="003C289B" w:rsidRDefault="00BB42F2" w:rsidP="00BE020B">
            <w:pPr>
              <w:rPr>
                <w:rFonts w:ascii="Times New Roman" w:hAnsi="Times New Roman"/>
              </w:rPr>
            </w:pPr>
            <w:r w:rsidRPr="003C289B">
              <w:rPr>
                <w:rFonts w:ascii="Times New Roman" w:hAnsi="Times New Roman"/>
              </w:rPr>
              <w:t>Materiál nelegislatívnej povahy</w:t>
            </w:r>
          </w:p>
        </w:tc>
      </w:tr>
      <w:tr w:rsidR="00BB42F2" w:rsidRPr="003C289B" w:rsidTr="00BE020B">
        <w:tc>
          <w:tcPr>
            <w:tcW w:w="4212" w:type="dxa"/>
            <w:gridSpan w:val="2"/>
            <w:vMerge/>
            <w:tcBorders>
              <w:top w:val="nil"/>
              <w:bottom w:val="single" w:sz="4" w:space="0" w:color="FFFFFF" w:themeColor="background1"/>
            </w:tcBorders>
            <w:shd w:val="clear" w:color="auto" w:fill="E2E2E2"/>
          </w:tcPr>
          <w:p w:rsidR="00BB42F2" w:rsidRPr="003C289B" w:rsidRDefault="00BB42F2" w:rsidP="00BE020B">
            <w:pPr>
              <w:rPr>
                <w:rFonts w:ascii="Times New Roman" w:hAnsi="Times New Roman"/>
              </w:rPr>
            </w:pPr>
          </w:p>
        </w:tc>
        <w:tc>
          <w:tcPr>
            <w:tcW w:w="705" w:type="dxa"/>
            <w:gridSpan w:val="2"/>
            <w:tcBorders>
              <w:right w:val="nil"/>
            </w:tcBorders>
            <w:shd w:val="clear" w:color="auto" w:fill="FFFFFF" w:themeFill="background1"/>
          </w:tcPr>
          <w:p w:rsidR="00BB42F2" w:rsidRPr="003C289B" w:rsidRDefault="00BB42F2" w:rsidP="00BE020B">
            <w:pPr>
              <w:jc w:val="center"/>
              <w:rPr>
                <w:rFonts w:ascii="Times New Roman" w:hAnsi="Times New Roman"/>
              </w:rPr>
            </w:pPr>
            <w:r w:rsidRPr="003C289B">
              <w:rPr>
                <w:rFonts w:ascii="Segoe UI Symbol" w:eastAsia="MS Mincho" w:hAnsi="Segoe UI Symbol" w:cs="Segoe UI Symbol"/>
              </w:rPr>
              <w:t>☒</w:t>
            </w:r>
          </w:p>
        </w:tc>
        <w:tc>
          <w:tcPr>
            <w:tcW w:w="4263" w:type="dxa"/>
            <w:gridSpan w:val="6"/>
            <w:tcBorders>
              <w:left w:val="nil"/>
            </w:tcBorders>
            <w:shd w:val="clear" w:color="auto" w:fill="FFFFFF" w:themeFill="background1"/>
          </w:tcPr>
          <w:p w:rsidR="00BB42F2" w:rsidRPr="003C289B" w:rsidRDefault="00BB42F2" w:rsidP="00BE020B">
            <w:pPr>
              <w:ind w:left="175" w:hanging="175"/>
              <w:rPr>
                <w:rFonts w:ascii="Times New Roman" w:hAnsi="Times New Roman"/>
              </w:rPr>
            </w:pPr>
            <w:r w:rsidRPr="003C289B">
              <w:rPr>
                <w:rFonts w:ascii="Times New Roman" w:hAnsi="Times New Roman"/>
              </w:rPr>
              <w:t>Materiál legislatívnej povahy</w:t>
            </w:r>
          </w:p>
        </w:tc>
      </w:tr>
      <w:tr w:rsidR="00BB42F2" w:rsidRPr="003C289B" w:rsidTr="00BE020B">
        <w:tc>
          <w:tcPr>
            <w:tcW w:w="4212" w:type="dxa"/>
            <w:gridSpan w:val="2"/>
            <w:vMerge/>
            <w:tcBorders>
              <w:top w:val="nil"/>
            </w:tcBorders>
            <w:shd w:val="clear" w:color="auto" w:fill="E2E2E2"/>
          </w:tcPr>
          <w:p w:rsidR="00BB42F2" w:rsidRPr="003C289B" w:rsidRDefault="00BB42F2" w:rsidP="00BE020B">
            <w:pPr>
              <w:rPr>
                <w:rFonts w:ascii="Times New Roman" w:hAnsi="Times New Roman"/>
              </w:rPr>
            </w:pPr>
          </w:p>
        </w:tc>
        <w:tc>
          <w:tcPr>
            <w:tcW w:w="705" w:type="dxa"/>
            <w:gridSpan w:val="2"/>
            <w:tcBorders>
              <w:right w:val="nil"/>
            </w:tcBorders>
            <w:shd w:val="clear" w:color="auto" w:fill="FFFFFF" w:themeFill="background1"/>
          </w:tcPr>
          <w:p w:rsidR="00BB42F2" w:rsidRPr="003C289B" w:rsidRDefault="00BB42F2" w:rsidP="00BE020B">
            <w:pPr>
              <w:jc w:val="center"/>
              <w:rPr>
                <w:rFonts w:ascii="Times New Roman" w:hAnsi="Times New Roman"/>
              </w:rPr>
            </w:pPr>
            <w:r w:rsidRPr="003C289B">
              <w:rPr>
                <w:rFonts w:ascii="Segoe UI Symbol" w:eastAsia="MS Mincho" w:hAnsi="Segoe UI Symbol" w:cs="Segoe UI Symbol"/>
              </w:rPr>
              <w:t>☐</w:t>
            </w:r>
          </w:p>
        </w:tc>
        <w:tc>
          <w:tcPr>
            <w:tcW w:w="4263" w:type="dxa"/>
            <w:gridSpan w:val="6"/>
            <w:tcBorders>
              <w:left w:val="nil"/>
            </w:tcBorders>
            <w:shd w:val="clear" w:color="auto" w:fill="FFFFFF" w:themeFill="background1"/>
          </w:tcPr>
          <w:p w:rsidR="00BB42F2" w:rsidRPr="003C289B" w:rsidRDefault="00BB42F2" w:rsidP="00BE020B">
            <w:pPr>
              <w:rPr>
                <w:rFonts w:ascii="Times New Roman" w:hAnsi="Times New Roman"/>
              </w:rPr>
            </w:pPr>
            <w:r w:rsidRPr="003C289B">
              <w:rPr>
                <w:rFonts w:ascii="Times New Roman" w:hAnsi="Times New Roman"/>
              </w:rPr>
              <w:t>Transpozícia práva EÚ</w:t>
            </w:r>
          </w:p>
        </w:tc>
      </w:tr>
      <w:tr w:rsidR="00BB42F2" w:rsidRPr="003C289B" w:rsidTr="00BE020B">
        <w:tc>
          <w:tcPr>
            <w:tcW w:w="9180" w:type="dxa"/>
            <w:gridSpan w:val="10"/>
            <w:tcBorders>
              <w:bottom w:val="single" w:sz="4" w:space="0" w:color="FFFFFF" w:themeColor="background1"/>
            </w:tcBorders>
            <w:shd w:val="clear" w:color="auto" w:fill="FFFFFF" w:themeFill="background1"/>
          </w:tcPr>
          <w:p w:rsidR="00BB42F2" w:rsidRPr="003C289B" w:rsidRDefault="00BB42F2" w:rsidP="00BE020B">
            <w:pPr>
              <w:rPr>
                <w:rFonts w:ascii="Times New Roman" w:hAnsi="Times New Roman"/>
                <w:i/>
              </w:rPr>
            </w:pPr>
            <w:r w:rsidRPr="003C289B">
              <w:rPr>
                <w:rFonts w:ascii="Times New Roman" w:hAnsi="Times New Roman"/>
                <w:i/>
              </w:rPr>
              <w:t>V prípade transpozície uveďte zoznam transponovaných predpisov:</w:t>
            </w:r>
          </w:p>
          <w:p w:rsidR="00BB42F2" w:rsidRPr="003C289B" w:rsidRDefault="00BB42F2" w:rsidP="00BE020B">
            <w:pPr>
              <w:rPr>
                <w:rFonts w:ascii="Times New Roman" w:hAnsi="Times New Roman"/>
              </w:rPr>
            </w:pPr>
          </w:p>
        </w:tc>
      </w:tr>
      <w:tr w:rsidR="00BB42F2" w:rsidRPr="003C289B" w:rsidTr="00BE020B">
        <w:tc>
          <w:tcPr>
            <w:tcW w:w="5634" w:type="dxa"/>
            <w:gridSpan w:val="5"/>
            <w:tcBorders>
              <w:top w:val="single" w:sz="4" w:space="0" w:color="000000" w:themeColor="text1"/>
              <w:bottom w:val="single" w:sz="4" w:space="0" w:color="FFFFFF" w:themeColor="background1"/>
            </w:tcBorders>
            <w:shd w:val="clear" w:color="auto" w:fill="E2E2E2"/>
          </w:tcPr>
          <w:p w:rsidR="00BB42F2" w:rsidRPr="003C289B" w:rsidRDefault="00BB42F2" w:rsidP="00BE020B">
            <w:pPr>
              <w:pStyle w:val="Odsekzoznamu"/>
              <w:ind w:left="142"/>
              <w:rPr>
                <w:rFonts w:ascii="Times New Roman" w:hAnsi="Times New Roman"/>
                <w:b/>
              </w:rPr>
            </w:pPr>
            <w:r w:rsidRPr="003C289B">
              <w:rPr>
                <w:rFonts w:ascii="Times New Roman" w:hAnsi="Times New Roman"/>
                <w:b/>
              </w:rPr>
              <w:t>Termín začiatku a ukončenia PPK</w:t>
            </w:r>
          </w:p>
        </w:tc>
        <w:tc>
          <w:tcPr>
            <w:tcW w:w="3546" w:type="dxa"/>
            <w:gridSpan w:val="5"/>
            <w:tcBorders>
              <w:top w:val="single" w:sz="4" w:space="0" w:color="000000" w:themeColor="text1"/>
            </w:tcBorders>
            <w:vAlign w:val="center"/>
          </w:tcPr>
          <w:p w:rsidR="00BB42F2" w:rsidRPr="0049620D" w:rsidRDefault="00BB42F2" w:rsidP="00BE020B">
            <w:pPr>
              <w:rPr>
                <w:rFonts w:ascii="Times New Roman" w:hAnsi="Times New Roman"/>
                <w:b/>
                <w:sz w:val="20"/>
                <w:szCs w:val="20"/>
              </w:rPr>
            </w:pPr>
            <w:r w:rsidRPr="0049620D">
              <w:rPr>
                <w:rFonts w:ascii="Times New Roman" w:hAnsi="Times New Roman"/>
                <w:b/>
                <w:sz w:val="20"/>
                <w:szCs w:val="20"/>
              </w:rPr>
              <w:t>jún 2018</w:t>
            </w:r>
          </w:p>
        </w:tc>
      </w:tr>
      <w:tr w:rsidR="00BB42F2" w:rsidRPr="003C289B" w:rsidTr="00BE020B">
        <w:tc>
          <w:tcPr>
            <w:tcW w:w="5634" w:type="dxa"/>
            <w:gridSpan w:val="5"/>
            <w:tcBorders>
              <w:bottom w:val="single" w:sz="4" w:space="0" w:color="FFFFFF" w:themeColor="background1"/>
            </w:tcBorders>
            <w:shd w:val="clear" w:color="auto" w:fill="E2E2E2"/>
          </w:tcPr>
          <w:p w:rsidR="00BB42F2" w:rsidRPr="003C289B" w:rsidRDefault="00BB42F2" w:rsidP="00BE020B">
            <w:pPr>
              <w:pStyle w:val="Odsekzoznamu"/>
              <w:ind w:left="142"/>
              <w:rPr>
                <w:rFonts w:ascii="Times New Roman" w:hAnsi="Times New Roman"/>
                <w:b/>
              </w:rPr>
            </w:pPr>
            <w:r w:rsidRPr="003C289B">
              <w:rPr>
                <w:rFonts w:ascii="Times New Roman" w:hAnsi="Times New Roman"/>
                <w:b/>
              </w:rPr>
              <w:t>Predpokladaný termín predloženia na MPK*</w:t>
            </w:r>
          </w:p>
        </w:tc>
        <w:tc>
          <w:tcPr>
            <w:tcW w:w="3546" w:type="dxa"/>
            <w:gridSpan w:val="5"/>
            <w:vAlign w:val="center"/>
          </w:tcPr>
          <w:p w:rsidR="00BB42F2" w:rsidRPr="0049620D" w:rsidRDefault="00BB42F2" w:rsidP="00BE020B">
            <w:pPr>
              <w:rPr>
                <w:rFonts w:ascii="Times New Roman" w:hAnsi="Times New Roman"/>
                <w:b/>
                <w:sz w:val="20"/>
                <w:szCs w:val="20"/>
              </w:rPr>
            </w:pPr>
            <w:r w:rsidRPr="0049620D">
              <w:rPr>
                <w:rFonts w:ascii="Times New Roman" w:hAnsi="Times New Roman"/>
                <w:b/>
                <w:sz w:val="20"/>
                <w:szCs w:val="20"/>
              </w:rPr>
              <w:t>júl 2018</w:t>
            </w:r>
          </w:p>
        </w:tc>
      </w:tr>
      <w:tr w:rsidR="00BB42F2" w:rsidRPr="003C289B" w:rsidTr="00BE020B">
        <w:tc>
          <w:tcPr>
            <w:tcW w:w="5634" w:type="dxa"/>
            <w:gridSpan w:val="5"/>
            <w:tcBorders>
              <w:bottom w:val="single" w:sz="4" w:space="0" w:color="FFFFFF" w:themeColor="background1"/>
            </w:tcBorders>
            <w:shd w:val="clear" w:color="auto" w:fill="E2E2E2"/>
          </w:tcPr>
          <w:p w:rsidR="00BB42F2" w:rsidRPr="003C289B" w:rsidRDefault="00BB42F2" w:rsidP="00BE020B">
            <w:pPr>
              <w:pStyle w:val="Odsekzoznamu"/>
              <w:ind w:left="142"/>
              <w:rPr>
                <w:rFonts w:ascii="Times New Roman" w:hAnsi="Times New Roman"/>
                <w:b/>
              </w:rPr>
            </w:pPr>
            <w:r w:rsidRPr="003C289B">
              <w:rPr>
                <w:rFonts w:ascii="Times New Roman" w:hAnsi="Times New Roman"/>
                <w:b/>
              </w:rPr>
              <w:t>Predpokladaný termín predloženia na Rokovanie vlády SR*</w:t>
            </w:r>
          </w:p>
        </w:tc>
        <w:tc>
          <w:tcPr>
            <w:tcW w:w="3546" w:type="dxa"/>
            <w:gridSpan w:val="5"/>
            <w:vAlign w:val="center"/>
          </w:tcPr>
          <w:p w:rsidR="00BB42F2" w:rsidRPr="0049620D" w:rsidRDefault="00BB42F2" w:rsidP="00BE020B">
            <w:pPr>
              <w:rPr>
                <w:rFonts w:ascii="Times New Roman" w:hAnsi="Times New Roman"/>
                <w:b/>
                <w:sz w:val="20"/>
                <w:szCs w:val="20"/>
              </w:rPr>
            </w:pPr>
            <w:r>
              <w:rPr>
                <w:rFonts w:ascii="Times New Roman" w:hAnsi="Times New Roman"/>
                <w:b/>
                <w:sz w:val="20"/>
                <w:szCs w:val="20"/>
              </w:rPr>
              <w:t>september</w:t>
            </w:r>
            <w:r w:rsidRPr="0049620D">
              <w:rPr>
                <w:rFonts w:ascii="Times New Roman" w:hAnsi="Times New Roman"/>
                <w:b/>
                <w:sz w:val="20"/>
                <w:szCs w:val="20"/>
              </w:rPr>
              <w:t xml:space="preserve"> 2018</w:t>
            </w:r>
          </w:p>
        </w:tc>
      </w:tr>
      <w:tr w:rsidR="00BB42F2" w:rsidRPr="003C289B" w:rsidTr="00BE020B">
        <w:tc>
          <w:tcPr>
            <w:tcW w:w="9180" w:type="dxa"/>
            <w:gridSpan w:val="10"/>
            <w:tcBorders>
              <w:left w:val="nil"/>
              <w:right w:val="nil"/>
            </w:tcBorders>
            <w:shd w:val="clear" w:color="auto" w:fill="FFFFFF" w:themeFill="background1"/>
          </w:tcPr>
          <w:p w:rsidR="00BB42F2" w:rsidRPr="003C289B" w:rsidRDefault="00BB42F2" w:rsidP="00BE020B">
            <w:pPr>
              <w:rPr>
                <w:rFonts w:ascii="Times New Roman" w:hAnsi="Times New Roman"/>
              </w:rPr>
            </w:pPr>
          </w:p>
        </w:tc>
      </w:tr>
      <w:tr w:rsidR="00BB42F2" w:rsidRPr="003C289B" w:rsidTr="00BE020B">
        <w:trPr>
          <w:trHeight w:val="286"/>
        </w:trPr>
        <w:tc>
          <w:tcPr>
            <w:tcW w:w="9180" w:type="dxa"/>
            <w:gridSpan w:val="10"/>
            <w:tcBorders>
              <w:bottom w:val="single" w:sz="4" w:space="0" w:color="FFFFFF" w:themeColor="background1"/>
            </w:tcBorders>
            <w:shd w:val="clear" w:color="auto" w:fill="E2E2E2"/>
          </w:tcPr>
          <w:p w:rsidR="00BB42F2" w:rsidRPr="003C289B" w:rsidRDefault="00BB42F2" w:rsidP="00BB42F2">
            <w:pPr>
              <w:pStyle w:val="Odsekzoznamu"/>
              <w:numPr>
                <w:ilvl w:val="0"/>
                <w:numId w:val="16"/>
              </w:numPr>
              <w:spacing w:after="0" w:line="240" w:lineRule="auto"/>
              <w:ind w:left="426"/>
              <w:rPr>
                <w:rFonts w:ascii="Times New Roman" w:hAnsi="Times New Roman"/>
                <w:b/>
              </w:rPr>
            </w:pPr>
            <w:r w:rsidRPr="003C289B">
              <w:rPr>
                <w:rFonts w:ascii="Times New Roman" w:hAnsi="Times New Roman"/>
                <w:b/>
              </w:rPr>
              <w:t>Definovanie problému</w:t>
            </w:r>
          </w:p>
        </w:tc>
      </w:tr>
      <w:tr w:rsidR="00BB42F2" w:rsidRPr="003C289B" w:rsidTr="00BE020B">
        <w:trPr>
          <w:trHeight w:val="850"/>
        </w:trPr>
        <w:tc>
          <w:tcPr>
            <w:tcW w:w="9180" w:type="dxa"/>
            <w:gridSpan w:val="10"/>
            <w:tcBorders>
              <w:top w:val="single" w:sz="4" w:space="0" w:color="FFFFFF" w:themeColor="background1"/>
            </w:tcBorders>
            <w:shd w:val="clear" w:color="auto" w:fill="FFFFFF" w:themeFill="background1"/>
            <w:vAlign w:val="center"/>
          </w:tcPr>
          <w:p w:rsidR="00BB42F2" w:rsidRPr="00E61FA1" w:rsidRDefault="00BB42F2" w:rsidP="00BE020B">
            <w:pPr>
              <w:jc w:val="both"/>
              <w:rPr>
                <w:rFonts w:ascii="Times New Roman" w:hAnsi="Times New Roman"/>
                <w:b/>
                <w:sz w:val="20"/>
                <w:szCs w:val="20"/>
              </w:rPr>
            </w:pPr>
            <w:r w:rsidRPr="00E61FA1">
              <w:rPr>
                <w:rFonts w:ascii="Times New Roman" w:hAnsi="Times New Roman"/>
                <w:b/>
                <w:sz w:val="20"/>
                <w:szCs w:val="20"/>
              </w:rPr>
              <w:t>Čl. I</w:t>
            </w:r>
          </w:p>
          <w:p w:rsidR="00BB42F2" w:rsidRDefault="00BB42F2" w:rsidP="00BE020B">
            <w:pPr>
              <w:jc w:val="both"/>
              <w:rPr>
                <w:rFonts w:ascii="Times New Roman" w:hAnsi="Times New Roman"/>
                <w:color w:val="000000"/>
                <w:sz w:val="20"/>
                <w:szCs w:val="20"/>
              </w:rPr>
            </w:pPr>
            <w:r>
              <w:rPr>
                <w:rFonts w:ascii="Times New Roman" w:hAnsi="Times New Roman"/>
                <w:sz w:val="20"/>
                <w:szCs w:val="20"/>
              </w:rPr>
              <w:t>Ú</w:t>
            </w:r>
            <w:r w:rsidRPr="00E61FA1">
              <w:rPr>
                <w:rFonts w:ascii="Times New Roman" w:hAnsi="Times New Roman"/>
                <w:sz w:val="20"/>
                <w:szCs w:val="20"/>
              </w:rPr>
              <w:t xml:space="preserve">prava základnej sadzby dane na pohonné látky, t. j. na motorový benzín a motorovú naftu v súlade s rozhodnutím Európskej komisie, štátna pomoc </w:t>
            </w:r>
            <w:r w:rsidRPr="00E61FA1">
              <w:rPr>
                <w:rFonts w:ascii="Times New Roman" w:hAnsi="Times New Roman"/>
                <w:color w:val="000000"/>
                <w:sz w:val="20"/>
                <w:szCs w:val="20"/>
              </w:rPr>
              <w:t xml:space="preserve">SA.49509 (2017/N) – Slovensko – Daňové zvýhodnenie </w:t>
            </w:r>
            <w:proofErr w:type="spellStart"/>
            <w:r w:rsidRPr="00E61FA1">
              <w:rPr>
                <w:rFonts w:ascii="Times New Roman" w:hAnsi="Times New Roman"/>
                <w:color w:val="000000"/>
                <w:sz w:val="20"/>
                <w:szCs w:val="20"/>
              </w:rPr>
              <w:t>biopalív</w:t>
            </w:r>
            <w:proofErr w:type="spellEnd"/>
            <w:r w:rsidRPr="00E61FA1">
              <w:rPr>
                <w:rFonts w:ascii="Times New Roman" w:hAnsi="Times New Roman"/>
                <w:color w:val="000000"/>
                <w:sz w:val="20"/>
                <w:szCs w:val="20"/>
              </w:rPr>
              <w:t>,</w:t>
            </w:r>
          </w:p>
          <w:p w:rsidR="00BB42F2" w:rsidRPr="00E61FA1" w:rsidRDefault="00BB42F2" w:rsidP="00BE020B">
            <w:pPr>
              <w:jc w:val="both"/>
              <w:rPr>
                <w:rFonts w:ascii="Times New Roman" w:hAnsi="Times New Roman"/>
                <w:sz w:val="20"/>
                <w:szCs w:val="20"/>
              </w:rPr>
            </w:pPr>
          </w:p>
          <w:p w:rsidR="00BB42F2" w:rsidRPr="00E61FA1" w:rsidRDefault="00BB42F2" w:rsidP="00BE020B">
            <w:pPr>
              <w:jc w:val="both"/>
              <w:rPr>
                <w:rFonts w:ascii="Times New Roman" w:hAnsi="Times New Roman"/>
                <w:sz w:val="20"/>
                <w:szCs w:val="20"/>
              </w:rPr>
            </w:pPr>
            <w:r>
              <w:rPr>
                <w:rFonts w:ascii="Times New Roman" w:hAnsi="Times New Roman"/>
                <w:sz w:val="20"/>
                <w:szCs w:val="20"/>
              </w:rPr>
              <w:t>Z</w:t>
            </w:r>
            <w:r w:rsidRPr="00E61FA1">
              <w:rPr>
                <w:rFonts w:ascii="Times New Roman" w:hAnsi="Times New Roman"/>
                <w:sz w:val="20"/>
                <w:szCs w:val="20"/>
              </w:rPr>
              <w:t>avedenie povinnosti označovania pohonných látok identifikačnou látkou a podmienky jej výroby, distribúcie a nakladania s touto identifikačnou látkou s cieľom jednoznačne identifikovať zdanené pohonné látky uvedené do daňového voľného obehu na daňovom území.</w:t>
            </w:r>
          </w:p>
          <w:p w:rsidR="00BB42F2" w:rsidRDefault="00BB42F2" w:rsidP="00BE020B">
            <w:pPr>
              <w:jc w:val="both"/>
              <w:rPr>
                <w:rFonts w:ascii="Times New Roman" w:hAnsi="Times New Roman"/>
                <w:sz w:val="20"/>
                <w:szCs w:val="20"/>
              </w:rPr>
            </w:pPr>
          </w:p>
          <w:p w:rsidR="00BB42F2" w:rsidRPr="008452BB" w:rsidRDefault="00BB42F2" w:rsidP="00BE020B">
            <w:pPr>
              <w:jc w:val="both"/>
              <w:rPr>
                <w:rFonts w:ascii="Times New Roman" w:hAnsi="Times New Roman"/>
                <w:b/>
                <w:sz w:val="20"/>
                <w:szCs w:val="20"/>
              </w:rPr>
            </w:pPr>
            <w:r w:rsidRPr="008452BB">
              <w:rPr>
                <w:rFonts w:ascii="Times New Roman" w:hAnsi="Times New Roman"/>
                <w:b/>
                <w:sz w:val="20"/>
                <w:szCs w:val="20"/>
              </w:rPr>
              <w:t>Čl. II</w:t>
            </w:r>
          </w:p>
          <w:p w:rsidR="00BB42F2" w:rsidRDefault="00BB42F2" w:rsidP="00BE020B">
            <w:pPr>
              <w:ind w:firstLine="16"/>
              <w:jc w:val="both"/>
              <w:rPr>
                <w:rFonts w:ascii="Times New Roman" w:hAnsi="Times New Roman"/>
                <w:sz w:val="20"/>
                <w:szCs w:val="20"/>
              </w:rPr>
            </w:pPr>
            <w:r w:rsidRPr="008452BB">
              <w:rPr>
                <w:rFonts w:ascii="Times New Roman" w:hAnsi="Times New Roman"/>
                <w:sz w:val="20"/>
                <w:szCs w:val="20"/>
              </w:rPr>
              <w:t>Zrušenie oslobodenia alkoholického nápoja od spotrebnej dane, ak je určený na výrobu a prípravu výživových doplnkov. MF SR pristupuje k zrušeniu tohto oslobodenia od spotrebnej dane na základe stanoviska Európskej komisie, v ktorom uvádza nesúlad medzi poskytnutím oslobodenia od spotrebnej dane z alkoholických nápojov na výrobu a prípravu výživových doplnkov ustanoveným v zákone č. 530/2011 Z. z. a Smernicou Rady 92/83/EHS o zosúladení štruktúr spotrebných daní pre etanol a alkoholické nápoje.</w:t>
            </w:r>
          </w:p>
          <w:p w:rsidR="00BB42F2" w:rsidRPr="00453013" w:rsidRDefault="00BB42F2" w:rsidP="00BE020B">
            <w:pPr>
              <w:rPr>
                <w:rFonts w:ascii="Times New Roman" w:hAnsi="Times New Roman"/>
                <w:color w:val="000000"/>
              </w:rPr>
            </w:pPr>
          </w:p>
        </w:tc>
      </w:tr>
      <w:tr w:rsidR="00BB42F2" w:rsidRPr="003C289B" w:rsidTr="00BE020B">
        <w:tc>
          <w:tcPr>
            <w:tcW w:w="9180" w:type="dxa"/>
            <w:gridSpan w:val="10"/>
            <w:tcBorders>
              <w:bottom w:val="nil"/>
            </w:tcBorders>
            <w:shd w:val="clear" w:color="auto" w:fill="E2E2E2"/>
          </w:tcPr>
          <w:p w:rsidR="00BB42F2" w:rsidRPr="003C289B" w:rsidRDefault="00BB42F2" w:rsidP="00BB42F2">
            <w:pPr>
              <w:pStyle w:val="Odsekzoznamu"/>
              <w:numPr>
                <w:ilvl w:val="0"/>
                <w:numId w:val="16"/>
              </w:numPr>
              <w:spacing w:after="0" w:line="240" w:lineRule="auto"/>
              <w:ind w:left="426"/>
              <w:rPr>
                <w:rFonts w:ascii="Times New Roman" w:hAnsi="Times New Roman"/>
                <w:b/>
              </w:rPr>
            </w:pPr>
            <w:r w:rsidRPr="003C289B">
              <w:rPr>
                <w:rFonts w:ascii="Times New Roman" w:hAnsi="Times New Roman"/>
                <w:b/>
              </w:rPr>
              <w:t>Ciele a výsledný stav</w:t>
            </w:r>
          </w:p>
        </w:tc>
      </w:tr>
      <w:tr w:rsidR="00BB42F2" w:rsidRPr="003C289B" w:rsidTr="00BE020B">
        <w:trPr>
          <w:trHeight w:val="680"/>
        </w:trPr>
        <w:tc>
          <w:tcPr>
            <w:tcW w:w="9180" w:type="dxa"/>
            <w:gridSpan w:val="10"/>
            <w:tcBorders>
              <w:top w:val="nil"/>
            </w:tcBorders>
            <w:shd w:val="clear" w:color="auto" w:fill="FFFFFF" w:themeFill="background1"/>
            <w:vAlign w:val="center"/>
          </w:tcPr>
          <w:p w:rsidR="00BB42F2" w:rsidRPr="00E61FA1" w:rsidRDefault="00BB42F2" w:rsidP="00BE020B">
            <w:pPr>
              <w:jc w:val="both"/>
              <w:rPr>
                <w:rStyle w:val="Zstupntext"/>
                <w:b/>
                <w:sz w:val="20"/>
                <w:szCs w:val="20"/>
              </w:rPr>
            </w:pPr>
            <w:r w:rsidRPr="00E61FA1">
              <w:rPr>
                <w:rFonts w:ascii="Times New Roman" w:hAnsi="Times New Roman"/>
                <w:b/>
                <w:sz w:val="20"/>
                <w:szCs w:val="20"/>
              </w:rPr>
              <w:t>Čl. I</w:t>
            </w:r>
          </w:p>
          <w:p w:rsidR="00BB42F2" w:rsidRDefault="00BB42F2" w:rsidP="00BE020B">
            <w:pPr>
              <w:jc w:val="both"/>
              <w:rPr>
                <w:rStyle w:val="Zstupntext"/>
                <w:color w:val="000000"/>
                <w:sz w:val="20"/>
                <w:szCs w:val="20"/>
              </w:rPr>
            </w:pPr>
            <w:r w:rsidRPr="002E36DF">
              <w:rPr>
                <w:rStyle w:val="Zstupntext"/>
                <w:color w:val="000000"/>
                <w:sz w:val="20"/>
                <w:szCs w:val="20"/>
              </w:rPr>
              <w:t>Legislatívne úpravy sú zamerané na elimináciu daňových únikov na spotr</w:t>
            </w:r>
            <w:r>
              <w:rPr>
                <w:rStyle w:val="Zstupntext"/>
                <w:color w:val="000000"/>
                <w:sz w:val="20"/>
                <w:szCs w:val="20"/>
              </w:rPr>
              <w:t>ebnej dani z minerálneho oleja.</w:t>
            </w:r>
          </w:p>
          <w:p w:rsidR="00BB42F2" w:rsidRDefault="00BB42F2" w:rsidP="00BE020B">
            <w:pPr>
              <w:jc w:val="both"/>
              <w:rPr>
                <w:rStyle w:val="Zstupntext"/>
                <w:color w:val="000000"/>
                <w:sz w:val="20"/>
                <w:szCs w:val="20"/>
              </w:rPr>
            </w:pPr>
          </w:p>
          <w:p w:rsidR="00BB42F2" w:rsidRPr="00E61FA1" w:rsidRDefault="00BB42F2" w:rsidP="00BE020B">
            <w:pPr>
              <w:jc w:val="both"/>
              <w:rPr>
                <w:rFonts w:ascii="Times New Roman" w:hAnsi="Times New Roman"/>
                <w:b/>
                <w:sz w:val="20"/>
                <w:szCs w:val="20"/>
              </w:rPr>
            </w:pPr>
            <w:r w:rsidRPr="00E61FA1">
              <w:rPr>
                <w:rFonts w:ascii="Times New Roman" w:hAnsi="Times New Roman"/>
                <w:b/>
                <w:sz w:val="20"/>
                <w:szCs w:val="20"/>
              </w:rPr>
              <w:t>Čl. I</w:t>
            </w:r>
            <w:r>
              <w:rPr>
                <w:rFonts w:ascii="Times New Roman" w:hAnsi="Times New Roman"/>
                <w:b/>
                <w:sz w:val="20"/>
                <w:szCs w:val="20"/>
              </w:rPr>
              <w:t>I</w:t>
            </w:r>
          </w:p>
          <w:p w:rsidR="00BB42F2" w:rsidRPr="00E61FA1" w:rsidRDefault="00BB42F2" w:rsidP="00BE020B">
            <w:pPr>
              <w:rPr>
                <w:rStyle w:val="Zstupntext"/>
                <w:sz w:val="20"/>
                <w:szCs w:val="20"/>
              </w:rPr>
            </w:pPr>
            <w:r w:rsidRPr="00E61FA1">
              <w:rPr>
                <w:rFonts w:ascii="Times New Roman" w:hAnsi="Times New Roman"/>
                <w:sz w:val="20"/>
                <w:szCs w:val="20"/>
              </w:rPr>
              <w:t>Transpozícia smernice Rady 92/83/EHS o zosúladení štruktúr spotrebných daní pre etanol a alkoholické nápoje.</w:t>
            </w:r>
          </w:p>
          <w:p w:rsidR="00BB42F2" w:rsidRPr="002E36DF" w:rsidRDefault="00BB42F2" w:rsidP="00BE020B">
            <w:pPr>
              <w:rPr>
                <w:rStyle w:val="Zstupntext"/>
                <w:color w:val="000000"/>
                <w:sz w:val="20"/>
                <w:szCs w:val="20"/>
              </w:rPr>
            </w:pPr>
          </w:p>
        </w:tc>
      </w:tr>
      <w:tr w:rsidR="00BB42F2" w:rsidRPr="003C289B" w:rsidTr="00BE020B">
        <w:tc>
          <w:tcPr>
            <w:tcW w:w="9180" w:type="dxa"/>
            <w:gridSpan w:val="10"/>
            <w:tcBorders>
              <w:bottom w:val="nil"/>
            </w:tcBorders>
            <w:shd w:val="clear" w:color="auto" w:fill="E2E2E2"/>
          </w:tcPr>
          <w:p w:rsidR="00BB42F2" w:rsidRPr="003C289B" w:rsidRDefault="00BB42F2" w:rsidP="00BB42F2">
            <w:pPr>
              <w:pStyle w:val="Odsekzoznamu"/>
              <w:numPr>
                <w:ilvl w:val="0"/>
                <w:numId w:val="16"/>
              </w:numPr>
              <w:spacing w:after="0" w:line="240" w:lineRule="auto"/>
              <w:ind w:left="426"/>
              <w:rPr>
                <w:rStyle w:val="Zstupntext"/>
                <w:color w:val="000000"/>
              </w:rPr>
            </w:pPr>
            <w:r w:rsidRPr="003C289B">
              <w:rPr>
                <w:rFonts w:ascii="Times New Roman" w:hAnsi="Times New Roman"/>
                <w:b/>
              </w:rPr>
              <w:t>Dotknuté subjekty</w:t>
            </w:r>
          </w:p>
        </w:tc>
      </w:tr>
      <w:tr w:rsidR="00BB42F2" w:rsidRPr="003C289B" w:rsidTr="00BE020B">
        <w:tc>
          <w:tcPr>
            <w:tcW w:w="9180" w:type="dxa"/>
            <w:gridSpan w:val="10"/>
            <w:tcBorders>
              <w:top w:val="nil"/>
            </w:tcBorders>
            <w:shd w:val="clear" w:color="auto" w:fill="FFFFFF" w:themeFill="background1"/>
          </w:tcPr>
          <w:p w:rsidR="00BB42F2" w:rsidRPr="00E61FA1" w:rsidRDefault="00BB42F2" w:rsidP="00BE020B">
            <w:pPr>
              <w:jc w:val="both"/>
              <w:rPr>
                <w:rFonts w:ascii="Times New Roman" w:hAnsi="Times New Roman"/>
                <w:b/>
                <w:sz w:val="20"/>
                <w:szCs w:val="20"/>
              </w:rPr>
            </w:pPr>
            <w:r w:rsidRPr="00E61FA1">
              <w:rPr>
                <w:rFonts w:ascii="Times New Roman" w:hAnsi="Times New Roman"/>
                <w:b/>
                <w:sz w:val="20"/>
                <w:szCs w:val="20"/>
              </w:rPr>
              <w:t>Čl. I</w:t>
            </w:r>
          </w:p>
          <w:p w:rsidR="00BB42F2" w:rsidRPr="002E36DF" w:rsidRDefault="00BB42F2" w:rsidP="00BE020B">
            <w:pPr>
              <w:jc w:val="both"/>
              <w:rPr>
                <w:rFonts w:ascii="Times New Roman" w:hAnsi="Times New Roman"/>
                <w:i/>
                <w:sz w:val="20"/>
                <w:szCs w:val="20"/>
              </w:rPr>
            </w:pPr>
            <w:r w:rsidRPr="002E36DF">
              <w:rPr>
                <w:rFonts w:ascii="Times New Roman" w:hAnsi="Times New Roman"/>
                <w:sz w:val="20"/>
                <w:szCs w:val="20"/>
              </w:rPr>
              <w:t>Podnikateľské subjekty, ktoré podľa zákona č. 98/2004 Z. z. o spotrebnej dani z minerálneho oleja v znení neskorších predpisov uvádzajú minerálne oleje na daňovom území do daňového voľného obehu.</w:t>
            </w:r>
          </w:p>
          <w:p w:rsidR="00BB42F2" w:rsidRDefault="00BB42F2" w:rsidP="00BE020B">
            <w:pPr>
              <w:rPr>
                <w:rFonts w:ascii="Times New Roman" w:hAnsi="Times New Roman"/>
                <w:sz w:val="20"/>
                <w:szCs w:val="20"/>
              </w:rPr>
            </w:pPr>
          </w:p>
          <w:p w:rsidR="006A090D" w:rsidRPr="00E61FA1" w:rsidRDefault="006A090D" w:rsidP="00BE020B">
            <w:pPr>
              <w:rPr>
                <w:rFonts w:ascii="Times New Roman" w:hAnsi="Times New Roman"/>
                <w:sz w:val="20"/>
                <w:szCs w:val="20"/>
              </w:rPr>
            </w:pPr>
          </w:p>
          <w:p w:rsidR="00BB42F2" w:rsidRPr="00E61FA1" w:rsidRDefault="00BB42F2" w:rsidP="00BE020B">
            <w:pPr>
              <w:jc w:val="both"/>
              <w:rPr>
                <w:rFonts w:ascii="Times New Roman" w:hAnsi="Times New Roman"/>
                <w:b/>
                <w:sz w:val="20"/>
                <w:szCs w:val="20"/>
              </w:rPr>
            </w:pPr>
            <w:r w:rsidRPr="00E61FA1">
              <w:rPr>
                <w:rFonts w:ascii="Times New Roman" w:hAnsi="Times New Roman"/>
                <w:b/>
                <w:sz w:val="20"/>
                <w:szCs w:val="20"/>
              </w:rPr>
              <w:lastRenderedPageBreak/>
              <w:t>Čl. II</w:t>
            </w:r>
          </w:p>
          <w:p w:rsidR="00BB42F2" w:rsidRPr="003C2B30" w:rsidRDefault="00BB42F2" w:rsidP="00BE020B">
            <w:pPr>
              <w:rPr>
                <w:rFonts w:ascii="Times New Roman" w:hAnsi="Times New Roman"/>
                <w:sz w:val="20"/>
                <w:szCs w:val="20"/>
              </w:rPr>
            </w:pPr>
            <w:r w:rsidRPr="00E61FA1">
              <w:rPr>
                <w:rFonts w:ascii="Times New Roman" w:hAnsi="Times New Roman"/>
                <w:sz w:val="20"/>
                <w:szCs w:val="20"/>
              </w:rPr>
              <w:t>Podnikateľské subjekty, ktoré vyrábajú, prepravujú, dovážajú a predávajú výživové doplnky</w:t>
            </w:r>
            <w:r w:rsidR="003C2B30">
              <w:rPr>
                <w:rFonts w:ascii="Times New Roman" w:hAnsi="Times New Roman"/>
                <w:sz w:val="20"/>
                <w:szCs w:val="20"/>
              </w:rPr>
              <w:t>.</w:t>
            </w:r>
          </w:p>
        </w:tc>
      </w:tr>
      <w:tr w:rsidR="00BB42F2" w:rsidRPr="003C289B" w:rsidTr="00BE020B">
        <w:tc>
          <w:tcPr>
            <w:tcW w:w="9180" w:type="dxa"/>
            <w:gridSpan w:val="10"/>
            <w:tcBorders>
              <w:bottom w:val="nil"/>
            </w:tcBorders>
            <w:shd w:val="clear" w:color="auto" w:fill="E2E2E2"/>
          </w:tcPr>
          <w:p w:rsidR="00BB42F2" w:rsidRPr="003C289B" w:rsidRDefault="00BB42F2" w:rsidP="00BB42F2">
            <w:pPr>
              <w:pStyle w:val="Odsekzoznamu"/>
              <w:numPr>
                <w:ilvl w:val="0"/>
                <w:numId w:val="16"/>
              </w:numPr>
              <w:spacing w:after="0" w:line="240" w:lineRule="auto"/>
              <w:ind w:left="426"/>
              <w:rPr>
                <w:rFonts w:ascii="Times New Roman" w:hAnsi="Times New Roman"/>
                <w:b/>
              </w:rPr>
            </w:pPr>
            <w:r w:rsidRPr="003C289B">
              <w:rPr>
                <w:rFonts w:ascii="Times New Roman" w:hAnsi="Times New Roman"/>
                <w:b/>
              </w:rPr>
              <w:lastRenderedPageBreak/>
              <w:t>Alternatívne riešenia</w:t>
            </w:r>
          </w:p>
        </w:tc>
      </w:tr>
      <w:tr w:rsidR="00BB42F2" w:rsidRPr="003C289B" w:rsidTr="00BE020B">
        <w:trPr>
          <w:trHeight w:val="454"/>
        </w:trPr>
        <w:tc>
          <w:tcPr>
            <w:tcW w:w="9180" w:type="dxa"/>
            <w:gridSpan w:val="10"/>
            <w:tcBorders>
              <w:top w:val="nil"/>
            </w:tcBorders>
            <w:shd w:val="clear" w:color="auto" w:fill="FFFFFF" w:themeFill="background1"/>
            <w:vAlign w:val="center"/>
          </w:tcPr>
          <w:p w:rsidR="00BB42F2" w:rsidRPr="00E61FA1" w:rsidRDefault="00BB42F2" w:rsidP="00BE020B">
            <w:pPr>
              <w:jc w:val="both"/>
              <w:rPr>
                <w:rFonts w:ascii="Times New Roman" w:hAnsi="Times New Roman"/>
                <w:b/>
                <w:sz w:val="20"/>
                <w:szCs w:val="20"/>
              </w:rPr>
            </w:pPr>
            <w:r w:rsidRPr="00E61FA1">
              <w:rPr>
                <w:rFonts w:ascii="Times New Roman" w:hAnsi="Times New Roman"/>
                <w:b/>
                <w:sz w:val="20"/>
                <w:szCs w:val="20"/>
              </w:rPr>
              <w:t>Čl. I</w:t>
            </w:r>
          </w:p>
          <w:p w:rsidR="00BB42F2" w:rsidRDefault="00BB42F2" w:rsidP="00BE020B">
            <w:pPr>
              <w:jc w:val="both"/>
              <w:rPr>
                <w:rFonts w:ascii="Times New Roman" w:hAnsi="Times New Roman"/>
                <w:sz w:val="20"/>
                <w:szCs w:val="20"/>
              </w:rPr>
            </w:pPr>
            <w:r w:rsidRPr="002E36DF">
              <w:rPr>
                <w:rFonts w:ascii="Times New Roman" w:hAnsi="Times New Roman"/>
                <w:sz w:val="20"/>
                <w:szCs w:val="20"/>
              </w:rPr>
              <w:t xml:space="preserve">Možným alternatívnym riešením je zavedenie iných opatrení na elimináciu daňových únikov </w:t>
            </w:r>
            <w:r w:rsidRPr="002E36DF">
              <w:rPr>
                <w:rStyle w:val="Zstupntext"/>
                <w:color w:val="000000"/>
                <w:sz w:val="20"/>
                <w:szCs w:val="20"/>
              </w:rPr>
              <w:t>na spotrebnej dani z minerálneho oleja</w:t>
            </w:r>
            <w:r w:rsidRPr="002E36DF">
              <w:rPr>
                <w:rFonts w:ascii="Times New Roman" w:hAnsi="Times New Roman"/>
                <w:sz w:val="20"/>
                <w:szCs w:val="20"/>
              </w:rPr>
              <w:t>.</w:t>
            </w:r>
          </w:p>
          <w:p w:rsidR="00BB42F2" w:rsidRDefault="00BB42F2" w:rsidP="00BE020B">
            <w:pPr>
              <w:jc w:val="both"/>
              <w:rPr>
                <w:rFonts w:ascii="Times New Roman" w:hAnsi="Times New Roman"/>
                <w:sz w:val="20"/>
                <w:szCs w:val="20"/>
              </w:rPr>
            </w:pPr>
          </w:p>
          <w:p w:rsidR="00BB42F2" w:rsidRPr="00E61FA1" w:rsidRDefault="00BB42F2" w:rsidP="00BE020B">
            <w:pPr>
              <w:jc w:val="both"/>
              <w:rPr>
                <w:rFonts w:ascii="Times New Roman" w:hAnsi="Times New Roman"/>
                <w:b/>
                <w:sz w:val="20"/>
                <w:szCs w:val="20"/>
              </w:rPr>
            </w:pPr>
            <w:r w:rsidRPr="00E61FA1">
              <w:rPr>
                <w:rFonts w:ascii="Times New Roman" w:hAnsi="Times New Roman"/>
                <w:b/>
                <w:sz w:val="20"/>
                <w:szCs w:val="20"/>
              </w:rPr>
              <w:t>Čl. II</w:t>
            </w:r>
          </w:p>
          <w:p w:rsidR="00BB42F2" w:rsidRPr="00E61FA1" w:rsidRDefault="00BB42F2" w:rsidP="00BE020B">
            <w:pPr>
              <w:jc w:val="both"/>
              <w:rPr>
                <w:rFonts w:ascii="Times New Roman" w:hAnsi="Times New Roman"/>
                <w:color w:val="000000"/>
                <w:sz w:val="20"/>
                <w:szCs w:val="20"/>
              </w:rPr>
            </w:pPr>
            <w:r w:rsidRPr="00E61FA1">
              <w:rPr>
                <w:rFonts w:ascii="Times New Roman" w:hAnsi="Times New Roman"/>
                <w:sz w:val="20"/>
                <w:szCs w:val="20"/>
              </w:rPr>
              <w:t>Smernica Rady 92/83/EHS o zosúladení štruktúr spotrebných daní pre etanol a alkoholické nápoje neumožňuje alternatívne riešenia.</w:t>
            </w:r>
          </w:p>
          <w:p w:rsidR="00BB42F2" w:rsidRPr="004406AC" w:rsidRDefault="00BB42F2" w:rsidP="00BE020B">
            <w:pPr>
              <w:jc w:val="both"/>
              <w:rPr>
                <w:rFonts w:ascii="Times New Roman" w:hAnsi="Times New Roman"/>
              </w:rPr>
            </w:pPr>
          </w:p>
        </w:tc>
      </w:tr>
      <w:tr w:rsidR="00BB42F2" w:rsidRPr="003C289B" w:rsidTr="00BE020B">
        <w:tc>
          <w:tcPr>
            <w:tcW w:w="9180" w:type="dxa"/>
            <w:gridSpan w:val="10"/>
            <w:shd w:val="clear" w:color="auto" w:fill="E2E2E2"/>
          </w:tcPr>
          <w:p w:rsidR="00BB42F2" w:rsidRPr="003C289B" w:rsidRDefault="00BB42F2" w:rsidP="00BB42F2">
            <w:pPr>
              <w:pStyle w:val="Odsekzoznamu"/>
              <w:numPr>
                <w:ilvl w:val="0"/>
                <w:numId w:val="16"/>
              </w:numPr>
              <w:spacing w:after="0" w:line="240" w:lineRule="auto"/>
              <w:ind w:left="426"/>
              <w:rPr>
                <w:rFonts w:ascii="Times New Roman" w:hAnsi="Times New Roman"/>
                <w:b/>
              </w:rPr>
            </w:pPr>
            <w:r w:rsidRPr="003C289B">
              <w:rPr>
                <w:rFonts w:ascii="Times New Roman" w:hAnsi="Times New Roman"/>
                <w:b/>
              </w:rPr>
              <w:t>Vykonávacie predpisy</w:t>
            </w:r>
          </w:p>
        </w:tc>
      </w:tr>
      <w:tr w:rsidR="00BB42F2" w:rsidRPr="003C289B" w:rsidTr="00BE020B">
        <w:trPr>
          <w:trHeight w:val="340"/>
        </w:trPr>
        <w:tc>
          <w:tcPr>
            <w:tcW w:w="6203" w:type="dxa"/>
            <w:gridSpan w:val="6"/>
            <w:tcBorders>
              <w:right w:val="nil"/>
            </w:tcBorders>
            <w:shd w:val="clear" w:color="auto" w:fill="FFFFFF" w:themeFill="background1"/>
          </w:tcPr>
          <w:p w:rsidR="00BB42F2" w:rsidRPr="003C289B" w:rsidRDefault="00BB42F2" w:rsidP="00BE020B">
            <w:pPr>
              <w:rPr>
                <w:rFonts w:ascii="Times New Roman" w:hAnsi="Times New Roman"/>
                <w:i/>
              </w:rPr>
            </w:pPr>
            <w:r w:rsidRPr="003C289B">
              <w:rPr>
                <w:rFonts w:ascii="Times New Roman" w:hAnsi="Times New Roman"/>
                <w:i/>
              </w:rPr>
              <w:t>Predpokladá sa prijatie/zmena vykonávacích predpisov?</w:t>
            </w:r>
          </w:p>
          <w:p w:rsidR="00BB42F2" w:rsidRDefault="00BB42F2" w:rsidP="00BE020B">
            <w:pPr>
              <w:widowControl w:val="0"/>
              <w:autoSpaceDE w:val="0"/>
              <w:autoSpaceDN w:val="0"/>
              <w:adjustRightInd w:val="0"/>
              <w:jc w:val="both"/>
              <w:rPr>
                <w:rFonts w:ascii="Times New Roman" w:hAnsi="Times New Roman"/>
                <w:bCs/>
              </w:rPr>
            </w:pPr>
          </w:p>
          <w:p w:rsidR="00BB42F2" w:rsidRPr="00E61FA1" w:rsidRDefault="00BB42F2" w:rsidP="00BE020B">
            <w:pPr>
              <w:jc w:val="both"/>
              <w:rPr>
                <w:rFonts w:ascii="Times New Roman" w:hAnsi="Times New Roman"/>
                <w:b/>
                <w:sz w:val="20"/>
                <w:szCs w:val="20"/>
              </w:rPr>
            </w:pPr>
            <w:r w:rsidRPr="00E61FA1">
              <w:rPr>
                <w:rFonts w:ascii="Times New Roman" w:hAnsi="Times New Roman"/>
                <w:b/>
                <w:sz w:val="20"/>
                <w:szCs w:val="20"/>
              </w:rPr>
              <w:t>Čl. I</w:t>
            </w:r>
          </w:p>
          <w:p w:rsidR="00BB42F2" w:rsidRPr="002E36DF" w:rsidRDefault="00BB42F2" w:rsidP="00BE020B">
            <w:pPr>
              <w:widowControl w:val="0"/>
              <w:autoSpaceDE w:val="0"/>
              <w:autoSpaceDN w:val="0"/>
              <w:adjustRightInd w:val="0"/>
              <w:jc w:val="both"/>
              <w:rPr>
                <w:rFonts w:ascii="Times New Roman" w:hAnsi="Times New Roman"/>
                <w:bCs/>
                <w:sz w:val="20"/>
                <w:szCs w:val="20"/>
              </w:rPr>
            </w:pPr>
            <w:r w:rsidRPr="002E36DF">
              <w:rPr>
                <w:rFonts w:ascii="Times New Roman" w:hAnsi="Times New Roman"/>
                <w:bCs/>
                <w:sz w:val="20"/>
                <w:szCs w:val="20"/>
              </w:rPr>
              <w:t>Vyhláška</w:t>
            </w:r>
            <w:r w:rsidRPr="002923DA">
              <w:rPr>
                <w:rFonts w:ascii="Times New Roman" w:hAnsi="Times New Roman"/>
                <w:bCs/>
                <w:sz w:val="20"/>
                <w:szCs w:val="20"/>
              </w:rPr>
              <w:t>, ktorou sa ustanovujú podrobnosti o požiadavkách na</w:t>
            </w:r>
            <w:r w:rsidRPr="002E36DF">
              <w:rPr>
                <w:rFonts w:ascii="Times New Roman" w:hAnsi="Times New Roman"/>
                <w:b/>
                <w:bCs/>
                <w:sz w:val="20"/>
                <w:szCs w:val="20"/>
              </w:rPr>
              <w:t xml:space="preserve"> </w:t>
            </w:r>
            <w:r>
              <w:rPr>
                <w:rFonts w:ascii="Times New Roman" w:hAnsi="Times New Roman"/>
                <w:sz w:val="20"/>
                <w:szCs w:val="20"/>
              </w:rPr>
              <w:t xml:space="preserve">identifikačnú látku </w:t>
            </w:r>
            <w:r w:rsidRPr="002E36DF">
              <w:rPr>
                <w:rFonts w:ascii="Times New Roman" w:hAnsi="Times New Roman"/>
                <w:color w:val="000000" w:themeColor="text1"/>
                <w:sz w:val="20"/>
                <w:szCs w:val="20"/>
              </w:rPr>
              <w:t>o normách strát identifikačnej látky súvisiacich s jej fyzikálno-chemickými vlastnosťami</w:t>
            </w:r>
            <w:r>
              <w:rPr>
                <w:rFonts w:ascii="Times New Roman" w:hAnsi="Times New Roman"/>
                <w:color w:val="000000" w:themeColor="text1"/>
                <w:sz w:val="20"/>
                <w:szCs w:val="20"/>
              </w:rPr>
              <w:t>.</w:t>
            </w:r>
          </w:p>
          <w:p w:rsidR="00BB42F2" w:rsidRPr="00FE0B99" w:rsidRDefault="00BB42F2" w:rsidP="00BE020B">
            <w:pPr>
              <w:widowControl w:val="0"/>
              <w:autoSpaceDE w:val="0"/>
              <w:autoSpaceDN w:val="0"/>
              <w:adjustRightInd w:val="0"/>
              <w:jc w:val="both"/>
              <w:rPr>
                <w:rFonts w:ascii="Times New Roman" w:hAnsi="Times New Roman"/>
              </w:rPr>
            </w:pPr>
          </w:p>
        </w:tc>
        <w:tc>
          <w:tcPr>
            <w:tcW w:w="1417" w:type="dxa"/>
            <w:gridSpan w:val="2"/>
            <w:tcBorders>
              <w:left w:val="nil"/>
              <w:right w:val="nil"/>
            </w:tcBorders>
            <w:shd w:val="clear" w:color="auto" w:fill="FFFFFF" w:themeFill="background1"/>
          </w:tcPr>
          <w:p w:rsidR="00BB42F2" w:rsidRPr="003C289B" w:rsidRDefault="00BB42F2" w:rsidP="00BE020B">
            <w:pPr>
              <w:jc w:val="center"/>
              <w:rPr>
                <w:rFonts w:ascii="Times New Roman" w:hAnsi="Times New Roman"/>
              </w:rPr>
            </w:pPr>
            <w:r w:rsidRPr="003C289B">
              <w:rPr>
                <w:rFonts w:ascii="Segoe UI Symbol" w:eastAsia="MS Gothic" w:hAnsi="Segoe UI Symbol" w:cs="Segoe UI Symbol"/>
              </w:rPr>
              <w:t>☒</w:t>
            </w:r>
            <w:r w:rsidRPr="003C289B">
              <w:rPr>
                <w:rFonts w:ascii="Times New Roman" w:hAnsi="Times New Roman"/>
              </w:rPr>
              <w:t xml:space="preserve"> Áno</w:t>
            </w:r>
          </w:p>
        </w:tc>
        <w:tc>
          <w:tcPr>
            <w:tcW w:w="1560" w:type="dxa"/>
            <w:gridSpan w:val="2"/>
            <w:tcBorders>
              <w:left w:val="nil"/>
            </w:tcBorders>
            <w:shd w:val="clear" w:color="auto" w:fill="FFFFFF" w:themeFill="background1"/>
          </w:tcPr>
          <w:p w:rsidR="00BB42F2" w:rsidRPr="003C289B" w:rsidRDefault="00BB42F2" w:rsidP="00BE020B">
            <w:pPr>
              <w:jc w:val="center"/>
              <w:rPr>
                <w:rFonts w:ascii="Times New Roman" w:hAnsi="Times New Roman"/>
              </w:rPr>
            </w:pPr>
            <w:r w:rsidRPr="003C289B">
              <w:rPr>
                <w:rFonts w:ascii="Segoe UI Symbol" w:eastAsia="MS Gothic" w:hAnsi="Segoe UI Symbol" w:cs="Segoe UI Symbol"/>
              </w:rPr>
              <w:t>☐</w:t>
            </w:r>
            <w:r>
              <w:rPr>
                <w:rFonts w:ascii="Times New Roman" w:hAnsi="Times New Roman"/>
              </w:rPr>
              <w:t xml:space="preserve"> </w:t>
            </w:r>
            <w:r w:rsidRPr="003C289B">
              <w:rPr>
                <w:rFonts w:ascii="Times New Roman" w:hAnsi="Times New Roman"/>
              </w:rPr>
              <w:t>Nie</w:t>
            </w:r>
          </w:p>
          <w:p w:rsidR="00BB42F2" w:rsidRPr="003C289B" w:rsidRDefault="00BB42F2" w:rsidP="00BE020B">
            <w:pPr>
              <w:ind w:left="-7620"/>
              <w:jc w:val="center"/>
              <w:rPr>
                <w:rFonts w:ascii="Times New Roman" w:hAnsi="Times New Roman"/>
              </w:rPr>
            </w:pPr>
          </w:p>
        </w:tc>
      </w:tr>
      <w:tr w:rsidR="00BB42F2" w:rsidRPr="003C289B" w:rsidTr="00BE020B">
        <w:tc>
          <w:tcPr>
            <w:tcW w:w="9180" w:type="dxa"/>
            <w:gridSpan w:val="10"/>
            <w:tcBorders>
              <w:bottom w:val="single" w:sz="4" w:space="0" w:color="FFFFFF" w:themeColor="background1"/>
            </w:tcBorders>
            <w:shd w:val="clear" w:color="auto" w:fill="E2E2E2"/>
          </w:tcPr>
          <w:p w:rsidR="00BB42F2" w:rsidRPr="003C289B" w:rsidRDefault="00BB42F2" w:rsidP="00BB42F2">
            <w:pPr>
              <w:pStyle w:val="Odsekzoznamu"/>
              <w:numPr>
                <w:ilvl w:val="0"/>
                <w:numId w:val="16"/>
              </w:numPr>
              <w:spacing w:after="0" w:line="240" w:lineRule="auto"/>
              <w:ind w:left="426"/>
              <w:rPr>
                <w:rFonts w:ascii="Times New Roman" w:hAnsi="Times New Roman"/>
                <w:b/>
              </w:rPr>
            </w:pPr>
            <w:r w:rsidRPr="003C289B">
              <w:rPr>
                <w:rFonts w:ascii="Times New Roman" w:hAnsi="Times New Roman"/>
                <w:b/>
              </w:rPr>
              <w:t xml:space="preserve">Transpozícia práva EÚ </w:t>
            </w:r>
          </w:p>
        </w:tc>
      </w:tr>
      <w:tr w:rsidR="00BB42F2" w:rsidRPr="003C289B" w:rsidTr="00BE020B">
        <w:trPr>
          <w:trHeight w:val="340"/>
        </w:trPr>
        <w:tc>
          <w:tcPr>
            <w:tcW w:w="9180" w:type="dxa"/>
            <w:gridSpan w:val="10"/>
            <w:tcBorders>
              <w:top w:val="nil"/>
              <w:left w:val="single" w:sz="4" w:space="0" w:color="000000" w:themeColor="text1"/>
              <w:bottom w:val="nil"/>
            </w:tcBorders>
            <w:shd w:val="clear" w:color="auto" w:fill="FFFFFF" w:themeFill="background1"/>
            <w:vAlign w:val="center"/>
          </w:tcPr>
          <w:p w:rsidR="00BB42F2" w:rsidRDefault="00BB42F2" w:rsidP="00BE020B">
            <w:pPr>
              <w:rPr>
                <w:rFonts w:ascii="Times New Roman" w:hAnsi="Times New Roman"/>
                <w:sz w:val="20"/>
                <w:szCs w:val="20"/>
              </w:rPr>
            </w:pPr>
          </w:p>
          <w:p w:rsidR="00BB42F2" w:rsidRPr="002E36DF" w:rsidRDefault="00BB42F2" w:rsidP="00BE020B">
            <w:pPr>
              <w:rPr>
                <w:rFonts w:ascii="Times New Roman" w:hAnsi="Times New Roman"/>
                <w:sz w:val="20"/>
                <w:szCs w:val="20"/>
              </w:rPr>
            </w:pPr>
            <w:r>
              <w:rPr>
                <w:rFonts w:ascii="Times New Roman" w:hAnsi="Times New Roman"/>
                <w:sz w:val="20"/>
                <w:szCs w:val="20"/>
              </w:rPr>
              <w:t>Áno</w:t>
            </w:r>
            <w:r w:rsidRPr="002E36DF">
              <w:rPr>
                <w:rFonts w:ascii="Times New Roman" w:hAnsi="Times New Roman"/>
                <w:sz w:val="20"/>
                <w:szCs w:val="20"/>
              </w:rPr>
              <w:t>.</w:t>
            </w:r>
          </w:p>
          <w:p w:rsidR="00BB42F2" w:rsidRPr="003C289B" w:rsidRDefault="00BB42F2" w:rsidP="00BE020B">
            <w:pPr>
              <w:rPr>
                <w:rFonts w:ascii="Times New Roman" w:hAnsi="Times New Roman"/>
              </w:rPr>
            </w:pPr>
          </w:p>
        </w:tc>
      </w:tr>
      <w:tr w:rsidR="00BB42F2" w:rsidRPr="003C289B" w:rsidTr="00BE020B">
        <w:tc>
          <w:tcPr>
            <w:tcW w:w="9180" w:type="dxa"/>
            <w:gridSpan w:val="10"/>
            <w:tcBorders>
              <w:bottom w:val="single" w:sz="4" w:space="0" w:color="FFFFFF" w:themeColor="background1"/>
            </w:tcBorders>
            <w:shd w:val="clear" w:color="auto" w:fill="E2E2E2"/>
          </w:tcPr>
          <w:p w:rsidR="00BB42F2" w:rsidRPr="003C289B" w:rsidRDefault="00BB42F2" w:rsidP="00BB42F2">
            <w:pPr>
              <w:pStyle w:val="Odsekzoznamu"/>
              <w:numPr>
                <w:ilvl w:val="0"/>
                <w:numId w:val="16"/>
              </w:numPr>
              <w:spacing w:after="0" w:line="240" w:lineRule="auto"/>
              <w:ind w:left="426"/>
              <w:rPr>
                <w:rFonts w:ascii="Times New Roman" w:hAnsi="Times New Roman"/>
                <w:b/>
              </w:rPr>
            </w:pPr>
            <w:r w:rsidRPr="003C289B">
              <w:rPr>
                <w:rFonts w:ascii="Times New Roman" w:hAnsi="Times New Roman"/>
                <w:b/>
              </w:rPr>
              <w:t>Preskúmanie účelnosti**</w:t>
            </w:r>
          </w:p>
        </w:tc>
      </w:tr>
      <w:tr w:rsidR="00BB42F2" w:rsidRPr="003C289B" w:rsidTr="00BE020B">
        <w:tc>
          <w:tcPr>
            <w:tcW w:w="9180" w:type="dxa"/>
            <w:gridSpan w:val="10"/>
            <w:tcBorders>
              <w:top w:val="single" w:sz="4" w:space="0" w:color="FFFFFF" w:themeColor="background1"/>
            </w:tcBorders>
            <w:shd w:val="clear" w:color="auto" w:fill="FFFFFF" w:themeFill="background1"/>
          </w:tcPr>
          <w:p w:rsidR="00BB42F2" w:rsidRDefault="00BB42F2" w:rsidP="00BE020B">
            <w:pPr>
              <w:rPr>
                <w:rFonts w:ascii="Times New Roman" w:hAnsi="Times New Roman"/>
                <w:sz w:val="20"/>
                <w:szCs w:val="20"/>
              </w:rPr>
            </w:pPr>
          </w:p>
          <w:p w:rsidR="00BB42F2" w:rsidRPr="002E36DF" w:rsidRDefault="00BB42F2" w:rsidP="00BE020B">
            <w:pPr>
              <w:rPr>
                <w:rFonts w:ascii="Times New Roman" w:hAnsi="Times New Roman"/>
                <w:sz w:val="20"/>
                <w:szCs w:val="20"/>
              </w:rPr>
            </w:pPr>
            <w:r w:rsidRPr="002E36DF">
              <w:rPr>
                <w:rFonts w:ascii="Times New Roman" w:hAnsi="Times New Roman"/>
                <w:sz w:val="20"/>
                <w:szCs w:val="20"/>
              </w:rPr>
              <w:t>Bezpredmetné.</w:t>
            </w:r>
          </w:p>
          <w:p w:rsidR="00BB42F2" w:rsidRPr="003C289B" w:rsidRDefault="00BB42F2" w:rsidP="00BE020B">
            <w:pPr>
              <w:rPr>
                <w:rFonts w:ascii="Times New Roman" w:hAnsi="Times New Roman"/>
              </w:rPr>
            </w:pPr>
          </w:p>
        </w:tc>
      </w:tr>
      <w:tr w:rsidR="00BB42F2" w:rsidRPr="003C289B" w:rsidTr="00BE020B">
        <w:trPr>
          <w:trHeight w:val="715"/>
        </w:trPr>
        <w:tc>
          <w:tcPr>
            <w:tcW w:w="9180" w:type="dxa"/>
            <w:gridSpan w:val="10"/>
            <w:tcBorders>
              <w:left w:val="nil"/>
              <w:bottom w:val="nil"/>
              <w:right w:val="nil"/>
            </w:tcBorders>
            <w:shd w:val="clear" w:color="auto" w:fill="FFFFFF" w:themeFill="background1"/>
          </w:tcPr>
          <w:p w:rsidR="00BB42F2" w:rsidRPr="003C289B" w:rsidRDefault="00BB42F2" w:rsidP="00BE020B">
            <w:pPr>
              <w:ind w:left="142" w:hanging="142"/>
              <w:rPr>
                <w:rFonts w:ascii="Times New Roman" w:hAnsi="Times New Roman"/>
              </w:rPr>
            </w:pPr>
          </w:p>
          <w:p w:rsidR="00BB42F2" w:rsidRPr="00197091" w:rsidRDefault="00BB42F2" w:rsidP="00BE020B">
            <w:pPr>
              <w:ind w:left="142" w:hanging="142"/>
              <w:rPr>
                <w:rFonts w:ascii="Times New Roman" w:hAnsi="Times New Roman"/>
                <w:sz w:val="20"/>
                <w:szCs w:val="20"/>
              </w:rPr>
            </w:pPr>
            <w:r w:rsidRPr="003C289B">
              <w:rPr>
                <w:rFonts w:ascii="Times New Roman" w:hAnsi="Times New Roman"/>
              </w:rPr>
              <w:t xml:space="preserve">* </w:t>
            </w:r>
            <w:r w:rsidRPr="00197091">
              <w:rPr>
                <w:rFonts w:ascii="Times New Roman" w:hAnsi="Times New Roman"/>
                <w:sz w:val="20"/>
                <w:szCs w:val="20"/>
              </w:rPr>
              <w:t xml:space="preserve">vyplniť iba v prípade, ak materiál nie je zahrnutý do Plánu práce vlády Slovenskej republiky alebo Plánu legislatívnych úloh vlády Slovenskej republiky. </w:t>
            </w:r>
          </w:p>
          <w:p w:rsidR="00BB42F2" w:rsidRDefault="00BB42F2" w:rsidP="00BE020B">
            <w:pPr>
              <w:rPr>
                <w:rFonts w:ascii="Times New Roman" w:hAnsi="Times New Roman"/>
                <w:sz w:val="20"/>
                <w:szCs w:val="20"/>
              </w:rPr>
            </w:pPr>
            <w:r w:rsidRPr="00197091">
              <w:rPr>
                <w:rFonts w:ascii="Times New Roman" w:hAnsi="Times New Roman"/>
                <w:sz w:val="20"/>
                <w:szCs w:val="20"/>
              </w:rPr>
              <w:t>** nepovinné</w:t>
            </w:r>
          </w:p>
          <w:p w:rsidR="00BB42F2" w:rsidRPr="00E61FA1" w:rsidRDefault="00BB42F2" w:rsidP="00BE020B">
            <w:pPr>
              <w:rPr>
                <w:rFonts w:ascii="Times New Roman" w:hAnsi="Times New Roman"/>
                <w:sz w:val="20"/>
                <w:szCs w:val="20"/>
              </w:rPr>
            </w:pPr>
          </w:p>
        </w:tc>
      </w:tr>
      <w:tr w:rsidR="00BB42F2" w:rsidRPr="003C289B" w:rsidTr="00BE020B">
        <w:tc>
          <w:tcPr>
            <w:tcW w:w="9180" w:type="dxa"/>
            <w:gridSpan w:val="10"/>
            <w:tcBorders>
              <w:top w:val="nil"/>
              <w:left w:val="nil"/>
              <w:right w:val="nil"/>
            </w:tcBorders>
            <w:shd w:val="clear" w:color="auto" w:fill="FFFFFF" w:themeFill="background1"/>
          </w:tcPr>
          <w:p w:rsidR="00BB42F2" w:rsidRPr="003C289B" w:rsidRDefault="00BB42F2" w:rsidP="00BE020B">
            <w:pPr>
              <w:rPr>
                <w:rFonts w:ascii="Times New Roman" w:hAnsi="Times New Roman"/>
                <w:b/>
              </w:rPr>
            </w:pPr>
          </w:p>
        </w:tc>
      </w:tr>
      <w:tr w:rsidR="00BB42F2" w:rsidRPr="003C289B" w:rsidTr="00BE020B">
        <w:trPr>
          <w:trHeight w:val="577"/>
        </w:trPr>
        <w:tc>
          <w:tcPr>
            <w:tcW w:w="9180" w:type="dxa"/>
            <w:gridSpan w:val="10"/>
            <w:tcBorders>
              <w:bottom w:val="single" w:sz="4" w:space="0" w:color="FFFFFF" w:themeColor="background1"/>
            </w:tcBorders>
            <w:shd w:val="clear" w:color="auto" w:fill="E2E2E2"/>
            <w:vAlign w:val="center"/>
          </w:tcPr>
          <w:p w:rsidR="00BB42F2" w:rsidRPr="003C289B" w:rsidRDefault="00BB42F2" w:rsidP="00BB42F2">
            <w:pPr>
              <w:pStyle w:val="Odsekzoznamu"/>
              <w:numPr>
                <w:ilvl w:val="0"/>
                <w:numId w:val="16"/>
              </w:numPr>
              <w:spacing w:after="0" w:line="240" w:lineRule="auto"/>
              <w:ind w:left="426"/>
              <w:rPr>
                <w:rFonts w:ascii="Times New Roman" w:hAnsi="Times New Roman"/>
                <w:b/>
              </w:rPr>
            </w:pPr>
            <w:r w:rsidRPr="003C289B">
              <w:rPr>
                <w:rFonts w:ascii="Times New Roman" w:hAnsi="Times New Roman"/>
                <w:b/>
              </w:rPr>
              <w:t>Vplyvy navrhovaného materiálu</w:t>
            </w:r>
          </w:p>
        </w:tc>
      </w:tr>
      <w:tr w:rsidR="00BB42F2" w:rsidRPr="003C289B" w:rsidTr="00BE020B">
        <w:tc>
          <w:tcPr>
            <w:tcW w:w="3812" w:type="dxa"/>
            <w:tcBorders>
              <w:bottom w:val="nil"/>
            </w:tcBorders>
            <w:shd w:val="clear" w:color="auto" w:fill="E2E2E2"/>
          </w:tcPr>
          <w:p w:rsidR="00BB42F2" w:rsidRPr="003C289B" w:rsidRDefault="00BB42F2" w:rsidP="00BE020B">
            <w:pPr>
              <w:rPr>
                <w:rFonts w:ascii="Times New Roman" w:hAnsi="Times New Roman"/>
                <w:b/>
              </w:rPr>
            </w:pPr>
            <w:r w:rsidRPr="003C289B">
              <w:rPr>
                <w:rFonts w:ascii="Times New Roman" w:hAnsi="Times New Roman"/>
                <w:b/>
              </w:rPr>
              <w:t>Vplyvy na rozpočet verejnej správy</w:t>
            </w:r>
          </w:p>
        </w:tc>
        <w:tc>
          <w:tcPr>
            <w:tcW w:w="541" w:type="dxa"/>
            <w:gridSpan w:val="2"/>
            <w:tcBorders>
              <w:right w:val="nil"/>
            </w:tcBorders>
          </w:tcPr>
          <w:p w:rsidR="00BB42F2" w:rsidRPr="003C289B" w:rsidRDefault="00BB42F2" w:rsidP="00BE020B">
            <w:pPr>
              <w:jc w:val="center"/>
              <w:rPr>
                <w:rFonts w:ascii="Times New Roman" w:hAnsi="Times New Roman"/>
                <w:b/>
              </w:rPr>
            </w:pPr>
            <w:r w:rsidRPr="003C289B">
              <w:rPr>
                <w:rFonts w:ascii="Segoe UI Symbol" w:eastAsia="MS Gothic" w:hAnsi="Segoe UI Symbol" w:cs="Segoe UI Symbol"/>
              </w:rPr>
              <w:t>☒</w:t>
            </w:r>
          </w:p>
        </w:tc>
        <w:tc>
          <w:tcPr>
            <w:tcW w:w="1281" w:type="dxa"/>
            <w:gridSpan w:val="2"/>
            <w:tcBorders>
              <w:left w:val="nil"/>
              <w:right w:val="nil"/>
            </w:tcBorders>
          </w:tcPr>
          <w:p w:rsidR="00BB42F2" w:rsidRPr="003C289B" w:rsidRDefault="00BB42F2" w:rsidP="00BE020B">
            <w:pPr>
              <w:rPr>
                <w:rFonts w:ascii="Times New Roman" w:hAnsi="Times New Roman"/>
                <w:b/>
              </w:rPr>
            </w:pPr>
            <w:r w:rsidRPr="003C289B">
              <w:rPr>
                <w:rFonts w:ascii="Times New Roman" w:hAnsi="Times New Roman"/>
                <w:b/>
              </w:rPr>
              <w:t>Pozitívne</w:t>
            </w:r>
          </w:p>
        </w:tc>
        <w:tc>
          <w:tcPr>
            <w:tcW w:w="569" w:type="dxa"/>
            <w:tcBorders>
              <w:left w:val="nil"/>
              <w:right w:val="nil"/>
            </w:tcBorders>
          </w:tcPr>
          <w:p w:rsidR="00BB42F2" w:rsidRPr="003C289B" w:rsidRDefault="00BB42F2" w:rsidP="00BE020B">
            <w:pPr>
              <w:jc w:val="center"/>
              <w:rPr>
                <w:rFonts w:ascii="Times New Roman" w:hAnsi="Times New Roman"/>
                <w:b/>
              </w:rPr>
            </w:pPr>
            <w:r w:rsidRPr="003C289B">
              <w:rPr>
                <w:rFonts w:ascii="Segoe UI Symbol" w:eastAsia="MS Mincho" w:hAnsi="Segoe UI Symbol" w:cs="Segoe UI Symbol"/>
                <w:b/>
              </w:rPr>
              <w:t>☐</w:t>
            </w:r>
          </w:p>
        </w:tc>
        <w:tc>
          <w:tcPr>
            <w:tcW w:w="1133" w:type="dxa"/>
            <w:tcBorders>
              <w:left w:val="nil"/>
              <w:right w:val="nil"/>
            </w:tcBorders>
          </w:tcPr>
          <w:p w:rsidR="00BB42F2" w:rsidRPr="003C289B" w:rsidRDefault="00BB42F2" w:rsidP="00BE020B">
            <w:pPr>
              <w:rPr>
                <w:rFonts w:ascii="Times New Roman" w:hAnsi="Times New Roman"/>
                <w:b/>
              </w:rPr>
            </w:pPr>
            <w:r w:rsidRPr="003C289B">
              <w:rPr>
                <w:rFonts w:ascii="Times New Roman" w:hAnsi="Times New Roman"/>
                <w:b/>
              </w:rPr>
              <w:t>Žiadne</w:t>
            </w:r>
          </w:p>
        </w:tc>
        <w:tc>
          <w:tcPr>
            <w:tcW w:w="547" w:type="dxa"/>
            <w:gridSpan w:val="2"/>
            <w:tcBorders>
              <w:left w:val="nil"/>
              <w:right w:val="nil"/>
            </w:tcBorders>
          </w:tcPr>
          <w:p w:rsidR="00BB42F2" w:rsidRPr="003C289B" w:rsidRDefault="00BB42F2" w:rsidP="00BE020B">
            <w:pPr>
              <w:ind w:left="-107" w:right="-108"/>
              <w:jc w:val="center"/>
              <w:rPr>
                <w:rFonts w:ascii="Times New Roman" w:hAnsi="Times New Roman"/>
                <w:b/>
              </w:rPr>
            </w:pPr>
            <w:r w:rsidRPr="003C289B">
              <w:rPr>
                <w:rFonts w:ascii="Segoe UI Symbol" w:eastAsia="MS Gothic" w:hAnsi="Segoe UI Symbol" w:cs="Segoe UI Symbol"/>
              </w:rPr>
              <w:t>☒</w:t>
            </w:r>
          </w:p>
        </w:tc>
        <w:tc>
          <w:tcPr>
            <w:tcW w:w="1297" w:type="dxa"/>
            <w:tcBorders>
              <w:left w:val="nil"/>
            </w:tcBorders>
          </w:tcPr>
          <w:p w:rsidR="00BB42F2" w:rsidRPr="003C289B" w:rsidRDefault="00BB42F2" w:rsidP="00BE020B">
            <w:pPr>
              <w:ind w:left="34"/>
              <w:rPr>
                <w:rFonts w:ascii="Times New Roman" w:hAnsi="Times New Roman"/>
                <w:b/>
              </w:rPr>
            </w:pPr>
            <w:r w:rsidRPr="003C289B">
              <w:rPr>
                <w:rFonts w:ascii="Times New Roman" w:hAnsi="Times New Roman"/>
                <w:b/>
              </w:rPr>
              <w:t>Negatívne</w:t>
            </w:r>
          </w:p>
        </w:tc>
      </w:tr>
      <w:tr w:rsidR="00BB42F2" w:rsidRPr="003C289B" w:rsidTr="00BE020B">
        <w:tc>
          <w:tcPr>
            <w:tcW w:w="3812" w:type="dxa"/>
            <w:tcBorders>
              <w:top w:val="nil"/>
              <w:bottom w:val="single" w:sz="4" w:space="0" w:color="000000" w:themeColor="text1"/>
            </w:tcBorders>
            <w:shd w:val="clear" w:color="auto" w:fill="E2E2E2"/>
          </w:tcPr>
          <w:p w:rsidR="00BB42F2" w:rsidRPr="003C289B" w:rsidRDefault="00BB42F2" w:rsidP="00BE020B">
            <w:pPr>
              <w:rPr>
                <w:rFonts w:ascii="Times New Roman" w:hAnsi="Times New Roman"/>
              </w:rPr>
            </w:pPr>
            <w:r w:rsidRPr="003C289B">
              <w:rPr>
                <w:rFonts w:ascii="Times New Roman" w:hAnsi="Times New Roman"/>
              </w:rPr>
              <w:t xml:space="preserve">    z toho rozpočtovo zabezpečené vplyvy</w:t>
            </w:r>
          </w:p>
        </w:tc>
        <w:tc>
          <w:tcPr>
            <w:tcW w:w="541" w:type="dxa"/>
            <w:gridSpan w:val="2"/>
            <w:tcBorders>
              <w:right w:val="nil"/>
            </w:tcBorders>
          </w:tcPr>
          <w:p w:rsidR="00BB42F2" w:rsidRPr="003C289B" w:rsidRDefault="00BB42F2" w:rsidP="00BE020B">
            <w:pPr>
              <w:jc w:val="center"/>
              <w:rPr>
                <w:rFonts w:ascii="Times New Roman" w:hAnsi="Times New Roman"/>
              </w:rPr>
            </w:pPr>
            <w:r w:rsidRPr="003C289B">
              <w:rPr>
                <w:rFonts w:ascii="Segoe UI Symbol" w:eastAsia="MS Mincho" w:hAnsi="Segoe UI Symbol" w:cs="Segoe UI Symbol"/>
              </w:rPr>
              <w:t>☐</w:t>
            </w:r>
          </w:p>
        </w:tc>
        <w:tc>
          <w:tcPr>
            <w:tcW w:w="1281" w:type="dxa"/>
            <w:gridSpan w:val="2"/>
            <w:tcBorders>
              <w:left w:val="nil"/>
              <w:right w:val="nil"/>
            </w:tcBorders>
          </w:tcPr>
          <w:p w:rsidR="00BB42F2" w:rsidRPr="003C289B" w:rsidRDefault="00BB42F2" w:rsidP="00BE020B">
            <w:pPr>
              <w:rPr>
                <w:rFonts w:ascii="Times New Roman" w:hAnsi="Times New Roman"/>
              </w:rPr>
            </w:pPr>
            <w:r w:rsidRPr="003C289B">
              <w:rPr>
                <w:rFonts w:ascii="Times New Roman" w:hAnsi="Times New Roman"/>
              </w:rPr>
              <w:t>Áno</w:t>
            </w:r>
          </w:p>
        </w:tc>
        <w:tc>
          <w:tcPr>
            <w:tcW w:w="569" w:type="dxa"/>
            <w:tcBorders>
              <w:left w:val="nil"/>
              <w:right w:val="nil"/>
            </w:tcBorders>
          </w:tcPr>
          <w:p w:rsidR="00BB42F2" w:rsidRPr="003C289B" w:rsidRDefault="00BB42F2" w:rsidP="00BE020B">
            <w:pPr>
              <w:jc w:val="center"/>
              <w:rPr>
                <w:rFonts w:ascii="Times New Roman" w:hAnsi="Times New Roman"/>
              </w:rPr>
            </w:pPr>
            <w:r w:rsidRPr="003C289B">
              <w:rPr>
                <w:rFonts w:ascii="Segoe UI Symbol" w:eastAsia="MS Gothic" w:hAnsi="Segoe UI Symbol" w:cs="Segoe UI Symbol"/>
              </w:rPr>
              <w:t>☒</w:t>
            </w:r>
          </w:p>
        </w:tc>
        <w:tc>
          <w:tcPr>
            <w:tcW w:w="1133" w:type="dxa"/>
            <w:tcBorders>
              <w:left w:val="nil"/>
              <w:right w:val="nil"/>
            </w:tcBorders>
          </w:tcPr>
          <w:p w:rsidR="00BB42F2" w:rsidRPr="003C289B" w:rsidRDefault="00BB42F2" w:rsidP="00BE020B">
            <w:pPr>
              <w:rPr>
                <w:rFonts w:ascii="Times New Roman" w:hAnsi="Times New Roman"/>
              </w:rPr>
            </w:pPr>
            <w:r w:rsidRPr="003C289B">
              <w:rPr>
                <w:rFonts w:ascii="Times New Roman" w:hAnsi="Times New Roman"/>
              </w:rPr>
              <w:t>Nie</w:t>
            </w:r>
          </w:p>
        </w:tc>
        <w:tc>
          <w:tcPr>
            <w:tcW w:w="547" w:type="dxa"/>
            <w:gridSpan w:val="2"/>
            <w:tcBorders>
              <w:left w:val="nil"/>
              <w:right w:val="nil"/>
            </w:tcBorders>
          </w:tcPr>
          <w:p w:rsidR="00BB42F2" w:rsidRPr="003C289B" w:rsidRDefault="00BB42F2" w:rsidP="00BE020B">
            <w:pPr>
              <w:ind w:left="-107" w:right="-108"/>
              <w:jc w:val="center"/>
              <w:rPr>
                <w:rFonts w:ascii="Times New Roman" w:hAnsi="Times New Roman"/>
              </w:rPr>
            </w:pPr>
            <w:r w:rsidRPr="003C289B">
              <w:rPr>
                <w:rFonts w:ascii="Segoe UI Symbol" w:eastAsia="MS Mincho" w:hAnsi="Segoe UI Symbol" w:cs="Segoe UI Symbol"/>
              </w:rPr>
              <w:t>☐</w:t>
            </w:r>
          </w:p>
        </w:tc>
        <w:tc>
          <w:tcPr>
            <w:tcW w:w="1297" w:type="dxa"/>
            <w:tcBorders>
              <w:left w:val="nil"/>
            </w:tcBorders>
          </w:tcPr>
          <w:p w:rsidR="00BB42F2" w:rsidRPr="003C289B" w:rsidRDefault="00BB42F2" w:rsidP="00BE020B">
            <w:pPr>
              <w:ind w:left="34"/>
              <w:rPr>
                <w:rFonts w:ascii="Times New Roman" w:hAnsi="Times New Roman"/>
              </w:rPr>
            </w:pPr>
            <w:r w:rsidRPr="003C289B">
              <w:rPr>
                <w:rFonts w:ascii="Times New Roman" w:hAnsi="Times New Roman"/>
              </w:rPr>
              <w:t>Čiastočne</w:t>
            </w:r>
          </w:p>
        </w:tc>
      </w:tr>
      <w:tr w:rsidR="00BB42F2" w:rsidRPr="003C289B" w:rsidTr="00BE020B">
        <w:tc>
          <w:tcPr>
            <w:tcW w:w="3812" w:type="dxa"/>
            <w:tcBorders>
              <w:top w:val="single" w:sz="4" w:space="0" w:color="000000" w:themeColor="text1"/>
              <w:bottom w:val="nil"/>
            </w:tcBorders>
            <w:shd w:val="clear" w:color="auto" w:fill="E2E2E2"/>
          </w:tcPr>
          <w:p w:rsidR="00BB42F2" w:rsidRPr="003C289B" w:rsidRDefault="00BB42F2" w:rsidP="00BE020B">
            <w:pPr>
              <w:rPr>
                <w:rFonts w:ascii="Times New Roman" w:hAnsi="Times New Roman"/>
                <w:b/>
              </w:rPr>
            </w:pPr>
            <w:r w:rsidRPr="003C289B">
              <w:rPr>
                <w:rFonts w:ascii="Times New Roman" w:hAnsi="Times New Roman"/>
                <w:b/>
              </w:rPr>
              <w:t>Vplyvy na podnikateľské prostredie</w:t>
            </w:r>
          </w:p>
        </w:tc>
        <w:tc>
          <w:tcPr>
            <w:tcW w:w="541" w:type="dxa"/>
            <w:gridSpan w:val="2"/>
            <w:tcBorders>
              <w:right w:val="nil"/>
            </w:tcBorders>
          </w:tcPr>
          <w:p w:rsidR="00BB42F2" w:rsidRPr="003C289B" w:rsidRDefault="00BB42F2" w:rsidP="00BE020B">
            <w:pPr>
              <w:jc w:val="center"/>
              <w:rPr>
                <w:rFonts w:ascii="Times New Roman" w:hAnsi="Times New Roman"/>
                <w:b/>
              </w:rPr>
            </w:pPr>
            <w:r w:rsidRPr="003C289B">
              <w:rPr>
                <w:rFonts w:ascii="Segoe UI Symbol" w:eastAsia="MS Mincho" w:hAnsi="Segoe UI Symbol" w:cs="Segoe UI Symbol"/>
                <w:b/>
              </w:rPr>
              <w:t>☐</w:t>
            </w:r>
          </w:p>
        </w:tc>
        <w:tc>
          <w:tcPr>
            <w:tcW w:w="1281" w:type="dxa"/>
            <w:gridSpan w:val="2"/>
            <w:tcBorders>
              <w:left w:val="nil"/>
              <w:right w:val="nil"/>
            </w:tcBorders>
          </w:tcPr>
          <w:p w:rsidR="00BB42F2" w:rsidRPr="003C289B" w:rsidRDefault="00BB42F2" w:rsidP="00BE020B">
            <w:pPr>
              <w:ind w:right="-108"/>
              <w:rPr>
                <w:rFonts w:ascii="Times New Roman" w:hAnsi="Times New Roman"/>
                <w:b/>
              </w:rPr>
            </w:pPr>
            <w:r w:rsidRPr="003C289B">
              <w:rPr>
                <w:rFonts w:ascii="Times New Roman" w:hAnsi="Times New Roman"/>
                <w:b/>
              </w:rPr>
              <w:t>Pozitívne</w:t>
            </w:r>
          </w:p>
        </w:tc>
        <w:tc>
          <w:tcPr>
            <w:tcW w:w="569" w:type="dxa"/>
            <w:tcBorders>
              <w:left w:val="nil"/>
              <w:right w:val="nil"/>
            </w:tcBorders>
          </w:tcPr>
          <w:p w:rsidR="00BB42F2" w:rsidRPr="003C289B" w:rsidRDefault="00BB42F2" w:rsidP="00BE020B">
            <w:pPr>
              <w:jc w:val="center"/>
              <w:rPr>
                <w:rFonts w:ascii="Times New Roman" w:hAnsi="Times New Roman"/>
                <w:b/>
              </w:rPr>
            </w:pPr>
            <w:r w:rsidRPr="003C289B">
              <w:rPr>
                <w:rFonts w:ascii="Segoe UI Symbol" w:eastAsia="MS Mincho" w:hAnsi="Segoe UI Symbol" w:cs="Segoe UI Symbol"/>
                <w:b/>
              </w:rPr>
              <w:t>☐</w:t>
            </w:r>
          </w:p>
        </w:tc>
        <w:tc>
          <w:tcPr>
            <w:tcW w:w="1133" w:type="dxa"/>
            <w:tcBorders>
              <w:left w:val="nil"/>
              <w:right w:val="nil"/>
            </w:tcBorders>
          </w:tcPr>
          <w:p w:rsidR="00BB42F2" w:rsidRPr="003C289B" w:rsidRDefault="00BB42F2" w:rsidP="00BE020B">
            <w:pPr>
              <w:rPr>
                <w:rFonts w:ascii="Times New Roman" w:hAnsi="Times New Roman"/>
                <w:b/>
              </w:rPr>
            </w:pPr>
            <w:r w:rsidRPr="003C289B">
              <w:rPr>
                <w:rFonts w:ascii="Times New Roman" w:hAnsi="Times New Roman"/>
                <w:b/>
              </w:rPr>
              <w:t>Žiadne</w:t>
            </w:r>
          </w:p>
        </w:tc>
        <w:tc>
          <w:tcPr>
            <w:tcW w:w="547" w:type="dxa"/>
            <w:gridSpan w:val="2"/>
            <w:tcBorders>
              <w:left w:val="nil"/>
              <w:right w:val="nil"/>
            </w:tcBorders>
          </w:tcPr>
          <w:p w:rsidR="00BB42F2" w:rsidRPr="003C289B" w:rsidRDefault="00BB42F2" w:rsidP="00BE020B">
            <w:pPr>
              <w:jc w:val="center"/>
              <w:rPr>
                <w:rFonts w:ascii="Times New Roman" w:hAnsi="Times New Roman"/>
                <w:b/>
              </w:rPr>
            </w:pPr>
            <w:r w:rsidRPr="003C289B">
              <w:rPr>
                <w:rFonts w:ascii="Segoe UI Symbol" w:eastAsia="MS Gothic" w:hAnsi="Segoe UI Symbol" w:cs="Segoe UI Symbol"/>
              </w:rPr>
              <w:t>☒</w:t>
            </w:r>
          </w:p>
        </w:tc>
        <w:tc>
          <w:tcPr>
            <w:tcW w:w="1297" w:type="dxa"/>
            <w:tcBorders>
              <w:left w:val="nil"/>
            </w:tcBorders>
          </w:tcPr>
          <w:p w:rsidR="00BB42F2" w:rsidRPr="003C289B" w:rsidRDefault="00BB42F2" w:rsidP="00BE020B">
            <w:pPr>
              <w:ind w:left="54"/>
              <w:rPr>
                <w:rFonts w:ascii="Times New Roman" w:hAnsi="Times New Roman"/>
                <w:b/>
              </w:rPr>
            </w:pPr>
            <w:r w:rsidRPr="003C289B">
              <w:rPr>
                <w:rFonts w:ascii="Times New Roman" w:hAnsi="Times New Roman"/>
                <w:b/>
              </w:rPr>
              <w:t>Negatívne</w:t>
            </w:r>
          </w:p>
        </w:tc>
      </w:tr>
      <w:tr w:rsidR="00BB42F2" w:rsidRPr="003C289B" w:rsidTr="00BE020B">
        <w:tc>
          <w:tcPr>
            <w:tcW w:w="3812" w:type="dxa"/>
            <w:tcBorders>
              <w:top w:val="nil"/>
              <w:left w:val="single" w:sz="4" w:space="0" w:color="000000" w:themeColor="text1"/>
              <w:bottom w:val="single" w:sz="4" w:space="0" w:color="000000" w:themeColor="text1"/>
              <w:right w:val="single" w:sz="4" w:space="0" w:color="000000" w:themeColor="text1"/>
            </w:tcBorders>
            <w:shd w:val="clear" w:color="auto" w:fill="E2E2E2"/>
          </w:tcPr>
          <w:p w:rsidR="00BB42F2" w:rsidRPr="003C289B" w:rsidRDefault="00BB42F2" w:rsidP="00BE020B">
            <w:pPr>
              <w:rPr>
                <w:rFonts w:ascii="Times New Roman" w:hAnsi="Times New Roman"/>
              </w:rPr>
            </w:pPr>
            <w:r w:rsidRPr="003C289B">
              <w:rPr>
                <w:rFonts w:ascii="Times New Roman" w:hAnsi="Times New Roman"/>
              </w:rPr>
              <w:t xml:space="preserve">    z toho vplyvy na MSP</w:t>
            </w:r>
          </w:p>
        </w:tc>
        <w:tc>
          <w:tcPr>
            <w:tcW w:w="541" w:type="dxa"/>
            <w:gridSpan w:val="2"/>
            <w:tcBorders>
              <w:left w:val="single" w:sz="4" w:space="0" w:color="000000" w:themeColor="text1"/>
              <w:right w:val="nil"/>
            </w:tcBorders>
          </w:tcPr>
          <w:p w:rsidR="00BB42F2" w:rsidRPr="003C289B" w:rsidRDefault="00BB42F2" w:rsidP="00BE020B">
            <w:pPr>
              <w:jc w:val="center"/>
              <w:rPr>
                <w:rFonts w:ascii="Times New Roman" w:hAnsi="Times New Roman"/>
              </w:rPr>
            </w:pPr>
            <w:r w:rsidRPr="003C289B">
              <w:rPr>
                <w:rFonts w:ascii="Segoe UI Symbol" w:eastAsia="MS Mincho" w:hAnsi="Segoe UI Symbol" w:cs="Segoe UI Symbol"/>
                <w:b/>
              </w:rPr>
              <w:t>☐</w:t>
            </w:r>
          </w:p>
        </w:tc>
        <w:tc>
          <w:tcPr>
            <w:tcW w:w="1281" w:type="dxa"/>
            <w:gridSpan w:val="2"/>
            <w:tcBorders>
              <w:left w:val="nil"/>
              <w:right w:val="nil"/>
            </w:tcBorders>
          </w:tcPr>
          <w:p w:rsidR="00BB42F2" w:rsidRPr="003C289B" w:rsidRDefault="00BB42F2" w:rsidP="00BE020B">
            <w:pPr>
              <w:ind w:right="-108"/>
              <w:rPr>
                <w:rFonts w:ascii="Times New Roman" w:hAnsi="Times New Roman"/>
              </w:rPr>
            </w:pPr>
            <w:r w:rsidRPr="003C289B">
              <w:rPr>
                <w:rFonts w:ascii="Times New Roman" w:hAnsi="Times New Roman"/>
              </w:rPr>
              <w:t>Pozitívne</w:t>
            </w:r>
          </w:p>
        </w:tc>
        <w:tc>
          <w:tcPr>
            <w:tcW w:w="569" w:type="dxa"/>
            <w:tcBorders>
              <w:left w:val="nil"/>
              <w:right w:val="nil"/>
            </w:tcBorders>
          </w:tcPr>
          <w:p w:rsidR="00BB42F2" w:rsidRPr="003C289B" w:rsidRDefault="00BB42F2" w:rsidP="00BE020B">
            <w:pPr>
              <w:jc w:val="center"/>
              <w:rPr>
                <w:rFonts w:ascii="Times New Roman" w:hAnsi="Times New Roman"/>
              </w:rPr>
            </w:pPr>
            <w:r w:rsidRPr="003C289B">
              <w:rPr>
                <w:rFonts w:ascii="Segoe UI Symbol" w:eastAsia="MS Mincho" w:hAnsi="Segoe UI Symbol" w:cs="Segoe UI Symbol"/>
                <w:b/>
              </w:rPr>
              <w:t>☐</w:t>
            </w:r>
          </w:p>
        </w:tc>
        <w:tc>
          <w:tcPr>
            <w:tcW w:w="1133" w:type="dxa"/>
            <w:tcBorders>
              <w:left w:val="nil"/>
              <w:right w:val="nil"/>
            </w:tcBorders>
          </w:tcPr>
          <w:p w:rsidR="00BB42F2" w:rsidRPr="003C289B" w:rsidRDefault="00BB42F2" w:rsidP="00BE020B">
            <w:pPr>
              <w:rPr>
                <w:rFonts w:ascii="Times New Roman" w:hAnsi="Times New Roman"/>
              </w:rPr>
            </w:pPr>
            <w:r w:rsidRPr="003C289B">
              <w:rPr>
                <w:rFonts w:ascii="Times New Roman" w:hAnsi="Times New Roman"/>
              </w:rPr>
              <w:t>Žiadne</w:t>
            </w:r>
          </w:p>
        </w:tc>
        <w:tc>
          <w:tcPr>
            <w:tcW w:w="547" w:type="dxa"/>
            <w:gridSpan w:val="2"/>
            <w:tcBorders>
              <w:left w:val="nil"/>
              <w:right w:val="nil"/>
            </w:tcBorders>
          </w:tcPr>
          <w:p w:rsidR="00BB42F2" w:rsidRPr="003C289B" w:rsidRDefault="00BB42F2" w:rsidP="00BE020B">
            <w:pPr>
              <w:jc w:val="center"/>
              <w:rPr>
                <w:rFonts w:ascii="Times New Roman" w:hAnsi="Times New Roman"/>
              </w:rPr>
            </w:pPr>
            <w:r w:rsidRPr="003C289B">
              <w:rPr>
                <w:rFonts w:ascii="Segoe UI Symbol" w:eastAsia="MS Mincho" w:hAnsi="Segoe UI Symbol" w:cs="Segoe UI Symbol"/>
              </w:rPr>
              <w:t>☐</w:t>
            </w:r>
          </w:p>
        </w:tc>
        <w:tc>
          <w:tcPr>
            <w:tcW w:w="1297" w:type="dxa"/>
            <w:tcBorders>
              <w:left w:val="nil"/>
            </w:tcBorders>
          </w:tcPr>
          <w:p w:rsidR="00BB42F2" w:rsidRPr="003C289B" w:rsidRDefault="00BB42F2" w:rsidP="00BE020B">
            <w:pPr>
              <w:ind w:left="54"/>
              <w:rPr>
                <w:rFonts w:ascii="Times New Roman" w:hAnsi="Times New Roman"/>
              </w:rPr>
            </w:pPr>
            <w:r w:rsidRPr="003C289B">
              <w:rPr>
                <w:rFonts w:ascii="Times New Roman" w:hAnsi="Times New Roman"/>
              </w:rPr>
              <w:t>Negatívne</w:t>
            </w:r>
          </w:p>
        </w:tc>
      </w:tr>
      <w:tr w:rsidR="00BB42F2" w:rsidRPr="003C289B" w:rsidTr="00BE020B">
        <w:tc>
          <w:tcPr>
            <w:tcW w:w="3812" w:type="dxa"/>
            <w:tcBorders>
              <w:top w:val="single" w:sz="4" w:space="0" w:color="000000" w:themeColor="text1"/>
            </w:tcBorders>
            <w:shd w:val="clear" w:color="auto" w:fill="E2E2E2"/>
          </w:tcPr>
          <w:p w:rsidR="00BB42F2" w:rsidRPr="003C289B" w:rsidRDefault="00BB42F2" w:rsidP="00BE020B">
            <w:pPr>
              <w:rPr>
                <w:rFonts w:ascii="Times New Roman" w:hAnsi="Times New Roman"/>
                <w:b/>
              </w:rPr>
            </w:pPr>
            <w:r w:rsidRPr="003C289B">
              <w:rPr>
                <w:rFonts w:ascii="Times New Roman" w:hAnsi="Times New Roman"/>
                <w:b/>
              </w:rPr>
              <w:t>Sociálne vplyvy</w:t>
            </w:r>
          </w:p>
        </w:tc>
        <w:tc>
          <w:tcPr>
            <w:tcW w:w="541" w:type="dxa"/>
            <w:gridSpan w:val="2"/>
            <w:tcBorders>
              <w:right w:val="nil"/>
            </w:tcBorders>
          </w:tcPr>
          <w:p w:rsidR="00BB42F2" w:rsidRPr="003C289B" w:rsidRDefault="00BB42F2" w:rsidP="00BE020B">
            <w:pPr>
              <w:jc w:val="center"/>
              <w:rPr>
                <w:rFonts w:ascii="Times New Roman" w:hAnsi="Times New Roman"/>
                <w:b/>
              </w:rPr>
            </w:pPr>
            <w:r w:rsidRPr="003C289B">
              <w:rPr>
                <w:rFonts w:ascii="Segoe UI Symbol" w:eastAsia="MS Mincho" w:hAnsi="Segoe UI Symbol" w:cs="Segoe UI Symbol"/>
                <w:b/>
              </w:rPr>
              <w:t>☐</w:t>
            </w:r>
          </w:p>
        </w:tc>
        <w:tc>
          <w:tcPr>
            <w:tcW w:w="1281" w:type="dxa"/>
            <w:gridSpan w:val="2"/>
            <w:tcBorders>
              <w:left w:val="nil"/>
              <w:right w:val="nil"/>
            </w:tcBorders>
          </w:tcPr>
          <w:p w:rsidR="00BB42F2" w:rsidRPr="003C289B" w:rsidRDefault="00BB42F2" w:rsidP="00BE020B">
            <w:pPr>
              <w:ind w:right="-108"/>
              <w:rPr>
                <w:rFonts w:ascii="Times New Roman" w:hAnsi="Times New Roman"/>
                <w:b/>
              </w:rPr>
            </w:pPr>
            <w:r w:rsidRPr="003C289B">
              <w:rPr>
                <w:rFonts w:ascii="Times New Roman" w:hAnsi="Times New Roman"/>
                <w:b/>
              </w:rPr>
              <w:t>Pozitívne</w:t>
            </w:r>
          </w:p>
        </w:tc>
        <w:tc>
          <w:tcPr>
            <w:tcW w:w="569" w:type="dxa"/>
            <w:tcBorders>
              <w:left w:val="nil"/>
              <w:right w:val="nil"/>
            </w:tcBorders>
          </w:tcPr>
          <w:p w:rsidR="00BB42F2" w:rsidRPr="003C289B" w:rsidRDefault="00BB42F2" w:rsidP="00BE020B">
            <w:pPr>
              <w:jc w:val="center"/>
              <w:rPr>
                <w:rFonts w:ascii="Times New Roman" w:hAnsi="Times New Roman"/>
                <w:b/>
              </w:rPr>
            </w:pPr>
            <w:r w:rsidRPr="003C289B">
              <w:rPr>
                <w:rFonts w:ascii="Segoe UI Symbol" w:eastAsia="MS Gothic" w:hAnsi="Segoe UI Symbol" w:cs="Segoe UI Symbol"/>
              </w:rPr>
              <w:t>☒</w:t>
            </w:r>
          </w:p>
        </w:tc>
        <w:tc>
          <w:tcPr>
            <w:tcW w:w="1133" w:type="dxa"/>
            <w:tcBorders>
              <w:left w:val="nil"/>
              <w:right w:val="nil"/>
            </w:tcBorders>
          </w:tcPr>
          <w:p w:rsidR="00BB42F2" w:rsidRPr="003C289B" w:rsidRDefault="00BB42F2" w:rsidP="00BE020B">
            <w:pPr>
              <w:rPr>
                <w:rFonts w:ascii="Times New Roman" w:hAnsi="Times New Roman"/>
                <w:b/>
              </w:rPr>
            </w:pPr>
            <w:r w:rsidRPr="003C289B">
              <w:rPr>
                <w:rFonts w:ascii="Times New Roman" w:hAnsi="Times New Roman"/>
                <w:b/>
              </w:rPr>
              <w:t>Žiadne</w:t>
            </w:r>
          </w:p>
        </w:tc>
        <w:tc>
          <w:tcPr>
            <w:tcW w:w="547" w:type="dxa"/>
            <w:gridSpan w:val="2"/>
            <w:tcBorders>
              <w:left w:val="nil"/>
              <w:right w:val="nil"/>
            </w:tcBorders>
          </w:tcPr>
          <w:p w:rsidR="00BB42F2" w:rsidRPr="003C289B" w:rsidRDefault="00BB42F2" w:rsidP="00BE020B">
            <w:pPr>
              <w:jc w:val="center"/>
              <w:rPr>
                <w:rFonts w:ascii="Times New Roman" w:hAnsi="Times New Roman"/>
                <w:b/>
              </w:rPr>
            </w:pPr>
            <w:r w:rsidRPr="003C289B">
              <w:rPr>
                <w:rFonts w:ascii="Segoe UI Symbol" w:eastAsia="MS Mincho" w:hAnsi="Segoe UI Symbol" w:cs="Segoe UI Symbol"/>
                <w:b/>
              </w:rPr>
              <w:t>☐</w:t>
            </w:r>
          </w:p>
        </w:tc>
        <w:tc>
          <w:tcPr>
            <w:tcW w:w="1297" w:type="dxa"/>
            <w:tcBorders>
              <w:left w:val="nil"/>
            </w:tcBorders>
          </w:tcPr>
          <w:p w:rsidR="00BB42F2" w:rsidRPr="003C289B" w:rsidRDefault="00BB42F2" w:rsidP="00BE020B">
            <w:pPr>
              <w:ind w:left="54"/>
              <w:rPr>
                <w:rFonts w:ascii="Times New Roman" w:hAnsi="Times New Roman"/>
                <w:b/>
              </w:rPr>
            </w:pPr>
            <w:r w:rsidRPr="003C289B">
              <w:rPr>
                <w:rFonts w:ascii="Times New Roman" w:hAnsi="Times New Roman"/>
                <w:b/>
              </w:rPr>
              <w:t>Negatívne</w:t>
            </w:r>
          </w:p>
        </w:tc>
      </w:tr>
      <w:tr w:rsidR="00BB42F2" w:rsidRPr="003C289B" w:rsidTr="00BE020B">
        <w:tc>
          <w:tcPr>
            <w:tcW w:w="3812" w:type="dxa"/>
            <w:shd w:val="clear" w:color="auto" w:fill="E2E2E2"/>
          </w:tcPr>
          <w:p w:rsidR="00BB42F2" w:rsidRPr="003C289B" w:rsidRDefault="00BB42F2" w:rsidP="00BE020B">
            <w:pPr>
              <w:rPr>
                <w:rFonts w:ascii="Times New Roman" w:hAnsi="Times New Roman"/>
                <w:b/>
              </w:rPr>
            </w:pPr>
            <w:r w:rsidRPr="003C289B">
              <w:rPr>
                <w:rFonts w:ascii="Times New Roman" w:hAnsi="Times New Roman"/>
                <w:b/>
              </w:rPr>
              <w:t>Vplyvy na životné prostredie</w:t>
            </w:r>
          </w:p>
        </w:tc>
        <w:tc>
          <w:tcPr>
            <w:tcW w:w="541" w:type="dxa"/>
            <w:gridSpan w:val="2"/>
            <w:tcBorders>
              <w:right w:val="nil"/>
            </w:tcBorders>
          </w:tcPr>
          <w:p w:rsidR="00BB42F2" w:rsidRPr="003C289B" w:rsidRDefault="00BB42F2" w:rsidP="00BE020B">
            <w:pPr>
              <w:jc w:val="center"/>
              <w:rPr>
                <w:rFonts w:ascii="Times New Roman" w:hAnsi="Times New Roman"/>
                <w:b/>
              </w:rPr>
            </w:pPr>
            <w:r w:rsidRPr="003C289B">
              <w:rPr>
                <w:rFonts w:ascii="Segoe UI Symbol" w:eastAsia="MS Mincho" w:hAnsi="Segoe UI Symbol" w:cs="Segoe UI Symbol"/>
                <w:b/>
              </w:rPr>
              <w:t>☐</w:t>
            </w:r>
          </w:p>
        </w:tc>
        <w:tc>
          <w:tcPr>
            <w:tcW w:w="1281" w:type="dxa"/>
            <w:gridSpan w:val="2"/>
            <w:tcBorders>
              <w:left w:val="nil"/>
              <w:right w:val="nil"/>
            </w:tcBorders>
          </w:tcPr>
          <w:p w:rsidR="00BB42F2" w:rsidRPr="003C289B" w:rsidRDefault="00BB42F2" w:rsidP="00BE020B">
            <w:pPr>
              <w:ind w:right="-108"/>
              <w:rPr>
                <w:rFonts w:ascii="Times New Roman" w:hAnsi="Times New Roman"/>
                <w:b/>
              </w:rPr>
            </w:pPr>
            <w:r w:rsidRPr="003C289B">
              <w:rPr>
                <w:rFonts w:ascii="Times New Roman" w:hAnsi="Times New Roman"/>
                <w:b/>
              </w:rPr>
              <w:t>Pozitívne</w:t>
            </w:r>
          </w:p>
        </w:tc>
        <w:tc>
          <w:tcPr>
            <w:tcW w:w="569" w:type="dxa"/>
            <w:tcBorders>
              <w:left w:val="nil"/>
              <w:right w:val="nil"/>
            </w:tcBorders>
          </w:tcPr>
          <w:p w:rsidR="00BB42F2" w:rsidRPr="003C289B" w:rsidRDefault="00BB42F2" w:rsidP="00BE020B">
            <w:pPr>
              <w:jc w:val="center"/>
              <w:rPr>
                <w:rFonts w:ascii="Times New Roman" w:hAnsi="Times New Roman"/>
                <w:b/>
              </w:rPr>
            </w:pPr>
            <w:r w:rsidRPr="003C289B">
              <w:rPr>
                <w:rFonts w:ascii="Segoe UI Symbol" w:eastAsia="MS Gothic" w:hAnsi="Segoe UI Symbol" w:cs="Segoe UI Symbol"/>
              </w:rPr>
              <w:t>☒</w:t>
            </w:r>
          </w:p>
        </w:tc>
        <w:tc>
          <w:tcPr>
            <w:tcW w:w="1133" w:type="dxa"/>
            <w:tcBorders>
              <w:left w:val="nil"/>
              <w:right w:val="nil"/>
            </w:tcBorders>
          </w:tcPr>
          <w:p w:rsidR="00BB42F2" w:rsidRPr="003C289B" w:rsidRDefault="00BB42F2" w:rsidP="00BE020B">
            <w:pPr>
              <w:rPr>
                <w:rFonts w:ascii="Times New Roman" w:hAnsi="Times New Roman"/>
                <w:b/>
              </w:rPr>
            </w:pPr>
            <w:r w:rsidRPr="003C289B">
              <w:rPr>
                <w:rFonts w:ascii="Times New Roman" w:hAnsi="Times New Roman"/>
                <w:b/>
              </w:rPr>
              <w:t>Žiadne</w:t>
            </w:r>
          </w:p>
        </w:tc>
        <w:tc>
          <w:tcPr>
            <w:tcW w:w="547" w:type="dxa"/>
            <w:gridSpan w:val="2"/>
            <w:tcBorders>
              <w:left w:val="nil"/>
              <w:right w:val="nil"/>
            </w:tcBorders>
          </w:tcPr>
          <w:p w:rsidR="00BB42F2" w:rsidRPr="003C289B" w:rsidRDefault="00BB42F2" w:rsidP="00BE020B">
            <w:pPr>
              <w:jc w:val="center"/>
              <w:rPr>
                <w:rFonts w:ascii="Times New Roman" w:hAnsi="Times New Roman"/>
                <w:b/>
              </w:rPr>
            </w:pPr>
            <w:r w:rsidRPr="003C289B">
              <w:rPr>
                <w:rFonts w:ascii="Segoe UI Symbol" w:eastAsia="MS Mincho" w:hAnsi="Segoe UI Symbol" w:cs="Segoe UI Symbol"/>
                <w:b/>
              </w:rPr>
              <w:t>☐</w:t>
            </w:r>
          </w:p>
        </w:tc>
        <w:tc>
          <w:tcPr>
            <w:tcW w:w="1297" w:type="dxa"/>
            <w:tcBorders>
              <w:left w:val="nil"/>
            </w:tcBorders>
          </w:tcPr>
          <w:p w:rsidR="00BB42F2" w:rsidRPr="003C289B" w:rsidRDefault="00BB42F2" w:rsidP="00BE020B">
            <w:pPr>
              <w:ind w:left="54"/>
              <w:rPr>
                <w:rFonts w:ascii="Times New Roman" w:hAnsi="Times New Roman"/>
                <w:b/>
              </w:rPr>
            </w:pPr>
            <w:r w:rsidRPr="003C289B">
              <w:rPr>
                <w:rFonts w:ascii="Times New Roman" w:hAnsi="Times New Roman"/>
                <w:b/>
              </w:rPr>
              <w:t>Negatívne</w:t>
            </w:r>
          </w:p>
        </w:tc>
      </w:tr>
      <w:tr w:rsidR="00BB42F2" w:rsidRPr="003C289B" w:rsidTr="00BE020B">
        <w:tc>
          <w:tcPr>
            <w:tcW w:w="3812" w:type="dxa"/>
            <w:shd w:val="clear" w:color="auto" w:fill="E2E2E2"/>
          </w:tcPr>
          <w:p w:rsidR="00BB42F2" w:rsidRPr="003C289B" w:rsidRDefault="00BB42F2" w:rsidP="00BE020B">
            <w:pPr>
              <w:rPr>
                <w:rFonts w:ascii="Times New Roman" w:hAnsi="Times New Roman"/>
                <w:b/>
              </w:rPr>
            </w:pPr>
            <w:r w:rsidRPr="003C289B">
              <w:rPr>
                <w:rFonts w:ascii="Times New Roman" w:hAnsi="Times New Roman"/>
                <w:b/>
              </w:rPr>
              <w:t>Vplyvy na informatizáciu</w:t>
            </w:r>
          </w:p>
        </w:tc>
        <w:tc>
          <w:tcPr>
            <w:tcW w:w="541" w:type="dxa"/>
            <w:gridSpan w:val="2"/>
            <w:tcBorders>
              <w:right w:val="nil"/>
            </w:tcBorders>
          </w:tcPr>
          <w:p w:rsidR="00BB42F2" w:rsidRPr="003C289B" w:rsidRDefault="00BB42F2" w:rsidP="00BE020B">
            <w:pPr>
              <w:jc w:val="center"/>
              <w:rPr>
                <w:rFonts w:ascii="Times New Roman" w:hAnsi="Times New Roman"/>
                <w:b/>
              </w:rPr>
            </w:pPr>
            <w:r w:rsidRPr="003C289B">
              <w:rPr>
                <w:rFonts w:ascii="Segoe UI Symbol" w:eastAsia="MS Gothic" w:hAnsi="Segoe UI Symbol" w:cs="Segoe UI Symbol"/>
              </w:rPr>
              <w:t>☒</w:t>
            </w:r>
          </w:p>
        </w:tc>
        <w:tc>
          <w:tcPr>
            <w:tcW w:w="1281" w:type="dxa"/>
            <w:gridSpan w:val="2"/>
            <w:tcBorders>
              <w:left w:val="nil"/>
              <w:right w:val="nil"/>
            </w:tcBorders>
          </w:tcPr>
          <w:p w:rsidR="00BB42F2" w:rsidRPr="003C289B" w:rsidRDefault="00BB42F2" w:rsidP="00BE020B">
            <w:pPr>
              <w:ind w:right="-108"/>
              <w:rPr>
                <w:rFonts w:ascii="Times New Roman" w:hAnsi="Times New Roman"/>
                <w:b/>
              </w:rPr>
            </w:pPr>
            <w:r w:rsidRPr="003C289B">
              <w:rPr>
                <w:rFonts w:ascii="Times New Roman" w:hAnsi="Times New Roman"/>
                <w:b/>
              </w:rPr>
              <w:t>Pozitívne</w:t>
            </w:r>
          </w:p>
        </w:tc>
        <w:tc>
          <w:tcPr>
            <w:tcW w:w="569" w:type="dxa"/>
            <w:tcBorders>
              <w:left w:val="nil"/>
              <w:right w:val="nil"/>
            </w:tcBorders>
          </w:tcPr>
          <w:p w:rsidR="00BB42F2" w:rsidRPr="003C289B" w:rsidRDefault="00BB42F2" w:rsidP="00BE020B">
            <w:pPr>
              <w:jc w:val="center"/>
              <w:rPr>
                <w:rFonts w:ascii="Times New Roman" w:hAnsi="Times New Roman"/>
                <w:b/>
              </w:rPr>
            </w:pPr>
            <w:r w:rsidRPr="003C289B">
              <w:rPr>
                <w:rFonts w:ascii="Segoe UI Symbol" w:eastAsia="MS Mincho" w:hAnsi="Segoe UI Symbol" w:cs="Segoe UI Symbol"/>
                <w:b/>
              </w:rPr>
              <w:t>☐</w:t>
            </w:r>
          </w:p>
        </w:tc>
        <w:tc>
          <w:tcPr>
            <w:tcW w:w="1133" w:type="dxa"/>
            <w:tcBorders>
              <w:left w:val="nil"/>
              <w:right w:val="nil"/>
            </w:tcBorders>
          </w:tcPr>
          <w:p w:rsidR="00BB42F2" w:rsidRPr="003C289B" w:rsidRDefault="00BB42F2" w:rsidP="00BE020B">
            <w:pPr>
              <w:rPr>
                <w:rFonts w:ascii="Times New Roman" w:hAnsi="Times New Roman"/>
                <w:b/>
              </w:rPr>
            </w:pPr>
            <w:r w:rsidRPr="003C289B">
              <w:rPr>
                <w:rFonts w:ascii="Times New Roman" w:hAnsi="Times New Roman"/>
                <w:b/>
              </w:rPr>
              <w:t>Žiadne</w:t>
            </w:r>
          </w:p>
        </w:tc>
        <w:tc>
          <w:tcPr>
            <w:tcW w:w="547" w:type="dxa"/>
            <w:gridSpan w:val="2"/>
            <w:tcBorders>
              <w:left w:val="nil"/>
              <w:right w:val="nil"/>
            </w:tcBorders>
          </w:tcPr>
          <w:p w:rsidR="00BB42F2" w:rsidRPr="003C289B" w:rsidRDefault="00BB42F2" w:rsidP="00BE020B">
            <w:pPr>
              <w:jc w:val="center"/>
              <w:rPr>
                <w:rFonts w:ascii="Times New Roman" w:hAnsi="Times New Roman"/>
                <w:b/>
              </w:rPr>
            </w:pPr>
            <w:r w:rsidRPr="003C289B">
              <w:rPr>
                <w:rFonts w:ascii="Segoe UI Symbol" w:eastAsia="MS Mincho" w:hAnsi="Segoe UI Symbol" w:cs="Segoe UI Symbol"/>
                <w:b/>
              </w:rPr>
              <w:t>☐</w:t>
            </w:r>
          </w:p>
        </w:tc>
        <w:tc>
          <w:tcPr>
            <w:tcW w:w="1297" w:type="dxa"/>
            <w:tcBorders>
              <w:left w:val="nil"/>
            </w:tcBorders>
          </w:tcPr>
          <w:p w:rsidR="00BB42F2" w:rsidRPr="003C289B" w:rsidRDefault="00BB42F2" w:rsidP="00BE020B">
            <w:pPr>
              <w:ind w:left="54"/>
              <w:rPr>
                <w:rFonts w:ascii="Times New Roman" w:hAnsi="Times New Roman"/>
                <w:b/>
              </w:rPr>
            </w:pPr>
            <w:r w:rsidRPr="003C289B">
              <w:rPr>
                <w:rFonts w:ascii="Times New Roman" w:hAnsi="Times New Roman"/>
                <w:b/>
              </w:rPr>
              <w:t>Negatívne</w:t>
            </w:r>
          </w:p>
        </w:tc>
      </w:tr>
    </w:tbl>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1"/>
        <w:gridCol w:w="1281"/>
        <w:gridCol w:w="569"/>
        <w:gridCol w:w="1133"/>
        <w:gridCol w:w="547"/>
        <w:gridCol w:w="1297"/>
      </w:tblGrid>
      <w:tr w:rsidR="00BB42F2" w:rsidRPr="003C289B" w:rsidTr="00BE020B">
        <w:tc>
          <w:tcPr>
            <w:tcW w:w="3812" w:type="dxa"/>
            <w:tcBorders>
              <w:bottom w:val="nil"/>
            </w:tcBorders>
            <w:shd w:val="clear" w:color="auto" w:fill="E2E2E2"/>
          </w:tcPr>
          <w:p w:rsidR="00BB42F2" w:rsidRPr="003C289B" w:rsidRDefault="00BB42F2" w:rsidP="00BE020B">
            <w:pPr>
              <w:rPr>
                <w:b/>
              </w:rPr>
            </w:pPr>
            <w:r w:rsidRPr="003C289B">
              <w:rPr>
                <w:b/>
              </w:rPr>
              <w:t>Vplyvy na služby verejnej správy pre občana, z toho</w:t>
            </w:r>
          </w:p>
        </w:tc>
        <w:tc>
          <w:tcPr>
            <w:tcW w:w="541" w:type="dxa"/>
            <w:tcBorders>
              <w:bottom w:val="nil"/>
              <w:right w:val="nil"/>
            </w:tcBorders>
          </w:tcPr>
          <w:p w:rsidR="00BB42F2" w:rsidRPr="003C289B" w:rsidRDefault="00BB42F2" w:rsidP="00BE020B">
            <w:pPr>
              <w:jc w:val="center"/>
              <w:rPr>
                <w:rFonts w:eastAsia="MS Mincho"/>
                <w:b/>
              </w:rPr>
            </w:pPr>
          </w:p>
        </w:tc>
        <w:tc>
          <w:tcPr>
            <w:tcW w:w="1281" w:type="dxa"/>
            <w:tcBorders>
              <w:left w:val="nil"/>
              <w:bottom w:val="nil"/>
              <w:right w:val="nil"/>
            </w:tcBorders>
          </w:tcPr>
          <w:p w:rsidR="00BB42F2" w:rsidRPr="003C289B" w:rsidRDefault="00BB42F2" w:rsidP="00BE020B">
            <w:pPr>
              <w:ind w:right="-108"/>
              <w:rPr>
                <w:b/>
              </w:rPr>
            </w:pPr>
          </w:p>
        </w:tc>
        <w:tc>
          <w:tcPr>
            <w:tcW w:w="569" w:type="dxa"/>
            <w:tcBorders>
              <w:left w:val="nil"/>
              <w:bottom w:val="nil"/>
              <w:right w:val="nil"/>
            </w:tcBorders>
          </w:tcPr>
          <w:p w:rsidR="00BB42F2" w:rsidRPr="003C289B" w:rsidRDefault="00BB42F2" w:rsidP="00BE020B">
            <w:pPr>
              <w:jc w:val="center"/>
              <w:rPr>
                <w:rFonts w:eastAsia="MS Mincho"/>
                <w:b/>
              </w:rPr>
            </w:pPr>
          </w:p>
        </w:tc>
        <w:tc>
          <w:tcPr>
            <w:tcW w:w="1133" w:type="dxa"/>
            <w:tcBorders>
              <w:left w:val="nil"/>
              <w:bottom w:val="nil"/>
              <w:right w:val="nil"/>
            </w:tcBorders>
          </w:tcPr>
          <w:p w:rsidR="00BB42F2" w:rsidRPr="003C289B" w:rsidRDefault="00BB42F2" w:rsidP="00BE020B">
            <w:pPr>
              <w:rPr>
                <w:b/>
              </w:rPr>
            </w:pPr>
          </w:p>
        </w:tc>
        <w:tc>
          <w:tcPr>
            <w:tcW w:w="547" w:type="dxa"/>
            <w:tcBorders>
              <w:left w:val="nil"/>
              <w:bottom w:val="nil"/>
              <w:right w:val="nil"/>
            </w:tcBorders>
          </w:tcPr>
          <w:p w:rsidR="00BB42F2" w:rsidRPr="003C289B" w:rsidRDefault="00BB42F2" w:rsidP="00BE020B">
            <w:pPr>
              <w:jc w:val="center"/>
              <w:rPr>
                <w:rFonts w:eastAsia="MS Mincho"/>
                <w:b/>
              </w:rPr>
            </w:pPr>
          </w:p>
        </w:tc>
        <w:tc>
          <w:tcPr>
            <w:tcW w:w="1297" w:type="dxa"/>
            <w:tcBorders>
              <w:left w:val="nil"/>
              <w:bottom w:val="nil"/>
            </w:tcBorders>
          </w:tcPr>
          <w:p w:rsidR="00BB42F2" w:rsidRPr="003C289B" w:rsidRDefault="00BB42F2" w:rsidP="00BE020B">
            <w:pPr>
              <w:ind w:left="54"/>
              <w:rPr>
                <w:b/>
              </w:rPr>
            </w:pPr>
          </w:p>
        </w:tc>
      </w:tr>
      <w:tr w:rsidR="00BB42F2" w:rsidRPr="003C289B" w:rsidTr="00BE020B">
        <w:tc>
          <w:tcPr>
            <w:tcW w:w="3812" w:type="dxa"/>
            <w:tcBorders>
              <w:top w:val="nil"/>
              <w:bottom w:val="nil"/>
            </w:tcBorders>
            <w:shd w:val="clear" w:color="auto" w:fill="E2E2E2"/>
          </w:tcPr>
          <w:p w:rsidR="00BB42F2" w:rsidRPr="003C289B" w:rsidRDefault="00BB42F2" w:rsidP="00BE020B">
            <w:pPr>
              <w:ind w:left="196" w:hanging="196"/>
              <w:rPr>
                <w:b/>
              </w:rPr>
            </w:pPr>
            <w:r w:rsidRPr="003C289B">
              <w:rPr>
                <w:b/>
              </w:rPr>
              <w:t xml:space="preserve">    vplyvy služieb verejnej správy na občana</w:t>
            </w:r>
          </w:p>
        </w:tc>
        <w:tc>
          <w:tcPr>
            <w:tcW w:w="541" w:type="dxa"/>
            <w:tcBorders>
              <w:top w:val="nil"/>
              <w:bottom w:val="nil"/>
              <w:right w:val="nil"/>
            </w:tcBorders>
          </w:tcPr>
          <w:p w:rsidR="00BB42F2" w:rsidRPr="003C289B" w:rsidRDefault="00BB42F2" w:rsidP="00BE020B">
            <w:pPr>
              <w:jc w:val="center"/>
              <w:rPr>
                <w:rFonts w:eastAsia="MS Mincho"/>
                <w:b/>
              </w:rPr>
            </w:pPr>
            <w:r w:rsidRPr="003C289B">
              <w:rPr>
                <w:rFonts w:ascii="Segoe UI Symbol" w:eastAsia="MS Mincho" w:hAnsi="Segoe UI Symbol" w:cs="Segoe UI Symbol"/>
                <w:b/>
              </w:rPr>
              <w:t>☐</w:t>
            </w:r>
          </w:p>
        </w:tc>
        <w:tc>
          <w:tcPr>
            <w:tcW w:w="1281" w:type="dxa"/>
            <w:tcBorders>
              <w:top w:val="nil"/>
              <w:left w:val="nil"/>
              <w:bottom w:val="nil"/>
              <w:right w:val="nil"/>
            </w:tcBorders>
          </w:tcPr>
          <w:p w:rsidR="00BB42F2" w:rsidRPr="003C289B" w:rsidRDefault="00BB42F2" w:rsidP="00BE020B">
            <w:pPr>
              <w:ind w:right="-108"/>
              <w:rPr>
                <w:b/>
              </w:rPr>
            </w:pPr>
            <w:r w:rsidRPr="003C289B">
              <w:rPr>
                <w:b/>
              </w:rPr>
              <w:t>Pozitívne</w:t>
            </w:r>
          </w:p>
        </w:tc>
        <w:tc>
          <w:tcPr>
            <w:tcW w:w="569" w:type="dxa"/>
            <w:tcBorders>
              <w:top w:val="nil"/>
              <w:left w:val="nil"/>
              <w:bottom w:val="nil"/>
              <w:right w:val="nil"/>
            </w:tcBorders>
          </w:tcPr>
          <w:p w:rsidR="00BB42F2" w:rsidRPr="003C289B" w:rsidRDefault="00BB42F2" w:rsidP="00BE020B">
            <w:pPr>
              <w:jc w:val="center"/>
              <w:rPr>
                <w:rFonts w:eastAsia="MS Mincho"/>
                <w:b/>
              </w:rPr>
            </w:pPr>
            <w:r w:rsidRPr="003C289B">
              <w:rPr>
                <w:rFonts w:ascii="Segoe UI Symbol" w:eastAsia="MS Gothic" w:hAnsi="Segoe UI Symbol" w:cs="Segoe UI Symbol"/>
              </w:rPr>
              <w:t>☒</w:t>
            </w:r>
          </w:p>
        </w:tc>
        <w:tc>
          <w:tcPr>
            <w:tcW w:w="1133" w:type="dxa"/>
            <w:tcBorders>
              <w:top w:val="nil"/>
              <w:left w:val="nil"/>
              <w:bottom w:val="nil"/>
              <w:right w:val="nil"/>
            </w:tcBorders>
          </w:tcPr>
          <w:p w:rsidR="00BB42F2" w:rsidRPr="003C289B" w:rsidRDefault="00BB42F2" w:rsidP="00BE020B">
            <w:pPr>
              <w:rPr>
                <w:b/>
              </w:rPr>
            </w:pPr>
            <w:r w:rsidRPr="003C289B">
              <w:rPr>
                <w:b/>
              </w:rPr>
              <w:t>Žiadne</w:t>
            </w:r>
          </w:p>
        </w:tc>
        <w:tc>
          <w:tcPr>
            <w:tcW w:w="547" w:type="dxa"/>
            <w:tcBorders>
              <w:top w:val="nil"/>
              <w:left w:val="nil"/>
              <w:bottom w:val="nil"/>
              <w:right w:val="nil"/>
            </w:tcBorders>
          </w:tcPr>
          <w:p w:rsidR="00BB42F2" w:rsidRPr="003C289B" w:rsidRDefault="00BB42F2" w:rsidP="00BE020B">
            <w:pPr>
              <w:jc w:val="center"/>
              <w:rPr>
                <w:rFonts w:eastAsia="MS Mincho"/>
                <w:b/>
              </w:rPr>
            </w:pPr>
            <w:r w:rsidRPr="003C289B">
              <w:rPr>
                <w:rFonts w:ascii="Segoe UI Symbol" w:eastAsia="MS Mincho" w:hAnsi="Segoe UI Symbol" w:cs="Segoe UI Symbol"/>
                <w:b/>
              </w:rPr>
              <w:t>☐</w:t>
            </w:r>
          </w:p>
        </w:tc>
        <w:tc>
          <w:tcPr>
            <w:tcW w:w="1297" w:type="dxa"/>
            <w:tcBorders>
              <w:top w:val="nil"/>
              <w:left w:val="nil"/>
              <w:bottom w:val="nil"/>
            </w:tcBorders>
          </w:tcPr>
          <w:p w:rsidR="00BB42F2" w:rsidRPr="003C289B" w:rsidRDefault="00BB42F2" w:rsidP="00BE020B">
            <w:pPr>
              <w:ind w:left="54"/>
              <w:rPr>
                <w:b/>
              </w:rPr>
            </w:pPr>
            <w:r w:rsidRPr="003C289B">
              <w:rPr>
                <w:b/>
              </w:rPr>
              <w:t>Negatívne“</w:t>
            </w:r>
          </w:p>
        </w:tc>
      </w:tr>
      <w:tr w:rsidR="00BB42F2" w:rsidRPr="003C289B" w:rsidTr="00BE020B">
        <w:tc>
          <w:tcPr>
            <w:tcW w:w="3812" w:type="dxa"/>
            <w:tcBorders>
              <w:top w:val="nil"/>
            </w:tcBorders>
            <w:shd w:val="clear" w:color="auto" w:fill="E2E2E2"/>
          </w:tcPr>
          <w:p w:rsidR="00BB42F2" w:rsidRPr="003C289B" w:rsidRDefault="00BB42F2" w:rsidP="00BE020B">
            <w:pPr>
              <w:ind w:left="168" w:hanging="168"/>
              <w:rPr>
                <w:b/>
              </w:rPr>
            </w:pPr>
            <w:r w:rsidRPr="003C289B">
              <w:rPr>
                <w:b/>
              </w:rPr>
              <w:t xml:space="preserve">    vplyvy na procesy služieb vo verejnej správe</w:t>
            </w:r>
          </w:p>
        </w:tc>
        <w:tc>
          <w:tcPr>
            <w:tcW w:w="541" w:type="dxa"/>
            <w:tcBorders>
              <w:top w:val="nil"/>
              <w:right w:val="nil"/>
            </w:tcBorders>
          </w:tcPr>
          <w:p w:rsidR="00BB42F2" w:rsidRPr="003C289B" w:rsidRDefault="00BB42F2" w:rsidP="00BE020B">
            <w:pPr>
              <w:jc w:val="center"/>
              <w:rPr>
                <w:rFonts w:eastAsia="MS Mincho"/>
                <w:b/>
              </w:rPr>
            </w:pPr>
            <w:r w:rsidRPr="003C289B">
              <w:rPr>
                <w:rFonts w:ascii="Segoe UI Symbol" w:eastAsia="MS Mincho" w:hAnsi="Segoe UI Symbol" w:cs="Segoe UI Symbol"/>
                <w:b/>
              </w:rPr>
              <w:t>☐</w:t>
            </w:r>
          </w:p>
        </w:tc>
        <w:tc>
          <w:tcPr>
            <w:tcW w:w="1281" w:type="dxa"/>
            <w:tcBorders>
              <w:top w:val="nil"/>
              <w:left w:val="nil"/>
              <w:right w:val="nil"/>
            </w:tcBorders>
          </w:tcPr>
          <w:p w:rsidR="00BB42F2" w:rsidRPr="003C289B" w:rsidRDefault="00BB42F2" w:rsidP="00BE020B">
            <w:pPr>
              <w:ind w:right="-108"/>
              <w:rPr>
                <w:b/>
              </w:rPr>
            </w:pPr>
            <w:r w:rsidRPr="003C289B">
              <w:rPr>
                <w:b/>
              </w:rPr>
              <w:t>Pozitívne</w:t>
            </w:r>
          </w:p>
        </w:tc>
        <w:tc>
          <w:tcPr>
            <w:tcW w:w="569" w:type="dxa"/>
            <w:tcBorders>
              <w:top w:val="nil"/>
              <w:left w:val="nil"/>
              <w:right w:val="nil"/>
            </w:tcBorders>
          </w:tcPr>
          <w:p w:rsidR="00BB42F2" w:rsidRPr="003C289B" w:rsidRDefault="00BB42F2" w:rsidP="00BE020B">
            <w:pPr>
              <w:jc w:val="center"/>
              <w:rPr>
                <w:rFonts w:eastAsia="MS Mincho"/>
                <w:b/>
              </w:rPr>
            </w:pPr>
            <w:r w:rsidRPr="003C289B">
              <w:rPr>
                <w:rFonts w:ascii="Segoe UI Symbol" w:eastAsia="MS Gothic" w:hAnsi="Segoe UI Symbol" w:cs="Segoe UI Symbol"/>
              </w:rPr>
              <w:t>☒</w:t>
            </w:r>
          </w:p>
        </w:tc>
        <w:tc>
          <w:tcPr>
            <w:tcW w:w="1133" w:type="dxa"/>
            <w:tcBorders>
              <w:top w:val="nil"/>
              <w:left w:val="nil"/>
              <w:right w:val="nil"/>
            </w:tcBorders>
          </w:tcPr>
          <w:p w:rsidR="00BB42F2" w:rsidRPr="003C289B" w:rsidRDefault="00BB42F2" w:rsidP="00BE020B">
            <w:pPr>
              <w:rPr>
                <w:b/>
              </w:rPr>
            </w:pPr>
            <w:r w:rsidRPr="003C289B">
              <w:rPr>
                <w:b/>
              </w:rPr>
              <w:t>Žiadne</w:t>
            </w:r>
          </w:p>
        </w:tc>
        <w:tc>
          <w:tcPr>
            <w:tcW w:w="547" w:type="dxa"/>
            <w:tcBorders>
              <w:top w:val="nil"/>
              <w:left w:val="nil"/>
              <w:right w:val="nil"/>
            </w:tcBorders>
          </w:tcPr>
          <w:p w:rsidR="00BB42F2" w:rsidRPr="003C289B" w:rsidRDefault="00BB42F2" w:rsidP="00BE020B">
            <w:pPr>
              <w:jc w:val="center"/>
              <w:rPr>
                <w:rFonts w:eastAsia="MS Mincho"/>
                <w:b/>
              </w:rPr>
            </w:pPr>
            <w:r w:rsidRPr="003C289B">
              <w:rPr>
                <w:rFonts w:ascii="Segoe UI Symbol" w:eastAsia="MS Mincho" w:hAnsi="Segoe UI Symbol" w:cs="Segoe UI Symbol"/>
                <w:b/>
              </w:rPr>
              <w:t>☐</w:t>
            </w:r>
          </w:p>
        </w:tc>
        <w:tc>
          <w:tcPr>
            <w:tcW w:w="1297" w:type="dxa"/>
            <w:tcBorders>
              <w:top w:val="nil"/>
              <w:left w:val="nil"/>
            </w:tcBorders>
          </w:tcPr>
          <w:p w:rsidR="00BB42F2" w:rsidRPr="003C289B" w:rsidRDefault="00BB42F2" w:rsidP="00BE020B">
            <w:pPr>
              <w:ind w:left="54"/>
              <w:rPr>
                <w:b/>
              </w:rPr>
            </w:pPr>
            <w:r w:rsidRPr="003C289B">
              <w:rPr>
                <w:b/>
              </w:rPr>
              <w:t>Negatívne“</w:t>
            </w:r>
          </w:p>
        </w:tc>
      </w:tr>
    </w:tbl>
    <w:p w:rsidR="00BB42F2" w:rsidRDefault="00BB42F2" w:rsidP="00BB42F2">
      <w:pPr>
        <w:ind w:right="141"/>
        <w:rPr>
          <w:b/>
        </w:rPr>
      </w:pPr>
    </w:p>
    <w:p w:rsidR="006A090D" w:rsidRDefault="006A090D" w:rsidP="00BB42F2">
      <w:pPr>
        <w:ind w:right="141"/>
        <w:rPr>
          <w:b/>
        </w:rPr>
      </w:pPr>
    </w:p>
    <w:p w:rsidR="006A090D" w:rsidRDefault="006A090D" w:rsidP="00BB42F2">
      <w:pPr>
        <w:ind w:right="141"/>
        <w:rPr>
          <w:b/>
        </w:rPr>
      </w:pPr>
    </w:p>
    <w:p w:rsidR="006A090D" w:rsidRDefault="006A090D" w:rsidP="00BB42F2">
      <w:pPr>
        <w:ind w:right="141"/>
        <w:rPr>
          <w:b/>
        </w:rPr>
      </w:pPr>
    </w:p>
    <w:tbl>
      <w:tblPr>
        <w:tblStyle w:val="Mriekatabuky"/>
        <w:tblW w:w="9176" w:type="dxa"/>
        <w:tblLayout w:type="fixed"/>
        <w:tblLook w:val="04A0" w:firstRow="1" w:lastRow="0" w:firstColumn="1" w:lastColumn="0" w:noHBand="0" w:noVBand="1"/>
      </w:tblPr>
      <w:tblGrid>
        <w:gridCol w:w="9176"/>
      </w:tblGrid>
      <w:tr w:rsidR="00BB42F2" w:rsidRPr="003C289B" w:rsidTr="00BE020B">
        <w:tc>
          <w:tcPr>
            <w:tcW w:w="9176" w:type="dxa"/>
            <w:tcBorders>
              <w:bottom w:val="nil"/>
            </w:tcBorders>
            <w:shd w:val="clear" w:color="auto" w:fill="E2E2E2"/>
          </w:tcPr>
          <w:p w:rsidR="00BB42F2" w:rsidRPr="003C289B" w:rsidRDefault="00BB42F2" w:rsidP="00BB42F2">
            <w:pPr>
              <w:pStyle w:val="Odsekzoznamu"/>
              <w:numPr>
                <w:ilvl w:val="0"/>
                <w:numId w:val="16"/>
              </w:numPr>
              <w:spacing w:after="0" w:line="240" w:lineRule="auto"/>
              <w:ind w:left="426"/>
              <w:rPr>
                <w:rFonts w:ascii="Times New Roman" w:hAnsi="Times New Roman"/>
                <w:b/>
              </w:rPr>
            </w:pPr>
            <w:r w:rsidRPr="003C289B">
              <w:rPr>
                <w:rFonts w:ascii="Times New Roman" w:hAnsi="Times New Roman"/>
                <w:b/>
              </w:rPr>
              <w:lastRenderedPageBreak/>
              <w:t>Poznámky</w:t>
            </w:r>
          </w:p>
        </w:tc>
      </w:tr>
      <w:tr w:rsidR="00BB42F2" w:rsidRPr="003C289B" w:rsidTr="00BE020B">
        <w:trPr>
          <w:trHeight w:val="393"/>
        </w:trPr>
        <w:tc>
          <w:tcPr>
            <w:tcW w:w="9176" w:type="dxa"/>
            <w:tcBorders>
              <w:top w:val="nil"/>
              <w:bottom w:val="single" w:sz="4" w:space="0" w:color="FFFFFF" w:themeColor="background1"/>
            </w:tcBorders>
          </w:tcPr>
          <w:p w:rsidR="00BB42F2" w:rsidRPr="00FA4569" w:rsidRDefault="00BB42F2" w:rsidP="00BE020B">
            <w:pPr>
              <w:jc w:val="both"/>
              <w:rPr>
                <w:rFonts w:ascii="Times New Roman" w:hAnsi="Times New Roman"/>
                <w:b/>
                <w:sz w:val="20"/>
                <w:szCs w:val="20"/>
              </w:rPr>
            </w:pPr>
            <w:r w:rsidRPr="00E61FA1">
              <w:rPr>
                <w:rFonts w:ascii="Times New Roman" w:hAnsi="Times New Roman"/>
                <w:b/>
                <w:sz w:val="20"/>
                <w:szCs w:val="20"/>
              </w:rPr>
              <w:t>Čl. I</w:t>
            </w:r>
          </w:p>
          <w:p w:rsidR="00BB42F2" w:rsidRDefault="00BB42F2" w:rsidP="00BE020B">
            <w:pPr>
              <w:jc w:val="both"/>
              <w:rPr>
                <w:rFonts w:ascii="Times New Roman" w:hAnsi="Times New Roman"/>
                <w:bCs/>
                <w:sz w:val="20"/>
                <w:szCs w:val="20"/>
                <w:lang w:eastAsia="sk-SK"/>
              </w:rPr>
            </w:pPr>
            <w:r>
              <w:rPr>
                <w:rFonts w:ascii="Times New Roman" w:hAnsi="Times New Roman"/>
                <w:bCs/>
                <w:sz w:val="20"/>
                <w:szCs w:val="20"/>
                <w:lang w:eastAsia="sk-SK"/>
              </w:rPr>
              <w:t xml:space="preserve">V súvislosti s navrhovanou </w:t>
            </w:r>
            <w:r w:rsidRPr="00AC1E0C">
              <w:rPr>
                <w:rFonts w:ascii="Times New Roman" w:hAnsi="Times New Roman"/>
                <w:bCs/>
                <w:sz w:val="20"/>
                <w:szCs w:val="20"/>
                <w:lang w:eastAsia="sk-SK"/>
              </w:rPr>
              <w:t xml:space="preserve">úpravou základnej sadzby dane na pohonné látky </w:t>
            </w:r>
            <w:r>
              <w:rPr>
                <w:rFonts w:ascii="Times New Roman" w:hAnsi="Times New Roman"/>
                <w:bCs/>
                <w:sz w:val="20"/>
                <w:szCs w:val="20"/>
                <w:lang w:eastAsia="sk-SK"/>
              </w:rPr>
              <w:t xml:space="preserve">sa </w:t>
            </w:r>
            <w:r w:rsidRPr="00AC1E0C">
              <w:rPr>
                <w:rFonts w:ascii="Times New Roman" w:hAnsi="Times New Roman"/>
                <w:bCs/>
                <w:sz w:val="20"/>
                <w:szCs w:val="20"/>
                <w:lang w:eastAsia="sk-SK"/>
              </w:rPr>
              <w:t xml:space="preserve">pre jednotlivé roky </w:t>
            </w:r>
            <w:r>
              <w:rPr>
                <w:rFonts w:ascii="Times New Roman" w:hAnsi="Times New Roman"/>
                <w:bCs/>
                <w:sz w:val="20"/>
                <w:szCs w:val="20"/>
                <w:lang w:eastAsia="sk-SK"/>
              </w:rPr>
              <w:t>uvedené v tabuľke č. 1 predpokladajú mierne v</w:t>
            </w:r>
            <w:r w:rsidRPr="00AC1E0C">
              <w:rPr>
                <w:rFonts w:ascii="Times New Roman" w:hAnsi="Times New Roman"/>
                <w:bCs/>
                <w:sz w:val="20"/>
                <w:szCs w:val="20"/>
                <w:lang w:eastAsia="sk-SK"/>
              </w:rPr>
              <w:t>ýpadky príjmov</w:t>
            </w:r>
            <w:r>
              <w:rPr>
                <w:rFonts w:ascii="Times New Roman" w:hAnsi="Times New Roman"/>
                <w:bCs/>
                <w:sz w:val="20"/>
                <w:szCs w:val="20"/>
                <w:lang w:eastAsia="sk-SK"/>
              </w:rPr>
              <w:t>. Po zavedení</w:t>
            </w:r>
            <w:r w:rsidRPr="00AC1E0C">
              <w:rPr>
                <w:rFonts w:ascii="Times New Roman" w:hAnsi="Times New Roman"/>
                <w:bCs/>
                <w:sz w:val="20"/>
                <w:szCs w:val="20"/>
                <w:lang w:eastAsia="sk-SK"/>
              </w:rPr>
              <w:t xml:space="preserve"> označovania pohonných látok identifikačnou látkou v aplikačnej praxi sa predpokladá </w:t>
            </w:r>
            <w:r>
              <w:rPr>
                <w:rFonts w:ascii="Times New Roman" w:hAnsi="Times New Roman"/>
                <w:bCs/>
                <w:sz w:val="20"/>
                <w:szCs w:val="20"/>
                <w:lang w:eastAsia="sk-SK"/>
              </w:rPr>
              <w:t>zvýšený príjem do štátneho rozpočtu, ktorý by mal eliminovať predpokladané</w:t>
            </w:r>
            <w:r w:rsidRPr="00AC1E0C">
              <w:rPr>
                <w:rFonts w:ascii="Times New Roman" w:hAnsi="Times New Roman"/>
                <w:bCs/>
                <w:sz w:val="20"/>
                <w:szCs w:val="20"/>
                <w:lang w:eastAsia="sk-SK"/>
              </w:rPr>
              <w:t xml:space="preserve"> výpadky pr</w:t>
            </w:r>
            <w:r>
              <w:rPr>
                <w:rFonts w:ascii="Times New Roman" w:hAnsi="Times New Roman"/>
                <w:bCs/>
                <w:sz w:val="20"/>
                <w:szCs w:val="20"/>
                <w:lang w:eastAsia="sk-SK"/>
              </w:rPr>
              <w:t xml:space="preserve">íjmov a výdavky verejnej správy súvisiace s týmto opatrením, a to tak, že konečný vplyv návrhu zákona na </w:t>
            </w:r>
            <w:r w:rsidRPr="003F6A02">
              <w:rPr>
                <w:rFonts w:ascii="Times New Roman" w:hAnsi="Times New Roman"/>
                <w:bCs/>
                <w:sz w:val="20"/>
                <w:szCs w:val="20"/>
                <w:lang w:eastAsia="sk-SK"/>
              </w:rPr>
              <w:t>rozpočet verejnej správy</w:t>
            </w:r>
            <w:r>
              <w:rPr>
                <w:rFonts w:ascii="Times New Roman" w:hAnsi="Times New Roman"/>
                <w:bCs/>
                <w:sz w:val="20"/>
                <w:szCs w:val="20"/>
                <w:lang w:eastAsia="sk-SK"/>
              </w:rPr>
              <w:t xml:space="preserve"> bude pozitívny.</w:t>
            </w:r>
          </w:p>
          <w:p w:rsidR="00BB42F2" w:rsidRDefault="00BB42F2" w:rsidP="00BE020B">
            <w:pPr>
              <w:jc w:val="both"/>
              <w:rPr>
                <w:rFonts w:ascii="Times New Roman" w:hAnsi="Times New Roman"/>
                <w:bCs/>
                <w:sz w:val="20"/>
                <w:szCs w:val="20"/>
                <w:lang w:eastAsia="sk-SK"/>
              </w:rPr>
            </w:pPr>
          </w:p>
          <w:p w:rsidR="003C2B30" w:rsidRDefault="003C2B30" w:rsidP="00BE020B">
            <w:pPr>
              <w:jc w:val="both"/>
              <w:rPr>
                <w:rFonts w:ascii="Times New Roman" w:hAnsi="Times New Roman"/>
                <w:bCs/>
                <w:sz w:val="20"/>
                <w:szCs w:val="20"/>
                <w:lang w:eastAsia="sk-SK"/>
              </w:rPr>
            </w:pPr>
          </w:p>
          <w:p w:rsidR="00BB42F2" w:rsidRPr="00E61FA1" w:rsidRDefault="00BB42F2" w:rsidP="00BE020B">
            <w:pPr>
              <w:jc w:val="both"/>
              <w:rPr>
                <w:rFonts w:ascii="Times New Roman" w:hAnsi="Times New Roman"/>
                <w:b/>
                <w:sz w:val="20"/>
                <w:szCs w:val="20"/>
              </w:rPr>
            </w:pPr>
            <w:r w:rsidRPr="00E61FA1">
              <w:rPr>
                <w:rFonts w:ascii="Times New Roman" w:hAnsi="Times New Roman"/>
                <w:b/>
                <w:sz w:val="20"/>
                <w:szCs w:val="20"/>
              </w:rPr>
              <w:t>Čl. I</w:t>
            </w:r>
            <w:r>
              <w:rPr>
                <w:rFonts w:ascii="Times New Roman" w:hAnsi="Times New Roman"/>
                <w:b/>
                <w:sz w:val="20"/>
                <w:szCs w:val="20"/>
              </w:rPr>
              <w:t>I</w:t>
            </w:r>
          </w:p>
          <w:p w:rsidR="00BB42F2" w:rsidRPr="00FA4569" w:rsidRDefault="00BB42F2" w:rsidP="00BE020B">
            <w:pPr>
              <w:jc w:val="both"/>
              <w:rPr>
                <w:rFonts w:ascii="Times New Roman" w:hAnsi="Times New Roman"/>
                <w:sz w:val="20"/>
                <w:szCs w:val="20"/>
              </w:rPr>
            </w:pPr>
            <w:r w:rsidRPr="00FA4569">
              <w:rPr>
                <w:rFonts w:ascii="Times New Roman" w:hAnsi="Times New Roman"/>
                <w:sz w:val="20"/>
                <w:szCs w:val="20"/>
              </w:rPr>
              <w:t>Zavedením nových správnych deliktov je možné predpokladať pozitívny vplyv na rozpočet verejnej správy, ktorý však v súčasnosti nie je možné kvantifikovať.</w:t>
            </w:r>
          </w:p>
          <w:p w:rsidR="00BB42F2" w:rsidRPr="00FA4569" w:rsidRDefault="00BB42F2" w:rsidP="00BE020B">
            <w:pPr>
              <w:jc w:val="both"/>
              <w:rPr>
                <w:rFonts w:ascii="Times New Roman" w:hAnsi="Times New Roman"/>
                <w:bCs/>
                <w:sz w:val="20"/>
                <w:szCs w:val="20"/>
                <w:lang w:eastAsia="sk-SK"/>
              </w:rPr>
            </w:pPr>
            <w:r w:rsidRPr="00FA4569">
              <w:rPr>
                <w:rFonts w:ascii="Times New Roman" w:hAnsi="Times New Roman"/>
                <w:sz w:val="20"/>
                <w:szCs w:val="20"/>
              </w:rPr>
              <w:t>Návrh zákona bude mať vplyv aj na zmenu informačných systémov finančnej správy, z toho dôvodu bude mať návrh zákona negatívny vplyv na rozpočet verejnej správy. Výdavky nie sú v rámci schváleného rozpočtu kapitoly MF SR na roky 2018 až 2020 rozpočtované, t. j. ide o rozpočtovo nekrytý vplyv.</w:t>
            </w:r>
          </w:p>
          <w:p w:rsidR="00BB42F2" w:rsidRPr="003C289B" w:rsidRDefault="00BB42F2" w:rsidP="00BE020B">
            <w:pPr>
              <w:ind w:left="142"/>
              <w:rPr>
                <w:rFonts w:ascii="Times New Roman" w:hAnsi="Times New Roman"/>
                <w:b/>
              </w:rPr>
            </w:pPr>
          </w:p>
        </w:tc>
      </w:tr>
      <w:tr w:rsidR="00BB42F2" w:rsidRPr="003C289B" w:rsidTr="00BE020B">
        <w:tc>
          <w:tcPr>
            <w:tcW w:w="9176" w:type="dxa"/>
            <w:tcBorders>
              <w:bottom w:val="single" w:sz="4" w:space="0" w:color="FFFFFF" w:themeColor="background1"/>
            </w:tcBorders>
            <w:shd w:val="clear" w:color="auto" w:fill="E2E2E2"/>
          </w:tcPr>
          <w:p w:rsidR="00BB42F2" w:rsidRPr="003C289B" w:rsidRDefault="00BB42F2" w:rsidP="00BB42F2">
            <w:pPr>
              <w:pStyle w:val="Odsekzoznamu"/>
              <w:numPr>
                <w:ilvl w:val="0"/>
                <w:numId w:val="16"/>
              </w:numPr>
              <w:spacing w:after="0" w:line="240" w:lineRule="auto"/>
              <w:ind w:left="426"/>
              <w:rPr>
                <w:rFonts w:ascii="Times New Roman" w:hAnsi="Times New Roman"/>
                <w:b/>
              </w:rPr>
            </w:pPr>
            <w:r w:rsidRPr="003C289B">
              <w:rPr>
                <w:rFonts w:ascii="Times New Roman" w:hAnsi="Times New Roman"/>
                <w:b/>
              </w:rPr>
              <w:t>Kontakt na spracovateľa</w:t>
            </w:r>
          </w:p>
        </w:tc>
      </w:tr>
      <w:tr w:rsidR="00BB42F2" w:rsidRPr="003C289B" w:rsidTr="00BE020B">
        <w:trPr>
          <w:trHeight w:val="586"/>
        </w:trPr>
        <w:tc>
          <w:tcPr>
            <w:tcW w:w="9176" w:type="dxa"/>
            <w:tcBorders>
              <w:top w:val="single" w:sz="4" w:space="0" w:color="FFFFFF" w:themeColor="background1"/>
            </w:tcBorders>
            <w:shd w:val="clear" w:color="auto" w:fill="FFFFFF" w:themeFill="background1"/>
            <w:vAlign w:val="center"/>
          </w:tcPr>
          <w:p w:rsidR="00BB42F2" w:rsidRPr="00FA4569" w:rsidRDefault="00BB42F2" w:rsidP="00BE020B">
            <w:pPr>
              <w:jc w:val="both"/>
              <w:rPr>
                <w:rFonts w:ascii="Times New Roman" w:hAnsi="Times New Roman"/>
                <w:b/>
                <w:sz w:val="20"/>
                <w:szCs w:val="20"/>
              </w:rPr>
            </w:pPr>
            <w:r w:rsidRPr="00E61FA1">
              <w:rPr>
                <w:rFonts w:ascii="Times New Roman" w:hAnsi="Times New Roman"/>
                <w:b/>
                <w:sz w:val="20"/>
                <w:szCs w:val="20"/>
              </w:rPr>
              <w:t>Čl. I</w:t>
            </w:r>
          </w:p>
          <w:p w:rsidR="00BB42F2" w:rsidRDefault="00BB42F2" w:rsidP="00BE020B">
            <w:pPr>
              <w:rPr>
                <w:rFonts w:ascii="Times New Roman" w:hAnsi="Times New Roman"/>
                <w:sz w:val="20"/>
                <w:szCs w:val="20"/>
                <w:u w:val="single"/>
              </w:rPr>
            </w:pPr>
            <w:r w:rsidRPr="002E36DF">
              <w:rPr>
                <w:rFonts w:ascii="Times New Roman" w:hAnsi="Times New Roman"/>
                <w:sz w:val="20"/>
                <w:szCs w:val="20"/>
              </w:rPr>
              <w:t xml:space="preserve">Ing. Milan </w:t>
            </w:r>
            <w:proofErr w:type="spellStart"/>
            <w:r w:rsidRPr="002E36DF">
              <w:rPr>
                <w:rFonts w:ascii="Times New Roman" w:hAnsi="Times New Roman"/>
                <w:sz w:val="20"/>
                <w:szCs w:val="20"/>
              </w:rPr>
              <w:t>Danišovič</w:t>
            </w:r>
            <w:proofErr w:type="spellEnd"/>
            <w:r w:rsidRPr="002E36DF">
              <w:rPr>
                <w:rFonts w:ascii="Times New Roman" w:hAnsi="Times New Roman"/>
                <w:sz w:val="20"/>
                <w:szCs w:val="20"/>
              </w:rPr>
              <w:t xml:space="preserve">, MF SR, sekcia daňová a colná, odbor nepriamych daní, oddelenie spotrebných daní, </w:t>
            </w:r>
            <w:hyperlink r:id="rId7" w:history="1">
              <w:r w:rsidRPr="00FA4569">
                <w:rPr>
                  <w:rStyle w:val="Hypertextovprepojenie"/>
                  <w:color w:val="000000" w:themeColor="text1"/>
                  <w:sz w:val="20"/>
                  <w:szCs w:val="20"/>
                </w:rPr>
                <w:t>milan.danisovic@mfsr.sk</w:t>
              </w:r>
            </w:hyperlink>
          </w:p>
          <w:p w:rsidR="00BB42F2" w:rsidRPr="00FA4569" w:rsidRDefault="00BB42F2" w:rsidP="00BE020B">
            <w:pPr>
              <w:jc w:val="both"/>
              <w:rPr>
                <w:rFonts w:ascii="Times New Roman" w:hAnsi="Times New Roman"/>
                <w:sz w:val="20"/>
                <w:szCs w:val="20"/>
              </w:rPr>
            </w:pPr>
          </w:p>
          <w:p w:rsidR="00BB42F2" w:rsidRPr="00FA4569" w:rsidRDefault="00BB42F2" w:rsidP="00BE020B">
            <w:pPr>
              <w:jc w:val="both"/>
              <w:rPr>
                <w:rFonts w:ascii="Times New Roman" w:hAnsi="Times New Roman"/>
                <w:b/>
                <w:sz w:val="20"/>
                <w:szCs w:val="20"/>
              </w:rPr>
            </w:pPr>
            <w:r w:rsidRPr="00FA4569">
              <w:rPr>
                <w:rFonts w:ascii="Times New Roman" w:hAnsi="Times New Roman"/>
                <w:b/>
                <w:sz w:val="20"/>
                <w:szCs w:val="20"/>
              </w:rPr>
              <w:t>Čl. II</w:t>
            </w:r>
          </w:p>
          <w:p w:rsidR="00BB42F2" w:rsidRPr="00FA4569" w:rsidRDefault="00BB42F2" w:rsidP="00BE020B">
            <w:pPr>
              <w:rPr>
                <w:rFonts w:ascii="Times New Roman" w:hAnsi="Times New Roman"/>
                <w:sz w:val="20"/>
                <w:szCs w:val="20"/>
              </w:rPr>
            </w:pPr>
            <w:r w:rsidRPr="00FA4569">
              <w:rPr>
                <w:rFonts w:ascii="Times New Roman" w:hAnsi="Times New Roman"/>
                <w:sz w:val="20"/>
                <w:szCs w:val="20"/>
              </w:rPr>
              <w:t xml:space="preserve">Ing. Michaela </w:t>
            </w:r>
            <w:proofErr w:type="spellStart"/>
            <w:r w:rsidRPr="00FA4569">
              <w:rPr>
                <w:rFonts w:ascii="Times New Roman" w:hAnsi="Times New Roman"/>
                <w:sz w:val="20"/>
                <w:szCs w:val="20"/>
              </w:rPr>
              <w:t>Jarošová</w:t>
            </w:r>
            <w:proofErr w:type="spellEnd"/>
            <w:r w:rsidRPr="00FA4569">
              <w:rPr>
                <w:rFonts w:ascii="Times New Roman" w:hAnsi="Times New Roman"/>
                <w:sz w:val="20"/>
                <w:szCs w:val="20"/>
              </w:rPr>
              <w:t xml:space="preserve">, MF SR, sekcia daňová a colná, odbor nepriamych daní, oddelenie spotrebných daní </w:t>
            </w:r>
            <w:r w:rsidRPr="00FA4569">
              <w:rPr>
                <w:rFonts w:ascii="Times New Roman" w:hAnsi="Times New Roman"/>
                <w:sz w:val="20"/>
                <w:szCs w:val="20"/>
                <w:u w:val="single"/>
              </w:rPr>
              <w:t>michaela.jarosova@mfsr.sk</w:t>
            </w:r>
          </w:p>
          <w:p w:rsidR="00BB42F2" w:rsidRPr="002E36DF" w:rsidRDefault="00BB42F2" w:rsidP="00BE020B">
            <w:pPr>
              <w:rPr>
                <w:rFonts w:ascii="Times New Roman" w:hAnsi="Times New Roman"/>
                <w:sz w:val="20"/>
                <w:szCs w:val="20"/>
              </w:rPr>
            </w:pPr>
          </w:p>
        </w:tc>
      </w:tr>
      <w:tr w:rsidR="00BB42F2" w:rsidRPr="003C289B" w:rsidTr="00BE020B">
        <w:tc>
          <w:tcPr>
            <w:tcW w:w="9176" w:type="dxa"/>
            <w:tcBorders>
              <w:bottom w:val="single" w:sz="4" w:space="0" w:color="FFFFFF" w:themeColor="background1"/>
            </w:tcBorders>
            <w:shd w:val="clear" w:color="auto" w:fill="E2E2E2"/>
          </w:tcPr>
          <w:p w:rsidR="00BB42F2" w:rsidRPr="003C289B" w:rsidRDefault="00BB42F2" w:rsidP="00BB42F2">
            <w:pPr>
              <w:pStyle w:val="Odsekzoznamu"/>
              <w:numPr>
                <w:ilvl w:val="0"/>
                <w:numId w:val="16"/>
              </w:numPr>
              <w:spacing w:after="0" w:line="240" w:lineRule="auto"/>
              <w:ind w:left="426"/>
              <w:rPr>
                <w:rFonts w:ascii="Times New Roman" w:hAnsi="Times New Roman"/>
                <w:b/>
              </w:rPr>
            </w:pPr>
            <w:r w:rsidRPr="003C289B">
              <w:rPr>
                <w:rFonts w:ascii="Times New Roman" w:hAnsi="Times New Roman"/>
                <w:b/>
              </w:rPr>
              <w:t>Zdroje</w:t>
            </w:r>
          </w:p>
        </w:tc>
      </w:tr>
      <w:tr w:rsidR="00BB42F2" w:rsidRPr="003C289B" w:rsidTr="00BE020B">
        <w:trPr>
          <w:trHeight w:val="401"/>
        </w:trPr>
        <w:tc>
          <w:tcPr>
            <w:tcW w:w="9176" w:type="dxa"/>
            <w:tcBorders>
              <w:top w:val="single" w:sz="4" w:space="0" w:color="FFFFFF" w:themeColor="background1"/>
            </w:tcBorders>
            <w:shd w:val="clear" w:color="auto" w:fill="FFFFFF" w:themeFill="background1"/>
          </w:tcPr>
          <w:p w:rsidR="00BB42F2" w:rsidRPr="0049620D" w:rsidRDefault="00BB42F2" w:rsidP="00BE020B">
            <w:pPr>
              <w:rPr>
                <w:rFonts w:ascii="Times New Roman" w:hAnsi="Times New Roman"/>
                <w:sz w:val="20"/>
                <w:szCs w:val="20"/>
              </w:rPr>
            </w:pPr>
            <w:r>
              <w:rPr>
                <w:rFonts w:ascii="Times New Roman" w:hAnsi="Times New Roman"/>
                <w:sz w:val="20"/>
                <w:szCs w:val="20"/>
              </w:rPr>
              <w:t>Inštitút finančnej politiky Ministerstva financií</w:t>
            </w:r>
            <w:r w:rsidRPr="0049620D">
              <w:rPr>
                <w:rFonts w:ascii="Times New Roman" w:hAnsi="Times New Roman"/>
                <w:sz w:val="20"/>
                <w:szCs w:val="20"/>
              </w:rPr>
              <w:t xml:space="preserve"> Slovenskej republiky</w:t>
            </w:r>
          </w:p>
          <w:p w:rsidR="00BB42F2" w:rsidRDefault="00BB42F2" w:rsidP="00BE020B">
            <w:pPr>
              <w:rPr>
                <w:rFonts w:ascii="Times New Roman" w:hAnsi="Times New Roman"/>
                <w:sz w:val="20"/>
                <w:szCs w:val="20"/>
              </w:rPr>
            </w:pPr>
            <w:r w:rsidRPr="0049620D">
              <w:rPr>
                <w:rFonts w:ascii="Times New Roman" w:hAnsi="Times New Roman"/>
                <w:sz w:val="20"/>
                <w:szCs w:val="20"/>
              </w:rPr>
              <w:t>Finančné riaditeľstvo Slovenskej republiky</w:t>
            </w:r>
          </w:p>
          <w:p w:rsidR="00BB42F2" w:rsidRPr="0049620D" w:rsidRDefault="00BB42F2" w:rsidP="00BE020B">
            <w:pPr>
              <w:rPr>
                <w:rFonts w:ascii="Times New Roman" w:hAnsi="Times New Roman"/>
                <w:b/>
                <w:sz w:val="20"/>
                <w:szCs w:val="20"/>
              </w:rPr>
            </w:pPr>
          </w:p>
        </w:tc>
      </w:tr>
      <w:tr w:rsidR="00BB42F2" w:rsidRPr="003C289B" w:rsidTr="00BE020B">
        <w:tc>
          <w:tcPr>
            <w:tcW w:w="9176" w:type="dxa"/>
            <w:tcBorders>
              <w:bottom w:val="single" w:sz="4" w:space="0" w:color="FFFFFF" w:themeColor="background1"/>
            </w:tcBorders>
            <w:shd w:val="clear" w:color="auto" w:fill="E2E2E2"/>
          </w:tcPr>
          <w:p w:rsidR="00BB42F2" w:rsidRPr="003C289B" w:rsidRDefault="00BB42F2" w:rsidP="00BB42F2">
            <w:pPr>
              <w:pStyle w:val="Odsekzoznamu"/>
              <w:numPr>
                <w:ilvl w:val="0"/>
                <w:numId w:val="16"/>
              </w:numPr>
              <w:spacing w:after="0" w:line="240" w:lineRule="auto"/>
              <w:ind w:left="426"/>
              <w:rPr>
                <w:rFonts w:ascii="Times New Roman" w:hAnsi="Times New Roman"/>
                <w:b/>
              </w:rPr>
            </w:pPr>
            <w:r w:rsidRPr="003C289B">
              <w:rPr>
                <w:rFonts w:ascii="Times New Roman" w:hAnsi="Times New Roman"/>
                <w:b/>
              </w:rPr>
              <w:t>Stanovisko Komisie pre posudzovanie vybraných vplyvov z PPK</w:t>
            </w:r>
          </w:p>
        </w:tc>
      </w:tr>
      <w:tr w:rsidR="00BB42F2" w:rsidRPr="003C289B" w:rsidTr="00BE020B">
        <w:tc>
          <w:tcPr>
            <w:tcW w:w="9176" w:type="dxa"/>
            <w:tcBorders>
              <w:top w:val="single" w:sz="4" w:space="0" w:color="FFFFFF" w:themeColor="background1"/>
            </w:tcBorders>
            <w:shd w:val="clear" w:color="auto" w:fill="FFFFFF" w:themeFill="background1"/>
          </w:tcPr>
          <w:p w:rsidR="00BB42F2" w:rsidRPr="002C4550" w:rsidRDefault="00BB42F2" w:rsidP="00BE020B">
            <w:pPr>
              <w:jc w:val="both"/>
              <w:rPr>
                <w:rFonts w:ascii="Times New Roman" w:hAnsi="Times New Roman"/>
                <w:sz w:val="20"/>
                <w:szCs w:val="20"/>
              </w:rPr>
            </w:pPr>
          </w:p>
          <w:p w:rsidR="00BB42F2" w:rsidRPr="002C4550" w:rsidRDefault="00BB42F2" w:rsidP="00BE020B">
            <w:pPr>
              <w:tabs>
                <w:tab w:val="center" w:pos="6379"/>
              </w:tabs>
              <w:jc w:val="both"/>
              <w:rPr>
                <w:rFonts w:ascii="Times New Roman" w:hAnsi="Times New Roman"/>
                <w:bCs/>
                <w:sz w:val="20"/>
                <w:szCs w:val="20"/>
              </w:rPr>
            </w:pPr>
            <w:r w:rsidRPr="002C4550">
              <w:rPr>
                <w:rFonts w:ascii="Times New Roman" w:hAnsi="Times New Roman"/>
                <w:b/>
                <w:bCs/>
                <w:sz w:val="20"/>
                <w:szCs w:val="20"/>
              </w:rPr>
              <w:t xml:space="preserve">I. Úvod: </w:t>
            </w:r>
            <w:r w:rsidRPr="002C4550">
              <w:rPr>
                <w:rFonts w:ascii="Times New Roman" w:hAnsi="Times New Roman"/>
                <w:bCs/>
                <w:sz w:val="20"/>
                <w:szCs w:val="20"/>
              </w:rPr>
              <w:t xml:space="preserve">Ministerstvo financií </w:t>
            </w:r>
            <w:r w:rsidRPr="002C4550">
              <w:rPr>
                <w:rFonts w:ascii="Times New Roman" w:hAnsi="Times New Roman"/>
                <w:sz w:val="20"/>
                <w:szCs w:val="20"/>
              </w:rPr>
              <w:t>Slovenskej republiky</w:t>
            </w:r>
            <w:r w:rsidRPr="002C4550">
              <w:rPr>
                <w:rFonts w:ascii="Times New Roman" w:hAnsi="Times New Roman"/>
                <w:bCs/>
                <w:sz w:val="20"/>
                <w:szCs w:val="20"/>
              </w:rPr>
              <w:t xml:space="preserve"> dňa 29. júna 2018 predložilo Stálej pracovnej komisii na posudzovanie vybraných vplyvov (ďalej len „Komisia“) na predbežné pripomienkové konanie materiál </w:t>
            </w:r>
            <w:r w:rsidRPr="002C4550">
              <w:rPr>
                <w:rFonts w:ascii="Times New Roman" w:hAnsi="Times New Roman"/>
                <w:bCs/>
                <w:i/>
                <w:sz w:val="20"/>
                <w:szCs w:val="20"/>
              </w:rPr>
              <w:t>„Návrh zákona, ktorým sa mení a dopĺňa zákon č. 98/2004 Z. z. o spotrebnej dani z minerálneho oleja v znení neskorších predpisov a ktorým sa mení a dopĺňa zákon č. 530/2011 Z. z. o spotrebnej dani z alkoholických nápojov v znení neskorších predpisov“</w:t>
            </w:r>
            <w:r w:rsidRPr="002C4550">
              <w:rPr>
                <w:rFonts w:ascii="Times New Roman" w:hAnsi="Times New Roman"/>
                <w:bCs/>
                <w:sz w:val="20"/>
                <w:szCs w:val="20"/>
              </w:rPr>
              <w:t>.</w:t>
            </w:r>
            <w:r w:rsidRPr="002C4550">
              <w:rPr>
                <w:rFonts w:ascii="Times New Roman" w:hAnsi="Times New Roman"/>
                <w:bCs/>
                <w:i/>
                <w:sz w:val="20"/>
                <w:szCs w:val="20"/>
              </w:rPr>
              <w:t xml:space="preserve"> </w:t>
            </w:r>
            <w:r w:rsidRPr="002C4550">
              <w:rPr>
                <w:rFonts w:ascii="Times New Roman" w:hAnsi="Times New Roman"/>
                <w:bCs/>
                <w:sz w:val="20"/>
                <w:szCs w:val="20"/>
              </w:rPr>
              <w:t>Materiál predpokladá pozitívno-negatívne vplyvy na rozpočet verejnej správy, ktoré nie sú rozpočtovo zabezpečené, negatívne vplyvy na podnikateľské prostredie a negatívne vplyvy na informatizáciu.</w:t>
            </w:r>
          </w:p>
          <w:p w:rsidR="00BB42F2" w:rsidRPr="002C4550" w:rsidRDefault="00BB42F2" w:rsidP="00BE020B">
            <w:pPr>
              <w:tabs>
                <w:tab w:val="center" w:pos="6379"/>
              </w:tabs>
              <w:jc w:val="both"/>
              <w:rPr>
                <w:rFonts w:ascii="Times New Roman" w:hAnsi="Times New Roman"/>
                <w:bCs/>
                <w:sz w:val="20"/>
                <w:szCs w:val="20"/>
              </w:rPr>
            </w:pPr>
          </w:p>
          <w:p w:rsidR="00BB42F2" w:rsidRPr="002C4550" w:rsidRDefault="00BB42F2" w:rsidP="00BE020B">
            <w:pPr>
              <w:tabs>
                <w:tab w:val="center" w:pos="6379"/>
              </w:tabs>
              <w:jc w:val="both"/>
              <w:rPr>
                <w:rFonts w:ascii="Times New Roman" w:hAnsi="Times New Roman"/>
                <w:bCs/>
                <w:sz w:val="20"/>
                <w:szCs w:val="20"/>
              </w:rPr>
            </w:pPr>
            <w:r w:rsidRPr="002C4550">
              <w:rPr>
                <w:rFonts w:ascii="Times New Roman" w:hAnsi="Times New Roman"/>
                <w:b/>
                <w:bCs/>
                <w:sz w:val="20"/>
                <w:szCs w:val="20"/>
              </w:rPr>
              <w:t>II. P</w:t>
            </w:r>
            <w:r w:rsidRPr="002C4550">
              <w:rPr>
                <w:rFonts w:ascii="Times New Roman" w:hAnsi="Times New Roman"/>
                <w:b/>
                <w:sz w:val="20"/>
                <w:szCs w:val="20"/>
              </w:rPr>
              <w:t>r</w:t>
            </w:r>
            <w:r w:rsidRPr="002C4550">
              <w:rPr>
                <w:rFonts w:ascii="Times New Roman" w:hAnsi="Times New Roman"/>
                <w:b/>
                <w:bCs/>
                <w:sz w:val="20"/>
                <w:szCs w:val="20"/>
              </w:rPr>
              <w:t>ipomienky a návrhy zm</w:t>
            </w:r>
            <w:r w:rsidRPr="002C4550">
              <w:rPr>
                <w:rFonts w:ascii="Times New Roman" w:hAnsi="Times New Roman"/>
                <w:b/>
                <w:sz w:val="20"/>
                <w:szCs w:val="20"/>
              </w:rPr>
              <w:t>ie</w:t>
            </w:r>
            <w:r w:rsidRPr="002C4550">
              <w:rPr>
                <w:rFonts w:ascii="Times New Roman" w:hAnsi="Times New Roman"/>
                <w:b/>
                <w:bCs/>
                <w:sz w:val="20"/>
                <w:szCs w:val="20"/>
              </w:rPr>
              <w:t xml:space="preserve">n: </w:t>
            </w:r>
            <w:r w:rsidRPr="002C4550">
              <w:rPr>
                <w:rFonts w:ascii="Times New Roman" w:hAnsi="Times New Roman"/>
                <w:bCs/>
                <w:sz w:val="20"/>
                <w:szCs w:val="20"/>
              </w:rPr>
              <w:t>Komisia uplatňuje k materiálu nasledovné pripomienky a odporúčania:</w:t>
            </w:r>
          </w:p>
          <w:p w:rsidR="00BB42F2" w:rsidRPr="002C4550" w:rsidRDefault="00BB42F2" w:rsidP="00BE020B">
            <w:pPr>
              <w:tabs>
                <w:tab w:val="center" w:pos="6379"/>
              </w:tabs>
              <w:jc w:val="both"/>
              <w:rPr>
                <w:rFonts w:ascii="Times New Roman" w:hAnsi="Times New Roman"/>
                <w:bCs/>
                <w:sz w:val="20"/>
                <w:szCs w:val="20"/>
              </w:rPr>
            </w:pPr>
          </w:p>
          <w:p w:rsidR="00BB42F2" w:rsidRPr="002C4550" w:rsidRDefault="00BB42F2" w:rsidP="00BE020B">
            <w:pPr>
              <w:jc w:val="both"/>
              <w:rPr>
                <w:rFonts w:ascii="Times New Roman" w:hAnsi="Times New Roman"/>
                <w:b/>
                <w:bCs/>
                <w:sz w:val="20"/>
                <w:szCs w:val="20"/>
              </w:rPr>
            </w:pPr>
            <w:r w:rsidRPr="002C4550">
              <w:rPr>
                <w:rFonts w:ascii="Times New Roman" w:hAnsi="Times New Roman"/>
                <w:b/>
                <w:bCs/>
                <w:sz w:val="20"/>
                <w:szCs w:val="20"/>
              </w:rPr>
              <w:t>K doložke vybraných vplyvov a vplyvom na rozpočet verejnej správy</w:t>
            </w:r>
          </w:p>
          <w:p w:rsidR="00BB42F2" w:rsidRPr="002C4550" w:rsidRDefault="00BB42F2" w:rsidP="00BE020B">
            <w:pPr>
              <w:jc w:val="both"/>
              <w:rPr>
                <w:rFonts w:ascii="Times New Roman" w:hAnsi="Times New Roman"/>
                <w:bCs/>
                <w:sz w:val="20"/>
                <w:szCs w:val="20"/>
              </w:rPr>
            </w:pPr>
            <w:r w:rsidRPr="002C4550">
              <w:rPr>
                <w:rFonts w:ascii="Times New Roman" w:hAnsi="Times New Roman"/>
                <w:bCs/>
                <w:sz w:val="20"/>
                <w:szCs w:val="20"/>
              </w:rPr>
              <w:t>K predloženému návrhu sú vypracované dve doložky vybraných vplyvov a dve analýzy vplyvov, a to osobitne k čl. I a k čl. II. Z obidvoch doložiek a analýz vyplývajú pozitívne a negatívne vplyvy. Negatívne vplyvy nie  sú rozpočtovo zabezpečené. V súlade s Jednotnou metodikou na posudzovanie vybraných vplyvov žiada Komisia k predloženému materiálu vypracovať jednu doložku vybraných vplyvov a jednu analýzu vplyvov na rozpočet verejnej správy. Podľa jednotlivých článkov žiada Komisia informácie analyticky uviesť v časti „2.2.4. Výpočty vplyvov na verejné financie“. Komisia tiež žiada, aby kapitola MF SR zabezpečila financovanie návrhu v rámci stanovených limitov na príslušný rozpočtový rok. Doložku a analýzu vplyvov je potrebné vypracovať tak, aby z nich nevyplýval rozpočtovo nekrytý vplyv.</w:t>
            </w:r>
          </w:p>
          <w:p w:rsidR="00BB42F2" w:rsidRPr="002C4550" w:rsidRDefault="00BB42F2" w:rsidP="00BE020B">
            <w:pPr>
              <w:jc w:val="both"/>
              <w:rPr>
                <w:rFonts w:ascii="Times New Roman" w:hAnsi="Times New Roman"/>
                <w:bCs/>
                <w:sz w:val="20"/>
                <w:szCs w:val="20"/>
              </w:rPr>
            </w:pPr>
          </w:p>
          <w:p w:rsidR="00BB42F2" w:rsidRPr="002C4550" w:rsidRDefault="00BB42F2" w:rsidP="00BE020B">
            <w:pPr>
              <w:rPr>
                <w:rFonts w:ascii="Times New Roman" w:hAnsi="Times New Roman"/>
                <w:b/>
                <w:bCs/>
                <w:sz w:val="20"/>
                <w:szCs w:val="20"/>
              </w:rPr>
            </w:pPr>
            <w:r w:rsidRPr="002C4550">
              <w:rPr>
                <w:rFonts w:ascii="Times New Roman" w:hAnsi="Times New Roman"/>
                <w:b/>
                <w:bCs/>
                <w:sz w:val="20"/>
                <w:szCs w:val="20"/>
              </w:rPr>
              <w:t>K vplyvom na informatizáciu spoločnosti</w:t>
            </w:r>
          </w:p>
          <w:p w:rsidR="00BB42F2" w:rsidRPr="002C4550" w:rsidRDefault="00BB42F2" w:rsidP="00BE020B">
            <w:pPr>
              <w:jc w:val="both"/>
              <w:rPr>
                <w:rFonts w:ascii="Times New Roman" w:hAnsi="Times New Roman"/>
                <w:bCs/>
                <w:sz w:val="20"/>
                <w:szCs w:val="20"/>
              </w:rPr>
            </w:pPr>
            <w:r w:rsidRPr="002C4550">
              <w:rPr>
                <w:rFonts w:ascii="Times New Roman" w:hAnsi="Times New Roman"/>
                <w:bCs/>
                <w:sz w:val="20"/>
                <w:szCs w:val="20"/>
              </w:rPr>
              <w:t xml:space="preserve">Komisia nesúhlasí s tým, že materiál nepredpokladá žiadne vplyvy na informatizáciu. Zverejňovanie informácií na webovom sídle sa považuje za službu (platí pre Čl. I.) a vytváranie/rozširovanie registrov (informačných systémov, platí pre Čl. I. aj II.) znamená vplyv na informatizáciu. Táto skutočnosť musí byť premietnutá do doložky vplyvov ako pozitívny vplyv na informatizáciu spoločnosti a následne vypracovaná analýza vplyvov. </w:t>
            </w:r>
          </w:p>
          <w:p w:rsidR="00BB42F2" w:rsidRPr="002C4550" w:rsidRDefault="00BB42F2" w:rsidP="00BE020B">
            <w:pPr>
              <w:jc w:val="both"/>
              <w:rPr>
                <w:rFonts w:ascii="Times New Roman" w:hAnsi="Times New Roman"/>
                <w:bCs/>
                <w:sz w:val="20"/>
                <w:szCs w:val="20"/>
              </w:rPr>
            </w:pPr>
          </w:p>
          <w:p w:rsidR="00BB42F2" w:rsidRPr="002C4550" w:rsidRDefault="00BB42F2" w:rsidP="00BE020B">
            <w:pPr>
              <w:jc w:val="both"/>
              <w:rPr>
                <w:rFonts w:ascii="Times New Roman" w:hAnsi="Times New Roman"/>
                <w:b/>
                <w:bCs/>
                <w:sz w:val="20"/>
                <w:szCs w:val="20"/>
              </w:rPr>
            </w:pPr>
            <w:r w:rsidRPr="002C4550">
              <w:rPr>
                <w:rFonts w:ascii="Times New Roman" w:hAnsi="Times New Roman"/>
                <w:b/>
                <w:bCs/>
                <w:sz w:val="20"/>
                <w:szCs w:val="20"/>
              </w:rPr>
              <w:t>K vplyvom na podnikateľské prostredie</w:t>
            </w:r>
          </w:p>
          <w:p w:rsidR="00BB42F2" w:rsidRPr="002C4550" w:rsidRDefault="00BB42F2" w:rsidP="00BE020B">
            <w:pPr>
              <w:jc w:val="both"/>
              <w:rPr>
                <w:rFonts w:ascii="Times New Roman" w:hAnsi="Times New Roman"/>
                <w:bCs/>
                <w:sz w:val="20"/>
                <w:szCs w:val="20"/>
              </w:rPr>
            </w:pPr>
          </w:p>
          <w:p w:rsidR="00BB42F2" w:rsidRPr="002C4550" w:rsidRDefault="00BB42F2" w:rsidP="00BE020B">
            <w:pPr>
              <w:jc w:val="both"/>
              <w:rPr>
                <w:rFonts w:ascii="Times New Roman" w:hAnsi="Times New Roman"/>
                <w:bCs/>
                <w:sz w:val="20"/>
                <w:szCs w:val="20"/>
                <w:u w:val="single"/>
              </w:rPr>
            </w:pPr>
            <w:r w:rsidRPr="002C4550">
              <w:rPr>
                <w:rFonts w:ascii="Times New Roman" w:hAnsi="Times New Roman"/>
                <w:bCs/>
                <w:sz w:val="20"/>
                <w:szCs w:val="20"/>
                <w:u w:val="single"/>
              </w:rPr>
              <w:t>K doložke k čl. I.</w:t>
            </w:r>
          </w:p>
          <w:p w:rsidR="00BB42F2" w:rsidRPr="002C4550" w:rsidRDefault="00BB42F2" w:rsidP="00BE020B">
            <w:pPr>
              <w:jc w:val="both"/>
              <w:rPr>
                <w:rFonts w:ascii="Times New Roman" w:hAnsi="Times New Roman"/>
                <w:bCs/>
                <w:sz w:val="20"/>
                <w:szCs w:val="20"/>
              </w:rPr>
            </w:pPr>
            <w:r w:rsidRPr="002C4550">
              <w:rPr>
                <w:rFonts w:ascii="Times New Roman" w:hAnsi="Times New Roman"/>
                <w:bCs/>
                <w:sz w:val="20"/>
                <w:szCs w:val="20"/>
              </w:rPr>
              <w:t xml:space="preserve">Náklady súvisiace s povinnosťou označovania pohonných látok identifikačnou látkou a s tým súvisiaca povinnosť výkonu laboratórnych testov predstavujú nepriame a nie priame finančné náklady. Komisia odporúča </w:t>
            </w:r>
            <w:r w:rsidRPr="002C4550">
              <w:rPr>
                <w:rFonts w:ascii="Times New Roman" w:hAnsi="Times New Roman"/>
                <w:bCs/>
                <w:sz w:val="20"/>
                <w:szCs w:val="20"/>
              </w:rPr>
              <w:lastRenderedPageBreak/>
              <w:t>predkladateľovi vyňatie ich popisu z priamych finančných nákladov (kam patria náklady typu poplatky, dane, clá, a pod.) a umiestnenie do časti „3.3.2 Nepriame finančné náklady“.</w:t>
            </w:r>
          </w:p>
          <w:p w:rsidR="00BB42F2" w:rsidRPr="002C4550" w:rsidRDefault="00BB42F2" w:rsidP="00BE020B">
            <w:pPr>
              <w:jc w:val="both"/>
              <w:rPr>
                <w:rFonts w:ascii="Times New Roman" w:hAnsi="Times New Roman"/>
                <w:bCs/>
                <w:sz w:val="20"/>
                <w:szCs w:val="20"/>
              </w:rPr>
            </w:pPr>
            <w:r w:rsidRPr="002C4550">
              <w:rPr>
                <w:rFonts w:ascii="Times New Roman" w:hAnsi="Times New Roman"/>
                <w:bCs/>
                <w:sz w:val="20"/>
                <w:szCs w:val="20"/>
              </w:rPr>
              <w:t>Komisia má za to, že ak predkladateľ disponuje počtom registrovaných subjektov a identifikoval jednotkovú cenu povinnosti na 1000 l, v kvantifikácii by mal smerovať k vyčísleniu dopadov na všetky dotknuté podnikateľské subjekty a vynásobiť tak jednotkovú cenu povinnosti počtom litrov minerálneho oleja, ktoré relevantné podnikateľské subjekty uviedli za posledný kalendárny rok na daňovom území do daňového voľného obehu.</w:t>
            </w:r>
          </w:p>
          <w:p w:rsidR="00BB42F2" w:rsidRPr="002C4550" w:rsidRDefault="00BB42F2" w:rsidP="00BE020B">
            <w:pPr>
              <w:jc w:val="both"/>
              <w:rPr>
                <w:rFonts w:ascii="Times New Roman" w:hAnsi="Times New Roman"/>
                <w:bCs/>
                <w:sz w:val="20"/>
                <w:szCs w:val="20"/>
              </w:rPr>
            </w:pPr>
          </w:p>
          <w:p w:rsidR="00BB42F2" w:rsidRPr="002C4550" w:rsidRDefault="00BB42F2" w:rsidP="00BE020B">
            <w:pPr>
              <w:jc w:val="both"/>
              <w:rPr>
                <w:rFonts w:ascii="Times New Roman" w:hAnsi="Times New Roman"/>
                <w:bCs/>
                <w:sz w:val="20"/>
                <w:szCs w:val="20"/>
              </w:rPr>
            </w:pPr>
            <w:r w:rsidRPr="002C4550">
              <w:rPr>
                <w:rFonts w:ascii="Times New Roman" w:hAnsi="Times New Roman"/>
                <w:bCs/>
                <w:sz w:val="20"/>
                <w:szCs w:val="20"/>
              </w:rPr>
              <w:t>Komisia zároveň žiada predkladateľa o identifikáciu počtu MSP z radu dotknutých podnikateľských subjektov.</w:t>
            </w:r>
          </w:p>
          <w:p w:rsidR="00BB42F2" w:rsidRPr="002C4550" w:rsidRDefault="00BB42F2" w:rsidP="00BE020B">
            <w:pPr>
              <w:jc w:val="both"/>
              <w:rPr>
                <w:rFonts w:ascii="Times New Roman" w:hAnsi="Times New Roman"/>
                <w:bCs/>
                <w:sz w:val="20"/>
                <w:szCs w:val="20"/>
                <w:u w:val="single"/>
              </w:rPr>
            </w:pPr>
            <w:r w:rsidRPr="002C4550">
              <w:rPr>
                <w:rFonts w:ascii="Times New Roman" w:hAnsi="Times New Roman"/>
                <w:bCs/>
                <w:sz w:val="20"/>
                <w:szCs w:val="20"/>
                <w:u w:val="single"/>
              </w:rPr>
              <w:t>K doložke k čl. II.</w:t>
            </w:r>
          </w:p>
          <w:p w:rsidR="00BB42F2" w:rsidRPr="002C4550" w:rsidRDefault="00BB42F2" w:rsidP="00BE020B">
            <w:pPr>
              <w:jc w:val="both"/>
              <w:rPr>
                <w:rFonts w:ascii="Times New Roman" w:hAnsi="Times New Roman"/>
                <w:bCs/>
                <w:sz w:val="20"/>
                <w:szCs w:val="20"/>
              </w:rPr>
            </w:pPr>
            <w:r w:rsidRPr="002C4550">
              <w:rPr>
                <w:rFonts w:ascii="Times New Roman" w:hAnsi="Times New Roman"/>
                <w:bCs/>
                <w:sz w:val="20"/>
                <w:szCs w:val="20"/>
              </w:rPr>
              <w:t xml:space="preserve">Náklady súvisiace so zrušením oslobodenia alkoholického nápoja od spotrebnej dane, ak je určený na výrobu a prípravu výživových doplnkov žiada Komisia predkladateľa uviesť v časti „3.3.4 Súhrnná tabuľka nákladov regulácie“ a neuvádzať „0“, ak predkladateľ zároveň uvádza, že „Predpokladá sa zvýšenie priamych finančných nákladov v súvislosti so zavedením zdanenia výživových doplnkov s obsahom alkoholického nápoja, a to vo výške daňových príjmov uvedených v tabuľke č. 3“. Ak dokáže predkladateľ vyčísliť príjmy štátneho rozpočtu, mal by rovnako vyznačil náklady v eurách na podnikateľské prostredie. </w:t>
            </w:r>
          </w:p>
          <w:p w:rsidR="00BB42F2" w:rsidRPr="002C4550" w:rsidRDefault="00BB42F2" w:rsidP="00BE020B">
            <w:pPr>
              <w:jc w:val="both"/>
              <w:rPr>
                <w:rFonts w:ascii="Times New Roman" w:hAnsi="Times New Roman"/>
                <w:bCs/>
                <w:sz w:val="20"/>
                <w:szCs w:val="20"/>
              </w:rPr>
            </w:pPr>
          </w:p>
          <w:p w:rsidR="00BB42F2" w:rsidRPr="002C4550" w:rsidRDefault="00BB42F2" w:rsidP="00BE020B">
            <w:pPr>
              <w:jc w:val="both"/>
              <w:rPr>
                <w:rFonts w:ascii="Times New Roman" w:hAnsi="Times New Roman"/>
                <w:bCs/>
                <w:sz w:val="20"/>
                <w:szCs w:val="20"/>
              </w:rPr>
            </w:pPr>
            <w:r w:rsidRPr="002C4550">
              <w:rPr>
                <w:rFonts w:ascii="Times New Roman" w:hAnsi="Times New Roman"/>
                <w:b/>
                <w:bCs/>
                <w:sz w:val="20"/>
                <w:szCs w:val="20"/>
              </w:rPr>
              <w:t xml:space="preserve">III. Záver: </w:t>
            </w:r>
            <w:r w:rsidRPr="002C4550">
              <w:rPr>
                <w:rFonts w:ascii="Times New Roman" w:hAnsi="Times New Roman"/>
                <w:bCs/>
                <w:sz w:val="20"/>
                <w:szCs w:val="20"/>
              </w:rPr>
              <w:t xml:space="preserve">Stála pracovná komisia na posudzovanie vybraných vplyvov vyjadruje </w:t>
            </w:r>
          </w:p>
          <w:p w:rsidR="00BB42F2" w:rsidRPr="002C4550" w:rsidRDefault="00BB42F2" w:rsidP="00BE020B">
            <w:pPr>
              <w:tabs>
                <w:tab w:val="center" w:pos="6379"/>
              </w:tabs>
              <w:jc w:val="both"/>
              <w:rPr>
                <w:rFonts w:ascii="Times New Roman" w:hAnsi="Times New Roman"/>
                <w:bCs/>
                <w:sz w:val="20"/>
                <w:szCs w:val="20"/>
              </w:rPr>
            </w:pPr>
          </w:p>
          <w:p w:rsidR="00BB42F2" w:rsidRPr="002C4550" w:rsidRDefault="00BB42F2" w:rsidP="00BE020B">
            <w:pPr>
              <w:tabs>
                <w:tab w:val="center" w:pos="6379"/>
              </w:tabs>
              <w:jc w:val="center"/>
              <w:rPr>
                <w:rFonts w:ascii="Times New Roman" w:hAnsi="Times New Roman"/>
                <w:b/>
                <w:bCs/>
                <w:sz w:val="20"/>
                <w:szCs w:val="20"/>
              </w:rPr>
            </w:pPr>
            <w:r w:rsidRPr="002C4550">
              <w:rPr>
                <w:rFonts w:ascii="Times New Roman" w:hAnsi="Times New Roman"/>
                <w:b/>
                <w:bCs/>
                <w:sz w:val="20"/>
                <w:szCs w:val="20"/>
              </w:rPr>
              <w:t>nesúhlasné stanovisko</w:t>
            </w:r>
          </w:p>
          <w:p w:rsidR="00BB42F2" w:rsidRPr="002C4550" w:rsidRDefault="00BB42F2" w:rsidP="00BE020B">
            <w:pPr>
              <w:tabs>
                <w:tab w:val="center" w:pos="6379"/>
              </w:tabs>
              <w:jc w:val="both"/>
              <w:rPr>
                <w:rFonts w:ascii="Times New Roman" w:hAnsi="Times New Roman"/>
                <w:bCs/>
                <w:sz w:val="20"/>
                <w:szCs w:val="20"/>
              </w:rPr>
            </w:pPr>
          </w:p>
          <w:p w:rsidR="00BB42F2" w:rsidRPr="002C4550" w:rsidRDefault="00BB42F2" w:rsidP="00BE020B">
            <w:pPr>
              <w:tabs>
                <w:tab w:val="center" w:pos="6379"/>
              </w:tabs>
              <w:jc w:val="both"/>
              <w:rPr>
                <w:rFonts w:ascii="Times New Roman" w:hAnsi="Times New Roman"/>
                <w:b/>
                <w:bCs/>
                <w:sz w:val="20"/>
                <w:szCs w:val="20"/>
              </w:rPr>
            </w:pPr>
            <w:r w:rsidRPr="002C4550">
              <w:rPr>
                <w:rFonts w:ascii="Times New Roman" w:hAnsi="Times New Roman"/>
                <w:bCs/>
                <w:sz w:val="20"/>
                <w:szCs w:val="20"/>
              </w:rPr>
              <w:t>s materiálom predloženým na predbežné pripomienkové konanie s odporúčaním na jeho dopracovanie podľa pripomienok v bode II.</w:t>
            </w:r>
          </w:p>
          <w:p w:rsidR="00BB42F2" w:rsidRDefault="00BB42F2" w:rsidP="00BE020B">
            <w:pPr>
              <w:tabs>
                <w:tab w:val="center" w:pos="6379"/>
              </w:tabs>
              <w:jc w:val="both"/>
              <w:rPr>
                <w:rFonts w:ascii="Times New Roman" w:hAnsi="Times New Roman"/>
                <w:bCs/>
                <w:sz w:val="20"/>
                <w:szCs w:val="20"/>
              </w:rPr>
            </w:pPr>
          </w:p>
          <w:p w:rsidR="00BB42F2" w:rsidRDefault="00BB42F2" w:rsidP="00BE020B">
            <w:pPr>
              <w:tabs>
                <w:tab w:val="center" w:pos="6379"/>
              </w:tabs>
              <w:jc w:val="both"/>
              <w:rPr>
                <w:rFonts w:ascii="Times New Roman" w:hAnsi="Times New Roman"/>
                <w:bCs/>
                <w:sz w:val="20"/>
                <w:szCs w:val="20"/>
              </w:rPr>
            </w:pPr>
          </w:p>
          <w:p w:rsidR="00BB42F2" w:rsidRPr="00FA4569" w:rsidRDefault="00BB42F2" w:rsidP="00BE020B">
            <w:pPr>
              <w:tabs>
                <w:tab w:val="center" w:pos="6379"/>
              </w:tabs>
              <w:jc w:val="both"/>
              <w:rPr>
                <w:rFonts w:ascii="Times New Roman" w:hAnsi="Times New Roman"/>
                <w:b/>
                <w:bCs/>
                <w:sz w:val="20"/>
                <w:szCs w:val="20"/>
              </w:rPr>
            </w:pPr>
            <w:r w:rsidRPr="00FA4569">
              <w:rPr>
                <w:rFonts w:ascii="Times New Roman" w:hAnsi="Times New Roman"/>
                <w:b/>
                <w:bCs/>
                <w:sz w:val="20"/>
                <w:szCs w:val="20"/>
              </w:rPr>
              <w:t>Stanovisko predkladateľa návrhu zákona</w:t>
            </w:r>
          </w:p>
          <w:p w:rsidR="00BB42F2" w:rsidRPr="00FA4569" w:rsidRDefault="00BB42F2" w:rsidP="00BE020B">
            <w:pPr>
              <w:tabs>
                <w:tab w:val="center" w:pos="6379"/>
              </w:tabs>
              <w:jc w:val="both"/>
              <w:rPr>
                <w:rFonts w:ascii="Times New Roman" w:hAnsi="Times New Roman"/>
                <w:bCs/>
                <w:sz w:val="20"/>
                <w:szCs w:val="20"/>
              </w:rPr>
            </w:pPr>
          </w:p>
          <w:p w:rsidR="00BB42F2" w:rsidRPr="003C289B" w:rsidRDefault="00BB42F2" w:rsidP="00BE020B">
            <w:pPr>
              <w:jc w:val="both"/>
              <w:rPr>
                <w:rFonts w:ascii="Times New Roman" w:hAnsi="Times New Roman"/>
                <w:b/>
              </w:rPr>
            </w:pPr>
            <w:r w:rsidRPr="0034037E">
              <w:rPr>
                <w:rFonts w:ascii="Times New Roman" w:hAnsi="Times New Roman"/>
                <w:bCs/>
                <w:sz w:val="20"/>
                <w:szCs w:val="20"/>
              </w:rPr>
              <w:t>Predkladateľ návrhu zákona na základe pripomienok Stálej pracovnej komisie Legislatívnej rady vlády Slovenskej republiky pre posudzovanie vybraných vplyvov vypracoval jednu spoločnú doložku vybraných vplyvov pre všetky články návrhu zákona, doplnil</w:t>
            </w:r>
            <w:r>
              <w:rPr>
                <w:rFonts w:ascii="Times New Roman" w:hAnsi="Times New Roman"/>
                <w:bCs/>
                <w:sz w:val="20"/>
                <w:szCs w:val="20"/>
              </w:rPr>
              <w:t xml:space="preserve"> požadovanú</w:t>
            </w:r>
            <w:r w:rsidRPr="0034037E">
              <w:rPr>
                <w:rFonts w:ascii="Times New Roman" w:hAnsi="Times New Roman"/>
                <w:bCs/>
                <w:sz w:val="20"/>
                <w:szCs w:val="20"/>
              </w:rPr>
              <w:t xml:space="preserve"> analýzu vplyvov na informatizáciu spoločnosti</w:t>
            </w:r>
            <w:r>
              <w:rPr>
                <w:rFonts w:ascii="Times New Roman" w:hAnsi="Times New Roman"/>
                <w:bCs/>
                <w:sz w:val="20"/>
                <w:szCs w:val="20"/>
              </w:rPr>
              <w:t xml:space="preserve"> a </w:t>
            </w:r>
            <w:r w:rsidRPr="0034037E">
              <w:rPr>
                <w:rFonts w:ascii="Times New Roman" w:hAnsi="Times New Roman"/>
                <w:bCs/>
                <w:sz w:val="20"/>
                <w:szCs w:val="20"/>
              </w:rPr>
              <w:t xml:space="preserve">upravil </w:t>
            </w:r>
            <w:r>
              <w:rPr>
                <w:rFonts w:ascii="Times New Roman" w:hAnsi="Times New Roman"/>
                <w:sz w:val="20"/>
                <w:szCs w:val="20"/>
              </w:rPr>
              <w:t>analýzu</w:t>
            </w:r>
            <w:r w:rsidRPr="0034037E">
              <w:rPr>
                <w:rFonts w:ascii="Times New Roman" w:hAnsi="Times New Roman"/>
                <w:sz w:val="20"/>
                <w:szCs w:val="20"/>
              </w:rPr>
              <w:t xml:space="preserve"> vpl</w:t>
            </w:r>
            <w:r>
              <w:rPr>
                <w:rFonts w:ascii="Times New Roman" w:hAnsi="Times New Roman"/>
                <w:sz w:val="20"/>
                <w:szCs w:val="20"/>
              </w:rPr>
              <w:t>yvov na podnikateľské prostredie.</w:t>
            </w:r>
          </w:p>
          <w:p w:rsidR="00BB42F2" w:rsidRPr="00FA4569" w:rsidRDefault="00BB42F2" w:rsidP="00BE020B">
            <w:pPr>
              <w:jc w:val="both"/>
              <w:rPr>
                <w:rFonts w:ascii="Times New Roman" w:hAnsi="Times New Roman"/>
                <w:sz w:val="20"/>
                <w:szCs w:val="20"/>
              </w:rPr>
            </w:pPr>
          </w:p>
          <w:p w:rsidR="00BB42F2" w:rsidRPr="003C289B" w:rsidRDefault="00BB42F2" w:rsidP="00BE020B">
            <w:pPr>
              <w:jc w:val="both"/>
              <w:rPr>
                <w:rFonts w:ascii="Times New Roman" w:hAnsi="Times New Roman"/>
              </w:rPr>
            </w:pPr>
          </w:p>
        </w:tc>
      </w:tr>
    </w:tbl>
    <w:p w:rsidR="00BB42F2" w:rsidRDefault="00BB42F2" w:rsidP="00BB42F2">
      <w:pPr>
        <w:jc w:val="both"/>
        <w:rPr>
          <w:bCs/>
        </w:rPr>
      </w:pPr>
    </w:p>
    <w:p w:rsidR="00BB42F2" w:rsidRDefault="00BB42F2" w:rsidP="00BB42F2">
      <w:pPr>
        <w:jc w:val="both"/>
        <w:rPr>
          <w:bCs/>
        </w:rPr>
      </w:pPr>
    </w:p>
    <w:p w:rsidR="00BB42F2" w:rsidRDefault="00BB42F2" w:rsidP="00BB42F2">
      <w:pPr>
        <w:jc w:val="both"/>
        <w:rPr>
          <w:bCs/>
        </w:rPr>
      </w:pPr>
    </w:p>
    <w:p w:rsidR="00BB42F2" w:rsidRDefault="00BB42F2" w:rsidP="00BB42F2">
      <w:pPr>
        <w:jc w:val="both"/>
        <w:rPr>
          <w:bCs/>
        </w:rPr>
      </w:pPr>
    </w:p>
    <w:p w:rsidR="00BB42F2" w:rsidRDefault="00BB42F2" w:rsidP="00BB42F2">
      <w:pPr>
        <w:jc w:val="both"/>
        <w:rPr>
          <w:bCs/>
        </w:rPr>
      </w:pPr>
    </w:p>
    <w:p w:rsidR="00BB42F2" w:rsidRDefault="00BB42F2" w:rsidP="00BB42F2">
      <w:pPr>
        <w:jc w:val="both"/>
        <w:rPr>
          <w:bCs/>
        </w:rPr>
      </w:pPr>
    </w:p>
    <w:p w:rsidR="00BB42F2" w:rsidRDefault="00BB42F2" w:rsidP="00BB42F2">
      <w:pPr>
        <w:jc w:val="both"/>
        <w:rPr>
          <w:bCs/>
        </w:rPr>
      </w:pPr>
    </w:p>
    <w:p w:rsidR="00BB42F2" w:rsidRDefault="00BB42F2" w:rsidP="00BB42F2">
      <w:pPr>
        <w:jc w:val="both"/>
        <w:rPr>
          <w:bCs/>
        </w:rPr>
      </w:pPr>
    </w:p>
    <w:p w:rsidR="00BB42F2" w:rsidRDefault="00BB42F2" w:rsidP="00BB42F2">
      <w:pPr>
        <w:jc w:val="both"/>
        <w:rPr>
          <w:bCs/>
        </w:rPr>
      </w:pPr>
    </w:p>
    <w:p w:rsidR="00BB42F2" w:rsidRDefault="00BB42F2" w:rsidP="00BB42F2">
      <w:pPr>
        <w:jc w:val="both"/>
        <w:rPr>
          <w:bCs/>
        </w:rPr>
      </w:pPr>
    </w:p>
    <w:p w:rsidR="00BB42F2" w:rsidRDefault="00BB42F2" w:rsidP="00BB42F2">
      <w:pPr>
        <w:jc w:val="both"/>
        <w:rPr>
          <w:bCs/>
        </w:rPr>
      </w:pPr>
    </w:p>
    <w:p w:rsidR="00BB42F2" w:rsidRDefault="00BB42F2" w:rsidP="00BB42F2">
      <w:pPr>
        <w:jc w:val="both"/>
        <w:rPr>
          <w:bCs/>
        </w:rPr>
      </w:pPr>
    </w:p>
    <w:p w:rsidR="00BB42F2" w:rsidRDefault="00BB42F2" w:rsidP="00BB42F2">
      <w:pPr>
        <w:jc w:val="both"/>
        <w:rPr>
          <w:bCs/>
        </w:rPr>
      </w:pPr>
    </w:p>
    <w:p w:rsidR="00BB42F2" w:rsidRDefault="00BB42F2" w:rsidP="00BB42F2">
      <w:pPr>
        <w:jc w:val="both"/>
        <w:rPr>
          <w:bCs/>
        </w:rPr>
      </w:pPr>
    </w:p>
    <w:p w:rsidR="00BB42F2" w:rsidRDefault="00BB42F2" w:rsidP="00BB42F2">
      <w:pPr>
        <w:jc w:val="both"/>
        <w:rPr>
          <w:bCs/>
        </w:rPr>
      </w:pPr>
    </w:p>
    <w:p w:rsidR="00BB42F2" w:rsidRDefault="00BB42F2" w:rsidP="00BB42F2">
      <w:pPr>
        <w:jc w:val="both"/>
        <w:rPr>
          <w:bCs/>
        </w:rPr>
      </w:pPr>
    </w:p>
    <w:p w:rsidR="00BB42F2" w:rsidRDefault="00BB42F2" w:rsidP="00BB42F2">
      <w:pPr>
        <w:jc w:val="both"/>
        <w:rPr>
          <w:bCs/>
        </w:rPr>
      </w:pPr>
    </w:p>
    <w:p w:rsidR="00BB42F2" w:rsidRDefault="00BB42F2" w:rsidP="00BB42F2">
      <w:pPr>
        <w:jc w:val="both"/>
        <w:rPr>
          <w:bCs/>
        </w:rPr>
      </w:pPr>
    </w:p>
    <w:p w:rsidR="00BB42F2" w:rsidRDefault="00BB42F2" w:rsidP="00BB42F2">
      <w:pPr>
        <w:jc w:val="both"/>
        <w:rPr>
          <w:bCs/>
        </w:rPr>
      </w:pPr>
    </w:p>
    <w:p w:rsidR="00BB42F2" w:rsidRDefault="00BB42F2" w:rsidP="00BB42F2">
      <w:pPr>
        <w:jc w:val="both"/>
        <w:rPr>
          <w:bCs/>
        </w:rPr>
      </w:pPr>
    </w:p>
    <w:p w:rsidR="00BB42F2" w:rsidRDefault="00BB42F2" w:rsidP="00BB42F2">
      <w:pPr>
        <w:jc w:val="both"/>
        <w:rPr>
          <w:bCs/>
        </w:rPr>
      </w:pPr>
    </w:p>
    <w:p w:rsidR="00BB42F2" w:rsidRDefault="00BB42F2" w:rsidP="00BB42F2">
      <w:pPr>
        <w:jc w:val="both"/>
        <w:rPr>
          <w:bCs/>
        </w:rPr>
      </w:pPr>
    </w:p>
    <w:p w:rsidR="00BB42F2" w:rsidRDefault="00BB42F2" w:rsidP="00BB42F2">
      <w:pPr>
        <w:jc w:val="both"/>
        <w:rPr>
          <w:bCs/>
        </w:rPr>
      </w:pPr>
    </w:p>
    <w:p w:rsidR="00A409CB" w:rsidRDefault="00A409CB" w:rsidP="00BB42F2">
      <w:pPr>
        <w:jc w:val="both"/>
        <w:rPr>
          <w:bCs/>
        </w:rPr>
      </w:pPr>
    </w:p>
    <w:p w:rsidR="00BB42F2" w:rsidRDefault="00BB42F2" w:rsidP="00BB42F2">
      <w:pPr>
        <w:jc w:val="both"/>
        <w:rPr>
          <w:bCs/>
        </w:rPr>
      </w:pPr>
    </w:p>
    <w:p w:rsidR="00BB42F2" w:rsidRPr="003C289B" w:rsidRDefault="00BB42F2" w:rsidP="00BB42F2">
      <w:pPr>
        <w:jc w:val="center"/>
        <w:rPr>
          <w:b/>
          <w:bCs/>
          <w:sz w:val="28"/>
          <w:szCs w:val="28"/>
        </w:rPr>
      </w:pPr>
      <w:r w:rsidRPr="003C289B">
        <w:rPr>
          <w:b/>
          <w:bCs/>
          <w:sz w:val="28"/>
          <w:szCs w:val="28"/>
        </w:rPr>
        <w:lastRenderedPageBreak/>
        <w:t>Analýza vplyvov na rozpočet verejnej správy,</w:t>
      </w:r>
    </w:p>
    <w:p w:rsidR="00BB42F2" w:rsidRPr="003C289B" w:rsidRDefault="00BB42F2" w:rsidP="00BB42F2">
      <w:pPr>
        <w:jc w:val="center"/>
        <w:rPr>
          <w:b/>
          <w:bCs/>
          <w:sz w:val="28"/>
          <w:szCs w:val="28"/>
        </w:rPr>
      </w:pPr>
      <w:r w:rsidRPr="003C289B">
        <w:rPr>
          <w:b/>
          <w:bCs/>
          <w:sz w:val="28"/>
          <w:szCs w:val="28"/>
        </w:rPr>
        <w:t>na zamestnanosť vo verejnej správe a financovanie návrhu</w:t>
      </w:r>
    </w:p>
    <w:p w:rsidR="00BB42F2" w:rsidRPr="00AF1ECE" w:rsidRDefault="00BB42F2" w:rsidP="00BB42F2">
      <w:pPr>
        <w:rPr>
          <w:bCs/>
        </w:rPr>
      </w:pPr>
    </w:p>
    <w:p w:rsidR="00BB42F2" w:rsidRPr="003C289B" w:rsidRDefault="00BB42F2" w:rsidP="00BB42F2">
      <w:pPr>
        <w:rPr>
          <w:b/>
          <w:bCs/>
        </w:rPr>
      </w:pPr>
      <w:r w:rsidRPr="003C289B">
        <w:rPr>
          <w:b/>
          <w:bCs/>
        </w:rPr>
        <w:t>2.1 Zhrnutie vplyvov na rozpočet verejnej správy v návrhu</w:t>
      </w:r>
    </w:p>
    <w:p w:rsidR="00BB42F2" w:rsidRPr="003C289B" w:rsidRDefault="00BB42F2" w:rsidP="00BB42F2">
      <w:pPr>
        <w:jc w:val="right"/>
        <w:rPr>
          <w:sz w:val="20"/>
          <w:szCs w:val="20"/>
        </w:rPr>
      </w:pPr>
      <w:r>
        <w:rPr>
          <w:sz w:val="20"/>
          <w:szCs w:val="20"/>
        </w:rPr>
        <w:t>Tabuľka č. 1</w:t>
      </w: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61"/>
        <w:gridCol w:w="1267"/>
        <w:gridCol w:w="1267"/>
        <w:gridCol w:w="1267"/>
        <w:gridCol w:w="1267"/>
      </w:tblGrid>
      <w:tr w:rsidR="00BB42F2" w:rsidRPr="003C289B" w:rsidTr="00BE020B">
        <w:trPr>
          <w:cantSplit/>
          <w:trHeight w:val="194"/>
          <w:jc w:val="center"/>
        </w:trPr>
        <w:tc>
          <w:tcPr>
            <w:tcW w:w="4661" w:type="dxa"/>
            <w:vMerge w:val="restart"/>
            <w:shd w:val="clear" w:color="auto" w:fill="BFBFBF" w:themeFill="background1" w:themeFillShade="BF"/>
            <w:vAlign w:val="center"/>
          </w:tcPr>
          <w:p w:rsidR="00BB42F2" w:rsidRPr="003C289B" w:rsidRDefault="00BB42F2" w:rsidP="00BE020B">
            <w:pPr>
              <w:jc w:val="center"/>
              <w:rPr>
                <w:b/>
                <w:bCs/>
              </w:rPr>
            </w:pPr>
            <w:bookmarkStart w:id="0" w:name="OLE_LINK1"/>
            <w:r w:rsidRPr="003C289B">
              <w:rPr>
                <w:b/>
                <w:bCs/>
              </w:rPr>
              <w:t>Vplyvy na rozpočet verejnej správy</w:t>
            </w:r>
          </w:p>
        </w:tc>
        <w:tc>
          <w:tcPr>
            <w:tcW w:w="5068" w:type="dxa"/>
            <w:gridSpan w:val="4"/>
            <w:shd w:val="clear" w:color="auto" w:fill="BFBFBF" w:themeFill="background1" w:themeFillShade="BF"/>
            <w:vAlign w:val="center"/>
          </w:tcPr>
          <w:p w:rsidR="00BB42F2" w:rsidRPr="003C289B" w:rsidRDefault="00BB42F2" w:rsidP="00BE020B">
            <w:pPr>
              <w:jc w:val="center"/>
              <w:rPr>
                <w:b/>
                <w:bCs/>
              </w:rPr>
            </w:pPr>
            <w:r>
              <w:rPr>
                <w:b/>
                <w:bCs/>
              </w:rPr>
              <w:t>Vplyv na rozpočet verejnej správy (v eurách)</w:t>
            </w:r>
          </w:p>
        </w:tc>
      </w:tr>
      <w:tr w:rsidR="00BB42F2" w:rsidRPr="003C289B" w:rsidTr="00BE020B">
        <w:trPr>
          <w:cantSplit/>
          <w:trHeight w:val="70"/>
          <w:jc w:val="center"/>
        </w:trPr>
        <w:tc>
          <w:tcPr>
            <w:tcW w:w="4661" w:type="dxa"/>
            <w:vMerge/>
            <w:shd w:val="clear" w:color="auto" w:fill="BFBFBF" w:themeFill="background1" w:themeFillShade="BF"/>
            <w:vAlign w:val="center"/>
          </w:tcPr>
          <w:p w:rsidR="00BB42F2" w:rsidRPr="003C289B" w:rsidRDefault="00BB42F2" w:rsidP="00BE020B">
            <w:pPr>
              <w:jc w:val="center"/>
              <w:rPr>
                <w:b/>
                <w:bCs/>
              </w:rPr>
            </w:pPr>
          </w:p>
        </w:tc>
        <w:tc>
          <w:tcPr>
            <w:tcW w:w="1267" w:type="dxa"/>
            <w:shd w:val="clear" w:color="auto" w:fill="BFBFBF" w:themeFill="background1" w:themeFillShade="BF"/>
            <w:vAlign w:val="center"/>
          </w:tcPr>
          <w:p w:rsidR="00BB42F2" w:rsidRPr="003C4322" w:rsidRDefault="00BB42F2" w:rsidP="00BE020B">
            <w:pPr>
              <w:jc w:val="center"/>
              <w:rPr>
                <w:b/>
                <w:bCs/>
              </w:rPr>
            </w:pPr>
            <w:r>
              <w:rPr>
                <w:b/>
                <w:bCs/>
              </w:rPr>
              <w:t>2018</w:t>
            </w:r>
          </w:p>
        </w:tc>
        <w:tc>
          <w:tcPr>
            <w:tcW w:w="1267" w:type="dxa"/>
            <w:shd w:val="clear" w:color="auto" w:fill="BFBFBF" w:themeFill="background1" w:themeFillShade="BF"/>
            <w:vAlign w:val="center"/>
          </w:tcPr>
          <w:p w:rsidR="00BB42F2" w:rsidRPr="003C4322" w:rsidRDefault="00BB42F2" w:rsidP="00BE020B">
            <w:pPr>
              <w:jc w:val="center"/>
              <w:rPr>
                <w:b/>
                <w:bCs/>
              </w:rPr>
            </w:pPr>
            <w:r>
              <w:rPr>
                <w:b/>
                <w:bCs/>
              </w:rPr>
              <w:t>2019</w:t>
            </w:r>
          </w:p>
        </w:tc>
        <w:tc>
          <w:tcPr>
            <w:tcW w:w="1267" w:type="dxa"/>
            <w:shd w:val="clear" w:color="auto" w:fill="BFBFBF" w:themeFill="background1" w:themeFillShade="BF"/>
            <w:vAlign w:val="center"/>
          </w:tcPr>
          <w:p w:rsidR="00BB42F2" w:rsidRPr="003C4322" w:rsidRDefault="00BB42F2" w:rsidP="00BE020B">
            <w:pPr>
              <w:jc w:val="center"/>
              <w:rPr>
                <w:b/>
                <w:bCs/>
              </w:rPr>
            </w:pPr>
            <w:r>
              <w:rPr>
                <w:b/>
                <w:bCs/>
              </w:rPr>
              <w:t>2020</w:t>
            </w:r>
          </w:p>
        </w:tc>
        <w:tc>
          <w:tcPr>
            <w:tcW w:w="1267" w:type="dxa"/>
            <w:shd w:val="clear" w:color="auto" w:fill="BFBFBF" w:themeFill="background1" w:themeFillShade="BF"/>
            <w:vAlign w:val="center"/>
          </w:tcPr>
          <w:p w:rsidR="00BB42F2" w:rsidRPr="003C4322" w:rsidRDefault="00BB42F2" w:rsidP="00BE020B">
            <w:pPr>
              <w:jc w:val="center"/>
              <w:rPr>
                <w:b/>
                <w:bCs/>
              </w:rPr>
            </w:pPr>
            <w:r>
              <w:rPr>
                <w:b/>
                <w:bCs/>
              </w:rPr>
              <w:t>2021</w:t>
            </w:r>
          </w:p>
        </w:tc>
      </w:tr>
      <w:tr w:rsidR="00BB42F2" w:rsidRPr="003C289B" w:rsidTr="00BE020B">
        <w:trPr>
          <w:trHeight w:val="70"/>
          <w:jc w:val="center"/>
        </w:trPr>
        <w:tc>
          <w:tcPr>
            <w:tcW w:w="4661" w:type="dxa"/>
            <w:shd w:val="clear" w:color="auto" w:fill="C0C0C0"/>
            <w:noWrap/>
            <w:vAlign w:val="center"/>
          </w:tcPr>
          <w:p w:rsidR="00BB42F2" w:rsidRPr="003C289B" w:rsidRDefault="00BB42F2" w:rsidP="00BE020B">
            <w:r w:rsidRPr="003C289B">
              <w:rPr>
                <w:b/>
                <w:bCs/>
              </w:rPr>
              <w:t>Príjmy verejnej správy celkom</w:t>
            </w:r>
          </w:p>
        </w:tc>
        <w:tc>
          <w:tcPr>
            <w:tcW w:w="1267" w:type="dxa"/>
            <w:shd w:val="clear" w:color="auto" w:fill="C0C0C0"/>
            <w:vAlign w:val="center"/>
          </w:tcPr>
          <w:p w:rsidR="00BB42F2" w:rsidRPr="002039E5" w:rsidRDefault="00BB42F2" w:rsidP="00BE020B">
            <w:pPr>
              <w:jc w:val="center"/>
              <w:rPr>
                <w:b/>
                <w:bCs/>
                <w:iCs/>
              </w:rPr>
            </w:pPr>
          </w:p>
        </w:tc>
        <w:tc>
          <w:tcPr>
            <w:tcW w:w="1267" w:type="dxa"/>
            <w:shd w:val="clear" w:color="auto" w:fill="C0C0C0"/>
            <w:vAlign w:val="center"/>
          </w:tcPr>
          <w:p w:rsidR="00BB42F2" w:rsidRPr="002039E5" w:rsidRDefault="00BB42F2" w:rsidP="00BE020B">
            <w:pPr>
              <w:jc w:val="center"/>
              <w:rPr>
                <w:b/>
                <w:bCs/>
                <w:iCs/>
              </w:rPr>
            </w:pPr>
            <w:r>
              <w:rPr>
                <w:b/>
                <w:bCs/>
                <w:iCs/>
              </w:rPr>
              <w:t>- 14 000</w:t>
            </w:r>
          </w:p>
        </w:tc>
        <w:tc>
          <w:tcPr>
            <w:tcW w:w="1267" w:type="dxa"/>
            <w:shd w:val="clear" w:color="auto" w:fill="C0C0C0"/>
            <w:vAlign w:val="center"/>
          </w:tcPr>
          <w:p w:rsidR="00BB42F2" w:rsidRPr="002039E5" w:rsidRDefault="00BB42F2" w:rsidP="00BE020B">
            <w:pPr>
              <w:jc w:val="center"/>
              <w:rPr>
                <w:b/>
                <w:bCs/>
                <w:iCs/>
              </w:rPr>
            </w:pPr>
            <w:r>
              <w:rPr>
                <w:b/>
                <w:bCs/>
                <w:iCs/>
              </w:rPr>
              <w:t>57 006 000</w:t>
            </w:r>
          </w:p>
        </w:tc>
        <w:tc>
          <w:tcPr>
            <w:tcW w:w="1267" w:type="dxa"/>
            <w:shd w:val="clear" w:color="auto" w:fill="C0C0C0"/>
            <w:vAlign w:val="center"/>
          </w:tcPr>
          <w:p w:rsidR="00BB42F2" w:rsidRPr="002039E5" w:rsidRDefault="00BB42F2" w:rsidP="00BE020B">
            <w:pPr>
              <w:jc w:val="center"/>
              <w:rPr>
                <w:b/>
                <w:bCs/>
                <w:iCs/>
              </w:rPr>
            </w:pPr>
            <w:r>
              <w:rPr>
                <w:b/>
                <w:bCs/>
                <w:iCs/>
              </w:rPr>
              <w:t>57 004 000</w:t>
            </w:r>
          </w:p>
        </w:tc>
      </w:tr>
      <w:tr w:rsidR="00BB42F2" w:rsidRPr="003C289B" w:rsidTr="00BE020B">
        <w:trPr>
          <w:trHeight w:val="132"/>
          <w:jc w:val="center"/>
        </w:trPr>
        <w:tc>
          <w:tcPr>
            <w:tcW w:w="4661" w:type="dxa"/>
            <w:noWrap/>
            <w:vAlign w:val="center"/>
          </w:tcPr>
          <w:p w:rsidR="00BB42F2" w:rsidRPr="003C289B" w:rsidRDefault="00BB42F2" w:rsidP="00BE020B">
            <w:r w:rsidRPr="003C289B">
              <w:t xml:space="preserve">v tom: </w:t>
            </w:r>
            <w:r>
              <w:t>VPS</w:t>
            </w:r>
          </w:p>
        </w:tc>
        <w:tc>
          <w:tcPr>
            <w:tcW w:w="1267" w:type="dxa"/>
            <w:noWrap/>
            <w:vAlign w:val="center"/>
          </w:tcPr>
          <w:p w:rsidR="00BB42F2" w:rsidRPr="0019292F" w:rsidRDefault="00BB42F2" w:rsidP="00BE020B">
            <w:pPr>
              <w:jc w:val="center"/>
            </w:pPr>
          </w:p>
        </w:tc>
        <w:tc>
          <w:tcPr>
            <w:tcW w:w="1267" w:type="dxa"/>
            <w:noWrap/>
            <w:vAlign w:val="center"/>
          </w:tcPr>
          <w:p w:rsidR="00BB42F2" w:rsidRPr="002070F3" w:rsidRDefault="00BB42F2" w:rsidP="00BE020B">
            <w:pPr>
              <w:jc w:val="center"/>
              <w:rPr>
                <w:bCs/>
                <w:iCs/>
              </w:rPr>
            </w:pPr>
            <w:r>
              <w:rPr>
                <w:bCs/>
                <w:iCs/>
              </w:rPr>
              <w:t>- 14</w:t>
            </w:r>
            <w:r w:rsidRPr="002070F3">
              <w:rPr>
                <w:bCs/>
                <w:iCs/>
              </w:rPr>
              <w:t xml:space="preserve"> 000</w:t>
            </w:r>
          </w:p>
        </w:tc>
        <w:tc>
          <w:tcPr>
            <w:tcW w:w="1267" w:type="dxa"/>
            <w:noWrap/>
            <w:vAlign w:val="center"/>
          </w:tcPr>
          <w:p w:rsidR="00BB42F2" w:rsidRPr="006E18F8" w:rsidRDefault="00BB42F2" w:rsidP="00BE020B">
            <w:pPr>
              <w:jc w:val="center"/>
              <w:rPr>
                <w:bCs/>
                <w:iCs/>
              </w:rPr>
            </w:pPr>
            <w:r>
              <w:rPr>
                <w:bCs/>
                <w:iCs/>
              </w:rPr>
              <w:t>57 006</w:t>
            </w:r>
            <w:r w:rsidRPr="006E18F8">
              <w:rPr>
                <w:bCs/>
                <w:iCs/>
              </w:rPr>
              <w:t xml:space="preserve"> 000</w:t>
            </w:r>
          </w:p>
        </w:tc>
        <w:tc>
          <w:tcPr>
            <w:tcW w:w="1267" w:type="dxa"/>
            <w:noWrap/>
            <w:vAlign w:val="center"/>
          </w:tcPr>
          <w:p w:rsidR="00BB42F2" w:rsidRPr="006E18F8" w:rsidRDefault="00BB42F2" w:rsidP="00BE020B">
            <w:pPr>
              <w:jc w:val="center"/>
              <w:rPr>
                <w:bCs/>
                <w:iCs/>
              </w:rPr>
            </w:pPr>
            <w:r>
              <w:rPr>
                <w:bCs/>
                <w:iCs/>
              </w:rPr>
              <w:t>57 004</w:t>
            </w:r>
            <w:r w:rsidRPr="006E18F8">
              <w:rPr>
                <w:bCs/>
                <w:iCs/>
              </w:rPr>
              <w:t xml:space="preserve"> 000</w:t>
            </w:r>
          </w:p>
        </w:tc>
      </w:tr>
      <w:tr w:rsidR="00BB42F2" w:rsidRPr="003C289B" w:rsidTr="00BE020B">
        <w:trPr>
          <w:trHeight w:val="70"/>
          <w:jc w:val="center"/>
        </w:trPr>
        <w:tc>
          <w:tcPr>
            <w:tcW w:w="4661" w:type="dxa"/>
            <w:noWrap/>
            <w:vAlign w:val="center"/>
          </w:tcPr>
          <w:p w:rsidR="00BB42F2" w:rsidRPr="003C289B" w:rsidRDefault="00BB42F2" w:rsidP="00BE020B">
            <w:pPr>
              <w:rPr>
                <w:b/>
                <w:bCs/>
                <w:i/>
                <w:iCs/>
              </w:rPr>
            </w:pPr>
            <w:r w:rsidRPr="003C289B">
              <w:rPr>
                <w:b/>
                <w:bCs/>
                <w:i/>
                <w:iCs/>
              </w:rPr>
              <w:t xml:space="preserve">z toho:  </w:t>
            </w:r>
          </w:p>
        </w:tc>
        <w:tc>
          <w:tcPr>
            <w:tcW w:w="1267" w:type="dxa"/>
            <w:noWrap/>
            <w:vAlign w:val="center"/>
          </w:tcPr>
          <w:p w:rsidR="00BB42F2" w:rsidRPr="003C4322" w:rsidRDefault="00BB42F2" w:rsidP="00BE020B">
            <w:pPr>
              <w:jc w:val="center"/>
              <w:rPr>
                <w:b/>
                <w:bCs/>
                <w:iCs/>
              </w:rPr>
            </w:pPr>
          </w:p>
        </w:tc>
        <w:tc>
          <w:tcPr>
            <w:tcW w:w="1267" w:type="dxa"/>
            <w:noWrap/>
            <w:vAlign w:val="center"/>
          </w:tcPr>
          <w:p w:rsidR="00BB42F2" w:rsidRPr="003C4322" w:rsidRDefault="00BB42F2" w:rsidP="00BE020B">
            <w:pPr>
              <w:jc w:val="center"/>
              <w:rPr>
                <w:b/>
                <w:bCs/>
                <w:iCs/>
              </w:rPr>
            </w:pPr>
          </w:p>
        </w:tc>
        <w:tc>
          <w:tcPr>
            <w:tcW w:w="1267" w:type="dxa"/>
            <w:noWrap/>
            <w:vAlign w:val="center"/>
          </w:tcPr>
          <w:p w:rsidR="00BB42F2" w:rsidRPr="003C4322" w:rsidRDefault="00BB42F2" w:rsidP="00BE020B">
            <w:pPr>
              <w:jc w:val="center"/>
              <w:rPr>
                <w:b/>
                <w:bCs/>
                <w:iCs/>
              </w:rPr>
            </w:pPr>
          </w:p>
        </w:tc>
        <w:tc>
          <w:tcPr>
            <w:tcW w:w="1267" w:type="dxa"/>
            <w:noWrap/>
            <w:vAlign w:val="center"/>
          </w:tcPr>
          <w:p w:rsidR="00BB42F2" w:rsidRPr="003C4322" w:rsidRDefault="00BB42F2" w:rsidP="00BE020B">
            <w:pPr>
              <w:jc w:val="center"/>
              <w:rPr>
                <w:b/>
                <w:bCs/>
                <w:iCs/>
              </w:rPr>
            </w:pPr>
          </w:p>
        </w:tc>
      </w:tr>
      <w:tr w:rsidR="00BB42F2" w:rsidRPr="003C289B" w:rsidTr="00BE020B">
        <w:trPr>
          <w:trHeight w:val="125"/>
          <w:jc w:val="center"/>
        </w:trPr>
        <w:tc>
          <w:tcPr>
            <w:tcW w:w="4661" w:type="dxa"/>
            <w:noWrap/>
            <w:vAlign w:val="center"/>
          </w:tcPr>
          <w:p w:rsidR="00BB42F2" w:rsidRPr="003C289B" w:rsidRDefault="00BB42F2" w:rsidP="00BE020B">
            <w:pPr>
              <w:rPr>
                <w:b/>
                <w:bCs/>
                <w:i/>
                <w:iCs/>
              </w:rPr>
            </w:pPr>
            <w:r w:rsidRPr="003C289B">
              <w:rPr>
                <w:b/>
                <w:bCs/>
                <w:i/>
                <w:iCs/>
              </w:rPr>
              <w:t>- vplyv na ŠR</w:t>
            </w:r>
          </w:p>
        </w:tc>
        <w:tc>
          <w:tcPr>
            <w:tcW w:w="1267" w:type="dxa"/>
            <w:noWrap/>
            <w:vAlign w:val="center"/>
          </w:tcPr>
          <w:p w:rsidR="00BB42F2" w:rsidRPr="00DB124A" w:rsidRDefault="00BB42F2" w:rsidP="00BE020B">
            <w:pPr>
              <w:jc w:val="center"/>
              <w:rPr>
                <w:b/>
                <w:bCs/>
                <w:iCs/>
              </w:rPr>
            </w:pPr>
          </w:p>
        </w:tc>
        <w:tc>
          <w:tcPr>
            <w:tcW w:w="1267" w:type="dxa"/>
            <w:noWrap/>
            <w:vAlign w:val="center"/>
          </w:tcPr>
          <w:p w:rsidR="00BB42F2" w:rsidRPr="002039E5" w:rsidRDefault="00BB42F2" w:rsidP="00BE020B">
            <w:pPr>
              <w:jc w:val="center"/>
              <w:rPr>
                <w:b/>
                <w:bCs/>
                <w:iCs/>
              </w:rPr>
            </w:pPr>
          </w:p>
        </w:tc>
        <w:tc>
          <w:tcPr>
            <w:tcW w:w="1267" w:type="dxa"/>
            <w:noWrap/>
            <w:vAlign w:val="center"/>
          </w:tcPr>
          <w:p w:rsidR="00BB42F2" w:rsidRPr="002039E5" w:rsidRDefault="00BB42F2" w:rsidP="00BE020B">
            <w:pPr>
              <w:jc w:val="center"/>
              <w:rPr>
                <w:b/>
                <w:bCs/>
                <w:iCs/>
              </w:rPr>
            </w:pPr>
          </w:p>
        </w:tc>
        <w:tc>
          <w:tcPr>
            <w:tcW w:w="1267" w:type="dxa"/>
            <w:noWrap/>
            <w:vAlign w:val="center"/>
          </w:tcPr>
          <w:p w:rsidR="00BB42F2" w:rsidRPr="002039E5" w:rsidRDefault="00BB42F2" w:rsidP="00BE020B">
            <w:pPr>
              <w:jc w:val="center"/>
              <w:rPr>
                <w:b/>
                <w:bCs/>
                <w:iCs/>
              </w:rPr>
            </w:pPr>
          </w:p>
        </w:tc>
      </w:tr>
      <w:tr w:rsidR="00BB42F2" w:rsidRPr="003C289B" w:rsidTr="00BE020B">
        <w:trPr>
          <w:trHeight w:val="125"/>
          <w:jc w:val="center"/>
        </w:trPr>
        <w:tc>
          <w:tcPr>
            <w:tcW w:w="4661" w:type="dxa"/>
            <w:noWrap/>
            <w:vAlign w:val="center"/>
          </w:tcPr>
          <w:p w:rsidR="00BB42F2" w:rsidRPr="003C289B" w:rsidRDefault="00BB42F2" w:rsidP="00BE020B">
            <w:pPr>
              <w:ind w:left="259"/>
              <w:rPr>
                <w:b/>
                <w:bCs/>
                <w:i/>
                <w:iCs/>
              </w:rPr>
            </w:pPr>
            <w:r w:rsidRPr="003C289B">
              <w:rPr>
                <w:bCs/>
                <w:i/>
                <w:iCs/>
              </w:rPr>
              <w:t xml:space="preserve">Rozpočtové prostriedky </w:t>
            </w:r>
          </w:p>
        </w:tc>
        <w:tc>
          <w:tcPr>
            <w:tcW w:w="1267" w:type="dxa"/>
            <w:noWrap/>
            <w:vAlign w:val="center"/>
          </w:tcPr>
          <w:p w:rsidR="00BB42F2" w:rsidRPr="003C4322" w:rsidRDefault="00BB42F2" w:rsidP="00BE020B">
            <w:pPr>
              <w:jc w:val="center"/>
              <w:rPr>
                <w:b/>
                <w:bCs/>
                <w:iCs/>
              </w:rPr>
            </w:pPr>
          </w:p>
        </w:tc>
        <w:tc>
          <w:tcPr>
            <w:tcW w:w="1267" w:type="dxa"/>
            <w:noWrap/>
            <w:vAlign w:val="center"/>
          </w:tcPr>
          <w:p w:rsidR="00BB42F2" w:rsidRPr="00FA4569" w:rsidRDefault="00BB42F2" w:rsidP="00BE020B">
            <w:pPr>
              <w:jc w:val="center"/>
              <w:rPr>
                <w:b/>
                <w:bCs/>
                <w:iCs/>
              </w:rPr>
            </w:pPr>
            <w:r>
              <w:rPr>
                <w:b/>
                <w:bCs/>
                <w:iCs/>
              </w:rPr>
              <w:t>- 14</w:t>
            </w:r>
            <w:r w:rsidRPr="00FA4569">
              <w:rPr>
                <w:b/>
                <w:bCs/>
                <w:iCs/>
              </w:rPr>
              <w:t xml:space="preserve"> 000</w:t>
            </w:r>
          </w:p>
        </w:tc>
        <w:tc>
          <w:tcPr>
            <w:tcW w:w="1267" w:type="dxa"/>
            <w:noWrap/>
            <w:vAlign w:val="center"/>
          </w:tcPr>
          <w:p w:rsidR="00BB42F2" w:rsidRPr="00FA4569" w:rsidRDefault="00BB42F2" w:rsidP="00BE020B">
            <w:pPr>
              <w:jc w:val="center"/>
              <w:rPr>
                <w:b/>
                <w:bCs/>
                <w:iCs/>
              </w:rPr>
            </w:pPr>
            <w:r>
              <w:rPr>
                <w:b/>
                <w:bCs/>
                <w:iCs/>
              </w:rPr>
              <w:t>57 006</w:t>
            </w:r>
            <w:r w:rsidRPr="00FA4569">
              <w:rPr>
                <w:b/>
                <w:bCs/>
                <w:iCs/>
              </w:rPr>
              <w:t xml:space="preserve"> 000</w:t>
            </w:r>
          </w:p>
        </w:tc>
        <w:tc>
          <w:tcPr>
            <w:tcW w:w="1267" w:type="dxa"/>
            <w:noWrap/>
            <w:vAlign w:val="center"/>
          </w:tcPr>
          <w:p w:rsidR="00BB42F2" w:rsidRPr="00FA4569" w:rsidRDefault="00BB42F2" w:rsidP="00BE020B">
            <w:pPr>
              <w:jc w:val="center"/>
              <w:rPr>
                <w:b/>
                <w:bCs/>
                <w:iCs/>
              </w:rPr>
            </w:pPr>
            <w:r>
              <w:rPr>
                <w:b/>
                <w:bCs/>
                <w:iCs/>
              </w:rPr>
              <w:t>57 004</w:t>
            </w:r>
            <w:r w:rsidRPr="00FA4569">
              <w:rPr>
                <w:b/>
                <w:bCs/>
                <w:iCs/>
              </w:rPr>
              <w:t xml:space="preserve"> 000</w:t>
            </w:r>
          </w:p>
        </w:tc>
      </w:tr>
      <w:tr w:rsidR="00BB42F2" w:rsidRPr="003C289B" w:rsidTr="00BE020B">
        <w:trPr>
          <w:trHeight w:val="125"/>
          <w:jc w:val="center"/>
        </w:trPr>
        <w:tc>
          <w:tcPr>
            <w:tcW w:w="4661" w:type="dxa"/>
            <w:noWrap/>
            <w:vAlign w:val="center"/>
          </w:tcPr>
          <w:p w:rsidR="00BB42F2" w:rsidRPr="003C289B" w:rsidRDefault="00BB42F2" w:rsidP="00BE020B">
            <w:pPr>
              <w:ind w:left="259"/>
              <w:rPr>
                <w:bCs/>
                <w:i/>
                <w:iCs/>
              </w:rPr>
            </w:pPr>
            <w:r w:rsidRPr="003C289B">
              <w:rPr>
                <w:bCs/>
                <w:i/>
                <w:iCs/>
              </w:rPr>
              <w:t>EÚ zdroje</w:t>
            </w:r>
          </w:p>
        </w:tc>
        <w:tc>
          <w:tcPr>
            <w:tcW w:w="1267" w:type="dxa"/>
            <w:noWrap/>
            <w:vAlign w:val="center"/>
          </w:tcPr>
          <w:p w:rsidR="00BB42F2" w:rsidRPr="003C289B" w:rsidRDefault="00BB42F2" w:rsidP="00BE020B">
            <w:pPr>
              <w:jc w:val="center"/>
            </w:pPr>
          </w:p>
        </w:tc>
        <w:tc>
          <w:tcPr>
            <w:tcW w:w="1267" w:type="dxa"/>
            <w:noWrap/>
            <w:vAlign w:val="center"/>
          </w:tcPr>
          <w:p w:rsidR="00BB42F2" w:rsidRPr="003C289B" w:rsidRDefault="00BB42F2" w:rsidP="00BE020B">
            <w:pPr>
              <w:jc w:val="center"/>
            </w:pPr>
            <w:r w:rsidRPr="003C289B">
              <w:t>0</w:t>
            </w:r>
          </w:p>
        </w:tc>
        <w:tc>
          <w:tcPr>
            <w:tcW w:w="1267" w:type="dxa"/>
            <w:noWrap/>
            <w:vAlign w:val="center"/>
          </w:tcPr>
          <w:p w:rsidR="00BB42F2" w:rsidRPr="003C289B" w:rsidRDefault="00BB42F2" w:rsidP="00BE020B">
            <w:pPr>
              <w:jc w:val="center"/>
            </w:pPr>
            <w:r w:rsidRPr="003C289B">
              <w:t>0</w:t>
            </w:r>
          </w:p>
        </w:tc>
        <w:tc>
          <w:tcPr>
            <w:tcW w:w="1267" w:type="dxa"/>
            <w:noWrap/>
            <w:vAlign w:val="center"/>
          </w:tcPr>
          <w:p w:rsidR="00BB42F2" w:rsidRPr="003C289B" w:rsidRDefault="00BB42F2" w:rsidP="00BE020B">
            <w:pPr>
              <w:jc w:val="center"/>
            </w:pPr>
            <w:r w:rsidRPr="003C289B">
              <w:t>0</w:t>
            </w:r>
          </w:p>
        </w:tc>
      </w:tr>
      <w:tr w:rsidR="00BB42F2" w:rsidRPr="003C289B" w:rsidTr="00BE020B">
        <w:trPr>
          <w:trHeight w:val="125"/>
          <w:jc w:val="center"/>
        </w:trPr>
        <w:tc>
          <w:tcPr>
            <w:tcW w:w="4661" w:type="dxa"/>
            <w:noWrap/>
            <w:vAlign w:val="center"/>
          </w:tcPr>
          <w:p w:rsidR="00BB42F2" w:rsidRPr="003C289B" w:rsidRDefault="00BB42F2" w:rsidP="00BE020B">
            <w:pPr>
              <w:rPr>
                <w:b/>
                <w:bCs/>
                <w:i/>
                <w:iCs/>
              </w:rPr>
            </w:pPr>
            <w:r w:rsidRPr="003C289B">
              <w:rPr>
                <w:b/>
                <w:bCs/>
                <w:i/>
                <w:iCs/>
              </w:rPr>
              <w:t>- vplyv na obce</w:t>
            </w:r>
          </w:p>
        </w:tc>
        <w:tc>
          <w:tcPr>
            <w:tcW w:w="1267" w:type="dxa"/>
            <w:noWrap/>
            <w:vAlign w:val="center"/>
          </w:tcPr>
          <w:p w:rsidR="00BB42F2" w:rsidRPr="003C289B" w:rsidRDefault="00BB42F2" w:rsidP="00BE020B">
            <w:pPr>
              <w:jc w:val="center"/>
              <w:rPr>
                <w:b/>
                <w:bCs/>
                <w:iCs/>
              </w:rPr>
            </w:pPr>
          </w:p>
        </w:tc>
        <w:tc>
          <w:tcPr>
            <w:tcW w:w="1267" w:type="dxa"/>
            <w:noWrap/>
            <w:vAlign w:val="center"/>
          </w:tcPr>
          <w:p w:rsidR="00BB42F2" w:rsidRPr="003C289B" w:rsidRDefault="00BB42F2" w:rsidP="00BE020B">
            <w:pPr>
              <w:jc w:val="center"/>
              <w:rPr>
                <w:b/>
                <w:bCs/>
                <w:iCs/>
              </w:rPr>
            </w:pPr>
            <w:r w:rsidRPr="003C289B">
              <w:rPr>
                <w:b/>
                <w:bCs/>
                <w:iCs/>
              </w:rPr>
              <w:t>0</w:t>
            </w:r>
          </w:p>
        </w:tc>
        <w:tc>
          <w:tcPr>
            <w:tcW w:w="1267" w:type="dxa"/>
            <w:noWrap/>
            <w:vAlign w:val="center"/>
          </w:tcPr>
          <w:p w:rsidR="00BB42F2" w:rsidRPr="003C289B" w:rsidRDefault="00BB42F2" w:rsidP="00BE020B">
            <w:pPr>
              <w:jc w:val="center"/>
              <w:rPr>
                <w:b/>
                <w:bCs/>
                <w:iCs/>
              </w:rPr>
            </w:pPr>
            <w:r w:rsidRPr="003C289B">
              <w:rPr>
                <w:b/>
                <w:bCs/>
                <w:iCs/>
              </w:rPr>
              <w:t>0</w:t>
            </w:r>
          </w:p>
        </w:tc>
        <w:tc>
          <w:tcPr>
            <w:tcW w:w="1267" w:type="dxa"/>
            <w:noWrap/>
            <w:vAlign w:val="center"/>
          </w:tcPr>
          <w:p w:rsidR="00BB42F2" w:rsidRPr="003C289B" w:rsidRDefault="00BB42F2" w:rsidP="00BE020B">
            <w:pPr>
              <w:jc w:val="center"/>
              <w:rPr>
                <w:b/>
                <w:bCs/>
                <w:iCs/>
              </w:rPr>
            </w:pPr>
            <w:r w:rsidRPr="003C289B">
              <w:rPr>
                <w:b/>
                <w:bCs/>
                <w:iCs/>
              </w:rPr>
              <w:t>0</w:t>
            </w:r>
          </w:p>
        </w:tc>
      </w:tr>
      <w:tr w:rsidR="00BB42F2" w:rsidRPr="003C289B" w:rsidTr="00BE020B">
        <w:trPr>
          <w:trHeight w:val="125"/>
          <w:jc w:val="center"/>
        </w:trPr>
        <w:tc>
          <w:tcPr>
            <w:tcW w:w="4661" w:type="dxa"/>
            <w:noWrap/>
            <w:vAlign w:val="center"/>
          </w:tcPr>
          <w:p w:rsidR="00BB42F2" w:rsidRPr="003C289B" w:rsidRDefault="00BB42F2" w:rsidP="00BE020B">
            <w:pPr>
              <w:rPr>
                <w:b/>
                <w:bCs/>
                <w:i/>
                <w:iCs/>
              </w:rPr>
            </w:pPr>
            <w:r w:rsidRPr="003C289B">
              <w:rPr>
                <w:b/>
                <w:bCs/>
                <w:i/>
                <w:iCs/>
              </w:rPr>
              <w:t>- vplyv na vyššie územné celky</w:t>
            </w:r>
          </w:p>
        </w:tc>
        <w:tc>
          <w:tcPr>
            <w:tcW w:w="1267" w:type="dxa"/>
            <w:noWrap/>
            <w:vAlign w:val="center"/>
          </w:tcPr>
          <w:p w:rsidR="00BB42F2" w:rsidRPr="003C289B" w:rsidRDefault="00BB42F2" w:rsidP="00BE020B">
            <w:pPr>
              <w:jc w:val="center"/>
              <w:rPr>
                <w:b/>
                <w:bCs/>
                <w:iCs/>
              </w:rPr>
            </w:pPr>
          </w:p>
        </w:tc>
        <w:tc>
          <w:tcPr>
            <w:tcW w:w="1267" w:type="dxa"/>
            <w:noWrap/>
            <w:vAlign w:val="center"/>
          </w:tcPr>
          <w:p w:rsidR="00BB42F2" w:rsidRPr="003C289B" w:rsidRDefault="00BB42F2" w:rsidP="00BE020B">
            <w:pPr>
              <w:jc w:val="center"/>
              <w:rPr>
                <w:b/>
                <w:bCs/>
                <w:iCs/>
              </w:rPr>
            </w:pPr>
            <w:r w:rsidRPr="003C289B">
              <w:rPr>
                <w:b/>
                <w:bCs/>
                <w:iCs/>
              </w:rPr>
              <w:t>0</w:t>
            </w:r>
          </w:p>
        </w:tc>
        <w:tc>
          <w:tcPr>
            <w:tcW w:w="1267" w:type="dxa"/>
            <w:noWrap/>
            <w:vAlign w:val="center"/>
          </w:tcPr>
          <w:p w:rsidR="00BB42F2" w:rsidRPr="003C289B" w:rsidRDefault="00BB42F2" w:rsidP="00BE020B">
            <w:pPr>
              <w:jc w:val="center"/>
              <w:rPr>
                <w:b/>
                <w:bCs/>
                <w:iCs/>
              </w:rPr>
            </w:pPr>
            <w:r w:rsidRPr="003C289B">
              <w:rPr>
                <w:b/>
                <w:bCs/>
                <w:iCs/>
              </w:rPr>
              <w:t>0</w:t>
            </w:r>
          </w:p>
        </w:tc>
        <w:tc>
          <w:tcPr>
            <w:tcW w:w="1267" w:type="dxa"/>
            <w:noWrap/>
            <w:vAlign w:val="center"/>
          </w:tcPr>
          <w:p w:rsidR="00BB42F2" w:rsidRPr="003C289B" w:rsidRDefault="00BB42F2" w:rsidP="00BE020B">
            <w:pPr>
              <w:jc w:val="center"/>
              <w:rPr>
                <w:b/>
                <w:bCs/>
                <w:iCs/>
              </w:rPr>
            </w:pPr>
            <w:r w:rsidRPr="003C289B">
              <w:rPr>
                <w:b/>
                <w:bCs/>
                <w:iCs/>
              </w:rPr>
              <w:t>0</w:t>
            </w:r>
          </w:p>
        </w:tc>
      </w:tr>
      <w:tr w:rsidR="00BB42F2" w:rsidRPr="003C289B" w:rsidTr="00BE020B">
        <w:trPr>
          <w:trHeight w:val="125"/>
          <w:jc w:val="center"/>
        </w:trPr>
        <w:tc>
          <w:tcPr>
            <w:tcW w:w="4661" w:type="dxa"/>
            <w:noWrap/>
            <w:vAlign w:val="center"/>
          </w:tcPr>
          <w:p w:rsidR="00BB42F2" w:rsidRPr="003C289B" w:rsidRDefault="00BB42F2" w:rsidP="00BE020B">
            <w:pPr>
              <w:rPr>
                <w:b/>
                <w:bCs/>
                <w:i/>
                <w:iCs/>
              </w:rPr>
            </w:pPr>
            <w:r w:rsidRPr="003C289B">
              <w:rPr>
                <w:b/>
                <w:bCs/>
                <w:i/>
                <w:iCs/>
              </w:rPr>
              <w:t>- vplyv na ostatné subjekty verejnej správy</w:t>
            </w:r>
          </w:p>
        </w:tc>
        <w:tc>
          <w:tcPr>
            <w:tcW w:w="1267" w:type="dxa"/>
            <w:noWrap/>
            <w:vAlign w:val="center"/>
          </w:tcPr>
          <w:p w:rsidR="00BB42F2" w:rsidRPr="003C289B" w:rsidRDefault="00BB42F2" w:rsidP="00BE020B">
            <w:pPr>
              <w:jc w:val="center"/>
              <w:rPr>
                <w:b/>
                <w:bCs/>
                <w:iCs/>
              </w:rPr>
            </w:pPr>
          </w:p>
        </w:tc>
        <w:tc>
          <w:tcPr>
            <w:tcW w:w="1267" w:type="dxa"/>
            <w:noWrap/>
            <w:vAlign w:val="center"/>
          </w:tcPr>
          <w:p w:rsidR="00BB42F2" w:rsidRPr="003C289B" w:rsidRDefault="00BB42F2" w:rsidP="00BE020B">
            <w:pPr>
              <w:jc w:val="center"/>
              <w:rPr>
                <w:b/>
                <w:bCs/>
                <w:iCs/>
              </w:rPr>
            </w:pPr>
            <w:r w:rsidRPr="003C289B">
              <w:rPr>
                <w:b/>
                <w:bCs/>
                <w:iCs/>
              </w:rPr>
              <w:t>0</w:t>
            </w:r>
          </w:p>
        </w:tc>
        <w:tc>
          <w:tcPr>
            <w:tcW w:w="1267" w:type="dxa"/>
            <w:noWrap/>
            <w:vAlign w:val="center"/>
          </w:tcPr>
          <w:p w:rsidR="00BB42F2" w:rsidRPr="003C289B" w:rsidRDefault="00BB42F2" w:rsidP="00BE020B">
            <w:pPr>
              <w:jc w:val="center"/>
              <w:rPr>
                <w:b/>
                <w:bCs/>
                <w:iCs/>
              </w:rPr>
            </w:pPr>
            <w:r w:rsidRPr="003C289B">
              <w:rPr>
                <w:b/>
                <w:bCs/>
                <w:iCs/>
              </w:rPr>
              <w:t>0</w:t>
            </w:r>
          </w:p>
        </w:tc>
        <w:tc>
          <w:tcPr>
            <w:tcW w:w="1267" w:type="dxa"/>
            <w:noWrap/>
            <w:vAlign w:val="center"/>
          </w:tcPr>
          <w:p w:rsidR="00BB42F2" w:rsidRPr="003C289B" w:rsidRDefault="00BB42F2" w:rsidP="00BE020B">
            <w:pPr>
              <w:jc w:val="center"/>
              <w:rPr>
                <w:b/>
                <w:bCs/>
                <w:iCs/>
              </w:rPr>
            </w:pPr>
            <w:r w:rsidRPr="003C289B">
              <w:rPr>
                <w:b/>
                <w:bCs/>
                <w:iCs/>
              </w:rPr>
              <w:t>0</w:t>
            </w:r>
          </w:p>
        </w:tc>
      </w:tr>
      <w:tr w:rsidR="00BB42F2" w:rsidRPr="003C289B" w:rsidTr="00BE020B">
        <w:trPr>
          <w:trHeight w:val="125"/>
          <w:jc w:val="center"/>
        </w:trPr>
        <w:tc>
          <w:tcPr>
            <w:tcW w:w="4661" w:type="dxa"/>
            <w:shd w:val="clear" w:color="auto" w:fill="C0C0C0"/>
            <w:noWrap/>
            <w:vAlign w:val="center"/>
          </w:tcPr>
          <w:p w:rsidR="00BB42F2" w:rsidRPr="003C289B" w:rsidRDefault="00BB42F2" w:rsidP="00BE020B">
            <w:pPr>
              <w:rPr>
                <w:b/>
                <w:bCs/>
              </w:rPr>
            </w:pPr>
            <w:r w:rsidRPr="003C289B">
              <w:rPr>
                <w:b/>
                <w:bCs/>
              </w:rPr>
              <w:t>Výdavky verejnej správy celkom</w:t>
            </w:r>
          </w:p>
        </w:tc>
        <w:tc>
          <w:tcPr>
            <w:tcW w:w="1267" w:type="dxa"/>
            <w:shd w:val="clear" w:color="auto" w:fill="C0C0C0"/>
            <w:noWrap/>
            <w:vAlign w:val="center"/>
          </w:tcPr>
          <w:p w:rsidR="00BB42F2" w:rsidRPr="003C289B" w:rsidRDefault="00BB42F2" w:rsidP="00BE020B">
            <w:pPr>
              <w:jc w:val="center"/>
              <w:rPr>
                <w:b/>
                <w:bCs/>
                <w:iCs/>
              </w:rPr>
            </w:pPr>
            <w:r>
              <w:rPr>
                <w:b/>
                <w:bCs/>
                <w:iCs/>
              </w:rPr>
              <w:t>812 837</w:t>
            </w:r>
          </w:p>
        </w:tc>
        <w:tc>
          <w:tcPr>
            <w:tcW w:w="1267" w:type="dxa"/>
            <w:shd w:val="clear" w:color="auto" w:fill="C0C0C0"/>
            <w:noWrap/>
            <w:vAlign w:val="center"/>
          </w:tcPr>
          <w:p w:rsidR="00BB42F2" w:rsidRPr="003C289B" w:rsidRDefault="00BB42F2" w:rsidP="00BE020B">
            <w:pPr>
              <w:jc w:val="center"/>
              <w:rPr>
                <w:b/>
                <w:bCs/>
                <w:iCs/>
              </w:rPr>
            </w:pPr>
            <w:r>
              <w:rPr>
                <w:b/>
                <w:bCs/>
                <w:iCs/>
              </w:rPr>
              <w:t>960 000</w:t>
            </w:r>
          </w:p>
        </w:tc>
        <w:tc>
          <w:tcPr>
            <w:tcW w:w="1267" w:type="dxa"/>
            <w:shd w:val="clear" w:color="auto" w:fill="C0C0C0"/>
            <w:noWrap/>
            <w:vAlign w:val="center"/>
          </w:tcPr>
          <w:p w:rsidR="00BB42F2" w:rsidRPr="003C289B" w:rsidRDefault="00BB42F2" w:rsidP="00BE020B">
            <w:pPr>
              <w:jc w:val="center"/>
              <w:rPr>
                <w:b/>
                <w:bCs/>
                <w:iCs/>
              </w:rPr>
            </w:pPr>
            <w:r>
              <w:rPr>
                <w:b/>
                <w:bCs/>
                <w:iCs/>
              </w:rPr>
              <w:t>0</w:t>
            </w:r>
          </w:p>
        </w:tc>
        <w:tc>
          <w:tcPr>
            <w:tcW w:w="1267" w:type="dxa"/>
            <w:shd w:val="clear" w:color="auto" w:fill="C0C0C0"/>
            <w:noWrap/>
            <w:vAlign w:val="center"/>
          </w:tcPr>
          <w:p w:rsidR="00BB42F2" w:rsidRPr="003C289B" w:rsidRDefault="00BB42F2" w:rsidP="00BE020B">
            <w:pPr>
              <w:jc w:val="center"/>
              <w:rPr>
                <w:b/>
                <w:bCs/>
                <w:iCs/>
              </w:rPr>
            </w:pPr>
            <w:r>
              <w:rPr>
                <w:b/>
                <w:bCs/>
                <w:iCs/>
              </w:rPr>
              <w:t>0</w:t>
            </w:r>
          </w:p>
        </w:tc>
      </w:tr>
      <w:tr w:rsidR="00BB42F2" w:rsidRPr="003C289B" w:rsidTr="00BE020B">
        <w:trPr>
          <w:trHeight w:val="70"/>
          <w:jc w:val="center"/>
        </w:trPr>
        <w:tc>
          <w:tcPr>
            <w:tcW w:w="4661" w:type="dxa"/>
            <w:noWrap/>
            <w:vAlign w:val="center"/>
          </w:tcPr>
          <w:p w:rsidR="00BB42F2" w:rsidRPr="003C289B" w:rsidRDefault="00BB42F2" w:rsidP="00BE020B">
            <w:r w:rsidRPr="003C289B">
              <w:t>v tom: za každý subjekt verejnej správy / program zvlášť</w:t>
            </w:r>
          </w:p>
        </w:tc>
        <w:tc>
          <w:tcPr>
            <w:tcW w:w="1267" w:type="dxa"/>
            <w:noWrap/>
            <w:vAlign w:val="center"/>
          </w:tcPr>
          <w:p w:rsidR="00BB42F2" w:rsidRPr="003C289B" w:rsidRDefault="00BB42F2" w:rsidP="00BE020B">
            <w:pPr>
              <w:jc w:val="center"/>
            </w:pPr>
            <w:r>
              <w:rPr>
                <w:b/>
                <w:bCs/>
                <w:iCs/>
              </w:rPr>
              <w:t>812 837</w:t>
            </w:r>
          </w:p>
        </w:tc>
        <w:tc>
          <w:tcPr>
            <w:tcW w:w="1267" w:type="dxa"/>
            <w:noWrap/>
            <w:vAlign w:val="center"/>
          </w:tcPr>
          <w:p w:rsidR="00BB42F2" w:rsidRPr="003C289B" w:rsidRDefault="00BB42F2" w:rsidP="00BE020B">
            <w:pPr>
              <w:jc w:val="center"/>
            </w:pPr>
            <w:r>
              <w:rPr>
                <w:b/>
                <w:bCs/>
                <w:iCs/>
              </w:rPr>
              <w:t>960 000</w:t>
            </w:r>
          </w:p>
        </w:tc>
        <w:tc>
          <w:tcPr>
            <w:tcW w:w="1267" w:type="dxa"/>
            <w:noWrap/>
            <w:vAlign w:val="center"/>
          </w:tcPr>
          <w:p w:rsidR="00BB42F2" w:rsidRPr="003C289B" w:rsidRDefault="00BB42F2" w:rsidP="00BE020B">
            <w:pPr>
              <w:jc w:val="center"/>
            </w:pPr>
            <w:r w:rsidRPr="003C289B">
              <w:t>0</w:t>
            </w:r>
          </w:p>
        </w:tc>
        <w:tc>
          <w:tcPr>
            <w:tcW w:w="1267" w:type="dxa"/>
            <w:noWrap/>
            <w:vAlign w:val="center"/>
          </w:tcPr>
          <w:p w:rsidR="00BB42F2" w:rsidRPr="003C289B" w:rsidRDefault="00BB42F2" w:rsidP="00BE020B">
            <w:pPr>
              <w:jc w:val="center"/>
            </w:pPr>
            <w:r w:rsidRPr="003C289B">
              <w:t>0</w:t>
            </w:r>
          </w:p>
        </w:tc>
      </w:tr>
      <w:tr w:rsidR="00BB42F2" w:rsidRPr="003C289B" w:rsidTr="00BE020B">
        <w:trPr>
          <w:trHeight w:val="70"/>
          <w:jc w:val="center"/>
        </w:trPr>
        <w:tc>
          <w:tcPr>
            <w:tcW w:w="4661" w:type="dxa"/>
            <w:noWrap/>
            <w:vAlign w:val="center"/>
          </w:tcPr>
          <w:p w:rsidR="00BB42F2" w:rsidRPr="003C289B" w:rsidRDefault="00BB42F2" w:rsidP="00BE020B">
            <w:pPr>
              <w:rPr>
                <w:b/>
                <w:bCs/>
                <w:i/>
                <w:iCs/>
              </w:rPr>
            </w:pPr>
            <w:r w:rsidRPr="003C289B">
              <w:rPr>
                <w:b/>
                <w:bCs/>
                <w:i/>
                <w:iCs/>
              </w:rPr>
              <w:t xml:space="preserve">z toho: </w:t>
            </w:r>
          </w:p>
        </w:tc>
        <w:tc>
          <w:tcPr>
            <w:tcW w:w="1267" w:type="dxa"/>
            <w:noWrap/>
            <w:vAlign w:val="center"/>
          </w:tcPr>
          <w:p w:rsidR="00BB42F2" w:rsidRPr="003C289B" w:rsidRDefault="00BB42F2" w:rsidP="00BE020B">
            <w:pPr>
              <w:jc w:val="center"/>
              <w:rPr>
                <w:b/>
                <w:bCs/>
                <w:iCs/>
              </w:rPr>
            </w:pPr>
          </w:p>
        </w:tc>
        <w:tc>
          <w:tcPr>
            <w:tcW w:w="1267" w:type="dxa"/>
            <w:noWrap/>
            <w:vAlign w:val="center"/>
          </w:tcPr>
          <w:p w:rsidR="00BB42F2" w:rsidRPr="003C289B" w:rsidRDefault="00BB42F2" w:rsidP="00BE020B">
            <w:pPr>
              <w:jc w:val="center"/>
              <w:rPr>
                <w:b/>
                <w:bCs/>
                <w:iCs/>
              </w:rPr>
            </w:pPr>
          </w:p>
        </w:tc>
        <w:tc>
          <w:tcPr>
            <w:tcW w:w="1267" w:type="dxa"/>
            <w:noWrap/>
            <w:vAlign w:val="center"/>
          </w:tcPr>
          <w:p w:rsidR="00BB42F2" w:rsidRPr="003C289B" w:rsidRDefault="00BB42F2" w:rsidP="00BE020B">
            <w:pPr>
              <w:jc w:val="center"/>
              <w:rPr>
                <w:b/>
                <w:bCs/>
                <w:iCs/>
              </w:rPr>
            </w:pPr>
          </w:p>
        </w:tc>
        <w:tc>
          <w:tcPr>
            <w:tcW w:w="1267" w:type="dxa"/>
            <w:noWrap/>
            <w:vAlign w:val="center"/>
          </w:tcPr>
          <w:p w:rsidR="00BB42F2" w:rsidRPr="003C289B" w:rsidRDefault="00BB42F2" w:rsidP="00BE020B">
            <w:pPr>
              <w:jc w:val="center"/>
              <w:rPr>
                <w:b/>
                <w:bCs/>
                <w:iCs/>
              </w:rPr>
            </w:pPr>
          </w:p>
        </w:tc>
      </w:tr>
      <w:tr w:rsidR="00BB42F2" w:rsidRPr="003C289B" w:rsidTr="00BE020B">
        <w:trPr>
          <w:trHeight w:val="70"/>
          <w:jc w:val="center"/>
        </w:trPr>
        <w:tc>
          <w:tcPr>
            <w:tcW w:w="4661" w:type="dxa"/>
            <w:noWrap/>
            <w:vAlign w:val="center"/>
          </w:tcPr>
          <w:p w:rsidR="00BB42F2" w:rsidRPr="003C289B" w:rsidRDefault="00BB42F2" w:rsidP="00BE020B">
            <w:pPr>
              <w:rPr>
                <w:b/>
                <w:bCs/>
                <w:i/>
                <w:iCs/>
              </w:rPr>
            </w:pPr>
            <w:r w:rsidRPr="003C289B">
              <w:rPr>
                <w:b/>
                <w:bCs/>
                <w:i/>
                <w:iCs/>
              </w:rPr>
              <w:t>- vplyv na ŠR</w:t>
            </w:r>
          </w:p>
        </w:tc>
        <w:tc>
          <w:tcPr>
            <w:tcW w:w="1267" w:type="dxa"/>
            <w:noWrap/>
            <w:vAlign w:val="center"/>
          </w:tcPr>
          <w:p w:rsidR="00BB42F2" w:rsidRPr="003C289B" w:rsidRDefault="00BB42F2" w:rsidP="00BE020B">
            <w:pPr>
              <w:jc w:val="center"/>
              <w:rPr>
                <w:b/>
                <w:bCs/>
                <w:iCs/>
              </w:rPr>
            </w:pPr>
            <w:r>
              <w:rPr>
                <w:b/>
                <w:bCs/>
                <w:iCs/>
              </w:rPr>
              <w:t>812 837</w:t>
            </w:r>
          </w:p>
        </w:tc>
        <w:tc>
          <w:tcPr>
            <w:tcW w:w="1267" w:type="dxa"/>
            <w:noWrap/>
            <w:vAlign w:val="center"/>
          </w:tcPr>
          <w:p w:rsidR="00BB42F2" w:rsidRPr="003C289B" w:rsidRDefault="00BB42F2" w:rsidP="00BE020B">
            <w:pPr>
              <w:jc w:val="center"/>
              <w:rPr>
                <w:b/>
                <w:bCs/>
                <w:iCs/>
              </w:rPr>
            </w:pPr>
            <w:r>
              <w:rPr>
                <w:b/>
                <w:bCs/>
                <w:iCs/>
              </w:rPr>
              <w:t>960 000</w:t>
            </w:r>
          </w:p>
        </w:tc>
        <w:tc>
          <w:tcPr>
            <w:tcW w:w="1267" w:type="dxa"/>
            <w:noWrap/>
          </w:tcPr>
          <w:p w:rsidR="00BB42F2" w:rsidRPr="003C289B" w:rsidRDefault="00BB42F2" w:rsidP="00BE020B">
            <w:pPr>
              <w:jc w:val="center"/>
              <w:rPr>
                <w:b/>
                <w:bCs/>
              </w:rPr>
            </w:pPr>
            <w:r>
              <w:rPr>
                <w:b/>
                <w:bCs/>
              </w:rPr>
              <w:t>0</w:t>
            </w:r>
          </w:p>
        </w:tc>
        <w:tc>
          <w:tcPr>
            <w:tcW w:w="1267" w:type="dxa"/>
            <w:noWrap/>
          </w:tcPr>
          <w:p w:rsidR="00BB42F2" w:rsidRPr="003C289B" w:rsidRDefault="00BB42F2" w:rsidP="00BE020B">
            <w:pPr>
              <w:jc w:val="center"/>
              <w:rPr>
                <w:b/>
                <w:bCs/>
              </w:rPr>
            </w:pPr>
            <w:r>
              <w:rPr>
                <w:b/>
                <w:bCs/>
              </w:rPr>
              <w:t>0</w:t>
            </w:r>
          </w:p>
        </w:tc>
      </w:tr>
      <w:tr w:rsidR="00BB42F2" w:rsidRPr="003C289B" w:rsidTr="00BE020B">
        <w:trPr>
          <w:trHeight w:val="70"/>
          <w:jc w:val="center"/>
        </w:trPr>
        <w:tc>
          <w:tcPr>
            <w:tcW w:w="4661" w:type="dxa"/>
            <w:noWrap/>
            <w:vAlign w:val="center"/>
          </w:tcPr>
          <w:p w:rsidR="00BB42F2" w:rsidRPr="003C289B" w:rsidRDefault="00BB42F2" w:rsidP="00BE020B">
            <w:pPr>
              <w:ind w:left="259"/>
              <w:rPr>
                <w:b/>
                <w:bCs/>
                <w:i/>
                <w:iCs/>
              </w:rPr>
            </w:pPr>
            <w:r w:rsidRPr="003C289B">
              <w:rPr>
                <w:bCs/>
                <w:i/>
                <w:iCs/>
              </w:rPr>
              <w:t>Rozpočtové prostriedky</w:t>
            </w:r>
          </w:p>
        </w:tc>
        <w:tc>
          <w:tcPr>
            <w:tcW w:w="1267" w:type="dxa"/>
            <w:noWrap/>
            <w:vAlign w:val="center"/>
          </w:tcPr>
          <w:p w:rsidR="00BB42F2" w:rsidRPr="003C289B" w:rsidRDefault="00BB42F2" w:rsidP="00BE020B">
            <w:pPr>
              <w:jc w:val="center"/>
              <w:rPr>
                <w:b/>
                <w:bCs/>
                <w:iCs/>
              </w:rPr>
            </w:pPr>
            <w:r>
              <w:rPr>
                <w:b/>
                <w:bCs/>
                <w:iCs/>
              </w:rPr>
              <w:t>812 837</w:t>
            </w:r>
          </w:p>
        </w:tc>
        <w:tc>
          <w:tcPr>
            <w:tcW w:w="1267" w:type="dxa"/>
            <w:noWrap/>
            <w:vAlign w:val="center"/>
          </w:tcPr>
          <w:p w:rsidR="00BB42F2" w:rsidRPr="003C289B" w:rsidRDefault="00BB42F2" w:rsidP="00BE020B">
            <w:pPr>
              <w:jc w:val="center"/>
              <w:rPr>
                <w:b/>
                <w:bCs/>
                <w:iCs/>
              </w:rPr>
            </w:pPr>
            <w:r>
              <w:rPr>
                <w:b/>
                <w:bCs/>
                <w:iCs/>
              </w:rPr>
              <w:t>960 000</w:t>
            </w:r>
          </w:p>
        </w:tc>
        <w:tc>
          <w:tcPr>
            <w:tcW w:w="1267" w:type="dxa"/>
            <w:noWrap/>
            <w:vAlign w:val="center"/>
          </w:tcPr>
          <w:p w:rsidR="00BB42F2" w:rsidRPr="0019292F" w:rsidRDefault="00BB42F2" w:rsidP="00BE020B">
            <w:pPr>
              <w:jc w:val="center"/>
              <w:rPr>
                <w:bCs/>
                <w:iCs/>
              </w:rPr>
            </w:pPr>
            <w:r>
              <w:rPr>
                <w:bCs/>
                <w:iCs/>
              </w:rPr>
              <w:t>0</w:t>
            </w:r>
          </w:p>
        </w:tc>
        <w:tc>
          <w:tcPr>
            <w:tcW w:w="1267" w:type="dxa"/>
            <w:noWrap/>
            <w:vAlign w:val="center"/>
          </w:tcPr>
          <w:p w:rsidR="00BB42F2" w:rsidRPr="0019292F" w:rsidRDefault="00BB42F2" w:rsidP="00BE020B">
            <w:pPr>
              <w:jc w:val="center"/>
              <w:rPr>
                <w:bCs/>
                <w:iCs/>
              </w:rPr>
            </w:pPr>
            <w:r>
              <w:rPr>
                <w:bCs/>
                <w:iCs/>
              </w:rPr>
              <w:t>0</w:t>
            </w:r>
          </w:p>
        </w:tc>
      </w:tr>
      <w:tr w:rsidR="00BB42F2" w:rsidRPr="003C289B" w:rsidTr="00BE020B">
        <w:trPr>
          <w:trHeight w:val="70"/>
          <w:jc w:val="center"/>
        </w:trPr>
        <w:tc>
          <w:tcPr>
            <w:tcW w:w="4661" w:type="dxa"/>
            <w:noWrap/>
            <w:vAlign w:val="center"/>
          </w:tcPr>
          <w:p w:rsidR="00BB42F2" w:rsidRPr="003C289B" w:rsidRDefault="00BB42F2" w:rsidP="00BE020B">
            <w:pPr>
              <w:rPr>
                <w:bCs/>
                <w:i/>
                <w:iCs/>
              </w:rPr>
            </w:pPr>
            <w:r w:rsidRPr="003C289B">
              <w:rPr>
                <w:bCs/>
                <w:i/>
                <w:iCs/>
              </w:rPr>
              <w:t xml:space="preserve">    EÚ zdroje</w:t>
            </w:r>
          </w:p>
        </w:tc>
        <w:tc>
          <w:tcPr>
            <w:tcW w:w="1267" w:type="dxa"/>
            <w:noWrap/>
            <w:vAlign w:val="center"/>
          </w:tcPr>
          <w:p w:rsidR="00BB42F2" w:rsidRPr="003C289B" w:rsidRDefault="00BB42F2" w:rsidP="00BE020B">
            <w:pPr>
              <w:jc w:val="center"/>
            </w:pPr>
            <w:r w:rsidRPr="003C289B">
              <w:t>0</w:t>
            </w:r>
          </w:p>
        </w:tc>
        <w:tc>
          <w:tcPr>
            <w:tcW w:w="1267" w:type="dxa"/>
            <w:noWrap/>
            <w:vAlign w:val="center"/>
          </w:tcPr>
          <w:p w:rsidR="00BB42F2" w:rsidRPr="003C289B" w:rsidRDefault="00BB42F2" w:rsidP="00BE020B">
            <w:pPr>
              <w:jc w:val="center"/>
            </w:pPr>
            <w:r w:rsidRPr="003C289B">
              <w:t>0</w:t>
            </w:r>
          </w:p>
        </w:tc>
        <w:tc>
          <w:tcPr>
            <w:tcW w:w="1267" w:type="dxa"/>
            <w:noWrap/>
            <w:vAlign w:val="center"/>
          </w:tcPr>
          <w:p w:rsidR="00BB42F2" w:rsidRPr="003C289B" w:rsidRDefault="00BB42F2" w:rsidP="00BE020B">
            <w:pPr>
              <w:jc w:val="center"/>
            </w:pPr>
            <w:r w:rsidRPr="003C289B">
              <w:t>0</w:t>
            </w:r>
          </w:p>
        </w:tc>
        <w:tc>
          <w:tcPr>
            <w:tcW w:w="1267" w:type="dxa"/>
            <w:noWrap/>
            <w:vAlign w:val="center"/>
          </w:tcPr>
          <w:p w:rsidR="00BB42F2" w:rsidRPr="003C289B" w:rsidRDefault="00BB42F2" w:rsidP="00BE020B">
            <w:pPr>
              <w:jc w:val="center"/>
            </w:pPr>
            <w:r w:rsidRPr="003C289B">
              <w:t>0</w:t>
            </w:r>
          </w:p>
        </w:tc>
      </w:tr>
      <w:tr w:rsidR="00BB42F2" w:rsidRPr="003C289B" w:rsidTr="00BE020B">
        <w:trPr>
          <w:trHeight w:val="70"/>
          <w:jc w:val="center"/>
        </w:trPr>
        <w:tc>
          <w:tcPr>
            <w:tcW w:w="4661" w:type="dxa"/>
            <w:noWrap/>
            <w:vAlign w:val="center"/>
          </w:tcPr>
          <w:p w:rsidR="00BB42F2" w:rsidRPr="003C289B" w:rsidRDefault="00BB42F2" w:rsidP="00BE020B">
            <w:pPr>
              <w:rPr>
                <w:bCs/>
                <w:i/>
                <w:iCs/>
              </w:rPr>
            </w:pPr>
            <w:r w:rsidRPr="003C289B">
              <w:rPr>
                <w:bCs/>
                <w:i/>
                <w:iCs/>
              </w:rPr>
              <w:t xml:space="preserve">    spolufinancovanie</w:t>
            </w:r>
          </w:p>
        </w:tc>
        <w:tc>
          <w:tcPr>
            <w:tcW w:w="1267" w:type="dxa"/>
            <w:noWrap/>
            <w:vAlign w:val="center"/>
          </w:tcPr>
          <w:p w:rsidR="00BB42F2" w:rsidRPr="003C289B" w:rsidRDefault="00BB42F2" w:rsidP="00BE020B">
            <w:pPr>
              <w:jc w:val="center"/>
            </w:pPr>
            <w:r w:rsidRPr="003C289B">
              <w:t>0</w:t>
            </w:r>
          </w:p>
        </w:tc>
        <w:tc>
          <w:tcPr>
            <w:tcW w:w="1267" w:type="dxa"/>
            <w:noWrap/>
            <w:vAlign w:val="center"/>
          </w:tcPr>
          <w:p w:rsidR="00BB42F2" w:rsidRPr="003C289B" w:rsidRDefault="00BB42F2" w:rsidP="00BE020B">
            <w:pPr>
              <w:jc w:val="center"/>
            </w:pPr>
            <w:r w:rsidRPr="003C289B">
              <w:t>0</w:t>
            </w:r>
          </w:p>
        </w:tc>
        <w:tc>
          <w:tcPr>
            <w:tcW w:w="1267" w:type="dxa"/>
            <w:noWrap/>
            <w:vAlign w:val="center"/>
          </w:tcPr>
          <w:p w:rsidR="00BB42F2" w:rsidRPr="003C289B" w:rsidRDefault="00BB42F2" w:rsidP="00BE020B">
            <w:pPr>
              <w:jc w:val="center"/>
            </w:pPr>
            <w:r w:rsidRPr="003C289B">
              <w:t>0</w:t>
            </w:r>
          </w:p>
        </w:tc>
        <w:tc>
          <w:tcPr>
            <w:tcW w:w="1267" w:type="dxa"/>
            <w:noWrap/>
            <w:vAlign w:val="center"/>
          </w:tcPr>
          <w:p w:rsidR="00BB42F2" w:rsidRPr="003C289B" w:rsidRDefault="00BB42F2" w:rsidP="00BE020B">
            <w:pPr>
              <w:jc w:val="center"/>
            </w:pPr>
            <w:r w:rsidRPr="003C289B">
              <w:t>0</w:t>
            </w:r>
          </w:p>
        </w:tc>
      </w:tr>
      <w:tr w:rsidR="00BB42F2" w:rsidRPr="003C289B" w:rsidTr="00BE020B">
        <w:trPr>
          <w:trHeight w:val="125"/>
          <w:jc w:val="center"/>
        </w:trPr>
        <w:tc>
          <w:tcPr>
            <w:tcW w:w="4661" w:type="dxa"/>
            <w:noWrap/>
            <w:vAlign w:val="center"/>
          </w:tcPr>
          <w:p w:rsidR="00BB42F2" w:rsidRPr="003C289B" w:rsidRDefault="00BB42F2" w:rsidP="00BE020B">
            <w:pPr>
              <w:rPr>
                <w:b/>
                <w:bCs/>
                <w:i/>
                <w:iCs/>
              </w:rPr>
            </w:pPr>
            <w:r w:rsidRPr="003C289B">
              <w:rPr>
                <w:b/>
                <w:bCs/>
                <w:i/>
                <w:iCs/>
              </w:rPr>
              <w:t>- vplyv na obce</w:t>
            </w:r>
          </w:p>
        </w:tc>
        <w:tc>
          <w:tcPr>
            <w:tcW w:w="1267" w:type="dxa"/>
            <w:noWrap/>
            <w:vAlign w:val="center"/>
          </w:tcPr>
          <w:p w:rsidR="00BB42F2" w:rsidRPr="003C289B" w:rsidRDefault="00BB42F2" w:rsidP="00BE020B">
            <w:pPr>
              <w:jc w:val="center"/>
              <w:rPr>
                <w:b/>
                <w:bCs/>
                <w:iCs/>
              </w:rPr>
            </w:pPr>
            <w:r w:rsidRPr="003C289B">
              <w:rPr>
                <w:b/>
                <w:bCs/>
                <w:iCs/>
              </w:rPr>
              <w:t>0</w:t>
            </w:r>
          </w:p>
        </w:tc>
        <w:tc>
          <w:tcPr>
            <w:tcW w:w="1267" w:type="dxa"/>
            <w:noWrap/>
            <w:vAlign w:val="center"/>
          </w:tcPr>
          <w:p w:rsidR="00BB42F2" w:rsidRPr="003C289B" w:rsidRDefault="00BB42F2" w:rsidP="00BE020B">
            <w:pPr>
              <w:jc w:val="center"/>
              <w:rPr>
                <w:b/>
                <w:bCs/>
                <w:iCs/>
              </w:rPr>
            </w:pPr>
            <w:r w:rsidRPr="003C289B">
              <w:rPr>
                <w:b/>
                <w:bCs/>
                <w:iCs/>
              </w:rPr>
              <w:t>0</w:t>
            </w:r>
          </w:p>
        </w:tc>
        <w:tc>
          <w:tcPr>
            <w:tcW w:w="1267" w:type="dxa"/>
            <w:noWrap/>
            <w:vAlign w:val="center"/>
          </w:tcPr>
          <w:p w:rsidR="00BB42F2" w:rsidRPr="003C289B" w:rsidRDefault="00BB42F2" w:rsidP="00BE020B">
            <w:pPr>
              <w:jc w:val="center"/>
              <w:rPr>
                <w:b/>
                <w:bCs/>
                <w:iCs/>
              </w:rPr>
            </w:pPr>
            <w:r w:rsidRPr="003C289B">
              <w:rPr>
                <w:b/>
                <w:bCs/>
                <w:iCs/>
              </w:rPr>
              <w:t>0</w:t>
            </w:r>
          </w:p>
        </w:tc>
        <w:tc>
          <w:tcPr>
            <w:tcW w:w="1267" w:type="dxa"/>
            <w:noWrap/>
            <w:vAlign w:val="center"/>
          </w:tcPr>
          <w:p w:rsidR="00BB42F2" w:rsidRPr="003C289B" w:rsidRDefault="00BB42F2" w:rsidP="00BE020B">
            <w:pPr>
              <w:jc w:val="center"/>
              <w:rPr>
                <w:b/>
                <w:bCs/>
                <w:iCs/>
              </w:rPr>
            </w:pPr>
            <w:r w:rsidRPr="003C289B">
              <w:rPr>
                <w:b/>
                <w:bCs/>
                <w:iCs/>
              </w:rPr>
              <w:t>0</w:t>
            </w:r>
          </w:p>
        </w:tc>
      </w:tr>
      <w:tr w:rsidR="00BB42F2" w:rsidRPr="003C289B" w:rsidTr="00BE020B">
        <w:trPr>
          <w:trHeight w:val="125"/>
          <w:jc w:val="center"/>
        </w:trPr>
        <w:tc>
          <w:tcPr>
            <w:tcW w:w="4661" w:type="dxa"/>
            <w:noWrap/>
            <w:vAlign w:val="center"/>
          </w:tcPr>
          <w:p w:rsidR="00BB42F2" w:rsidRPr="003C289B" w:rsidRDefault="00BB42F2" w:rsidP="00BE020B">
            <w:pPr>
              <w:rPr>
                <w:b/>
                <w:bCs/>
                <w:i/>
                <w:iCs/>
              </w:rPr>
            </w:pPr>
            <w:r w:rsidRPr="003C289B">
              <w:rPr>
                <w:b/>
                <w:bCs/>
                <w:i/>
                <w:iCs/>
              </w:rPr>
              <w:t>- vplyv na vyššie územné celky</w:t>
            </w:r>
          </w:p>
        </w:tc>
        <w:tc>
          <w:tcPr>
            <w:tcW w:w="1267" w:type="dxa"/>
            <w:noWrap/>
            <w:vAlign w:val="center"/>
          </w:tcPr>
          <w:p w:rsidR="00BB42F2" w:rsidRPr="003C289B" w:rsidRDefault="00BB42F2" w:rsidP="00BE020B">
            <w:pPr>
              <w:jc w:val="center"/>
              <w:rPr>
                <w:b/>
                <w:bCs/>
                <w:iCs/>
              </w:rPr>
            </w:pPr>
            <w:r w:rsidRPr="003C289B">
              <w:rPr>
                <w:b/>
                <w:bCs/>
                <w:iCs/>
              </w:rPr>
              <w:t>0</w:t>
            </w:r>
          </w:p>
        </w:tc>
        <w:tc>
          <w:tcPr>
            <w:tcW w:w="1267" w:type="dxa"/>
            <w:noWrap/>
            <w:vAlign w:val="center"/>
          </w:tcPr>
          <w:p w:rsidR="00BB42F2" w:rsidRPr="003C289B" w:rsidRDefault="00BB42F2" w:rsidP="00BE020B">
            <w:pPr>
              <w:jc w:val="center"/>
              <w:rPr>
                <w:b/>
                <w:bCs/>
                <w:iCs/>
              </w:rPr>
            </w:pPr>
            <w:r w:rsidRPr="003C289B">
              <w:rPr>
                <w:b/>
                <w:bCs/>
                <w:iCs/>
              </w:rPr>
              <w:t>0</w:t>
            </w:r>
          </w:p>
        </w:tc>
        <w:tc>
          <w:tcPr>
            <w:tcW w:w="1267" w:type="dxa"/>
            <w:noWrap/>
            <w:vAlign w:val="center"/>
          </w:tcPr>
          <w:p w:rsidR="00BB42F2" w:rsidRPr="003C289B" w:rsidRDefault="00BB42F2" w:rsidP="00BE020B">
            <w:pPr>
              <w:jc w:val="center"/>
              <w:rPr>
                <w:b/>
                <w:bCs/>
                <w:iCs/>
              </w:rPr>
            </w:pPr>
            <w:r w:rsidRPr="003C289B">
              <w:rPr>
                <w:b/>
                <w:bCs/>
                <w:iCs/>
              </w:rPr>
              <w:t>0</w:t>
            </w:r>
          </w:p>
        </w:tc>
        <w:tc>
          <w:tcPr>
            <w:tcW w:w="1267" w:type="dxa"/>
            <w:noWrap/>
            <w:vAlign w:val="center"/>
          </w:tcPr>
          <w:p w:rsidR="00BB42F2" w:rsidRPr="003C289B" w:rsidRDefault="00BB42F2" w:rsidP="00BE020B">
            <w:pPr>
              <w:jc w:val="center"/>
              <w:rPr>
                <w:b/>
                <w:bCs/>
                <w:iCs/>
              </w:rPr>
            </w:pPr>
            <w:r w:rsidRPr="003C289B">
              <w:rPr>
                <w:b/>
                <w:bCs/>
                <w:iCs/>
              </w:rPr>
              <w:t>0</w:t>
            </w:r>
          </w:p>
        </w:tc>
      </w:tr>
      <w:tr w:rsidR="00BB42F2" w:rsidRPr="003C289B" w:rsidTr="00BE020B">
        <w:trPr>
          <w:trHeight w:val="70"/>
          <w:jc w:val="center"/>
        </w:trPr>
        <w:tc>
          <w:tcPr>
            <w:tcW w:w="4661" w:type="dxa"/>
            <w:noWrap/>
            <w:vAlign w:val="center"/>
          </w:tcPr>
          <w:p w:rsidR="00BB42F2" w:rsidRPr="003C289B" w:rsidRDefault="00BB42F2" w:rsidP="00BE020B">
            <w:pPr>
              <w:rPr>
                <w:b/>
                <w:bCs/>
              </w:rPr>
            </w:pPr>
            <w:r w:rsidRPr="003C289B">
              <w:rPr>
                <w:b/>
                <w:bCs/>
                <w:i/>
                <w:iCs/>
              </w:rPr>
              <w:t>- vplyv na ostatné subjekty verejnej správy</w:t>
            </w:r>
          </w:p>
        </w:tc>
        <w:tc>
          <w:tcPr>
            <w:tcW w:w="1267" w:type="dxa"/>
            <w:noWrap/>
            <w:vAlign w:val="center"/>
          </w:tcPr>
          <w:p w:rsidR="00BB42F2" w:rsidRPr="003C289B" w:rsidRDefault="00BB42F2" w:rsidP="00BE020B">
            <w:pPr>
              <w:jc w:val="center"/>
              <w:rPr>
                <w:b/>
                <w:bCs/>
                <w:iCs/>
              </w:rPr>
            </w:pPr>
            <w:r w:rsidRPr="003C289B">
              <w:rPr>
                <w:b/>
                <w:bCs/>
                <w:iCs/>
              </w:rPr>
              <w:t>0</w:t>
            </w:r>
          </w:p>
        </w:tc>
        <w:tc>
          <w:tcPr>
            <w:tcW w:w="1267" w:type="dxa"/>
            <w:noWrap/>
            <w:vAlign w:val="center"/>
          </w:tcPr>
          <w:p w:rsidR="00BB42F2" w:rsidRPr="003C289B" w:rsidRDefault="00BB42F2" w:rsidP="00BE020B">
            <w:pPr>
              <w:jc w:val="center"/>
              <w:rPr>
                <w:b/>
                <w:bCs/>
                <w:iCs/>
              </w:rPr>
            </w:pPr>
            <w:r w:rsidRPr="003C289B">
              <w:rPr>
                <w:b/>
                <w:bCs/>
                <w:iCs/>
              </w:rPr>
              <w:t>0</w:t>
            </w:r>
          </w:p>
        </w:tc>
        <w:tc>
          <w:tcPr>
            <w:tcW w:w="1267" w:type="dxa"/>
            <w:noWrap/>
            <w:vAlign w:val="center"/>
          </w:tcPr>
          <w:p w:rsidR="00BB42F2" w:rsidRPr="003C289B" w:rsidRDefault="00BB42F2" w:rsidP="00BE020B">
            <w:pPr>
              <w:jc w:val="center"/>
              <w:rPr>
                <w:b/>
                <w:bCs/>
                <w:iCs/>
              </w:rPr>
            </w:pPr>
            <w:r w:rsidRPr="003C289B">
              <w:rPr>
                <w:b/>
                <w:bCs/>
                <w:iCs/>
              </w:rPr>
              <w:t>0</w:t>
            </w:r>
          </w:p>
        </w:tc>
        <w:tc>
          <w:tcPr>
            <w:tcW w:w="1267" w:type="dxa"/>
            <w:noWrap/>
            <w:vAlign w:val="center"/>
          </w:tcPr>
          <w:p w:rsidR="00BB42F2" w:rsidRPr="003C289B" w:rsidRDefault="00BB42F2" w:rsidP="00BE020B">
            <w:pPr>
              <w:jc w:val="center"/>
              <w:rPr>
                <w:b/>
                <w:bCs/>
                <w:iCs/>
              </w:rPr>
            </w:pPr>
            <w:r w:rsidRPr="003C289B">
              <w:rPr>
                <w:b/>
                <w:bCs/>
                <w:iCs/>
              </w:rPr>
              <w:t>0</w:t>
            </w:r>
          </w:p>
        </w:tc>
      </w:tr>
      <w:tr w:rsidR="00BB42F2" w:rsidRPr="003C289B" w:rsidTr="00BE020B">
        <w:trPr>
          <w:trHeight w:val="70"/>
          <w:jc w:val="center"/>
        </w:trPr>
        <w:tc>
          <w:tcPr>
            <w:tcW w:w="4661" w:type="dxa"/>
            <w:shd w:val="clear" w:color="auto" w:fill="BFBFBF" w:themeFill="background1" w:themeFillShade="BF"/>
            <w:noWrap/>
            <w:vAlign w:val="center"/>
          </w:tcPr>
          <w:p w:rsidR="00BB42F2" w:rsidRPr="003C289B" w:rsidRDefault="00BB42F2" w:rsidP="00BE020B">
            <w:pPr>
              <w:rPr>
                <w:b/>
                <w:bCs/>
              </w:rPr>
            </w:pPr>
            <w:r w:rsidRPr="003C289B">
              <w:rPr>
                <w:b/>
                <w:bCs/>
              </w:rPr>
              <w:t xml:space="preserve">Vplyv na počet zamestnancov </w:t>
            </w:r>
          </w:p>
        </w:tc>
        <w:tc>
          <w:tcPr>
            <w:tcW w:w="1267" w:type="dxa"/>
            <w:shd w:val="clear" w:color="auto" w:fill="BFBFBF" w:themeFill="background1" w:themeFillShade="BF"/>
            <w:noWrap/>
            <w:vAlign w:val="center"/>
          </w:tcPr>
          <w:p w:rsidR="00BB42F2" w:rsidRPr="003C289B" w:rsidRDefault="00BB42F2" w:rsidP="00BE020B">
            <w:pPr>
              <w:jc w:val="center"/>
              <w:rPr>
                <w:b/>
                <w:bCs/>
              </w:rPr>
            </w:pPr>
            <w:r w:rsidRPr="003C289B">
              <w:rPr>
                <w:b/>
                <w:bCs/>
              </w:rPr>
              <w:t>0</w:t>
            </w:r>
          </w:p>
        </w:tc>
        <w:tc>
          <w:tcPr>
            <w:tcW w:w="1267" w:type="dxa"/>
            <w:shd w:val="clear" w:color="auto" w:fill="BFBFBF" w:themeFill="background1" w:themeFillShade="BF"/>
            <w:noWrap/>
            <w:vAlign w:val="center"/>
          </w:tcPr>
          <w:p w:rsidR="00BB42F2" w:rsidRPr="003C289B" w:rsidRDefault="00BB42F2" w:rsidP="00BE020B">
            <w:pPr>
              <w:jc w:val="center"/>
              <w:rPr>
                <w:b/>
                <w:bCs/>
                <w:iCs/>
              </w:rPr>
            </w:pPr>
            <w:r>
              <w:rPr>
                <w:b/>
                <w:bCs/>
                <w:iCs/>
              </w:rPr>
              <w:t>0</w:t>
            </w:r>
          </w:p>
        </w:tc>
        <w:tc>
          <w:tcPr>
            <w:tcW w:w="1267" w:type="dxa"/>
            <w:shd w:val="clear" w:color="auto" w:fill="BFBFBF" w:themeFill="background1" w:themeFillShade="BF"/>
            <w:noWrap/>
            <w:vAlign w:val="center"/>
          </w:tcPr>
          <w:p w:rsidR="00BB42F2" w:rsidRPr="003C289B" w:rsidRDefault="00BB42F2" w:rsidP="00BE020B">
            <w:pPr>
              <w:jc w:val="center"/>
              <w:rPr>
                <w:b/>
                <w:bCs/>
                <w:iCs/>
              </w:rPr>
            </w:pPr>
            <w:r>
              <w:rPr>
                <w:b/>
                <w:bCs/>
                <w:iCs/>
              </w:rPr>
              <w:t>0</w:t>
            </w:r>
          </w:p>
        </w:tc>
        <w:tc>
          <w:tcPr>
            <w:tcW w:w="1267" w:type="dxa"/>
            <w:shd w:val="clear" w:color="auto" w:fill="BFBFBF" w:themeFill="background1" w:themeFillShade="BF"/>
            <w:noWrap/>
            <w:vAlign w:val="center"/>
          </w:tcPr>
          <w:p w:rsidR="00BB42F2" w:rsidRPr="003C289B" w:rsidRDefault="00BB42F2" w:rsidP="00BE020B">
            <w:pPr>
              <w:jc w:val="center"/>
              <w:rPr>
                <w:b/>
                <w:bCs/>
                <w:iCs/>
              </w:rPr>
            </w:pPr>
            <w:r>
              <w:rPr>
                <w:b/>
                <w:bCs/>
                <w:iCs/>
              </w:rPr>
              <w:t>0</w:t>
            </w:r>
          </w:p>
        </w:tc>
      </w:tr>
      <w:tr w:rsidR="00BB42F2" w:rsidRPr="003C289B" w:rsidTr="00BE020B">
        <w:trPr>
          <w:trHeight w:val="70"/>
          <w:jc w:val="center"/>
        </w:trPr>
        <w:tc>
          <w:tcPr>
            <w:tcW w:w="4661" w:type="dxa"/>
            <w:noWrap/>
            <w:vAlign w:val="center"/>
          </w:tcPr>
          <w:p w:rsidR="00BB42F2" w:rsidRPr="003C289B" w:rsidRDefault="00BB42F2" w:rsidP="00BE020B">
            <w:pPr>
              <w:rPr>
                <w:b/>
                <w:bCs/>
                <w:i/>
                <w:iCs/>
              </w:rPr>
            </w:pPr>
            <w:r w:rsidRPr="003C289B">
              <w:rPr>
                <w:b/>
                <w:bCs/>
                <w:i/>
                <w:iCs/>
              </w:rPr>
              <w:t>- vplyv na ŠR</w:t>
            </w:r>
          </w:p>
        </w:tc>
        <w:tc>
          <w:tcPr>
            <w:tcW w:w="1267" w:type="dxa"/>
            <w:noWrap/>
            <w:vAlign w:val="center"/>
          </w:tcPr>
          <w:p w:rsidR="00BB42F2" w:rsidRPr="003C289B" w:rsidRDefault="00BB42F2" w:rsidP="00BE020B">
            <w:pPr>
              <w:jc w:val="center"/>
              <w:rPr>
                <w:b/>
                <w:bCs/>
                <w:iCs/>
              </w:rPr>
            </w:pPr>
            <w:r w:rsidRPr="003C289B">
              <w:rPr>
                <w:b/>
                <w:bCs/>
                <w:iCs/>
              </w:rPr>
              <w:t>0</w:t>
            </w:r>
          </w:p>
        </w:tc>
        <w:tc>
          <w:tcPr>
            <w:tcW w:w="1267" w:type="dxa"/>
            <w:noWrap/>
            <w:vAlign w:val="center"/>
          </w:tcPr>
          <w:p w:rsidR="00BB42F2" w:rsidRPr="003C289B" w:rsidRDefault="00BB42F2" w:rsidP="00BE020B">
            <w:pPr>
              <w:jc w:val="center"/>
              <w:rPr>
                <w:b/>
                <w:bCs/>
                <w:iCs/>
              </w:rPr>
            </w:pPr>
            <w:r>
              <w:rPr>
                <w:b/>
                <w:bCs/>
                <w:iCs/>
              </w:rPr>
              <w:t>0</w:t>
            </w:r>
          </w:p>
        </w:tc>
        <w:tc>
          <w:tcPr>
            <w:tcW w:w="1267" w:type="dxa"/>
            <w:noWrap/>
            <w:vAlign w:val="center"/>
          </w:tcPr>
          <w:p w:rsidR="00BB42F2" w:rsidRPr="003C289B" w:rsidRDefault="00BB42F2" w:rsidP="00BE020B">
            <w:pPr>
              <w:jc w:val="center"/>
              <w:rPr>
                <w:b/>
                <w:bCs/>
                <w:iCs/>
              </w:rPr>
            </w:pPr>
            <w:r>
              <w:rPr>
                <w:b/>
                <w:bCs/>
                <w:iCs/>
              </w:rPr>
              <w:t>0</w:t>
            </w:r>
          </w:p>
        </w:tc>
        <w:tc>
          <w:tcPr>
            <w:tcW w:w="1267" w:type="dxa"/>
            <w:noWrap/>
            <w:vAlign w:val="center"/>
          </w:tcPr>
          <w:p w:rsidR="00BB42F2" w:rsidRPr="003C289B" w:rsidRDefault="00BB42F2" w:rsidP="00BE020B">
            <w:pPr>
              <w:jc w:val="center"/>
              <w:rPr>
                <w:b/>
                <w:bCs/>
                <w:iCs/>
              </w:rPr>
            </w:pPr>
            <w:r>
              <w:rPr>
                <w:b/>
                <w:bCs/>
                <w:iCs/>
              </w:rPr>
              <w:t>0</w:t>
            </w:r>
          </w:p>
        </w:tc>
      </w:tr>
      <w:tr w:rsidR="00BB42F2" w:rsidRPr="003C289B" w:rsidTr="00BE020B">
        <w:trPr>
          <w:trHeight w:val="70"/>
          <w:jc w:val="center"/>
        </w:trPr>
        <w:tc>
          <w:tcPr>
            <w:tcW w:w="4661" w:type="dxa"/>
            <w:noWrap/>
            <w:vAlign w:val="center"/>
          </w:tcPr>
          <w:p w:rsidR="00BB42F2" w:rsidRPr="003C289B" w:rsidRDefault="00BB42F2" w:rsidP="00BE020B">
            <w:pPr>
              <w:rPr>
                <w:b/>
                <w:bCs/>
                <w:i/>
                <w:iCs/>
              </w:rPr>
            </w:pPr>
            <w:r w:rsidRPr="003C289B">
              <w:rPr>
                <w:b/>
                <w:bCs/>
                <w:i/>
                <w:iCs/>
              </w:rPr>
              <w:t>- vplyv na obce</w:t>
            </w:r>
          </w:p>
        </w:tc>
        <w:tc>
          <w:tcPr>
            <w:tcW w:w="1267" w:type="dxa"/>
            <w:noWrap/>
            <w:vAlign w:val="center"/>
          </w:tcPr>
          <w:p w:rsidR="00BB42F2" w:rsidRPr="003C289B" w:rsidRDefault="00BB42F2" w:rsidP="00BE020B">
            <w:pPr>
              <w:jc w:val="center"/>
              <w:rPr>
                <w:b/>
                <w:bCs/>
                <w:iCs/>
              </w:rPr>
            </w:pPr>
            <w:r w:rsidRPr="003C289B">
              <w:rPr>
                <w:b/>
                <w:bCs/>
                <w:iCs/>
              </w:rPr>
              <w:t>0</w:t>
            </w:r>
          </w:p>
        </w:tc>
        <w:tc>
          <w:tcPr>
            <w:tcW w:w="1267" w:type="dxa"/>
            <w:noWrap/>
            <w:vAlign w:val="center"/>
          </w:tcPr>
          <w:p w:rsidR="00BB42F2" w:rsidRPr="003C289B" w:rsidRDefault="00BB42F2" w:rsidP="00BE020B">
            <w:pPr>
              <w:jc w:val="center"/>
              <w:rPr>
                <w:b/>
                <w:bCs/>
                <w:iCs/>
              </w:rPr>
            </w:pPr>
            <w:r w:rsidRPr="003C289B">
              <w:rPr>
                <w:b/>
                <w:bCs/>
                <w:iCs/>
              </w:rPr>
              <w:t>0</w:t>
            </w:r>
          </w:p>
        </w:tc>
        <w:tc>
          <w:tcPr>
            <w:tcW w:w="1267" w:type="dxa"/>
            <w:noWrap/>
            <w:vAlign w:val="center"/>
          </w:tcPr>
          <w:p w:rsidR="00BB42F2" w:rsidRPr="003C289B" w:rsidRDefault="00BB42F2" w:rsidP="00BE020B">
            <w:pPr>
              <w:jc w:val="center"/>
              <w:rPr>
                <w:b/>
                <w:bCs/>
                <w:iCs/>
              </w:rPr>
            </w:pPr>
            <w:r w:rsidRPr="003C289B">
              <w:rPr>
                <w:b/>
                <w:bCs/>
                <w:iCs/>
              </w:rPr>
              <w:t>0</w:t>
            </w:r>
          </w:p>
        </w:tc>
        <w:tc>
          <w:tcPr>
            <w:tcW w:w="1267" w:type="dxa"/>
            <w:noWrap/>
            <w:vAlign w:val="center"/>
          </w:tcPr>
          <w:p w:rsidR="00BB42F2" w:rsidRPr="003C289B" w:rsidRDefault="00BB42F2" w:rsidP="00BE020B">
            <w:pPr>
              <w:jc w:val="center"/>
              <w:rPr>
                <w:b/>
                <w:bCs/>
                <w:iCs/>
              </w:rPr>
            </w:pPr>
            <w:r w:rsidRPr="003C289B">
              <w:rPr>
                <w:b/>
                <w:bCs/>
                <w:iCs/>
              </w:rPr>
              <w:t>0</w:t>
            </w:r>
          </w:p>
        </w:tc>
      </w:tr>
      <w:tr w:rsidR="00BB42F2" w:rsidRPr="003C289B" w:rsidTr="00BE020B">
        <w:trPr>
          <w:trHeight w:val="70"/>
          <w:jc w:val="center"/>
        </w:trPr>
        <w:tc>
          <w:tcPr>
            <w:tcW w:w="4661" w:type="dxa"/>
            <w:noWrap/>
            <w:vAlign w:val="center"/>
          </w:tcPr>
          <w:p w:rsidR="00BB42F2" w:rsidRPr="003C289B" w:rsidRDefault="00BB42F2" w:rsidP="00BE020B">
            <w:pPr>
              <w:rPr>
                <w:b/>
                <w:bCs/>
                <w:i/>
                <w:iCs/>
              </w:rPr>
            </w:pPr>
            <w:r w:rsidRPr="003C289B">
              <w:rPr>
                <w:b/>
                <w:bCs/>
                <w:i/>
                <w:iCs/>
              </w:rPr>
              <w:t>- vplyv na vyššie územné celky</w:t>
            </w:r>
          </w:p>
        </w:tc>
        <w:tc>
          <w:tcPr>
            <w:tcW w:w="1267" w:type="dxa"/>
            <w:noWrap/>
            <w:vAlign w:val="center"/>
          </w:tcPr>
          <w:p w:rsidR="00BB42F2" w:rsidRPr="003C289B" w:rsidRDefault="00BB42F2" w:rsidP="00BE020B">
            <w:pPr>
              <w:jc w:val="center"/>
              <w:rPr>
                <w:b/>
                <w:bCs/>
                <w:iCs/>
              </w:rPr>
            </w:pPr>
            <w:r w:rsidRPr="003C289B">
              <w:rPr>
                <w:b/>
                <w:bCs/>
                <w:iCs/>
              </w:rPr>
              <w:t>0</w:t>
            </w:r>
          </w:p>
        </w:tc>
        <w:tc>
          <w:tcPr>
            <w:tcW w:w="1267" w:type="dxa"/>
            <w:noWrap/>
            <w:vAlign w:val="center"/>
          </w:tcPr>
          <w:p w:rsidR="00BB42F2" w:rsidRPr="003C289B" w:rsidRDefault="00BB42F2" w:rsidP="00BE020B">
            <w:pPr>
              <w:jc w:val="center"/>
              <w:rPr>
                <w:b/>
                <w:bCs/>
                <w:iCs/>
              </w:rPr>
            </w:pPr>
            <w:r w:rsidRPr="003C289B">
              <w:rPr>
                <w:b/>
                <w:bCs/>
                <w:iCs/>
              </w:rPr>
              <w:t>0</w:t>
            </w:r>
          </w:p>
        </w:tc>
        <w:tc>
          <w:tcPr>
            <w:tcW w:w="1267" w:type="dxa"/>
            <w:noWrap/>
            <w:vAlign w:val="center"/>
          </w:tcPr>
          <w:p w:rsidR="00BB42F2" w:rsidRPr="003C289B" w:rsidRDefault="00BB42F2" w:rsidP="00BE020B">
            <w:pPr>
              <w:jc w:val="center"/>
              <w:rPr>
                <w:b/>
                <w:bCs/>
                <w:iCs/>
              </w:rPr>
            </w:pPr>
            <w:r w:rsidRPr="003C289B">
              <w:rPr>
                <w:b/>
                <w:bCs/>
                <w:iCs/>
              </w:rPr>
              <w:t>0</w:t>
            </w:r>
          </w:p>
        </w:tc>
        <w:tc>
          <w:tcPr>
            <w:tcW w:w="1267" w:type="dxa"/>
            <w:noWrap/>
            <w:vAlign w:val="center"/>
          </w:tcPr>
          <w:p w:rsidR="00BB42F2" w:rsidRPr="003C289B" w:rsidRDefault="00BB42F2" w:rsidP="00BE020B">
            <w:pPr>
              <w:jc w:val="center"/>
              <w:rPr>
                <w:b/>
                <w:bCs/>
                <w:iCs/>
              </w:rPr>
            </w:pPr>
            <w:r w:rsidRPr="003C289B">
              <w:rPr>
                <w:b/>
                <w:bCs/>
                <w:iCs/>
              </w:rPr>
              <w:t>0</w:t>
            </w:r>
          </w:p>
        </w:tc>
      </w:tr>
      <w:tr w:rsidR="00BB42F2" w:rsidRPr="003C289B" w:rsidTr="00BE020B">
        <w:trPr>
          <w:trHeight w:val="70"/>
          <w:jc w:val="center"/>
        </w:trPr>
        <w:tc>
          <w:tcPr>
            <w:tcW w:w="4661" w:type="dxa"/>
            <w:noWrap/>
            <w:vAlign w:val="center"/>
          </w:tcPr>
          <w:p w:rsidR="00BB42F2" w:rsidRPr="003C289B" w:rsidRDefault="00BB42F2" w:rsidP="00BE020B">
            <w:pPr>
              <w:rPr>
                <w:b/>
                <w:bCs/>
                <w:i/>
                <w:iCs/>
              </w:rPr>
            </w:pPr>
            <w:r w:rsidRPr="003C289B">
              <w:rPr>
                <w:b/>
                <w:bCs/>
                <w:i/>
                <w:iCs/>
              </w:rPr>
              <w:t>- vplyv na ostatné subjekty verejnej správy</w:t>
            </w:r>
          </w:p>
        </w:tc>
        <w:tc>
          <w:tcPr>
            <w:tcW w:w="1267" w:type="dxa"/>
            <w:noWrap/>
            <w:vAlign w:val="center"/>
          </w:tcPr>
          <w:p w:rsidR="00BB42F2" w:rsidRPr="003C289B" w:rsidRDefault="00BB42F2" w:rsidP="00BE020B">
            <w:pPr>
              <w:jc w:val="center"/>
              <w:rPr>
                <w:b/>
                <w:bCs/>
                <w:iCs/>
              </w:rPr>
            </w:pPr>
            <w:r w:rsidRPr="003C289B">
              <w:rPr>
                <w:b/>
                <w:bCs/>
                <w:iCs/>
              </w:rPr>
              <w:t>0</w:t>
            </w:r>
          </w:p>
        </w:tc>
        <w:tc>
          <w:tcPr>
            <w:tcW w:w="1267" w:type="dxa"/>
            <w:noWrap/>
            <w:vAlign w:val="center"/>
          </w:tcPr>
          <w:p w:rsidR="00BB42F2" w:rsidRPr="003C289B" w:rsidRDefault="00BB42F2" w:rsidP="00BE020B">
            <w:pPr>
              <w:jc w:val="center"/>
              <w:rPr>
                <w:b/>
                <w:bCs/>
                <w:iCs/>
              </w:rPr>
            </w:pPr>
            <w:r w:rsidRPr="003C289B">
              <w:rPr>
                <w:b/>
                <w:bCs/>
                <w:iCs/>
              </w:rPr>
              <w:t>0</w:t>
            </w:r>
          </w:p>
        </w:tc>
        <w:tc>
          <w:tcPr>
            <w:tcW w:w="1267" w:type="dxa"/>
            <w:noWrap/>
            <w:vAlign w:val="center"/>
          </w:tcPr>
          <w:p w:rsidR="00BB42F2" w:rsidRPr="003C289B" w:rsidRDefault="00BB42F2" w:rsidP="00BE020B">
            <w:pPr>
              <w:jc w:val="center"/>
              <w:rPr>
                <w:b/>
                <w:bCs/>
                <w:iCs/>
              </w:rPr>
            </w:pPr>
            <w:r w:rsidRPr="003C289B">
              <w:rPr>
                <w:b/>
                <w:bCs/>
                <w:iCs/>
              </w:rPr>
              <w:t>0</w:t>
            </w:r>
          </w:p>
        </w:tc>
        <w:tc>
          <w:tcPr>
            <w:tcW w:w="1267" w:type="dxa"/>
            <w:noWrap/>
            <w:vAlign w:val="center"/>
          </w:tcPr>
          <w:p w:rsidR="00BB42F2" w:rsidRPr="003C289B" w:rsidRDefault="00BB42F2" w:rsidP="00BE020B">
            <w:pPr>
              <w:jc w:val="center"/>
              <w:rPr>
                <w:b/>
                <w:bCs/>
                <w:iCs/>
              </w:rPr>
            </w:pPr>
            <w:r w:rsidRPr="003C289B">
              <w:rPr>
                <w:b/>
                <w:bCs/>
                <w:iCs/>
              </w:rPr>
              <w:t>0</w:t>
            </w:r>
          </w:p>
        </w:tc>
      </w:tr>
      <w:tr w:rsidR="00BB42F2" w:rsidRPr="003C289B" w:rsidTr="00BE020B">
        <w:trPr>
          <w:trHeight w:val="70"/>
          <w:jc w:val="center"/>
        </w:trPr>
        <w:tc>
          <w:tcPr>
            <w:tcW w:w="4661" w:type="dxa"/>
            <w:shd w:val="clear" w:color="auto" w:fill="BFBFBF" w:themeFill="background1" w:themeFillShade="BF"/>
            <w:noWrap/>
            <w:vAlign w:val="center"/>
          </w:tcPr>
          <w:p w:rsidR="00BB42F2" w:rsidRPr="003C289B" w:rsidRDefault="00BB42F2" w:rsidP="00BE020B">
            <w:pPr>
              <w:rPr>
                <w:b/>
              </w:rPr>
            </w:pPr>
            <w:r w:rsidRPr="003C289B">
              <w:rPr>
                <w:b/>
              </w:rPr>
              <w:t>Vplyv na mzdové výdavky</w:t>
            </w:r>
          </w:p>
        </w:tc>
        <w:tc>
          <w:tcPr>
            <w:tcW w:w="1267" w:type="dxa"/>
            <w:shd w:val="clear" w:color="auto" w:fill="BFBFBF" w:themeFill="background1" w:themeFillShade="BF"/>
            <w:noWrap/>
            <w:vAlign w:val="center"/>
          </w:tcPr>
          <w:p w:rsidR="00BB42F2" w:rsidRPr="003C289B" w:rsidRDefault="00BB42F2" w:rsidP="00BE020B">
            <w:pPr>
              <w:jc w:val="center"/>
              <w:rPr>
                <w:b/>
              </w:rPr>
            </w:pPr>
            <w:r w:rsidRPr="003C289B">
              <w:rPr>
                <w:b/>
              </w:rPr>
              <w:t>0</w:t>
            </w:r>
          </w:p>
        </w:tc>
        <w:tc>
          <w:tcPr>
            <w:tcW w:w="1267" w:type="dxa"/>
            <w:shd w:val="clear" w:color="auto" w:fill="BFBFBF" w:themeFill="background1" w:themeFillShade="BF"/>
            <w:noWrap/>
            <w:vAlign w:val="center"/>
          </w:tcPr>
          <w:p w:rsidR="00BB42F2" w:rsidRPr="003C289B" w:rsidRDefault="00BB42F2" w:rsidP="00BE020B">
            <w:pPr>
              <w:jc w:val="center"/>
              <w:rPr>
                <w:b/>
                <w:bCs/>
                <w:iCs/>
              </w:rPr>
            </w:pPr>
            <w:r>
              <w:rPr>
                <w:b/>
                <w:bCs/>
                <w:iCs/>
              </w:rPr>
              <w:t>0</w:t>
            </w:r>
          </w:p>
        </w:tc>
        <w:tc>
          <w:tcPr>
            <w:tcW w:w="1267" w:type="dxa"/>
            <w:shd w:val="clear" w:color="auto" w:fill="BFBFBF" w:themeFill="background1" w:themeFillShade="BF"/>
            <w:noWrap/>
            <w:vAlign w:val="center"/>
          </w:tcPr>
          <w:p w:rsidR="00BB42F2" w:rsidRPr="003C289B" w:rsidRDefault="00BB42F2" w:rsidP="00BE020B">
            <w:pPr>
              <w:jc w:val="center"/>
              <w:rPr>
                <w:b/>
                <w:bCs/>
                <w:iCs/>
              </w:rPr>
            </w:pPr>
            <w:r>
              <w:rPr>
                <w:b/>
                <w:bCs/>
              </w:rPr>
              <w:t>0</w:t>
            </w:r>
          </w:p>
        </w:tc>
        <w:tc>
          <w:tcPr>
            <w:tcW w:w="1267" w:type="dxa"/>
            <w:shd w:val="clear" w:color="auto" w:fill="BFBFBF" w:themeFill="background1" w:themeFillShade="BF"/>
            <w:noWrap/>
            <w:vAlign w:val="center"/>
          </w:tcPr>
          <w:p w:rsidR="00BB42F2" w:rsidRPr="003C289B" w:rsidRDefault="00BB42F2" w:rsidP="00BE020B">
            <w:pPr>
              <w:jc w:val="center"/>
              <w:rPr>
                <w:b/>
                <w:bCs/>
                <w:iCs/>
              </w:rPr>
            </w:pPr>
            <w:r>
              <w:rPr>
                <w:b/>
                <w:bCs/>
              </w:rPr>
              <w:t>0</w:t>
            </w:r>
          </w:p>
        </w:tc>
      </w:tr>
      <w:tr w:rsidR="00BB42F2" w:rsidRPr="003C289B" w:rsidTr="00BE020B">
        <w:trPr>
          <w:trHeight w:val="70"/>
          <w:jc w:val="center"/>
        </w:trPr>
        <w:tc>
          <w:tcPr>
            <w:tcW w:w="4661" w:type="dxa"/>
            <w:noWrap/>
            <w:vAlign w:val="center"/>
          </w:tcPr>
          <w:p w:rsidR="00BB42F2" w:rsidRPr="003C289B" w:rsidRDefault="00BB42F2" w:rsidP="00BE020B">
            <w:pPr>
              <w:rPr>
                <w:b/>
                <w:bCs/>
                <w:i/>
                <w:iCs/>
              </w:rPr>
            </w:pPr>
            <w:r w:rsidRPr="003C289B">
              <w:rPr>
                <w:b/>
                <w:bCs/>
                <w:i/>
                <w:iCs/>
              </w:rPr>
              <w:t>- vplyv na ŠR</w:t>
            </w:r>
          </w:p>
        </w:tc>
        <w:tc>
          <w:tcPr>
            <w:tcW w:w="1267" w:type="dxa"/>
            <w:noWrap/>
            <w:vAlign w:val="center"/>
          </w:tcPr>
          <w:p w:rsidR="00BB42F2" w:rsidRPr="003C289B" w:rsidRDefault="00BB42F2" w:rsidP="00BE020B">
            <w:pPr>
              <w:jc w:val="center"/>
              <w:rPr>
                <w:b/>
                <w:bCs/>
                <w:iCs/>
              </w:rPr>
            </w:pPr>
            <w:r w:rsidRPr="003C289B">
              <w:rPr>
                <w:b/>
                <w:bCs/>
                <w:iCs/>
              </w:rPr>
              <w:t>0</w:t>
            </w:r>
          </w:p>
        </w:tc>
        <w:tc>
          <w:tcPr>
            <w:tcW w:w="1267" w:type="dxa"/>
            <w:noWrap/>
            <w:vAlign w:val="center"/>
          </w:tcPr>
          <w:p w:rsidR="00BB42F2" w:rsidRPr="003C289B" w:rsidRDefault="00BB42F2" w:rsidP="00BE020B">
            <w:pPr>
              <w:jc w:val="center"/>
              <w:rPr>
                <w:b/>
                <w:bCs/>
                <w:iCs/>
              </w:rPr>
            </w:pPr>
            <w:r>
              <w:rPr>
                <w:b/>
                <w:bCs/>
                <w:iCs/>
              </w:rPr>
              <w:t>0</w:t>
            </w:r>
          </w:p>
        </w:tc>
        <w:tc>
          <w:tcPr>
            <w:tcW w:w="1267" w:type="dxa"/>
            <w:noWrap/>
            <w:vAlign w:val="center"/>
          </w:tcPr>
          <w:p w:rsidR="00BB42F2" w:rsidRPr="003C289B" w:rsidRDefault="00BB42F2" w:rsidP="00BE020B">
            <w:pPr>
              <w:jc w:val="center"/>
              <w:rPr>
                <w:b/>
                <w:bCs/>
                <w:iCs/>
              </w:rPr>
            </w:pPr>
            <w:r>
              <w:rPr>
                <w:b/>
                <w:bCs/>
              </w:rPr>
              <w:t>0</w:t>
            </w:r>
          </w:p>
        </w:tc>
        <w:tc>
          <w:tcPr>
            <w:tcW w:w="1267" w:type="dxa"/>
            <w:noWrap/>
            <w:vAlign w:val="center"/>
          </w:tcPr>
          <w:p w:rsidR="00BB42F2" w:rsidRPr="003C289B" w:rsidRDefault="00BB42F2" w:rsidP="00BE020B">
            <w:pPr>
              <w:jc w:val="center"/>
              <w:rPr>
                <w:b/>
                <w:bCs/>
                <w:iCs/>
              </w:rPr>
            </w:pPr>
            <w:r>
              <w:rPr>
                <w:b/>
                <w:bCs/>
              </w:rPr>
              <w:t>0</w:t>
            </w:r>
          </w:p>
        </w:tc>
      </w:tr>
      <w:tr w:rsidR="00BB42F2" w:rsidRPr="003C289B" w:rsidTr="00BE020B">
        <w:trPr>
          <w:trHeight w:val="70"/>
          <w:jc w:val="center"/>
        </w:trPr>
        <w:tc>
          <w:tcPr>
            <w:tcW w:w="4661" w:type="dxa"/>
            <w:noWrap/>
            <w:vAlign w:val="center"/>
          </w:tcPr>
          <w:p w:rsidR="00BB42F2" w:rsidRPr="003C289B" w:rsidRDefault="00BB42F2" w:rsidP="00BE020B">
            <w:pPr>
              <w:rPr>
                <w:b/>
                <w:bCs/>
                <w:i/>
                <w:iCs/>
              </w:rPr>
            </w:pPr>
            <w:r w:rsidRPr="003C289B">
              <w:rPr>
                <w:b/>
                <w:bCs/>
                <w:i/>
                <w:iCs/>
              </w:rPr>
              <w:t>- vplyv na obce</w:t>
            </w:r>
          </w:p>
        </w:tc>
        <w:tc>
          <w:tcPr>
            <w:tcW w:w="1267" w:type="dxa"/>
            <w:noWrap/>
            <w:vAlign w:val="center"/>
          </w:tcPr>
          <w:p w:rsidR="00BB42F2" w:rsidRPr="003C289B" w:rsidRDefault="00BB42F2" w:rsidP="00BE020B">
            <w:pPr>
              <w:jc w:val="center"/>
              <w:rPr>
                <w:b/>
                <w:bCs/>
                <w:iCs/>
              </w:rPr>
            </w:pPr>
            <w:r w:rsidRPr="003C289B">
              <w:rPr>
                <w:b/>
                <w:bCs/>
                <w:iCs/>
              </w:rPr>
              <w:t>0</w:t>
            </w:r>
          </w:p>
        </w:tc>
        <w:tc>
          <w:tcPr>
            <w:tcW w:w="1267" w:type="dxa"/>
            <w:noWrap/>
            <w:vAlign w:val="center"/>
          </w:tcPr>
          <w:p w:rsidR="00BB42F2" w:rsidRPr="003C289B" w:rsidRDefault="00BB42F2" w:rsidP="00BE020B">
            <w:pPr>
              <w:jc w:val="center"/>
              <w:rPr>
                <w:b/>
                <w:bCs/>
                <w:iCs/>
              </w:rPr>
            </w:pPr>
            <w:r w:rsidRPr="003C289B">
              <w:rPr>
                <w:b/>
                <w:bCs/>
                <w:iCs/>
              </w:rPr>
              <w:t>0</w:t>
            </w:r>
          </w:p>
        </w:tc>
        <w:tc>
          <w:tcPr>
            <w:tcW w:w="1267" w:type="dxa"/>
            <w:noWrap/>
            <w:vAlign w:val="center"/>
          </w:tcPr>
          <w:p w:rsidR="00BB42F2" w:rsidRPr="003C289B" w:rsidRDefault="00BB42F2" w:rsidP="00BE020B">
            <w:pPr>
              <w:jc w:val="center"/>
              <w:rPr>
                <w:b/>
                <w:bCs/>
                <w:iCs/>
              </w:rPr>
            </w:pPr>
            <w:r w:rsidRPr="003C289B">
              <w:rPr>
                <w:b/>
                <w:bCs/>
                <w:iCs/>
              </w:rPr>
              <w:t>0</w:t>
            </w:r>
          </w:p>
        </w:tc>
        <w:tc>
          <w:tcPr>
            <w:tcW w:w="1267" w:type="dxa"/>
            <w:noWrap/>
            <w:vAlign w:val="center"/>
          </w:tcPr>
          <w:p w:rsidR="00BB42F2" w:rsidRPr="003C289B" w:rsidRDefault="00BB42F2" w:rsidP="00BE020B">
            <w:pPr>
              <w:jc w:val="center"/>
              <w:rPr>
                <w:b/>
                <w:bCs/>
                <w:iCs/>
              </w:rPr>
            </w:pPr>
            <w:r w:rsidRPr="003C289B">
              <w:rPr>
                <w:b/>
                <w:bCs/>
                <w:iCs/>
              </w:rPr>
              <w:t>0</w:t>
            </w:r>
          </w:p>
        </w:tc>
      </w:tr>
      <w:tr w:rsidR="00BB42F2" w:rsidRPr="003C289B" w:rsidTr="00BE020B">
        <w:trPr>
          <w:trHeight w:val="70"/>
          <w:jc w:val="center"/>
        </w:trPr>
        <w:tc>
          <w:tcPr>
            <w:tcW w:w="4661" w:type="dxa"/>
            <w:noWrap/>
            <w:vAlign w:val="center"/>
          </w:tcPr>
          <w:p w:rsidR="00BB42F2" w:rsidRPr="003C289B" w:rsidRDefault="00BB42F2" w:rsidP="00BE020B">
            <w:pPr>
              <w:rPr>
                <w:b/>
                <w:bCs/>
                <w:i/>
                <w:iCs/>
              </w:rPr>
            </w:pPr>
            <w:r w:rsidRPr="003C289B">
              <w:rPr>
                <w:b/>
                <w:bCs/>
                <w:i/>
                <w:iCs/>
              </w:rPr>
              <w:t>- vplyv na vyššie územné celky</w:t>
            </w:r>
          </w:p>
        </w:tc>
        <w:tc>
          <w:tcPr>
            <w:tcW w:w="1267" w:type="dxa"/>
            <w:noWrap/>
            <w:vAlign w:val="center"/>
          </w:tcPr>
          <w:p w:rsidR="00BB42F2" w:rsidRPr="003C289B" w:rsidRDefault="00BB42F2" w:rsidP="00BE020B">
            <w:pPr>
              <w:jc w:val="center"/>
              <w:rPr>
                <w:b/>
                <w:bCs/>
                <w:iCs/>
              </w:rPr>
            </w:pPr>
            <w:r w:rsidRPr="003C289B">
              <w:rPr>
                <w:b/>
                <w:bCs/>
                <w:iCs/>
              </w:rPr>
              <w:t>0</w:t>
            </w:r>
          </w:p>
        </w:tc>
        <w:tc>
          <w:tcPr>
            <w:tcW w:w="1267" w:type="dxa"/>
            <w:noWrap/>
            <w:vAlign w:val="center"/>
          </w:tcPr>
          <w:p w:rsidR="00BB42F2" w:rsidRPr="003C289B" w:rsidRDefault="00BB42F2" w:rsidP="00BE020B">
            <w:pPr>
              <w:jc w:val="center"/>
              <w:rPr>
                <w:b/>
                <w:bCs/>
                <w:iCs/>
              </w:rPr>
            </w:pPr>
            <w:r w:rsidRPr="003C289B">
              <w:rPr>
                <w:b/>
                <w:bCs/>
                <w:iCs/>
              </w:rPr>
              <w:t>0</w:t>
            </w:r>
          </w:p>
        </w:tc>
        <w:tc>
          <w:tcPr>
            <w:tcW w:w="1267" w:type="dxa"/>
            <w:noWrap/>
            <w:vAlign w:val="center"/>
          </w:tcPr>
          <w:p w:rsidR="00BB42F2" w:rsidRPr="003C289B" w:rsidRDefault="00BB42F2" w:rsidP="00BE020B">
            <w:pPr>
              <w:jc w:val="center"/>
              <w:rPr>
                <w:b/>
                <w:bCs/>
                <w:iCs/>
              </w:rPr>
            </w:pPr>
            <w:r w:rsidRPr="003C289B">
              <w:rPr>
                <w:b/>
                <w:bCs/>
                <w:iCs/>
              </w:rPr>
              <w:t>0</w:t>
            </w:r>
          </w:p>
        </w:tc>
        <w:tc>
          <w:tcPr>
            <w:tcW w:w="1267" w:type="dxa"/>
            <w:noWrap/>
            <w:vAlign w:val="center"/>
          </w:tcPr>
          <w:p w:rsidR="00BB42F2" w:rsidRPr="003C289B" w:rsidRDefault="00BB42F2" w:rsidP="00BE020B">
            <w:pPr>
              <w:jc w:val="center"/>
              <w:rPr>
                <w:b/>
                <w:bCs/>
                <w:iCs/>
              </w:rPr>
            </w:pPr>
            <w:r w:rsidRPr="003C289B">
              <w:rPr>
                <w:b/>
                <w:bCs/>
                <w:iCs/>
              </w:rPr>
              <w:t>0</w:t>
            </w:r>
          </w:p>
        </w:tc>
      </w:tr>
      <w:tr w:rsidR="00BB42F2" w:rsidRPr="003C289B" w:rsidTr="00BE020B">
        <w:trPr>
          <w:trHeight w:val="70"/>
          <w:jc w:val="center"/>
        </w:trPr>
        <w:tc>
          <w:tcPr>
            <w:tcW w:w="4661" w:type="dxa"/>
            <w:noWrap/>
            <w:vAlign w:val="center"/>
          </w:tcPr>
          <w:p w:rsidR="00BB42F2" w:rsidRPr="003C289B" w:rsidRDefault="00BB42F2" w:rsidP="00BE020B">
            <w:pPr>
              <w:rPr>
                <w:b/>
                <w:bCs/>
              </w:rPr>
            </w:pPr>
            <w:r w:rsidRPr="003C289B">
              <w:rPr>
                <w:b/>
                <w:bCs/>
                <w:i/>
                <w:iCs/>
              </w:rPr>
              <w:t>- vplyv na ostatné subjekty verejnej správy</w:t>
            </w:r>
          </w:p>
        </w:tc>
        <w:tc>
          <w:tcPr>
            <w:tcW w:w="1267" w:type="dxa"/>
            <w:noWrap/>
            <w:vAlign w:val="center"/>
          </w:tcPr>
          <w:p w:rsidR="00BB42F2" w:rsidRPr="003C289B" w:rsidRDefault="00BB42F2" w:rsidP="00BE020B">
            <w:pPr>
              <w:jc w:val="center"/>
              <w:rPr>
                <w:b/>
                <w:bCs/>
                <w:iCs/>
              </w:rPr>
            </w:pPr>
            <w:r w:rsidRPr="003C289B">
              <w:rPr>
                <w:b/>
                <w:bCs/>
                <w:iCs/>
              </w:rPr>
              <w:t>0</w:t>
            </w:r>
          </w:p>
        </w:tc>
        <w:tc>
          <w:tcPr>
            <w:tcW w:w="1267" w:type="dxa"/>
            <w:noWrap/>
            <w:vAlign w:val="center"/>
          </w:tcPr>
          <w:p w:rsidR="00BB42F2" w:rsidRPr="003C289B" w:rsidRDefault="00BB42F2" w:rsidP="00BE020B">
            <w:pPr>
              <w:jc w:val="center"/>
              <w:rPr>
                <w:b/>
                <w:bCs/>
                <w:iCs/>
              </w:rPr>
            </w:pPr>
            <w:r w:rsidRPr="003C289B">
              <w:rPr>
                <w:b/>
                <w:bCs/>
                <w:iCs/>
              </w:rPr>
              <w:t>0</w:t>
            </w:r>
          </w:p>
        </w:tc>
        <w:tc>
          <w:tcPr>
            <w:tcW w:w="1267" w:type="dxa"/>
            <w:noWrap/>
            <w:vAlign w:val="center"/>
          </w:tcPr>
          <w:p w:rsidR="00BB42F2" w:rsidRPr="003C289B" w:rsidRDefault="00BB42F2" w:rsidP="00BE020B">
            <w:pPr>
              <w:jc w:val="center"/>
              <w:rPr>
                <w:b/>
                <w:bCs/>
                <w:iCs/>
              </w:rPr>
            </w:pPr>
            <w:r w:rsidRPr="003C289B">
              <w:rPr>
                <w:b/>
                <w:bCs/>
                <w:iCs/>
              </w:rPr>
              <w:t>0</w:t>
            </w:r>
          </w:p>
        </w:tc>
        <w:tc>
          <w:tcPr>
            <w:tcW w:w="1267" w:type="dxa"/>
            <w:noWrap/>
            <w:vAlign w:val="center"/>
          </w:tcPr>
          <w:p w:rsidR="00BB42F2" w:rsidRPr="003C289B" w:rsidRDefault="00BB42F2" w:rsidP="00BE020B">
            <w:pPr>
              <w:jc w:val="center"/>
              <w:rPr>
                <w:b/>
                <w:bCs/>
                <w:iCs/>
              </w:rPr>
            </w:pPr>
            <w:r w:rsidRPr="003C289B">
              <w:rPr>
                <w:b/>
                <w:bCs/>
                <w:iCs/>
              </w:rPr>
              <w:t>0</w:t>
            </w:r>
          </w:p>
        </w:tc>
      </w:tr>
      <w:tr w:rsidR="00BB42F2" w:rsidRPr="003C289B" w:rsidTr="00BE020B">
        <w:trPr>
          <w:trHeight w:val="70"/>
          <w:jc w:val="center"/>
        </w:trPr>
        <w:tc>
          <w:tcPr>
            <w:tcW w:w="4661" w:type="dxa"/>
            <w:shd w:val="clear" w:color="auto" w:fill="C0C0C0"/>
            <w:noWrap/>
            <w:vAlign w:val="center"/>
          </w:tcPr>
          <w:p w:rsidR="00BB42F2" w:rsidRPr="003C289B" w:rsidRDefault="00BB42F2" w:rsidP="00BE020B">
            <w:pPr>
              <w:rPr>
                <w:b/>
                <w:bCs/>
              </w:rPr>
            </w:pPr>
            <w:r w:rsidRPr="003C289B">
              <w:rPr>
                <w:b/>
                <w:bCs/>
              </w:rPr>
              <w:t>Financovanie zabezpečené v rozpočte</w:t>
            </w:r>
          </w:p>
        </w:tc>
        <w:tc>
          <w:tcPr>
            <w:tcW w:w="1267" w:type="dxa"/>
            <w:shd w:val="clear" w:color="auto" w:fill="C0C0C0"/>
            <w:noWrap/>
            <w:vAlign w:val="center"/>
          </w:tcPr>
          <w:p w:rsidR="00BB42F2" w:rsidRPr="003C289B" w:rsidRDefault="00BB42F2" w:rsidP="00BE020B">
            <w:pPr>
              <w:jc w:val="center"/>
              <w:rPr>
                <w:b/>
                <w:bCs/>
              </w:rPr>
            </w:pPr>
            <w:r w:rsidRPr="003C289B">
              <w:rPr>
                <w:b/>
                <w:bCs/>
              </w:rPr>
              <w:t>0</w:t>
            </w:r>
          </w:p>
        </w:tc>
        <w:tc>
          <w:tcPr>
            <w:tcW w:w="1267" w:type="dxa"/>
            <w:shd w:val="clear" w:color="auto" w:fill="C0C0C0"/>
            <w:noWrap/>
            <w:vAlign w:val="center"/>
          </w:tcPr>
          <w:p w:rsidR="00BB42F2" w:rsidRPr="003C289B" w:rsidRDefault="00BB42F2" w:rsidP="00BE020B">
            <w:pPr>
              <w:jc w:val="center"/>
              <w:rPr>
                <w:b/>
                <w:bCs/>
              </w:rPr>
            </w:pPr>
            <w:r w:rsidRPr="003C289B">
              <w:rPr>
                <w:b/>
                <w:bCs/>
              </w:rPr>
              <w:t>0</w:t>
            </w:r>
          </w:p>
        </w:tc>
        <w:tc>
          <w:tcPr>
            <w:tcW w:w="1267" w:type="dxa"/>
            <w:shd w:val="clear" w:color="auto" w:fill="C0C0C0"/>
            <w:noWrap/>
            <w:vAlign w:val="center"/>
          </w:tcPr>
          <w:p w:rsidR="00BB42F2" w:rsidRPr="003C289B" w:rsidRDefault="00BB42F2" w:rsidP="00BE020B">
            <w:pPr>
              <w:jc w:val="center"/>
              <w:rPr>
                <w:b/>
                <w:bCs/>
              </w:rPr>
            </w:pPr>
            <w:r w:rsidRPr="003C289B">
              <w:rPr>
                <w:b/>
                <w:bCs/>
              </w:rPr>
              <w:t>0</w:t>
            </w:r>
          </w:p>
        </w:tc>
        <w:tc>
          <w:tcPr>
            <w:tcW w:w="1267" w:type="dxa"/>
            <w:shd w:val="clear" w:color="auto" w:fill="C0C0C0"/>
            <w:noWrap/>
            <w:vAlign w:val="center"/>
          </w:tcPr>
          <w:p w:rsidR="00BB42F2" w:rsidRPr="003C289B" w:rsidRDefault="00BB42F2" w:rsidP="00BE020B">
            <w:pPr>
              <w:jc w:val="center"/>
              <w:rPr>
                <w:b/>
                <w:bCs/>
              </w:rPr>
            </w:pPr>
            <w:r w:rsidRPr="003C289B">
              <w:rPr>
                <w:b/>
                <w:bCs/>
              </w:rPr>
              <w:t>0</w:t>
            </w:r>
          </w:p>
        </w:tc>
      </w:tr>
      <w:tr w:rsidR="00BB42F2" w:rsidRPr="003C289B" w:rsidTr="00BE020B">
        <w:trPr>
          <w:trHeight w:val="70"/>
          <w:jc w:val="center"/>
        </w:trPr>
        <w:tc>
          <w:tcPr>
            <w:tcW w:w="4661" w:type="dxa"/>
            <w:noWrap/>
            <w:vAlign w:val="center"/>
          </w:tcPr>
          <w:p w:rsidR="00BB42F2" w:rsidRPr="003C289B" w:rsidRDefault="00BB42F2" w:rsidP="00BE020B">
            <w:r w:rsidRPr="003C289B">
              <w:t>v tom: za každý subjekt verejnej správy / program zvlášť</w:t>
            </w:r>
          </w:p>
        </w:tc>
        <w:tc>
          <w:tcPr>
            <w:tcW w:w="1267" w:type="dxa"/>
            <w:noWrap/>
            <w:vAlign w:val="center"/>
          </w:tcPr>
          <w:p w:rsidR="00BB42F2" w:rsidRPr="003C289B" w:rsidRDefault="00BB42F2" w:rsidP="00BE020B">
            <w:pPr>
              <w:jc w:val="center"/>
            </w:pPr>
            <w:r w:rsidRPr="003C289B">
              <w:t>0</w:t>
            </w:r>
          </w:p>
        </w:tc>
        <w:tc>
          <w:tcPr>
            <w:tcW w:w="1267" w:type="dxa"/>
            <w:noWrap/>
            <w:vAlign w:val="center"/>
          </w:tcPr>
          <w:p w:rsidR="00BB42F2" w:rsidRPr="003C289B" w:rsidRDefault="00BB42F2" w:rsidP="00BE020B">
            <w:pPr>
              <w:jc w:val="center"/>
            </w:pPr>
            <w:r w:rsidRPr="003C289B">
              <w:t>0</w:t>
            </w:r>
          </w:p>
        </w:tc>
        <w:tc>
          <w:tcPr>
            <w:tcW w:w="1267" w:type="dxa"/>
            <w:noWrap/>
            <w:vAlign w:val="center"/>
          </w:tcPr>
          <w:p w:rsidR="00BB42F2" w:rsidRPr="003C289B" w:rsidRDefault="00BB42F2" w:rsidP="00BE020B">
            <w:pPr>
              <w:jc w:val="center"/>
            </w:pPr>
            <w:r w:rsidRPr="003C289B">
              <w:t>0</w:t>
            </w:r>
          </w:p>
        </w:tc>
        <w:tc>
          <w:tcPr>
            <w:tcW w:w="1267" w:type="dxa"/>
            <w:noWrap/>
            <w:vAlign w:val="center"/>
          </w:tcPr>
          <w:p w:rsidR="00BB42F2" w:rsidRPr="003C289B" w:rsidRDefault="00BB42F2" w:rsidP="00BE020B">
            <w:pPr>
              <w:jc w:val="center"/>
            </w:pPr>
            <w:r w:rsidRPr="003C289B">
              <w:t>0</w:t>
            </w:r>
          </w:p>
        </w:tc>
      </w:tr>
      <w:tr w:rsidR="00BB42F2" w:rsidRPr="003C289B" w:rsidTr="00BE020B">
        <w:trPr>
          <w:trHeight w:val="70"/>
          <w:jc w:val="center"/>
        </w:trPr>
        <w:tc>
          <w:tcPr>
            <w:tcW w:w="4661" w:type="dxa"/>
            <w:shd w:val="clear" w:color="auto" w:fill="BFBFBF" w:themeFill="background1" w:themeFillShade="BF"/>
            <w:noWrap/>
            <w:vAlign w:val="center"/>
          </w:tcPr>
          <w:p w:rsidR="00BB42F2" w:rsidRPr="003C289B" w:rsidRDefault="00BB42F2" w:rsidP="00BE020B">
            <w:pPr>
              <w:rPr>
                <w:b/>
              </w:rPr>
            </w:pPr>
            <w:r w:rsidRPr="003C289B">
              <w:rPr>
                <w:b/>
              </w:rPr>
              <w:t>Iné ako rozpočtové zdroje</w:t>
            </w:r>
          </w:p>
        </w:tc>
        <w:tc>
          <w:tcPr>
            <w:tcW w:w="1267" w:type="dxa"/>
            <w:shd w:val="clear" w:color="auto" w:fill="BFBFBF" w:themeFill="background1" w:themeFillShade="BF"/>
            <w:noWrap/>
            <w:vAlign w:val="center"/>
          </w:tcPr>
          <w:p w:rsidR="00BB42F2" w:rsidRPr="003C289B" w:rsidRDefault="00BB42F2" w:rsidP="00BE020B">
            <w:pPr>
              <w:jc w:val="center"/>
              <w:rPr>
                <w:b/>
                <w:bCs/>
              </w:rPr>
            </w:pPr>
            <w:r w:rsidRPr="003C289B">
              <w:rPr>
                <w:b/>
                <w:bCs/>
              </w:rPr>
              <w:t>0</w:t>
            </w:r>
          </w:p>
        </w:tc>
        <w:tc>
          <w:tcPr>
            <w:tcW w:w="1267" w:type="dxa"/>
            <w:shd w:val="clear" w:color="auto" w:fill="BFBFBF" w:themeFill="background1" w:themeFillShade="BF"/>
            <w:noWrap/>
            <w:vAlign w:val="center"/>
          </w:tcPr>
          <w:p w:rsidR="00BB42F2" w:rsidRPr="003C289B" w:rsidRDefault="00BB42F2" w:rsidP="00BE020B">
            <w:pPr>
              <w:jc w:val="center"/>
              <w:rPr>
                <w:b/>
                <w:bCs/>
              </w:rPr>
            </w:pPr>
            <w:r w:rsidRPr="003C289B">
              <w:rPr>
                <w:b/>
                <w:bCs/>
              </w:rPr>
              <w:t>0</w:t>
            </w:r>
          </w:p>
        </w:tc>
        <w:tc>
          <w:tcPr>
            <w:tcW w:w="1267" w:type="dxa"/>
            <w:shd w:val="clear" w:color="auto" w:fill="BFBFBF" w:themeFill="background1" w:themeFillShade="BF"/>
            <w:noWrap/>
            <w:vAlign w:val="center"/>
          </w:tcPr>
          <w:p w:rsidR="00BB42F2" w:rsidRPr="003C289B" w:rsidRDefault="00BB42F2" w:rsidP="00BE020B">
            <w:pPr>
              <w:jc w:val="center"/>
              <w:rPr>
                <w:b/>
                <w:bCs/>
              </w:rPr>
            </w:pPr>
            <w:r w:rsidRPr="003C289B">
              <w:rPr>
                <w:b/>
                <w:bCs/>
              </w:rPr>
              <w:t>0</w:t>
            </w:r>
          </w:p>
        </w:tc>
        <w:tc>
          <w:tcPr>
            <w:tcW w:w="1267" w:type="dxa"/>
            <w:shd w:val="clear" w:color="auto" w:fill="BFBFBF" w:themeFill="background1" w:themeFillShade="BF"/>
            <w:noWrap/>
            <w:vAlign w:val="center"/>
          </w:tcPr>
          <w:p w:rsidR="00BB42F2" w:rsidRPr="003C289B" w:rsidRDefault="00BB42F2" w:rsidP="00BE020B">
            <w:pPr>
              <w:jc w:val="center"/>
              <w:rPr>
                <w:b/>
                <w:bCs/>
              </w:rPr>
            </w:pPr>
            <w:r w:rsidRPr="003C289B">
              <w:rPr>
                <w:b/>
                <w:bCs/>
              </w:rPr>
              <w:t>0</w:t>
            </w:r>
          </w:p>
        </w:tc>
      </w:tr>
      <w:tr w:rsidR="00BB42F2" w:rsidRPr="003C289B" w:rsidTr="00BE020B">
        <w:trPr>
          <w:trHeight w:val="70"/>
          <w:jc w:val="center"/>
        </w:trPr>
        <w:tc>
          <w:tcPr>
            <w:tcW w:w="4661" w:type="dxa"/>
            <w:shd w:val="clear" w:color="auto" w:fill="A6A6A6" w:themeFill="background1" w:themeFillShade="A6"/>
            <w:noWrap/>
            <w:vAlign w:val="center"/>
          </w:tcPr>
          <w:p w:rsidR="00BB42F2" w:rsidRPr="003C289B" w:rsidRDefault="00BB42F2" w:rsidP="00BE020B">
            <w:pPr>
              <w:rPr>
                <w:b/>
                <w:bCs/>
              </w:rPr>
            </w:pPr>
            <w:r w:rsidRPr="003C289B">
              <w:rPr>
                <w:b/>
                <w:bCs/>
              </w:rPr>
              <w:t>Rozpočtovo nekryt</w:t>
            </w:r>
            <w:r>
              <w:rPr>
                <w:b/>
                <w:bCs/>
              </w:rPr>
              <w:t>ý vplyv/</w:t>
            </w:r>
            <w:r w:rsidRPr="003C289B">
              <w:rPr>
                <w:b/>
                <w:bCs/>
              </w:rPr>
              <w:t>úspora</w:t>
            </w:r>
          </w:p>
        </w:tc>
        <w:tc>
          <w:tcPr>
            <w:tcW w:w="1267" w:type="dxa"/>
            <w:shd w:val="clear" w:color="auto" w:fill="A6A6A6" w:themeFill="background1" w:themeFillShade="A6"/>
            <w:noWrap/>
            <w:vAlign w:val="center"/>
          </w:tcPr>
          <w:p w:rsidR="00BB42F2" w:rsidRPr="00CA12E6" w:rsidRDefault="00BB42F2" w:rsidP="00BE020B">
            <w:pPr>
              <w:jc w:val="center"/>
              <w:rPr>
                <w:b/>
                <w:bCs/>
                <w:iCs/>
              </w:rPr>
            </w:pPr>
            <w:r>
              <w:rPr>
                <w:b/>
                <w:bCs/>
                <w:iCs/>
              </w:rPr>
              <w:t>812 837</w:t>
            </w:r>
          </w:p>
        </w:tc>
        <w:tc>
          <w:tcPr>
            <w:tcW w:w="1267" w:type="dxa"/>
            <w:shd w:val="clear" w:color="auto" w:fill="A6A6A6" w:themeFill="background1" w:themeFillShade="A6"/>
            <w:noWrap/>
            <w:vAlign w:val="center"/>
          </w:tcPr>
          <w:p w:rsidR="00BB42F2" w:rsidRPr="003C289B" w:rsidRDefault="00BB42F2" w:rsidP="00BE020B">
            <w:pPr>
              <w:jc w:val="center"/>
              <w:rPr>
                <w:b/>
                <w:bCs/>
                <w:iCs/>
              </w:rPr>
            </w:pPr>
            <w:r>
              <w:rPr>
                <w:b/>
                <w:bCs/>
                <w:iCs/>
              </w:rPr>
              <w:t>960 000</w:t>
            </w:r>
          </w:p>
        </w:tc>
        <w:tc>
          <w:tcPr>
            <w:tcW w:w="1267" w:type="dxa"/>
            <w:shd w:val="clear" w:color="auto" w:fill="A6A6A6" w:themeFill="background1" w:themeFillShade="A6"/>
            <w:noWrap/>
            <w:vAlign w:val="center"/>
          </w:tcPr>
          <w:p w:rsidR="00BB42F2" w:rsidRPr="003C289B" w:rsidRDefault="00BB42F2" w:rsidP="00BE020B">
            <w:pPr>
              <w:jc w:val="center"/>
              <w:rPr>
                <w:b/>
                <w:bCs/>
                <w:iCs/>
              </w:rPr>
            </w:pPr>
            <w:r>
              <w:rPr>
                <w:b/>
                <w:bCs/>
              </w:rPr>
              <w:t>0</w:t>
            </w:r>
          </w:p>
        </w:tc>
        <w:tc>
          <w:tcPr>
            <w:tcW w:w="1267" w:type="dxa"/>
            <w:shd w:val="clear" w:color="auto" w:fill="A6A6A6" w:themeFill="background1" w:themeFillShade="A6"/>
            <w:noWrap/>
            <w:vAlign w:val="center"/>
          </w:tcPr>
          <w:p w:rsidR="00BB42F2" w:rsidRPr="003C289B" w:rsidRDefault="00BB42F2" w:rsidP="00BE020B">
            <w:pPr>
              <w:jc w:val="center"/>
              <w:rPr>
                <w:b/>
                <w:bCs/>
                <w:iCs/>
              </w:rPr>
            </w:pPr>
            <w:r>
              <w:rPr>
                <w:b/>
                <w:bCs/>
              </w:rPr>
              <w:t>0</w:t>
            </w:r>
          </w:p>
        </w:tc>
      </w:tr>
      <w:bookmarkEnd w:id="0"/>
    </w:tbl>
    <w:p w:rsidR="00BB42F2" w:rsidRPr="00C73B3B" w:rsidRDefault="00BB42F2" w:rsidP="00BB42F2">
      <w:pPr>
        <w:ind w:hanging="284"/>
        <w:rPr>
          <w:bCs/>
        </w:rPr>
      </w:pPr>
    </w:p>
    <w:p w:rsidR="00BB42F2" w:rsidRDefault="00BB42F2" w:rsidP="00BB42F2">
      <w:pPr>
        <w:rPr>
          <w:b/>
          <w:bCs/>
          <w:sz w:val="20"/>
          <w:szCs w:val="20"/>
        </w:rPr>
      </w:pPr>
      <w:r w:rsidRPr="007F5521">
        <w:rPr>
          <w:b/>
          <w:bCs/>
          <w:sz w:val="20"/>
          <w:szCs w:val="20"/>
        </w:rPr>
        <w:t>Poznámky:</w:t>
      </w:r>
    </w:p>
    <w:p w:rsidR="00BB42F2" w:rsidRPr="002F48CF" w:rsidRDefault="00BB42F2" w:rsidP="00BB42F2">
      <w:pPr>
        <w:rPr>
          <w:bCs/>
          <w:sz w:val="20"/>
          <w:szCs w:val="20"/>
        </w:rPr>
      </w:pPr>
    </w:p>
    <w:p w:rsidR="00BB42F2" w:rsidRPr="002F48CF" w:rsidRDefault="00BB42F2" w:rsidP="00BB42F2">
      <w:pPr>
        <w:rPr>
          <w:bCs/>
          <w:sz w:val="20"/>
          <w:szCs w:val="20"/>
        </w:rPr>
      </w:pPr>
    </w:p>
    <w:p w:rsidR="00BB42F2" w:rsidRPr="002F48CF" w:rsidRDefault="00BB42F2" w:rsidP="00BB42F2">
      <w:pPr>
        <w:rPr>
          <w:bCs/>
          <w:sz w:val="20"/>
          <w:szCs w:val="20"/>
        </w:rPr>
      </w:pPr>
    </w:p>
    <w:p w:rsidR="00BB42F2" w:rsidRPr="002F48CF" w:rsidRDefault="00BB42F2" w:rsidP="00BB42F2">
      <w:pPr>
        <w:rPr>
          <w:bCs/>
          <w:sz w:val="20"/>
          <w:szCs w:val="20"/>
        </w:rPr>
      </w:pPr>
    </w:p>
    <w:p w:rsidR="00BB42F2" w:rsidRPr="002F48CF" w:rsidRDefault="00BB42F2" w:rsidP="00BB42F2">
      <w:pPr>
        <w:rPr>
          <w:bCs/>
          <w:sz w:val="20"/>
          <w:szCs w:val="20"/>
        </w:rPr>
      </w:pPr>
    </w:p>
    <w:p w:rsidR="00BB42F2" w:rsidRPr="002F48CF" w:rsidRDefault="00BB42F2" w:rsidP="00BB42F2">
      <w:pPr>
        <w:rPr>
          <w:bCs/>
          <w:sz w:val="20"/>
          <w:szCs w:val="20"/>
        </w:rPr>
      </w:pPr>
    </w:p>
    <w:p w:rsidR="00BB42F2" w:rsidRPr="002F48CF" w:rsidRDefault="00BB42F2" w:rsidP="00BB42F2">
      <w:pPr>
        <w:rPr>
          <w:bCs/>
          <w:sz w:val="20"/>
          <w:szCs w:val="20"/>
        </w:rPr>
      </w:pPr>
    </w:p>
    <w:p w:rsidR="00BB42F2" w:rsidRPr="003C289B" w:rsidRDefault="00BB42F2" w:rsidP="00BB42F2">
      <w:pPr>
        <w:jc w:val="both"/>
        <w:rPr>
          <w:b/>
          <w:bCs/>
        </w:rPr>
      </w:pPr>
      <w:r w:rsidRPr="003C289B">
        <w:rPr>
          <w:b/>
          <w:bCs/>
        </w:rPr>
        <w:lastRenderedPageBreak/>
        <w:t>2.1.1. Financovanie návrhu - Návrh na riešenie úbytku príjmov alebo zvýšených výdavkov podľa § 33 ods. 1 zákona č. 523/2004 Z. z. o rozpočtových pravidlách verejnej správy:</w:t>
      </w:r>
    </w:p>
    <w:p w:rsidR="00BB42F2" w:rsidRPr="00E1634A" w:rsidRDefault="00BB42F2" w:rsidP="00BB42F2">
      <w:pPr>
        <w:jc w:val="both"/>
      </w:pPr>
    </w:p>
    <w:p w:rsidR="00BB42F2" w:rsidRPr="00E1634A" w:rsidRDefault="00BB42F2" w:rsidP="00BB42F2">
      <w:pPr>
        <w:jc w:val="both"/>
        <w:rPr>
          <w:b/>
        </w:rPr>
      </w:pPr>
      <w:r w:rsidRPr="00E1634A">
        <w:rPr>
          <w:b/>
        </w:rPr>
        <w:t>K Čl. I</w:t>
      </w:r>
    </w:p>
    <w:p w:rsidR="00BB42F2" w:rsidRPr="00E1634A" w:rsidRDefault="00BB42F2" w:rsidP="00BB42F2">
      <w:pPr>
        <w:jc w:val="both"/>
      </w:pPr>
    </w:p>
    <w:p w:rsidR="00BB42F2" w:rsidRPr="00E1634A" w:rsidRDefault="00BB42F2" w:rsidP="00BB42F2">
      <w:pPr>
        <w:jc w:val="both"/>
        <w:rPr>
          <w:b/>
        </w:rPr>
      </w:pPr>
      <w:r w:rsidRPr="00E1634A">
        <w:rPr>
          <w:b/>
        </w:rPr>
        <w:t>Úbytok príjmov</w:t>
      </w:r>
    </w:p>
    <w:p w:rsidR="00BB42F2" w:rsidRDefault="00BB42F2" w:rsidP="00BB42F2">
      <w:pPr>
        <w:jc w:val="both"/>
        <w:rPr>
          <w:bCs/>
        </w:rPr>
      </w:pPr>
    </w:p>
    <w:p w:rsidR="00BB42F2" w:rsidRPr="00E1634A" w:rsidRDefault="00BB42F2" w:rsidP="00BB42F2">
      <w:pPr>
        <w:jc w:val="both"/>
        <w:rPr>
          <w:bCs/>
        </w:rPr>
      </w:pPr>
      <w:r w:rsidRPr="00E1634A">
        <w:rPr>
          <w:bCs/>
        </w:rPr>
        <w:t xml:space="preserve">Úpravou základnej sadzby dane na pohonné látky (motorový benzín a motorová nafta) sa počíta s výpadkom príjmov ŠR zo spotrebnej dane z minerálneho oleja vrátane DPH v roku 2019 vo výške 76 000 eur, v roku 2020 vo výške 56 000 eur a v roku 2021 v o výške 58 000 eur. </w:t>
      </w:r>
    </w:p>
    <w:p w:rsidR="00BB42F2" w:rsidRPr="00E1634A" w:rsidRDefault="00BB42F2" w:rsidP="00BB42F2">
      <w:pPr>
        <w:jc w:val="both"/>
        <w:rPr>
          <w:bCs/>
        </w:rPr>
      </w:pPr>
    </w:p>
    <w:p w:rsidR="00BB42F2" w:rsidRPr="00E1634A" w:rsidRDefault="00BB42F2" w:rsidP="00BB42F2">
      <w:pPr>
        <w:jc w:val="both"/>
        <w:rPr>
          <w:b/>
          <w:bCs/>
        </w:rPr>
      </w:pPr>
      <w:r w:rsidRPr="00E1634A">
        <w:rPr>
          <w:b/>
          <w:bCs/>
        </w:rPr>
        <w:t>Zvýšenie výdavkov</w:t>
      </w:r>
    </w:p>
    <w:p w:rsidR="00BB42F2" w:rsidRDefault="00BB42F2" w:rsidP="00BB42F2">
      <w:pPr>
        <w:jc w:val="both"/>
        <w:rPr>
          <w:color w:val="000000"/>
        </w:rPr>
      </w:pPr>
    </w:p>
    <w:p w:rsidR="00BB42F2" w:rsidRPr="00E1634A" w:rsidRDefault="00BB42F2" w:rsidP="00BB42F2">
      <w:pPr>
        <w:jc w:val="both"/>
        <w:rPr>
          <w:color w:val="000000"/>
        </w:rPr>
      </w:pPr>
      <w:r w:rsidRPr="00E1634A">
        <w:rPr>
          <w:color w:val="000000"/>
        </w:rPr>
        <w:t xml:space="preserve">Predpokladané finančné dopady na úpravu informačných systémov finančnej správy predstavujú sumu </w:t>
      </w:r>
      <w:r w:rsidRPr="00E1634A">
        <w:rPr>
          <w:b/>
          <w:bCs/>
          <w:color w:val="000000"/>
        </w:rPr>
        <w:t>510 000 eur s DPH</w:t>
      </w:r>
      <w:r w:rsidRPr="00E1634A">
        <w:rPr>
          <w:color w:val="000000"/>
        </w:rPr>
        <w:t xml:space="preserve">. Krytie uvedenej čiastky Finančné riaditeľstvo Slovenskej republiky (ďalej len „FR SR“) nemá v rozpočte zabezpečené a bude potrebné navýšenie záväzných ukazovateľov ŠR pre rok 2018, kapitálové výdavky, RP 718006, prvok 0EK0D02. </w:t>
      </w:r>
    </w:p>
    <w:p w:rsidR="00BB42F2" w:rsidRPr="00E1634A" w:rsidRDefault="00BB42F2" w:rsidP="00BB42F2">
      <w:pPr>
        <w:jc w:val="both"/>
      </w:pPr>
    </w:p>
    <w:p w:rsidR="00BB42F2" w:rsidRPr="00E1634A" w:rsidRDefault="00BB42F2" w:rsidP="00BB42F2">
      <w:pPr>
        <w:jc w:val="both"/>
      </w:pPr>
      <w:r w:rsidRPr="00E1634A">
        <w:t>Predpokladané finančné dopady súvisia s  úpravou:</w:t>
      </w:r>
    </w:p>
    <w:p w:rsidR="00BB42F2" w:rsidRPr="00E1634A" w:rsidRDefault="00BB42F2" w:rsidP="00BB42F2">
      <w:pPr>
        <w:pStyle w:val="Odsekzoznamu"/>
        <w:numPr>
          <w:ilvl w:val="0"/>
          <w:numId w:val="30"/>
        </w:numPr>
        <w:spacing w:after="0" w:line="240" w:lineRule="auto"/>
        <w:ind w:left="567" w:hanging="567"/>
        <w:jc w:val="both"/>
        <w:rPr>
          <w:rFonts w:ascii="Times New Roman" w:hAnsi="Times New Roman"/>
          <w:sz w:val="24"/>
          <w:szCs w:val="24"/>
        </w:rPr>
      </w:pPr>
      <w:r w:rsidRPr="00E1634A">
        <w:rPr>
          <w:rFonts w:ascii="Times New Roman" w:hAnsi="Times New Roman"/>
          <w:sz w:val="24"/>
          <w:szCs w:val="24"/>
        </w:rPr>
        <w:t xml:space="preserve">Portálu finančnej správy, ktorá si vyžiada  vytvorenie nových formulárov (UPVS), prípadne úpravu existujúcich formulárov všeobecného podania, vytvorenie nového </w:t>
      </w:r>
      <w:proofErr w:type="spellStart"/>
      <w:r w:rsidRPr="00E1634A">
        <w:rPr>
          <w:rFonts w:ascii="Times New Roman" w:hAnsi="Times New Roman"/>
          <w:sz w:val="24"/>
          <w:szCs w:val="24"/>
        </w:rPr>
        <w:t>back</w:t>
      </w:r>
      <w:proofErr w:type="spellEnd"/>
      <w:r w:rsidRPr="00E1634A">
        <w:rPr>
          <w:rFonts w:ascii="Times New Roman" w:hAnsi="Times New Roman"/>
          <w:sz w:val="24"/>
          <w:szCs w:val="24"/>
        </w:rPr>
        <w:t xml:space="preserve"> – end systému, prípadne úpravu existujúceho </w:t>
      </w:r>
      <w:proofErr w:type="spellStart"/>
      <w:r w:rsidRPr="00E1634A">
        <w:rPr>
          <w:rFonts w:ascii="Times New Roman" w:hAnsi="Times New Roman"/>
          <w:sz w:val="24"/>
          <w:szCs w:val="24"/>
        </w:rPr>
        <w:t>back</w:t>
      </w:r>
      <w:proofErr w:type="spellEnd"/>
      <w:r w:rsidRPr="00E1634A">
        <w:rPr>
          <w:rFonts w:ascii="Times New Roman" w:hAnsi="Times New Roman"/>
          <w:sz w:val="24"/>
          <w:szCs w:val="24"/>
        </w:rPr>
        <w:t xml:space="preserve"> – end systému,</w:t>
      </w:r>
    </w:p>
    <w:p w:rsidR="00BB42F2" w:rsidRPr="00E1634A" w:rsidRDefault="00BB42F2" w:rsidP="00BB42F2">
      <w:pPr>
        <w:pStyle w:val="Odsekzoznamu"/>
        <w:numPr>
          <w:ilvl w:val="0"/>
          <w:numId w:val="30"/>
        </w:numPr>
        <w:spacing w:after="0" w:line="240" w:lineRule="auto"/>
        <w:ind w:left="567" w:hanging="567"/>
        <w:jc w:val="both"/>
        <w:rPr>
          <w:rFonts w:ascii="Times New Roman" w:hAnsi="Times New Roman"/>
          <w:sz w:val="24"/>
          <w:szCs w:val="24"/>
        </w:rPr>
      </w:pPr>
      <w:r w:rsidRPr="00E1634A">
        <w:rPr>
          <w:rFonts w:ascii="Times New Roman" w:hAnsi="Times New Roman"/>
          <w:sz w:val="24"/>
          <w:szCs w:val="24"/>
        </w:rPr>
        <w:t xml:space="preserve">APV </w:t>
      </w:r>
      <w:proofErr w:type="spellStart"/>
      <w:r w:rsidRPr="00E1634A">
        <w:rPr>
          <w:rFonts w:ascii="Times New Roman" w:hAnsi="Times New Roman"/>
          <w:sz w:val="24"/>
          <w:szCs w:val="24"/>
        </w:rPr>
        <w:t>SysNeD</w:t>
      </w:r>
      <w:proofErr w:type="spellEnd"/>
      <w:r w:rsidRPr="00E1634A">
        <w:rPr>
          <w:rFonts w:ascii="Times New Roman" w:hAnsi="Times New Roman"/>
          <w:sz w:val="24"/>
          <w:szCs w:val="24"/>
        </w:rPr>
        <w:t>, a to v súvislosti so zavedením nového  typu daňového subjektu a zaradením nového typu evidovaného daňového subjektu, ktorým je fyzická osoba – podnikateľ alebo právnická osoba. Je potrebné vytvoriť žiadosť o zaradenie do evidencie, ktorá musí obsahovať údaje určené zákonom,</w:t>
      </w:r>
    </w:p>
    <w:p w:rsidR="00BB42F2" w:rsidRPr="00E1634A" w:rsidRDefault="00BB42F2" w:rsidP="00BB42F2">
      <w:pPr>
        <w:pStyle w:val="Odsekzoznamu"/>
        <w:numPr>
          <w:ilvl w:val="0"/>
          <w:numId w:val="30"/>
        </w:numPr>
        <w:spacing w:after="0" w:line="240" w:lineRule="auto"/>
        <w:ind w:left="567" w:hanging="567"/>
        <w:jc w:val="both"/>
        <w:rPr>
          <w:rFonts w:ascii="Times New Roman" w:hAnsi="Times New Roman"/>
          <w:sz w:val="24"/>
          <w:szCs w:val="24"/>
        </w:rPr>
      </w:pPr>
      <w:r w:rsidRPr="00E1634A">
        <w:rPr>
          <w:rFonts w:ascii="Times New Roman" w:hAnsi="Times New Roman"/>
          <w:sz w:val="24"/>
          <w:szCs w:val="24"/>
        </w:rPr>
        <w:t>SPD Spis,  ktoré budú spočívať v úprave prístupových práv a užívateľskej role pre Colné laboratórium FR SR,</w:t>
      </w:r>
    </w:p>
    <w:p w:rsidR="00BB42F2" w:rsidRPr="00E1634A" w:rsidRDefault="00BB42F2" w:rsidP="00BB42F2">
      <w:pPr>
        <w:pStyle w:val="Odsekzoznamu"/>
        <w:numPr>
          <w:ilvl w:val="0"/>
          <w:numId w:val="30"/>
        </w:numPr>
        <w:spacing w:after="0" w:line="240" w:lineRule="auto"/>
        <w:ind w:left="567" w:hanging="567"/>
        <w:jc w:val="both"/>
        <w:rPr>
          <w:rFonts w:ascii="Times New Roman" w:hAnsi="Times New Roman"/>
          <w:sz w:val="24"/>
          <w:szCs w:val="24"/>
        </w:rPr>
      </w:pPr>
      <w:r w:rsidRPr="00E1634A">
        <w:rPr>
          <w:rFonts w:ascii="Times New Roman" w:hAnsi="Times New Roman"/>
          <w:sz w:val="24"/>
          <w:szCs w:val="24"/>
        </w:rPr>
        <w:t xml:space="preserve">APV </w:t>
      </w:r>
      <w:proofErr w:type="spellStart"/>
      <w:r w:rsidRPr="00E1634A">
        <w:rPr>
          <w:rFonts w:ascii="Times New Roman" w:hAnsi="Times New Roman"/>
          <w:sz w:val="24"/>
          <w:szCs w:val="24"/>
        </w:rPr>
        <w:t>SysNed</w:t>
      </w:r>
      <w:proofErr w:type="spellEnd"/>
      <w:r w:rsidRPr="00E1634A">
        <w:rPr>
          <w:rFonts w:ascii="Times New Roman" w:hAnsi="Times New Roman"/>
          <w:sz w:val="24"/>
          <w:szCs w:val="24"/>
        </w:rPr>
        <w:t xml:space="preserve">, a to úpravu formulára daňového priznania -  spotrebná daň z minerálneho oleja (úprava sadzby dane) , vrátane vyvolaných zmien v tomto systéme. </w:t>
      </w:r>
    </w:p>
    <w:p w:rsidR="00BB42F2" w:rsidRPr="00E1634A" w:rsidRDefault="00BB42F2" w:rsidP="00BB42F2">
      <w:pPr>
        <w:jc w:val="both"/>
        <w:rPr>
          <w:bCs/>
        </w:rPr>
      </w:pPr>
    </w:p>
    <w:p w:rsidR="00BB42F2" w:rsidRPr="00E1634A" w:rsidRDefault="00BB42F2" w:rsidP="00BB42F2">
      <w:pPr>
        <w:jc w:val="both"/>
        <w:rPr>
          <w:color w:val="000000" w:themeColor="text1"/>
        </w:rPr>
      </w:pPr>
      <w:r w:rsidRPr="00E1634A">
        <w:rPr>
          <w:color w:val="000000" w:themeColor="text1"/>
        </w:rPr>
        <w:t xml:space="preserve">Ďalšie predpokladané finančné vplyvy vo výške </w:t>
      </w:r>
      <w:r w:rsidRPr="00E1634A">
        <w:rPr>
          <w:b/>
          <w:color w:val="000000" w:themeColor="text1"/>
        </w:rPr>
        <w:t>960 000 eur s DPH</w:t>
      </w:r>
      <w:r w:rsidRPr="00E1634A">
        <w:rPr>
          <w:color w:val="000000" w:themeColor="text1"/>
        </w:rPr>
        <w:t xml:space="preserve"> s požiadavkou Colného laboratória FR SR na zabezpečenie nákupu prístrojov potrebných na zisťovanie identifikačnej látky v pohonných látkach.</w:t>
      </w:r>
    </w:p>
    <w:p w:rsidR="00BB42F2" w:rsidRPr="00E1634A" w:rsidRDefault="00BB42F2" w:rsidP="00BB42F2">
      <w:pPr>
        <w:jc w:val="both"/>
        <w:rPr>
          <w:color w:val="000000" w:themeColor="text1"/>
        </w:rPr>
      </w:pPr>
    </w:p>
    <w:p w:rsidR="00BB42F2" w:rsidRPr="00E1634A" w:rsidRDefault="00BB42F2" w:rsidP="00BB42F2">
      <w:pPr>
        <w:jc w:val="both"/>
        <w:rPr>
          <w:color w:val="000000"/>
        </w:rPr>
      </w:pPr>
      <w:r w:rsidRPr="00E1634A">
        <w:rPr>
          <w:color w:val="000000"/>
        </w:rPr>
        <w:t>Vzhľadom na skutočnosť, že súčasťou systému označovania pohonných látok by mali byť aj mobilné prístroje určené pre potreby colných úradov na zisťovanie identifikačnej látky v pohonných látkach, predpokladá sa zakúpenie dvoch takýchto prístrojov pre jednu stanicu colného úradu. Keďže FR SR v súčasnom období nevie, ktorá spoločnosť bude identifikačnú látku (vrátane prístroja) vyrábať a dodávať, cena týchto prístrojov by mohla byť v približne 20 000 eur za kus. FR SR predpokladá obstaranie 40 ks takýchto prístrojov o celkovej sume 800 000 eur bez DPH. Dá sa však predpokladať, že vybratý výrobca identifikačnej látky bude vedieť  na stanovenie identifikačnej látky v pohonných látkach poskytnúť identifikačné prístroje za podstatne nižšie obstarávacie náklady.</w:t>
      </w:r>
    </w:p>
    <w:p w:rsidR="00BB42F2" w:rsidRPr="00E1634A" w:rsidRDefault="00BB42F2" w:rsidP="00BB42F2">
      <w:pPr>
        <w:jc w:val="both"/>
        <w:rPr>
          <w:color w:val="000000"/>
        </w:rPr>
      </w:pPr>
    </w:p>
    <w:p w:rsidR="00BB42F2" w:rsidRPr="00E1634A" w:rsidRDefault="00BB42F2" w:rsidP="00BB42F2">
      <w:pPr>
        <w:jc w:val="both"/>
        <w:rPr>
          <w:color w:val="000000" w:themeColor="text1"/>
        </w:rPr>
      </w:pPr>
      <w:r w:rsidRPr="00E1634A">
        <w:rPr>
          <w:color w:val="000000" w:themeColor="text1"/>
        </w:rPr>
        <w:t xml:space="preserve">Krytie čiastky </w:t>
      </w:r>
      <w:r w:rsidRPr="00E1634A">
        <w:rPr>
          <w:b/>
          <w:bCs/>
          <w:color w:val="000000" w:themeColor="text1"/>
        </w:rPr>
        <w:t>960 000 eur s DPH</w:t>
      </w:r>
      <w:r w:rsidRPr="00E1634A">
        <w:rPr>
          <w:color w:val="000000" w:themeColor="text1"/>
        </w:rPr>
        <w:t xml:space="preserve"> FR SR nemá v rozpočte zabezpečené a bude potrebné navýšenie záväzných ukazovateľov ŠR pre rok 2019, kapitálové výdavky, RP 713005, IA č. 30540 s názvom „Laboratórne prístroje a príslušenstvo CL FS SR“, prvok 07205.</w:t>
      </w:r>
    </w:p>
    <w:p w:rsidR="00BB42F2" w:rsidRPr="00E1634A" w:rsidRDefault="00BB42F2" w:rsidP="00BB42F2">
      <w:pPr>
        <w:jc w:val="both"/>
        <w:rPr>
          <w:b/>
          <w:color w:val="000000" w:themeColor="text1"/>
        </w:rPr>
      </w:pPr>
      <w:r w:rsidRPr="00E1634A">
        <w:rPr>
          <w:b/>
          <w:color w:val="000000" w:themeColor="text1"/>
        </w:rPr>
        <w:t xml:space="preserve">Predpokladaný celkový odhadovaný finančný dopad návrhu zákona je </w:t>
      </w:r>
      <w:r w:rsidRPr="00E1634A">
        <w:rPr>
          <w:b/>
          <w:bCs/>
          <w:color w:val="000000" w:themeColor="text1"/>
        </w:rPr>
        <w:t>1 470 000 eur s DPH</w:t>
      </w:r>
      <w:r w:rsidRPr="00E1634A">
        <w:rPr>
          <w:b/>
          <w:color w:val="000000" w:themeColor="text1"/>
        </w:rPr>
        <w:t>.</w:t>
      </w:r>
    </w:p>
    <w:p w:rsidR="00BB42F2" w:rsidRPr="00E1634A" w:rsidRDefault="00BB42F2" w:rsidP="00BB42F2">
      <w:pPr>
        <w:jc w:val="both"/>
        <w:rPr>
          <w:bCs/>
        </w:rPr>
      </w:pPr>
    </w:p>
    <w:p w:rsidR="00BB42F2" w:rsidRPr="00E1634A" w:rsidRDefault="00BB42F2" w:rsidP="00BB42F2">
      <w:pPr>
        <w:jc w:val="both"/>
      </w:pPr>
      <w:r w:rsidRPr="00E1634A">
        <w:lastRenderedPageBreak/>
        <w:t>Na základe uvedených informácií bude negatívny vplyv na rozpočet kapitoly MF SR na rok 2018 v celkovej sume 510 000 eur a na rok 2019 v sume 960 000 eur.</w:t>
      </w:r>
    </w:p>
    <w:p w:rsidR="00BB42F2" w:rsidRPr="00E1634A" w:rsidRDefault="00BB42F2" w:rsidP="00BB42F2">
      <w:pPr>
        <w:jc w:val="both"/>
      </w:pPr>
    </w:p>
    <w:p w:rsidR="00BB42F2" w:rsidRPr="00E1634A" w:rsidRDefault="00BB42F2" w:rsidP="00BB42F2">
      <w:pPr>
        <w:jc w:val="both"/>
      </w:pPr>
      <w:r w:rsidRPr="00E1634A">
        <w:t>S ohľadom na skutočnosť, že kapitola MF SR nemá na uvedený účel rozpočtované žiadne finančné prostriedky, bude potrebné ich zabezpečiť, a to na:</w:t>
      </w:r>
    </w:p>
    <w:p w:rsidR="00BB42F2" w:rsidRPr="00E1634A" w:rsidRDefault="00BB42F2" w:rsidP="00BB42F2">
      <w:pPr>
        <w:pStyle w:val="Odsekzoznamu"/>
        <w:numPr>
          <w:ilvl w:val="0"/>
          <w:numId w:val="31"/>
        </w:numPr>
        <w:spacing w:after="0" w:line="240" w:lineRule="auto"/>
        <w:ind w:left="284" w:hanging="284"/>
        <w:jc w:val="both"/>
        <w:rPr>
          <w:rFonts w:ascii="Times New Roman" w:hAnsi="Times New Roman"/>
          <w:sz w:val="24"/>
          <w:szCs w:val="24"/>
        </w:rPr>
      </w:pPr>
      <w:r w:rsidRPr="00E1634A">
        <w:rPr>
          <w:rFonts w:ascii="Times New Roman" w:hAnsi="Times New Roman"/>
          <w:sz w:val="24"/>
          <w:szCs w:val="24"/>
        </w:rPr>
        <w:t xml:space="preserve">úpravu informačných systémov Portál finančnej správy, APV </w:t>
      </w:r>
      <w:proofErr w:type="spellStart"/>
      <w:r w:rsidRPr="00E1634A">
        <w:rPr>
          <w:rFonts w:ascii="Times New Roman" w:hAnsi="Times New Roman"/>
          <w:sz w:val="24"/>
          <w:szCs w:val="24"/>
        </w:rPr>
        <w:t>SysNeD</w:t>
      </w:r>
      <w:proofErr w:type="spellEnd"/>
      <w:r w:rsidRPr="00E1634A">
        <w:rPr>
          <w:rFonts w:ascii="Times New Roman" w:hAnsi="Times New Roman"/>
          <w:sz w:val="24"/>
          <w:szCs w:val="24"/>
        </w:rPr>
        <w:t xml:space="preserve">, SPD Spis a APV </w:t>
      </w:r>
      <w:proofErr w:type="spellStart"/>
      <w:r w:rsidRPr="00E1634A">
        <w:rPr>
          <w:rFonts w:ascii="Times New Roman" w:hAnsi="Times New Roman"/>
          <w:sz w:val="24"/>
          <w:szCs w:val="24"/>
        </w:rPr>
        <w:t>SysNed</w:t>
      </w:r>
      <w:proofErr w:type="spellEnd"/>
      <w:r w:rsidRPr="00E1634A">
        <w:rPr>
          <w:rFonts w:ascii="Times New Roman" w:hAnsi="Times New Roman"/>
          <w:sz w:val="24"/>
          <w:szCs w:val="24"/>
        </w:rPr>
        <w:t>:</w:t>
      </w:r>
    </w:p>
    <w:p w:rsidR="00BB42F2" w:rsidRPr="00E1634A" w:rsidRDefault="00BB42F2" w:rsidP="00BB42F2">
      <w:pPr>
        <w:pStyle w:val="Odsekzoznamu"/>
        <w:numPr>
          <w:ilvl w:val="0"/>
          <w:numId w:val="32"/>
        </w:numPr>
        <w:spacing w:after="0" w:line="240" w:lineRule="auto"/>
        <w:ind w:left="567" w:hanging="283"/>
        <w:jc w:val="both"/>
        <w:rPr>
          <w:rFonts w:ascii="Times New Roman" w:hAnsi="Times New Roman"/>
          <w:sz w:val="24"/>
          <w:szCs w:val="24"/>
        </w:rPr>
      </w:pPr>
      <w:r w:rsidRPr="00E1634A">
        <w:rPr>
          <w:rFonts w:ascii="Times New Roman" w:hAnsi="Times New Roman"/>
          <w:sz w:val="24"/>
          <w:szCs w:val="24"/>
        </w:rPr>
        <w:t>rok 2018, kapitola Ministerstva financií SR, organizácia Finančné riaditeľstvo SR, kapitálové výdavky, podpoložka ekonomickej klasifikácie 718006, podprogram medzirezortného programu 0EK 0D, prvok 0EK 0D 02, suma 510 000 eur,</w:t>
      </w:r>
    </w:p>
    <w:p w:rsidR="00BB42F2" w:rsidRPr="00E1634A" w:rsidRDefault="00BB42F2" w:rsidP="00BB42F2">
      <w:pPr>
        <w:pStyle w:val="Odsekzoznamu"/>
        <w:numPr>
          <w:ilvl w:val="0"/>
          <w:numId w:val="31"/>
        </w:numPr>
        <w:spacing w:after="0" w:line="240" w:lineRule="auto"/>
        <w:ind w:left="284" w:hanging="284"/>
        <w:jc w:val="both"/>
        <w:rPr>
          <w:rFonts w:ascii="Times New Roman" w:hAnsi="Times New Roman"/>
          <w:sz w:val="24"/>
          <w:szCs w:val="24"/>
        </w:rPr>
      </w:pPr>
      <w:r w:rsidRPr="00E1634A">
        <w:rPr>
          <w:rFonts w:ascii="Times New Roman" w:hAnsi="Times New Roman"/>
          <w:sz w:val="24"/>
          <w:szCs w:val="24"/>
        </w:rPr>
        <w:t>obstaranie prístrojov (40 ks) pre colné úrady na detekciu identifikačnej látky v minerálnom oleji:</w:t>
      </w:r>
    </w:p>
    <w:p w:rsidR="00BB42F2" w:rsidRPr="00E1634A" w:rsidRDefault="00BB42F2" w:rsidP="00BB42F2">
      <w:pPr>
        <w:pStyle w:val="Odsekzoznamu"/>
        <w:numPr>
          <w:ilvl w:val="0"/>
          <w:numId w:val="32"/>
        </w:numPr>
        <w:spacing w:after="0" w:line="240" w:lineRule="auto"/>
        <w:ind w:left="567" w:hanging="283"/>
        <w:jc w:val="both"/>
        <w:rPr>
          <w:rFonts w:ascii="Times New Roman" w:hAnsi="Times New Roman"/>
          <w:sz w:val="24"/>
          <w:szCs w:val="24"/>
        </w:rPr>
      </w:pPr>
      <w:r w:rsidRPr="00E1634A">
        <w:rPr>
          <w:rFonts w:ascii="Times New Roman" w:hAnsi="Times New Roman"/>
          <w:sz w:val="24"/>
          <w:szCs w:val="24"/>
        </w:rPr>
        <w:t>rok 2019, kapitola Ministerstva financií SR, organizácia Finančné riaditeľstvo SR, kapitálové výdavky, podpoložka ekonomickej klasifikácie 713 005, program 072, podprogram 072 05, suma 960 000 eur.</w:t>
      </w:r>
    </w:p>
    <w:p w:rsidR="00BB42F2" w:rsidRPr="00E1634A" w:rsidRDefault="00BB42F2" w:rsidP="00BB42F2">
      <w:pPr>
        <w:jc w:val="both"/>
        <w:rPr>
          <w:bCs/>
        </w:rPr>
      </w:pPr>
    </w:p>
    <w:p w:rsidR="00BB42F2" w:rsidRPr="00E1634A" w:rsidRDefault="00BB42F2" w:rsidP="00BB42F2">
      <w:pPr>
        <w:jc w:val="both"/>
        <w:rPr>
          <w:b/>
        </w:rPr>
      </w:pPr>
      <w:r w:rsidRPr="00E1634A">
        <w:rPr>
          <w:b/>
        </w:rPr>
        <w:t>Predpokladané zvýšenie príjmov</w:t>
      </w:r>
    </w:p>
    <w:p w:rsidR="00BB42F2" w:rsidRDefault="00BB42F2" w:rsidP="00BB42F2">
      <w:pPr>
        <w:jc w:val="both"/>
        <w:rPr>
          <w:bCs/>
        </w:rPr>
      </w:pPr>
    </w:p>
    <w:p w:rsidR="00BB42F2" w:rsidRPr="00E1634A" w:rsidRDefault="00BB42F2" w:rsidP="00BB42F2">
      <w:pPr>
        <w:jc w:val="both"/>
      </w:pPr>
      <w:r w:rsidRPr="00E1634A">
        <w:rPr>
          <w:bCs/>
        </w:rPr>
        <w:t>Zavedenie povinnosti označovania pohonných látok identifikačnou látkou v aplikačnej praxi</w:t>
      </w:r>
      <w:r w:rsidRPr="00E1634A">
        <w:t xml:space="preserve"> by malo priniesť nasledujúce pozitívne efekty:</w:t>
      </w:r>
    </w:p>
    <w:p w:rsidR="00BB42F2" w:rsidRPr="00E1634A" w:rsidRDefault="00BB42F2" w:rsidP="00BB42F2">
      <w:pPr>
        <w:pStyle w:val="Odsekzoznamu"/>
        <w:numPr>
          <w:ilvl w:val="0"/>
          <w:numId w:val="29"/>
        </w:numPr>
        <w:spacing w:after="0" w:line="259" w:lineRule="auto"/>
        <w:ind w:left="426" w:hanging="426"/>
        <w:jc w:val="both"/>
        <w:rPr>
          <w:rFonts w:ascii="Times New Roman" w:hAnsi="Times New Roman"/>
          <w:sz w:val="24"/>
          <w:szCs w:val="24"/>
        </w:rPr>
      </w:pPr>
      <w:r w:rsidRPr="00E1634A">
        <w:rPr>
          <w:rFonts w:ascii="Times New Roman" w:hAnsi="Times New Roman"/>
          <w:b/>
          <w:sz w:val="24"/>
          <w:szCs w:val="24"/>
        </w:rPr>
        <w:t>zvýšenie efektivity výberu spotrebnej dane z minerálnych olejov</w:t>
      </w:r>
      <w:r w:rsidRPr="00E1634A">
        <w:rPr>
          <w:rFonts w:ascii="Times New Roman" w:hAnsi="Times New Roman"/>
          <w:sz w:val="24"/>
          <w:szCs w:val="24"/>
        </w:rPr>
        <w:t xml:space="preserve"> a s tým spojený </w:t>
      </w:r>
      <w:r w:rsidRPr="00E1634A">
        <w:rPr>
          <w:rFonts w:ascii="Times New Roman" w:hAnsi="Times New Roman"/>
          <w:b/>
          <w:sz w:val="24"/>
          <w:szCs w:val="24"/>
        </w:rPr>
        <w:t>vyšší výnos DPH,</w:t>
      </w:r>
    </w:p>
    <w:p w:rsidR="00BB42F2" w:rsidRPr="00E1634A" w:rsidRDefault="00BB42F2" w:rsidP="00BB42F2">
      <w:pPr>
        <w:pStyle w:val="Odsekzoznamu"/>
        <w:numPr>
          <w:ilvl w:val="0"/>
          <w:numId w:val="29"/>
        </w:numPr>
        <w:spacing w:after="0" w:line="259" w:lineRule="auto"/>
        <w:ind w:left="426" w:hanging="426"/>
        <w:jc w:val="both"/>
        <w:rPr>
          <w:rFonts w:ascii="Times New Roman" w:hAnsi="Times New Roman"/>
          <w:sz w:val="24"/>
          <w:szCs w:val="24"/>
        </w:rPr>
      </w:pPr>
      <w:r w:rsidRPr="00E1634A">
        <w:rPr>
          <w:rFonts w:ascii="Times New Roman" w:hAnsi="Times New Roman"/>
          <w:b/>
          <w:sz w:val="24"/>
          <w:szCs w:val="24"/>
        </w:rPr>
        <w:t>zvýšenie kvality predávaných pohonných hmôt</w:t>
      </w:r>
      <w:r w:rsidRPr="00E1634A">
        <w:rPr>
          <w:rFonts w:ascii="Times New Roman" w:hAnsi="Times New Roman"/>
          <w:sz w:val="24"/>
          <w:szCs w:val="24"/>
        </w:rPr>
        <w:t xml:space="preserve"> (potlačenie predaja pohonných hmôt bez potvrdenia pôvodu),</w:t>
      </w:r>
    </w:p>
    <w:p w:rsidR="00BB42F2" w:rsidRPr="00E1634A" w:rsidRDefault="00BB42F2" w:rsidP="00BB42F2">
      <w:pPr>
        <w:pStyle w:val="Odsekzoznamu"/>
        <w:numPr>
          <w:ilvl w:val="0"/>
          <w:numId w:val="29"/>
        </w:numPr>
        <w:spacing w:after="0" w:line="259" w:lineRule="auto"/>
        <w:ind w:left="426" w:hanging="426"/>
        <w:jc w:val="both"/>
        <w:rPr>
          <w:rFonts w:ascii="Times New Roman" w:hAnsi="Times New Roman"/>
          <w:sz w:val="24"/>
          <w:szCs w:val="24"/>
        </w:rPr>
      </w:pPr>
      <w:r w:rsidRPr="00E1634A">
        <w:rPr>
          <w:rFonts w:ascii="Times New Roman" w:hAnsi="Times New Roman"/>
          <w:b/>
          <w:sz w:val="24"/>
          <w:szCs w:val="24"/>
        </w:rPr>
        <w:t>zlepšenie konkurenčného prostredia</w:t>
      </w:r>
      <w:r w:rsidRPr="00E1634A">
        <w:rPr>
          <w:rFonts w:ascii="Times New Roman" w:hAnsi="Times New Roman"/>
          <w:sz w:val="24"/>
          <w:szCs w:val="24"/>
        </w:rPr>
        <w:t xml:space="preserve"> v oblasti výroby a predaja pohonných hmôt.</w:t>
      </w:r>
    </w:p>
    <w:p w:rsidR="00BB42F2" w:rsidRPr="00E1634A" w:rsidRDefault="00BB42F2" w:rsidP="00BB42F2">
      <w:pPr>
        <w:spacing w:line="259" w:lineRule="auto"/>
        <w:jc w:val="both"/>
      </w:pPr>
    </w:p>
    <w:p w:rsidR="00BB42F2" w:rsidRPr="00E1634A" w:rsidRDefault="00BB42F2" w:rsidP="00BB42F2">
      <w:pPr>
        <w:spacing w:line="259" w:lineRule="auto"/>
        <w:jc w:val="both"/>
        <w:rPr>
          <w:b/>
        </w:rPr>
      </w:pPr>
      <w:r w:rsidRPr="00E1634A">
        <w:t xml:space="preserve">Uvedené opatrenie bude mať pozitívny vplyv na výnos spotrebnej dane z minerálnych olejov. Vzhľadom k nedostatku potrebných informácií pre štandardný odhad vplyvu opatrenia, si Finančná správa stanovila cieľ, ktorým </w:t>
      </w:r>
      <w:r w:rsidRPr="00E1634A">
        <w:rPr>
          <w:b/>
        </w:rPr>
        <w:t xml:space="preserve">je dodatočný výnos na spotrebnej dani z minerálnych olejov vo výške 47,5 mil. eur za rok a z toho vyplývajúci vyšší výnos na DPH o 9,5 mil. eur a pozitívny vplyv na výnos DPPO. </w:t>
      </w:r>
      <w:r w:rsidRPr="00E1634A">
        <w:t>Vychádza z informácií o úspešnosti zavedenia podobného opatrenia v Srbsku a z vývoja daňovej medzery na minerálnych olejoch.</w:t>
      </w:r>
    </w:p>
    <w:p w:rsidR="00BB42F2" w:rsidRDefault="00BB42F2" w:rsidP="00BB42F2">
      <w:pPr>
        <w:jc w:val="both"/>
        <w:rPr>
          <w:bCs/>
        </w:rPr>
      </w:pPr>
    </w:p>
    <w:p w:rsidR="00BB42F2" w:rsidRPr="00E1634A" w:rsidRDefault="00BB42F2" w:rsidP="00BB42F2">
      <w:pPr>
        <w:jc w:val="both"/>
        <w:rPr>
          <w:bCs/>
        </w:rPr>
      </w:pPr>
    </w:p>
    <w:p w:rsidR="00BB42F2" w:rsidRPr="00E1634A" w:rsidRDefault="00BB42F2" w:rsidP="00BB42F2">
      <w:pPr>
        <w:jc w:val="both"/>
        <w:rPr>
          <w:b/>
          <w:bCs/>
        </w:rPr>
      </w:pPr>
      <w:r w:rsidRPr="00E1634A">
        <w:rPr>
          <w:b/>
          <w:bCs/>
        </w:rPr>
        <w:t>K Čl. II</w:t>
      </w:r>
    </w:p>
    <w:p w:rsidR="00BB42F2" w:rsidRDefault="00BB42F2" w:rsidP="00BB42F2">
      <w:pPr>
        <w:jc w:val="both"/>
        <w:rPr>
          <w:bCs/>
        </w:rPr>
      </w:pPr>
    </w:p>
    <w:p w:rsidR="00BB42F2" w:rsidRPr="00E1634A" w:rsidRDefault="00BB42F2" w:rsidP="00BB42F2">
      <w:pPr>
        <w:jc w:val="both"/>
        <w:rPr>
          <w:bCs/>
        </w:rPr>
      </w:pPr>
      <w:r w:rsidRPr="00E1634A">
        <w:rPr>
          <w:bCs/>
        </w:rPr>
        <w:t>Potrebné finančné prostriedky v sume 302 837 eur budú zabezpečené do rozpočtu kapitoly MF SR rozpočtovým opatrením – povoleným prekročením limitu výdavkov na rok 2018.</w:t>
      </w:r>
    </w:p>
    <w:p w:rsidR="00BB42F2" w:rsidRPr="00E1634A" w:rsidRDefault="00BB42F2" w:rsidP="00BB42F2">
      <w:pPr>
        <w:jc w:val="both"/>
        <w:rPr>
          <w:bCs/>
        </w:rPr>
      </w:pPr>
    </w:p>
    <w:p w:rsidR="00BB42F2" w:rsidRPr="00E1634A" w:rsidRDefault="00BB42F2" w:rsidP="00BB42F2">
      <w:pPr>
        <w:rPr>
          <w:b/>
          <w:bCs/>
        </w:rPr>
      </w:pPr>
      <w:r w:rsidRPr="00E1634A">
        <w:rPr>
          <w:b/>
          <w:bCs/>
        </w:rPr>
        <w:t>2.2. Popis a charakteristika návrhu</w:t>
      </w:r>
    </w:p>
    <w:p w:rsidR="00BB42F2" w:rsidRPr="00E1634A" w:rsidRDefault="00BB42F2" w:rsidP="00BB42F2"/>
    <w:p w:rsidR="00BB42F2" w:rsidRPr="00E1634A" w:rsidRDefault="00BB42F2" w:rsidP="00BB42F2">
      <w:pPr>
        <w:jc w:val="both"/>
        <w:rPr>
          <w:b/>
          <w:bCs/>
        </w:rPr>
      </w:pPr>
      <w:r w:rsidRPr="00E1634A">
        <w:rPr>
          <w:b/>
          <w:bCs/>
        </w:rPr>
        <w:t>2.2.1. Popis návrhu:</w:t>
      </w:r>
    </w:p>
    <w:p w:rsidR="00BB42F2" w:rsidRPr="00E1634A" w:rsidRDefault="00BB42F2" w:rsidP="00BB42F2">
      <w:pPr>
        <w:jc w:val="both"/>
      </w:pPr>
    </w:p>
    <w:p w:rsidR="00BB42F2" w:rsidRPr="00E1634A" w:rsidRDefault="00BB42F2" w:rsidP="00BB42F2">
      <w:pPr>
        <w:jc w:val="both"/>
      </w:pPr>
      <w:r w:rsidRPr="00E1634A">
        <w:t>Návrh zákona upravuje zdaňovanie motorového benzínu, motorovej nafty a iné opatrenia na elimináciu daňových únikov na spotrebnej dani z minerálneho oleja. A zavádza zdanenie výživových doplnkov s obsahom alkoholického nápoja.</w:t>
      </w:r>
    </w:p>
    <w:p w:rsidR="00BB42F2" w:rsidRPr="00E1634A" w:rsidRDefault="00BB42F2" w:rsidP="00BB42F2">
      <w:pPr>
        <w:jc w:val="both"/>
      </w:pPr>
    </w:p>
    <w:p w:rsidR="00BB42F2" w:rsidRPr="00E1634A" w:rsidRDefault="00BB42F2" w:rsidP="00BB42F2">
      <w:pPr>
        <w:rPr>
          <w:b/>
          <w:bCs/>
        </w:rPr>
      </w:pPr>
      <w:r w:rsidRPr="00E1634A">
        <w:rPr>
          <w:b/>
          <w:bCs/>
        </w:rPr>
        <w:t>2.2.2. Charakteristika návrhu:</w:t>
      </w:r>
    </w:p>
    <w:p w:rsidR="00BB42F2" w:rsidRPr="00E1634A" w:rsidRDefault="00BB42F2" w:rsidP="00BB42F2"/>
    <w:p w:rsidR="00BB42F2" w:rsidRPr="00E1634A" w:rsidRDefault="00BB42F2" w:rsidP="00BB42F2">
      <w:r w:rsidRPr="00E1634A">
        <w:rPr>
          <w:b/>
          <w:bdr w:val="single" w:sz="4" w:space="0" w:color="auto"/>
        </w:rPr>
        <w:t xml:space="preserve"> X </w:t>
      </w:r>
      <w:r w:rsidRPr="00E1634A">
        <w:rPr>
          <w:b/>
        </w:rPr>
        <w:t xml:space="preserve">  </w:t>
      </w:r>
      <w:r w:rsidRPr="00E1634A">
        <w:t>zmena sadzby</w:t>
      </w:r>
    </w:p>
    <w:p w:rsidR="00BB42F2" w:rsidRPr="00E1634A" w:rsidRDefault="00BB42F2" w:rsidP="00BB42F2">
      <w:r w:rsidRPr="00E1634A">
        <w:rPr>
          <w:bdr w:val="single" w:sz="4" w:space="0" w:color="auto"/>
        </w:rPr>
        <w:t xml:space="preserve">     </w:t>
      </w:r>
      <w:r w:rsidRPr="00E1634A">
        <w:t xml:space="preserve">  zmena v nároku</w:t>
      </w:r>
    </w:p>
    <w:p w:rsidR="00BB42F2" w:rsidRPr="00E1634A" w:rsidRDefault="00BB42F2" w:rsidP="00BB42F2">
      <w:r w:rsidRPr="00E1634A">
        <w:rPr>
          <w:bdr w:val="single" w:sz="4" w:space="0" w:color="auto"/>
        </w:rPr>
        <w:lastRenderedPageBreak/>
        <w:t xml:space="preserve">     </w:t>
      </w:r>
      <w:r w:rsidRPr="00E1634A">
        <w:t xml:space="preserve">  nová služba alebo nariadenie (alebo ich zrušenie)</w:t>
      </w:r>
    </w:p>
    <w:p w:rsidR="00BB42F2" w:rsidRPr="00E1634A" w:rsidRDefault="00BB42F2" w:rsidP="00BB42F2">
      <w:r w:rsidRPr="00E1634A">
        <w:rPr>
          <w:bdr w:val="single" w:sz="4" w:space="0" w:color="auto"/>
        </w:rPr>
        <w:t xml:space="preserve">     </w:t>
      </w:r>
      <w:r w:rsidRPr="00E1634A">
        <w:t xml:space="preserve">  kombinovaný návrh</w:t>
      </w:r>
    </w:p>
    <w:p w:rsidR="00BB42F2" w:rsidRPr="00E1634A" w:rsidRDefault="00BB42F2" w:rsidP="00BB42F2">
      <w:r w:rsidRPr="00E1634A">
        <w:rPr>
          <w:bdr w:val="single" w:sz="4" w:space="0" w:color="auto"/>
        </w:rPr>
        <w:t xml:space="preserve"> </w:t>
      </w:r>
      <w:r w:rsidRPr="00E1634A">
        <w:rPr>
          <w:b/>
          <w:bdr w:val="single" w:sz="4" w:space="0" w:color="auto"/>
        </w:rPr>
        <w:t>X</w:t>
      </w:r>
      <w:r w:rsidRPr="00E1634A">
        <w:rPr>
          <w:bdr w:val="single" w:sz="4" w:space="0" w:color="auto"/>
        </w:rPr>
        <w:t xml:space="preserve"> </w:t>
      </w:r>
      <w:r w:rsidRPr="00E1634A">
        <w:t xml:space="preserve">  iné </w:t>
      </w:r>
    </w:p>
    <w:p w:rsidR="00BB42F2" w:rsidRDefault="00BB42F2" w:rsidP="00BB42F2"/>
    <w:p w:rsidR="00BB42F2" w:rsidRPr="00E1634A" w:rsidRDefault="00BB42F2" w:rsidP="00BB42F2">
      <w:pPr>
        <w:jc w:val="both"/>
        <w:rPr>
          <w:b/>
          <w:bCs/>
        </w:rPr>
      </w:pPr>
      <w:r w:rsidRPr="00E1634A">
        <w:rPr>
          <w:b/>
          <w:bCs/>
        </w:rPr>
        <w:t>K Čl.</w:t>
      </w:r>
      <w:r>
        <w:rPr>
          <w:b/>
          <w:bCs/>
        </w:rPr>
        <w:t xml:space="preserve"> I</w:t>
      </w:r>
    </w:p>
    <w:p w:rsidR="00BB42F2" w:rsidRPr="00E1634A" w:rsidRDefault="00BB42F2" w:rsidP="00BB42F2"/>
    <w:p w:rsidR="00BB42F2" w:rsidRPr="00E1634A" w:rsidRDefault="00BB42F2" w:rsidP="00BB42F2">
      <w:pPr>
        <w:jc w:val="both"/>
        <w:rPr>
          <w:b/>
        </w:rPr>
      </w:pPr>
      <w:r w:rsidRPr="00E1634A">
        <w:rPr>
          <w:b/>
        </w:rPr>
        <w:t>Spotrebná daň z minerálneho oleja sa upravuje nasledovne:</w:t>
      </w:r>
    </w:p>
    <w:p w:rsidR="00BB42F2" w:rsidRPr="00E1634A" w:rsidRDefault="00BB42F2" w:rsidP="00BB42F2">
      <w:pPr>
        <w:pStyle w:val="Odsekzoznamu"/>
        <w:spacing w:after="0" w:line="240" w:lineRule="auto"/>
        <w:ind w:left="0"/>
        <w:jc w:val="both"/>
        <w:rPr>
          <w:rFonts w:ascii="Times New Roman" w:hAnsi="Times New Roman"/>
          <w:bCs/>
          <w:sz w:val="24"/>
          <w:szCs w:val="24"/>
        </w:rPr>
      </w:pPr>
      <w:r w:rsidRPr="00E1634A">
        <w:rPr>
          <w:rFonts w:ascii="Times New Roman" w:hAnsi="Times New Roman"/>
          <w:sz w:val="24"/>
          <w:szCs w:val="24"/>
        </w:rPr>
        <w:t xml:space="preserve">V súlade s rozhodnutím Európskej komisie, štátna pomoc </w:t>
      </w:r>
      <w:r w:rsidRPr="00E1634A">
        <w:rPr>
          <w:rFonts w:ascii="Times New Roman" w:hAnsi="Times New Roman"/>
          <w:color w:val="000000"/>
          <w:sz w:val="24"/>
          <w:szCs w:val="24"/>
        </w:rPr>
        <w:t xml:space="preserve">SA.49509 (2017/N) – Slovensko – Daňové zvýhodnenie </w:t>
      </w:r>
      <w:proofErr w:type="spellStart"/>
      <w:r w:rsidRPr="00E1634A">
        <w:rPr>
          <w:rFonts w:ascii="Times New Roman" w:hAnsi="Times New Roman"/>
          <w:color w:val="000000"/>
          <w:sz w:val="24"/>
          <w:szCs w:val="24"/>
        </w:rPr>
        <w:t>biopalív</w:t>
      </w:r>
      <w:proofErr w:type="spellEnd"/>
      <w:r w:rsidRPr="00E1634A">
        <w:rPr>
          <w:rFonts w:ascii="Times New Roman" w:hAnsi="Times New Roman"/>
          <w:color w:val="000000"/>
          <w:sz w:val="24"/>
          <w:szCs w:val="24"/>
        </w:rPr>
        <w:t xml:space="preserve"> </w:t>
      </w:r>
      <w:r w:rsidRPr="00E1634A">
        <w:rPr>
          <w:rFonts w:ascii="Times New Roman" w:hAnsi="Times New Roman"/>
          <w:bCs/>
          <w:sz w:val="24"/>
          <w:szCs w:val="24"/>
        </w:rPr>
        <w:t>sa upravuje základná sadzba dane na:</w:t>
      </w:r>
    </w:p>
    <w:p w:rsidR="00BB42F2" w:rsidRPr="00E1634A" w:rsidRDefault="00BB42F2" w:rsidP="00BB42F2">
      <w:pPr>
        <w:numPr>
          <w:ilvl w:val="0"/>
          <w:numId w:val="15"/>
        </w:numPr>
        <w:ind w:left="284" w:hanging="284"/>
        <w:jc w:val="both"/>
      </w:pPr>
      <w:r w:rsidRPr="00E1634A">
        <w:rPr>
          <w:bCs/>
        </w:rPr>
        <w:t>motorový benzín kódu kombinovanej nomenklatúry</w:t>
      </w:r>
      <w:r w:rsidRPr="00E1634A">
        <w:rPr>
          <w:b/>
          <w:bCs/>
        </w:rPr>
        <w:t xml:space="preserve"> </w:t>
      </w:r>
      <w:r w:rsidRPr="00E1634A">
        <w:t xml:space="preserve">2710 12 41, 2710 12 45, 2710 12 49 </w:t>
      </w:r>
      <w:r w:rsidRPr="00E1634A">
        <w:rPr>
          <w:bCs/>
        </w:rPr>
        <w:t xml:space="preserve">stanovuje  základná sadzba dane </w:t>
      </w:r>
      <w:r w:rsidRPr="00E1634A">
        <w:t>do 31. decembra 2019 vo výške 547 eur/1 000 l od 1. januára 2020 vo výške 555 eur/1 000 l</w:t>
      </w:r>
      <w:r w:rsidRPr="00E1634A">
        <w:rPr>
          <w:bCs/>
        </w:rPr>
        <w:t xml:space="preserve"> a </w:t>
      </w:r>
    </w:p>
    <w:p w:rsidR="00BB42F2" w:rsidRPr="00E1634A" w:rsidRDefault="00BB42F2" w:rsidP="00BB42F2">
      <w:pPr>
        <w:numPr>
          <w:ilvl w:val="0"/>
          <w:numId w:val="15"/>
        </w:numPr>
        <w:ind w:left="284" w:hanging="284"/>
        <w:jc w:val="both"/>
        <w:rPr>
          <w:bCs/>
        </w:rPr>
      </w:pPr>
      <w:r w:rsidRPr="00E1634A">
        <w:rPr>
          <w:bCs/>
        </w:rPr>
        <w:t>plynový olej kódu kombinovanej nomenklatúry</w:t>
      </w:r>
      <w:r w:rsidRPr="00E1634A">
        <w:rPr>
          <w:b/>
          <w:bCs/>
        </w:rPr>
        <w:t xml:space="preserve"> </w:t>
      </w:r>
      <w:r w:rsidRPr="00E1634A">
        <w:t>2710 19 43, 2710 19 46, 2710 19 47, 2710 19 48, 2710 20 11, 2710 20 15, 2710 20 17 a 2710 20 19</w:t>
      </w:r>
      <w:r w:rsidRPr="00E1634A">
        <w:rPr>
          <w:bCs/>
        </w:rPr>
        <w:t xml:space="preserve"> základná sadzba dane </w:t>
      </w:r>
      <w:r w:rsidRPr="00E1634A">
        <w:t>vo výške 393 eur/1 000 l</w:t>
      </w:r>
      <w:r w:rsidRPr="00E1634A">
        <w:rPr>
          <w:bCs/>
        </w:rPr>
        <w:t>.</w:t>
      </w:r>
    </w:p>
    <w:p w:rsidR="00BB42F2" w:rsidRPr="00E1634A" w:rsidRDefault="00BB42F2" w:rsidP="00BB42F2">
      <w:pPr>
        <w:jc w:val="both"/>
      </w:pPr>
    </w:p>
    <w:p w:rsidR="00BB42F2" w:rsidRPr="00E1634A" w:rsidRDefault="00BB42F2" w:rsidP="00BB42F2">
      <w:pPr>
        <w:jc w:val="both"/>
        <w:rPr>
          <w:b/>
        </w:rPr>
      </w:pPr>
      <w:r w:rsidRPr="00E1634A">
        <w:rPr>
          <w:b/>
        </w:rPr>
        <w:t>Legislatívne opatrenia na zamedzenie daňových únikov:</w:t>
      </w:r>
    </w:p>
    <w:p w:rsidR="00BB42F2" w:rsidRDefault="00BB42F2" w:rsidP="00BB42F2">
      <w:pPr>
        <w:jc w:val="both"/>
      </w:pPr>
    </w:p>
    <w:p w:rsidR="00BB42F2" w:rsidRPr="00E1634A" w:rsidRDefault="00BB42F2" w:rsidP="00BB42F2">
      <w:pPr>
        <w:jc w:val="both"/>
      </w:pPr>
      <w:r w:rsidRPr="00E1634A">
        <w:t>Navrhuje sa zavedenie povinnosti označovania pohonných látok identifikačnou látkou a podmienky jej výroby, distribúcie a nakladania s touto identifikačnou látkou s cieľom jednoznačne identifikovať zdanené pohonné látky uvedené do daňového voľného obehu.</w:t>
      </w:r>
    </w:p>
    <w:p w:rsidR="00BB42F2" w:rsidRDefault="00BB42F2" w:rsidP="00BB42F2"/>
    <w:p w:rsidR="00BB42F2" w:rsidRPr="00E1634A" w:rsidRDefault="00BB42F2" w:rsidP="00BB42F2"/>
    <w:p w:rsidR="00BB42F2" w:rsidRPr="003C289B" w:rsidRDefault="00BB42F2" w:rsidP="00BB42F2">
      <w:r w:rsidRPr="003C289B">
        <w:rPr>
          <w:b/>
          <w:bCs/>
        </w:rPr>
        <w:t>2.2.3. Predpoklady vývoja objemu aktivít:</w:t>
      </w:r>
    </w:p>
    <w:p w:rsidR="00BB42F2" w:rsidRDefault="00BB42F2" w:rsidP="00BB42F2">
      <w:pPr>
        <w:jc w:val="both"/>
        <w:rPr>
          <w:i/>
        </w:rPr>
      </w:pPr>
    </w:p>
    <w:p w:rsidR="00BB42F2" w:rsidRPr="00E1634A" w:rsidRDefault="00BB42F2" w:rsidP="00BB42F2">
      <w:pPr>
        <w:jc w:val="both"/>
        <w:rPr>
          <w:i/>
        </w:rPr>
      </w:pPr>
      <w:r w:rsidRPr="00E1634A">
        <w:rPr>
          <w:i/>
        </w:rPr>
        <w:t>Jasne popíšte, v prípade potreby použite nižšie uvedenú tabuľku. Uveďte aj odhady základov daní a/alebo poplatkov, ak sa ich táto zmena týka.</w:t>
      </w:r>
    </w:p>
    <w:p w:rsidR="00BB42F2" w:rsidRPr="003C289B" w:rsidRDefault="00BB42F2" w:rsidP="00BB42F2">
      <w:pPr>
        <w:jc w:val="right"/>
        <w:rPr>
          <w:sz w:val="20"/>
          <w:szCs w:val="20"/>
        </w:rPr>
      </w:pPr>
      <w:r w:rsidRPr="003C289B">
        <w:rPr>
          <w:sz w:val="20"/>
          <w:szCs w:val="20"/>
        </w:rPr>
        <w:t xml:space="preserve">Tabuľka č. 2 </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0"/>
        <w:gridCol w:w="1134"/>
        <w:gridCol w:w="1134"/>
        <w:gridCol w:w="1134"/>
        <w:gridCol w:w="1134"/>
      </w:tblGrid>
      <w:tr w:rsidR="00BB42F2" w:rsidRPr="003C289B" w:rsidTr="00BE020B">
        <w:trPr>
          <w:cantSplit/>
          <w:trHeight w:val="70"/>
        </w:trPr>
        <w:tc>
          <w:tcPr>
            <w:tcW w:w="4530" w:type="dxa"/>
            <w:vMerge w:val="restart"/>
            <w:shd w:val="clear" w:color="auto" w:fill="BFBFBF" w:themeFill="background1" w:themeFillShade="BF"/>
            <w:vAlign w:val="center"/>
          </w:tcPr>
          <w:p w:rsidR="00BB42F2" w:rsidRPr="003C289B" w:rsidRDefault="00BB42F2" w:rsidP="00BE020B">
            <w:pPr>
              <w:autoSpaceDE w:val="0"/>
              <w:autoSpaceDN w:val="0"/>
              <w:adjustRightInd w:val="0"/>
              <w:jc w:val="center"/>
              <w:rPr>
                <w:b/>
                <w:bCs/>
              </w:rPr>
            </w:pPr>
            <w:r w:rsidRPr="003C289B">
              <w:rPr>
                <w:b/>
                <w:bCs/>
              </w:rPr>
              <w:t>Objem aktivít</w:t>
            </w:r>
          </w:p>
        </w:tc>
        <w:tc>
          <w:tcPr>
            <w:tcW w:w="4536" w:type="dxa"/>
            <w:gridSpan w:val="4"/>
            <w:shd w:val="clear" w:color="auto" w:fill="BFBFBF" w:themeFill="background1" w:themeFillShade="BF"/>
            <w:vAlign w:val="center"/>
          </w:tcPr>
          <w:p w:rsidR="00BB42F2" w:rsidRPr="003C289B" w:rsidRDefault="00BB42F2" w:rsidP="00BE020B">
            <w:pPr>
              <w:autoSpaceDE w:val="0"/>
              <w:autoSpaceDN w:val="0"/>
              <w:adjustRightInd w:val="0"/>
              <w:jc w:val="center"/>
              <w:rPr>
                <w:b/>
                <w:bCs/>
              </w:rPr>
            </w:pPr>
            <w:r w:rsidRPr="003C289B">
              <w:rPr>
                <w:b/>
                <w:bCs/>
              </w:rPr>
              <w:t>Odhadované objemy</w:t>
            </w:r>
          </w:p>
        </w:tc>
      </w:tr>
      <w:tr w:rsidR="00BB42F2" w:rsidRPr="003C289B" w:rsidTr="00BE020B">
        <w:trPr>
          <w:cantSplit/>
          <w:trHeight w:val="70"/>
        </w:trPr>
        <w:tc>
          <w:tcPr>
            <w:tcW w:w="4530" w:type="dxa"/>
            <w:vMerge/>
            <w:shd w:val="clear" w:color="auto" w:fill="BFBFBF" w:themeFill="background1" w:themeFillShade="BF"/>
          </w:tcPr>
          <w:p w:rsidR="00BB42F2" w:rsidRPr="003C289B" w:rsidRDefault="00BB42F2" w:rsidP="00BE020B">
            <w:pPr>
              <w:autoSpaceDE w:val="0"/>
              <w:autoSpaceDN w:val="0"/>
              <w:adjustRightInd w:val="0"/>
              <w:jc w:val="center"/>
              <w:rPr>
                <w:b/>
                <w:bCs/>
              </w:rPr>
            </w:pPr>
          </w:p>
        </w:tc>
        <w:tc>
          <w:tcPr>
            <w:tcW w:w="1134" w:type="dxa"/>
            <w:shd w:val="clear" w:color="auto" w:fill="BFBFBF" w:themeFill="background1" w:themeFillShade="BF"/>
          </w:tcPr>
          <w:p w:rsidR="00BB42F2" w:rsidRPr="003C289B" w:rsidRDefault="00BB42F2" w:rsidP="00BE020B">
            <w:pPr>
              <w:jc w:val="center"/>
              <w:rPr>
                <w:b/>
                <w:bCs/>
              </w:rPr>
            </w:pPr>
            <w:r>
              <w:rPr>
                <w:b/>
                <w:bCs/>
              </w:rPr>
              <w:t>2018</w:t>
            </w:r>
          </w:p>
        </w:tc>
        <w:tc>
          <w:tcPr>
            <w:tcW w:w="1134" w:type="dxa"/>
            <w:shd w:val="clear" w:color="auto" w:fill="BFBFBF" w:themeFill="background1" w:themeFillShade="BF"/>
          </w:tcPr>
          <w:p w:rsidR="00BB42F2" w:rsidRPr="003C289B" w:rsidRDefault="00BB42F2" w:rsidP="00BE020B">
            <w:pPr>
              <w:jc w:val="center"/>
              <w:rPr>
                <w:b/>
                <w:bCs/>
              </w:rPr>
            </w:pPr>
            <w:r>
              <w:rPr>
                <w:b/>
                <w:bCs/>
              </w:rPr>
              <w:t>2019</w:t>
            </w:r>
          </w:p>
        </w:tc>
        <w:tc>
          <w:tcPr>
            <w:tcW w:w="1134" w:type="dxa"/>
            <w:shd w:val="clear" w:color="auto" w:fill="BFBFBF" w:themeFill="background1" w:themeFillShade="BF"/>
          </w:tcPr>
          <w:p w:rsidR="00BB42F2" w:rsidRPr="003C289B" w:rsidRDefault="00BB42F2" w:rsidP="00BE020B">
            <w:pPr>
              <w:jc w:val="center"/>
              <w:rPr>
                <w:b/>
                <w:bCs/>
              </w:rPr>
            </w:pPr>
            <w:r>
              <w:rPr>
                <w:b/>
                <w:bCs/>
              </w:rPr>
              <w:t>2020</w:t>
            </w:r>
          </w:p>
        </w:tc>
        <w:tc>
          <w:tcPr>
            <w:tcW w:w="1134" w:type="dxa"/>
            <w:shd w:val="clear" w:color="auto" w:fill="BFBFBF" w:themeFill="background1" w:themeFillShade="BF"/>
          </w:tcPr>
          <w:p w:rsidR="00BB42F2" w:rsidRPr="003C289B" w:rsidRDefault="00BB42F2" w:rsidP="00BE020B">
            <w:pPr>
              <w:jc w:val="center"/>
              <w:rPr>
                <w:b/>
                <w:bCs/>
              </w:rPr>
            </w:pPr>
            <w:r>
              <w:rPr>
                <w:b/>
                <w:bCs/>
              </w:rPr>
              <w:t>2021</w:t>
            </w:r>
          </w:p>
        </w:tc>
      </w:tr>
      <w:tr w:rsidR="00BB42F2" w:rsidRPr="003C289B" w:rsidTr="00BE020B">
        <w:trPr>
          <w:trHeight w:val="70"/>
        </w:trPr>
        <w:tc>
          <w:tcPr>
            <w:tcW w:w="4530" w:type="dxa"/>
          </w:tcPr>
          <w:p w:rsidR="00BB42F2" w:rsidRPr="003C289B" w:rsidRDefault="00BB42F2" w:rsidP="00BE020B">
            <w:pPr>
              <w:autoSpaceDE w:val="0"/>
              <w:autoSpaceDN w:val="0"/>
              <w:adjustRightInd w:val="0"/>
              <w:rPr>
                <w:color w:val="000000"/>
              </w:rPr>
            </w:pPr>
            <w:r w:rsidRPr="003C289B">
              <w:rPr>
                <w:color w:val="000000"/>
              </w:rPr>
              <w:t>Indikátor ABC</w:t>
            </w:r>
          </w:p>
        </w:tc>
        <w:tc>
          <w:tcPr>
            <w:tcW w:w="1134" w:type="dxa"/>
          </w:tcPr>
          <w:p w:rsidR="00BB42F2" w:rsidRPr="003C289B" w:rsidRDefault="00BB42F2" w:rsidP="00BE020B">
            <w:pPr>
              <w:autoSpaceDE w:val="0"/>
              <w:autoSpaceDN w:val="0"/>
              <w:adjustRightInd w:val="0"/>
              <w:jc w:val="right"/>
              <w:rPr>
                <w:color w:val="000000"/>
              </w:rPr>
            </w:pPr>
          </w:p>
        </w:tc>
        <w:tc>
          <w:tcPr>
            <w:tcW w:w="1134" w:type="dxa"/>
          </w:tcPr>
          <w:p w:rsidR="00BB42F2" w:rsidRPr="003C289B" w:rsidRDefault="00BB42F2" w:rsidP="00BE020B">
            <w:pPr>
              <w:autoSpaceDE w:val="0"/>
              <w:autoSpaceDN w:val="0"/>
              <w:adjustRightInd w:val="0"/>
              <w:jc w:val="right"/>
              <w:rPr>
                <w:color w:val="000000"/>
              </w:rPr>
            </w:pPr>
          </w:p>
        </w:tc>
        <w:tc>
          <w:tcPr>
            <w:tcW w:w="1134" w:type="dxa"/>
          </w:tcPr>
          <w:p w:rsidR="00BB42F2" w:rsidRPr="003C289B" w:rsidRDefault="00BB42F2" w:rsidP="00BE020B">
            <w:pPr>
              <w:autoSpaceDE w:val="0"/>
              <w:autoSpaceDN w:val="0"/>
              <w:adjustRightInd w:val="0"/>
              <w:jc w:val="right"/>
              <w:rPr>
                <w:color w:val="000000"/>
              </w:rPr>
            </w:pPr>
          </w:p>
        </w:tc>
        <w:tc>
          <w:tcPr>
            <w:tcW w:w="1134" w:type="dxa"/>
          </w:tcPr>
          <w:p w:rsidR="00BB42F2" w:rsidRPr="003C289B" w:rsidRDefault="00BB42F2" w:rsidP="00BE020B">
            <w:pPr>
              <w:autoSpaceDE w:val="0"/>
              <w:autoSpaceDN w:val="0"/>
              <w:adjustRightInd w:val="0"/>
              <w:jc w:val="right"/>
              <w:rPr>
                <w:color w:val="000000"/>
              </w:rPr>
            </w:pPr>
          </w:p>
        </w:tc>
      </w:tr>
      <w:tr w:rsidR="00BB42F2" w:rsidRPr="003C289B" w:rsidTr="00BE020B">
        <w:trPr>
          <w:trHeight w:val="70"/>
        </w:trPr>
        <w:tc>
          <w:tcPr>
            <w:tcW w:w="4530" w:type="dxa"/>
          </w:tcPr>
          <w:p w:rsidR="00BB42F2" w:rsidRPr="003C289B" w:rsidRDefault="00BB42F2" w:rsidP="00BE020B">
            <w:pPr>
              <w:autoSpaceDE w:val="0"/>
              <w:autoSpaceDN w:val="0"/>
              <w:adjustRightInd w:val="0"/>
              <w:rPr>
                <w:color w:val="000000"/>
              </w:rPr>
            </w:pPr>
            <w:r w:rsidRPr="003C289B">
              <w:rPr>
                <w:color w:val="000000"/>
              </w:rPr>
              <w:t>Indikátor KLM</w:t>
            </w:r>
          </w:p>
        </w:tc>
        <w:tc>
          <w:tcPr>
            <w:tcW w:w="1134" w:type="dxa"/>
          </w:tcPr>
          <w:p w:rsidR="00BB42F2" w:rsidRPr="003C289B" w:rsidRDefault="00BB42F2" w:rsidP="00BE020B">
            <w:pPr>
              <w:autoSpaceDE w:val="0"/>
              <w:autoSpaceDN w:val="0"/>
              <w:adjustRightInd w:val="0"/>
              <w:jc w:val="right"/>
              <w:rPr>
                <w:color w:val="000000"/>
              </w:rPr>
            </w:pPr>
          </w:p>
        </w:tc>
        <w:tc>
          <w:tcPr>
            <w:tcW w:w="1134" w:type="dxa"/>
          </w:tcPr>
          <w:p w:rsidR="00BB42F2" w:rsidRPr="003C289B" w:rsidRDefault="00BB42F2" w:rsidP="00BE020B">
            <w:pPr>
              <w:autoSpaceDE w:val="0"/>
              <w:autoSpaceDN w:val="0"/>
              <w:adjustRightInd w:val="0"/>
              <w:jc w:val="right"/>
              <w:rPr>
                <w:color w:val="000000"/>
              </w:rPr>
            </w:pPr>
          </w:p>
        </w:tc>
        <w:tc>
          <w:tcPr>
            <w:tcW w:w="1134" w:type="dxa"/>
          </w:tcPr>
          <w:p w:rsidR="00BB42F2" w:rsidRPr="003C289B" w:rsidRDefault="00BB42F2" w:rsidP="00BE020B">
            <w:pPr>
              <w:autoSpaceDE w:val="0"/>
              <w:autoSpaceDN w:val="0"/>
              <w:adjustRightInd w:val="0"/>
              <w:jc w:val="right"/>
              <w:rPr>
                <w:color w:val="000000"/>
              </w:rPr>
            </w:pPr>
          </w:p>
        </w:tc>
        <w:tc>
          <w:tcPr>
            <w:tcW w:w="1134" w:type="dxa"/>
          </w:tcPr>
          <w:p w:rsidR="00BB42F2" w:rsidRPr="003C289B" w:rsidRDefault="00BB42F2" w:rsidP="00BE020B">
            <w:pPr>
              <w:autoSpaceDE w:val="0"/>
              <w:autoSpaceDN w:val="0"/>
              <w:adjustRightInd w:val="0"/>
              <w:jc w:val="right"/>
              <w:rPr>
                <w:color w:val="000000"/>
              </w:rPr>
            </w:pPr>
          </w:p>
        </w:tc>
      </w:tr>
      <w:tr w:rsidR="00BB42F2" w:rsidRPr="003C289B" w:rsidTr="00BE020B">
        <w:trPr>
          <w:trHeight w:val="70"/>
        </w:trPr>
        <w:tc>
          <w:tcPr>
            <w:tcW w:w="4530" w:type="dxa"/>
          </w:tcPr>
          <w:p w:rsidR="00BB42F2" w:rsidRPr="003C289B" w:rsidRDefault="00BB42F2" w:rsidP="00BE020B">
            <w:pPr>
              <w:autoSpaceDE w:val="0"/>
              <w:autoSpaceDN w:val="0"/>
              <w:adjustRightInd w:val="0"/>
              <w:rPr>
                <w:color w:val="000000"/>
              </w:rPr>
            </w:pPr>
            <w:r w:rsidRPr="003C289B">
              <w:rPr>
                <w:color w:val="000000"/>
              </w:rPr>
              <w:t>Indikátor XYZ</w:t>
            </w:r>
          </w:p>
        </w:tc>
        <w:tc>
          <w:tcPr>
            <w:tcW w:w="1134" w:type="dxa"/>
          </w:tcPr>
          <w:p w:rsidR="00BB42F2" w:rsidRPr="003C289B" w:rsidRDefault="00BB42F2" w:rsidP="00BE020B">
            <w:pPr>
              <w:autoSpaceDE w:val="0"/>
              <w:autoSpaceDN w:val="0"/>
              <w:adjustRightInd w:val="0"/>
              <w:jc w:val="right"/>
              <w:rPr>
                <w:color w:val="000000"/>
              </w:rPr>
            </w:pPr>
          </w:p>
        </w:tc>
        <w:tc>
          <w:tcPr>
            <w:tcW w:w="1134" w:type="dxa"/>
          </w:tcPr>
          <w:p w:rsidR="00BB42F2" w:rsidRPr="003C289B" w:rsidRDefault="00BB42F2" w:rsidP="00BE020B">
            <w:pPr>
              <w:autoSpaceDE w:val="0"/>
              <w:autoSpaceDN w:val="0"/>
              <w:adjustRightInd w:val="0"/>
              <w:jc w:val="right"/>
              <w:rPr>
                <w:color w:val="000000"/>
              </w:rPr>
            </w:pPr>
          </w:p>
        </w:tc>
        <w:tc>
          <w:tcPr>
            <w:tcW w:w="1134" w:type="dxa"/>
          </w:tcPr>
          <w:p w:rsidR="00BB42F2" w:rsidRPr="003C289B" w:rsidRDefault="00BB42F2" w:rsidP="00BE020B">
            <w:pPr>
              <w:autoSpaceDE w:val="0"/>
              <w:autoSpaceDN w:val="0"/>
              <w:adjustRightInd w:val="0"/>
              <w:jc w:val="right"/>
              <w:rPr>
                <w:color w:val="000000"/>
              </w:rPr>
            </w:pPr>
          </w:p>
        </w:tc>
        <w:tc>
          <w:tcPr>
            <w:tcW w:w="1134" w:type="dxa"/>
          </w:tcPr>
          <w:p w:rsidR="00BB42F2" w:rsidRPr="003C289B" w:rsidRDefault="00BB42F2" w:rsidP="00BE020B">
            <w:pPr>
              <w:autoSpaceDE w:val="0"/>
              <w:autoSpaceDN w:val="0"/>
              <w:adjustRightInd w:val="0"/>
              <w:jc w:val="right"/>
              <w:rPr>
                <w:color w:val="000000"/>
              </w:rPr>
            </w:pPr>
          </w:p>
        </w:tc>
      </w:tr>
    </w:tbl>
    <w:p w:rsidR="00BB42F2" w:rsidRPr="003C289B" w:rsidRDefault="00BB42F2" w:rsidP="00BB42F2"/>
    <w:p w:rsidR="00BB42F2" w:rsidRPr="00FC1870" w:rsidRDefault="00BB42F2" w:rsidP="00BB42F2">
      <w:pPr>
        <w:rPr>
          <w:b/>
          <w:bCs/>
        </w:rPr>
      </w:pPr>
      <w:r w:rsidRPr="003C289B">
        <w:rPr>
          <w:b/>
          <w:bCs/>
        </w:rPr>
        <w:t>2.2.4. Výpočty vplyvov na verejné financie</w:t>
      </w:r>
    </w:p>
    <w:p w:rsidR="00BB42F2" w:rsidRPr="00BF7C2F" w:rsidRDefault="00BB42F2" w:rsidP="00BB42F2">
      <w:pPr>
        <w:jc w:val="both"/>
      </w:pPr>
      <w:r w:rsidRPr="003C289B">
        <w:t xml:space="preserve">Uveďte najdôležitejšie výpočty, ktoré boli použité na stanovenie vplyvov na príjmy a výdavky, ako aj predpoklady, z ktorých ste vychádzali. Predkladateľ by mal jasne odlíšiť podklady od kapitol a organizácií, aby bolo jasne vidieť základ použitý na výpočty. </w:t>
      </w:r>
    </w:p>
    <w:p w:rsidR="00BB42F2" w:rsidRDefault="00BB42F2" w:rsidP="00BB42F2">
      <w:pPr>
        <w:tabs>
          <w:tab w:val="num" w:pos="1080"/>
        </w:tabs>
        <w:jc w:val="both"/>
        <w:rPr>
          <w:bCs/>
          <w:szCs w:val="20"/>
        </w:rPr>
      </w:pPr>
    </w:p>
    <w:p w:rsidR="00BB42F2" w:rsidRPr="003C289B" w:rsidRDefault="00BB42F2" w:rsidP="00BB42F2">
      <w:pPr>
        <w:tabs>
          <w:tab w:val="num" w:pos="1080"/>
        </w:tabs>
        <w:jc w:val="both"/>
        <w:rPr>
          <w:bCs/>
          <w:szCs w:val="20"/>
        </w:rPr>
        <w:sectPr w:rsidR="00BB42F2" w:rsidRPr="003C289B" w:rsidSect="003C289B">
          <w:headerReference w:type="even" r:id="rId8"/>
          <w:footerReference w:type="even" r:id="rId9"/>
          <w:footerReference w:type="default" r:id="rId10"/>
          <w:headerReference w:type="first" r:id="rId11"/>
          <w:footerReference w:type="first" r:id="rId12"/>
          <w:pgSz w:w="11906" w:h="16838"/>
          <w:pgMar w:top="1134" w:right="1418" w:bottom="1134" w:left="1418" w:header="709" w:footer="709" w:gutter="0"/>
          <w:pgNumType w:start="1"/>
          <w:cols w:space="708"/>
          <w:docGrid w:linePitch="360"/>
        </w:sectPr>
      </w:pPr>
    </w:p>
    <w:p w:rsidR="00BB42F2" w:rsidRPr="003C289B" w:rsidRDefault="00BB42F2" w:rsidP="00BB42F2">
      <w:pPr>
        <w:tabs>
          <w:tab w:val="num" w:pos="1080"/>
        </w:tabs>
        <w:jc w:val="right"/>
        <w:rPr>
          <w:bCs/>
        </w:rPr>
      </w:pPr>
      <w:r w:rsidRPr="003C289B">
        <w:rPr>
          <w:bCs/>
        </w:rPr>
        <w:lastRenderedPageBreak/>
        <w:t xml:space="preserve">Tabuľka č. 3 </w:t>
      </w:r>
    </w:p>
    <w:tbl>
      <w:tblPr>
        <w:tblpPr w:leftFromText="141" w:rightFromText="141" w:horzAnchor="margin" w:tblpXSpec="center" w:tblpY="533"/>
        <w:tblW w:w="13950" w:type="dxa"/>
        <w:tblCellMar>
          <w:left w:w="70" w:type="dxa"/>
          <w:right w:w="70" w:type="dxa"/>
        </w:tblCellMar>
        <w:tblLook w:val="0000" w:firstRow="0" w:lastRow="0" w:firstColumn="0" w:lastColumn="0" w:noHBand="0" w:noVBand="0"/>
      </w:tblPr>
      <w:tblGrid>
        <w:gridCol w:w="4950"/>
        <w:gridCol w:w="1500"/>
        <w:gridCol w:w="1500"/>
        <w:gridCol w:w="1500"/>
        <w:gridCol w:w="1500"/>
        <w:gridCol w:w="3000"/>
      </w:tblGrid>
      <w:tr w:rsidR="00BB42F2" w:rsidRPr="003C289B" w:rsidTr="00BE020B">
        <w:trPr>
          <w:cantSplit/>
          <w:trHeight w:val="255"/>
        </w:trPr>
        <w:tc>
          <w:tcPr>
            <w:tcW w:w="495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B42F2" w:rsidRPr="003C289B" w:rsidRDefault="00BB42F2" w:rsidP="00BE020B">
            <w:pPr>
              <w:jc w:val="center"/>
              <w:rPr>
                <w:b/>
                <w:bCs/>
              </w:rPr>
            </w:pPr>
            <w:r w:rsidRPr="003C289B">
              <w:rPr>
                <w:b/>
                <w:bCs/>
              </w:rPr>
              <w:t xml:space="preserve">Príjmy </w:t>
            </w:r>
            <w:r>
              <w:rPr>
                <w:b/>
                <w:bCs/>
              </w:rPr>
              <w:t>(v eurách)</w:t>
            </w:r>
          </w:p>
        </w:tc>
        <w:tc>
          <w:tcPr>
            <w:tcW w:w="6000" w:type="dxa"/>
            <w:gridSpan w:val="4"/>
            <w:tcBorders>
              <w:top w:val="single" w:sz="4" w:space="0" w:color="auto"/>
              <w:left w:val="nil"/>
              <w:bottom w:val="single" w:sz="4" w:space="0" w:color="auto"/>
              <w:right w:val="single" w:sz="4" w:space="0" w:color="auto"/>
            </w:tcBorders>
            <w:shd w:val="clear" w:color="auto" w:fill="BFBFBF" w:themeFill="background1" w:themeFillShade="BF"/>
          </w:tcPr>
          <w:p w:rsidR="00BB42F2" w:rsidRPr="003C289B" w:rsidRDefault="00BB42F2" w:rsidP="00BE020B">
            <w:pPr>
              <w:jc w:val="center"/>
              <w:rPr>
                <w:b/>
                <w:bCs/>
              </w:rPr>
            </w:pPr>
            <w:r w:rsidRPr="003C289B">
              <w:rPr>
                <w:b/>
                <w:bCs/>
              </w:rPr>
              <w:t>Vplyv na rozpočet verejnej správy</w:t>
            </w:r>
          </w:p>
        </w:tc>
        <w:tc>
          <w:tcPr>
            <w:tcW w:w="300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BB42F2" w:rsidRPr="003C289B" w:rsidRDefault="00BB42F2" w:rsidP="00BE020B">
            <w:pPr>
              <w:jc w:val="center"/>
              <w:rPr>
                <w:b/>
                <w:bCs/>
              </w:rPr>
            </w:pPr>
            <w:r w:rsidRPr="003C289B">
              <w:rPr>
                <w:b/>
                <w:bCs/>
              </w:rPr>
              <w:t>poznámka</w:t>
            </w:r>
          </w:p>
        </w:tc>
      </w:tr>
      <w:tr w:rsidR="00BB42F2" w:rsidRPr="003C289B" w:rsidTr="00BE020B">
        <w:trPr>
          <w:cantSplit/>
          <w:trHeight w:val="255"/>
        </w:trPr>
        <w:tc>
          <w:tcPr>
            <w:tcW w:w="4950" w:type="dxa"/>
            <w:vMerge/>
            <w:tcBorders>
              <w:top w:val="single" w:sz="4" w:space="0" w:color="auto"/>
              <w:left w:val="single" w:sz="4" w:space="0" w:color="auto"/>
              <w:bottom w:val="single" w:sz="4" w:space="0" w:color="auto"/>
              <w:right w:val="single" w:sz="4" w:space="0" w:color="auto"/>
            </w:tcBorders>
            <w:vAlign w:val="center"/>
          </w:tcPr>
          <w:p w:rsidR="00BB42F2" w:rsidRPr="003C289B" w:rsidRDefault="00BB42F2" w:rsidP="00BE020B">
            <w:pPr>
              <w:rPr>
                <w:b/>
                <w:bCs/>
                <w:color w:val="FFFFFF"/>
              </w:rPr>
            </w:pPr>
          </w:p>
        </w:tc>
        <w:tc>
          <w:tcPr>
            <w:tcW w:w="1500" w:type="dxa"/>
            <w:tcBorders>
              <w:top w:val="nil"/>
              <w:left w:val="nil"/>
              <w:bottom w:val="single" w:sz="4" w:space="0" w:color="auto"/>
              <w:right w:val="single" w:sz="4" w:space="0" w:color="auto"/>
            </w:tcBorders>
            <w:shd w:val="clear" w:color="auto" w:fill="BFBFBF" w:themeFill="background1" w:themeFillShade="BF"/>
          </w:tcPr>
          <w:p w:rsidR="00BB42F2" w:rsidRPr="003C289B" w:rsidRDefault="00BB42F2" w:rsidP="00BE020B">
            <w:pPr>
              <w:jc w:val="center"/>
              <w:rPr>
                <w:b/>
                <w:bCs/>
              </w:rPr>
            </w:pPr>
            <w:r>
              <w:rPr>
                <w:b/>
                <w:bCs/>
              </w:rPr>
              <w:t>2018</w:t>
            </w:r>
          </w:p>
        </w:tc>
        <w:tc>
          <w:tcPr>
            <w:tcW w:w="1500" w:type="dxa"/>
            <w:tcBorders>
              <w:top w:val="nil"/>
              <w:left w:val="nil"/>
              <w:bottom w:val="single" w:sz="4" w:space="0" w:color="auto"/>
              <w:right w:val="single" w:sz="4" w:space="0" w:color="auto"/>
            </w:tcBorders>
            <w:shd w:val="clear" w:color="auto" w:fill="BFBFBF" w:themeFill="background1" w:themeFillShade="BF"/>
          </w:tcPr>
          <w:p w:rsidR="00BB42F2" w:rsidRPr="003C289B" w:rsidRDefault="00BB42F2" w:rsidP="00BE020B">
            <w:pPr>
              <w:jc w:val="center"/>
              <w:rPr>
                <w:b/>
                <w:bCs/>
              </w:rPr>
            </w:pPr>
            <w:r>
              <w:rPr>
                <w:b/>
                <w:bCs/>
              </w:rPr>
              <w:t>2019</w:t>
            </w:r>
          </w:p>
        </w:tc>
        <w:tc>
          <w:tcPr>
            <w:tcW w:w="1500" w:type="dxa"/>
            <w:tcBorders>
              <w:top w:val="nil"/>
              <w:left w:val="nil"/>
              <w:bottom w:val="single" w:sz="4" w:space="0" w:color="auto"/>
              <w:right w:val="single" w:sz="4" w:space="0" w:color="auto"/>
            </w:tcBorders>
            <w:shd w:val="clear" w:color="auto" w:fill="BFBFBF" w:themeFill="background1" w:themeFillShade="BF"/>
          </w:tcPr>
          <w:p w:rsidR="00BB42F2" w:rsidRPr="003C289B" w:rsidRDefault="00BB42F2" w:rsidP="00BE020B">
            <w:pPr>
              <w:jc w:val="center"/>
              <w:rPr>
                <w:b/>
                <w:bCs/>
              </w:rPr>
            </w:pPr>
            <w:r>
              <w:rPr>
                <w:b/>
                <w:bCs/>
              </w:rPr>
              <w:t>2020</w:t>
            </w:r>
          </w:p>
        </w:tc>
        <w:tc>
          <w:tcPr>
            <w:tcW w:w="1500" w:type="dxa"/>
            <w:tcBorders>
              <w:top w:val="nil"/>
              <w:left w:val="nil"/>
              <w:bottom w:val="single" w:sz="4" w:space="0" w:color="auto"/>
              <w:right w:val="single" w:sz="4" w:space="0" w:color="auto"/>
            </w:tcBorders>
            <w:shd w:val="clear" w:color="auto" w:fill="BFBFBF" w:themeFill="background1" w:themeFillShade="BF"/>
          </w:tcPr>
          <w:p w:rsidR="00BB42F2" w:rsidRPr="003C289B" w:rsidRDefault="00BB42F2" w:rsidP="00BE020B">
            <w:pPr>
              <w:jc w:val="center"/>
              <w:rPr>
                <w:b/>
                <w:bCs/>
              </w:rPr>
            </w:pPr>
            <w:r>
              <w:rPr>
                <w:b/>
                <w:bCs/>
              </w:rPr>
              <w:t>2021</w:t>
            </w:r>
          </w:p>
        </w:tc>
        <w:tc>
          <w:tcPr>
            <w:tcW w:w="3000" w:type="dxa"/>
            <w:vMerge/>
            <w:tcBorders>
              <w:top w:val="single" w:sz="4" w:space="0" w:color="auto"/>
              <w:left w:val="single" w:sz="4" w:space="0" w:color="auto"/>
              <w:bottom w:val="single" w:sz="4" w:space="0" w:color="auto"/>
              <w:right w:val="single" w:sz="4" w:space="0" w:color="auto"/>
            </w:tcBorders>
            <w:vAlign w:val="center"/>
          </w:tcPr>
          <w:p w:rsidR="00BB42F2" w:rsidRPr="003C289B" w:rsidRDefault="00BB42F2" w:rsidP="00BE020B">
            <w:pPr>
              <w:rPr>
                <w:b/>
                <w:bCs/>
                <w:color w:val="FFFFFF"/>
              </w:rPr>
            </w:pPr>
          </w:p>
        </w:tc>
      </w:tr>
      <w:tr w:rsidR="00BB42F2" w:rsidRPr="003C289B" w:rsidTr="00BE020B">
        <w:trPr>
          <w:trHeight w:val="255"/>
        </w:trPr>
        <w:tc>
          <w:tcPr>
            <w:tcW w:w="4950" w:type="dxa"/>
            <w:tcBorders>
              <w:top w:val="nil"/>
              <w:left w:val="single" w:sz="4" w:space="0" w:color="auto"/>
              <w:bottom w:val="single" w:sz="4" w:space="0" w:color="auto"/>
              <w:right w:val="single" w:sz="4" w:space="0" w:color="auto"/>
            </w:tcBorders>
          </w:tcPr>
          <w:p w:rsidR="00BB42F2" w:rsidRPr="003C289B" w:rsidRDefault="00BB42F2" w:rsidP="00BE020B">
            <w:pPr>
              <w:rPr>
                <w:b/>
                <w:bCs/>
                <w:vertAlign w:val="superscript"/>
              </w:rPr>
            </w:pPr>
            <w:r w:rsidRPr="003C289B">
              <w:rPr>
                <w:b/>
                <w:bCs/>
              </w:rPr>
              <w:t>Daňové príjmy (100)</w:t>
            </w:r>
            <w:r w:rsidRPr="003C289B">
              <w:rPr>
                <w:b/>
                <w:bCs/>
                <w:vertAlign w:val="superscript"/>
              </w:rPr>
              <w:t>1</w:t>
            </w:r>
          </w:p>
        </w:tc>
        <w:tc>
          <w:tcPr>
            <w:tcW w:w="1500" w:type="dxa"/>
            <w:tcBorders>
              <w:top w:val="nil"/>
              <w:left w:val="nil"/>
              <w:bottom w:val="single" w:sz="4" w:space="0" w:color="auto"/>
              <w:right w:val="single" w:sz="4" w:space="0" w:color="auto"/>
            </w:tcBorders>
            <w:shd w:val="clear" w:color="auto" w:fill="FFFFFF" w:themeFill="background1"/>
            <w:vAlign w:val="center"/>
          </w:tcPr>
          <w:p w:rsidR="00BB42F2" w:rsidRPr="002039E5" w:rsidRDefault="00BB42F2" w:rsidP="00BE020B">
            <w:pPr>
              <w:jc w:val="center"/>
              <w:rPr>
                <w:b/>
                <w:bCs/>
                <w:iCs/>
              </w:rPr>
            </w:pPr>
          </w:p>
        </w:tc>
        <w:tc>
          <w:tcPr>
            <w:tcW w:w="1500" w:type="dxa"/>
            <w:tcBorders>
              <w:top w:val="nil"/>
              <w:left w:val="nil"/>
              <w:bottom w:val="single" w:sz="4" w:space="0" w:color="auto"/>
              <w:right w:val="single" w:sz="4" w:space="0" w:color="auto"/>
            </w:tcBorders>
            <w:vAlign w:val="center"/>
          </w:tcPr>
          <w:p w:rsidR="00BB42F2" w:rsidRPr="002039E5" w:rsidRDefault="00BB42F2" w:rsidP="00BE020B">
            <w:pPr>
              <w:jc w:val="center"/>
              <w:rPr>
                <w:b/>
                <w:bCs/>
                <w:iCs/>
              </w:rPr>
            </w:pPr>
            <w:r>
              <w:rPr>
                <w:b/>
                <w:bCs/>
                <w:iCs/>
              </w:rPr>
              <w:t>- 14 000</w:t>
            </w:r>
          </w:p>
        </w:tc>
        <w:tc>
          <w:tcPr>
            <w:tcW w:w="1500" w:type="dxa"/>
            <w:tcBorders>
              <w:top w:val="nil"/>
              <w:left w:val="nil"/>
              <w:bottom w:val="single" w:sz="4" w:space="0" w:color="auto"/>
              <w:right w:val="single" w:sz="4" w:space="0" w:color="auto"/>
            </w:tcBorders>
            <w:vAlign w:val="center"/>
          </w:tcPr>
          <w:p w:rsidR="00BB42F2" w:rsidRPr="002039E5" w:rsidRDefault="00BB42F2" w:rsidP="00BE020B">
            <w:pPr>
              <w:jc w:val="center"/>
              <w:rPr>
                <w:b/>
                <w:bCs/>
                <w:iCs/>
              </w:rPr>
            </w:pPr>
            <w:r>
              <w:rPr>
                <w:b/>
                <w:bCs/>
                <w:iCs/>
              </w:rPr>
              <w:t>57 006 000</w:t>
            </w:r>
          </w:p>
        </w:tc>
        <w:tc>
          <w:tcPr>
            <w:tcW w:w="1500" w:type="dxa"/>
            <w:tcBorders>
              <w:top w:val="nil"/>
              <w:left w:val="nil"/>
              <w:bottom w:val="single" w:sz="4" w:space="0" w:color="auto"/>
              <w:right w:val="single" w:sz="4" w:space="0" w:color="auto"/>
            </w:tcBorders>
            <w:vAlign w:val="center"/>
          </w:tcPr>
          <w:p w:rsidR="00BB42F2" w:rsidRPr="002039E5" w:rsidRDefault="00BB42F2" w:rsidP="00BE020B">
            <w:pPr>
              <w:jc w:val="center"/>
              <w:rPr>
                <w:b/>
                <w:bCs/>
                <w:iCs/>
              </w:rPr>
            </w:pPr>
            <w:r>
              <w:rPr>
                <w:b/>
                <w:bCs/>
                <w:iCs/>
              </w:rPr>
              <w:t>57 004 000</w:t>
            </w:r>
          </w:p>
        </w:tc>
        <w:tc>
          <w:tcPr>
            <w:tcW w:w="3000" w:type="dxa"/>
            <w:tcBorders>
              <w:top w:val="nil"/>
              <w:left w:val="nil"/>
              <w:bottom w:val="single" w:sz="4" w:space="0" w:color="auto"/>
              <w:right w:val="single" w:sz="4" w:space="0" w:color="auto"/>
            </w:tcBorders>
            <w:noWrap/>
            <w:vAlign w:val="bottom"/>
          </w:tcPr>
          <w:p w:rsidR="00BB42F2" w:rsidRPr="003C289B" w:rsidRDefault="00BB42F2" w:rsidP="00BE020B">
            <w:r w:rsidRPr="003C289B">
              <w:t> </w:t>
            </w:r>
          </w:p>
        </w:tc>
      </w:tr>
      <w:tr w:rsidR="00BB42F2" w:rsidRPr="003C289B" w:rsidTr="00BE020B">
        <w:trPr>
          <w:trHeight w:val="255"/>
        </w:trPr>
        <w:tc>
          <w:tcPr>
            <w:tcW w:w="4950" w:type="dxa"/>
            <w:tcBorders>
              <w:top w:val="nil"/>
              <w:left w:val="single" w:sz="4" w:space="0" w:color="auto"/>
              <w:bottom w:val="single" w:sz="4" w:space="0" w:color="auto"/>
              <w:right w:val="single" w:sz="4" w:space="0" w:color="auto"/>
            </w:tcBorders>
          </w:tcPr>
          <w:p w:rsidR="00BB42F2" w:rsidRPr="003C289B" w:rsidRDefault="00BB42F2" w:rsidP="00BE020B">
            <w:pPr>
              <w:rPr>
                <w:b/>
                <w:bCs/>
              </w:rPr>
            </w:pPr>
            <w:r w:rsidRPr="003C289B">
              <w:rPr>
                <w:b/>
                <w:bCs/>
              </w:rPr>
              <w:t>Nedaňové príjmy (200)</w:t>
            </w:r>
            <w:r w:rsidRPr="003C289B">
              <w:rPr>
                <w:b/>
                <w:bCs/>
                <w:vertAlign w:val="superscript"/>
              </w:rPr>
              <w:t>1</w:t>
            </w:r>
          </w:p>
        </w:tc>
        <w:tc>
          <w:tcPr>
            <w:tcW w:w="1500" w:type="dxa"/>
            <w:tcBorders>
              <w:top w:val="nil"/>
              <w:left w:val="nil"/>
              <w:bottom w:val="single" w:sz="4" w:space="0" w:color="auto"/>
              <w:right w:val="single" w:sz="4" w:space="0" w:color="auto"/>
            </w:tcBorders>
          </w:tcPr>
          <w:p w:rsidR="00BB42F2" w:rsidRPr="003C289B" w:rsidRDefault="00BB42F2" w:rsidP="00BE020B">
            <w:pPr>
              <w:jc w:val="center"/>
              <w:rPr>
                <w:b/>
                <w:bCs/>
              </w:rPr>
            </w:pPr>
          </w:p>
        </w:tc>
        <w:tc>
          <w:tcPr>
            <w:tcW w:w="1500" w:type="dxa"/>
            <w:tcBorders>
              <w:top w:val="nil"/>
              <w:left w:val="nil"/>
              <w:bottom w:val="single" w:sz="4" w:space="0" w:color="auto"/>
              <w:right w:val="single" w:sz="4" w:space="0" w:color="auto"/>
            </w:tcBorders>
          </w:tcPr>
          <w:p w:rsidR="00BB42F2" w:rsidRPr="003C289B" w:rsidRDefault="00BB42F2" w:rsidP="00BE020B">
            <w:pPr>
              <w:jc w:val="center"/>
              <w:rPr>
                <w:b/>
                <w:bCs/>
              </w:rPr>
            </w:pPr>
          </w:p>
        </w:tc>
        <w:tc>
          <w:tcPr>
            <w:tcW w:w="1500" w:type="dxa"/>
            <w:tcBorders>
              <w:top w:val="nil"/>
              <w:left w:val="nil"/>
              <w:bottom w:val="single" w:sz="4" w:space="0" w:color="auto"/>
              <w:right w:val="single" w:sz="4" w:space="0" w:color="auto"/>
            </w:tcBorders>
          </w:tcPr>
          <w:p w:rsidR="00BB42F2" w:rsidRPr="003C289B" w:rsidRDefault="00BB42F2" w:rsidP="00BE020B">
            <w:pPr>
              <w:jc w:val="center"/>
              <w:rPr>
                <w:b/>
                <w:bCs/>
              </w:rPr>
            </w:pPr>
          </w:p>
        </w:tc>
        <w:tc>
          <w:tcPr>
            <w:tcW w:w="1500" w:type="dxa"/>
            <w:tcBorders>
              <w:top w:val="nil"/>
              <w:left w:val="nil"/>
              <w:bottom w:val="single" w:sz="4" w:space="0" w:color="auto"/>
              <w:right w:val="single" w:sz="4" w:space="0" w:color="auto"/>
            </w:tcBorders>
          </w:tcPr>
          <w:p w:rsidR="00BB42F2" w:rsidRPr="003C289B" w:rsidRDefault="00BB42F2" w:rsidP="00BE020B">
            <w:pPr>
              <w:jc w:val="center"/>
              <w:rPr>
                <w:b/>
                <w:bCs/>
              </w:rPr>
            </w:pPr>
          </w:p>
        </w:tc>
        <w:tc>
          <w:tcPr>
            <w:tcW w:w="3000" w:type="dxa"/>
            <w:tcBorders>
              <w:top w:val="nil"/>
              <w:left w:val="nil"/>
              <w:bottom w:val="single" w:sz="4" w:space="0" w:color="auto"/>
              <w:right w:val="single" w:sz="4" w:space="0" w:color="auto"/>
            </w:tcBorders>
            <w:noWrap/>
            <w:vAlign w:val="bottom"/>
          </w:tcPr>
          <w:p w:rsidR="00BB42F2" w:rsidRPr="003C289B" w:rsidRDefault="00BB42F2" w:rsidP="00BE020B">
            <w:r w:rsidRPr="003C289B">
              <w:t> </w:t>
            </w:r>
          </w:p>
        </w:tc>
      </w:tr>
      <w:tr w:rsidR="00BB42F2" w:rsidRPr="003C289B" w:rsidTr="00BE020B">
        <w:trPr>
          <w:trHeight w:val="255"/>
        </w:trPr>
        <w:tc>
          <w:tcPr>
            <w:tcW w:w="4950" w:type="dxa"/>
            <w:tcBorders>
              <w:top w:val="nil"/>
              <w:left w:val="single" w:sz="4" w:space="0" w:color="auto"/>
              <w:bottom w:val="single" w:sz="4" w:space="0" w:color="auto"/>
              <w:right w:val="single" w:sz="4" w:space="0" w:color="auto"/>
            </w:tcBorders>
          </w:tcPr>
          <w:p w:rsidR="00BB42F2" w:rsidRPr="003C289B" w:rsidRDefault="00BB42F2" w:rsidP="00BE020B">
            <w:pPr>
              <w:rPr>
                <w:b/>
                <w:bCs/>
              </w:rPr>
            </w:pPr>
            <w:r w:rsidRPr="003C289B">
              <w:rPr>
                <w:b/>
                <w:bCs/>
              </w:rPr>
              <w:t>Granty a transfery (300)</w:t>
            </w:r>
            <w:r w:rsidRPr="003C289B">
              <w:rPr>
                <w:b/>
                <w:bCs/>
                <w:vertAlign w:val="superscript"/>
              </w:rPr>
              <w:t>1</w:t>
            </w:r>
          </w:p>
        </w:tc>
        <w:tc>
          <w:tcPr>
            <w:tcW w:w="1500" w:type="dxa"/>
            <w:tcBorders>
              <w:top w:val="nil"/>
              <w:left w:val="nil"/>
              <w:bottom w:val="single" w:sz="4" w:space="0" w:color="auto"/>
              <w:right w:val="single" w:sz="4" w:space="0" w:color="auto"/>
            </w:tcBorders>
          </w:tcPr>
          <w:p w:rsidR="00BB42F2" w:rsidRPr="003C289B" w:rsidRDefault="00BB42F2" w:rsidP="00BE020B">
            <w:pPr>
              <w:jc w:val="center"/>
              <w:rPr>
                <w:b/>
                <w:bCs/>
              </w:rPr>
            </w:pPr>
          </w:p>
        </w:tc>
        <w:tc>
          <w:tcPr>
            <w:tcW w:w="1500" w:type="dxa"/>
            <w:tcBorders>
              <w:top w:val="nil"/>
              <w:left w:val="nil"/>
              <w:bottom w:val="single" w:sz="4" w:space="0" w:color="auto"/>
              <w:right w:val="single" w:sz="4" w:space="0" w:color="auto"/>
            </w:tcBorders>
          </w:tcPr>
          <w:p w:rsidR="00BB42F2" w:rsidRPr="003C289B" w:rsidRDefault="00BB42F2" w:rsidP="00BE020B">
            <w:pPr>
              <w:jc w:val="center"/>
              <w:rPr>
                <w:b/>
                <w:bCs/>
              </w:rPr>
            </w:pPr>
          </w:p>
        </w:tc>
        <w:tc>
          <w:tcPr>
            <w:tcW w:w="1500" w:type="dxa"/>
            <w:tcBorders>
              <w:top w:val="nil"/>
              <w:left w:val="nil"/>
              <w:bottom w:val="single" w:sz="4" w:space="0" w:color="auto"/>
              <w:right w:val="single" w:sz="4" w:space="0" w:color="auto"/>
            </w:tcBorders>
          </w:tcPr>
          <w:p w:rsidR="00BB42F2" w:rsidRPr="003C289B" w:rsidRDefault="00BB42F2" w:rsidP="00BE020B">
            <w:pPr>
              <w:jc w:val="center"/>
              <w:rPr>
                <w:b/>
                <w:bCs/>
              </w:rPr>
            </w:pPr>
          </w:p>
        </w:tc>
        <w:tc>
          <w:tcPr>
            <w:tcW w:w="1500" w:type="dxa"/>
            <w:tcBorders>
              <w:top w:val="nil"/>
              <w:left w:val="nil"/>
              <w:bottom w:val="single" w:sz="4" w:space="0" w:color="auto"/>
              <w:right w:val="single" w:sz="4" w:space="0" w:color="auto"/>
            </w:tcBorders>
          </w:tcPr>
          <w:p w:rsidR="00BB42F2" w:rsidRPr="003C289B" w:rsidRDefault="00BB42F2" w:rsidP="00BE020B">
            <w:pPr>
              <w:jc w:val="center"/>
              <w:rPr>
                <w:b/>
                <w:bCs/>
              </w:rPr>
            </w:pPr>
          </w:p>
        </w:tc>
        <w:tc>
          <w:tcPr>
            <w:tcW w:w="3000" w:type="dxa"/>
            <w:tcBorders>
              <w:top w:val="nil"/>
              <w:left w:val="nil"/>
              <w:bottom w:val="single" w:sz="4" w:space="0" w:color="auto"/>
              <w:right w:val="single" w:sz="4" w:space="0" w:color="auto"/>
            </w:tcBorders>
            <w:noWrap/>
            <w:vAlign w:val="bottom"/>
          </w:tcPr>
          <w:p w:rsidR="00BB42F2" w:rsidRPr="003C289B" w:rsidRDefault="00BB42F2" w:rsidP="00BE020B">
            <w:r w:rsidRPr="003C289B">
              <w:t> </w:t>
            </w:r>
          </w:p>
        </w:tc>
      </w:tr>
      <w:tr w:rsidR="00BB42F2" w:rsidRPr="003C289B" w:rsidTr="00BE020B">
        <w:trPr>
          <w:trHeight w:val="255"/>
        </w:trPr>
        <w:tc>
          <w:tcPr>
            <w:tcW w:w="4950" w:type="dxa"/>
            <w:tcBorders>
              <w:top w:val="nil"/>
              <w:left w:val="single" w:sz="4" w:space="0" w:color="auto"/>
              <w:bottom w:val="single" w:sz="4" w:space="0" w:color="auto"/>
              <w:right w:val="single" w:sz="4" w:space="0" w:color="auto"/>
            </w:tcBorders>
          </w:tcPr>
          <w:p w:rsidR="00BB42F2" w:rsidRPr="003C289B" w:rsidRDefault="00BB42F2" w:rsidP="00BE020B">
            <w:pPr>
              <w:rPr>
                <w:b/>
                <w:bCs/>
              </w:rPr>
            </w:pPr>
            <w:r w:rsidRPr="003C289B">
              <w:rPr>
                <w:b/>
                <w:bCs/>
              </w:rPr>
              <w:t>Príjmy z transakcií s finančnými aktívami a finančnými pasívami (400)</w:t>
            </w:r>
          </w:p>
        </w:tc>
        <w:tc>
          <w:tcPr>
            <w:tcW w:w="1500" w:type="dxa"/>
            <w:tcBorders>
              <w:top w:val="nil"/>
              <w:left w:val="nil"/>
              <w:bottom w:val="single" w:sz="4" w:space="0" w:color="auto"/>
              <w:right w:val="single" w:sz="4" w:space="0" w:color="auto"/>
            </w:tcBorders>
            <w:shd w:val="clear" w:color="auto" w:fill="FFFF99"/>
          </w:tcPr>
          <w:p w:rsidR="00BB42F2" w:rsidRPr="003C289B" w:rsidRDefault="00BB42F2" w:rsidP="00BE020B">
            <w:pPr>
              <w:jc w:val="center"/>
              <w:rPr>
                <w:b/>
                <w:bCs/>
              </w:rPr>
            </w:pPr>
          </w:p>
        </w:tc>
        <w:tc>
          <w:tcPr>
            <w:tcW w:w="1500" w:type="dxa"/>
            <w:tcBorders>
              <w:top w:val="nil"/>
              <w:left w:val="nil"/>
              <w:bottom w:val="single" w:sz="4" w:space="0" w:color="auto"/>
              <w:right w:val="single" w:sz="4" w:space="0" w:color="auto"/>
            </w:tcBorders>
            <w:shd w:val="clear" w:color="auto" w:fill="FFFF99"/>
          </w:tcPr>
          <w:p w:rsidR="00BB42F2" w:rsidRPr="003C289B" w:rsidRDefault="00BB42F2" w:rsidP="00BE020B">
            <w:pPr>
              <w:jc w:val="center"/>
              <w:rPr>
                <w:b/>
                <w:bCs/>
              </w:rPr>
            </w:pPr>
          </w:p>
        </w:tc>
        <w:tc>
          <w:tcPr>
            <w:tcW w:w="1500" w:type="dxa"/>
            <w:tcBorders>
              <w:top w:val="nil"/>
              <w:left w:val="nil"/>
              <w:bottom w:val="single" w:sz="4" w:space="0" w:color="auto"/>
              <w:right w:val="single" w:sz="4" w:space="0" w:color="auto"/>
            </w:tcBorders>
            <w:shd w:val="clear" w:color="auto" w:fill="FFFF99"/>
          </w:tcPr>
          <w:p w:rsidR="00BB42F2" w:rsidRPr="003C289B" w:rsidRDefault="00BB42F2" w:rsidP="00BE020B">
            <w:pPr>
              <w:jc w:val="center"/>
              <w:rPr>
                <w:b/>
                <w:bCs/>
              </w:rPr>
            </w:pPr>
          </w:p>
        </w:tc>
        <w:tc>
          <w:tcPr>
            <w:tcW w:w="1500" w:type="dxa"/>
            <w:tcBorders>
              <w:top w:val="nil"/>
              <w:left w:val="nil"/>
              <w:bottom w:val="single" w:sz="4" w:space="0" w:color="auto"/>
              <w:right w:val="single" w:sz="4" w:space="0" w:color="auto"/>
            </w:tcBorders>
            <w:shd w:val="clear" w:color="auto" w:fill="FFFF99"/>
          </w:tcPr>
          <w:p w:rsidR="00BB42F2" w:rsidRPr="003C289B" w:rsidRDefault="00BB42F2" w:rsidP="00BE020B">
            <w:pPr>
              <w:jc w:val="center"/>
              <w:rPr>
                <w:b/>
                <w:bCs/>
              </w:rPr>
            </w:pPr>
          </w:p>
        </w:tc>
        <w:tc>
          <w:tcPr>
            <w:tcW w:w="3000" w:type="dxa"/>
            <w:tcBorders>
              <w:top w:val="nil"/>
              <w:left w:val="nil"/>
              <w:bottom w:val="single" w:sz="4" w:space="0" w:color="auto"/>
              <w:right w:val="single" w:sz="4" w:space="0" w:color="auto"/>
            </w:tcBorders>
            <w:noWrap/>
            <w:vAlign w:val="bottom"/>
          </w:tcPr>
          <w:p w:rsidR="00BB42F2" w:rsidRPr="003C289B" w:rsidRDefault="00BB42F2" w:rsidP="00BE020B">
            <w:r w:rsidRPr="003C289B">
              <w:t> </w:t>
            </w:r>
          </w:p>
        </w:tc>
      </w:tr>
      <w:tr w:rsidR="00BB42F2" w:rsidRPr="003C289B" w:rsidTr="00BE020B">
        <w:trPr>
          <w:trHeight w:val="255"/>
        </w:trPr>
        <w:tc>
          <w:tcPr>
            <w:tcW w:w="4950" w:type="dxa"/>
            <w:tcBorders>
              <w:top w:val="nil"/>
              <w:left w:val="single" w:sz="4" w:space="0" w:color="auto"/>
              <w:bottom w:val="single" w:sz="4" w:space="0" w:color="auto"/>
              <w:right w:val="single" w:sz="4" w:space="0" w:color="auto"/>
            </w:tcBorders>
          </w:tcPr>
          <w:p w:rsidR="00BB42F2" w:rsidRPr="003C289B" w:rsidRDefault="00BB42F2" w:rsidP="00BE020B">
            <w:pPr>
              <w:rPr>
                <w:b/>
                <w:bCs/>
              </w:rPr>
            </w:pPr>
            <w:r w:rsidRPr="003C289B">
              <w:rPr>
                <w:b/>
                <w:bCs/>
              </w:rPr>
              <w:t>Prijaté úvery, pôžičky a návratné finančné výpomoci (500)</w:t>
            </w:r>
          </w:p>
        </w:tc>
        <w:tc>
          <w:tcPr>
            <w:tcW w:w="1500" w:type="dxa"/>
            <w:tcBorders>
              <w:top w:val="nil"/>
              <w:left w:val="nil"/>
              <w:bottom w:val="single" w:sz="4" w:space="0" w:color="auto"/>
              <w:right w:val="single" w:sz="4" w:space="0" w:color="auto"/>
            </w:tcBorders>
            <w:shd w:val="clear" w:color="auto" w:fill="FFFF99"/>
          </w:tcPr>
          <w:p w:rsidR="00BB42F2" w:rsidRPr="003C289B" w:rsidRDefault="00BB42F2" w:rsidP="00BE020B">
            <w:pPr>
              <w:jc w:val="center"/>
              <w:rPr>
                <w:b/>
                <w:bCs/>
              </w:rPr>
            </w:pPr>
          </w:p>
        </w:tc>
        <w:tc>
          <w:tcPr>
            <w:tcW w:w="1500" w:type="dxa"/>
            <w:tcBorders>
              <w:top w:val="nil"/>
              <w:left w:val="nil"/>
              <w:bottom w:val="single" w:sz="4" w:space="0" w:color="auto"/>
              <w:right w:val="single" w:sz="4" w:space="0" w:color="auto"/>
            </w:tcBorders>
            <w:shd w:val="clear" w:color="auto" w:fill="FFFF99"/>
          </w:tcPr>
          <w:p w:rsidR="00BB42F2" w:rsidRPr="003C289B" w:rsidRDefault="00BB42F2" w:rsidP="00BE020B">
            <w:pPr>
              <w:jc w:val="center"/>
              <w:rPr>
                <w:b/>
                <w:bCs/>
              </w:rPr>
            </w:pPr>
          </w:p>
        </w:tc>
        <w:tc>
          <w:tcPr>
            <w:tcW w:w="1500" w:type="dxa"/>
            <w:tcBorders>
              <w:top w:val="nil"/>
              <w:left w:val="nil"/>
              <w:bottom w:val="single" w:sz="4" w:space="0" w:color="auto"/>
              <w:right w:val="single" w:sz="4" w:space="0" w:color="auto"/>
            </w:tcBorders>
            <w:shd w:val="clear" w:color="auto" w:fill="FFFF99"/>
          </w:tcPr>
          <w:p w:rsidR="00BB42F2" w:rsidRPr="003C289B" w:rsidRDefault="00BB42F2" w:rsidP="00BE020B">
            <w:pPr>
              <w:jc w:val="center"/>
              <w:rPr>
                <w:b/>
                <w:bCs/>
              </w:rPr>
            </w:pPr>
          </w:p>
        </w:tc>
        <w:tc>
          <w:tcPr>
            <w:tcW w:w="1500" w:type="dxa"/>
            <w:tcBorders>
              <w:top w:val="nil"/>
              <w:left w:val="nil"/>
              <w:bottom w:val="single" w:sz="4" w:space="0" w:color="auto"/>
              <w:right w:val="single" w:sz="4" w:space="0" w:color="auto"/>
            </w:tcBorders>
            <w:shd w:val="clear" w:color="auto" w:fill="FFFF99"/>
          </w:tcPr>
          <w:p w:rsidR="00BB42F2" w:rsidRPr="003C289B" w:rsidRDefault="00BB42F2" w:rsidP="00BE020B">
            <w:pPr>
              <w:jc w:val="center"/>
              <w:rPr>
                <w:b/>
                <w:bCs/>
              </w:rPr>
            </w:pPr>
          </w:p>
        </w:tc>
        <w:tc>
          <w:tcPr>
            <w:tcW w:w="3000" w:type="dxa"/>
            <w:tcBorders>
              <w:top w:val="nil"/>
              <w:left w:val="nil"/>
              <w:bottom w:val="single" w:sz="4" w:space="0" w:color="auto"/>
              <w:right w:val="single" w:sz="4" w:space="0" w:color="auto"/>
            </w:tcBorders>
            <w:noWrap/>
            <w:vAlign w:val="bottom"/>
          </w:tcPr>
          <w:p w:rsidR="00BB42F2" w:rsidRPr="003C289B" w:rsidRDefault="00BB42F2" w:rsidP="00BE020B">
            <w:r w:rsidRPr="003C289B">
              <w:t> </w:t>
            </w:r>
          </w:p>
        </w:tc>
      </w:tr>
      <w:tr w:rsidR="00BB42F2" w:rsidRPr="003C289B" w:rsidTr="00BE020B">
        <w:trPr>
          <w:trHeight w:val="255"/>
        </w:trPr>
        <w:tc>
          <w:tcPr>
            <w:tcW w:w="4950" w:type="dxa"/>
            <w:tcBorders>
              <w:top w:val="nil"/>
              <w:left w:val="single" w:sz="4" w:space="0" w:color="auto"/>
              <w:bottom w:val="single" w:sz="4" w:space="0" w:color="auto"/>
              <w:right w:val="single" w:sz="4" w:space="0" w:color="auto"/>
            </w:tcBorders>
            <w:shd w:val="clear" w:color="auto" w:fill="BFBFBF" w:themeFill="background1" w:themeFillShade="BF"/>
          </w:tcPr>
          <w:p w:rsidR="00BB42F2" w:rsidRPr="003C289B" w:rsidRDefault="00BB42F2" w:rsidP="00BE020B">
            <w:pPr>
              <w:rPr>
                <w:b/>
                <w:bCs/>
              </w:rPr>
            </w:pPr>
            <w:r w:rsidRPr="003C289B">
              <w:rPr>
                <w:b/>
                <w:bCs/>
              </w:rPr>
              <w:t>Dopad na príjmy verejnej správy celkom</w:t>
            </w:r>
          </w:p>
        </w:tc>
        <w:tc>
          <w:tcPr>
            <w:tcW w:w="1500" w:type="dxa"/>
            <w:tcBorders>
              <w:top w:val="nil"/>
              <w:left w:val="nil"/>
              <w:bottom w:val="single" w:sz="4" w:space="0" w:color="auto"/>
              <w:right w:val="single" w:sz="4" w:space="0" w:color="auto"/>
            </w:tcBorders>
            <w:shd w:val="clear" w:color="auto" w:fill="BFBFBF" w:themeFill="background1" w:themeFillShade="BF"/>
            <w:vAlign w:val="center"/>
          </w:tcPr>
          <w:p w:rsidR="00BB42F2" w:rsidRPr="002039E5" w:rsidRDefault="00BB42F2" w:rsidP="00BE020B">
            <w:pPr>
              <w:jc w:val="center"/>
              <w:rPr>
                <w:b/>
                <w:bCs/>
                <w:iCs/>
              </w:rPr>
            </w:pPr>
          </w:p>
        </w:tc>
        <w:tc>
          <w:tcPr>
            <w:tcW w:w="1500" w:type="dxa"/>
            <w:tcBorders>
              <w:top w:val="nil"/>
              <w:left w:val="nil"/>
              <w:bottom w:val="single" w:sz="4" w:space="0" w:color="auto"/>
              <w:right w:val="single" w:sz="4" w:space="0" w:color="auto"/>
            </w:tcBorders>
            <w:shd w:val="clear" w:color="auto" w:fill="BFBFBF" w:themeFill="background1" w:themeFillShade="BF"/>
            <w:vAlign w:val="center"/>
          </w:tcPr>
          <w:p w:rsidR="00BB42F2" w:rsidRPr="002039E5" w:rsidRDefault="00BB42F2" w:rsidP="00BE020B">
            <w:pPr>
              <w:jc w:val="center"/>
              <w:rPr>
                <w:b/>
                <w:bCs/>
                <w:iCs/>
              </w:rPr>
            </w:pPr>
            <w:r>
              <w:rPr>
                <w:b/>
                <w:bCs/>
                <w:iCs/>
              </w:rPr>
              <w:t>- 14 000</w:t>
            </w:r>
          </w:p>
        </w:tc>
        <w:tc>
          <w:tcPr>
            <w:tcW w:w="1500" w:type="dxa"/>
            <w:tcBorders>
              <w:top w:val="nil"/>
              <w:left w:val="nil"/>
              <w:bottom w:val="single" w:sz="4" w:space="0" w:color="auto"/>
              <w:right w:val="single" w:sz="4" w:space="0" w:color="auto"/>
            </w:tcBorders>
            <w:shd w:val="clear" w:color="auto" w:fill="BFBFBF" w:themeFill="background1" w:themeFillShade="BF"/>
            <w:vAlign w:val="center"/>
          </w:tcPr>
          <w:p w:rsidR="00BB42F2" w:rsidRPr="002039E5" w:rsidRDefault="00BB42F2" w:rsidP="00BE020B">
            <w:pPr>
              <w:jc w:val="center"/>
              <w:rPr>
                <w:b/>
                <w:bCs/>
                <w:iCs/>
              </w:rPr>
            </w:pPr>
            <w:r>
              <w:rPr>
                <w:b/>
                <w:bCs/>
                <w:iCs/>
              </w:rPr>
              <w:t>57 006 000</w:t>
            </w:r>
          </w:p>
        </w:tc>
        <w:tc>
          <w:tcPr>
            <w:tcW w:w="1500" w:type="dxa"/>
            <w:tcBorders>
              <w:top w:val="nil"/>
              <w:left w:val="nil"/>
              <w:bottom w:val="single" w:sz="4" w:space="0" w:color="auto"/>
              <w:right w:val="single" w:sz="4" w:space="0" w:color="auto"/>
            </w:tcBorders>
            <w:shd w:val="clear" w:color="auto" w:fill="BFBFBF" w:themeFill="background1" w:themeFillShade="BF"/>
            <w:vAlign w:val="center"/>
          </w:tcPr>
          <w:p w:rsidR="00BB42F2" w:rsidRPr="002039E5" w:rsidRDefault="00BB42F2" w:rsidP="00BE020B">
            <w:pPr>
              <w:jc w:val="center"/>
              <w:rPr>
                <w:b/>
                <w:bCs/>
                <w:iCs/>
              </w:rPr>
            </w:pPr>
            <w:r>
              <w:rPr>
                <w:b/>
                <w:bCs/>
                <w:iCs/>
              </w:rPr>
              <w:t>57 004 000</w:t>
            </w:r>
          </w:p>
        </w:tc>
        <w:tc>
          <w:tcPr>
            <w:tcW w:w="3000" w:type="dxa"/>
            <w:tcBorders>
              <w:top w:val="nil"/>
              <w:left w:val="nil"/>
              <w:bottom w:val="single" w:sz="4" w:space="0" w:color="auto"/>
              <w:right w:val="single" w:sz="4" w:space="0" w:color="auto"/>
            </w:tcBorders>
            <w:shd w:val="clear" w:color="auto" w:fill="BFBFBF" w:themeFill="background1" w:themeFillShade="BF"/>
            <w:noWrap/>
            <w:vAlign w:val="bottom"/>
          </w:tcPr>
          <w:p w:rsidR="00BB42F2" w:rsidRPr="003C289B" w:rsidRDefault="00BB42F2" w:rsidP="00BE020B">
            <w:r w:rsidRPr="003C289B">
              <w:t> </w:t>
            </w:r>
          </w:p>
        </w:tc>
      </w:tr>
    </w:tbl>
    <w:p w:rsidR="00BB42F2" w:rsidRPr="00D3116B" w:rsidRDefault="00BB42F2" w:rsidP="00BB42F2">
      <w:pPr>
        <w:tabs>
          <w:tab w:val="num" w:pos="1080"/>
        </w:tabs>
        <w:jc w:val="both"/>
        <w:rPr>
          <w:bCs/>
          <w:sz w:val="20"/>
          <w:szCs w:val="20"/>
        </w:rPr>
      </w:pPr>
      <w:r w:rsidRPr="003C289B">
        <w:rPr>
          <w:bCs/>
          <w:sz w:val="20"/>
          <w:szCs w:val="20"/>
        </w:rPr>
        <w:t>1 –  príjmy rozpísať až do položiek p</w:t>
      </w:r>
      <w:r>
        <w:rPr>
          <w:bCs/>
          <w:sz w:val="20"/>
          <w:szCs w:val="20"/>
        </w:rPr>
        <w:t>latnej ekonomickej klasifikácie</w:t>
      </w:r>
    </w:p>
    <w:p w:rsidR="00BB42F2" w:rsidRPr="001D4349" w:rsidRDefault="00BB42F2" w:rsidP="00BB42F2">
      <w:pPr>
        <w:tabs>
          <w:tab w:val="num" w:pos="1080"/>
        </w:tabs>
        <w:jc w:val="both"/>
        <w:rPr>
          <w:bCs/>
          <w:sz w:val="20"/>
          <w:szCs w:val="20"/>
        </w:rPr>
      </w:pPr>
    </w:p>
    <w:p w:rsidR="00BB42F2" w:rsidRPr="003C289B" w:rsidRDefault="00BB42F2" w:rsidP="00BB42F2">
      <w:pPr>
        <w:tabs>
          <w:tab w:val="num" w:pos="1080"/>
        </w:tabs>
        <w:jc w:val="both"/>
        <w:rPr>
          <w:b/>
          <w:bCs/>
          <w:szCs w:val="20"/>
        </w:rPr>
      </w:pPr>
      <w:r w:rsidRPr="003C289B">
        <w:rPr>
          <w:b/>
          <w:bCs/>
          <w:szCs w:val="20"/>
        </w:rPr>
        <w:t>Poznámka:</w:t>
      </w:r>
    </w:p>
    <w:p w:rsidR="00BB42F2" w:rsidRDefault="00BB42F2" w:rsidP="00BB42F2">
      <w:pPr>
        <w:tabs>
          <w:tab w:val="num" w:pos="1080"/>
        </w:tabs>
        <w:jc w:val="both"/>
        <w:rPr>
          <w:bCs/>
          <w:szCs w:val="20"/>
        </w:rPr>
      </w:pPr>
      <w:r w:rsidRPr="003C289B">
        <w:rPr>
          <w:bCs/>
          <w:szCs w:val="20"/>
        </w:rPr>
        <w:t>Ak sa vplyv týka viacerých subjektov verejnej správy, vypĺňa sa samos</w:t>
      </w:r>
      <w:r>
        <w:rPr>
          <w:bCs/>
          <w:szCs w:val="20"/>
        </w:rPr>
        <w:t>tatná tabuľka za každý subjekt.</w:t>
      </w:r>
    </w:p>
    <w:p w:rsidR="00BB42F2" w:rsidRPr="00C13F01" w:rsidRDefault="00BB42F2" w:rsidP="00BB42F2">
      <w:pPr>
        <w:tabs>
          <w:tab w:val="num" w:pos="1080"/>
        </w:tabs>
        <w:jc w:val="both"/>
        <w:rPr>
          <w:bCs/>
          <w:szCs w:val="20"/>
        </w:rPr>
      </w:pPr>
    </w:p>
    <w:p w:rsidR="00BB42F2" w:rsidRDefault="00BB42F2" w:rsidP="00BB42F2">
      <w:pPr>
        <w:tabs>
          <w:tab w:val="num" w:pos="1080"/>
        </w:tabs>
        <w:ind w:right="-32"/>
        <w:jc w:val="right"/>
        <w:rPr>
          <w:bCs/>
        </w:rPr>
      </w:pPr>
      <w:r>
        <w:rPr>
          <w:bCs/>
        </w:rPr>
        <w:t xml:space="preserve">Tabuľka č. 4 </w:t>
      </w:r>
    </w:p>
    <w:tbl>
      <w:tblPr>
        <w:tblpPr w:leftFromText="141" w:rightFromText="141" w:vertAnchor="text" w:horzAnchor="page" w:tblpX="629" w:tblpY="2"/>
        <w:tblW w:w="15450" w:type="dxa"/>
        <w:tblCellMar>
          <w:left w:w="70" w:type="dxa"/>
          <w:right w:w="70" w:type="dxa"/>
        </w:tblCellMar>
        <w:tblLook w:val="0000" w:firstRow="0" w:lastRow="0" w:firstColumn="0" w:lastColumn="0" w:noHBand="0" w:noVBand="0"/>
      </w:tblPr>
      <w:tblGrid>
        <w:gridCol w:w="7070"/>
        <w:gridCol w:w="1540"/>
        <w:gridCol w:w="1540"/>
        <w:gridCol w:w="1540"/>
        <w:gridCol w:w="1540"/>
        <w:gridCol w:w="2220"/>
      </w:tblGrid>
      <w:tr w:rsidR="00BB42F2" w:rsidRPr="003C289B" w:rsidTr="00BE020B">
        <w:trPr>
          <w:cantSplit/>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tcPr>
          <w:p w:rsidR="00BB42F2" w:rsidRPr="003C289B" w:rsidRDefault="00BB42F2" w:rsidP="00BE020B">
            <w:pPr>
              <w:jc w:val="center"/>
              <w:rPr>
                <w:b/>
                <w:bCs/>
                <w:sz w:val="20"/>
                <w:szCs w:val="20"/>
              </w:rPr>
            </w:pPr>
            <w:r w:rsidRPr="003C289B">
              <w:rPr>
                <w:b/>
                <w:bCs/>
                <w:sz w:val="20"/>
                <w:szCs w:val="20"/>
              </w:rPr>
              <w:t>Výdavky (v eurách)</w:t>
            </w:r>
          </w:p>
        </w:tc>
        <w:tc>
          <w:tcPr>
            <w:tcW w:w="6160" w:type="dxa"/>
            <w:gridSpan w:val="4"/>
            <w:tcBorders>
              <w:top w:val="single" w:sz="4" w:space="0" w:color="auto"/>
              <w:left w:val="nil"/>
              <w:bottom w:val="single" w:sz="4" w:space="0" w:color="auto"/>
              <w:right w:val="single" w:sz="4" w:space="0" w:color="auto"/>
            </w:tcBorders>
            <w:shd w:val="clear" w:color="auto" w:fill="BFBFBF" w:themeFill="background1" w:themeFillShade="BF"/>
          </w:tcPr>
          <w:p w:rsidR="00BB42F2" w:rsidRPr="003C289B" w:rsidRDefault="00BB42F2" w:rsidP="00BE020B">
            <w:pPr>
              <w:jc w:val="center"/>
              <w:rPr>
                <w:b/>
                <w:bCs/>
                <w:sz w:val="20"/>
                <w:szCs w:val="20"/>
              </w:rPr>
            </w:pPr>
            <w:r w:rsidRPr="003C289B">
              <w:rPr>
                <w:b/>
                <w:bCs/>
                <w:sz w:val="20"/>
                <w:szCs w:val="20"/>
              </w:rPr>
              <w:t>Vplyv na rozpočet verejnej správy</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BB42F2" w:rsidRPr="003C289B" w:rsidRDefault="00BB42F2" w:rsidP="00BE020B">
            <w:pPr>
              <w:jc w:val="center"/>
              <w:rPr>
                <w:b/>
                <w:bCs/>
              </w:rPr>
            </w:pPr>
            <w:r w:rsidRPr="003C289B">
              <w:rPr>
                <w:b/>
                <w:bCs/>
              </w:rPr>
              <w:t>poznámka</w:t>
            </w:r>
          </w:p>
        </w:tc>
      </w:tr>
      <w:tr w:rsidR="00BB42F2" w:rsidRPr="003C289B" w:rsidTr="00BE020B">
        <w:trPr>
          <w:cantSplit/>
          <w:trHeight w:val="255"/>
        </w:trPr>
        <w:tc>
          <w:tcPr>
            <w:tcW w:w="7070" w:type="dxa"/>
            <w:vMerge/>
            <w:tcBorders>
              <w:top w:val="single" w:sz="4" w:space="0" w:color="auto"/>
              <w:left w:val="single" w:sz="4" w:space="0" w:color="auto"/>
              <w:bottom w:val="single" w:sz="4" w:space="0" w:color="000000"/>
              <w:right w:val="single" w:sz="4" w:space="0" w:color="auto"/>
            </w:tcBorders>
            <w:vAlign w:val="center"/>
          </w:tcPr>
          <w:p w:rsidR="00BB42F2" w:rsidRPr="003C289B" w:rsidRDefault="00BB42F2" w:rsidP="00BE020B">
            <w:pPr>
              <w:rPr>
                <w:b/>
                <w:bCs/>
                <w:color w:val="FFFFFF"/>
                <w:sz w:val="20"/>
                <w:szCs w:val="20"/>
              </w:rPr>
            </w:pPr>
          </w:p>
        </w:tc>
        <w:tc>
          <w:tcPr>
            <w:tcW w:w="1540" w:type="dxa"/>
            <w:tcBorders>
              <w:top w:val="nil"/>
              <w:left w:val="nil"/>
              <w:bottom w:val="single" w:sz="4" w:space="0" w:color="auto"/>
              <w:right w:val="single" w:sz="4" w:space="0" w:color="auto"/>
            </w:tcBorders>
            <w:shd w:val="clear" w:color="auto" w:fill="BFBFBF" w:themeFill="background1" w:themeFillShade="BF"/>
          </w:tcPr>
          <w:p w:rsidR="00BB42F2" w:rsidRPr="003C289B" w:rsidRDefault="00BB42F2" w:rsidP="00BE020B">
            <w:pPr>
              <w:jc w:val="center"/>
              <w:rPr>
                <w:b/>
                <w:bCs/>
                <w:sz w:val="20"/>
                <w:szCs w:val="20"/>
              </w:rPr>
            </w:pPr>
            <w:r>
              <w:rPr>
                <w:b/>
                <w:bCs/>
                <w:sz w:val="20"/>
                <w:szCs w:val="20"/>
              </w:rPr>
              <w:t>2018</w:t>
            </w:r>
          </w:p>
        </w:tc>
        <w:tc>
          <w:tcPr>
            <w:tcW w:w="1540" w:type="dxa"/>
            <w:tcBorders>
              <w:top w:val="nil"/>
              <w:left w:val="nil"/>
              <w:bottom w:val="single" w:sz="4" w:space="0" w:color="auto"/>
              <w:right w:val="single" w:sz="4" w:space="0" w:color="auto"/>
            </w:tcBorders>
            <w:shd w:val="clear" w:color="auto" w:fill="BFBFBF" w:themeFill="background1" w:themeFillShade="BF"/>
          </w:tcPr>
          <w:p w:rsidR="00BB42F2" w:rsidRPr="003C289B" w:rsidRDefault="00BB42F2" w:rsidP="00BE020B">
            <w:pPr>
              <w:jc w:val="center"/>
              <w:rPr>
                <w:b/>
                <w:bCs/>
                <w:sz w:val="20"/>
                <w:szCs w:val="20"/>
              </w:rPr>
            </w:pPr>
            <w:r>
              <w:rPr>
                <w:b/>
                <w:bCs/>
                <w:sz w:val="20"/>
                <w:szCs w:val="20"/>
              </w:rPr>
              <w:t>2019</w:t>
            </w:r>
          </w:p>
        </w:tc>
        <w:tc>
          <w:tcPr>
            <w:tcW w:w="1540" w:type="dxa"/>
            <w:tcBorders>
              <w:top w:val="nil"/>
              <w:left w:val="nil"/>
              <w:bottom w:val="single" w:sz="4" w:space="0" w:color="auto"/>
              <w:right w:val="single" w:sz="4" w:space="0" w:color="auto"/>
            </w:tcBorders>
            <w:shd w:val="clear" w:color="auto" w:fill="BFBFBF" w:themeFill="background1" w:themeFillShade="BF"/>
          </w:tcPr>
          <w:p w:rsidR="00BB42F2" w:rsidRPr="003C289B" w:rsidRDefault="00BB42F2" w:rsidP="00BE020B">
            <w:pPr>
              <w:jc w:val="center"/>
              <w:rPr>
                <w:b/>
                <w:bCs/>
                <w:sz w:val="20"/>
                <w:szCs w:val="20"/>
              </w:rPr>
            </w:pPr>
            <w:r>
              <w:rPr>
                <w:b/>
                <w:bCs/>
                <w:sz w:val="20"/>
                <w:szCs w:val="20"/>
              </w:rPr>
              <w:t>2020</w:t>
            </w:r>
          </w:p>
        </w:tc>
        <w:tc>
          <w:tcPr>
            <w:tcW w:w="1540" w:type="dxa"/>
            <w:tcBorders>
              <w:top w:val="nil"/>
              <w:left w:val="nil"/>
              <w:bottom w:val="single" w:sz="4" w:space="0" w:color="auto"/>
              <w:right w:val="single" w:sz="4" w:space="0" w:color="auto"/>
            </w:tcBorders>
            <w:shd w:val="clear" w:color="auto" w:fill="BFBFBF" w:themeFill="background1" w:themeFillShade="BF"/>
          </w:tcPr>
          <w:p w:rsidR="00BB42F2" w:rsidRPr="003C289B" w:rsidRDefault="00BB42F2" w:rsidP="00BE020B">
            <w:pPr>
              <w:jc w:val="center"/>
              <w:rPr>
                <w:b/>
                <w:bCs/>
                <w:sz w:val="20"/>
                <w:szCs w:val="20"/>
              </w:rPr>
            </w:pPr>
            <w:r>
              <w:rPr>
                <w:b/>
                <w:bCs/>
                <w:sz w:val="20"/>
                <w:szCs w:val="20"/>
              </w:rPr>
              <w:t>2021</w:t>
            </w:r>
          </w:p>
        </w:tc>
        <w:tc>
          <w:tcPr>
            <w:tcW w:w="2220" w:type="dxa"/>
            <w:vMerge/>
            <w:tcBorders>
              <w:top w:val="single" w:sz="4" w:space="0" w:color="auto"/>
              <w:left w:val="single" w:sz="4" w:space="0" w:color="auto"/>
              <w:bottom w:val="single" w:sz="4" w:space="0" w:color="auto"/>
              <w:right w:val="single" w:sz="4" w:space="0" w:color="auto"/>
            </w:tcBorders>
            <w:vAlign w:val="center"/>
          </w:tcPr>
          <w:p w:rsidR="00BB42F2" w:rsidRPr="003C289B" w:rsidRDefault="00BB42F2" w:rsidP="00BE020B">
            <w:pPr>
              <w:rPr>
                <w:b/>
                <w:bCs/>
                <w:color w:val="FFFFFF"/>
              </w:rPr>
            </w:pPr>
          </w:p>
        </w:tc>
      </w:tr>
      <w:tr w:rsidR="00BB42F2" w:rsidRPr="003C289B" w:rsidTr="00BE020B">
        <w:trPr>
          <w:trHeight w:val="255"/>
        </w:trPr>
        <w:tc>
          <w:tcPr>
            <w:tcW w:w="7070" w:type="dxa"/>
            <w:tcBorders>
              <w:top w:val="nil"/>
              <w:left w:val="single" w:sz="4" w:space="0" w:color="auto"/>
              <w:bottom w:val="single" w:sz="4" w:space="0" w:color="auto"/>
              <w:right w:val="single" w:sz="4" w:space="0" w:color="auto"/>
            </w:tcBorders>
          </w:tcPr>
          <w:p w:rsidR="00BB42F2" w:rsidRPr="003C289B" w:rsidRDefault="00BB42F2" w:rsidP="00BE020B">
            <w:pPr>
              <w:rPr>
                <w:b/>
                <w:bCs/>
                <w:sz w:val="20"/>
                <w:szCs w:val="20"/>
              </w:rPr>
            </w:pPr>
            <w:r w:rsidRPr="003C289B">
              <w:rPr>
                <w:b/>
                <w:bCs/>
                <w:sz w:val="20"/>
                <w:szCs w:val="20"/>
              </w:rPr>
              <w:t>Bežné výdavky (600)</w:t>
            </w:r>
          </w:p>
        </w:tc>
        <w:tc>
          <w:tcPr>
            <w:tcW w:w="1540" w:type="dxa"/>
            <w:tcBorders>
              <w:top w:val="nil"/>
              <w:left w:val="nil"/>
              <w:bottom w:val="single" w:sz="4" w:space="0" w:color="auto"/>
              <w:right w:val="single" w:sz="4" w:space="0" w:color="auto"/>
            </w:tcBorders>
          </w:tcPr>
          <w:p w:rsidR="00BB42F2" w:rsidRPr="003C289B" w:rsidRDefault="00BB42F2" w:rsidP="00BE020B">
            <w:pPr>
              <w:jc w:val="center"/>
              <w:rPr>
                <w:b/>
                <w:bCs/>
                <w:sz w:val="20"/>
                <w:szCs w:val="20"/>
              </w:rPr>
            </w:pPr>
            <w:r>
              <w:rPr>
                <w:b/>
                <w:bCs/>
                <w:sz w:val="20"/>
                <w:szCs w:val="20"/>
              </w:rPr>
              <w:t>0</w:t>
            </w:r>
          </w:p>
        </w:tc>
        <w:tc>
          <w:tcPr>
            <w:tcW w:w="1540" w:type="dxa"/>
            <w:tcBorders>
              <w:top w:val="nil"/>
              <w:left w:val="nil"/>
              <w:bottom w:val="single" w:sz="4" w:space="0" w:color="auto"/>
              <w:right w:val="single" w:sz="4" w:space="0" w:color="auto"/>
            </w:tcBorders>
          </w:tcPr>
          <w:p w:rsidR="00BB42F2" w:rsidRPr="002A41AE" w:rsidRDefault="00BB42F2" w:rsidP="00BE020B">
            <w:pPr>
              <w:jc w:val="center"/>
              <w:rPr>
                <w:b/>
                <w:bCs/>
                <w:sz w:val="20"/>
                <w:szCs w:val="20"/>
              </w:rPr>
            </w:pPr>
            <w:r>
              <w:rPr>
                <w:b/>
                <w:sz w:val="20"/>
                <w:szCs w:val="20"/>
              </w:rPr>
              <w:t>0</w:t>
            </w:r>
          </w:p>
        </w:tc>
        <w:tc>
          <w:tcPr>
            <w:tcW w:w="1540" w:type="dxa"/>
            <w:tcBorders>
              <w:top w:val="nil"/>
              <w:left w:val="nil"/>
              <w:bottom w:val="single" w:sz="4" w:space="0" w:color="auto"/>
              <w:right w:val="single" w:sz="4" w:space="0" w:color="auto"/>
            </w:tcBorders>
          </w:tcPr>
          <w:p w:rsidR="00BB42F2" w:rsidRPr="002A41AE" w:rsidRDefault="00BB42F2" w:rsidP="00BE020B">
            <w:pPr>
              <w:jc w:val="center"/>
              <w:rPr>
                <w:b/>
                <w:bCs/>
                <w:sz w:val="20"/>
                <w:szCs w:val="20"/>
              </w:rPr>
            </w:pPr>
            <w:r>
              <w:rPr>
                <w:b/>
                <w:sz w:val="20"/>
                <w:szCs w:val="20"/>
              </w:rPr>
              <w:t>0</w:t>
            </w:r>
          </w:p>
        </w:tc>
        <w:tc>
          <w:tcPr>
            <w:tcW w:w="1540" w:type="dxa"/>
            <w:tcBorders>
              <w:top w:val="nil"/>
              <w:left w:val="nil"/>
              <w:bottom w:val="single" w:sz="4" w:space="0" w:color="auto"/>
              <w:right w:val="single" w:sz="4" w:space="0" w:color="auto"/>
            </w:tcBorders>
          </w:tcPr>
          <w:p w:rsidR="00BB42F2" w:rsidRPr="002A41AE" w:rsidRDefault="00BB42F2" w:rsidP="00BE020B">
            <w:pPr>
              <w:jc w:val="center"/>
              <w:rPr>
                <w:b/>
                <w:bCs/>
                <w:sz w:val="20"/>
                <w:szCs w:val="20"/>
              </w:rPr>
            </w:pPr>
            <w:r>
              <w:rPr>
                <w:b/>
                <w:sz w:val="20"/>
                <w:szCs w:val="20"/>
              </w:rPr>
              <w:t>0</w:t>
            </w:r>
          </w:p>
        </w:tc>
        <w:tc>
          <w:tcPr>
            <w:tcW w:w="2220" w:type="dxa"/>
            <w:tcBorders>
              <w:top w:val="nil"/>
              <w:left w:val="nil"/>
              <w:bottom w:val="single" w:sz="4" w:space="0" w:color="auto"/>
              <w:right w:val="single" w:sz="4" w:space="0" w:color="auto"/>
            </w:tcBorders>
            <w:noWrap/>
            <w:vAlign w:val="bottom"/>
          </w:tcPr>
          <w:p w:rsidR="00BB42F2" w:rsidRPr="003C289B" w:rsidRDefault="00BB42F2" w:rsidP="00BE020B">
            <w:r w:rsidRPr="003C289B">
              <w:t> </w:t>
            </w:r>
          </w:p>
        </w:tc>
      </w:tr>
      <w:tr w:rsidR="00BB42F2" w:rsidRPr="003C289B" w:rsidTr="00BE020B">
        <w:trPr>
          <w:trHeight w:val="255"/>
        </w:trPr>
        <w:tc>
          <w:tcPr>
            <w:tcW w:w="7070" w:type="dxa"/>
            <w:tcBorders>
              <w:top w:val="nil"/>
              <w:left w:val="single" w:sz="4" w:space="0" w:color="auto"/>
              <w:bottom w:val="single" w:sz="4" w:space="0" w:color="auto"/>
              <w:right w:val="single" w:sz="4" w:space="0" w:color="auto"/>
            </w:tcBorders>
          </w:tcPr>
          <w:p w:rsidR="00BB42F2" w:rsidRPr="003C289B" w:rsidRDefault="00BB42F2" w:rsidP="00BE020B">
            <w:pPr>
              <w:rPr>
                <w:sz w:val="20"/>
                <w:szCs w:val="20"/>
              </w:rPr>
            </w:pPr>
            <w:r w:rsidRPr="003C289B">
              <w:rPr>
                <w:sz w:val="20"/>
                <w:szCs w:val="20"/>
              </w:rPr>
              <w:t xml:space="preserve">  Mzdy, platy, služobné príjmy a ostatné osobné vyrovnania (610)</w:t>
            </w:r>
          </w:p>
        </w:tc>
        <w:tc>
          <w:tcPr>
            <w:tcW w:w="1540" w:type="dxa"/>
            <w:tcBorders>
              <w:top w:val="nil"/>
              <w:left w:val="nil"/>
              <w:bottom w:val="single" w:sz="4" w:space="0" w:color="auto"/>
              <w:right w:val="single" w:sz="4" w:space="0" w:color="auto"/>
            </w:tcBorders>
          </w:tcPr>
          <w:p w:rsidR="00BB42F2" w:rsidRPr="003C289B" w:rsidRDefault="00BB42F2" w:rsidP="00BE020B">
            <w:pPr>
              <w:jc w:val="center"/>
              <w:rPr>
                <w:sz w:val="20"/>
                <w:szCs w:val="20"/>
              </w:rPr>
            </w:pPr>
          </w:p>
        </w:tc>
        <w:tc>
          <w:tcPr>
            <w:tcW w:w="1540" w:type="dxa"/>
            <w:tcBorders>
              <w:top w:val="nil"/>
              <w:left w:val="nil"/>
              <w:bottom w:val="single" w:sz="4" w:space="0" w:color="auto"/>
              <w:right w:val="single" w:sz="4" w:space="0" w:color="auto"/>
            </w:tcBorders>
          </w:tcPr>
          <w:p w:rsidR="00BB42F2" w:rsidRPr="003C289B" w:rsidRDefault="00BB42F2" w:rsidP="00BE020B">
            <w:pPr>
              <w:jc w:val="center"/>
              <w:rPr>
                <w:sz w:val="20"/>
                <w:szCs w:val="20"/>
              </w:rPr>
            </w:pPr>
          </w:p>
        </w:tc>
        <w:tc>
          <w:tcPr>
            <w:tcW w:w="1540" w:type="dxa"/>
            <w:tcBorders>
              <w:top w:val="nil"/>
              <w:left w:val="nil"/>
              <w:bottom w:val="single" w:sz="4" w:space="0" w:color="auto"/>
              <w:right w:val="single" w:sz="4" w:space="0" w:color="auto"/>
            </w:tcBorders>
          </w:tcPr>
          <w:p w:rsidR="00BB42F2" w:rsidRPr="003C289B" w:rsidRDefault="00BB42F2" w:rsidP="00BE020B">
            <w:pPr>
              <w:jc w:val="center"/>
              <w:rPr>
                <w:sz w:val="20"/>
                <w:szCs w:val="20"/>
              </w:rPr>
            </w:pPr>
          </w:p>
        </w:tc>
        <w:tc>
          <w:tcPr>
            <w:tcW w:w="1540" w:type="dxa"/>
            <w:tcBorders>
              <w:top w:val="nil"/>
              <w:left w:val="nil"/>
              <w:bottom w:val="single" w:sz="4" w:space="0" w:color="auto"/>
              <w:right w:val="single" w:sz="4" w:space="0" w:color="auto"/>
            </w:tcBorders>
          </w:tcPr>
          <w:p w:rsidR="00BB42F2" w:rsidRPr="003C289B" w:rsidRDefault="00BB42F2" w:rsidP="00BE020B">
            <w:pPr>
              <w:jc w:val="center"/>
              <w:rPr>
                <w:sz w:val="20"/>
                <w:szCs w:val="20"/>
              </w:rPr>
            </w:pPr>
          </w:p>
        </w:tc>
        <w:tc>
          <w:tcPr>
            <w:tcW w:w="2220" w:type="dxa"/>
            <w:tcBorders>
              <w:top w:val="nil"/>
              <w:left w:val="nil"/>
              <w:bottom w:val="single" w:sz="4" w:space="0" w:color="auto"/>
              <w:right w:val="single" w:sz="4" w:space="0" w:color="auto"/>
            </w:tcBorders>
            <w:noWrap/>
            <w:vAlign w:val="bottom"/>
          </w:tcPr>
          <w:p w:rsidR="00BB42F2" w:rsidRPr="003C289B" w:rsidRDefault="00BB42F2" w:rsidP="00BE020B">
            <w:r w:rsidRPr="003C289B">
              <w:t> </w:t>
            </w:r>
          </w:p>
        </w:tc>
      </w:tr>
      <w:tr w:rsidR="00BB42F2" w:rsidRPr="003C289B" w:rsidTr="00BE020B">
        <w:trPr>
          <w:trHeight w:val="255"/>
        </w:trPr>
        <w:tc>
          <w:tcPr>
            <w:tcW w:w="7070" w:type="dxa"/>
            <w:tcBorders>
              <w:top w:val="nil"/>
              <w:left w:val="single" w:sz="4" w:space="0" w:color="auto"/>
              <w:bottom w:val="single" w:sz="4" w:space="0" w:color="auto"/>
              <w:right w:val="single" w:sz="4" w:space="0" w:color="auto"/>
            </w:tcBorders>
          </w:tcPr>
          <w:p w:rsidR="00BB42F2" w:rsidRPr="003C289B" w:rsidRDefault="00BB42F2" w:rsidP="00BE020B">
            <w:pPr>
              <w:rPr>
                <w:sz w:val="20"/>
                <w:szCs w:val="20"/>
                <w:vertAlign w:val="superscript"/>
              </w:rPr>
            </w:pPr>
            <w:r w:rsidRPr="003C289B">
              <w:rPr>
                <w:sz w:val="20"/>
                <w:szCs w:val="20"/>
              </w:rPr>
              <w:t xml:space="preserve">  Poistné a príspevok do poisťovní (620)</w:t>
            </w:r>
          </w:p>
        </w:tc>
        <w:tc>
          <w:tcPr>
            <w:tcW w:w="1540" w:type="dxa"/>
            <w:tcBorders>
              <w:top w:val="nil"/>
              <w:left w:val="nil"/>
              <w:bottom w:val="single" w:sz="4" w:space="0" w:color="auto"/>
              <w:right w:val="single" w:sz="4" w:space="0" w:color="auto"/>
            </w:tcBorders>
          </w:tcPr>
          <w:p w:rsidR="00BB42F2" w:rsidRPr="003C289B" w:rsidRDefault="00BB42F2" w:rsidP="00BE020B">
            <w:pPr>
              <w:jc w:val="center"/>
              <w:rPr>
                <w:sz w:val="20"/>
                <w:szCs w:val="20"/>
              </w:rPr>
            </w:pPr>
          </w:p>
        </w:tc>
        <w:tc>
          <w:tcPr>
            <w:tcW w:w="1540" w:type="dxa"/>
            <w:tcBorders>
              <w:top w:val="nil"/>
              <w:left w:val="nil"/>
              <w:bottom w:val="single" w:sz="4" w:space="0" w:color="auto"/>
              <w:right w:val="single" w:sz="4" w:space="0" w:color="auto"/>
            </w:tcBorders>
          </w:tcPr>
          <w:p w:rsidR="00BB42F2" w:rsidRPr="003C289B" w:rsidRDefault="00BB42F2" w:rsidP="00BE020B">
            <w:pPr>
              <w:jc w:val="center"/>
              <w:rPr>
                <w:sz w:val="20"/>
                <w:szCs w:val="20"/>
              </w:rPr>
            </w:pPr>
          </w:p>
        </w:tc>
        <w:tc>
          <w:tcPr>
            <w:tcW w:w="1540" w:type="dxa"/>
            <w:tcBorders>
              <w:top w:val="nil"/>
              <w:left w:val="nil"/>
              <w:bottom w:val="single" w:sz="4" w:space="0" w:color="auto"/>
              <w:right w:val="single" w:sz="4" w:space="0" w:color="auto"/>
            </w:tcBorders>
          </w:tcPr>
          <w:p w:rsidR="00BB42F2" w:rsidRPr="003C289B" w:rsidRDefault="00BB42F2" w:rsidP="00BE020B">
            <w:pPr>
              <w:jc w:val="center"/>
              <w:rPr>
                <w:sz w:val="20"/>
                <w:szCs w:val="20"/>
              </w:rPr>
            </w:pPr>
          </w:p>
        </w:tc>
        <w:tc>
          <w:tcPr>
            <w:tcW w:w="1540" w:type="dxa"/>
            <w:tcBorders>
              <w:top w:val="nil"/>
              <w:left w:val="nil"/>
              <w:bottom w:val="single" w:sz="4" w:space="0" w:color="auto"/>
              <w:right w:val="single" w:sz="4" w:space="0" w:color="auto"/>
            </w:tcBorders>
          </w:tcPr>
          <w:p w:rsidR="00BB42F2" w:rsidRPr="003C289B" w:rsidRDefault="00BB42F2" w:rsidP="00BE020B">
            <w:pPr>
              <w:jc w:val="center"/>
              <w:rPr>
                <w:sz w:val="20"/>
                <w:szCs w:val="20"/>
              </w:rPr>
            </w:pPr>
          </w:p>
        </w:tc>
        <w:tc>
          <w:tcPr>
            <w:tcW w:w="2220" w:type="dxa"/>
            <w:tcBorders>
              <w:top w:val="nil"/>
              <w:left w:val="nil"/>
              <w:bottom w:val="single" w:sz="4" w:space="0" w:color="auto"/>
              <w:right w:val="single" w:sz="4" w:space="0" w:color="auto"/>
            </w:tcBorders>
            <w:noWrap/>
            <w:vAlign w:val="bottom"/>
          </w:tcPr>
          <w:p w:rsidR="00BB42F2" w:rsidRPr="003C289B" w:rsidRDefault="00BB42F2" w:rsidP="00BE020B">
            <w:r w:rsidRPr="003C289B">
              <w:t> </w:t>
            </w:r>
          </w:p>
        </w:tc>
      </w:tr>
      <w:tr w:rsidR="00BB42F2" w:rsidRPr="003C289B" w:rsidTr="00BE020B">
        <w:trPr>
          <w:trHeight w:val="255"/>
        </w:trPr>
        <w:tc>
          <w:tcPr>
            <w:tcW w:w="7070" w:type="dxa"/>
            <w:tcBorders>
              <w:top w:val="nil"/>
              <w:left w:val="single" w:sz="4" w:space="0" w:color="auto"/>
              <w:bottom w:val="single" w:sz="4" w:space="0" w:color="auto"/>
              <w:right w:val="single" w:sz="4" w:space="0" w:color="auto"/>
            </w:tcBorders>
          </w:tcPr>
          <w:p w:rsidR="00BB42F2" w:rsidRPr="003C289B" w:rsidRDefault="00BB42F2" w:rsidP="00BE020B">
            <w:pPr>
              <w:rPr>
                <w:sz w:val="20"/>
                <w:szCs w:val="20"/>
                <w:vertAlign w:val="superscript"/>
              </w:rPr>
            </w:pPr>
            <w:r w:rsidRPr="003C289B">
              <w:rPr>
                <w:sz w:val="20"/>
                <w:szCs w:val="20"/>
              </w:rPr>
              <w:t xml:space="preserve">  Tovary a služby (630)</w:t>
            </w:r>
            <w:r w:rsidRPr="003C289B">
              <w:rPr>
                <w:sz w:val="20"/>
                <w:szCs w:val="20"/>
                <w:vertAlign w:val="superscript"/>
              </w:rPr>
              <w:t>2</w:t>
            </w:r>
          </w:p>
        </w:tc>
        <w:tc>
          <w:tcPr>
            <w:tcW w:w="1540" w:type="dxa"/>
            <w:tcBorders>
              <w:top w:val="nil"/>
              <w:left w:val="nil"/>
              <w:bottom w:val="single" w:sz="4" w:space="0" w:color="auto"/>
              <w:right w:val="single" w:sz="4" w:space="0" w:color="auto"/>
            </w:tcBorders>
          </w:tcPr>
          <w:p w:rsidR="00BB42F2" w:rsidRPr="003C289B" w:rsidRDefault="00BB42F2" w:rsidP="00BE020B">
            <w:pPr>
              <w:jc w:val="center"/>
              <w:rPr>
                <w:sz w:val="20"/>
                <w:szCs w:val="20"/>
              </w:rPr>
            </w:pPr>
          </w:p>
        </w:tc>
        <w:tc>
          <w:tcPr>
            <w:tcW w:w="1540" w:type="dxa"/>
            <w:tcBorders>
              <w:top w:val="nil"/>
              <w:left w:val="nil"/>
              <w:bottom w:val="single" w:sz="4" w:space="0" w:color="auto"/>
              <w:right w:val="single" w:sz="4" w:space="0" w:color="auto"/>
            </w:tcBorders>
          </w:tcPr>
          <w:p w:rsidR="00BB42F2" w:rsidRPr="003C289B" w:rsidRDefault="00BB42F2" w:rsidP="00BE020B">
            <w:pPr>
              <w:jc w:val="center"/>
              <w:rPr>
                <w:sz w:val="20"/>
                <w:szCs w:val="20"/>
              </w:rPr>
            </w:pPr>
          </w:p>
        </w:tc>
        <w:tc>
          <w:tcPr>
            <w:tcW w:w="1540" w:type="dxa"/>
            <w:tcBorders>
              <w:top w:val="nil"/>
              <w:left w:val="nil"/>
              <w:bottom w:val="single" w:sz="4" w:space="0" w:color="auto"/>
              <w:right w:val="single" w:sz="4" w:space="0" w:color="auto"/>
            </w:tcBorders>
          </w:tcPr>
          <w:p w:rsidR="00BB42F2" w:rsidRPr="003C289B" w:rsidRDefault="00BB42F2" w:rsidP="00BE020B">
            <w:pPr>
              <w:jc w:val="center"/>
              <w:rPr>
                <w:sz w:val="20"/>
                <w:szCs w:val="20"/>
              </w:rPr>
            </w:pPr>
          </w:p>
        </w:tc>
        <w:tc>
          <w:tcPr>
            <w:tcW w:w="1540" w:type="dxa"/>
            <w:tcBorders>
              <w:top w:val="nil"/>
              <w:left w:val="nil"/>
              <w:bottom w:val="single" w:sz="4" w:space="0" w:color="auto"/>
              <w:right w:val="single" w:sz="4" w:space="0" w:color="auto"/>
            </w:tcBorders>
          </w:tcPr>
          <w:p w:rsidR="00BB42F2" w:rsidRPr="003C289B" w:rsidRDefault="00BB42F2" w:rsidP="00BE020B">
            <w:pPr>
              <w:jc w:val="center"/>
              <w:rPr>
                <w:sz w:val="20"/>
                <w:szCs w:val="20"/>
              </w:rPr>
            </w:pPr>
          </w:p>
        </w:tc>
        <w:tc>
          <w:tcPr>
            <w:tcW w:w="2220" w:type="dxa"/>
            <w:tcBorders>
              <w:top w:val="nil"/>
              <w:left w:val="nil"/>
              <w:bottom w:val="single" w:sz="4" w:space="0" w:color="auto"/>
              <w:right w:val="single" w:sz="4" w:space="0" w:color="auto"/>
            </w:tcBorders>
            <w:noWrap/>
            <w:vAlign w:val="bottom"/>
          </w:tcPr>
          <w:p w:rsidR="00BB42F2" w:rsidRPr="003C289B" w:rsidRDefault="00BB42F2" w:rsidP="00BE020B">
            <w:r w:rsidRPr="003C289B">
              <w:t> </w:t>
            </w:r>
          </w:p>
        </w:tc>
      </w:tr>
      <w:tr w:rsidR="00BB42F2" w:rsidRPr="003C289B" w:rsidTr="00BE020B">
        <w:trPr>
          <w:trHeight w:val="255"/>
        </w:trPr>
        <w:tc>
          <w:tcPr>
            <w:tcW w:w="7070" w:type="dxa"/>
            <w:tcBorders>
              <w:top w:val="nil"/>
              <w:left w:val="single" w:sz="4" w:space="0" w:color="auto"/>
              <w:bottom w:val="single" w:sz="4" w:space="0" w:color="auto"/>
              <w:right w:val="single" w:sz="4" w:space="0" w:color="auto"/>
            </w:tcBorders>
          </w:tcPr>
          <w:p w:rsidR="00BB42F2" w:rsidRPr="003C289B" w:rsidRDefault="00BB42F2" w:rsidP="00BE020B">
            <w:pPr>
              <w:rPr>
                <w:sz w:val="20"/>
                <w:szCs w:val="20"/>
              </w:rPr>
            </w:pPr>
            <w:r w:rsidRPr="003C289B">
              <w:rPr>
                <w:sz w:val="20"/>
                <w:szCs w:val="20"/>
              </w:rPr>
              <w:t xml:space="preserve">  Bežné transfery (640)</w:t>
            </w:r>
            <w:r w:rsidRPr="003C289B">
              <w:rPr>
                <w:sz w:val="20"/>
                <w:szCs w:val="20"/>
                <w:vertAlign w:val="superscript"/>
              </w:rPr>
              <w:t>2</w:t>
            </w:r>
          </w:p>
        </w:tc>
        <w:tc>
          <w:tcPr>
            <w:tcW w:w="1540" w:type="dxa"/>
            <w:tcBorders>
              <w:top w:val="nil"/>
              <w:left w:val="nil"/>
              <w:bottom w:val="single" w:sz="4" w:space="0" w:color="auto"/>
              <w:right w:val="single" w:sz="4" w:space="0" w:color="auto"/>
            </w:tcBorders>
          </w:tcPr>
          <w:p w:rsidR="00BB42F2" w:rsidRPr="003C289B" w:rsidRDefault="00BB42F2" w:rsidP="00BE020B">
            <w:pPr>
              <w:jc w:val="center"/>
              <w:rPr>
                <w:sz w:val="20"/>
                <w:szCs w:val="20"/>
              </w:rPr>
            </w:pPr>
          </w:p>
        </w:tc>
        <w:tc>
          <w:tcPr>
            <w:tcW w:w="1540" w:type="dxa"/>
            <w:tcBorders>
              <w:top w:val="nil"/>
              <w:left w:val="nil"/>
              <w:bottom w:val="single" w:sz="4" w:space="0" w:color="auto"/>
              <w:right w:val="single" w:sz="4" w:space="0" w:color="auto"/>
            </w:tcBorders>
          </w:tcPr>
          <w:p w:rsidR="00BB42F2" w:rsidRPr="003C289B" w:rsidRDefault="00BB42F2" w:rsidP="00BE020B">
            <w:pPr>
              <w:jc w:val="center"/>
              <w:rPr>
                <w:sz w:val="20"/>
                <w:szCs w:val="20"/>
              </w:rPr>
            </w:pPr>
          </w:p>
        </w:tc>
        <w:tc>
          <w:tcPr>
            <w:tcW w:w="1540" w:type="dxa"/>
            <w:tcBorders>
              <w:top w:val="nil"/>
              <w:left w:val="nil"/>
              <w:bottom w:val="single" w:sz="4" w:space="0" w:color="auto"/>
              <w:right w:val="single" w:sz="4" w:space="0" w:color="auto"/>
            </w:tcBorders>
          </w:tcPr>
          <w:p w:rsidR="00BB42F2" w:rsidRPr="003C289B" w:rsidRDefault="00BB42F2" w:rsidP="00BE020B">
            <w:pPr>
              <w:jc w:val="center"/>
              <w:rPr>
                <w:sz w:val="20"/>
                <w:szCs w:val="20"/>
              </w:rPr>
            </w:pPr>
          </w:p>
        </w:tc>
        <w:tc>
          <w:tcPr>
            <w:tcW w:w="1540" w:type="dxa"/>
            <w:tcBorders>
              <w:top w:val="nil"/>
              <w:left w:val="nil"/>
              <w:bottom w:val="single" w:sz="4" w:space="0" w:color="auto"/>
              <w:right w:val="single" w:sz="4" w:space="0" w:color="auto"/>
            </w:tcBorders>
          </w:tcPr>
          <w:p w:rsidR="00BB42F2" w:rsidRPr="003C289B" w:rsidRDefault="00BB42F2" w:rsidP="00BE020B">
            <w:pPr>
              <w:jc w:val="center"/>
              <w:rPr>
                <w:sz w:val="20"/>
                <w:szCs w:val="20"/>
              </w:rPr>
            </w:pPr>
          </w:p>
        </w:tc>
        <w:tc>
          <w:tcPr>
            <w:tcW w:w="2220" w:type="dxa"/>
            <w:tcBorders>
              <w:top w:val="nil"/>
              <w:left w:val="nil"/>
              <w:bottom w:val="single" w:sz="4" w:space="0" w:color="auto"/>
              <w:right w:val="single" w:sz="4" w:space="0" w:color="auto"/>
            </w:tcBorders>
            <w:noWrap/>
            <w:vAlign w:val="bottom"/>
          </w:tcPr>
          <w:p w:rsidR="00BB42F2" w:rsidRPr="003C289B" w:rsidRDefault="00BB42F2" w:rsidP="00BE020B">
            <w:r w:rsidRPr="003C289B">
              <w:t> </w:t>
            </w:r>
          </w:p>
        </w:tc>
      </w:tr>
      <w:tr w:rsidR="00BB42F2" w:rsidRPr="003C289B" w:rsidTr="00BE020B">
        <w:trPr>
          <w:trHeight w:val="255"/>
        </w:trPr>
        <w:tc>
          <w:tcPr>
            <w:tcW w:w="7070" w:type="dxa"/>
            <w:tcBorders>
              <w:top w:val="nil"/>
              <w:left w:val="single" w:sz="4" w:space="0" w:color="auto"/>
              <w:bottom w:val="single" w:sz="4" w:space="0" w:color="auto"/>
              <w:right w:val="single" w:sz="4" w:space="0" w:color="auto"/>
            </w:tcBorders>
            <w:vAlign w:val="center"/>
          </w:tcPr>
          <w:p w:rsidR="00BB42F2" w:rsidRPr="003C289B" w:rsidRDefault="00BB42F2" w:rsidP="00BE020B">
            <w:pPr>
              <w:rPr>
                <w:sz w:val="20"/>
                <w:szCs w:val="20"/>
              </w:rPr>
            </w:pPr>
            <w:r w:rsidRPr="003C289B">
              <w:rPr>
                <w:sz w:val="20"/>
                <w:szCs w:val="20"/>
              </w:rPr>
              <w:t xml:space="preserve">  Splácanie úrokov a ostatné platby súvisiace s </w:t>
            </w:r>
            <w:r w:rsidRPr="003C289B">
              <w:t xml:space="preserve"> </w:t>
            </w:r>
            <w:r w:rsidRPr="003C289B">
              <w:rPr>
                <w:sz w:val="20"/>
                <w:szCs w:val="20"/>
              </w:rPr>
              <w:t>úverom, pôžičkou, návratnou finančnou výpomocou a finančným prenájmom (650)</w:t>
            </w:r>
            <w:r w:rsidRPr="003C289B">
              <w:rPr>
                <w:sz w:val="20"/>
                <w:szCs w:val="20"/>
                <w:vertAlign w:val="superscript"/>
              </w:rPr>
              <w:t>2</w:t>
            </w:r>
          </w:p>
        </w:tc>
        <w:tc>
          <w:tcPr>
            <w:tcW w:w="1540" w:type="dxa"/>
            <w:tcBorders>
              <w:top w:val="nil"/>
              <w:left w:val="nil"/>
              <w:bottom w:val="single" w:sz="4" w:space="0" w:color="auto"/>
              <w:right w:val="single" w:sz="4" w:space="0" w:color="auto"/>
            </w:tcBorders>
          </w:tcPr>
          <w:p w:rsidR="00BB42F2" w:rsidRPr="003C289B" w:rsidRDefault="00BB42F2" w:rsidP="00BE020B">
            <w:pPr>
              <w:jc w:val="center"/>
              <w:rPr>
                <w:sz w:val="20"/>
                <w:szCs w:val="20"/>
              </w:rPr>
            </w:pPr>
          </w:p>
        </w:tc>
        <w:tc>
          <w:tcPr>
            <w:tcW w:w="1540" w:type="dxa"/>
            <w:tcBorders>
              <w:top w:val="nil"/>
              <w:left w:val="nil"/>
              <w:bottom w:val="single" w:sz="4" w:space="0" w:color="auto"/>
              <w:right w:val="single" w:sz="4" w:space="0" w:color="auto"/>
            </w:tcBorders>
          </w:tcPr>
          <w:p w:rsidR="00BB42F2" w:rsidRPr="003C289B" w:rsidRDefault="00BB42F2" w:rsidP="00BE020B">
            <w:pPr>
              <w:jc w:val="center"/>
              <w:rPr>
                <w:sz w:val="20"/>
                <w:szCs w:val="20"/>
              </w:rPr>
            </w:pPr>
          </w:p>
        </w:tc>
        <w:tc>
          <w:tcPr>
            <w:tcW w:w="1540" w:type="dxa"/>
            <w:tcBorders>
              <w:top w:val="nil"/>
              <w:left w:val="nil"/>
              <w:bottom w:val="single" w:sz="4" w:space="0" w:color="auto"/>
              <w:right w:val="single" w:sz="4" w:space="0" w:color="auto"/>
            </w:tcBorders>
          </w:tcPr>
          <w:p w:rsidR="00BB42F2" w:rsidRPr="003C289B" w:rsidRDefault="00BB42F2" w:rsidP="00BE020B">
            <w:pPr>
              <w:jc w:val="center"/>
              <w:rPr>
                <w:sz w:val="20"/>
                <w:szCs w:val="20"/>
              </w:rPr>
            </w:pPr>
          </w:p>
        </w:tc>
        <w:tc>
          <w:tcPr>
            <w:tcW w:w="1540" w:type="dxa"/>
            <w:tcBorders>
              <w:top w:val="nil"/>
              <w:left w:val="nil"/>
              <w:bottom w:val="single" w:sz="4" w:space="0" w:color="auto"/>
              <w:right w:val="single" w:sz="4" w:space="0" w:color="auto"/>
            </w:tcBorders>
          </w:tcPr>
          <w:p w:rsidR="00BB42F2" w:rsidRPr="003C289B" w:rsidRDefault="00BB42F2" w:rsidP="00BE020B">
            <w:pPr>
              <w:jc w:val="center"/>
              <w:rPr>
                <w:sz w:val="20"/>
                <w:szCs w:val="20"/>
              </w:rPr>
            </w:pPr>
          </w:p>
        </w:tc>
        <w:tc>
          <w:tcPr>
            <w:tcW w:w="2220" w:type="dxa"/>
            <w:tcBorders>
              <w:top w:val="nil"/>
              <w:left w:val="nil"/>
              <w:bottom w:val="single" w:sz="4" w:space="0" w:color="auto"/>
              <w:right w:val="single" w:sz="4" w:space="0" w:color="auto"/>
            </w:tcBorders>
            <w:noWrap/>
            <w:vAlign w:val="bottom"/>
          </w:tcPr>
          <w:p w:rsidR="00BB42F2" w:rsidRPr="003C289B" w:rsidRDefault="00BB42F2" w:rsidP="00BE020B"/>
        </w:tc>
      </w:tr>
      <w:tr w:rsidR="00BB42F2" w:rsidRPr="003C289B" w:rsidTr="00BE020B">
        <w:trPr>
          <w:trHeight w:val="255"/>
        </w:trPr>
        <w:tc>
          <w:tcPr>
            <w:tcW w:w="7070" w:type="dxa"/>
            <w:tcBorders>
              <w:top w:val="nil"/>
              <w:left w:val="single" w:sz="4" w:space="0" w:color="auto"/>
              <w:bottom w:val="single" w:sz="4" w:space="0" w:color="auto"/>
              <w:right w:val="single" w:sz="4" w:space="0" w:color="auto"/>
            </w:tcBorders>
          </w:tcPr>
          <w:p w:rsidR="00BB42F2" w:rsidRPr="003C289B" w:rsidRDefault="00BB42F2" w:rsidP="00BE020B">
            <w:pPr>
              <w:rPr>
                <w:b/>
                <w:bCs/>
                <w:sz w:val="20"/>
                <w:szCs w:val="20"/>
              </w:rPr>
            </w:pPr>
            <w:r w:rsidRPr="003C289B">
              <w:rPr>
                <w:b/>
                <w:bCs/>
                <w:sz w:val="20"/>
                <w:szCs w:val="20"/>
              </w:rPr>
              <w:t>Kapitálové výdavky (700)</w:t>
            </w:r>
          </w:p>
        </w:tc>
        <w:tc>
          <w:tcPr>
            <w:tcW w:w="1540" w:type="dxa"/>
            <w:tcBorders>
              <w:top w:val="nil"/>
              <w:left w:val="nil"/>
              <w:bottom w:val="single" w:sz="4" w:space="0" w:color="auto"/>
              <w:right w:val="single" w:sz="4" w:space="0" w:color="auto"/>
            </w:tcBorders>
          </w:tcPr>
          <w:p w:rsidR="00BB42F2" w:rsidRPr="003C289B" w:rsidRDefault="00BB42F2" w:rsidP="00BE020B">
            <w:pPr>
              <w:jc w:val="center"/>
              <w:rPr>
                <w:b/>
                <w:bCs/>
                <w:sz w:val="20"/>
                <w:szCs w:val="20"/>
              </w:rPr>
            </w:pPr>
            <w:r>
              <w:rPr>
                <w:b/>
                <w:bCs/>
                <w:sz w:val="20"/>
                <w:szCs w:val="20"/>
              </w:rPr>
              <w:t>812 837</w:t>
            </w:r>
          </w:p>
        </w:tc>
        <w:tc>
          <w:tcPr>
            <w:tcW w:w="1540" w:type="dxa"/>
            <w:tcBorders>
              <w:top w:val="nil"/>
              <w:left w:val="nil"/>
              <w:bottom w:val="single" w:sz="4" w:space="0" w:color="auto"/>
              <w:right w:val="single" w:sz="4" w:space="0" w:color="auto"/>
            </w:tcBorders>
          </w:tcPr>
          <w:p w:rsidR="00BB42F2" w:rsidRPr="003C289B" w:rsidRDefault="00BB42F2" w:rsidP="00BE020B">
            <w:pPr>
              <w:jc w:val="center"/>
              <w:rPr>
                <w:b/>
                <w:bCs/>
                <w:sz w:val="20"/>
                <w:szCs w:val="20"/>
              </w:rPr>
            </w:pPr>
            <w:r>
              <w:rPr>
                <w:b/>
                <w:bCs/>
                <w:sz w:val="20"/>
                <w:szCs w:val="20"/>
              </w:rPr>
              <w:t>960 000</w:t>
            </w:r>
          </w:p>
        </w:tc>
        <w:tc>
          <w:tcPr>
            <w:tcW w:w="1540" w:type="dxa"/>
            <w:tcBorders>
              <w:top w:val="nil"/>
              <w:left w:val="nil"/>
              <w:bottom w:val="single" w:sz="4" w:space="0" w:color="auto"/>
              <w:right w:val="single" w:sz="4" w:space="0" w:color="auto"/>
            </w:tcBorders>
          </w:tcPr>
          <w:p w:rsidR="00BB42F2" w:rsidRPr="003C289B" w:rsidRDefault="00BB42F2" w:rsidP="00BE020B">
            <w:pPr>
              <w:jc w:val="center"/>
              <w:rPr>
                <w:b/>
                <w:bCs/>
                <w:sz w:val="20"/>
                <w:szCs w:val="20"/>
              </w:rPr>
            </w:pPr>
            <w:r>
              <w:rPr>
                <w:b/>
                <w:bCs/>
                <w:sz w:val="20"/>
                <w:szCs w:val="20"/>
              </w:rPr>
              <w:t>0</w:t>
            </w:r>
          </w:p>
        </w:tc>
        <w:tc>
          <w:tcPr>
            <w:tcW w:w="1540" w:type="dxa"/>
            <w:tcBorders>
              <w:top w:val="nil"/>
              <w:left w:val="nil"/>
              <w:bottom w:val="single" w:sz="4" w:space="0" w:color="auto"/>
              <w:right w:val="single" w:sz="4" w:space="0" w:color="auto"/>
            </w:tcBorders>
          </w:tcPr>
          <w:p w:rsidR="00BB42F2" w:rsidRPr="003C289B" w:rsidRDefault="00BB42F2" w:rsidP="00BE020B">
            <w:pPr>
              <w:jc w:val="center"/>
              <w:rPr>
                <w:b/>
                <w:bCs/>
                <w:sz w:val="20"/>
                <w:szCs w:val="20"/>
              </w:rPr>
            </w:pPr>
            <w:r>
              <w:rPr>
                <w:b/>
                <w:bCs/>
                <w:sz w:val="20"/>
                <w:szCs w:val="20"/>
              </w:rPr>
              <w:t>0</w:t>
            </w:r>
          </w:p>
        </w:tc>
        <w:tc>
          <w:tcPr>
            <w:tcW w:w="2220" w:type="dxa"/>
            <w:tcBorders>
              <w:top w:val="nil"/>
              <w:left w:val="nil"/>
              <w:bottom w:val="single" w:sz="4" w:space="0" w:color="auto"/>
              <w:right w:val="single" w:sz="4" w:space="0" w:color="auto"/>
            </w:tcBorders>
            <w:noWrap/>
            <w:vAlign w:val="bottom"/>
          </w:tcPr>
          <w:p w:rsidR="00BB42F2" w:rsidRPr="003C289B" w:rsidRDefault="00BB42F2" w:rsidP="00BE020B">
            <w:r w:rsidRPr="003C289B">
              <w:t> </w:t>
            </w:r>
          </w:p>
        </w:tc>
      </w:tr>
      <w:tr w:rsidR="00BB42F2" w:rsidRPr="003C289B" w:rsidTr="00BE020B">
        <w:trPr>
          <w:trHeight w:val="255"/>
        </w:trPr>
        <w:tc>
          <w:tcPr>
            <w:tcW w:w="7070" w:type="dxa"/>
            <w:tcBorders>
              <w:top w:val="nil"/>
              <w:left w:val="single" w:sz="4" w:space="0" w:color="auto"/>
              <w:bottom w:val="single" w:sz="4" w:space="0" w:color="auto"/>
              <w:right w:val="single" w:sz="4" w:space="0" w:color="auto"/>
            </w:tcBorders>
          </w:tcPr>
          <w:p w:rsidR="00BB42F2" w:rsidRPr="003C289B" w:rsidRDefault="00BB42F2" w:rsidP="00BE020B">
            <w:pPr>
              <w:rPr>
                <w:sz w:val="20"/>
                <w:szCs w:val="20"/>
              </w:rPr>
            </w:pPr>
            <w:r w:rsidRPr="003C289B">
              <w:rPr>
                <w:sz w:val="20"/>
                <w:szCs w:val="20"/>
              </w:rPr>
              <w:t xml:space="preserve">  Obstarávanie kapitálových aktív (710)</w:t>
            </w:r>
            <w:r w:rsidRPr="003C289B">
              <w:rPr>
                <w:sz w:val="20"/>
                <w:szCs w:val="20"/>
                <w:vertAlign w:val="superscript"/>
              </w:rPr>
              <w:t>2</w:t>
            </w:r>
          </w:p>
        </w:tc>
        <w:tc>
          <w:tcPr>
            <w:tcW w:w="1540" w:type="dxa"/>
            <w:tcBorders>
              <w:top w:val="nil"/>
              <w:left w:val="nil"/>
              <w:bottom w:val="single" w:sz="4" w:space="0" w:color="auto"/>
              <w:right w:val="single" w:sz="4" w:space="0" w:color="auto"/>
            </w:tcBorders>
          </w:tcPr>
          <w:p w:rsidR="00BB42F2" w:rsidRPr="003C289B" w:rsidRDefault="00BB42F2" w:rsidP="00BE020B">
            <w:pPr>
              <w:jc w:val="center"/>
              <w:rPr>
                <w:sz w:val="20"/>
                <w:szCs w:val="20"/>
              </w:rPr>
            </w:pPr>
          </w:p>
        </w:tc>
        <w:tc>
          <w:tcPr>
            <w:tcW w:w="1540" w:type="dxa"/>
            <w:tcBorders>
              <w:top w:val="nil"/>
              <w:left w:val="nil"/>
              <w:bottom w:val="single" w:sz="4" w:space="0" w:color="auto"/>
              <w:right w:val="single" w:sz="4" w:space="0" w:color="auto"/>
            </w:tcBorders>
          </w:tcPr>
          <w:p w:rsidR="00BB42F2" w:rsidRPr="003C289B" w:rsidRDefault="00BB42F2" w:rsidP="00BE020B">
            <w:pPr>
              <w:jc w:val="center"/>
              <w:rPr>
                <w:sz w:val="20"/>
                <w:szCs w:val="20"/>
              </w:rPr>
            </w:pPr>
          </w:p>
        </w:tc>
        <w:tc>
          <w:tcPr>
            <w:tcW w:w="1540" w:type="dxa"/>
            <w:tcBorders>
              <w:top w:val="nil"/>
              <w:left w:val="nil"/>
              <w:bottom w:val="single" w:sz="4" w:space="0" w:color="auto"/>
              <w:right w:val="single" w:sz="4" w:space="0" w:color="auto"/>
            </w:tcBorders>
          </w:tcPr>
          <w:p w:rsidR="00BB42F2" w:rsidRPr="003C289B" w:rsidRDefault="00BB42F2" w:rsidP="00BE020B">
            <w:pPr>
              <w:jc w:val="center"/>
              <w:rPr>
                <w:sz w:val="20"/>
                <w:szCs w:val="20"/>
              </w:rPr>
            </w:pPr>
          </w:p>
        </w:tc>
        <w:tc>
          <w:tcPr>
            <w:tcW w:w="1540" w:type="dxa"/>
            <w:tcBorders>
              <w:top w:val="nil"/>
              <w:left w:val="nil"/>
              <w:bottom w:val="single" w:sz="4" w:space="0" w:color="auto"/>
              <w:right w:val="single" w:sz="4" w:space="0" w:color="auto"/>
            </w:tcBorders>
          </w:tcPr>
          <w:p w:rsidR="00BB42F2" w:rsidRPr="003C289B" w:rsidRDefault="00BB42F2" w:rsidP="00BE020B">
            <w:pPr>
              <w:jc w:val="center"/>
              <w:rPr>
                <w:sz w:val="20"/>
                <w:szCs w:val="20"/>
              </w:rPr>
            </w:pPr>
          </w:p>
        </w:tc>
        <w:tc>
          <w:tcPr>
            <w:tcW w:w="2220" w:type="dxa"/>
            <w:tcBorders>
              <w:top w:val="nil"/>
              <w:left w:val="nil"/>
              <w:bottom w:val="single" w:sz="4" w:space="0" w:color="auto"/>
              <w:right w:val="single" w:sz="4" w:space="0" w:color="auto"/>
            </w:tcBorders>
            <w:noWrap/>
            <w:vAlign w:val="bottom"/>
          </w:tcPr>
          <w:p w:rsidR="00BB42F2" w:rsidRPr="003C289B" w:rsidRDefault="00BB42F2" w:rsidP="00BE020B">
            <w:r w:rsidRPr="003C289B">
              <w:t> </w:t>
            </w:r>
          </w:p>
        </w:tc>
      </w:tr>
      <w:tr w:rsidR="00BB42F2" w:rsidRPr="003C289B" w:rsidTr="00BE020B">
        <w:trPr>
          <w:trHeight w:val="255"/>
        </w:trPr>
        <w:tc>
          <w:tcPr>
            <w:tcW w:w="7070" w:type="dxa"/>
            <w:tcBorders>
              <w:top w:val="nil"/>
              <w:left w:val="single" w:sz="4" w:space="0" w:color="auto"/>
              <w:bottom w:val="single" w:sz="4" w:space="0" w:color="auto"/>
              <w:right w:val="single" w:sz="4" w:space="0" w:color="auto"/>
            </w:tcBorders>
          </w:tcPr>
          <w:p w:rsidR="00BB42F2" w:rsidRPr="003C289B" w:rsidRDefault="00BB42F2" w:rsidP="00BE020B">
            <w:pPr>
              <w:rPr>
                <w:sz w:val="20"/>
                <w:szCs w:val="20"/>
              </w:rPr>
            </w:pPr>
            <w:r w:rsidRPr="003C289B">
              <w:rPr>
                <w:sz w:val="20"/>
                <w:szCs w:val="20"/>
              </w:rPr>
              <w:t xml:space="preserve">  Kapitálové transfery (720)</w:t>
            </w:r>
            <w:r w:rsidRPr="003C289B">
              <w:rPr>
                <w:sz w:val="20"/>
                <w:szCs w:val="20"/>
                <w:vertAlign w:val="superscript"/>
              </w:rPr>
              <w:t>2</w:t>
            </w:r>
          </w:p>
        </w:tc>
        <w:tc>
          <w:tcPr>
            <w:tcW w:w="1540" w:type="dxa"/>
            <w:tcBorders>
              <w:top w:val="nil"/>
              <w:left w:val="nil"/>
              <w:bottom w:val="single" w:sz="4" w:space="0" w:color="auto"/>
              <w:right w:val="single" w:sz="4" w:space="0" w:color="auto"/>
            </w:tcBorders>
          </w:tcPr>
          <w:p w:rsidR="00BB42F2" w:rsidRPr="003C289B" w:rsidRDefault="00BB42F2" w:rsidP="00BE020B">
            <w:pPr>
              <w:jc w:val="center"/>
              <w:rPr>
                <w:sz w:val="20"/>
                <w:szCs w:val="20"/>
              </w:rPr>
            </w:pPr>
          </w:p>
        </w:tc>
        <w:tc>
          <w:tcPr>
            <w:tcW w:w="1540" w:type="dxa"/>
            <w:tcBorders>
              <w:top w:val="nil"/>
              <w:left w:val="nil"/>
              <w:bottom w:val="single" w:sz="4" w:space="0" w:color="auto"/>
              <w:right w:val="single" w:sz="4" w:space="0" w:color="auto"/>
            </w:tcBorders>
          </w:tcPr>
          <w:p w:rsidR="00BB42F2" w:rsidRPr="003C289B" w:rsidRDefault="00BB42F2" w:rsidP="00BE020B">
            <w:pPr>
              <w:jc w:val="center"/>
              <w:rPr>
                <w:sz w:val="20"/>
                <w:szCs w:val="20"/>
              </w:rPr>
            </w:pPr>
          </w:p>
        </w:tc>
        <w:tc>
          <w:tcPr>
            <w:tcW w:w="1540" w:type="dxa"/>
            <w:tcBorders>
              <w:top w:val="nil"/>
              <w:left w:val="nil"/>
              <w:bottom w:val="single" w:sz="4" w:space="0" w:color="auto"/>
              <w:right w:val="single" w:sz="4" w:space="0" w:color="auto"/>
            </w:tcBorders>
          </w:tcPr>
          <w:p w:rsidR="00BB42F2" w:rsidRPr="003C289B" w:rsidRDefault="00BB42F2" w:rsidP="00BE020B">
            <w:pPr>
              <w:jc w:val="center"/>
              <w:rPr>
                <w:sz w:val="20"/>
                <w:szCs w:val="20"/>
              </w:rPr>
            </w:pPr>
          </w:p>
        </w:tc>
        <w:tc>
          <w:tcPr>
            <w:tcW w:w="1540" w:type="dxa"/>
            <w:tcBorders>
              <w:top w:val="nil"/>
              <w:left w:val="nil"/>
              <w:bottom w:val="single" w:sz="4" w:space="0" w:color="auto"/>
              <w:right w:val="single" w:sz="4" w:space="0" w:color="auto"/>
            </w:tcBorders>
          </w:tcPr>
          <w:p w:rsidR="00BB42F2" w:rsidRPr="003C289B" w:rsidRDefault="00BB42F2" w:rsidP="00BE020B">
            <w:pPr>
              <w:jc w:val="center"/>
              <w:rPr>
                <w:sz w:val="20"/>
                <w:szCs w:val="20"/>
              </w:rPr>
            </w:pPr>
          </w:p>
        </w:tc>
        <w:tc>
          <w:tcPr>
            <w:tcW w:w="2220" w:type="dxa"/>
            <w:tcBorders>
              <w:top w:val="nil"/>
              <w:left w:val="nil"/>
              <w:bottom w:val="single" w:sz="4" w:space="0" w:color="auto"/>
              <w:right w:val="single" w:sz="4" w:space="0" w:color="auto"/>
            </w:tcBorders>
            <w:noWrap/>
            <w:vAlign w:val="bottom"/>
          </w:tcPr>
          <w:p w:rsidR="00BB42F2" w:rsidRPr="003C289B" w:rsidRDefault="00BB42F2" w:rsidP="00BE020B">
            <w:r w:rsidRPr="003C289B">
              <w:t> </w:t>
            </w:r>
          </w:p>
        </w:tc>
      </w:tr>
      <w:tr w:rsidR="00BB42F2" w:rsidRPr="003C289B" w:rsidTr="00BE020B">
        <w:trPr>
          <w:trHeight w:val="255"/>
        </w:trPr>
        <w:tc>
          <w:tcPr>
            <w:tcW w:w="7070" w:type="dxa"/>
            <w:tcBorders>
              <w:top w:val="nil"/>
              <w:left w:val="single" w:sz="4" w:space="0" w:color="auto"/>
              <w:bottom w:val="single" w:sz="4" w:space="0" w:color="auto"/>
              <w:right w:val="single" w:sz="4" w:space="0" w:color="auto"/>
            </w:tcBorders>
          </w:tcPr>
          <w:p w:rsidR="00BB42F2" w:rsidRPr="003C289B" w:rsidRDefault="00BB42F2" w:rsidP="00BE020B">
            <w:pPr>
              <w:rPr>
                <w:b/>
                <w:bCs/>
                <w:sz w:val="20"/>
                <w:szCs w:val="20"/>
              </w:rPr>
            </w:pPr>
            <w:r w:rsidRPr="003C289B">
              <w:rPr>
                <w:b/>
                <w:bCs/>
                <w:sz w:val="20"/>
                <w:szCs w:val="20"/>
              </w:rPr>
              <w:t>Výdavky z transakcií s finančnými aktívami a finančnými pasívami (800)</w:t>
            </w:r>
          </w:p>
        </w:tc>
        <w:tc>
          <w:tcPr>
            <w:tcW w:w="1540" w:type="dxa"/>
            <w:tcBorders>
              <w:top w:val="nil"/>
              <w:left w:val="nil"/>
              <w:bottom w:val="single" w:sz="4" w:space="0" w:color="auto"/>
              <w:right w:val="single" w:sz="4" w:space="0" w:color="auto"/>
            </w:tcBorders>
            <w:shd w:val="clear" w:color="auto" w:fill="FFFF99"/>
          </w:tcPr>
          <w:p w:rsidR="00BB42F2" w:rsidRPr="003C289B" w:rsidRDefault="00BB42F2" w:rsidP="00BE020B">
            <w:pPr>
              <w:jc w:val="center"/>
              <w:rPr>
                <w:b/>
                <w:bCs/>
                <w:sz w:val="20"/>
                <w:szCs w:val="20"/>
              </w:rPr>
            </w:pPr>
            <w:r>
              <w:rPr>
                <w:b/>
                <w:bCs/>
                <w:sz w:val="20"/>
                <w:szCs w:val="20"/>
              </w:rPr>
              <w:t>0</w:t>
            </w:r>
          </w:p>
        </w:tc>
        <w:tc>
          <w:tcPr>
            <w:tcW w:w="1540" w:type="dxa"/>
            <w:tcBorders>
              <w:top w:val="nil"/>
              <w:left w:val="nil"/>
              <w:bottom w:val="single" w:sz="4" w:space="0" w:color="auto"/>
              <w:right w:val="single" w:sz="4" w:space="0" w:color="auto"/>
            </w:tcBorders>
            <w:shd w:val="clear" w:color="auto" w:fill="FFFF99"/>
          </w:tcPr>
          <w:p w:rsidR="00BB42F2" w:rsidRPr="003C289B" w:rsidRDefault="00BB42F2" w:rsidP="00BE020B">
            <w:pPr>
              <w:jc w:val="center"/>
              <w:rPr>
                <w:b/>
                <w:bCs/>
                <w:sz w:val="20"/>
                <w:szCs w:val="20"/>
              </w:rPr>
            </w:pPr>
            <w:r>
              <w:rPr>
                <w:b/>
                <w:bCs/>
                <w:sz w:val="20"/>
                <w:szCs w:val="20"/>
              </w:rPr>
              <w:t>0</w:t>
            </w:r>
            <w:r w:rsidRPr="003C289B">
              <w:rPr>
                <w:b/>
                <w:bCs/>
                <w:sz w:val="20"/>
                <w:szCs w:val="20"/>
              </w:rPr>
              <w:t> </w:t>
            </w:r>
          </w:p>
        </w:tc>
        <w:tc>
          <w:tcPr>
            <w:tcW w:w="1540" w:type="dxa"/>
            <w:tcBorders>
              <w:top w:val="nil"/>
              <w:left w:val="nil"/>
              <w:bottom w:val="single" w:sz="4" w:space="0" w:color="auto"/>
              <w:right w:val="single" w:sz="4" w:space="0" w:color="auto"/>
            </w:tcBorders>
            <w:shd w:val="clear" w:color="auto" w:fill="FFFF99"/>
          </w:tcPr>
          <w:p w:rsidR="00BB42F2" w:rsidRPr="003C289B" w:rsidRDefault="00BB42F2" w:rsidP="00BE020B">
            <w:pPr>
              <w:jc w:val="center"/>
              <w:rPr>
                <w:b/>
                <w:bCs/>
                <w:sz w:val="20"/>
                <w:szCs w:val="20"/>
              </w:rPr>
            </w:pPr>
            <w:r>
              <w:rPr>
                <w:b/>
                <w:bCs/>
                <w:sz w:val="20"/>
                <w:szCs w:val="20"/>
              </w:rPr>
              <w:t>0</w:t>
            </w:r>
            <w:r w:rsidRPr="003C289B">
              <w:rPr>
                <w:b/>
                <w:bCs/>
                <w:sz w:val="20"/>
                <w:szCs w:val="20"/>
              </w:rPr>
              <w:t> </w:t>
            </w:r>
          </w:p>
        </w:tc>
        <w:tc>
          <w:tcPr>
            <w:tcW w:w="1540" w:type="dxa"/>
            <w:tcBorders>
              <w:top w:val="nil"/>
              <w:left w:val="nil"/>
              <w:bottom w:val="single" w:sz="4" w:space="0" w:color="auto"/>
              <w:right w:val="single" w:sz="4" w:space="0" w:color="auto"/>
            </w:tcBorders>
            <w:shd w:val="clear" w:color="auto" w:fill="FFFF99"/>
          </w:tcPr>
          <w:p w:rsidR="00BB42F2" w:rsidRPr="003C289B" w:rsidRDefault="00BB42F2" w:rsidP="00BE020B">
            <w:pPr>
              <w:jc w:val="center"/>
              <w:rPr>
                <w:b/>
                <w:bCs/>
                <w:sz w:val="20"/>
                <w:szCs w:val="20"/>
              </w:rPr>
            </w:pPr>
            <w:r>
              <w:rPr>
                <w:b/>
                <w:bCs/>
                <w:sz w:val="20"/>
                <w:szCs w:val="20"/>
              </w:rPr>
              <w:t>0</w:t>
            </w:r>
            <w:r w:rsidRPr="003C289B">
              <w:rPr>
                <w:b/>
                <w:bCs/>
                <w:sz w:val="20"/>
                <w:szCs w:val="20"/>
              </w:rPr>
              <w:t> </w:t>
            </w:r>
          </w:p>
        </w:tc>
        <w:tc>
          <w:tcPr>
            <w:tcW w:w="2220" w:type="dxa"/>
            <w:tcBorders>
              <w:top w:val="nil"/>
              <w:left w:val="nil"/>
              <w:bottom w:val="single" w:sz="4" w:space="0" w:color="auto"/>
              <w:right w:val="single" w:sz="4" w:space="0" w:color="auto"/>
            </w:tcBorders>
            <w:noWrap/>
            <w:vAlign w:val="bottom"/>
          </w:tcPr>
          <w:p w:rsidR="00BB42F2" w:rsidRPr="003C289B" w:rsidRDefault="00BB42F2" w:rsidP="00BE020B">
            <w:r w:rsidRPr="003C289B">
              <w:t> </w:t>
            </w:r>
          </w:p>
        </w:tc>
      </w:tr>
      <w:tr w:rsidR="00BB42F2" w:rsidRPr="003C289B" w:rsidTr="00BE020B">
        <w:trPr>
          <w:trHeight w:val="255"/>
        </w:trPr>
        <w:tc>
          <w:tcPr>
            <w:tcW w:w="70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B42F2" w:rsidRPr="003C289B" w:rsidRDefault="00BB42F2" w:rsidP="00BE020B">
            <w:pPr>
              <w:rPr>
                <w:b/>
                <w:bCs/>
                <w:sz w:val="20"/>
                <w:szCs w:val="20"/>
              </w:rPr>
            </w:pPr>
            <w:r w:rsidRPr="003C289B">
              <w:rPr>
                <w:b/>
                <w:bCs/>
                <w:sz w:val="20"/>
                <w:szCs w:val="20"/>
              </w:rPr>
              <w:t>Dopad na výdavky verejnej správy celkom</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rsidR="00BB42F2" w:rsidRPr="003C289B" w:rsidRDefault="00BB42F2" w:rsidP="00BE020B">
            <w:pPr>
              <w:jc w:val="center"/>
              <w:rPr>
                <w:b/>
                <w:bCs/>
                <w:sz w:val="20"/>
                <w:szCs w:val="20"/>
              </w:rPr>
            </w:pPr>
            <w:r>
              <w:rPr>
                <w:b/>
                <w:bCs/>
                <w:sz w:val="20"/>
                <w:szCs w:val="20"/>
              </w:rPr>
              <w:t>812 837</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rsidR="00BB42F2" w:rsidRPr="003C289B" w:rsidRDefault="00BB42F2" w:rsidP="00BE020B">
            <w:pPr>
              <w:jc w:val="center"/>
              <w:rPr>
                <w:b/>
                <w:bCs/>
                <w:sz w:val="20"/>
                <w:szCs w:val="20"/>
              </w:rPr>
            </w:pPr>
            <w:r>
              <w:rPr>
                <w:b/>
                <w:bCs/>
                <w:sz w:val="20"/>
                <w:szCs w:val="20"/>
              </w:rPr>
              <w:t>960 000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rsidR="00BB42F2" w:rsidRPr="003C289B" w:rsidRDefault="00BB42F2" w:rsidP="00BE020B">
            <w:pPr>
              <w:jc w:val="center"/>
              <w:rPr>
                <w:b/>
                <w:bCs/>
                <w:sz w:val="20"/>
                <w:szCs w:val="20"/>
              </w:rPr>
            </w:pPr>
            <w:r>
              <w:rPr>
                <w:b/>
                <w:sz w:val="20"/>
                <w:szCs w:val="20"/>
              </w:rPr>
              <w:t>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rsidR="00BB42F2" w:rsidRPr="003C289B" w:rsidRDefault="00BB42F2" w:rsidP="00BE020B">
            <w:pPr>
              <w:jc w:val="center"/>
              <w:rPr>
                <w:b/>
                <w:bCs/>
                <w:sz w:val="20"/>
                <w:szCs w:val="20"/>
              </w:rPr>
            </w:pPr>
            <w:r>
              <w:rPr>
                <w:b/>
                <w:sz w:val="20"/>
                <w:szCs w:val="20"/>
              </w:rPr>
              <w:t>0</w:t>
            </w:r>
          </w:p>
        </w:tc>
        <w:tc>
          <w:tcPr>
            <w:tcW w:w="222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rsidR="00BB42F2" w:rsidRPr="003C289B" w:rsidRDefault="00BB42F2" w:rsidP="00BE020B">
            <w:r w:rsidRPr="003C289B">
              <w:t> </w:t>
            </w:r>
          </w:p>
        </w:tc>
      </w:tr>
    </w:tbl>
    <w:p w:rsidR="00BB42F2" w:rsidRPr="00D3116B" w:rsidRDefault="00BB42F2" w:rsidP="00BB42F2">
      <w:pPr>
        <w:tabs>
          <w:tab w:val="num" w:pos="1080"/>
        </w:tabs>
        <w:ind w:left="-900"/>
        <w:jc w:val="both"/>
        <w:rPr>
          <w:bCs/>
          <w:sz w:val="20"/>
          <w:szCs w:val="20"/>
        </w:rPr>
      </w:pPr>
      <w:r w:rsidRPr="003C289B">
        <w:rPr>
          <w:bCs/>
          <w:sz w:val="20"/>
          <w:szCs w:val="20"/>
        </w:rPr>
        <w:t>2 –  výdavky rozpísať až do položiek p</w:t>
      </w:r>
      <w:r>
        <w:rPr>
          <w:bCs/>
          <w:sz w:val="20"/>
          <w:szCs w:val="20"/>
        </w:rPr>
        <w:t>latnej ekonomickej klasifikácie</w:t>
      </w:r>
    </w:p>
    <w:p w:rsidR="00BB42F2" w:rsidRPr="00E1634A" w:rsidRDefault="00BB42F2" w:rsidP="00BB42F2">
      <w:pPr>
        <w:tabs>
          <w:tab w:val="num" w:pos="1080"/>
        </w:tabs>
        <w:ind w:left="-900"/>
        <w:jc w:val="both"/>
        <w:rPr>
          <w:b/>
          <w:bCs/>
          <w:sz w:val="20"/>
          <w:szCs w:val="20"/>
        </w:rPr>
      </w:pPr>
      <w:r w:rsidRPr="000E09D2">
        <w:rPr>
          <w:b/>
          <w:bCs/>
          <w:sz w:val="20"/>
          <w:szCs w:val="20"/>
        </w:rPr>
        <w:t xml:space="preserve">Poznámka: </w:t>
      </w:r>
      <w:r w:rsidRPr="000E09D2">
        <w:rPr>
          <w:bCs/>
          <w:sz w:val="20"/>
          <w:szCs w:val="20"/>
        </w:rPr>
        <w:t>Ak sa vplyv týka viacerých subjektov verejnej správy, vypĺňa sa samostatná tabuľka za každý subjekt.</w:t>
      </w:r>
    </w:p>
    <w:p w:rsidR="00BB42F2" w:rsidRDefault="00BB42F2" w:rsidP="00BB42F2">
      <w:pPr>
        <w:tabs>
          <w:tab w:val="num" w:pos="1080"/>
        </w:tabs>
        <w:jc w:val="right"/>
        <w:rPr>
          <w:bCs/>
        </w:rPr>
      </w:pPr>
      <w:r>
        <w:rPr>
          <w:bCs/>
        </w:rPr>
        <w:lastRenderedPageBreak/>
        <w:t xml:space="preserve">                 Tabuľka č. 5</w:t>
      </w:r>
    </w:p>
    <w:p w:rsidR="00BB42F2" w:rsidRPr="00D3116B" w:rsidRDefault="00BB42F2" w:rsidP="00BB42F2">
      <w:pPr>
        <w:tabs>
          <w:tab w:val="num" w:pos="1080"/>
        </w:tabs>
        <w:jc w:val="both"/>
        <w:rPr>
          <w:bCs/>
        </w:rPr>
      </w:pPr>
    </w:p>
    <w:tbl>
      <w:tblPr>
        <w:tblW w:w="15434" w:type="dxa"/>
        <w:tblInd w:w="-784" w:type="dxa"/>
        <w:tblCellMar>
          <w:left w:w="70" w:type="dxa"/>
          <w:right w:w="70" w:type="dxa"/>
        </w:tblCellMar>
        <w:tblLook w:val="0000" w:firstRow="0" w:lastRow="0" w:firstColumn="0" w:lastColumn="0" w:noHBand="0" w:noVBand="0"/>
      </w:tblPr>
      <w:tblGrid>
        <w:gridCol w:w="6188"/>
        <w:gridCol w:w="1698"/>
        <w:gridCol w:w="1788"/>
        <w:gridCol w:w="720"/>
        <w:gridCol w:w="1698"/>
        <w:gridCol w:w="1722"/>
        <w:gridCol w:w="630"/>
        <w:gridCol w:w="990"/>
      </w:tblGrid>
      <w:tr w:rsidR="00BB42F2" w:rsidRPr="007D5748" w:rsidTr="00BE020B">
        <w:trPr>
          <w:cantSplit/>
          <w:trHeight w:val="255"/>
        </w:trPr>
        <w:tc>
          <w:tcPr>
            <w:tcW w:w="6188"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B42F2" w:rsidRPr="007D5748" w:rsidRDefault="00BB42F2" w:rsidP="00BE020B">
            <w:pPr>
              <w:jc w:val="center"/>
              <w:rPr>
                <w:b/>
                <w:bCs/>
              </w:rPr>
            </w:pPr>
            <w:r w:rsidRPr="007D5748">
              <w:rPr>
                <w:b/>
                <w:bCs/>
              </w:rPr>
              <w:t>Zamestnanosť</w:t>
            </w:r>
          </w:p>
        </w:tc>
        <w:tc>
          <w:tcPr>
            <w:tcW w:w="7626" w:type="dxa"/>
            <w:gridSpan w:val="5"/>
            <w:tcBorders>
              <w:top w:val="single" w:sz="4" w:space="0" w:color="auto"/>
              <w:left w:val="nil"/>
              <w:bottom w:val="single" w:sz="4" w:space="0" w:color="auto"/>
              <w:right w:val="single" w:sz="4" w:space="0" w:color="auto"/>
            </w:tcBorders>
            <w:shd w:val="clear" w:color="auto" w:fill="BFBFBF" w:themeFill="background1" w:themeFillShade="BF"/>
          </w:tcPr>
          <w:p w:rsidR="00BB42F2" w:rsidRPr="007D5748" w:rsidRDefault="00BB42F2" w:rsidP="00BE020B">
            <w:pPr>
              <w:jc w:val="center"/>
              <w:rPr>
                <w:b/>
                <w:bCs/>
              </w:rPr>
            </w:pPr>
            <w:r w:rsidRPr="007D5748">
              <w:rPr>
                <w:b/>
                <w:bCs/>
              </w:rPr>
              <w:t>Vplyv na rozpočet verejnej správy</w:t>
            </w:r>
          </w:p>
        </w:tc>
        <w:tc>
          <w:tcPr>
            <w:tcW w:w="1620" w:type="dxa"/>
            <w:gridSpan w:val="2"/>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BB42F2" w:rsidRPr="007D5748" w:rsidRDefault="00BB42F2" w:rsidP="00BE020B">
            <w:pPr>
              <w:jc w:val="center"/>
              <w:rPr>
                <w:b/>
                <w:bCs/>
              </w:rPr>
            </w:pPr>
            <w:r w:rsidRPr="007D5748">
              <w:rPr>
                <w:b/>
                <w:bCs/>
              </w:rPr>
              <w:t>poznámka</w:t>
            </w:r>
          </w:p>
        </w:tc>
      </w:tr>
      <w:tr w:rsidR="00BB42F2" w:rsidRPr="007D5748" w:rsidTr="00BE020B">
        <w:trPr>
          <w:cantSplit/>
          <w:trHeight w:val="255"/>
        </w:trPr>
        <w:tc>
          <w:tcPr>
            <w:tcW w:w="6188"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B42F2" w:rsidRPr="007D5748" w:rsidRDefault="00BB42F2" w:rsidP="00BE020B">
            <w:pPr>
              <w:rPr>
                <w:b/>
                <w:bCs/>
              </w:rPr>
            </w:pPr>
          </w:p>
        </w:tc>
        <w:tc>
          <w:tcPr>
            <w:tcW w:w="1698" w:type="dxa"/>
            <w:tcBorders>
              <w:top w:val="nil"/>
              <w:left w:val="nil"/>
              <w:bottom w:val="single" w:sz="4" w:space="0" w:color="auto"/>
              <w:right w:val="single" w:sz="4" w:space="0" w:color="auto"/>
            </w:tcBorders>
            <w:shd w:val="clear" w:color="auto" w:fill="BFBFBF" w:themeFill="background1" w:themeFillShade="BF"/>
          </w:tcPr>
          <w:p w:rsidR="00BB42F2" w:rsidRPr="007D5748" w:rsidRDefault="00BB42F2" w:rsidP="00BE020B">
            <w:pPr>
              <w:jc w:val="center"/>
              <w:rPr>
                <w:b/>
                <w:bCs/>
              </w:rPr>
            </w:pPr>
            <w:r>
              <w:rPr>
                <w:b/>
                <w:bCs/>
              </w:rPr>
              <w:t>2018</w:t>
            </w:r>
          </w:p>
        </w:tc>
        <w:tc>
          <w:tcPr>
            <w:tcW w:w="1788" w:type="dxa"/>
            <w:tcBorders>
              <w:top w:val="nil"/>
              <w:left w:val="nil"/>
              <w:bottom w:val="single" w:sz="4" w:space="0" w:color="auto"/>
              <w:right w:val="single" w:sz="4" w:space="0" w:color="auto"/>
            </w:tcBorders>
            <w:shd w:val="clear" w:color="auto" w:fill="BFBFBF" w:themeFill="background1" w:themeFillShade="BF"/>
          </w:tcPr>
          <w:p w:rsidR="00BB42F2" w:rsidRPr="007D5748" w:rsidRDefault="00BB42F2" w:rsidP="00BE020B">
            <w:pPr>
              <w:jc w:val="center"/>
              <w:rPr>
                <w:b/>
                <w:bCs/>
              </w:rPr>
            </w:pPr>
            <w:r>
              <w:rPr>
                <w:b/>
                <w:bCs/>
              </w:rPr>
              <w:t>2019</w:t>
            </w:r>
          </w:p>
        </w:tc>
        <w:tc>
          <w:tcPr>
            <w:tcW w:w="2418" w:type="dxa"/>
            <w:gridSpan w:val="2"/>
            <w:tcBorders>
              <w:top w:val="nil"/>
              <w:left w:val="nil"/>
              <w:bottom w:val="single" w:sz="4" w:space="0" w:color="auto"/>
              <w:right w:val="single" w:sz="4" w:space="0" w:color="auto"/>
            </w:tcBorders>
            <w:shd w:val="clear" w:color="auto" w:fill="BFBFBF" w:themeFill="background1" w:themeFillShade="BF"/>
          </w:tcPr>
          <w:p w:rsidR="00BB42F2" w:rsidRPr="007D5748" w:rsidRDefault="00BB42F2" w:rsidP="00BE020B">
            <w:pPr>
              <w:jc w:val="center"/>
              <w:rPr>
                <w:b/>
                <w:bCs/>
              </w:rPr>
            </w:pPr>
            <w:r>
              <w:rPr>
                <w:b/>
                <w:bCs/>
              </w:rPr>
              <w:t>2020</w:t>
            </w:r>
          </w:p>
        </w:tc>
        <w:tc>
          <w:tcPr>
            <w:tcW w:w="1722" w:type="dxa"/>
            <w:tcBorders>
              <w:top w:val="nil"/>
              <w:left w:val="nil"/>
              <w:bottom w:val="single" w:sz="4" w:space="0" w:color="auto"/>
              <w:right w:val="single" w:sz="4" w:space="0" w:color="auto"/>
            </w:tcBorders>
            <w:shd w:val="clear" w:color="auto" w:fill="BFBFBF" w:themeFill="background1" w:themeFillShade="BF"/>
          </w:tcPr>
          <w:p w:rsidR="00BB42F2" w:rsidRPr="007D5748" w:rsidRDefault="00BB42F2" w:rsidP="00BE020B">
            <w:pPr>
              <w:jc w:val="center"/>
              <w:rPr>
                <w:b/>
                <w:bCs/>
              </w:rPr>
            </w:pPr>
            <w:r>
              <w:rPr>
                <w:b/>
                <w:bCs/>
              </w:rPr>
              <w:t>2021</w:t>
            </w:r>
          </w:p>
        </w:tc>
        <w:tc>
          <w:tcPr>
            <w:tcW w:w="1620" w:type="dxa"/>
            <w:gridSpan w:val="2"/>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B42F2" w:rsidRPr="007D5748" w:rsidRDefault="00BB42F2" w:rsidP="00BE020B">
            <w:pPr>
              <w:rPr>
                <w:b/>
                <w:bCs/>
                <w:color w:val="FFFFFF"/>
              </w:rPr>
            </w:pPr>
          </w:p>
        </w:tc>
      </w:tr>
      <w:tr w:rsidR="00BB42F2" w:rsidRPr="007D5748" w:rsidTr="00BE020B">
        <w:trPr>
          <w:trHeight w:val="255"/>
        </w:trPr>
        <w:tc>
          <w:tcPr>
            <w:tcW w:w="6188" w:type="dxa"/>
            <w:tcBorders>
              <w:top w:val="nil"/>
              <w:left w:val="single" w:sz="4" w:space="0" w:color="auto"/>
              <w:bottom w:val="single" w:sz="4" w:space="0" w:color="auto"/>
              <w:right w:val="single" w:sz="4" w:space="0" w:color="auto"/>
            </w:tcBorders>
          </w:tcPr>
          <w:p w:rsidR="00BB42F2" w:rsidRPr="007D5748" w:rsidRDefault="00BB42F2" w:rsidP="00BE020B">
            <w:pPr>
              <w:rPr>
                <w:b/>
                <w:bCs/>
              </w:rPr>
            </w:pPr>
            <w:r w:rsidRPr="007D5748">
              <w:rPr>
                <w:b/>
                <w:bCs/>
              </w:rPr>
              <w:t>Počet zamestnancov celkom</w:t>
            </w:r>
          </w:p>
        </w:tc>
        <w:tc>
          <w:tcPr>
            <w:tcW w:w="1698" w:type="dxa"/>
            <w:tcBorders>
              <w:top w:val="nil"/>
              <w:left w:val="nil"/>
              <w:bottom w:val="single" w:sz="4" w:space="0" w:color="auto"/>
              <w:right w:val="single" w:sz="4" w:space="0" w:color="auto"/>
            </w:tcBorders>
          </w:tcPr>
          <w:p w:rsidR="00BB42F2" w:rsidRPr="007D5748" w:rsidRDefault="00BB42F2" w:rsidP="00BE020B">
            <w:pPr>
              <w:jc w:val="center"/>
              <w:rPr>
                <w:b/>
                <w:bCs/>
              </w:rPr>
            </w:pPr>
            <w:r>
              <w:rPr>
                <w:b/>
                <w:bCs/>
              </w:rPr>
              <w:t>0</w:t>
            </w:r>
          </w:p>
        </w:tc>
        <w:tc>
          <w:tcPr>
            <w:tcW w:w="1788" w:type="dxa"/>
            <w:tcBorders>
              <w:top w:val="nil"/>
              <w:left w:val="nil"/>
              <w:bottom w:val="single" w:sz="4" w:space="0" w:color="auto"/>
              <w:right w:val="single" w:sz="4" w:space="0" w:color="auto"/>
            </w:tcBorders>
          </w:tcPr>
          <w:p w:rsidR="00BB42F2" w:rsidRPr="007D5748" w:rsidRDefault="00BB42F2" w:rsidP="00BE020B">
            <w:pPr>
              <w:jc w:val="center"/>
              <w:rPr>
                <w:b/>
                <w:bCs/>
              </w:rPr>
            </w:pPr>
            <w:r>
              <w:rPr>
                <w:b/>
                <w:bCs/>
              </w:rPr>
              <w:t>0</w:t>
            </w:r>
          </w:p>
        </w:tc>
        <w:tc>
          <w:tcPr>
            <w:tcW w:w="2418" w:type="dxa"/>
            <w:gridSpan w:val="2"/>
            <w:tcBorders>
              <w:top w:val="nil"/>
              <w:left w:val="nil"/>
              <w:bottom w:val="single" w:sz="4" w:space="0" w:color="auto"/>
              <w:right w:val="single" w:sz="4" w:space="0" w:color="auto"/>
            </w:tcBorders>
          </w:tcPr>
          <w:p w:rsidR="00BB42F2" w:rsidRPr="007D5748" w:rsidRDefault="00BB42F2" w:rsidP="00BE020B">
            <w:pPr>
              <w:jc w:val="center"/>
              <w:rPr>
                <w:b/>
                <w:bCs/>
              </w:rPr>
            </w:pPr>
            <w:r>
              <w:rPr>
                <w:b/>
                <w:bCs/>
              </w:rPr>
              <w:t>0</w:t>
            </w:r>
          </w:p>
        </w:tc>
        <w:tc>
          <w:tcPr>
            <w:tcW w:w="1722" w:type="dxa"/>
            <w:tcBorders>
              <w:top w:val="nil"/>
              <w:left w:val="nil"/>
              <w:bottom w:val="single" w:sz="4" w:space="0" w:color="auto"/>
              <w:right w:val="single" w:sz="4" w:space="0" w:color="auto"/>
            </w:tcBorders>
          </w:tcPr>
          <w:p w:rsidR="00BB42F2" w:rsidRPr="007D5748" w:rsidRDefault="00BB42F2" w:rsidP="00BE020B">
            <w:pPr>
              <w:jc w:val="center"/>
              <w:rPr>
                <w:b/>
                <w:bCs/>
              </w:rPr>
            </w:pPr>
            <w:r>
              <w:rPr>
                <w:b/>
                <w:bCs/>
              </w:rPr>
              <w:t>0</w:t>
            </w:r>
          </w:p>
        </w:tc>
        <w:tc>
          <w:tcPr>
            <w:tcW w:w="1620" w:type="dxa"/>
            <w:gridSpan w:val="2"/>
            <w:tcBorders>
              <w:top w:val="nil"/>
              <w:left w:val="nil"/>
              <w:bottom w:val="single" w:sz="4" w:space="0" w:color="auto"/>
              <w:right w:val="single" w:sz="4" w:space="0" w:color="auto"/>
            </w:tcBorders>
            <w:noWrap/>
            <w:vAlign w:val="bottom"/>
          </w:tcPr>
          <w:p w:rsidR="00BB42F2" w:rsidRPr="007D5748" w:rsidRDefault="00BB42F2" w:rsidP="00BE020B">
            <w:r w:rsidRPr="007D5748">
              <w:t> </w:t>
            </w:r>
          </w:p>
        </w:tc>
      </w:tr>
      <w:tr w:rsidR="00BB42F2" w:rsidRPr="007D5748" w:rsidTr="00BE020B">
        <w:trPr>
          <w:trHeight w:val="255"/>
        </w:trPr>
        <w:tc>
          <w:tcPr>
            <w:tcW w:w="6188" w:type="dxa"/>
            <w:tcBorders>
              <w:top w:val="nil"/>
              <w:left w:val="single" w:sz="4" w:space="0" w:color="auto"/>
              <w:bottom w:val="single" w:sz="4" w:space="0" w:color="auto"/>
              <w:right w:val="single" w:sz="4" w:space="0" w:color="auto"/>
            </w:tcBorders>
          </w:tcPr>
          <w:p w:rsidR="00BB42F2" w:rsidRPr="007D5748" w:rsidRDefault="00BB42F2" w:rsidP="00BE020B">
            <w:pPr>
              <w:rPr>
                <w:b/>
                <w:bCs/>
              </w:rPr>
            </w:pPr>
            <w:r w:rsidRPr="007D5748">
              <w:rPr>
                <w:b/>
                <w:bCs/>
              </w:rPr>
              <w:t xml:space="preserve">   z toho vplyv na ŠR</w:t>
            </w:r>
          </w:p>
        </w:tc>
        <w:tc>
          <w:tcPr>
            <w:tcW w:w="1698" w:type="dxa"/>
            <w:tcBorders>
              <w:top w:val="single" w:sz="4" w:space="0" w:color="auto"/>
              <w:left w:val="nil"/>
              <w:bottom w:val="single" w:sz="4" w:space="0" w:color="auto"/>
              <w:right w:val="single" w:sz="4" w:space="0" w:color="auto"/>
            </w:tcBorders>
          </w:tcPr>
          <w:p w:rsidR="00BB42F2" w:rsidRPr="007D5748" w:rsidRDefault="00BB42F2" w:rsidP="00BE020B">
            <w:pPr>
              <w:jc w:val="center"/>
              <w:rPr>
                <w:b/>
                <w:bCs/>
              </w:rPr>
            </w:pPr>
            <w:r>
              <w:rPr>
                <w:b/>
                <w:bCs/>
              </w:rPr>
              <w:t>0</w:t>
            </w:r>
          </w:p>
        </w:tc>
        <w:tc>
          <w:tcPr>
            <w:tcW w:w="1788" w:type="dxa"/>
            <w:tcBorders>
              <w:top w:val="single" w:sz="4" w:space="0" w:color="auto"/>
              <w:left w:val="nil"/>
              <w:bottom w:val="single" w:sz="4" w:space="0" w:color="auto"/>
              <w:right w:val="single" w:sz="4" w:space="0" w:color="auto"/>
            </w:tcBorders>
          </w:tcPr>
          <w:p w:rsidR="00BB42F2" w:rsidRPr="007D5748" w:rsidRDefault="00BB42F2" w:rsidP="00BE020B">
            <w:pPr>
              <w:jc w:val="center"/>
              <w:rPr>
                <w:b/>
                <w:bCs/>
              </w:rPr>
            </w:pPr>
            <w:r>
              <w:rPr>
                <w:b/>
                <w:bCs/>
              </w:rPr>
              <w:t>0</w:t>
            </w:r>
          </w:p>
        </w:tc>
        <w:tc>
          <w:tcPr>
            <w:tcW w:w="2418" w:type="dxa"/>
            <w:gridSpan w:val="2"/>
            <w:tcBorders>
              <w:top w:val="single" w:sz="4" w:space="0" w:color="auto"/>
              <w:left w:val="nil"/>
              <w:bottom w:val="single" w:sz="4" w:space="0" w:color="auto"/>
              <w:right w:val="single" w:sz="4" w:space="0" w:color="auto"/>
            </w:tcBorders>
          </w:tcPr>
          <w:p w:rsidR="00BB42F2" w:rsidRPr="007D5748" w:rsidRDefault="00BB42F2" w:rsidP="00BE020B">
            <w:pPr>
              <w:jc w:val="center"/>
              <w:rPr>
                <w:b/>
                <w:bCs/>
              </w:rPr>
            </w:pPr>
            <w:r>
              <w:rPr>
                <w:b/>
                <w:bCs/>
              </w:rPr>
              <w:t>0</w:t>
            </w:r>
          </w:p>
        </w:tc>
        <w:tc>
          <w:tcPr>
            <w:tcW w:w="1722" w:type="dxa"/>
            <w:tcBorders>
              <w:top w:val="single" w:sz="4" w:space="0" w:color="auto"/>
              <w:left w:val="nil"/>
              <w:bottom w:val="single" w:sz="4" w:space="0" w:color="auto"/>
              <w:right w:val="single" w:sz="4" w:space="0" w:color="auto"/>
            </w:tcBorders>
          </w:tcPr>
          <w:p w:rsidR="00BB42F2" w:rsidRPr="007D5748" w:rsidRDefault="00BB42F2" w:rsidP="00BE020B">
            <w:pPr>
              <w:jc w:val="center"/>
              <w:rPr>
                <w:b/>
                <w:bCs/>
              </w:rPr>
            </w:pPr>
            <w:r>
              <w:rPr>
                <w:b/>
                <w:bCs/>
              </w:rPr>
              <w:t>0</w:t>
            </w:r>
          </w:p>
        </w:tc>
        <w:tc>
          <w:tcPr>
            <w:tcW w:w="1620" w:type="dxa"/>
            <w:gridSpan w:val="2"/>
            <w:tcBorders>
              <w:top w:val="nil"/>
              <w:left w:val="nil"/>
              <w:bottom w:val="single" w:sz="4" w:space="0" w:color="auto"/>
              <w:right w:val="single" w:sz="4" w:space="0" w:color="auto"/>
            </w:tcBorders>
            <w:noWrap/>
            <w:vAlign w:val="bottom"/>
          </w:tcPr>
          <w:p w:rsidR="00BB42F2" w:rsidRPr="007D5748" w:rsidRDefault="00BB42F2" w:rsidP="00BE020B"/>
        </w:tc>
      </w:tr>
      <w:tr w:rsidR="00BB42F2" w:rsidRPr="007D5748" w:rsidTr="00BE020B">
        <w:trPr>
          <w:trHeight w:val="255"/>
        </w:trPr>
        <w:tc>
          <w:tcPr>
            <w:tcW w:w="6188" w:type="dxa"/>
            <w:tcBorders>
              <w:top w:val="nil"/>
              <w:left w:val="single" w:sz="4" w:space="0" w:color="auto"/>
              <w:bottom w:val="single" w:sz="4" w:space="0" w:color="auto"/>
              <w:right w:val="single" w:sz="4" w:space="0" w:color="auto"/>
            </w:tcBorders>
          </w:tcPr>
          <w:p w:rsidR="00BB42F2" w:rsidRPr="007D5748" w:rsidRDefault="00BB42F2" w:rsidP="00BE020B">
            <w:pPr>
              <w:rPr>
                <w:b/>
                <w:bCs/>
              </w:rPr>
            </w:pPr>
            <w:r w:rsidRPr="007D5748">
              <w:rPr>
                <w:b/>
                <w:bCs/>
              </w:rPr>
              <w:t>Priemerný mzdový výdavok (v eurách)</w:t>
            </w:r>
          </w:p>
        </w:tc>
        <w:tc>
          <w:tcPr>
            <w:tcW w:w="1698" w:type="dxa"/>
            <w:tcBorders>
              <w:top w:val="single" w:sz="4" w:space="0" w:color="auto"/>
              <w:left w:val="nil"/>
              <w:bottom w:val="single" w:sz="4" w:space="0" w:color="auto"/>
              <w:right w:val="single" w:sz="4" w:space="0" w:color="auto"/>
            </w:tcBorders>
          </w:tcPr>
          <w:p w:rsidR="00BB42F2" w:rsidRPr="007D5748" w:rsidRDefault="00BB42F2" w:rsidP="00BE020B">
            <w:pPr>
              <w:jc w:val="center"/>
              <w:rPr>
                <w:b/>
                <w:bCs/>
              </w:rPr>
            </w:pPr>
            <w:r>
              <w:rPr>
                <w:b/>
                <w:bCs/>
              </w:rPr>
              <w:t>0</w:t>
            </w:r>
          </w:p>
        </w:tc>
        <w:tc>
          <w:tcPr>
            <w:tcW w:w="1788" w:type="dxa"/>
            <w:tcBorders>
              <w:top w:val="single" w:sz="4" w:space="0" w:color="auto"/>
              <w:left w:val="nil"/>
              <w:bottom w:val="single" w:sz="4" w:space="0" w:color="auto"/>
              <w:right w:val="single" w:sz="4" w:space="0" w:color="auto"/>
            </w:tcBorders>
          </w:tcPr>
          <w:p w:rsidR="00BB42F2" w:rsidRPr="007D5748" w:rsidRDefault="00BB42F2" w:rsidP="00BE020B">
            <w:pPr>
              <w:jc w:val="center"/>
              <w:rPr>
                <w:b/>
                <w:bCs/>
              </w:rPr>
            </w:pPr>
            <w:r>
              <w:rPr>
                <w:b/>
                <w:bCs/>
              </w:rPr>
              <w:t>0</w:t>
            </w:r>
          </w:p>
        </w:tc>
        <w:tc>
          <w:tcPr>
            <w:tcW w:w="2418" w:type="dxa"/>
            <w:gridSpan w:val="2"/>
            <w:tcBorders>
              <w:top w:val="single" w:sz="4" w:space="0" w:color="auto"/>
              <w:left w:val="nil"/>
              <w:bottom w:val="single" w:sz="4" w:space="0" w:color="auto"/>
              <w:right w:val="single" w:sz="4" w:space="0" w:color="auto"/>
            </w:tcBorders>
          </w:tcPr>
          <w:p w:rsidR="00BB42F2" w:rsidRPr="007D5748" w:rsidRDefault="00BB42F2" w:rsidP="00BE020B">
            <w:pPr>
              <w:jc w:val="center"/>
              <w:rPr>
                <w:b/>
                <w:bCs/>
              </w:rPr>
            </w:pPr>
            <w:r>
              <w:rPr>
                <w:b/>
                <w:bCs/>
              </w:rPr>
              <w:t>0</w:t>
            </w:r>
          </w:p>
        </w:tc>
        <w:tc>
          <w:tcPr>
            <w:tcW w:w="1722" w:type="dxa"/>
            <w:tcBorders>
              <w:top w:val="single" w:sz="4" w:space="0" w:color="auto"/>
              <w:left w:val="nil"/>
              <w:bottom w:val="single" w:sz="4" w:space="0" w:color="auto"/>
              <w:right w:val="single" w:sz="4" w:space="0" w:color="auto"/>
            </w:tcBorders>
          </w:tcPr>
          <w:p w:rsidR="00BB42F2" w:rsidRPr="007D5748" w:rsidRDefault="00BB42F2" w:rsidP="00BE020B">
            <w:pPr>
              <w:jc w:val="center"/>
              <w:rPr>
                <w:b/>
                <w:bCs/>
              </w:rPr>
            </w:pPr>
            <w:r>
              <w:rPr>
                <w:b/>
                <w:bCs/>
              </w:rPr>
              <w:t>0</w:t>
            </w:r>
          </w:p>
        </w:tc>
        <w:tc>
          <w:tcPr>
            <w:tcW w:w="1620" w:type="dxa"/>
            <w:gridSpan w:val="2"/>
            <w:tcBorders>
              <w:top w:val="nil"/>
              <w:left w:val="nil"/>
              <w:bottom w:val="single" w:sz="4" w:space="0" w:color="auto"/>
              <w:right w:val="single" w:sz="4" w:space="0" w:color="auto"/>
            </w:tcBorders>
            <w:noWrap/>
            <w:vAlign w:val="bottom"/>
          </w:tcPr>
          <w:p w:rsidR="00BB42F2" w:rsidRPr="007D5748" w:rsidRDefault="00BB42F2" w:rsidP="00BE020B">
            <w:r w:rsidRPr="007D5748">
              <w:t> </w:t>
            </w:r>
          </w:p>
        </w:tc>
      </w:tr>
      <w:tr w:rsidR="00BB42F2" w:rsidRPr="007D5748" w:rsidTr="00BE020B">
        <w:trPr>
          <w:trHeight w:val="255"/>
        </w:trPr>
        <w:tc>
          <w:tcPr>
            <w:tcW w:w="6188" w:type="dxa"/>
            <w:tcBorders>
              <w:top w:val="nil"/>
              <w:left w:val="single" w:sz="4" w:space="0" w:color="auto"/>
              <w:bottom w:val="single" w:sz="4" w:space="0" w:color="auto"/>
              <w:right w:val="single" w:sz="4" w:space="0" w:color="auto"/>
            </w:tcBorders>
          </w:tcPr>
          <w:p w:rsidR="00BB42F2" w:rsidRPr="007D5748" w:rsidRDefault="00BB42F2" w:rsidP="00BE020B">
            <w:r w:rsidRPr="007D5748">
              <w:rPr>
                <w:b/>
                <w:bCs/>
              </w:rPr>
              <w:t xml:space="preserve">   z toho vplyv na ŠR</w:t>
            </w:r>
          </w:p>
        </w:tc>
        <w:tc>
          <w:tcPr>
            <w:tcW w:w="1698" w:type="dxa"/>
            <w:tcBorders>
              <w:top w:val="single" w:sz="4" w:space="0" w:color="auto"/>
              <w:left w:val="nil"/>
              <w:bottom w:val="single" w:sz="4" w:space="0" w:color="auto"/>
              <w:right w:val="single" w:sz="4" w:space="0" w:color="auto"/>
            </w:tcBorders>
          </w:tcPr>
          <w:p w:rsidR="00BB42F2" w:rsidRPr="007D5748" w:rsidRDefault="00BB42F2" w:rsidP="00BE020B">
            <w:pPr>
              <w:jc w:val="center"/>
              <w:rPr>
                <w:b/>
                <w:bCs/>
              </w:rPr>
            </w:pPr>
            <w:r>
              <w:rPr>
                <w:b/>
                <w:bCs/>
              </w:rPr>
              <w:t>0</w:t>
            </w:r>
          </w:p>
        </w:tc>
        <w:tc>
          <w:tcPr>
            <w:tcW w:w="1788" w:type="dxa"/>
            <w:tcBorders>
              <w:top w:val="single" w:sz="4" w:space="0" w:color="auto"/>
              <w:left w:val="nil"/>
              <w:bottom w:val="single" w:sz="4" w:space="0" w:color="auto"/>
              <w:right w:val="single" w:sz="4" w:space="0" w:color="auto"/>
            </w:tcBorders>
          </w:tcPr>
          <w:p w:rsidR="00BB42F2" w:rsidRPr="007D5748" w:rsidRDefault="00BB42F2" w:rsidP="00BE020B">
            <w:pPr>
              <w:jc w:val="center"/>
              <w:rPr>
                <w:b/>
                <w:bCs/>
              </w:rPr>
            </w:pPr>
            <w:r>
              <w:rPr>
                <w:b/>
                <w:bCs/>
              </w:rPr>
              <w:t>0</w:t>
            </w:r>
          </w:p>
        </w:tc>
        <w:tc>
          <w:tcPr>
            <w:tcW w:w="2418" w:type="dxa"/>
            <w:gridSpan w:val="2"/>
            <w:tcBorders>
              <w:top w:val="single" w:sz="4" w:space="0" w:color="auto"/>
              <w:left w:val="nil"/>
              <w:bottom w:val="single" w:sz="4" w:space="0" w:color="auto"/>
              <w:right w:val="single" w:sz="4" w:space="0" w:color="auto"/>
            </w:tcBorders>
          </w:tcPr>
          <w:p w:rsidR="00BB42F2" w:rsidRPr="007D5748" w:rsidRDefault="00BB42F2" w:rsidP="00BE020B">
            <w:pPr>
              <w:jc w:val="center"/>
              <w:rPr>
                <w:b/>
                <w:bCs/>
              </w:rPr>
            </w:pPr>
            <w:r>
              <w:rPr>
                <w:b/>
                <w:bCs/>
              </w:rPr>
              <w:t>0</w:t>
            </w:r>
          </w:p>
        </w:tc>
        <w:tc>
          <w:tcPr>
            <w:tcW w:w="1722" w:type="dxa"/>
            <w:tcBorders>
              <w:top w:val="single" w:sz="4" w:space="0" w:color="auto"/>
              <w:left w:val="nil"/>
              <w:bottom w:val="single" w:sz="4" w:space="0" w:color="auto"/>
              <w:right w:val="single" w:sz="4" w:space="0" w:color="auto"/>
            </w:tcBorders>
          </w:tcPr>
          <w:p w:rsidR="00BB42F2" w:rsidRPr="007D5748" w:rsidRDefault="00BB42F2" w:rsidP="00BE020B">
            <w:pPr>
              <w:jc w:val="center"/>
              <w:rPr>
                <w:b/>
                <w:bCs/>
              </w:rPr>
            </w:pPr>
            <w:r>
              <w:rPr>
                <w:b/>
                <w:bCs/>
              </w:rPr>
              <w:t>0</w:t>
            </w:r>
          </w:p>
        </w:tc>
        <w:tc>
          <w:tcPr>
            <w:tcW w:w="1620" w:type="dxa"/>
            <w:gridSpan w:val="2"/>
            <w:tcBorders>
              <w:top w:val="nil"/>
              <w:left w:val="nil"/>
              <w:bottom w:val="single" w:sz="4" w:space="0" w:color="auto"/>
              <w:right w:val="single" w:sz="4" w:space="0" w:color="auto"/>
            </w:tcBorders>
            <w:noWrap/>
            <w:vAlign w:val="bottom"/>
          </w:tcPr>
          <w:p w:rsidR="00BB42F2" w:rsidRPr="007D5748" w:rsidRDefault="00BB42F2" w:rsidP="00BE020B">
            <w:r w:rsidRPr="007D5748">
              <w:t> </w:t>
            </w:r>
          </w:p>
        </w:tc>
      </w:tr>
      <w:tr w:rsidR="00BB42F2" w:rsidRPr="007D5748" w:rsidTr="00BE020B">
        <w:trPr>
          <w:trHeight w:val="255"/>
        </w:trPr>
        <w:tc>
          <w:tcPr>
            <w:tcW w:w="6188" w:type="dxa"/>
            <w:tcBorders>
              <w:top w:val="nil"/>
              <w:left w:val="single" w:sz="4" w:space="0" w:color="auto"/>
              <w:bottom w:val="single" w:sz="4" w:space="0" w:color="auto"/>
              <w:right w:val="single" w:sz="4" w:space="0" w:color="auto"/>
            </w:tcBorders>
            <w:shd w:val="clear" w:color="auto" w:fill="BFBFBF" w:themeFill="background1" w:themeFillShade="BF"/>
          </w:tcPr>
          <w:p w:rsidR="00BB42F2" w:rsidRPr="007D5748" w:rsidRDefault="00BB42F2" w:rsidP="00BE020B">
            <w:pPr>
              <w:rPr>
                <w:b/>
                <w:bCs/>
              </w:rPr>
            </w:pPr>
            <w:r w:rsidRPr="007D5748">
              <w:rPr>
                <w:b/>
                <w:bCs/>
              </w:rPr>
              <w:t>Osobné výdavky celkom (v eurách)</w:t>
            </w:r>
          </w:p>
        </w:tc>
        <w:tc>
          <w:tcPr>
            <w:tcW w:w="1698" w:type="dxa"/>
            <w:tcBorders>
              <w:top w:val="nil"/>
              <w:left w:val="nil"/>
              <w:bottom w:val="single" w:sz="4" w:space="0" w:color="auto"/>
              <w:right w:val="single" w:sz="4" w:space="0" w:color="auto"/>
            </w:tcBorders>
            <w:shd w:val="clear" w:color="auto" w:fill="BFBFBF" w:themeFill="background1" w:themeFillShade="BF"/>
          </w:tcPr>
          <w:p w:rsidR="00BB42F2" w:rsidRPr="007D5748" w:rsidRDefault="00BB42F2" w:rsidP="00BE020B">
            <w:pPr>
              <w:jc w:val="center"/>
              <w:rPr>
                <w:b/>
                <w:bCs/>
              </w:rPr>
            </w:pPr>
            <w:r w:rsidRPr="007D5748">
              <w:rPr>
                <w:b/>
                <w:bCs/>
              </w:rPr>
              <w:t>0</w:t>
            </w:r>
          </w:p>
        </w:tc>
        <w:tc>
          <w:tcPr>
            <w:tcW w:w="1788" w:type="dxa"/>
            <w:tcBorders>
              <w:top w:val="nil"/>
              <w:left w:val="nil"/>
              <w:bottom w:val="single" w:sz="4" w:space="0" w:color="auto"/>
              <w:right w:val="single" w:sz="4" w:space="0" w:color="auto"/>
            </w:tcBorders>
            <w:shd w:val="clear" w:color="auto" w:fill="BFBFBF" w:themeFill="background1" w:themeFillShade="BF"/>
          </w:tcPr>
          <w:p w:rsidR="00BB42F2" w:rsidRPr="007D5748" w:rsidRDefault="00BB42F2" w:rsidP="00BE020B">
            <w:pPr>
              <w:jc w:val="center"/>
              <w:rPr>
                <w:b/>
                <w:bCs/>
              </w:rPr>
            </w:pPr>
            <w:r w:rsidRPr="007D5748">
              <w:rPr>
                <w:b/>
                <w:bCs/>
              </w:rPr>
              <w:t>0</w:t>
            </w:r>
          </w:p>
        </w:tc>
        <w:tc>
          <w:tcPr>
            <w:tcW w:w="2418" w:type="dxa"/>
            <w:gridSpan w:val="2"/>
            <w:tcBorders>
              <w:top w:val="nil"/>
              <w:left w:val="nil"/>
              <w:bottom w:val="single" w:sz="4" w:space="0" w:color="auto"/>
              <w:right w:val="single" w:sz="4" w:space="0" w:color="auto"/>
            </w:tcBorders>
            <w:shd w:val="clear" w:color="auto" w:fill="BFBFBF" w:themeFill="background1" w:themeFillShade="BF"/>
          </w:tcPr>
          <w:p w:rsidR="00BB42F2" w:rsidRPr="007D5748" w:rsidRDefault="00BB42F2" w:rsidP="00BE020B">
            <w:pPr>
              <w:jc w:val="center"/>
              <w:rPr>
                <w:b/>
                <w:bCs/>
              </w:rPr>
            </w:pPr>
            <w:r w:rsidRPr="007D5748">
              <w:rPr>
                <w:b/>
                <w:bCs/>
              </w:rPr>
              <w:t>0</w:t>
            </w:r>
          </w:p>
        </w:tc>
        <w:tc>
          <w:tcPr>
            <w:tcW w:w="1722" w:type="dxa"/>
            <w:tcBorders>
              <w:top w:val="nil"/>
              <w:left w:val="nil"/>
              <w:bottom w:val="single" w:sz="4" w:space="0" w:color="auto"/>
              <w:right w:val="single" w:sz="4" w:space="0" w:color="auto"/>
            </w:tcBorders>
            <w:shd w:val="clear" w:color="auto" w:fill="BFBFBF" w:themeFill="background1" w:themeFillShade="BF"/>
          </w:tcPr>
          <w:p w:rsidR="00BB42F2" w:rsidRPr="007D5748" w:rsidRDefault="00BB42F2" w:rsidP="00BE020B">
            <w:pPr>
              <w:jc w:val="center"/>
              <w:rPr>
                <w:b/>
                <w:bCs/>
              </w:rPr>
            </w:pPr>
            <w:r w:rsidRPr="007D5748">
              <w:rPr>
                <w:b/>
                <w:bCs/>
              </w:rPr>
              <w:t>0</w:t>
            </w:r>
          </w:p>
        </w:tc>
        <w:tc>
          <w:tcPr>
            <w:tcW w:w="1620" w:type="dxa"/>
            <w:gridSpan w:val="2"/>
            <w:tcBorders>
              <w:top w:val="nil"/>
              <w:left w:val="nil"/>
              <w:bottom w:val="single" w:sz="4" w:space="0" w:color="auto"/>
              <w:right w:val="single" w:sz="4" w:space="0" w:color="auto"/>
            </w:tcBorders>
            <w:shd w:val="clear" w:color="auto" w:fill="BFBFBF" w:themeFill="background1" w:themeFillShade="BF"/>
            <w:noWrap/>
            <w:vAlign w:val="bottom"/>
          </w:tcPr>
          <w:p w:rsidR="00BB42F2" w:rsidRPr="007D5748" w:rsidRDefault="00BB42F2" w:rsidP="00BE020B">
            <w:pPr>
              <w:rPr>
                <w:b/>
                <w:bCs/>
              </w:rPr>
            </w:pPr>
            <w:r w:rsidRPr="007D5748">
              <w:rPr>
                <w:b/>
                <w:bCs/>
              </w:rPr>
              <w:t> </w:t>
            </w:r>
          </w:p>
        </w:tc>
      </w:tr>
      <w:tr w:rsidR="00BB42F2" w:rsidRPr="007D5748" w:rsidTr="00BE020B">
        <w:trPr>
          <w:trHeight w:val="255"/>
        </w:trPr>
        <w:tc>
          <w:tcPr>
            <w:tcW w:w="6188" w:type="dxa"/>
            <w:tcBorders>
              <w:top w:val="nil"/>
              <w:left w:val="single" w:sz="4" w:space="0" w:color="auto"/>
              <w:bottom w:val="single" w:sz="4" w:space="0" w:color="auto"/>
              <w:right w:val="single" w:sz="4" w:space="0" w:color="auto"/>
            </w:tcBorders>
          </w:tcPr>
          <w:p w:rsidR="00BB42F2" w:rsidRPr="007D5748" w:rsidRDefault="00BB42F2" w:rsidP="00BE020B">
            <w:pPr>
              <w:rPr>
                <w:b/>
                <w:bCs/>
              </w:rPr>
            </w:pPr>
            <w:r w:rsidRPr="007D5748">
              <w:rPr>
                <w:b/>
                <w:bCs/>
              </w:rPr>
              <w:t>Mzdy, platy, služobné príjmy a ostatné osobné vyrovnania (610)</w:t>
            </w:r>
          </w:p>
        </w:tc>
        <w:tc>
          <w:tcPr>
            <w:tcW w:w="1698" w:type="dxa"/>
            <w:tcBorders>
              <w:top w:val="nil"/>
              <w:left w:val="nil"/>
              <w:bottom w:val="single" w:sz="4" w:space="0" w:color="auto"/>
              <w:right w:val="single" w:sz="4" w:space="0" w:color="auto"/>
            </w:tcBorders>
          </w:tcPr>
          <w:p w:rsidR="00BB42F2" w:rsidRPr="007D5748" w:rsidRDefault="00BB42F2" w:rsidP="00BE020B">
            <w:pPr>
              <w:jc w:val="center"/>
              <w:rPr>
                <w:b/>
                <w:bCs/>
              </w:rPr>
            </w:pPr>
            <w:r>
              <w:rPr>
                <w:b/>
                <w:bCs/>
              </w:rPr>
              <w:t>0</w:t>
            </w:r>
          </w:p>
        </w:tc>
        <w:tc>
          <w:tcPr>
            <w:tcW w:w="1788" w:type="dxa"/>
            <w:tcBorders>
              <w:top w:val="nil"/>
              <w:left w:val="nil"/>
              <w:bottom w:val="single" w:sz="4" w:space="0" w:color="auto"/>
              <w:right w:val="single" w:sz="4" w:space="0" w:color="auto"/>
            </w:tcBorders>
          </w:tcPr>
          <w:p w:rsidR="00BB42F2" w:rsidRPr="007D5748" w:rsidRDefault="00BB42F2" w:rsidP="00BE020B">
            <w:pPr>
              <w:jc w:val="center"/>
              <w:rPr>
                <w:b/>
                <w:bCs/>
              </w:rPr>
            </w:pPr>
            <w:r>
              <w:rPr>
                <w:b/>
                <w:bCs/>
              </w:rPr>
              <w:t>0</w:t>
            </w:r>
          </w:p>
        </w:tc>
        <w:tc>
          <w:tcPr>
            <w:tcW w:w="2418" w:type="dxa"/>
            <w:gridSpan w:val="2"/>
            <w:tcBorders>
              <w:top w:val="nil"/>
              <w:left w:val="nil"/>
              <w:bottom w:val="single" w:sz="4" w:space="0" w:color="auto"/>
              <w:right w:val="single" w:sz="4" w:space="0" w:color="auto"/>
            </w:tcBorders>
          </w:tcPr>
          <w:p w:rsidR="00BB42F2" w:rsidRPr="007D5748" w:rsidRDefault="00BB42F2" w:rsidP="00BE020B">
            <w:pPr>
              <w:jc w:val="center"/>
              <w:rPr>
                <w:b/>
                <w:bCs/>
              </w:rPr>
            </w:pPr>
            <w:r>
              <w:rPr>
                <w:b/>
                <w:bCs/>
              </w:rPr>
              <w:t>0</w:t>
            </w:r>
          </w:p>
        </w:tc>
        <w:tc>
          <w:tcPr>
            <w:tcW w:w="1722" w:type="dxa"/>
            <w:tcBorders>
              <w:top w:val="nil"/>
              <w:left w:val="nil"/>
              <w:bottom w:val="single" w:sz="4" w:space="0" w:color="auto"/>
              <w:right w:val="single" w:sz="4" w:space="0" w:color="auto"/>
            </w:tcBorders>
          </w:tcPr>
          <w:p w:rsidR="00BB42F2" w:rsidRPr="007D5748" w:rsidRDefault="00BB42F2" w:rsidP="00BE020B">
            <w:pPr>
              <w:jc w:val="center"/>
              <w:rPr>
                <w:b/>
                <w:bCs/>
              </w:rPr>
            </w:pPr>
            <w:r>
              <w:rPr>
                <w:b/>
                <w:bCs/>
              </w:rPr>
              <w:t>0</w:t>
            </w:r>
          </w:p>
        </w:tc>
        <w:tc>
          <w:tcPr>
            <w:tcW w:w="1620" w:type="dxa"/>
            <w:gridSpan w:val="2"/>
            <w:tcBorders>
              <w:top w:val="nil"/>
              <w:left w:val="nil"/>
              <w:bottom w:val="single" w:sz="4" w:space="0" w:color="auto"/>
              <w:right w:val="single" w:sz="4" w:space="0" w:color="auto"/>
            </w:tcBorders>
            <w:noWrap/>
            <w:vAlign w:val="bottom"/>
          </w:tcPr>
          <w:p w:rsidR="00BB42F2" w:rsidRPr="007D5748" w:rsidRDefault="00BB42F2" w:rsidP="00BE020B">
            <w:pPr>
              <w:rPr>
                <w:b/>
                <w:bCs/>
              </w:rPr>
            </w:pPr>
            <w:r w:rsidRPr="007D5748">
              <w:rPr>
                <w:b/>
                <w:bCs/>
              </w:rPr>
              <w:t> </w:t>
            </w:r>
          </w:p>
        </w:tc>
      </w:tr>
      <w:tr w:rsidR="00BB42F2" w:rsidRPr="007D5748" w:rsidTr="00BE020B">
        <w:trPr>
          <w:trHeight w:val="255"/>
        </w:trPr>
        <w:tc>
          <w:tcPr>
            <w:tcW w:w="6188" w:type="dxa"/>
            <w:tcBorders>
              <w:top w:val="nil"/>
              <w:left w:val="single" w:sz="4" w:space="0" w:color="auto"/>
              <w:bottom w:val="single" w:sz="4" w:space="0" w:color="auto"/>
              <w:right w:val="single" w:sz="4" w:space="0" w:color="auto"/>
            </w:tcBorders>
          </w:tcPr>
          <w:p w:rsidR="00BB42F2" w:rsidRPr="007D5748" w:rsidRDefault="00BB42F2" w:rsidP="00BE020B">
            <w:r w:rsidRPr="007D5748">
              <w:rPr>
                <w:b/>
                <w:bCs/>
              </w:rPr>
              <w:t xml:space="preserve">   z toho vplyv na ŠR</w:t>
            </w:r>
          </w:p>
        </w:tc>
        <w:tc>
          <w:tcPr>
            <w:tcW w:w="1698" w:type="dxa"/>
            <w:tcBorders>
              <w:top w:val="nil"/>
              <w:left w:val="nil"/>
              <w:bottom w:val="single" w:sz="4" w:space="0" w:color="auto"/>
              <w:right w:val="single" w:sz="4" w:space="0" w:color="auto"/>
            </w:tcBorders>
          </w:tcPr>
          <w:p w:rsidR="00BB42F2" w:rsidRPr="007D5748" w:rsidRDefault="00BB42F2" w:rsidP="00BE020B">
            <w:pPr>
              <w:jc w:val="center"/>
              <w:rPr>
                <w:b/>
                <w:bCs/>
              </w:rPr>
            </w:pPr>
            <w:r>
              <w:rPr>
                <w:b/>
                <w:bCs/>
              </w:rPr>
              <w:t>0</w:t>
            </w:r>
          </w:p>
        </w:tc>
        <w:tc>
          <w:tcPr>
            <w:tcW w:w="1788" w:type="dxa"/>
            <w:tcBorders>
              <w:top w:val="nil"/>
              <w:left w:val="nil"/>
              <w:bottom w:val="single" w:sz="4" w:space="0" w:color="auto"/>
              <w:right w:val="single" w:sz="4" w:space="0" w:color="auto"/>
            </w:tcBorders>
          </w:tcPr>
          <w:p w:rsidR="00BB42F2" w:rsidRPr="007D5748" w:rsidRDefault="00BB42F2" w:rsidP="00BE020B">
            <w:pPr>
              <w:jc w:val="center"/>
              <w:rPr>
                <w:b/>
                <w:bCs/>
              </w:rPr>
            </w:pPr>
            <w:r>
              <w:rPr>
                <w:b/>
                <w:bCs/>
              </w:rPr>
              <w:t>0</w:t>
            </w:r>
          </w:p>
        </w:tc>
        <w:tc>
          <w:tcPr>
            <w:tcW w:w="2418" w:type="dxa"/>
            <w:gridSpan w:val="2"/>
            <w:tcBorders>
              <w:top w:val="nil"/>
              <w:left w:val="nil"/>
              <w:bottom w:val="single" w:sz="4" w:space="0" w:color="auto"/>
              <w:right w:val="single" w:sz="4" w:space="0" w:color="auto"/>
            </w:tcBorders>
          </w:tcPr>
          <w:p w:rsidR="00BB42F2" w:rsidRPr="007D5748" w:rsidRDefault="00BB42F2" w:rsidP="00BE020B">
            <w:pPr>
              <w:jc w:val="center"/>
              <w:rPr>
                <w:b/>
                <w:bCs/>
              </w:rPr>
            </w:pPr>
            <w:r>
              <w:rPr>
                <w:b/>
                <w:bCs/>
              </w:rPr>
              <w:t>0</w:t>
            </w:r>
          </w:p>
        </w:tc>
        <w:tc>
          <w:tcPr>
            <w:tcW w:w="1722" w:type="dxa"/>
            <w:tcBorders>
              <w:top w:val="nil"/>
              <w:left w:val="nil"/>
              <w:bottom w:val="single" w:sz="4" w:space="0" w:color="auto"/>
              <w:right w:val="single" w:sz="4" w:space="0" w:color="auto"/>
            </w:tcBorders>
          </w:tcPr>
          <w:p w:rsidR="00BB42F2" w:rsidRPr="007D5748" w:rsidRDefault="00BB42F2" w:rsidP="00BE020B">
            <w:pPr>
              <w:jc w:val="center"/>
              <w:rPr>
                <w:b/>
                <w:bCs/>
              </w:rPr>
            </w:pPr>
            <w:r>
              <w:rPr>
                <w:b/>
                <w:bCs/>
              </w:rPr>
              <w:t>0</w:t>
            </w:r>
          </w:p>
        </w:tc>
        <w:tc>
          <w:tcPr>
            <w:tcW w:w="1620" w:type="dxa"/>
            <w:gridSpan w:val="2"/>
            <w:tcBorders>
              <w:top w:val="nil"/>
              <w:left w:val="nil"/>
              <w:bottom w:val="single" w:sz="4" w:space="0" w:color="auto"/>
              <w:right w:val="single" w:sz="4" w:space="0" w:color="auto"/>
            </w:tcBorders>
            <w:noWrap/>
            <w:vAlign w:val="bottom"/>
          </w:tcPr>
          <w:p w:rsidR="00BB42F2" w:rsidRPr="007D5748" w:rsidRDefault="00BB42F2" w:rsidP="00BE020B">
            <w:r w:rsidRPr="007D5748">
              <w:t> </w:t>
            </w:r>
          </w:p>
        </w:tc>
      </w:tr>
      <w:tr w:rsidR="00BB42F2" w:rsidRPr="007D5748" w:rsidTr="00BE020B">
        <w:trPr>
          <w:trHeight w:val="255"/>
        </w:trPr>
        <w:tc>
          <w:tcPr>
            <w:tcW w:w="6188" w:type="dxa"/>
            <w:tcBorders>
              <w:top w:val="nil"/>
              <w:left w:val="single" w:sz="4" w:space="0" w:color="auto"/>
              <w:bottom w:val="single" w:sz="4" w:space="0" w:color="auto"/>
              <w:right w:val="single" w:sz="4" w:space="0" w:color="auto"/>
            </w:tcBorders>
          </w:tcPr>
          <w:p w:rsidR="00BB42F2" w:rsidRPr="007D5748" w:rsidRDefault="00BB42F2" w:rsidP="00BE020B">
            <w:pPr>
              <w:rPr>
                <w:b/>
                <w:bCs/>
              </w:rPr>
            </w:pPr>
            <w:r w:rsidRPr="007D5748">
              <w:rPr>
                <w:b/>
                <w:bCs/>
              </w:rPr>
              <w:t>Poistné a príspevok do poisťovní (620)</w:t>
            </w:r>
          </w:p>
        </w:tc>
        <w:tc>
          <w:tcPr>
            <w:tcW w:w="1698" w:type="dxa"/>
            <w:tcBorders>
              <w:top w:val="nil"/>
              <w:left w:val="nil"/>
              <w:bottom w:val="single" w:sz="4" w:space="0" w:color="auto"/>
              <w:right w:val="single" w:sz="4" w:space="0" w:color="auto"/>
            </w:tcBorders>
          </w:tcPr>
          <w:p w:rsidR="00BB42F2" w:rsidRPr="007D5748" w:rsidRDefault="00BB42F2" w:rsidP="00BE020B">
            <w:pPr>
              <w:jc w:val="center"/>
              <w:rPr>
                <w:b/>
                <w:bCs/>
              </w:rPr>
            </w:pPr>
            <w:r>
              <w:rPr>
                <w:b/>
                <w:bCs/>
              </w:rPr>
              <w:t>0</w:t>
            </w:r>
          </w:p>
        </w:tc>
        <w:tc>
          <w:tcPr>
            <w:tcW w:w="1788" w:type="dxa"/>
            <w:tcBorders>
              <w:top w:val="nil"/>
              <w:left w:val="nil"/>
              <w:bottom w:val="single" w:sz="4" w:space="0" w:color="auto"/>
              <w:right w:val="single" w:sz="4" w:space="0" w:color="auto"/>
            </w:tcBorders>
          </w:tcPr>
          <w:p w:rsidR="00BB42F2" w:rsidRPr="007D5748" w:rsidRDefault="00BB42F2" w:rsidP="00BE020B">
            <w:pPr>
              <w:jc w:val="center"/>
              <w:rPr>
                <w:b/>
                <w:bCs/>
              </w:rPr>
            </w:pPr>
            <w:r>
              <w:rPr>
                <w:b/>
                <w:bCs/>
              </w:rPr>
              <w:t>0</w:t>
            </w:r>
          </w:p>
        </w:tc>
        <w:tc>
          <w:tcPr>
            <w:tcW w:w="2418" w:type="dxa"/>
            <w:gridSpan w:val="2"/>
            <w:tcBorders>
              <w:top w:val="nil"/>
              <w:left w:val="nil"/>
              <w:bottom w:val="single" w:sz="4" w:space="0" w:color="auto"/>
              <w:right w:val="single" w:sz="4" w:space="0" w:color="auto"/>
            </w:tcBorders>
          </w:tcPr>
          <w:p w:rsidR="00BB42F2" w:rsidRPr="007D5748" w:rsidRDefault="00BB42F2" w:rsidP="00BE020B">
            <w:pPr>
              <w:jc w:val="center"/>
              <w:rPr>
                <w:b/>
                <w:bCs/>
              </w:rPr>
            </w:pPr>
            <w:r>
              <w:rPr>
                <w:b/>
                <w:bCs/>
              </w:rPr>
              <w:t>0</w:t>
            </w:r>
          </w:p>
        </w:tc>
        <w:tc>
          <w:tcPr>
            <w:tcW w:w="1722" w:type="dxa"/>
            <w:tcBorders>
              <w:top w:val="nil"/>
              <w:left w:val="nil"/>
              <w:bottom w:val="single" w:sz="4" w:space="0" w:color="auto"/>
              <w:right w:val="single" w:sz="4" w:space="0" w:color="auto"/>
            </w:tcBorders>
          </w:tcPr>
          <w:p w:rsidR="00BB42F2" w:rsidRPr="007D5748" w:rsidRDefault="00BB42F2" w:rsidP="00BE020B">
            <w:pPr>
              <w:jc w:val="center"/>
              <w:rPr>
                <w:b/>
                <w:bCs/>
              </w:rPr>
            </w:pPr>
            <w:r>
              <w:rPr>
                <w:b/>
                <w:bCs/>
              </w:rPr>
              <w:t>0</w:t>
            </w:r>
          </w:p>
        </w:tc>
        <w:tc>
          <w:tcPr>
            <w:tcW w:w="1620" w:type="dxa"/>
            <w:gridSpan w:val="2"/>
            <w:tcBorders>
              <w:top w:val="nil"/>
              <w:left w:val="nil"/>
              <w:bottom w:val="single" w:sz="4" w:space="0" w:color="auto"/>
              <w:right w:val="single" w:sz="4" w:space="0" w:color="auto"/>
            </w:tcBorders>
            <w:noWrap/>
            <w:vAlign w:val="bottom"/>
          </w:tcPr>
          <w:p w:rsidR="00BB42F2" w:rsidRPr="007D5748" w:rsidRDefault="00BB42F2" w:rsidP="00BE020B">
            <w:pPr>
              <w:rPr>
                <w:b/>
                <w:bCs/>
              </w:rPr>
            </w:pPr>
            <w:r w:rsidRPr="007D5748">
              <w:rPr>
                <w:b/>
                <w:bCs/>
              </w:rPr>
              <w:t> </w:t>
            </w:r>
          </w:p>
        </w:tc>
      </w:tr>
      <w:tr w:rsidR="00BB42F2" w:rsidRPr="007D5748" w:rsidTr="00BE020B">
        <w:trPr>
          <w:trHeight w:val="255"/>
        </w:trPr>
        <w:tc>
          <w:tcPr>
            <w:tcW w:w="6188" w:type="dxa"/>
            <w:tcBorders>
              <w:top w:val="nil"/>
              <w:left w:val="single" w:sz="4" w:space="0" w:color="auto"/>
              <w:bottom w:val="single" w:sz="4" w:space="0" w:color="auto"/>
              <w:right w:val="single" w:sz="4" w:space="0" w:color="auto"/>
            </w:tcBorders>
          </w:tcPr>
          <w:p w:rsidR="00BB42F2" w:rsidRPr="007D5748" w:rsidRDefault="00BB42F2" w:rsidP="00BE020B">
            <w:r w:rsidRPr="007D5748">
              <w:rPr>
                <w:b/>
                <w:bCs/>
              </w:rPr>
              <w:t xml:space="preserve">   z toho vplyv na ŠR</w:t>
            </w:r>
          </w:p>
        </w:tc>
        <w:tc>
          <w:tcPr>
            <w:tcW w:w="1698" w:type="dxa"/>
            <w:tcBorders>
              <w:top w:val="nil"/>
              <w:left w:val="nil"/>
              <w:bottom w:val="single" w:sz="4" w:space="0" w:color="auto"/>
              <w:right w:val="single" w:sz="4" w:space="0" w:color="auto"/>
            </w:tcBorders>
          </w:tcPr>
          <w:p w:rsidR="00BB42F2" w:rsidRPr="007D5748" w:rsidRDefault="00BB42F2" w:rsidP="00BE020B">
            <w:pPr>
              <w:jc w:val="center"/>
              <w:rPr>
                <w:b/>
                <w:bCs/>
              </w:rPr>
            </w:pPr>
            <w:r>
              <w:rPr>
                <w:b/>
                <w:bCs/>
              </w:rPr>
              <w:t>0</w:t>
            </w:r>
          </w:p>
        </w:tc>
        <w:tc>
          <w:tcPr>
            <w:tcW w:w="1788" w:type="dxa"/>
            <w:tcBorders>
              <w:top w:val="nil"/>
              <w:left w:val="nil"/>
              <w:bottom w:val="single" w:sz="4" w:space="0" w:color="auto"/>
              <w:right w:val="single" w:sz="4" w:space="0" w:color="auto"/>
            </w:tcBorders>
          </w:tcPr>
          <w:p w:rsidR="00BB42F2" w:rsidRPr="007D5748" w:rsidRDefault="00BB42F2" w:rsidP="00BE020B">
            <w:pPr>
              <w:jc w:val="center"/>
              <w:rPr>
                <w:b/>
                <w:bCs/>
              </w:rPr>
            </w:pPr>
            <w:r>
              <w:rPr>
                <w:b/>
                <w:bCs/>
              </w:rPr>
              <w:t>0</w:t>
            </w:r>
          </w:p>
        </w:tc>
        <w:tc>
          <w:tcPr>
            <w:tcW w:w="2418" w:type="dxa"/>
            <w:gridSpan w:val="2"/>
            <w:tcBorders>
              <w:top w:val="nil"/>
              <w:left w:val="nil"/>
              <w:bottom w:val="single" w:sz="4" w:space="0" w:color="auto"/>
              <w:right w:val="single" w:sz="4" w:space="0" w:color="auto"/>
            </w:tcBorders>
          </w:tcPr>
          <w:p w:rsidR="00BB42F2" w:rsidRPr="007D5748" w:rsidRDefault="00BB42F2" w:rsidP="00BE020B">
            <w:pPr>
              <w:jc w:val="center"/>
              <w:rPr>
                <w:b/>
                <w:bCs/>
              </w:rPr>
            </w:pPr>
            <w:r>
              <w:rPr>
                <w:b/>
                <w:bCs/>
              </w:rPr>
              <w:t>0</w:t>
            </w:r>
          </w:p>
        </w:tc>
        <w:tc>
          <w:tcPr>
            <w:tcW w:w="1722" w:type="dxa"/>
            <w:tcBorders>
              <w:top w:val="nil"/>
              <w:left w:val="nil"/>
              <w:bottom w:val="single" w:sz="4" w:space="0" w:color="auto"/>
              <w:right w:val="single" w:sz="4" w:space="0" w:color="auto"/>
            </w:tcBorders>
          </w:tcPr>
          <w:p w:rsidR="00BB42F2" w:rsidRPr="007D5748" w:rsidRDefault="00BB42F2" w:rsidP="00BE020B">
            <w:pPr>
              <w:jc w:val="center"/>
              <w:rPr>
                <w:b/>
                <w:bCs/>
              </w:rPr>
            </w:pPr>
            <w:r>
              <w:rPr>
                <w:b/>
                <w:bCs/>
              </w:rPr>
              <w:t>0</w:t>
            </w:r>
          </w:p>
        </w:tc>
        <w:tc>
          <w:tcPr>
            <w:tcW w:w="1620" w:type="dxa"/>
            <w:gridSpan w:val="2"/>
            <w:tcBorders>
              <w:top w:val="nil"/>
              <w:left w:val="nil"/>
              <w:bottom w:val="single" w:sz="4" w:space="0" w:color="auto"/>
              <w:right w:val="single" w:sz="4" w:space="0" w:color="auto"/>
            </w:tcBorders>
            <w:noWrap/>
            <w:vAlign w:val="bottom"/>
          </w:tcPr>
          <w:p w:rsidR="00BB42F2" w:rsidRPr="007D5748" w:rsidRDefault="00BB42F2" w:rsidP="00BE020B">
            <w:r w:rsidRPr="007D5748">
              <w:t> </w:t>
            </w:r>
          </w:p>
        </w:tc>
      </w:tr>
      <w:tr w:rsidR="00BB42F2" w:rsidRPr="007D5748" w:rsidTr="00BE020B">
        <w:trPr>
          <w:trHeight w:val="255"/>
        </w:trPr>
        <w:tc>
          <w:tcPr>
            <w:tcW w:w="6188" w:type="dxa"/>
            <w:tcBorders>
              <w:top w:val="nil"/>
              <w:left w:val="nil"/>
              <w:bottom w:val="nil"/>
              <w:right w:val="nil"/>
            </w:tcBorders>
            <w:noWrap/>
            <w:vAlign w:val="bottom"/>
          </w:tcPr>
          <w:p w:rsidR="00BB42F2" w:rsidRPr="007D5748" w:rsidRDefault="00BB42F2" w:rsidP="00BE020B"/>
        </w:tc>
        <w:tc>
          <w:tcPr>
            <w:tcW w:w="1698" w:type="dxa"/>
            <w:tcBorders>
              <w:top w:val="nil"/>
              <w:left w:val="nil"/>
              <w:bottom w:val="nil"/>
              <w:right w:val="nil"/>
            </w:tcBorders>
            <w:noWrap/>
            <w:vAlign w:val="bottom"/>
          </w:tcPr>
          <w:p w:rsidR="00BB42F2" w:rsidRPr="007D5748" w:rsidRDefault="00BB42F2" w:rsidP="00BE020B"/>
        </w:tc>
        <w:tc>
          <w:tcPr>
            <w:tcW w:w="1788" w:type="dxa"/>
            <w:tcBorders>
              <w:top w:val="nil"/>
              <w:left w:val="nil"/>
              <w:bottom w:val="nil"/>
              <w:right w:val="nil"/>
            </w:tcBorders>
            <w:noWrap/>
            <w:vAlign w:val="bottom"/>
          </w:tcPr>
          <w:p w:rsidR="00BB42F2" w:rsidRPr="007D5748" w:rsidRDefault="00BB42F2" w:rsidP="00BE020B"/>
        </w:tc>
        <w:tc>
          <w:tcPr>
            <w:tcW w:w="2418" w:type="dxa"/>
            <w:gridSpan w:val="2"/>
            <w:tcBorders>
              <w:top w:val="nil"/>
              <w:left w:val="nil"/>
              <w:bottom w:val="nil"/>
              <w:right w:val="nil"/>
            </w:tcBorders>
            <w:noWrap/>
            <w:vAlign w:val="bottom"/>
          </w:tcPr>
          <w:p w:rsidR="00BB42F2" w:rsidRPr="007D5748" w:rsidRDefault="00BB42F2" w:rsidP="00BE020B"/>
        </w:tc>
        <w:tc>
          <w:tcPr>
            <w:tcW w:w="1722" w:type="dxa"/>
            <w:tcBorders>
              <w:top w:val="nil"/>
              <w:left w:val="nil"/>
              <w:bottom w:val="nil"/>
              <w:right w:val="nil"/>
            </w:tcBorders>
            <w:noWrap/>
            <w:vAlign w:val="bottom"/>
          </w:tcPr>
          <w:p w:rsidR="00BB42F2" w:rsidRPr="007D5748" w:rsidRDefault="00BB42F2" w:rsidP="00BE020B"/>
        </w:tc>
        <w:tc>
          <w:tcPr>
            <w:tcW w:w="1620" w:type="dxa"/>
            <w:gridSpan w:val="2"/>
            <w:tcBorders>
              <w:top w:val="nil"/>
              <w:left w:val="nil"/>
              <w:bottom w:val="nil"/>
              <w:right w:val="nil"/>
            </w:tcBorders>
            <w:noWrap/>
            <w:vAlign w:val="bottom"/>
          </w:tcPr>
          <w:p w:rsidR="00BB42F2" w:rsidRPr="007D5748" w:rsidRDefault="00BB42F2" w:rsidP="00BE020B"/>
        </w:tc>
      </w:tr>
      <w:tr w:rsidR="00BB42F2" w:rsidRPr="007D5748" w:rsidTr="00BE020B">
        <w:trPr>
          <w:trHeight w:val="255"/>
        </w:trPr>
        <w:tc>
          <w:tcPr>
            <w:tcW w:w="6188" w:type="dxa"/>
            <w:tcBorders>
              <w:top w:val="nil"/>
              <w:left w:val="nil"/>
              <w:bottom w:val="nil"/>
              <w:right w:val="nil"/>
            </w:tcBorders>
          </w:tcPr>
          <w:p w:rsidR="00BB42F2" w:rsidRPr="000E09D2" w:rsidRDefault="00BB42F2" w:rsidP="00BE020B">
            <w:pPr>
              <w:rPr>
                <w:b/>
                <w:bCs/>
                <w:sz w:val="20"/>
                <w:szCs w:val="20"/>
              </w:rPr>
            </w:pPr>
            <w:r w:rsidRPr="000E09D2">
              <w:rPr>
                <w:b/>
                <w:bCs/>
                <w:sz w:val="20"/>
                <w:szCs w:val="20"/>
              </w:rPr>
              <w:t>Poznámky:</w:t>
            </w:r>
          </w:p>
        </w:tc>
        <w:tc>
          <w:tcPr>
            <w:tcW w:w="1698" w:type="dxa"/>
            <w:tcBorders>
              <w:top w:val="nil"/>
              <w:left w:val="nil"/>
              <w:bottom w:val="nil"/>
              <w:right w:val="nil"/>
            </w:tcBorders>
            <w:noWrap/>
            <w:vAlign w:val="bottom"/>
          </w:tcPr>
          <w:p w:rsidR="00BB42F2" w:rsidRPr="000E09D2" w:rsidRDefault="00BB42F2" w:rsidP="00BE020B">
            <w:pPr>
              <w:rPr>
                <w:sz w:val="20"/>
                <w:szCs w:val="20"/>
              </w:rPr>
            </w:pPr>
          </w:p>
        </w:tc>
        <w:tc>
          <w:tcPr>
            <w:tcW w:w="1788" w:type="dxa"/>
            <w:tcBorders>
              <w:top w:val="nil"/>
              <w:left w:val="nil"/>
              <w:bottom w:val="nil"/>
              <w:right w:val="nil"/>
            </w:tcBorders>
            <w:noWrap/>
            <w:vAlign w:val="bottom"/>
          </w:tcPr>
          <w:p w:rsidR="00BB42F2" w:rsidRPr="000E09D2" w:rsidRDefault="00BB42F2" w:rsidP="00BE020B">
            <w:pPr>
              <w:rPr>
                <w:sz w:val="20"/>
                <w:szCs w:val="20"/>
              </w:rPr>
            </w:pPr>
          </w:p>
        </w:tc>
        <w:tc>
          <w:tcPr>
            <w:tcW w:w="2418" w:type="dxa"/>
            <w:gridSpan w:val="2"/>
            <w:tcBorders>
              <w:top w:val="nil"/>
              <w:left w:val="nil"/>
              <w:bottom w:val="nil"/>
              <w:right w:val="nil"/>
            </w:tcBorders>
            <w:noWrap/>
            <w:vAlign w:val="bottom"/>
          </w:tcPr>
          <w:p w:rsidR="00BB42F2" w:rsidRPr="000E09D2" w:rsidRDefault="00BB42F2" w:rsidP="00BE020B">
            <w:pPr>
              <w:rPr>
                <w:sz w:val="20"/>
                <w:szCs w:val="20"/>
              </w:rPr>
            </w:pPr>
          </w:p>
        </w:tc>
        <w:tc>
          <w:tcPr>
            <w:tcW w:w="1722" w:type="dxa"/>
            <w:tcBorders>
              <w:top w:val="nil"/>
              <w:left w:val="nil"/>
              <w:bottom w:val="nil"/>
              <w:right w:val="nil"/>
            </w:tcBorders>
            <w:noWrap/>
            <w:vAlign w:val="bottom"/>
          </w:tcPr>
          <w:p w:rsidR="00BB42F2" w:rsidRPr="007D5748" w:rsidRDefault="00BB42F2" w:rsidP="00BE020B"/>
        </w:tc>
        <w:tc>
          <w:tcPr>
            <w:tcW w:w="1620" w:type="dxa"/>
            <w:gridSpan w:val="2"/>
            <w:tcBorders>
              <w:top w:val="nil"/>
              <w:left w:val="nil"/>
              <w:bottom w:val="nil"/>
              <w:right w:val="nil"/>
            </w:tcBorders>
            <w:noWrap/>
            <w:vAlign w:val="bottom"/>
          </w:tcPr>
          <w:p w:rsidR="00BB42F2" w:rsidRPr="007D5748" w:rsidRDefault="00BB42F2" w:rsidP="00BE020B"/>
        </w:tc>
      </w:tr>
      <w:tr w:rsidR="00BB42F2" w:rsidRPr="007D5748" w:rsidTr="00BE020B">
        <w:trPr>
          <w:trHeight w:val="255"/>
        </w:trPr>
        <w:tc>
          <w:tcPr>
            <w:tcW w:w="13814" w:type="dxa"/>
            <w:gridSpan w:val="6"/>
            <w:tcBorders>
              <w:top w:val="nil"/>
              <w:left w:val="nil"/>
              <w:bottom w:val="nil"/>
              <w:right w:val="nil"/>
            </w:tcBorders>
            <w:noWrap/>
          </w:tcPr>
          <w:p w:rsidR="00BB42F2" w:rsidRPr="000E09D2" w:rsidRDefault="00BB42F2" w:rsidP="00BE020B">
            <w:pPr>
              <w:tabs>
                <w:tab w:val="num" w:pos="1080"/>
              </w:tabs>
              <w:jc w:val="both"/>
              <w:rPr>
                <w:bCs/>
                <w:sz w:val="20"/>
                <w:szCs w:val="20"/>
              </w:rPr>
            </w:pPr>
            <w:r w:rsidRPr="000E09D2">
              <w:rPr>
                <w:bCs/>
                <w:sz w:val="20"/>
                <w:szCs w:val="20"/>
              </w:rPr>
              <w:t>Ak sa vplyv týka viacerých subjektov verejnej správy, vypĺňa sa samostatná tabuľka za každý subjekt. Ak sa týka rôznych skupín zamestnancov, je potrebné počty, mzdy a poistné rozpísať samostatne podľa spôsobu odmeňovania (napr. policajti, colníci ...).</w:t>
            </w:r>
          </w:p>
          <w:p w:rsidR="00BB42F2" w:rsidRPr="000E09D2" w:rsidRDefault="00BB42F2" w:rsidP="00BE020B">
            <w:pPr>
              <w:rPr>
                <w:sz w:val="20"/>
                <w:szCs w:val="20"/>
              </w:rPr>
            </w:pPr>
            <w:r w:rsidRPr="000E09D2">
              <w:rPr>
                <w:sz w:val="20"/>
                <w:szCs w:val="20"/>
              </w:rPr>
              <w:t>Priemerný mzdový výdavok je tvorený podielom mzdových výdavkov na jedného zamestnanca na jeden kalendárny mesiac bežného roka.</w:t>
            </w:r>
          </w:p>
        </w:tc>
        <w:tc>
          <w:tcPr>
            <w:tcW w:w="1620" w:type="dxa"/>
            <w:gridSpan w:val="2"/>
            <w:tcBorders>
              <w:top w:val="nil"/>
              <w:left w:val="nil"/>
              <w:bottom w:val="nil"/>
              <w:right w:val="nil"/>
            </w:tcBorders>
            <w:noWrap/>
            <w:vAlign w:val="bottom"/>
          </w:tcPr>
          <w:p w:rsidR="00BB42F2" w:rsidRPr="007D5748" w:rsidRDefault="00BB42F2" w:rsidP="00BE020B"/>
        </w:tc>
      </w:tr>
      <w:tr w:rsidR="00BB42F2" w:rsidRPr="007D5748" w:rsidTr="00BE020B">
        <w:trPr>
          <w:trHeight w:val="255"/>
        </w:trPr>
        <w:tc>
          <w:tcPr>
            <w:tcW w:w="10394" w:type="dxa"/>
            <w:gridSpan w:val="4"/>
            <w:tcBorders>
              <w:top w:val="nil"/>
              <w:left w:val="nil"/>
              <w:bottom w:val="nil"/>
              <w:right w:val="nil"/>
            </w:tcBorders>
            <w:noWrap/>
            <w:vAlign w:val="bottom"/>
          </w:tcPr>
          <w:p w:rsidR="00BB42F2" w:rsidRPr="000E09D2" w:rsidRDefault="00BB42F2" w:rsidP="00BE020B">
            <w:pPr>
              <w:rPr>
                <w:sz w:val="20"/>
                <w:szCs w:val="20"/>
              </w:rPr>
            </w:pPr>
            <w:r w:rsidRPr="000E09D2">
              <w:rPr>
                <w:sz w:val="20"/>
                <w:szCs w:val="20"/>
              </w:rPr>
              <w:t>Kategórie 610 a 620 sú z tejto prílohy prenášané do príslušných kategórií prílohy „výdavky“.</w:t>
            </w:r>
          </w:p>
          <w:p w:rsidR="00BB42F2" w:rsidRPr="000E09D2" w:rsidRDefault="00BB42F2" w:rsidP="00BE020B">
            <w:pPr>
              <w:rPr>
                <w:sz w:val="20"/>
                <w:szCs w:val="20"/>
              </w:rPr>
            </w:pPr>
          </w:p>
          <w:p w:rsidR="00BB42F2" w:rsidRPr="000E09D2" w:rsidRDefault="00BB42F2" w:rsidP="00BE020B">
            <w:pPr>
              <w:rPr>
                <w:sz w:val="20"/>
                <w:szCs w:val="20"/>
              </w:rPr>
            </w:pPr>
          </w:p>
          <w:p w:rsidR="00BB42F2" w:rsidRPr="000E09D2" w:rsidRDefault="00BB42F2" w:rsidP="00BE020B">
            <w:pPr>
              <w:rPr>
                <w:sz w:val="20"/>
                <w:szCs w:val="20"/>
              </w:rPr>
            </w:pPr>
          </w:p>
          <w:p w:rsidR="00BB42F2" w:rsidRPr="000E09D2" w:rsidRDefault="00BB42F2" w:rsidP="00BE020B">
            <w:pPr>
              <w:rPr>
                <w:sz w:val="20"/>
                <w:szCs w:val="20"/>
              </w:rPr>
            </w:pPr>
          </w:p>
        </w:tc>
        <w:tc>
          <w:tcPr>
            <w:tcW w:w="1698" w:type="dxa"/>
            <w:tcBorders>
              <w:top w:val="nil"/>
              <w:left w:val="nil"/>
              <w:bottom w:val="nil"/>
              <w:right w:val="nil"/>
            </w:tcBorders>
            <w:noWrap/>
            <w:vAlign w:val="bottom"/>
          </w:tcPr>
          <w:p w:rsidR="00BB42F2" w:rsidRPr="007D5748" w:rsidRDefault="00BB42F2" w:rsidP="00BE020B"/>
        </w:tc>
        <w:tc>
          <w:tcPr>
            <w:tcW w:w="2352" w:type="dxa"/>
            <w:gridSpan w:val="2"/>
            <w:tcBorders>
              <w:top w:val="nil"/>
              <w:left w:val="nil"/>
              <w:bottom w:val="nil"/>
              <w:right w:val="nil"/>
            </w:tcBorders>
            <w:noWrap/>
            <w:vAlign w:val="bottom"/>
          </w:tcPr>
          <w:p w:rsidR="00BB42F2" w:rsidRPr="007D5748" w:rsidRDefault="00BB42F2" w:rsidP="00BE020B"/>
        </w:tc>
        <w:tc>
          <w:tcPr>
            <w:tcW w:w="990" w:type="dxa"/>
            <w:tcBorders>
              <w:top w:val="nil"/>
              <w:left w:val="nil"/>
              <w:bottom w:val="nil"/>
              <w:right w:val="nil"/>
            </w:tcBorders>
            <w:noWrap/>
            <w:vAlign w:val="bottom"/>
          </w:tcPr>
          <w:p w:rsidR="00BB42F2" w:rsidRPr="007D5748" w:rsidRDefault="00BB42F2" w:rsidP="00BE020B"/>
        </w:tc>
      </w:tr>
    </w:tbl>
    <w:p w:rsidR="00BB42F2" w:rsidRPr="007D5748" w:rsidRDefault="00BB42F2" w:rsidP="00BB42F2">
      <w:pPr>
        <w:rPr>
          <w:b/>
          <w:bCs/>
        </w:rPr>
        <w:sectPr w:rsidR="00BB42F2" w:rsidRPr="007D5748">
          <w:pgSz w:w="16838" w:h="11906" w:orient="landscape"/>
          <w:pgMar w:top="1418" w:right="1418" w:bottom="1418" w:left="1418" w:header="709" w:footer="709" w:gutter="0"/>
          <w:cols w:space="708"/>
          <w:docGrid w:linePitch="360"/>
        </w:sectPr>
      </w:pPr>
    </w:p>
    <w:tbl>
      <w:tblPr>
        <w:tblStyle w:val="Mriekatabuky"/>
        <w:tblW w:w="0" w:type="auto"/>
        <w:tblLook w:val="04A0" w:firstRow="1" w:lastRow="0" w:firstColumn="1" w:lastColumn="0" w:noHBand="0" w:noVBand="1"/>
      </w:tblPr>
      <w:tblGrid>
        <w:gridCol w:w="9060"/>
      </w:tblGrid>
      <w:tr w:rsidR="00BB42F2" w:rsidRPr="003C289B" w:rsidTr="00BE020B">
        <w:trPr>
          <w:trHeight w:val="567"/>
        </w:trPr>
        <w:tc>
          <w:tcPr>
            <w:tcW w:w="9212" w:type="dxa"/>
            <w:shd w:val="clear" w:color="auto" w:fill="D9D9D9" w:themeFill="background1" w:themeFillShade="D9"/>
          </w:tcPr>
          <w:p w:rsidR="00BB42F2" w:rsidRPr="003C289B" w:rsidRDefault="00BB42F2" w:rsidP="00BE020B">
            <w:pPr>
              <w:jc w:val="center"/>
              <w:rPr>
                <w:rFonts w:ascii="Times New Roman" w:hAnsi="Times New Roman"/>
                <w:b/>
              </w:rPr>
            </w:pPr>
            <w:r w:rsidRPr="003C289B">
              <w:rPr>
                <w:rFonts w:ascii="Times New Roman" w:hAnsi="Times New Roman"/>
                <w:b/>
                <w:sz w:val="28"/>
              </w:rPr>
              <w:lastRenderedPageBreak/>
              <w:t xml:space="preserve">Analýza vplyvov na podnikateľské prostredie </w:t>
            </w:r>
          </w:p>
          <w:p w:rsidR="00BB42F2" w:rsidRPr="003C289B" w:rsidRDefault="00BB42F2" w:rsidP="00BE020B">
            <w:pPr>
              <w:jc w:val="center"/>
              <w:rPr>
                <w:rFonts w:ascii="Times New Roman" w:hAnsi="Times New Roman"/>
                <w:b/>
              </w:rPr>
            </w:pPr>
            <w:r w:rsidRPr="003C289B">
              <w:rPr>
                <w:rFonts w:ascii="Times New Roman" w:hAnsi="Times New Roman"/>
                <w:b/>
              </w:rPr>
              <w:t>(vrátane testu MSP)</w:t>
            </w:r>
          </w:p>
        </w:tc>
      </w:tr>
      <w:tr w:rsidR="00BB42F2" w:rsidRPr="003C289B" w:rsidTr="00BE020B">
        <w:trPr>
          <w:trHeight w:val="567"/>
        </w:trPr>
        <w:tc>
          <w:tcPr>
            <w:tcW w:w="9212" w:type="dxa"/>
            <w:shd w:val="clear" w:color="auto" w:fill="D9D9D9" w:themeFill="background1" w:themeFillShade="D9"/>
          </w:tcPr>
          <w:p w:rsidR="00BB42F2" w:rsidRPr="003C289B" w:rsidRDefault="00BB42F2" w:rsidP="00BE020B">
            <w:pPr>
              <w:rPr>
                <w:rFonts w:ascii="Times New Roman" w:hAnsi="Times New Roman"/>
                <w:b/>
              </w:rPr>
            </w:pPr>
            <w:r w:rsidRPr="003C289B">
              <w:rPr>
                <w:rFonts w:ascii="Times New Roman" w:hAnsi="Times New Roman"/>
                <w:b/>
              </w:rPr>
              <w:t>Materiál bude mať vplyv s ohľadom na veľkostnú kategóriu podnikov:</w:t>
            </w:r>
          </w:p>
        </w:tc>
      </w:tr>
      <w:tr w:rsidR="00BB42F2" w:rsidRPr="003C289B" w:rsidTr="00BE020B">
        <w:trPr>
          <w:trHeight w:val="567"/>
        </w:trPr>
        <w:tc>
          <w:tcPr>
            <w:tcW w:w="9212" w:type="dxa"/>
          </w:tcPr>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8408"/>
            </w:tblGrid>
            <w:tr w:rsidR="00BB42F2" w:rsidRPr="003C289B" w:rsidTr="00BE020B">
              <w:tc>
                <w:tcPr>
                  <w:tcW w:w="436" w:type="dxa"/>
                </w:tcPr>
                <w:p w:rsidR="00BB42F2" w:rsidRPr="003C289B" w:rsidRDefault="00BB42F2" w:rsidP="00BE020B">
                  <w:pPr>
                    <w:jc w:val="center"/>
                    <w:rPr>
                      <w:rFonts w:ascii="Times New Roman" w:hAnsi="Times New Roman"/>
                    </w:rPr>
                  </w:pPr>
                  <w:r w:rsidRPr="003C289B">
                    <w:rPr>
                      <w:rFonts w:ascii="Segoe UI Symbol" w:eastAsia="MS Mincho" w:hAnsi="Segoe UI Symbol" w:cs="Segoe UI Symbol"/>
                    </w:rPr>
                    <w:t>☐</w:t>
                  </w:r>
                </w:p>
              </w:tc>
              <w:tc>
                <w:tcPr>
                  <w:tcW w:w="8545" w:type="dxa"/>
                </w:tcPr>
                <w:p w:rsidR="00BB42F2" w:rsidRPr="003C289B" w:rsidRDefault="00BB42F2" w:rsidP="00BE020B">
                  <w:pPr>
                    <w:rPr>
                      <w:rFonts w:ascii="Times New Roman" w:hAnsi="Times New Roman"/>
                      <w:b/>
                    </w:rPr>
                  </w:pPr>
                  <w:r w:rsidRPr="003C289B">
                    <w:rPr>
                      <w:rFonts w:ascii="Times New Roman" w:hAnsi="Times New Roman"/>
                      <w:b/>
                    </w:rPr>
                    <w:t xml:space="preserve">iba na MSP (0 - 249 zamestnancov) </w:t>
                  </w:r>
                </w:p>
              </w:tc>
            </w:tr>
            <w:tr w:rsidR="00BB42F2" w:rsidRPr="003C289B" w:rsidTr="00BE020B">
              <w:tc>
                <w:tcPr>
                  <w:tcW w:w="436" w:type="dxa"/>
                </w:tcPr>
                <w:p w:rsidR="00BB42F2" w:rsidRPr="003C289B" w:rsidRDefault="00BB42F2" w:rsidP="00BE020B">
                  <w:pPr>
                    <w:jc w:val="center"/>
                    <w:rPr>
                      <w:rFonts w:ascii="Times New Roman" w:hAnsi="Times New Roman"/>
                    </w:rPr>
                  </w:pPr>
                  <w:r w:rsidRPr="003C289B">
                    <w:rPr>
                      <w:rFonts w:ascii="Segoe UI Symbol" w:eastAsia="MS Mincho" w:hAnsi="Segoe UI Symbol" w:cs="Segoe UI Symbol"/>
                    </w:rPr>
                    <w:t>☐</w:t>
                  </w:r>
                </w:p>
              </w:tc>
              <w:tc>
                <w:tcPr>
                  <w:tcW w:w="8545" w:type="dxa"/>
                </w:tcPr>
                <w:p w:rsidR="00BB42F2" w:rsidRPr="003C289B" w:rsidRDefault="00BB42F2" w:rsidP="00BE020B">
                  <w:pPr>
                    <w:rPr>
                      <w:rFonts w:ascii="Times New Roman" w:hAnsi="Times New Roman"/>
                      <w:b/>
                    </w:rPr>
                  </w:pPr>
                  <w:r w:rsidRPr="003C289B">
                    <w:rPr>
                      <w:rFonts w:ascii="Times New Roman" w:hAnsi="Times New Roman"/>
                      <w:b/>
                    </w:rPr>
                    <w:t>iba na veľké podniky (250 a viac zamestnancov)</w:t>
                  </w:r>
                </w:p>
              </w:tc>
            </w:tr>
            <w:tr w:rsidR="00BB42F2" w:rsidRPr="003C289B" w:rsidTr="00BE020B">
              <w:tc>
                <w:tcPr>
                  <w:tcW w:w="436" w:type="dxa"/>
                </w:tcPr>
                <w:p w:rsidR="00BB42F2" w:rsidRPr="003C289B" w:rsidRDefault="00BB42F2" w:rsidP="00BE020B">
                  <w:pPr>
                    <w:jc w:val="center"/>
                    <w:rPr>
                      <w:rFonts w:ascii="Times New Roman" w:hAnsi="Times New Roman"/>
                    </w:rPr>
                  </w:pPr>
                  <w:r w:rsidRPr="003C289B">
                    <w:rPr>
                      <w:rFonts w:ascii="Segoe UI Symbol" w:eastAsia="MS Gothic" w:hAnsi="Segoe UI Symbol" w:cs="Segoe UI Symbol"/>
                    </w:rPr>
                    <w:t>☒</w:t>
                  </w:r>
                </w:p>
              </w:tc>
              <w:tc>
                <w:tcPr>
                  <w:tcW w:w="8545" w:type="dxa"/>
                </w:tcPr>
                <w:p w:rsidR="00BB42F2" w:rsidRPr="003C289B" w:rsidRDefault="00BB42F2" w:rsidP="00BE020B">
                  <w:pPr>
                    <w:rPr>
                      <w:rFonts w:ascii="Times New Roman" w:hAnsi="Times New Roman"/>
                    </w:rPr>
                  </w:pPr>
                  <w:r w:rsidRPr="003C289B">
                    <w:rPr>
                      <w:rFonts w:ascii="Times New Roman" w:hAnsi="Times New Roman"/>
                      <w:b/>
                    </w:rPr>
                    <w:t>na všetky kategórie podnikov</w:t>
                  </w:r>
                </w:p>
              </w:tc>
            </w:tr>
          </w:tbl>
          <w:p w:rsidR="00BB42F2" w:rsidRPr="003C289B" w:rsidRDefault="00BB42F2" w:rsidP="00BE020B">
            <w:pPr>
              <w:rPr>
                <w:rFonts w:ascii="Times New Roman" w:hAnsi="Times New Roman"/>
                <w:b/>
              </w:rPr>
            </w:pPr>
          </w:p>
        </w:tc>
      </w:tr>
      <w:tr w:rsidR="00BB42F2" w:rsidRPr="003C289B" w:rsidTr="00BE020B">
        <w:tc>
          <w:tcPr>
            <w:tcW w:w="9212" w:type="dxa"/>
            <w:shd w:val="clear" w:color="auto" w:fill="D9D9D9" w:themeFill="background1" w:themeFillShade="D9"/>
          </w:tcPr>
          <w:p w:rsidR="00BB42F2" w:rsidRPr="003C289B" w:rsidRDefault="00BB42F2" w:rsidP="00BE020B">
            <w:pPr>
              <w:rPr>
                <w:rFonts w:ascii="Times New Roman" w:hAnsi="Times New Roman"/>
                <w:b/>
              </w:rPr>
            </w:pPr>
            <w:r w:rsidRPr="003C289B">
              <w:rPr>
                <w:rFonts w:ascii="Times New Roman" w:hAnsi="Times New Roman"/>
                <w:b/>
              </w:rPr>
              <w:t>3.1 Dotknuté podnikateľské subjekty</w:t>
            </w:r>
          </w:p>
          <w:p w:rsidR="00BB42F2" w:rsidRPr="003C289B" w:rsidRDefault="00BB42F2" w:rsidP="00BE020B">
            <w:pPr>
              <w:ind w:left="284"/>
              <w:rPr>
                <w:rFonts w:ascii="Times New Roman" w:hAnsi="Times New Roman"/>
                <w:b/>
              </w:rPr>
            </w:pPr>
            <w:r w:rsidRPr="003C289B">
              <w:rPr>
                <w:rFonts w:ascii="Times New Roman" w:hAnsi="Times New Roman"/>
              </w:rPr>
              <w:t xml:space="preserve"> - </w:t>
            </w:r>
            <w:r w:rsidRPr="003C289B">
              <w:rPr>
                <w:rFonts w:ascii="Times New Roman" w:hAnsi="Times New Roman"/>
                <w:b/>
              </w:rPr>
              <w:t>z toho MSP</w:t>
            </w:r>
          </w:p>
        </w:tc>
      </w:tr>
      <w:tr w:rsidR="00BB42F2" w:rsidRPr="003C289B" w:rsidTr="00BE020B">
        <w:tc>
          <w:tcPr>
            <w:tcW w:w="9212" w:type="dxa"/>
          </w:tcPr>
          <w:p w:rsidR="00BB42F2" w:rsidRPr="003C289B" w:rsidRDefault="00BB42F2" w:rsidP="00BE020B">
            <w:pPr>
              <w:jc w:val="both"/>
              <w:rPr>
                <w:rFonts w:ascii="Times New Roman" w:hAnsi="Times New Roman"/>
                <w:i/>
              </w:rPr>
            </w:pPr>
            <w:r w:rsidRPr="003C289B">
              <w:rPr>
                <w:rFonts w:ascii="Times New Roman" w:hAnsi="Times New Roman"/>
                <w:i/>
              </w:rPr>
              <w:t>Uveďte, aké podnikateľské subjekty budú predkladaným návrhom ovplyvnené.</w:t>
            </w:r>
          </w:p>
          <w:p w:rsidR="00BB42F2" w:rsidRPr="003C289B" w:rsidRDefault="00BB42F2" w:rsidP="00BE020B">
            <w:pPr>
              <w:jc w:val="both"/>
              <w:rPr>
                <w:rFonts w:ascii="Times New Roman" w:hAnsi="Times New Roman"/>
                <w:i/>
              </w:rPr>
            </w:pPr>
            <w:r w:rsidRPr="003C289B">
              <w:rPr>
                <w:rFonts w:ascii="Times New Roman" w:hAnsi="Times New Roman"/>
                <w:i/>
              </w:rPr>
              <w:t>Aký je ich počet?</w:t>
            </w:r>
          </w:p>
        </w:tc>
      </w:tr>
      <w:tr w:rsidR="00BB42F2" w:rsidRPr="003C289B" w:rsidTr="00BE020B">
        <w:trPr>
          <w:trHeight w:val="637"/>
        </w:trPr>
        <w:tc>
          <w:tcPr>
            <w:tcW w:w="9212" w:type="dxa"/>
          </w:tcPr>
          <w:p w:rsidR="00BB42F2" w:rsidRPr="00E1634A" w:rsidRDefault="00BB42F2" w:rsidP="00BE020B">
            <w:pPr>
              <w:rPr>
                <w:rFonts w:ascii="Times New Roman" w:hAnsi="Times New Roman"/>
                <w:b/>
                <w:sz w:val="20"/>
                <w:szCs w:val="20"/>
              </w:rPr>
            </w:pPr>
            <w:r w:rsidRPr="00E1634A">
              <w:rPr>
                <w:rFonts w:ascii="Times New Roman" w:hAnsi="Times New Roman"/>
                <w:b/>
                <w:sz w:val="20"/>
                <w:szCs w:val="20"/>
              </w:rPr>
              <w:t>Čl. I</w:t>
            </w:r>
          </w:p>
          <w:p w:rsidR="00BB42F2" w:rsidRPr="00E1634A" w:rsidRDefault="00BB42F2" w:rsidP="00BE020B">
            <w:pPr>
              <w:jc w:val="both"/>
              <w:rPr>
                <w:rFonts w:ascii="Times New Roman" w:hAnsi="Times New Roman"/>
                <w:sz w:val="20"/>
                <w:szCs w:val="20"/>
              </w:rPr>
            </w:pPr>
            <w:r w:rsidRPr="00E1634A">
              <w:rPr>
                <w:rFonts w:ascii="Times New Roman" w:hAnsi="Times New Roman"/>
                <w:sz w:val="20"/>
                <w:szCs w:val="20"/>
              </w:rPr>
              <w:t>Všeobecne sa predpokladá, že návrh zákona ovplyvní tie podnikateľské subjekty, ktoré uvádzajú minerálne oleje na daňovom území do daňového voľného obehu. Predovšetkým tie subjekty, ktoré sú registrované a evidované colnými úradmi podľa príslušných ustanovení zákona o spotrebnej dani z minerálneho oleja. Predpokladaný počet dotknutých subjektov je na základe evidencie Finančného riaditeľstva Slovenskej republiky cca 50 podnikateľských subjektov.</w:t>
            </w:r>
          </w:p>
          <w:p w:rsidR="00BB42F2" w:rsidRDefault="00BB42F2" w:rsidP="00BE020B">
            <w:pPr>
              <w:rPr>
                <w:rFonts w:ascii="Times New Roman" w:hAnsi="Times New Roman"/>
                <w:b/>
                <w:sz w:val="20"/>
                <w:szCs w:val="20"/>
              </w:rPr>
            </w:pPr>
          </w:p>
          <w:p w:rsidR="00BB42F2" w:rsidRPr="00E1634A" w:rsidRDefault="00BB42F2" w:rsidP="00BE020B">
            <w:pPr>
              <w:rPr>
                <w:rFonts w:ascii="Times New Roman" w:hAnsi="Times New Roman"/>
                <w:b/>
                <w:sz w:val="20"/>
                <w:szCs w:val="20"/>
              </w:rPr>
            </w:pPr>
            <w:r w:rsidRPr="00E1634A">
              <w:rPr>
                <w:rFonts w:ascii="Times New Roman" w:hAnsi="Times New Roman"/>
                <w:b/>
                <w:sz w:val="20"/>
                <w:szCs w:val="20"/>
              </w:rPr>
              <w:t>Čl. I</w:t>
            </w:r>
            <w:r>
              <w:rPr>
                <w:rFonts w:ascii="Times New Roman" w:hAnsi="Times New Roman"/>
                <w:b/>
                <w:sz w:val="20"/>
                <w:szCs w:val="20"/>
              </w:rPr>
              <w:t>I</w:t>
            </w:r>
          </w:p>
          <w:p w:rsidR="00BB42F2" w:rsidRPr="00E1634A" w:rsidRDefault="00BB42F2" w:rsidP="00BE020B">
            <w:pPr>
              <w:jc w:val="both"/>
              <w:rPr>
                <w:rFonts w:ascii="Times New Roman" w:hAnsi="Times New Roman"/>
                <w:sz w:val="20"/>
                <w:szCs w:val="20"/>
              </w:rPr>
            </w:pPr>
            <w:r w:rsidRPr="00E1634A">
              <w:rPr>
                <w:rFonts w:ascii="Times New Roman" w:hAnsi="Times New Roman"/>
                <w:sz w:val="20"/>
                <w:szCs w:val="20"/>
              </w:rPr>
              <w:t>Všeobecne sa predpokladá, že návrh zákona ovplyvní tie podnikateľské subjekty, ktoré vyrábajú a predávajú výživové doplnky. Počet dotknutých subjektov nie je možné určiť.</w:t>
            </w:r>
          </w:p>
          <w:p w:rsidR="00BB42F2" w:rsidRPr="003C289B" w:rsidRDefault="00BB42F2" w:rsidP="00BE020B">
            <w:pPr>
              <w:jc w:val="both"/>
              <w:rPr>
                <w:rFonts w:ascii="Times New Roman" w:hAnsi="Times New Roman"/>
              </w:rPr>
            </w:pPr>
          </w:p>
        </w:tc>
      </w:tr>
      <w:tr w:rsidR="00BB42F2" w:rsidRPr="003C289B" w:rsidTr="00BE020B">
        <w:trPr>
          <w:trHeight w:val="339"/>
        </w:trPr>
        <w:tc>
          <w:tcPr>
            <w:tcW w:w="9212" w:type="dxa"/>
            <w:shd w:val="clear" w:color="auto" w:fill="D9D9D9" w:themeFill="background1" w:themeFillShade="D9"/>
          </w:tcPr>
          <w:p w:rsidR="00BB42F2" w:rsidRPr="003C289B" w:rsidRDefault="00BB42F2" w:rsidP="00BE020B">
            <w:pPr>
              <w:rPr>
                <w:rFonts w:ascii="Times New Roman" w:hAnsi="Times New Roman"/>
                <w:b/>
              </w:rPr>
            </w:pPr>
            <w:r w:rsidRPr="003C289B">
              <w:rPr>
                <w:rFonts w:ascii="Times New Roman" w:hAnsi="Times New Roman"/>
                <w:b/>
              </w:rPr>
              <w:t>3.2 Vyhodnotenie konzultácií</w:t>
            </w:r>
          </w:p>
          <w:p w:rsidR="00BB42F2" w:rsidRPr="003C289B" w:rsidRDefault="00BB42F2" w:rsidP="00BE020B">
            <w:pPr>
              <w:rPr>
                <w:rFonts w:ascii="Times New Roman" w:hAnsi="Times New Roman"/>
                <w:b/>
              </w:rPr>
            </w:pPr>
            <w:r w:rsidRPr="003C289B">
              <w:rPr>
                <w:rFonts w:ascii="Times New Roman" w:hAnsi="Times New Roman"/>
              </w:rPr>
              <w:t xml:space="preserve">       - </w:t>
            </w:r>
            <w:r w:rsidRPr="003C289B">
              <w:rPr>
                <w:rFonts w:ascii="Times New Roman" w:hAnsi="Times New Roman"/>
                <w:b/>
              </w:rPr>
              <w:t>z toho MSP</w:t>
            </w:r>
          </w:p>
        </w:tc>
      </w:tr>
      <w:tr w:rsidR="00BB42F2" w:rsidRPr="003C289B" w:rsidTr="00BE020B">
        <w:trPr>
          <w:trHeight w:val="557"/>
        </w:trPr>
        <w:tc>
          <w:tcPr>
            <w:tcW w:w="9212" w:type="dxa"/>
          </w:tcPr>
          <w:p w:rsidR="00BB42F2" w:rsidRPr="003C289B" w:rsidRDefault="00BB42F2" w:rsidP="00BE020B">
            <w:pPr>
              <w:jc w:val="both"/>
              <w:rPr>
                <w:rFonts w:ascii="Times New Roman" w:hAnsi="Times New Roman"/>
                <w:i/>
              </w:rPr>
            </w:pPr>
            <w:r w:rsidRPr="003C289B">
              <w:rPr>
                <w:rFonts w:ascii="Times New Roman" w:hAnsi="Times New Roman"/>
                <w:i/>
              </w:rPr>
              <w:t>Uveďte, akou formou (verejné alebo cielené konzultácie a prečo) a s kým bol návrh konzultovaný.</w:t>
            </w:r>
          </w:p>
          <w:p w:rsidR="00BB42F2" w:rsidRPr="003C289B" w:rsidRDefault="00BB42F2" w:rsidP="00BE020B">
            <w:pPr>
              <w:jc w:val="both"/>
              <w:rPr>
                <w:rFonts w:ascii="Times New Roman" w:hAnsi="Times New Roman"/>
                <w:i/>
              </w:rPr>
            </w:pPr>
            <w:r w:rsidRPr="003C289B">
              <w:rPr>
                <w:rFonts w:ascii="Times New Roman" w:hAnsi="Times New Roman"/>
                <w:i/>
              </w:rPr>
              <w:t>Ako dlho trvali konzultácie?</w:t>
            </w:r>
          </w:p>
          <w:p w:rsidR="00BB42F2" w:rsidRPr="003C289B" w:rsidRDefault="00BB42F2" w:rsidP="00BE020B">
            <w:pPr>
              <w:jc w:val="both"/>
              <w:rPr>
                <w:rFonts w:ascii="Times New Roman" w:hAnsi="Times New Roman"/>
                <w:i/>
              </w:rPr>
            </w:pPr>
            <w:r w:rsidRPr="003C289B">
              <w:rPr>
                <w:rFonts w:ascii="Times New Roman" w:hAnsi="Times New Roman"/>
                <w:i/>
              </w:rPr>
              <w:t xml:space="preserve">Uveďte hlavné body konzultácií a výsledky konzultácií. </w:t>
            </w:r>
          </w:p>
        </w:tc>
      </w:tr>
      <w:tr w:rsidR="00BB42F2" w:rsidRPr="003C289B" w:rsidTr="00BE020B">
        <w:trPr>
          <w:trHeight w:val="1440"/>
        </w:trPr>
        <w:tc>
          <w:tcPr>
            <w:tcW w:w="9212" w:type="dxa"/>
          </w:tcPr>
          <w:p w:rsidR="00BB42F2" w:rsidRDefault="00BB42F2" w:rsidP="00BE020B">
            <w:pPr>
              <w:rPr>
                <w:rFonts w:ascii="Times New Roman" w:hAnsi="Times New Roman"/>
                <w:b/>
                <w:sz w:val="20"/>
                <w:szCs w:val="20"/>
              </w:rPr>
            </w:pPr>
            <w:r w:rsidRPr="00E1634A">
              <w:rPr>
                <w:rFonts w:ascii="Times New Roman" w:hAnsi="Times New Roman"/>
                <w:b/>
                <w:sz w:val="20"/>
                <w:szCs w:val="20"/>
              </w:rPr>
              <w:t>Čl. I</w:t>
            </w:r>
          </w:p>
          <w:p w:rsidR="00BB42F2" w:rsidRPr="00E1634A" w:rsidRDefault="00BB42F2" w:rsidP="00BE020B">
            <w:pPr>
              <w:rPr>
                <w:rFonts w:ascii="Times New Roman" w:hAnsi="Times New Roman"/>
                <w:b/>
                <w:sz w:val="20"/>
                <w:szCs w:val="20"/>
              </w:rPr>
            </w:pPr>
          </w:p>
          <w:p w:rsidR="00BB42F2" w:rsidRDefault="00BB42F2" w:rsidP="00BE020B">
            <w:pPr>
              <w:pStyle w:val="Obyajntext"/>
              <w:jc w:val="both"/>
              <w:rPr>
                <w:rFonts w:ascii="Times New Roman" w:hAnsi="Times New Roman"/>
                <w:sz w:val="20"/>
                <w:szCs w:val="20"/>
              </w:rPr>
            </w:pPr>
            <w:r w:rsidRPr="002E36DF">
              <w:rPr>
                <w:rFonts w:ascii="Times New Roman" w:hAnsi="Times New Roman"/>
                <w:sz w:val="20"/>
                <w:szCs w:val="20"/>
              </w:rPr>
              <w:t>Na základe zverejnenej predbežnej informácie PI/2018/75 sa v dňoch 14. a 21. mája 2018 na pôde Ministerstva financií Slovenskej republiky uskutočnilo v rámci v</w:t>
            </w:r>
            <w:r>
              <w:rPr>
                <w:rFonts w:ascii="Times New Roman" w:hAnsi="Times New Roman"/>
                <w:sz w:val="20"/>
                <w:szCs w:val="20"/>
              </w:rPr>
              <w:t>erejných konzultácií stretnutie</w:t>
            </w:r>
            <w:r w:rsidRPr="002E36DF">
              <w:rPr>
                <w:rFonts w:ascii="Times New Roman" w:hAnsi="Times New Roman"/>
                <w:sz w:val="20"/>
                <w:szCs w:val="20"/>
              </w:rPr>
              <w:t xml:space="preserve"> k pripravovanému návrhu zákona s podnikateľskými subjektami, ktoré </w:t>
            </w:r>
            <w:r>
              <w:rPr>
                <w:rFonts w:ascii="Times New Roman" w:hAnsi="Times New Roman"/>
                <w:sz w:val="20"/>
                <w:szCs w:val="20"/>
              </w:rPr>
              <w:t>obchodujú s minerálnymi olejmi.</w:t>
            </w:r>
          </w:p>
          <w:p w:rsidR="00BB42F2" w:rsidRPr="002E36DF" w:rsidRDefault="00BB42F2" w:rsidP="00BE020B">
            <w:pPr>
              <w:pStyle w:val="Obyajntext"/>
              <w:jc w:val="both"/>
              <w:rPr>
                <w:rFonts w:ascii="Times New Roman" w:hAnsi="Times New Roman"/>
                <w:sz w:val="20"/>
                <w:szCs w:val="20"/>
              </w:rPr>
            </w:pPr>
            <w:r w:rsidRPr="002E36DF">
              <w:rPr>
                <w:rFonts w:ascii="Times New Roman" w:hAnsi="Times New Roman"/>
                <w:sz w:val="20"/>
                <w:szCs w:val="20"/>
              </w:rPr>
              <w:t xml:space="preserve">Hlavnou témou tohto stretnutia bolo </w:t>
            </w:r>
          </w:p>
          <w:p w:rsidR="00BB42F2" w:rsidRPr="002E36DF" w:rsidRDefault="00BB42F2" w:rsidP="00BB42F2">
            <w:pPr>
              <w:pStyle w:val="Obyajntext"/>
              <w:numPr>
                <w:ilvl w:val="0"/>
                <w:numId w:val="19"/>
              </w:numPr>
              <w:ind w:left="284" w:hanging="284"/>
              <w:jc w:val="both"/>
              <w:rPr>
                <w:rFonts w:ascii="Times New Roman" w:hAnsi="Times New Roman"/>
                <w:sz w:val="20"/>
                <w:szCs w:val="20"/>
              </w:rPr>
            </w:pPr>
            <w:r w:rsidRPr="002E36DF">
              <w:rPr>
                <w:rFonts w:ascii="Times New Roman" w:hAnsi="Times New Roman"/>
                <w:sz w:val="20"/>
                <w:szCs w:val="20"/>
              </w:rPr>
              <w:t xml:space="preserve">podrobnejšie oboznámiť zástupcov podnikateľských subjektov s oblasťami, ktorých by sa mali dotknúť pripravované návrhy zmeny novely zákona č. 98/2004 Z. z. </w:t>
            </w:r>
          </w:p>
          <w:p w:rsidR="00BB42F2" w:rsidRDefault="00BB42F2" w:rsidP="00BB42F2">
            <w:pPr>
              <w:pStyle w:val="Obyajntext"/>
              <w:numPr>
                <w:ilvl w:val="0"/>
                <w:numId w:val="19"/>
              </w:numPr>
              <w:ind w:left="284" w:hanging="284"/>
              <w:jc w:val="both"/>
              <w:rPr>
                <w:rFonts w:ascii="Times New Roman" w:hAnsi="Times New Roman"/>
                <w:sz w:val="20"/>
                <w:szCs w:val="20"/>
              </w:rPr>
            </w:pPr>
            <w:r w:rsidRPr="002E36DF">
              <w:rPr>
                <w:rFonts w:ascii="Times New Roman" w:hAnsi="Times New Roman"/>
                <w:sz w:val="20"/>
                <w:szCs w:val="20"/>
              </w:rPr>
              <w:t>umožniť zástupcom podnikateľských subjekt</w:t>
            </w:r>
            <w:r>
              <w:rPr>
                <w:rFonts w:ascii="Times New Roman" w:hAnsi="Times New Roman"/>
                <w:sz w:val="20"/>
                <w:szCs w:val="20"/>
              </w:rPr>
              <w:t>ov vyjadriť sa k týmto návrhom.</w:t>
            </w:r>
          </w:p>
          <w:p w:rsidR="00BB42F2" w:rsidRPr="002E36DF" w:rsidRDefault="00BB42F2" w:rsidP="00BE020B">
            <w:pPr>
              <w:pStyle w:val="Obyajntext"/>
              <w:jc w:val="both"/>
              <w:rPr>
                <w:rFonts w:ascii="Times New Roman" w:hAnsi="Times New Roman"/>
                <w:sz w:val="20"/>
                <w:szCs w:val="20"/>
              </w:rPr>
            </w:pPr>
          </w:p>
          <w:p w:rsidR="00BB42F2" w:rsidRDefault="00BB42F2" w:rsidP="00BE020B">
            <w:pPr>
              <w:pStyle w:val="Obyajntext"/>
              <w:jc w:val="both"/>
              <w:rPr>
                <w:rFonts w:ascii="Times New Roman" w:hAnsi="Times New Roman"/>
                <w:sz w:val="20"/>
                <w:szCs w:val="20"/>
              </w:rPr>
            </w:pPr>
            <w:r w:rsidRPr="002E36DF">
              <w:rPr>
                <w:rFonts w:ascii="Times New Roman" w:hAnsi="Times New Roman"/>
                <w:sz w:val="20"/>
                <w:szCs w:val="20"/>
              </w:rPr>
              <w:t xml:space="preserve">Zástupcovia podnikateľských subjektov boli vyzvaní aby v termíne do 22. mája 2018 predložili svoje návrhy a pripomienky k pripravovaným okruhom zmien. </w:t>
            </w:r>
            <w:r>
              <w:rPr>
                <w:rFonts w:ascii="Times New Roman" w:hAnsi="Times New Roman"/>
                <w:sz w:val="20"/>
                <w:szCs w:val="20"/>
              </w:rPr>
              <w:t>Na základe predložených pripomienok sa dňa 22. júna 2018 uskutočnilo pracovné stretnutie, na ktorom boli prediskutované predpokladané problémy s praktickým uplatňovaní povinnosti označovať pohonné látky identifikačnou látkou.</w:t>
            </w:r>
          </w:p>
          <w:p w:rsidR="00BB42F2" w:rsidRDefault="00BB42F2" w:rsidP="00BE020B">
            <w:pPr>
              <w:pStyle w:val="Obyajntext"/>
              <w:jc w:val="both"/>
              <w:rPr>
                <w:rFonts w:ascii="Times New Roman" w:hAnsi="Times New Roman"/>
                <w:sz w:val="20"/>
                <w:szCs w:val="20"/>
              </w:rPr>
            </w:pPr>
          </w:p>
          <w:p w:rsidR="00BB42F2" w:rsidRDefault="00BB42F2" w:rsidP="00BE020B">
            <w:pPr>
              <w:pStyle w:val="Obyajntext"/>
              <w:jc w:val="both"/>
              <w:rPr>
                <w:rFonts w:ascii="Times New Roman" w:hAnsi="Times New Roman"/>
                <w:szCs w:val="22"/>
              </w:rPr>
            </w:pPr>
            <w:r w:rsidRPr="002E36DF">
              <w:rPr>
                <w:rFonts w:ascii="Times New Roman" w:hAnsi="Times New Roman"/>
                <w:sz w:val="20"/>
                <w:szCs w:val="20"/>
              </w:rPr>
              <w:t>Zástupcovia podnikateľských subjektov boli tiež informovaní, že sa k predmetnému návrhu zákona budú môcť vyjadriť a predkladať pripomienky aj v rámci medzirezortného pripomienkového konania</w:t>
            </w:r>
            <w:r>
              <w:rPr>
                <w:rFonts w:ascii="Times New Roman" w:hAnsi="Times New Roman"/>
                <w:szCs w:val="22"/>
              </w:rPr>
              <w:t>.</w:t>
            </w:r>
          </w:p>
          <w:p w:rsidR="00BB42F2" w:rsidRDefault="00BB42F2" w:rsidP="00BE020B">
            <w:pPr>
              <w:pStyle w:val="Obyajntext"/>
              <w:jc w:val="both"/>
              <w:rPr>
                <w:rFonts w:ascii="Times New Roman" w:hAnsi="Times New Roman"/>
                <w:szCs w:val="22"/>
              </w:rPr>
            </w:pPr>
          </w:p>
          <w:p w:rsidR="00BB42F2" w:rsidRDefault="00BB42F2" w:rsidP="00BE020B">
            <w:pPr>
              <w:rPr>
                <w:rFonts w:ascii="Times New Roman" w:hAnsi="Times New Roman"/>
                <w:b/>
                <w:sz w:val="20"/>
                <w:szCs w:val="20"/>
              </w:rPr>
            </w:pPr>
            <w:r w:rsidRPr="00E1634A">
              <w:rPr>
                <w:rFonts w:ascii="Times New Roman" w:hAnsi="Times New Roman"/>
                <w:b/>
                <w:sz w:val="20"/>
                <w:szCs w:val="20"/>
              </w:rPr>
              <w:t>Čl. I</w:t>
            </w:r>
            <w:r>
              <w:rPr>
                <w:rFonts w:ascii="Times New Roman" w:hAnsi="Times New Roman"/>
                <w:b/>
                <w:sz w:val="20"/>
                <w:szCs w:val="20"/>
              </w:rPr>
              <w:t>I</w:t>
            </w:r>
          </w:p>
          <w:p w:rsidR="00BB42F2" w:rsidRPr="00E1634A" w:rsidRDefault="00BB42F2" w:rsidP="00BE020B">
            <w:pPr>
              <w:rPr>
                <w:rFonts w:ascii="Times New Roman" w:hAnsi="Times New Roman"/>
                <w:b/>
                <w:sz w:val="20"/>
                <w:szCs w:val="20"/>
              </w:rPr>
            </w:pPr>
          </w:p>
          <w:p w:rsidR="00BB42F2" w:rsidRPr="00E1634A" w:rsidRDefault="00BB42F2" w:rsidP="00BE020B">
            <w:pPr>
              <w:jc w:val="both"/>
              <w:rPr>
                <w:rFonts w:ascii="Times New Roman" w:hAnsi="Times New Roman"/>
                <w:sz w:val="20"/>
                <w:szCs w:val="20"/>
              </w:rPr>
            </w:pPr>
            <w:r w:rsidRPr="00E1634A">
              <w:rPr>
                <w:rFonts w:ascii="Times New Roman" w:hAnsi="Times New Roman"/>
                <w:sz w:val="20"/>
                <w:szCs w:val="20"/>
              </w:rPr>
              <w:t xml:space="preserve">Ministerstvo financií Slovenskej republiky, sekcia daňová a colná usporiadala dňa 3. mája 2018 </w:t>
            </w:r>
            <w:r w:rsidRPr="00E1634A">
              <w:rPr>
                <w:rFonts w:ascii="Times New Roman" w:hAnsi="Times New Roman"/>
                <w:color w:val="000000"/>
                <w:sz w:val="20"/>
                <w:szCs w:val="20"/>
              </w:rPr>
              <w:t xml:space="preserve">verejné konzultácie s podnikateľskými subjektami. </w:t>
            </w:r>
            <w:r w:rsidRPr="00E1634A">
              <w:rPr>
                <w:rFonts w:ascii="Times New Roman" w:hAnsi="Times New Roman"/>
                <w:sz w:val="20"/>
                <w:szCs w:val="20"/>
              </w:rPr>
              <w:t xml:space="preserve">Na verejné konzultácie boli pozvané podnikateľské subjekty, ktoré v rámci predbežnej informácie zaslali pripomienky alebo prejavili záujem zúčastniť sa. Verejnej konzultácie sa zúčastnili zástupcovia Asociácie platiteľov spotrebnej dane z liehu a liehovín, </w:t>
            </w:r>
            <w:r w:rsidRPr="00E1634A">
              <w:rPr>
                <w:rFonts w:ascii="Times New Roman" w:hAnsi="Times New Roman"/>
                <w:sz w:val="20"/>
                <w:szCs w:val="20"/>
                <w:shd w:val="clear" w:color="auto" w:fill="FFFFFF"/>
              </w:rPr>
              <w:t xml:space="preserve">Asociácie dodávateľov liekov a zdravotníckych pomôcok, </w:t>
            </w:r>
            <w:proofErr w:type="spellStart"/>
            <w:r w:rsidRPr="00E1634A">
              <w:rPr>
                <w:rFonts w:ascii="Times New Roman" w:hAnsi="Times New Roman"/>
                <w:sz w:val="20"/>
                <w:szCs w:val="20"/>
                <w:shd w:val="clear" w:color="auto" w:fill="FFFFFF"/>
              </w:rPr>
              <w:t>Calendula</w:t>
            </w:r>
            <w:proofErr w:type="spellEnd"/>
            <w:r w:rsidRPr="00E1634A">
              <w:rPr>
                <w:rFonts w:ascii="Times New Roman" w:hAnsi="Times New Roman"/>
                <w:sz w:val="20"/>
                <w:szCs w:val="20"/>
                <w:shd w:val="clear" w:color="auto" w:fill="FFFFFF"/>
              </w:rPr>
              <w:t xml:space="preserve"> a. s., </w:t>
            </w:r>
            <w:proofErr w:type="spellStart"/>
            <w:r w:rsidRPr="00E1634A">
              <w:rPr>
                <w:rFonts w:ascii="Times New Roman" w:hAnsi="Times New Roman"/>
                <w:sz w:val="20"/>
                <w:szCs w:val="20"/>
                <w:shd w:val="clear" w:color="auto" w:fill="FFFFFF"/>
              </w:rPr>
              <w:t>Essprit</w:t>
            </w:r>
            <w:proofErr w:type="spellEnd"/>
            <w:r w:rsidRPr="00E1634A">
              <w:rPr>
                <w:rFonts w:ascii="Times New Roman" w:hAnsi="Times New Roman"/>
                <w:sz w:val="20"/>
                <w:szCs w:val="20"/>
                <w:shd w:val="clear" w:color="auto" w:fill="FFFFFF"/>
              </w:rPr>
              <w:t xml:space="preserve">, Slovenského Rádu rytierov destilátov a Finančného riaditeľstva SR. </w:t>
            </w:r>
          </w:p>
          <w:p w:rsidR="00BB42F2" w:rsidRPr="00E1634A" w:rsidRDefault="00BB42F2" w:rsidP="00BE020B">
            <w:pPr>
              <w:autoSpaceDE w:val="0"/>
              <w:autoSpaceDN w:val="0"/>
              <w:adjustRightInd w:val="0"/>
              <w:jc w:val="both"/>
              <w:rPr>
                <w:rFonts w:ascii="Times New Roman" w:hAnsi="Times New Roman"/>
                <w:sz w:val="20"/>
                <w:szCs w:val="20"/>
              </w:rPr>
            </w:pPr>
            <w:r w:rsidRPr="00E1634A">
              <w:rPr>
                <w:rFonts w:ascii="Times New Roman" w:hAnsi="Times New Roman"/>
                <w:color w:val="000000"/>
                <w:sz w:val="20"/>
                <w:szCs w:val="20"/>
              </w:rPr>
              <w:lastRenderedPageBreak/>
              <w:t xml:space="preserve">Hlavným bodom konzultácie bola legislatívna úprava zákona č. 530/2011 Z. z., ktorá </w:t>
            </w:r>
            <w:r w:rsidRPr="00E1634A">
              <w:rPr>
                <w:rFonts w:ascii="Times New Roman" w:hAnsi="Times New Roman"/>
                <w:sz w:val="20"/>
                <w:szCs w:val="20"/>
              </w:rPr>
              <w:t>zruší oslobodenie alkoholického nápoja od spotrebnej dane, ak je určený na výrobu a prípravu výživových doplnkov. Prítomným boli predstavené hlavné zámery novely zákona č. 530/2011 Z. z. a uvítali návrhy súvisiace so znížením administratívnej záťaže.</w:t>
            </w:r>
          </w:p>
          <w:p w:rsidR="00BB42F2" w:rsidRPr="00E1634A" w:rsidRDefault="00BB42F2" w:rsidP="00BE020B">
            <w:pPr>
              <w:pStyle w:val="Obyajntext"/>
              <w:jc w:val="both"/>
              <w:rPr>
                <w:rFonts w:ascii="Times New Roman" w:hAnsi="Times New Roman"/>
                <w:sz w:val="20"/>
                <w:szCs w:val="20"/>
              </w:rPr>
            </w:pPr>
            <w:r w:rsidRPr="00E1634A">
              <w:rPr>
                <w:rFonts w:ascii="Times New Roman" w:hAnsi="Times New Roman"/>
                <w:sz w:val="20"/>
                <w:szCs w:val="20"/>
              </w:rPr>
              <w:t xml:space="preserve">Podnikateľské subjekty boli vyzvané, aby zaslali námety k pripravovanej novele zákona č. 530/2011 Z. z., týkajúce sa výlučne </w:t>
            </w:r>
            <w:r w:rsidRPr="00E1634A">
              <w:rPr>
                <w:rFonts w:ascii="Times New Roman" w:hAnsi="Times New Roman"/>
                <w:color w:val="000000"/>
                <w:sz w:val="20"/>
                <w:szCs w:val="20"/>
              </w:rPr>
              <w:t>zrušenia</w:t>
            </w:r>
            <w:r w:rsidRPr="00E1634A">
              <w:rPr>
                <w:rFonts w:ascii="Times New Roman" w:hAnsi="Times New Roman"/>
                <w:sz w:val="20"/>
                <w:szCs w:val="20"/>
              </w:rPr>
              <w:t xml:space="preserve"> oslobodenia alkoholického nápoja od spotrebnej dane, ak je určený na výrobu a prípravu výživových doplnkov.</w:t>
            </w:r>
          </w:p>
          <w:p w:rsidR="00BB42F2" w:rsidRPr="000E09D2" w:rsidRDefault="00BB42F2" w:rsidP="00BE020B">
            <w:pPr>
              <w:pStyle w:val="Obyajntext"/>
              <w:jc w:val="both"/>
              <w:rPr>
                <w:rFonts w:ascii="Times New Roman" w:hAnsi="Times New Roman"/>
                <w:szCs w:val="22"/>
              </w:rPr>
            </w:pPr>
          </w:p>
        </w:tc>
      </w:tr>
      <w:tr w:rsidR="00BB42F2" w:rsidRPr="003C289B" w:rsidTr="00BE020B">
        <w:tc>
          <w:tcPr>
            <w:tcW w:w="9212" w:type="dxa"/>
            <w:shd w:val="clear" w:color="auto" w:fill="D9D9D9" w:themeFill="background1" w:themeFillShade="D9"/>
          </w:tcPr>
          <w:p w:rsidR="00BB42F2" w:rsidRPr="003C289B" w:rsidRDefault="00BB42F2" w:rsidP="00BE020B">
            <w:pPr>
              <w:rPr>
                <w:rFonts w:ascii="Times New Roman" w:hAnsi="Times New Roman"/>
                <w:b/>
              </w:rPr>
            </w:pPr>
            <w:r w:rsidRPr="003C289B">
              <w:rPr>
                <w:rFonts w:ascii="Times New Roman" w:hAnsi="Times New Roman"/>
                <w:b/>
              </w:rPr>
              <w:lastRenderedPageBreak/>
              <w:t>3.3 Náklady regulácie</w:t>
            </w:r>
          </w:p>
          <w:p w:rsidR="00BB42F2" w:rsidRPr="003C289B" w:rsidRDefault="00BB42F2" w:rsidP="00BE020B">
            <w:pPr>
              <w:rPr>
                <w:rFonts w:ascii="Times New Roman" w:hAnsi="Times New Roman"/>
                <w:b/>
              </w:rPr>
            </w:pPr>
            <w:r w:rsidRPr="003C289B">
              <w:rPr>
                <w:rFonts w:ascii="Times New Roman" w:hAnsi="Times New Roman"/>
              </w:rPr>
              <w:t xml:space="preserve">      - </w:t>
            </w:r>
            <w:r w:rsidRPr="003C289B">
              <w:rPr>
                <w:rFonts w:ascii="Times New Roman" w:hAnsi="Times New Roman"/>
                <w:b/>
              </w:rPr>
              <w:t>z toho MSP</w:t>
            </w:r>
          </w:p>
        </w:tc>
      </w:tr>
      <w:tr w:rsidR="00BB42F2" w:rsidRPr="003C289B" w:rsidTr="00BE020B">
        <w:tc>
          <w:tcPr>
            <w:tcW w:w="9212" w:type="dxa"/>
          </w:tcPr>
          <w:p w:rsidR="00BB42F2" w:rsidRPr="003C289B" w:rsidRDefault="00BB42F2" w:rsidP="00BE020B">
            <w:pPr>
              <w:rPr>
                <w:rFonts w:ascii="Times New Roman" w:hAnsi="Times New Roman"/>
                <w:b/>
                <w:i/>
              </w:rPr>
            </w:pPr>
            <w:r w:rsidRPr="003C289B">
              <w:rPr>
                <w:rFonts w:ascii="Times New Roman" w:hAnsi="Times New Roman"/>
                <w:b/>
                <w:i/>
              </w:rPr>
              <w:t>3.3.1 Priame finančné náklady</w:t>
            </w:r>
          </w:p>
          <w:p w:rsidR="00BB42F2" w:rsidRPr="003C289B" w:rsidRDefault="00BB42F2" w:rsidP="00BE020B">
            <w:pPr>
              <w:jc w:val="both"/>
              <w:rPr>
                <w:rFonts w:ascii="Times New Roman" w:hAnsi="Times New Roman"/>
                <w:i/>
              </w:rPr>
            </w:pPr>
            <w:r w:rsidRPr="003C289B">
              <w:rPr>
                <w:rFonts w:ascii="Times New Roman" w:hAnsi="Times New Roman"/>
                <w:i/>
              </w:rPr>
              <w:t xml:space="preserve">Dochádza k zvýšeniu/zníženiu priamych finančných nákladov (poplatky, odvody, dane clá...)? Ak áno, popíšte a vyčíslite ich. Uveďte tiež spôsob ich výpočtu. </w:t>
            </w:r>
          </w:p>
        </w:tc>
      </w:tr>
      <w:tr w:rsidR="00BB42F2" w:rsidRPr="003C289B" w:rsidTr="00BE020B">
        <w:tc>
          <w:tcPr>
            <w:tcW w:w="9212" w:type="dxa"/>
          </w:tcPr>
          <w:p w:rsidR="00BB42F2" w:rsidRPr="00E1634A" w:rsidRDefault="00BB42F2" w:rsidP="00BE020B">
            <w:pPr>
              <w:rPr>
                <w:rFonts w:ascii="Times New Roman" w:hAnsi="Times New Roman"/>
                <w:b/>
                <w:sz w:val="20"/>
                <w:szCs w:val="20"/>
              </w:rPr>
            </w:pPr>
            <w:r w:rsidRPr="00E1634A">
              <w:rPr>
                <w:rFonts w:ascii="Times New Roman" w:hAnsi="Times New Roman"/>
                <w:b/>
                <w:sz w:val="20"/>
                <w:szCs w:val="20"/>
              </w:rPr>
              <w:t>Čl. I</w:t>
            </w:r>
          </w:p>
          <w:p w:rsidR="00BB42F2" w:rsidRDefault="00BB42F2" w:rsidP="00BE020B">
            <w:pPr>
              <w:jc w:val="both"/>
              <w:rPr>
                <w:rFonts w:ascii="Times New Roman" w:hAnsi="Times New Roman"/>
                <w:sz w:val="20"/>
                <w:szCs w:val="20"/>
              </w:rPr>
            </w:pPr>
          </w:p>
          <w:p w:rsidR="00BB42F2" w:rsidRDefault="00BB42F2" w:rsidP="00BE020B">
            <w:pPr>
              <w:jc w:val="both"/>
              <w:rPr>
                <w:rFonts w:ascii="Times New Roman" w:hAnsi="Times New Roman"/>
                <w:sz w:val="20"/>
                <w:szCs w:val="20"/>
              </w:rPr>
            </w:pPr>
            <w:r w:rsidRPr="002E36DF">
              <w:rPr>
                <w:rFonts w:ascii="Times New Roman" w:hAnsi="Times New Roman"/>
                <w:sz w:val="20"/>
                <w:szCs w:val="20"/>
              </w:rPr>
              <w:t>Predpokladá sa zníženie priamych finančných nákladov v súvislosti so znížením základnej sadzby dane z minerálneho oleja (motorovej nafty a motorového benzínu) pre približne 2 % subjektov, pri ktorých sa predpokladá, že si budú uplatňovať základnú sadzbu spotrebnej dane na motorový benzín a motorovú naftu, keďže nebudú spĺňať kritériá na uplatnenie si zvýhodnenej sadzby dane. Tieto znížené náklady by mali byť vo výške rozdielu navrhovanej základnej sadzby dane a teraz platnej základnej sadzby dane.</w:t>
            </w:r>
          </w:p>
          <w:p w:rsidR="00BB42F2" w:rsidRDefault="00BB42F2" w:rsidP="00BE020B">
            <w:pPr>
              <w:jc w:val="both"/>
              <w:rPr>
                <w:rFonts w:ascii="Times New Roman" w:hAnsi="Times New Roman"/>
                <w:sz w:val="20"/>
                <w:szCs w:val="20"/>
              </w:rPr>
            </w:pPr>
          </w:p>
          <w:p w:rsidR="00BB42F2" w:rsidRPr="00E1634A" w:rsidRDefault="00BB42F2" w:rsidP="00BE020B">
            <w:pPr>
              <w:rPr>
                <w:rFonts w:ascii="Times New Roman" w:hAnsi="Times New Roman"/>
                <w:b/>
                <w:sz w:val="20"/>
                <w:szCs w:val="20"/>
              </w:rPr>
            </w:pPr>
            <w:r w:rsidRPr="00E1634A">
              <w:rPr>
                <w:rFonts w:ascii="Times New Roman" w:hAnsi="Times New Roman"/>
                <w:b/>
                <w:sz w:val="20"/>
                <w:szCs w:val="20"/>
              </w:rPr>
              <w:t>Čl. I</w:t>
            </w:r>
            <w:r>
              <w:rPr>
                <w:rFonts w:ascii="Times New Roman" w:hAnsi="Times New Roman"/>
                <w:b/>
                <w:sz w:val="20"/>
                <w:szCs w:val="20"/>
              </w:rPr>
              <w:t>I</w:t>
            </w:r>
          </w:p>
          <w:p w:rsidR="00BB42F2" w:rsidRPr="002E36DF" w:rsidRDefault="00BB42F2" w:rsidP="00BE020B">
            <w:pPr>
              <w:jc w:val="both"/>
              <w:rPr>
                <w:rFonts w:ascii="Times New Roman" w:hAnsi="Times New Roman"/>
                <w:sz w:val="20"/>
                <w:szCs w:val="20"/>
              </w:rPr>
            </w:pPr>
            <w:r w:rsidRPr="004403D3">
              <w:rPr>
                <w:rFonts w:ascii="Times New Roman" w:hAnsi="Times New Roman"/>
                <w:sz w:val="20"/>
                <w:szCs w:val="20"/>
              </w:rPr>
              <w:t xml:space="preserve">Predpokladá sa zvýšenie priamych finančných nákladov v súvislosti so zavedením zdanenia výživových doplnkov s obsahom alkoholického nápoja, a to vo výške </w:t>
            </w:r>
            <w:r>
              <w:rPr>
                <w:rFonts w:ascii="Times New Roman" w:hAnsi="Times New Roman"/>
                <w:sz w:val="20"/>
                <w:szCs w:val="20"/>
              </w:rPr>
              <w:t>62 000 eur v roku 2019 a ž 2021.</w:t>
            </w:r>
          </w:p>
          <w:p w:rsidR="00BB42F2" w:rsidRPr="002E36DF" w:rsidRDefault="00BB42F2" w:rsidP="00BE020B">
            <w:pPr>
              <w:jc w:val="both"/>
              <w:rPr>
                <w:rFonts w:ascii="Times New Roman" w:hAnsi="Times New Roman"/>
                <w:color w:val="000000"/>
                <w:sz w:val="20"/>
                <w:szCs w:val="20"/>
              </w:rPr>
            </w:pPr>
          </w:p>
        </w:tc>
      </w:tr>
      <w:tr w:rsidR="00BB42F2" w:rsidRPr="003C289B" w:rsidTr="00BE020B">
        <w:tc>
          <w:tcPr>
            <w:tcW w:w="9212" w:type="dxa"/>
          </w:tcPr>
          <w:p w:rsidR="00BB42F2" w:rsidRPr="003C289B" w:rsidRDefault="00BB42F2" w:rsidP="00BE020B">
            <w:pPr>
              <w:rPr>
                <w:rFonts w:ascii="Times New Roman" w:hAnsi="Times New Roman"/>
                <w:b/>
                <w:i/>
              </w:rPr>
            </w:pPr>
            <w:r w:rsidRPr="003C289B">
              <w:rPr>
                <w:rFonts w:ascii="Times New Roman" w:hAnsi="Times New Roman"/>
                <w:b/>
                <w:i/>
              </w:rPr>
              <w:t>3.3.2 Nepriame finančné náklady</w:t>
            </w:r>
          </w:p>
          <w:p w:rsidR="00BB42F2" w:rsidRPr="003C289B" w:rsidRDefault="00BB42F2" w:rsidP="00BE020B">
            <w:pPr>
              <w:jc w:val="both"/>
              <w:rPr>
                <w:rFonts w:ascii="Times New Roman" w:hAnsi="Times New Roman"/>
                <w:i/>
              </w:rPr>
            </w:pPr>
            <w:r w:rsidRPr="003C289B">
              <w:rPr>
                <w:rFonts w:ascii="Times New Roman" w:hAnsi="Times New Roman"/>
                <w:i/>
              </w:rPr>
              <w:t>Vyžaduje si predkladaný návrh dodatočné náklady na nákup tovarov alebo služieb? Zvyšuje predkladaný návrh náklady súvisiace so zamestnávaním? Ak áno, popíšte a vyčíslite ich. Uveďte tiež spôsob ich výpočtu.</w:t>
            </w:r>
          </w:p>
        </w:tc>
      </w:tr>
      <w:tr w:rsidR="00BB42F2" w:rsidRPr="003C289B" w:rsidTr="00BE020B">
        <w:tc>
          <w:tcPr>
            <w:tcW w:w="9212" w:type="dxa"/>
          </w:tcPr>
          <w:p w:rsidR="00BB42F2" w:rsidRPr="00E1634A" w:rsidRDefault="00BB42F2" w:rsidP="00BE020B">
            <w:pPr>
              <w:rPr>
                <w:rFonts w:ascii="Times New Roman" w:hAnsi="Times New Roman"/>
                <w:b/>
                <w:sz w:val="20"/>
                <w:szCs w:val="20"/>
              </w:rPr>
            </w:pPr>
            <w:r w:rsidRPr="00E1634A">
              <w:rPr>
                <w:rFonts w:ascii="Times New Roman" w:hAnsi="Times New Roman"/>
                <w:b/>
                <w:sz w:val="20"/>
                <w:szCs w:val="20"/>
              </w:rPr>
              <w:t>Čl. I</w:t>
            </w:r>
          </w:p>
          <w:p w:rsidR="00BB42F2" w:rsidRDefault="00BB42F2" w:rsidP="00BE020B">
            <w:pPr>
              <w:rPr>
                <w:rFonts w:ascii="Times New Roman" w:hAnsi="Times New Roman"/>
              </w:rPr>
            </w:pPr>
          </w:p>
          <w:p w:rsidR="00BB42F2" w:rsidRPr="006A090D" w:rsidRDefault="00BB42F2" w:rsidP="00BE020B">
            <w:pPr>
              <w:jc w:val="both"/>
              <w:rPr>
                <w:rFonts w:ascii="Times New Roman" w:hAnsi="Times New Roman"/>
                <w:sz w:val="20"/>
                <w:szCs w:val="20"/>
              </w:rPr>
            </w:pPr>
            <w:r w:rsidRPr="006A090D">
              <w:rPr>
                <w:rFonts w:ascii="Times New Roman" w:hAnsi="Times New Roman"/>
                <w:sz w:val="20"/>
                <w:szCs w:val="20"/>
              </w:rPr>
              <w:t>Predpokladá sa zvýšenie nepriamych finančných nákladov pre tie subjekty, ktoré budú povinné označovať pohonné látky (motorový benzín a motorovú naftu) identifikačnou látkou pred ich uvedením do daňového voľného obehu na daňovom území.</w:t>
            </w:r>
          </w:p>
          <w:p w:rsidR="00BB42F2" w:rsidRPr="006A090D" w:rsidRDefault="00BB42F2" w:rsidP="00BE020B">
            <w:pPr>
              <w:pStyle w:val="Normlnywebov"/>
              <w:shd w:val="clear" w:color="auto" w:fill="FFFFFF"/>
              <w:spacing w:before="0" w:beforeAutospacing="0" w:after="0" w:afterAutospacing="0"/>
              <w:jc w:val="both"/>
              <w:rPr>
                <w:rFonts w:ascii="Times New Roman" w:hAnsi="Times New Roman"/>
                <w:sz w:val="20"/>
                <w:szCs w:val="20"/>
              </w:rPr>
            </w:pPr>
            <w:r w:rsidRPr="006A090D">
              <w:rPr>
                <w:rFonts w:ascii="Times New Roman" w:hAnsi="Times New Roman"/>
                <w:color w:val="000000"/>
                <w:sz w:val="20"/>
                <w:szCs w:val="20"/>
              </w:rPr>
              <w:t xml:space="preserve">Predpokladané finančné náklady budú závislé od počtu plniacich miest, ktoré bude potrebné v daňovom sklade vybaviť plniacim zariadením na označovanie pohonných látok identifikačnou látkou, čo by mohlo pre jeden daňový sklad predstavovať investíciu minimálne vo výške 2,5 – 3 mil. eur. </w:t>
            </w:r>
          </w:p>
          <w:p w:rsidR="00BB42F2" w:rsidRPr="006A090D" w:rsidRDefault="00BB42F2" w:rsidP="00BE020B">
            <w:pPr>
              <w:jc w:val="both"/>
              <w:rPr>
                <w:rFonts w:ascii="Times New Roman" w:hAnsi="Times New Roman"/>
              </w:rPr>
            </w:pPr>
            <w:r w:rsidRPr="006A090D">
              <w:rPr>
                <w:rFonts w:ascii="Times New Roman" w:hAnsi="Times New Roman"/>
                <w:color w:val="000000"/>
                <w:sz w:val="20"/>
                <w:szCs w:val="20"/>
              </w:rPr>
              <w:t>Tiež sa predpokladajú finančné náklady v súvislosti s vykonaním laboratórnych testov ako je kompatibilita identifikačnej látky s </w:t>
            </w:r>
            <w:proofErr w:type="spellStart"/>
            <w:r w:rsidRPr="006A090D">
              <w:rPr>
                <w:rFonts w:ascii="Times New Roman" w:hAnsi="Times New Roman"/>
                <w:color w:val="000000"/>
                <w:sz w:val="20"/>
                <w:szCs w:val="20"/>
              </w:rPr>
              <w:t>aditívami</w:t>
            </w:r>
            <w:proofErr w:type="spellEnd"/>
            <w:r w:rsidRPr="006A090D">
              <w:rPr>
                <w:rFonts w:ascii="Times New Roman" w:hAnsi="Times New Roman"/>
                <w:color w:val="000000"/>
                <w:sz w:val="20"/>
                <w:szCs w:val="20"/>
              </w:rPr>
              <w:t xml:space="preserve"> s vlastnou pohonnou hmotou, nízkoteplotnými vlastnosťami a pod., a to približne vo výške 25 000 eur.</w:t>
            </w:r>
          </w:p>
          <w:p w:rsidR="00BB42F2" w:rsidRPr="004403D3" w:rsidRDefault="00BB42F2" w:rsidP="00BE020B">
            <w:pPr>
              <w:rPr>
                <w:rFonts w:ascii="Times New Roman" w:hAnsi="Times New Roman"/>
                <w:i/>
                <w:sz w:val="20"/>
                <w:szCs w:val="20"/>
              </w:rPr>
            </w:pPr>
          </w:p>
          <w:p w:rsidR="00BB42F2" w:rsidRPr="004403D3" w:rsidRDefault="00BB42F2" w:rsidP="00BE020B">
            <w:pPr>
              <w:rPr>
                <w:rFonts w:ascii="Times New Roman" w:hAnsi="Times New Roman"/>
                <w:b/>
                <w:sz w:val="20"/>
                <w:szCs w:val="20"/>
              </w:rPr>
            </w:pPr>
            <w:r w:rsidRPr="004403D3">
              <w:rPr>
                <w:rFonts w:ascii="Times New Roman" w:hAnsi="Times New Roman"/>
                <w:b/>
                <w:sz w:val="20"/>
                <w:szCs w:val="20"/>
              </w:rPr>
              <w:t>Čl. II</w:t>
            </w:r>
          </w:p>
          <w:p w:rsidR="00BB42F2" w:rsidRPr="004403D3" w:rsidRDefault="00BB42F2" w:rsidP="00BE020B">
            <w:pPr>
              <w:rPr>
                <w:rFonts w:ascii="Times New Roman" w:hAnsi="Times New Roman"/>
                <w:i/>
                <w:sz w:val="20"/>
                <w:szCs w:val="20"/>
              </w:rPr>
            </w:pPr>
          </w:p>
          <w:p w:rsidR="00BB42F2" w:rsidRPr="004403D3" w:rsidRDefault="00BB42F2" w:rsidP="00BE020B">
            <w:pPr>
              <w:rPr>
                <w:rFonts w:ascii="Times New Roman" w:hAnsi="Times New Roman"/>
                <w:sz w:val="20"/>
                <w:szCs w:val="20"/>
              </w:rPr>
            </w:pPr>
            <w:r w:rsidRPr="004403D3">
              <w:rPr>
                <w:rFonts w:ascii="Times New Roman" w:hAnsi="Times New Roman"/>
                <w:sz w:val="20"/>
                <w:szCs w:val="20"/>
              </w:rPr>
              <w:t>Nepredpokladajú sa nepriame finančné náklady.</w:t>
            </w:r>
          </w:p>
          <w:p w:rsidR="00BB42F2" w:rsidRPr="003C289B" w:rsidRDefault="00BB42F2" w:rsidP="00BE020B">
            <w:pPr>
              <w:rPr>
                <w:rFonts w:ascii="Times New Roman" w:hAnsi="Times New Roman"/>
                <w:b/>
                <w:i/>
              </w:rPr>
            </w:pPr>
          </w:p>
        </w:tc>
      </w:tr>
      <w:tr w:rsidR="00BB42F2" w:rsidRPr="003C289B" w:rsidTr="00BE020B">
        <w:tc>
          <w:tcPr>
            <w:tcW w:w="9212" w:type="dxa"/>
          </w:tcPr>
          <w:p w:rsidR="00BB42F2" w:rsidRPr="003C289B" w:rsidRDefault="00BB42F2" w:rsidP="00BE020B">
            <w:pPr>
              <w:rPr>
                <w:rFonts w:ascii="Times New Roman" w:hAnsi="Times New Roman"/>
                <w:b/>
                <w:i/>
              </w:rPr>
            </w:pPr>
            <w:r w:rsidRPr="003C289B">
              <w:rPr>
                <w:rFonts w:ascii="Times New Roman" w:hAnsi="Times New Roman"/>
                <w:b/>
                <w:i/>
              </w:rPr>
              <w:t>3.3.3 Administratívne náklady</w:t>
            </w:r>
          </w:p>
          <w:p w:rsidR="00BB42F2" w:rsidRPr="003C289B" w:rsidRDefault="00BB42F2" w:rsidP="00BE020B">
            <w:pPr>
              <w:jc w:val="both"/>
              <w:rPr>
                <w:rFonts w:ascii="Times New Roman" w:hAnsi="Times New Roman"/>
                <w:i/>
              </w:rPr>
            </w:pPr>
            <w:r w:rsidRPr="003C289B">
              <w:rPr>
                <w:rFonts w:ascii="Times New Roman" w:hAnsi="Times New Roman"/>
                <w:i/>
              </w:rPr>
              <w:t>Dochádza k zavedeniu nových informačných povinností alebo odstráneniu, príp. úprave existujúcich informačných povinností? (napr. zmena požadovaných dát, zmena frekvencie reportovania, zmena formy predkladania a pod.) Ak áno, popíšte a vyčíslite administratívne náklady. Uveďte tiež spôsob ich výpočtu.</w:t>
            </w:r>
          </w:p>
        </w:tc>
      </w:tr>
      <w:tr w:rsidR="00BB42F2" w:rsidRPr="003C289B" w:rsidTr="00BE020B">
        <w:tc>
          <w:tcPr>
            <w:tcW w:w="9212" w:type="dxa"/>
          </w:tcPr>
          <w:p w:rsidR="00BB42F2" w:rsidRPr="004403D3" w:rsidRDefault="00BB42F2" w:rsidP="00BE020B">
            <w:pPr>
              <w:rPr>
                <w:rFonts w:ascii="Times New Roman" w:hAnsi="Times New Roman"/>
                <w:b/>
                <w:sz w:val="20"/>
                <w:szCs w:val="20"/>
              </w:rPr>
            </w:pPr>
            <w:r w:rsidRPr="004403D3">
              <w:rPr>
                <w:rFonts w:ascii="Times New Roman" w:hAnsi="Times New Roman"/>
                <w:b/>
                <w:sz w:val="20"/>
                <w:szCs w:val="20"/>
              </w:rPr>
              <w:t>Čl. I</w:t>
            </w:r>
          </w:p>
          <w:p w:rsidR="00BB42F2" w:rsidRPr="003C289B" w:rsidRDefault="00BB42F2" w:rsidP="00BE020B">
            <w:pPr>
              <w:rPr>
                <w:rFonts w:ascii="Times New Roman" w:hAnsi="Times New Roman"/>
              </w:rPr>
            </w:pPr>
          </w:p>
          <w:p w:rsidR="00BB42F2" w:rsidRPr="004403D3" w:rsidRDefault="00BB42F2" w:rsidP="00BB42F2">
            <w:pPr>
              <w:jc w:val="both"/>
              <w:rPr>
                <w:rFonts w:ascii="Times New Roman" w:hAnsi="Times New Roman"/>
                <w:sz w:val="20"/>
                <w:szCs w:val="20"/>
              </w:rPr>
            </w:pPr>
            <w:r w:rsidRPr="002E36DF">
              <w:rPr>
                <w:rFonts w:ascii="Times New Roman" w:hAnsi="Times New Roman"/>
                <w:sz w:val="20"/>
                <w:szCs w:val="20"/>
              </w:rPr>
              <w:t>Predpokladá sa zvýšenie administratívnej záťaže pre tie subjekty, ktoré budú povinné označovať motorový benzín a motorovú naftu identifikačnou látkou pred ich uvedením do daňového voľného obehu na daňovom území, súvisiace s odberom, vrátením identifikačnej látky a vedením evidencie odberu a použitia identifikačnej látky. Uvedené náklady nie je možné jednoznačne kvantifikovať.</w:t>
            </w:r>
          </w:p>
          <w:p w:rsidR="00BB42F2" w:rsidRPr="004403D3" w:rsidRDefault="00BB42F2" w:rsidP="00BE020B">
            <w:pPr>
              <w:rPr>
                <w:rFonts w:ascii="Times New Roman" w:hAnsi="Times New Roman"/>
                <w:b/>
                <w:sz w:val="20"/>
                <w:szCs w:val="20"/>
              </w:rPr>
            </w:pPr>
            <w:r w:rsidRPr="004403D3">
              <w:rPr>
                <w:rFonts w:ascii="Times New Roman" w:hAnsi="Times New Roman"/>
                <w:b/>
                <w:sz w:val="20"/>
                <w:szCs w:val="20"/>
              </w:rPr>
              <w:lastRenderedPageBreak/>
              <w:t>Čl. II</w:t>
            </w:r>
          </w:p>
          <w:p w:rsidR="00BB42F2" w:rsidRDefault="00BB42F2" w:rsidP="00BE020B">
            <w:pPr>
              <w:rPr>
                <w:rFonts w:ascii="Times New Roman" w:hAnsi="Times New Roman"/>
              </w:rPr>
            </w:pPr>
          </w:p>
          <w:p w:rsidR="00BB42F2" w:rsidRPr="004403D3" w:rsidRDefault="00BB42F2" w:rsidP="00BE020B">
            <w:pPr>
              <w:jc w:val="both"/>
              <w:rPr>
                <w:rFonts w:ascii="Times New Roman" w:hAnsi="Times New Roman"/>
                <w:i/>
                <w:sz w:val="20"/>
                <w:szCs w:val="20"/>
              </w:rPr>
            </w:pPr>
            <w:r w:rsidRPr="004403D3">
              <w:rPr>
                <w:rFonts w:ascii="Times New Roman" w:hAnsi="Times New Roman"/>
                <w:sz w:val="20"/>
                <w:szCs w:val="20"/>
              </w:rPr>
              <w:t xml:space="preserve">Výrobcovia výživových doplnkov sa budú registrovať ako daňové sklady a osoby, ktoré prepravujú na daňové územie tieto produkty z krajín EÚ budú musieť byť registrovaní ako oprávnení príjemcovia. Preprava nezdaneného tovaru je možná len na základe elektronického sprievodného administratívneho dokumentu vyhotoveného prostredníctvom elektronického systému na prepravu a kontrolu výrobkov podliehajúcich spotrebnej dani (EMCS). </w:t>
            </w:r>
          </w:p>
          <w:p w:rsidR="00BB42F2" w:rsidRPr="003C289B" w:rsidRDefault="00BB42F2" w:rsidP="00BE020B">
            <w:pPr>
              <w:rPr>
                <w:rFonts w:ascii="Times New Roman" w:hAnsi="Times New Roman"/>
              </w:rPr>
            </w:pPr>
          </w:p>
        </w:tc>
      </w:tr>
      <w:tr w:rsidR="00BB42F2" w:rsidRPr="003C289B" w:rsidTr="00BE020B">
        <w:trPr>
          <w:trHeight w:val="2318"/>
        </w:trPr>
        <w:tc>
          <w:tcPr>
            <w:tcW w:w="9212" w:type="dxa"/>
          </w:tcPr>
          <w:p w:rsidR="00BB42F2" w:rsidRPr="003C289B" w:rsidRDefault="00BB42F2" w:rsidP="00BE020B">
            <w:pPr>
              <w:rPr>
                <w:rFonts w:ascii="Times New Roman" w:hAnsi="Times New Roman"/>
                <w:i/>
              </w:rPr>
            </w:pPr>
            <w:r w:rsidRPr="003C289B">
              <w:rPr>
                <w:rFonts w:ascii="Times New Roman" w:hAnsi="Times New Roman"/>
                <w:b/>
                <w:i/>
              </w:rPr>
              <w:lastRenderedPageBreak/>
              <w:t>3.3.4 Súhrnná tabuľka nákladov regulácie</w:t>
            </w:r>
          </w:p>
          <w:p w:rsidR="00BB42F2" w:rsidRPr="008C0E17" w:rsidRDefault="00BB42F2" w:rsidP="00BE020B">
            <w:pPr>
              <w:jc w:val="both"/>
              <w:rPr>
                <w:rFonts w:ascii="Times New Roman" w:hAnsi="Times New Roman"/>
              </w:rPr>
            </w:pPr>
          </w:p>
          <w:tbl>
            <w:tblPr>
              <w:tblStyle w:val="Mriekatabuky"/>
              <w:tblW w:w="0" w:type="auto"/>
              <w:tblLook w:val="04A0" w:firstRow="1" w:lastRow="0" w:firstColumn="1" w:lastColumn="0" w:noHBand="0" w:noVBand="1"/>
            </w:tblPr>
            <w:tblGrid>
              <w:gridCol w:w="2942"/>
              <w:gridCol w:w="2946"/>
              <w:gridCol w:w="2946"/>
            </w:tblGrid>
            <w:tr w:rsidR="00BB42F2" w:rsidRPr="003C289B" w:rsidTr="00BE020B">
              <w:tc>
                <w:tcPr>
                  <w:tcW w:w="2993" w:type="dxa"/>
                  <w:tcBorders>
                    <w:top w:val="single" w:sz="4" w:space="0" w:color="auto"/>
                    <w:left w:val="single" w:sz="4" w:space="0" w:color="auto"/>
                    <w:bottom w:val="single" w:sz="4" w:space="0" w:color="auto"/>
                    <w:right w:val="single" w:sz="4" w:space="0" w:color="auto"/>
                  </w:tcBorders>
                </w:tcPr>
                <w:p w:rsidR="00BB42F2" w:rsidRPr="003C289B" w:rsidRDefault="00BB42F2" w:rsidP="00BE020B">
                  <w:pPr>
                    <w:rPr>
                      <w:rFonts w:ascii="Times New Roman" w:hAnsi="Times New Roman"/>
                      <w:i/>
                    </w:rPr>
                  </w:pPr>
                </w:p>
              </w:tc>
              <w:tc>
                <w:tcPr>
                  <w:tcW w:w="2994" w:type="dxa"/>
                  <w:tcBorders>
                    <w:top w:val="single" w:sz="4" w:space="0" w:color="auto"/>
                    <w:left w:val="single" w:sz="4" w:space="0" w:color="auto"/>
                    <w:bottom w:val="single" w:sz="4" w:space="0" w:color="auto"/>
                    <w:right w:val="single" w:sz="4" w:space="0" w:color="auto"/>
                  </w:tcBorders>
                </w:tcPr>
                <w:p w:rsidR="00BB42F2" w:rsidRPr="003C289B" w:rsidRDefault="00BB42F2" w:rsidP="00BE020B">
                  <w:pPr>
                    <w:jc w:val="center"/>
                    <w:rPr>
                      <w:rFonts w:ascii="Times New Roman" w:hAnsi="Times New Roman"/>
                      <w:i/>
                    </w:rPr>
                  </w:pPr>
                  <w:r w:rsidRPr="003C289B">
                    <w:rPr>
                      <w:rFonts w:ascii="Times New Roman" w:hAnsi="Times New Roman"/>
                      <w:i/>
                    </w:rPr>
                    <w:t>Náklady na 1 podnikateľa</w:t>
                  </w:r>
                </w:p>
              </w:tc>
              <w:tc>
                <w:tcPr>
                  <w:tcW w:w="2994" w:type="dxa"/>
                  <w:tcBorders>
                    <w:top w:val="single" w:sz="4" w:space="0" w:color="auto"/>
                    <w:left w:val="single" w:sz="4" w:space="0" w:color="auto"/>
                    <w:bottom w:val="single" w:sz="4" w:space="0" w:color="auto"/>
                    <w:right w:val="single" w:sz="4" w:space="0" w:color="auto"/>
                  </w:tcBorders>
                </w:tcPr>
                <w:p w:rsidR="00BB42F2" w:rsidRPr="003C289B" w:rsidRDefault="00BB42F2" w:rsidP="00BE020B">
                  <w:pPr>
                    <w:jc w:val="center"/>
                    <w:rPr>
                      <w:rFonts w:ascii="Times New Roman" w:hAnsi="Times New Roman"/>
                      <w:i/>
                    </w:rPr>
                  </w:pPr>
                  <w:r w:rsidRPr="003C289B">
                    <w:rPr>
                      <w:rFonts w:ascii="Times New Roman" w:hAnsi="Times New Roman"/>
                      <w:i/>
                    </w:rPr>
                    <w:t>Náklady na celé podnikateľské prostredie</w:t>
                  </w:r>
                </w:p>
              </w:tc>
            </w:tr>
            <w:tr w:rsidR="00BB42F2" w:rsidRPr="003C289B" w:rsidTr="00BE020B">
              <w:tc>
                <w:tcPr>
                  <w:tcW w:w="2993" w:type="dxa"/>
                  <w:tcBorders>
                    <w:top w:val="single" w:sz="4" w:space="0" w:color="auto"/>
                    <w:left w:val="single" w:sz="4" w:space="0" w:color="auto"/>
                    <w:bottom w:val="single" w:sz="4" w:space="0" w:color="auto"/>
                    <w:right w:val="single" w:sz="4" w:space="0" w:color="auto"/>
                  </w:tcBorders>
                </w:tcPr>
                <w:p w:rsidR="00BB42F2" w:rsidRPr="003C289B" w:rsidRDefault="00BB42F2" w:rsidP="00BE020B">
                  <w:pPr>
                    <w:rPr>
                      <w:rFonts w:ascii="Times New Roman" w:hAnsi="Times New Roman"/>
                      <w:i/>
                    </w:rPr>
                  </w:pPr>
                  <w:r w:rsidRPr="003C289B">
                    <w:rPr>
                      <w:rFonts w:ascii="Times New Roman" w:hAnsi="Times New Roman"/>
                      <w:i/>
                    </w:rPr>
                    <w:t>Priame finančné náklady</w:t>
                  </w:r>
                </w:p>
              </w:tc>
              <w:tc>
                <w:tcPr>
                  <w:tcW w:w="2994" w:type="dxa"/>
                  <w:tcBorders>
                    <w:top w:val="single" w:sz="4" w:space="0" w:color="auto"/>
                    <w:left w:val="single" w:sz="4" w:space="0" w:color="auto"/>
                    <w:bottom w:val="single" w:sz="4" w:space="0" w:color="auto"/>
                    <w:right w:val="single" w:sz="4" w:space="0" w:color="auto"/>
                  </w:tcBorders>
                </w:tcPr>
                <w:p w:rsidR="00BB42F2" w:rsidRPr="003C289B" w:rsidRDefault="00BB42F2" w:rsidP="00BE020B">
                  <w:pPr>
                    <w:jc w:val="center"/>
                    <w:rPr>
                      <w:rFonts w:ascii="Times New Roman" w:hAnsi="Times New Roman"/>
                      <w:i/>
                    </w:rPr>
                  </w:pPr>
                  <w:r>
                    <w:rPr>
                      <w:rFonts w:ascii="Times New Roman" w:hAnsi="Times New Roman"/>
                      <w:i/>
                    </w:rPr>
                    <w:t>nekvantifikované</w:t>
                  </w:r>
                </w:p>
              </w:tc>
              <w:tc>
                <w:tcPr>
                  <w:tcW w:w="2994" w:type="dxa"/>
                  <w:tcBorders>
                    <w:top w:val="single" w:sz="4" w:space="0" w:color="auto"/>
                    <w:left w:val="single" w:sz="4" w:space="0" w:color="auto"/>
                    <w:bottom w:val="single" w:sz="4" w:space="0" w:color="auto"/>
                    <w:right w:val="single" w:sz="4" w:space="0" w:color="auto"/>
                  </w:tcBorders>
                </w:tcPr>
                <w:p w:rsidR="00BB42F2" w:rsidRPr="003C289B" w:rsidRDefault="00BB42F2" w:rsidP="00BE020B">
                  <w:pPr>
                    <w:jc w:val="center"/>
                    <w:rPr>
                      <w:rFonts w:ascii="Times New Roman" w:hAnsi="Times New Roman"/>
                      <w:i/>
                    </w:rPr>
                  </w:pPr>
                  <w:r>
                    <w:rPr>
                      <w:rFonts w:ascii="Times New Roman" w:hAnsi="Times New Roman"/>
                      <w:i/>
                    </w:rPr>
                    <w:t>nekvantifikované</w:t>
                  </w:r>
                </w:p>
              </w:tc>
            </w:tr>
            <w:tr w:rsidR="00BB42F2" w:rsidRPr="003C289B" w:rsidTr="00BE020B">
              <w:tc>
                <w:tcPr>
                  <w:tcW w:w="2993" w:type="dxa"/>
                  <w:tcBorders>
                    <w:top w:val="single" w:sz="4" w:space="0" w:color="auto"/>
                    <w:left w:val="single" w:sz="4" w:space="0" w:color="auto"/>
                    <w:bottom w:val="single" w:sz="4" w:space="0" w:color="auto"/>
                    <w:right w:val="single" w:sz="4" w:space="0" w:color="auto"/>
                  </w:tcBorders>
                </w:tcPr>
                <w:p w:rsidR="00BB42F2" w:rsidRPr="003C289B" w:rsidRDefault="00BB42F2" w:rsidP="00BE020B">
                  <w:pPr>
                    <w:rPr>
                      <w:rFonts w:ascii="Times New Roman" w:hAnsi="Times New Roman"/>
                      <w:i/>
                    </w:rPr>
                  </w:pPr>
                  <w:r w:rsidRPr="003C289B">
                    <w:rPr>
                      <w:rFonts w:ascii="Times New Roman" w:hAnsi="Times New Roman"/>
                      <w:i/>
                    </w:rPr>
                    <w:t>Nepriame finančné náklady</w:t>
                  </w:r>
                </w:p>
              </w:tc>
              <w:tc>
                <w:tcPr>
                  <w:tcW w:w="2994" w:type="dxa"/>
                  <w:tcBorders>
                    <w:top w:val="single" w:sz="4" w:space="0" w:color="auto"/>
                    <w:left w:val="single" w:sz="4" w:space="0" w:color="auto"/>
                    <w:bottom w:val="single" w:sz="4" w:space="0" w:color="auto"/>
                    <w:right w:val="single" w:sz="4" w:space="0" w:color="auto"/>
                  </w:tcBorders>
                </w:tcPr>
                <w:p w:rsidR="00BB42F2" w:rsidRPr="003C289B" w:rsidRDefault="00BB42F2" w:rsidP="00BE020B">
                  <w:pPr>
                    <w:jc w:val="center"/>
                    <w:rPr>
                      <w:rFonts w:ascii="Times New Roman" w:hAnsi="Times New Roman"/>
                      <w:i/>
                    </w:rPr>
                  </w:pPr>
                  <w:r w:rsidRPr="003C289B">
                    <w:rPr>
                      <w:rFonts w:ascii="Times New Roman" w:hAnsi="Times New Roman"/>
                      <w:i/>
                    </w:rPr>
                    <w:t>0</w:t>
                  </w:r>
                </w:p>
              </w:tc>
              <w:tc>
                <w:tcPr>
                  <w:tcW w:w="2994" w:type="dxa"/>
                  <w:tcBorders>
                    <w:top w:val="single" w:sz="4" w:space="0" w:color="auto"/>
                    <w:left w:val="single" w:sz="4" w:space="0" w:color="auto"/>
                    <w:bottom w:val="single" w:sz="4" w:space="0" w:color="auto"/>
                    <w:right w:val="single" w:sz="4" w:space="0" w:color="auto"/>
                  </w:tcBorders>
                </w:tcPr>
                <w:p w:rsidR="00BB42F2" w:rsidRPr="003C289B" w:rsidRDefault="00BB42F2" w:rsidP="00BE020B">
                  <w:pPr>
                    <w:jc w:val="center"/>
                    <w:rPr>
                      <w:rFonts w:ascii="Times New Roman" w:hAnsi="Times New Roman"/>
                      <w:i/>
                    </w:rPr>
                  </w:pPr>
                  <w:r w:rsidRPr="003C289B">
                    <w:rPr>
                      <w:rFonts w:ascii="Times New Roman" w:hAnsi="Times New Roman"/>
                      <w:i/>
                    </w:rPr>
                    <w:t>0</w:t>
                  </w:r>
                </w:p>
              </w:tc>
            </w:tr>
            <w:tr w:rsidR="00BB42F2" w:rsidRPr="003C289B" w:rsidTr="00BE020B">
              <w:tc>
                <w:tcPr>
                  <w:tcW w:w="2993" w:type="dxa"/>
                  <w:tcBorders>
                    <w:top w:val="single" w:sz="4" w:space="0" w:color="auto"/>
                    <w:left w:val="single" w:sz="4" w:space="0" w:color="auto"/>
                    <w:bottom w:val="single" w:sz="4" w:space="0" w:color="auto"/>
                    <w:right w:val="single" w:sz="4" w:space="0" w:color="auto"/>
                  </w:tcBorders>
                </w:tcPr>
                <w:p w:rsidR="00BB42F2" w:rsidRPr="003C289B" w:rsidRDefault="00BB42F2" w:rsidP="00BE020B">
                  <w:pPr>
                    <w:rPr>
                      <w:rFonts w:ascii="Times New Roman" w:hAnsi="Times New Roman"/>
                      <w:i/>
                    </w:rPr>
                  </w:pPr>
                  <w:r w:rsidRPr="003C289B">
                    <w:rPr>
                      <w:rFonts w:ascii="Times New Roman" w:hAnsi="Times New Roman"/>
                      <w:i/>
                    </w:rPr>
                    <w:t>Administratívne náklady</w:t>
                  </w:r>
                </w:p>
              </w:tc>
              <w:tc>
                <w:tcPr>
                  <w:tcW w:w="2994" w:type="dxa"/>
                  <w:tcBorders>
                    <w:top w:val="single" w:sz="4" w:space="0" w:color="auto"/>
                    <w:left w:val="single" w:sz="4" w:space="0" w:color="auto"/>
                    <w:bottom w:val="single" w:sz="4" w:space="0" w:color="auto"/>
                    <w:right w:val="single" w:sz="4" w:space="0" w:color="auto"/>
                  </w:tcBorders>
                </w:tcPr>
                <w:p w:rsidR="00BB42F2" w:rsidRPr="003C289B" w:rsidRDefault="00BB42F2" w:rsidP="00BE020B">
                  <w:pPr>
                    <w:jc w:val="center"/>
                    <w:rPr>
                      <w:rFonts w:ascii="Times New Roman" w:hAnsi="Times New Roman"/>
                      <w:i/>
                    </w:rPr>
                  </w:pPr>
                  <w:r>
                    <w:rPr>
                      <w:rFonts w:ascii="Times New Roman" w:hAnsi="Times New Roman"/>
                      <w:i/>
                    </w:rPr>
                    <w:t>nekvantifikované</w:t>
                  </w:r>
                </w:p>
              </w:tc>
              <w:tc>
                <w:tcPr>
                  <w:tcW w:w="2994" w:type="dxa"/>
                  <w:tcBorders>
                    <w:top w:val="single" w:sz="4" w:space="0" w:color="auto"/>
                    <w:left w:val="single" w:sz="4" w:space="0" w:color="auto"/>
                    <w:bottom w:val="single" w:sz="4" w:space="0" w:color="auto"/>
                    <w:right w:val="single" w:sz="4" w:space="0" w:color="auto"/>
                  </w:tcBorders>
                </w:tcPr>
                <w:p w:rsidR="00BB42F2" w:rsidRPr="003C289B" w:rsidRDefault="00BB42F2" w:rsidP="00BE020B">
                  <w:pPr>
                    <w:jc w:val="center"/>
                    <w:rPr>
                      <w:rFonts w:ascii="Times New Roman" w:hAnsi="Times New Roman"/>
                      <w:i/>
                    </w:rPr>
                  </w:pPr>
                  <w:r>
                    <w:rPr>
                      <w:rFonts w:ascii="Times New Roman" w:hAnsi="Times New Roman"/>
                      <w:i/>
                    </w:rPr>
                    <w:t>nekvantifikované</w:t>
                  </w:r>
                </w:p>
              </w:tc>
            </w:tr>
            <w:tr w:rsidR="00BB42F2" w:rsidRPr="003C289B" w:rsidTr="00BE020B">
              <w:tc>
                <w:tcPr>
                  <w:tcW w:w="2993" w:type="dxa"/>
                  <w:tcBorders>
                    <w:top w:val="single" w:sz="4" w:space="0" w:color="auto"/>
                    <w:left w:val="single" w:sz="4" w:space="0" w:color="auto"/>
                    <w:bottom w:val="single" w:sz="4" w:space="0" w:color="auto"/>
                    <w:right w:val="single" w:sz="4" w:space="0" w:color="auto"/>
                  </w:tcBorders>
                </w:tcPr>
                <w:p w:rsidR="00BB42F2" w:rsidRPr="003C289B" w:rsidRDefault="00BB42F2" w:rsidP="00BE020B">
                  <w:pPr>
                    <w:rPr>
                      <w:rFonts w:ascii="Times New Roman" w:hAnsi="Times New Roman"/>
                      <w:b/>
                      <w:i/>
                      <w:highlight w:val="yellow"/>
                    </w:rPr>
                  </w:pPr>
                  <w:r w:rsidRPr="003C289B">
                    <w:rPr>
                      <w:rFonts w:ascii="Times New Roman" w:hAnsi="Times New Roman"/>
                      <w:b/>
                      <w:i/>
                    </w:rPr>
                    <w:t>Celkové náklady regulácie</w:t>
                  </w:r>
                </w:p>
              </w:tc>
              <w:tc>
                <w:tcPr>
                  <w:tcW w:w="2994" w:type="dxa"/>
                  <w:tcBorders>
                    <w:top w:val="single" w:sz="4" w:space="0" w:color="auto"/>
                    <w:left w:val="single" w:sz="4" w:space="0" w:color="auto"/>
                    <w:bottom w:val="single" w:sz="4" w:space="0" w:color="auto"/>
                    <w:right w:val="single" w:sz="4" w:space="0" w:color="auto"/>
                  </w:tcBorders>
                </w:tcPr>
                <w:p w:rsidR="00BB42F2" w:rsidRPr="000F671D" w:rsidRDefault="00BB42F2" w:rsidP="00BE020B">
                  <w:pPr>
                    <w:jc w:val="center"/>
                    <w:rPr>
                      <w:rFonts w:ascii="Times New Roman" w:hAnsi="Times New Roman"/>
                      <w:b/>
                      <w:i/>
                      <w:highlight w:val="yellow"/>
                    </w:rPr>
                  </w:pPr>
                  <w:r>
                    <w:rPr>
                      <w:rFonts w:ascii="Times New Roman" w:hAnsi="Times New Roman"/>
                      <w:i/>
                    </w:rPr>
                    <w:t>nekvantifikované</w:t>
                  </w:r>
                </w:p>
              </w:tc>
              <w:tc>
                <w:tcPr>
                  <w:tcW w:w="2994" w:type="dxa"/>
                  <w:tcBorders>
                    <w:top w:val="single" w:sz="4" w:space="0" w:color="auto"/>
                    <w:left w:val="single" w:sz="4" w:space="0" w:color="auto"/>
                    <w:bottom w:val="single" w:sz="4" w:space="0" w:color="auto"/>
                    <w:right w:val="single" w:sz="4" w:space="0" w:color="auto"/>
                  </w:tcBorders>
                </w:tcPr>
                <w:p w:rsidR="00BB42F2" w:rsidRPr="0034037E" w:rsidRDefault="00BB42F2" w:rsidP="00BE020B">
                  <w:pPr>
                    <w:jc w:val="center"/>
                    <w:rPr>
                      <w:rFonts w:ascii="Times New Roman" w:hAnsi="Times New Roman"/>
                      <w:i/>
                      <w:highlight w:val="yellow"/>
                    </w:rPr>
                  </w:pPr>
                  <w:r w:rsidRPr="0034037E">
                    <w:rPr>
                      <w:rFonts w:ascii="Times New Roman" w:hAnsi="Times New Roman"/>
                      <w:i/>
                    </w:rPr>
                    <w:t>nekvantifikované</w:t>
                  </w:r>
                </w:p>
              </w:tc>
            </w:tr>
          </w:tbl>
          <w:p w:rsidR="00BB42F2" w:rsidRPr="003C289B" w:rsidRDefault="00BB42F2" w:rsidP="00BE020B">
            <w:pPr>
              <w:rPr>
                <w:rFonts w:ascii="Times New Roman" w:hAnsi="Times New Roman"/>
                <w:i/>
              </w:rPr>
            </w:pPr>
          </w:p>
        </w:tc>
      </w:tr>
      <w:tr w:rsidR="00BB42F2" w:rsidRPr="003C289B" w:rsidTr="00BE020B">
        <w:tc>
          <w:tcPr>
            <w:tcW w:w="9212" w:type="dxa"/>
            <w:shd w:val="clear" w:color="auto" w:fill="D9D9D9" w:themeFill="background1" w:themeFillShade="D9"/>
          </w:tcPr>
          <w:p w:rsidR="00BB42F2" w:rsidRPr="003C289B" w:rsidRDefault="00BB42F2" w:rsidP="00BE020B">
            <w:pPr>
              <w:rPr>
                <w:rFonts w:ascii="Times New Roman" w:hAnsi="Times New Roman"/>
                <w:b/>
              </w:rPr>
            </w:pPr>
            <w:r w:rsidRPr="003C289B">
              <w:rPr>
                <w:rFonts w:ascii="Times New Roman" w:hAnsi="Times New Roman"/>
                <w:b/>
              </w:rPr>
              <w:t>3.4 Konkurencieschopnosť a správanie sa podnikov na trhu</w:t>
            </w:r>
          </w:p>
          <w:p w:rsidR="00BB42F2" w:rsidRPr="003C289B" w:rsidRDefault="00BB42F2" w:rsidP="00BE020B">
            <w:pPr>
              <w:rPr>
                <w:rFonts w:ascii="Times New Roman" w:hAnsi="Times New Roman"/>
              </w:rPr>
            </w:pPr>
            <w:r w:rsidRPr="003C289B">
              <w:rPr>
                <w:rFonts w:ascii="Times New Roman" w:hAnsi="Times New Roman"/>
                <w:b/>
              </w:rPr>
              <w:t xml:space="preserve">       </w:t>
            </w:r>
            <w:r w:rsidRPr="003C289B">
              <w:rPr>
                <w:rFonts w:ascii="Times New Roman" w:hAnsi="Times New Roman"/>
              </w:rPr>
              <w:t xml:space="preserve">- </w:t>
            </w:r>
            <w:r w:rsidRPr="003C289B">
              <w:rPr>
                <w:rFonts w:ascii="Times New Roman" w:hAnsi="Times New Roman"/>
                <w:b/>
              </w:rPr>
              <w:t>z toho MSP</w:t>
            </w:r>
          </w:p>
        </w:tc>
      </w:tr>
      <w:tr w:rsidR="00BB42F2" w:rsidRPr="003C289B" w:rsidTr="00BE020B">
        <w:tc>
          <w:tcPr>
            <w:tcW w:w="9212" w:type="dxa"/>
          </w:tcPr>
          <w:p w:rsidR="00BB42F2" w:rsidRPr="003C289B" w:rsidRDefault="00BB42F2" w:rsidP="00BE020B">
            <w:pPr>
              <w:jc w:val="both"/>
              <w:rPr>
                <w:rFonts w:ascii="Times New Roman" w:hAnsi="Times New Roman"/>
                <w:i/>
              </w:rPr>
            </w:pPr>
            <w:r w:rsidRPr="003C289B">
              <w:rPr>
                <w:rFonts w:ascii="Times New Roman" w:hAnsi="Times New Roman"/>
                <w:i/>
              </w:rPr>
              <w:t xml:space="preserve">Dochádza k vytvoreniu bariér pre vstup na trh pre nových dodávateľov alebo poskytovateľov služieb? Bude mať navrhovaná zmena za následok prísnejšiu reguláciu správania sa niektorých podnikov? Bude sa s niektorými podnikmi alebo produktmi zaobchádzať v porovnateľnej situácii rôzne (špeciálne režimy pre </w:t>
            </w:r>
            <w:proofErr w:type="spellStart"/>
            <w:r w:rsidRPr="003C289B">
              <w:rPr>
                <w:rFonts w:ascii="Times New Roman" w:hAnsi="Times New Roman"/>
                <w:i/>
              </w:rPr>
              <w:t>mikro</w:t>
            </w:r>
            <w:proofErr w:type="spellEnd"/>
            <w:r w:rsidRPr="003C289B">
              <w:rPr>
                <w:rFonts w:ascii="Times New Roman" w:hAnsi="Times New Roman"/>
                <w:i/>
              </w:rPr>
              <w:t>, malé a stredné podniky tzv. MSP)? Ak áno, popíšte.</w:t>
            </w:r>
          </w:p>
          <w:p w:rsidR="00BB42F2" w:rsidRPr="003C289B" w:rsidRDefault="00BB42F2" w:rsidP="00BE020B">
            <w:pPr>
              <w:jc w:val="both"/>
              <w:rPr>
                <w:rFonts w:ascii="Times New Roman" w:hAnsi="Times New Roman"/>
                <w:i/>
              </w:rPr>
            </w:pPr>
            <w:r w:rsidRPr="003C289B">
              <w:rPr>
                <w:rFonts w:ascii="Times New Roman" w:hAnsi="Times New Roman"/>
                <w:i/>
              </w:rPr>
              <w:t>Aký vplyv bude mať navrhovaná zmena na obchodné bariéry? Bude mať vplyv na vyvolanie cezhraničných investícií (príliv /odliv zahraničných investícií resp. uplatnenie slovenských podnikov na zahraničných trhoch)? Ak áno, popíšte.</w:t>
            </w:r>
          </w:p>
          <w:p w:rsidR="00BB42F2" w:rsidRPr="003C289B" w:rsidRDefault="00BB42F2" w:rsidP="00BE020B">
            <w:pPr>
              <w:jc w:val="both"/>
              <w:rPr>
                <w:rFonts w:ascii="Times New Roman" w:hAnsi="Times New Roman"/>
                <w:i/>
              </w:rPr>
            </w:pPr>
            <w:r w:rsidRPr="003C289B">
              <w:rPr>
                <w:rFonts w:ascii="Times New Roman" w:hAnsi="Times New Roman"/>
                <w:i/>
              </w:rPr>
              <w:t>Ako ovplyvní cenu alebo dostupnosť základných zdrojov (suroviny, mechanizmy, pracovná sila, energie atď.)?</w:t>
            </w:r>
          </w:p>
          <w:p w:rsidR="00BB42F2" w:rsidRPr="003C289B" w:rsidRDefault="00BB42F2" w:rsidP="00BE020B">
            <w:pPr>
              <w:jc w:val="both"/>
              <w:rPr>
                <w:rFonts w:ascii="Times New Roman" w:hAnsi="Times New Roman"/>
                <w:i/>
              </w:rPr>
            </w:pPr>
            <w:r w:rsidRPr="003C289B">
              <w:rPr>
                <w:rFonts w:ascii="Times New Roman" w:hAnsi="Times New Roman"/>
                <w:i/>
              </w:rPr>
              <w:t>Ovplyvňuje prístup k financiám? Ak áno, ako?</w:t>
            </w:r>
          </w:p>
        </w:tc>
      </w:tr>
      <w:tr w:rsidR="00BB42F2" w:rsidRPr="003C289B" w:rsidTr="00BE020B">
        <w:trPr>
          <w:trHeight w:val="522"/>
        </w:trPr>
        <w:tc>
          <w:tcPr>
            <w:tcW w:w="9212" w:type="dxa"/>
          </w:tcPr>
          <w:p w:rsidR="00BB42F2" w:rsidRDefault="00BB42F2" w:rsidP="00BE020B">
            <w:pPr>
              <w:jc w:val="both"/>
              <w:rPr>
                <w:rFonts w:ascii="Times New Roman" w:hAnsi="Times New Roman"/>
                <w:sz w:val="20"/>
                <w:szCs w:val="20"/>
              </w:rPr>
            </w:pPr>
          </w:p>
          <w:p w:rsidR="00BB42F2" w:rsidRPr="004403D3" w:rsidRDefault="00BB42F2" w:rsidP="00BE020B">
            <w:pPr>
              <w:jc w:val="both"/>
              <w:rPr>
                <w:rFonts w:ascii="Times New Roman" w:hAnsi="Times New Roman"/>
                <w:b/>
                <w:sz w:val="20"/>
                <w:szCs w:val="20"/>
              </w:rPr>
            </w:pPr>
            <w:r w:rsidRPr="004403D3">
              <w:rPr>
                <w:rFonts w:ascii="Times New Roman" w:hAnsi="Times New Roman"/>
                <w:b/>
                <w:sz w:val="20"/>
                <w:szCs w:val="20"/>
              </w:rPr>
              <w:t>Nepredpokladá sa vplyv navrhovaných zmien na konkurencieschopnosť a správanie podnikov na trhu.</w:t>
            </w:r>
          </w:p>
          <w:p w:rsidR="00BB42F2" w:rsidRPr="003C289B" w:rsidRDefault="00BB42F2" w:rsidP="00BE020B">
            <w:pPr>
              <w:jc w:val="both"/>
              <w:rPr>
                <w:rFonts w:ascii="Times New Roman" w:hAnsi="Times New Roman"/>
              </w:rPr>
            </w:pPr>
          </w:p>
        </w:tc>
      </w:tr>
      <w:tr w:rsidR="00BB42F2" w:rsidRPr="003C289B" w:rsidTr="00BE020B">
        <w:tc>
          <w:tcPr>
            <w:tcW w:w="9212" w:type="dxa"/>
            <w:shd w:val="clear" w:color="auto" w:fill="D9D9D9" w:themeFill="background1" w:themeFillShade="D9"/>
          </w:tcPr>
          <w:p w:rsidR="00BB42F2" w:rsidRPr="003C289B" w:rsidRDefault="00BB42F2" w:rsidP="00BE020B">
            <w:pPr>
              <w:rPr>
                <w:rFonts w:ascii="Times New Roman" w:hAnsi="Times New Roman"/>
                <w:b/>
              </w:rPr>
            </w:pPr>
            <w:r w:rsidRPr="003C289B">
              <w:rPr>
                <w:rFonts w:ascii="Times New Roman" w:hAnsi="Times New Roman"/>
                <w:b/>
              </w:rPr>
              <w:t xml:space="preserve">3.5 Inovácie </w:t>
            </w:r>
          </w:p>
          <w:p w:rsidR="00BB42F2" w:rsidRPr="003C289B" w:rsidRDefault="00BB42F2" w:rsidP="00BE020B">
            <w:pPr>
              <w:rPr>
                <w:rFonts w:ascii="Times New Roman" w:hAnsi="Times New Roman"/>
                <w:b/>
              </w:rPr>
            </w:pPr>
            <w:r w:rsidRPr="003C289B">
              <w:rPr>
                <w:rFonts w:ascii="Times New Roman" w:hAnsi="Times New Roman"/>
              </w:rPr>
              <w:t xml:space="preserve">       - </w:t>
            </w:r>
            <w:r w:rsidRPr="003C289B">
              <w:rPr>
                <w:rFonts w:ascii="Times New Roman" w:hAnsi="Times New Roman"/>
                <w:b/>
              </w:rPr>
              <w:t>z toho MSP</w:t>
            </w:r>
          </w:p>
        </w:tc>
      </w:tr>
      <w:tr w:rsidR="00BB42F2" w:rsidRPr="003C289B" w:rsidTr="00BE020B">
        <w:tc>
          <w:tcPr>
            <w:tcW w:w="9212" w:type="dxa"/>
          </w:tcPr>
          <w:p w:rsidR="00BB42F2" w:rsidRPr="003C289B" w:rsidRDefault="00BB42F2" w:rsidP="00BE020B">
            <w:pPr>
              <w:jc w:val="both"/>
              <w:rPr>
                <w:rFonts w:ascii="Times New Roman" w:hAnsi="Times New Roman"/>
                <w:i/>
              </w:rPr>
            </w:pPr>
            <w:r w:rsidRPr="003C289B">
              <w:rPr>
                <w:rFonts w:ascii="Times New Roman" w:hAnsi="Times New Roman"/>
                <w:i/>
              </w:rPr>
              <w:t>Uveďte, ako podporuje navrhovaná zmena inovácie.</w:t>
            </w:r>
          </w:p>
          <w:p w:rsidR="00BB42F2" w:rsidRPr="003C289B" w:rsidRDefault="00BB42F2" w:rsidP="00BE020B">
            <w:pPr>
              <w:jc w:val="both"/>
              <w:rPr>
                <w:rFonts w:ascii="Times New Roman" w:hAnsi="Times New Roman"/>
                <w:i/>
              </w:rPr>
            </w:pPr>
            <w:r w:rsidRPr="003C289B">
              <w:rPr>
                <w:rFonts w:ascii="Times New Roman" w:hAnsi="Times New Roman"/>
                <w:i/>
              </w:rPr>
              <w:t>Zjednodušuje uvedenie alebo rozšírenie nových výrobných metód, technológií a výrobkov na trh?</w:t>
            </w:r>
          </w:p>
          <w:p w:rsidR="00BB42F2" w:rsidRPr="003C289B" w:rsidRDefault="00BB42F2" w:rsidP="00BE020B">
            <w:pPr>
              <w:jc w:val="both"/>
              <w:rPr>
                <w:rFonts w:ascii="Times New Roman" w:hAnsi="Times New Roman"/>
                <w:i/>
              </w:rPr>
            </w:pPr>
            <w:r w:rsidRPr="003C289B">
              <w:rPr>
                <w:rFonts w:ascii="Times New Roman" w:hAnsi="Times New Roman"/>
                <w:i/>
              </w:rPr>
              <w:t>Uveďte, ako vplýva navrhovaná zmena na jednotlivé práva duševného vlastníctva (napr. patenty, ochranné známky, autorské práva, vlastníctvo know-how).</w:t>
            </w:r>
          </w:p>
          <w:p w:rsidR="00BB42F2" w:rsidRPr="003C289B" w:rsidRDefault="00BB42F2" w:rsidP="00BE020B">
            <w:pPr>
              <w:jc w:val="both"/>
              <w:rPr>
                <w:rFonts w:ascii="Times New Roman" w:hAnsi="Times New Roman"/>
                <w:i/>
              </w:rPr>
            </w:pPr>
            <w:r w:rsidRPr="003C289B">
              <w:rPr>
                <w:rFonts w:ascii="Times New Roman" w:hAnsi="Times New Roman"/>
                <w:i/>
              </w:rPr>
              <w:t>Podporuje vyššiu efektivitu výroby/využívania zdrojov? Ak áno, ako?</w:t>
            </w:r>
          </w:p>
          <w:p w:rsidR="00BB42F2" w:rsidRPr="003C289B" w:rsidRDefault="00BB42F2" w:rsidP="00BE020B">
            <w:pPr>
              <w:jc w:val="both"/>
              <w:rPr>
                <w:rFonts w:ascii="Times New Roman" w:hAnsi="Times New Roman"/>
              </w:rPr>
            </w:pPr>
            <w:r w:rsidRPr="003C289B">
              <w:rPr>
                <w:rFonts w:ascii="Times New Roman" w:hAnsi="Times New Roman"/>
                <w:i/>
              </w:rPr>
              <w:t>Vytvorí zmena nové pracovné miesta pre zamestnancov výskumu a vývoja v SR?</w:t>
            </w:r>
          </w:p>
        </w:tc>
      </w:tr>
      <w:tr w:rsidR="00BB42F2" w:rsidRPr="003C289B" w:rsidTr="00BE020B">
        <w:trPr>
          <w:trHeight w:val="586"/>
        </w:trPr>
        <w:tc>
          <w:tcPr>
            <w:tcW w:w="9212" w:type="dxa"/>
          </w:tcPr>
          <w:p w:rsidR="00BB42F2" w:rsidRPr="002E36DF" w:rsidRDefault="00BB42F2" w:rsidP="00BE020B">
            <w:pPr>
              <w:rPr>
                <w:rFonts w:ascii="Times New Roman" w:hAnsi="Times New Roman"/>
                <w:sz w:val="20"/>
                <w:szCs w:val="20"/>
              </w:rPr>
            </w:pPr>
          </w:p>
          <w:p w:rsidR="00BB42F2" w:rsidRPr="004403D3" w:rsidRDefault="00BB42F2" w:rsidP="00BE020B">
            <w:pPr>
              <w:rPr>
                <w:rFonts w:ascii="Times New Roman" w:hAnsi="Times New Roman"/>
                <w:b/>
                <w:sz w:val="20"/>
                <w:szCs w:val="20"/>
              </w:rPr>
            </w:pPr>
            <w:r w:rsidRPr="004403D3">
              <w:rPr>
                <w:rFonts w:ascii="Times New Roman" w:hAnsi="Times New Roman"/>
                <w:b/>
                <w:sz w:val="20"/>
                <w:szCs w:val="20"/>
              </w:rPr>
              <w:t>Navrhovaná zmena nemá vplyv na inovácie.</w:t>
            </w:r>
          </w:p>
          <w:p w:rsidR="00BB42F2" w:rsidRPr="002E36DF" w:rsidRDefault="00BB42F2" w:rsidP="00BE020B">
            <w:pPr>
              <w:rPr>
                <w:rFonts w:ascii="Times New Roman" w:hAnsi="Times New Roman"/>
                <w:sz w:val="20"/>
                <w:szCs w:val="20"/>
              </w:rPr>
            </w:pPr>
          </w:p>
        </w:tc>
      </w:tr>
    </w:tbl>
    <w:p w:rsidR="00BB42F2" w:rsidRDefault="00BB42F2" w:rsidP="00BB42F2">
      <w:pPr>
        <w:jc w:val="both"/>
        <w:rPr>
          <w:bCs/>
        </w:rPr>
      </w:pPr>
    </w:p>
    <w:p w:rsidR="00BB42F2" w:rsidRDefault="00BB42F2" w:rsidP="00BB42F2">
      <w:pPr>
        <w:jc w:val="both"/>
        <w:rPr>
          <w:bCs/>
        </w:rPr>
      </w:pPr>
    </w:p>
    <w:p w:rsidR="00BB42F2" w:rsidRDefault="00BB42F2" w:rsidP="00BB42F2">
      <w:pPr>
        <w:jc w:val="both"/>
        <w:rPr>
          <w:bCs/>
        </w:rPr>
      </w:pPr>
    </w:p>
    <w:p w:rsidR="00BB42F2" w:rsidRDefault="00BB42F2" w:rsidP="00BB42F2">
      <w:pPr>
        <w:jc w:val="both"/>
        <w:rPr>
          <w:bCs/>
        </w:rPr>
      </w:pPr>
    </w:p>
    <w:p w:rsidR="00BB42F2" w:rsidRDefault="00BB42F2" w:rsidP="00BB42F2">
      <w:pPr>
        <w:jc w:val="both"/>
        <w:rPr>
          <w:bCs/>
        </w:rPr>
      </w:pPr>
    </w:p>
    <w:p w:rsidR="00BB42F2" w:rsidRDefault="00BB42F2" w:rsidP="00BB42F2">
      <w:pPr>
        <w:jc w:val="both"/>
        <w:rPr>
          <w:bCs/>
        </w:rPr>
      </w:pPr>
    </w:p>
    <w:p w:rsidR="00A409CB" w:rsidRDefault="00A409CB" w:rsidP="00BB42F2">
      <w:pPr>
        <w:jc w:val="both"/>
        <w:rPr>
          <w:bCs/>
        </w:rPr>
      </w:pPr>
    </w:p>
    <w:tbl>
      <w:tblPr>
        <w:tblW w:w="8995" w:type="dxa"/>
        <w:tblInd w:w="55" w:type="dxa"/>
        <w:tblCellMar>
          <w:left w:w="0" w:type="dxa"/>
          <w:right w:w="0" w:type="dxa"/>
        </w:tblCellMar>
        <w:tblLook w:val="04A0" w:firstRow="1" w:lastRow="0" w:firstColumn="1" w:lastColumn="0" w:noHBand="0" w:noVBand="1"/>
      </w:tblPr>
      <w:tblGrid>
        <w:gridCol w:w="3316"/>
        <w:gridCol w:w="1091"/>
        <w:gridCol w:w="1352"/>
        <w:gridCol w:w="708"/>
        <w:gridCol w:w="945"/>
        <w:gridCol w:w="1583"/>
      </w:tblGrid>
      <w:tr w:rsidR="00BB42F2" w:rsidRPr="008358B2" w:rsidTr="00DA259F">
        <w:trPr>
          <w:trHeight w:val="20"/>
        </w:trPr>
        <w:tc>
          <w:tcPr>
            <w:tcW w:w="8995" w:type="dxa"/>
            <w:gridSpan w:val="6"/>
            <w:tcBorders>
              <w:top w:val="single" w:sz="8" w:space="0" w:color="auto"/>
              <w:left w:val="single" w:sz="8" w:space="0" w:color="auto"/>
              <w:bottom w:val="single" w:sz="8" w:space="0" w:color="auto"/>
              <w:right w:val="single" w:sz="8" w:space="0" w:color="auto"/>
            </w:tcBorders>
            <w:shd w:val="clear" w:color="auto" w:fill="BFBFBF"/>
            <w:tcMar>
              <w:top w:w="28" w:type="dxa"/>
              <w:left w:w="70" w:type="dxa"/>
              <w:bottom w:w="28" w:type="dxa"/>
              <w:right w:w="70" w:type="dxa"/>
            </w:tcMar>
            <w:vAlign w:val="center"/>
            <w:hideMark/>
          </w:tcPr>
          <w:p w:rsidR="00BB42F2" w:rsidRPr="008358B2" w:rsidRDefault="00BB42F2" w:rsidP="00BE020B">
            <w:pPr>
              <w:jc w:val="center"/>
              <w:rPr>
                <w:b/>
                <w:bCs/>
                <w:sz w:val="20"/>
                <w:szCs w:val="20"/>
              </w:rPr>
            </w:pPr>
            <w:r w:rsidRPr="008358B2">
              <w:rPr>
                <w:b/>
                <w:bCs/>
                <w:sz w:val="20"/>
                <w:szCs w:val="20"/>
              </w:rPr>
              <w:lastRenderedPageBreak/>
              <w:t>Analýza vplyvov na informatizáciu spoločnosti</w:t>
            </w:r>
          </w:p>
          <w:p w:rsidR="00BB42F2" w:rsidRPr="008358B2" w:rsidRDefault="00BB42F2" w:rsidP="00BE020B">
            <w:pPr>
              <w:jc w:val="center"/>
              <w:rPr>
                <w:b/>
                <w:bCs/>
                <w:i/>
                <w:iCs/>
                <w:color w:val="000000"/>
                <w:sz w:val="20"/>
                <w:szCs w:val="20"/>
              </w:rPr>
            </w:pPr>
            <w:r w:rsidRPr="008358B2">
              <w:rPr>
                <w:b/>
                <w:bCs/>
                <w:sz w:val="20"/>
                <w:szCs w:val="20"/>
              </w:rPr>
              <w:t>Budovanie základných pilierov informatizácie</w:t>
            </w:r>
          </w:p>
        </w:tc>
      </w:tr>
      <w:tr w:rsidR="00BB42F2" w:rsidRPr="008358B2" w:rsidTr="00DA259F">
        <w:trPr>
          <w:trHeight w:val="1286"/>
        </w:trPr>
        <w:tc>
          <w:tcPr>
            <w:tcW w:w="3316" w:type="dxa"/>
            <w:tcBorders>
              <w:top w:val="nil"/>
              <w:left w:val="single" w:sz="8" w:space="0" w:color="auto"/>
              <w:bottom w:val="single" w:sz="8" w:space="0" w:color="auto"/>
              <w:right w:val="single" w:sz="8" w:space="0" w:color="auto"/>
            </w:tcBorders>
            <w:shd w:val="clear" w:color="auto" w:fill="C0C0C0"/>
            <w:tcMar>
              <w:top w:w="28" w:type="dxa"/>
              <w:left w:w="70" w:type="dxa"/>
              <w:bottom w:w="28" w:type="dxa"/>
              <w:right w:w="70" w:type="dxa"/>
            </w:tcMar>
            <w:vAlign w:val="center"/>
            <w:hideMark/>
          </w:tcPr>
          <w:p w:rsidR="00BB42F2" w:rsidRPr="008358B2" w:rsidRDefault="00BB42F2" w:rsidP="00BE020B">
            <w:pPr>
              <w:jc w:val="center"/>
              <w:rPr>
                <w:b/>
                <w:bCs/>
                <w:sz w:val="20"/>
                <w:szCs w:val="20"/>
              </w:rPr>
            </w:pPr>
            <w:r w:rsidRPr="008358B2">
              <w:rPr>
                <w:b/>
                <w:bCs/>
                <w:sz w:val="20"/>
                <w:szCs w:val="20"/>
              </w:rPr>
              <w:t>Obsah</w:t>
            </w:r>
          </w:p>
        </w:tc>
        <w:tc>
          <w:tcPr>
            <w:tcW w:w="1091" w:type="dxa"/>
            <w:tcBorders>
              <w:top w:val="nil"/>
              <w:left w:val="nil"/>
              <w:bottom w:val="single" w:sz="8" w:space="0" w:color="auto"/>
              <w:right w:val="single" w:sz="8" w:space="0" w:color="auto"/>
            </w:tcBorders>
            <w:shd w:val="clear" w:color="auto" w:fill="C0C0C0"/>
            <w:tcMar>
              <w:top w:w="28" w:type="dxa"/>
              <w:left w:w="70" w:type="dxa"/>
              <w:bottom w:w="28" w:type="dxa"/>
              <w:right w:w="70" w:type="dxa"/>
            </w:tcMar>
            <w:vAlign w:val="center"/>
            <w:hideMark/>
          </w:tcPr>
          <w:p w:rsidR="00BB42F2" w:rsidRPr="008358B2" w:rsidRDefault="00BB42F2" w:rsidP="00BE020B">
            <w:pPr>
              <w:jc w:val="center"/>
              <w:rPr>
                <w:b/>
                <w:bCs/>
                <w:sz w:val="20"/>
                <w:szCs w:val="20"/>
              </w:rPr>
            </w:pPr>
            <w:r w:rsidRPr="008358B2">
              <w:rPr>
                <w:b/>
                <w:bCs/>
                <w:sz w:val="20"/>
                <w:szCs w:val="20"/>
              </w:rPr>
              <w:t>A – nová služba</w:t>
            </w:r>
          </w:p>
          <w:p w:rsidR="00BB42F2" w:rsidRPr="008358B2" w:rsidRDefault="00BB42F2" w:rsidP="00BE020B">
            <w:pPr>
              <w:jc w:val="center"/>
              <w:rPr>
                <w:i/>
                <w:iCs/>
                <w:sz w:val="20"/>
                <w:szCs w:val="20"/>
              </w:rPr>
            </w:pPr>
            <w:r w:rsidRPr="008358B2">
              <w:rPr>
                <w:b/>
                <w:bCs/>
                <w:sz w:val="20"/>
                <w:szCs w:val="20"/>
              </w:rPr>
              <w:t>B – zmena služby</w:t>
            </w:r>
          </w:p>
        </w:tc>
        <w:tc>
          <w:tcPr>
            <w:tcW w:w="1352" w:type="dxa"/>
            <w:tcBorders>
              <w:top w:val="nil"/>
              <w:left w:val="nil"/>
              <w:bottom w:val="single" w:sz="8" w:space="0" w:color="auto"/>
              <w:right w:val="single" w:sz="8" w:space="0" w:color="auto"/>
            </w:tcBorders>
            <w:shd w:val="clear" w:color="auto" w:fill="C0C0C0"/>
            <w:tcMar>
              <w:top w:w="28" w:type="dxa"/>
              <w:left w:w="70" w:type="dxa"/>
              <w:bottom w:w="28" w:type="dxa"/>
              <w:right w:w="70" w:type="dxa"/>
            </w:tcMar>
            <w:vAlign w:val="center"/>
          </w:tcPr>
          <w:p w:rsidR="00BB42F2" w:rsidRPr="008358B2" w:rsidRDefault="00BB42F2" w:rsidP="00BE020B">
            <w:pPr>
              <w:jc w:val="center"/>
              <w:rPr>
                <w:i/>
                <w:iCs/>
                <w:sz w:val="20"/>
                <w:szCs w:val="20"/>
              </w:rPr>
            </w:pPr>
          </w:p>
          <w:p w:rsidR="00BB42F2" w:rsidRPr="008358B2" w:rsidRDefault="00BB42F2" w:rsidP="00BE020B">
            <w:pPr>
              <w:jc w:val="center"/>
              <w:rPr>
                <w:sz w:val="20"/>
                <w:szCs w:val="20"/>
              </w:rPr>
            </w:pPr>
            <w:r w:rsidRPr="008358B2">
              <w:rPr>
                <w:b/>
                <w:bCs/>
                <w:sz w:val="20"/>
                <w:szCs w:val="20"/>
              </w:rPr>
              <w:t>Kód služby</w:t>
            </w:r>
          </w:p>
        </w:tc>
        <w:tc>
          <w:tcPr>
            <w:tcW w:w="1653" w:type="dxa"/>
            <w:gridSpan w:val="2"/>
            <w:tcBorders>
              <w:top w:val="nil"/>
              <w:left w:val="nil"/>
              <w:bottom w:val="single" w:sz="8" w:space="0" w:color="auto"/>
              <w:right w:val="single" w:sz="8" w:space="0" w:color="auto"/>
            </w:tcBorders>
            <w:shd w:val="clear" w:color="auto" w:fill="C0C0C0"/>
            <w:tcMar>
              <w:top w:w="28" w:type="dxa"/>
              <w:left w:w="70" w:type="dxa"/>
              <w:bottom w:w="28" w:type="dxa"/>
              <w:right w:w="70" w:type="dxa"/>
            </w:tcMar>
            <w:vAlign w:val="center"/>
          </w:tcPr>
          <w:p w:rsidR="00BB42F2" w:rsidRPr="008358B2" w:rsidRDefault="00BB42F2" w:rsidP="00BE020B">
            <w:pPr>
              <w:jc w:val="center"/>
              <w:rPr>
                <w:b/>
                <w:bCs/>
                <w:sz w:val="20"/>
                <w:szCs w:val="20"/>
              </w:rPr>
            </w:pPr>
          </w:p>
          <w:p w:rsidR="00BB42F2" w:rsidRPr="008358B2" w:rsidRDefault="00BB42F2" w:rsidP="00BE020B">
            <w:pPr>
              <w:jc w:val="center"/>
              <w:rPr>
                <w:i/>
                <w:iCs/>
                <w:sz w:val="20"/>
                <w:szCs w:val="20"/>
              </w:rPr>
            </w:pPr>
            <w:r w:rsidRPr="008358B2">
              <w:rPr>
                <w:b/>
                <w:bCs/>
                <w:sz w:val="20"/>
                <w:szCs w:val="20"/>
              </w:rPr>
              <w:t>Názov služby</w:t>
            </w:r>
          </w:p>
        </w:tc>
        <w:tc>
          <w:tcPr>
            <w:tcW w:w="1583" w:type="dxa"/>
            <w:tcBorders>
              <w:top w:val="nil"/>
              <w:left w:val="nil"/>
              <w:bottom w:val="single" w:sz="8" w:space="0" w:color="auto"/>
              <w:right w:val="single" w:sz="8" w:space="0" w:color="auto"/>
            </w:tcBorders>
            <w:shd w:val="clear" w:color="auto" w:fill="C0C0C0"/>
            <w:tcMar>
              <w:top w:w="28" w:type="dxa"/>
              <w:left w:w="70" w:type="dxa"/>
              <w:bottom w:w="28" w:type="dxa"/>
              <w:right w:w="70" w:type="dxa"/>
            </w:tcMar>
            <w:vAlign w:val="center"/>
            <w:hideMark/>
          </w:tcPr>
          <w:p w:rsidR="00BB42F2" w:rsidRPr="008358B2" w:rsidRDefault="00BB42F2" w:rsidP="00BE020B">
            <w:pPr>
              <w:jc w:val="center"/>
              <w:rPr>
                <w:b/>
                <w:bCs/>
                <w:sz w:val="20"/>
                <w:szCs w:val="20"/>
              </w:rPr>
            </w:pPr>
            <w:r w:rsidRPr="008358B2">
              <w:rPr>
                <w:b/>
                <w:bCs/>
                <w:sz w:val="20"/>
                <w:szCs w:val="20"/>
              </w:rPr>
              <w:t>Úroveň elektronizácie služby</w:t>
            </w:r>
          </w:p>
          <w:p w:rsidR="00BB42F2" w:rsidRPr="008358B2" w:rsidRDefault="00BB42F2" w:rsidP="00BE020B">
            <w:pPr>
              <w:jc w:val="center"/>
              <w:rPr>
                <w:i/>
                <w:iCs/>
                <w:sz w:val="20"/>
                <w:szCs w:val="20"/>
              </w:rPr>
            </w:pPr>
            <w:r w:rsidRPr="008358B2">
              <w:rPr>
                <w:b/>
                <w:bCs/>
                <w:sz w:val="20"/>
                <w:szCs w:val="20"/>
              </w:rPr>
              <w:t>(0 až 5)</w:t>
            </w:r>
          </w:p>
        </w:tc>
      </w:tr>
      <w:tr w:rsidR="00BB42F2" w:rsidRPr="008358B2" w:rsidTr="00DA259F">
        <w:trPr>
          <w:trHeight w:val="20"/>
        </w:trPr>
        <w:tc>
          <w:tcPr>
            <w:tcW w:w="3316" w:type="dxa"/>
            <w:tcBorders>
              <w:top w:val="nil"/>
              <w:left w:val="single" w:sz="8" w:space="0" w:color="auto"/>
              <w:bottom w:val="single" w:sz="8" w:space="0" w:color="auto"/>
              <w:right w:val="single" w:sz="8" w:space="0" w:color="auto"/>
            </w:tcBorders>
            <w:tcMar>
              <w:top w:w="28" w:type="dxa"/>
              <w:left w:w="70" w:type="dxa"/>
              <w:bottom w:w="28" w:type="dxa"/>
              <w:right w:w="70" w:type="dxa"/>
            </w:tcMar>
            <w:hideMark/>
          </w:tcPr>
          <w:p w:rsidR="00BB42F2" w:rsidRPr="008358B2" w:rsidRDefault="00BB42F2" w:rsidP="00BE020B">
            <w:pPr>
              <w:jc w:val="both"/>
              <w:rPr>
                <w:color w:val="000000" w:themeColor="text1"/>
                <w:sz w:val="20"/>
                <w:szCs w:val="20"/>
              </w:rPr>
            </w:pPr>
            <w:r w:rsidRPr="008358B2">
              <w:rPr>
                <w:b/>
                <w:bCs/>
                <w:color w:val="000000" w:themeColor="text1"/>
                <w:sz w:val="20"/>
                <w:szCs w:val="20"/>
              </w:rPr>
              <w:t>6.1.</w:t>
            </w:r>
            <w:r w:rsidRPr="008358B2">
              <w:rPr>
                <w:color w:val="000000" w:themeColor="text1"/>
                <w:sz w:val="20"/>
                <w:szCs w:val="20"/>
              </w:rPr>
              <w:t xml:space="preserve"> Predpokladá predložený návrh zmenu existujúcich elektronických služieb verejnej správy alebo vytvorenie nových služieb?</w:t>
            </w:r>
          </w:p>
          <w:p w:rsidR="00BB42F2" w:rsidRPr="008358B2" w:rsidRDefault="00BB42F2" w:rsidP="00BE020B">
            <w:pPr>
              <w:spacing w:line="20" w:lineRule="atLeast"/>
              <w:jc w:val="both"/>
              <w:rPr>
                <w:b/>
                <w:bCs/>
                <w:color w:val="000000" w:themeColor="text1"/>
                <w:sz w:val="20"/>
                <w:szCs w:val="20"/>
              </w:rPr>
            </w:pPr>
            <w:r w:rsidRPr="008358B2">
              <w:rPr>
                <w:i/>
                <w:iCs/>
                <w:color w:val="000000" w:themeColor="text1"/>
                <w:sz w:val="20"/>
                <w:szCs w:val="20"/>
              </w:rPr>
              <w:t xml:space="preserve">(Ak áno, uveďte zmenu služby alebo vytvorenie novej služby, ďalej  jej kód, názov a úroveň elektronizácie podľa katalógu </w:t>
            </w:r>
            <w:proofErr w:type="spellStart"/>
            <w:r w:rsidRPr="008358B2">
              <w:rPr>
                <w:i/>
                <w:iCs/>
                <w:color w:val="000000" w:themeColor="text1"/>
                <w:sz w:val="20"/>
                <w:szCs w:val="20"/>
              </w:rPr>
              <w:t>eGovernment</w:t>
            </w:r>
            <w:proofErr w:type="spellEnd"/>
            <w:r w:rsidRPr="008358B2">
              <w:rPr>
                <w:i/>
                <w:iCs/>
                <w:color w:val="000000" w:themeColor="text1"/>
                <w:sz w:val="20"/>
                <w:szCs w:val="20"/>
              </w:rPr>
              <w:t xml:space="preserve"> služieb, ktorý je vedený v centrálnom </w:t>
            </w:r>
            <w:proofErr w:type="spellStart"/>
            <w:r w:rsidRPr="008358B2">
              <w:rPr>
                <w:i/>
                <w:iCs/>
                <w:color w:val="000000" w:themeColor="text1"/>
                <w:sz w:val="20"/>
                <w:szCs w:val="20"/>
              </w:rPr>
              <w:t>metainformačnom</w:t>
            </w:r>
            <w:proofErr w:type="spellEnd"/>
            <w:r w:rsidRPr="008358B2">
              <w:rPr>
                <w:i/>
                <w:iCs/>
                <w:color w:val="000000" w:themeColor="text1"/>
                <w:sz w:val="20"/>
                <w:szCs w:val="20"/>
              </w:rPr>
              <w:t xml:space="preserve"> systéme verejnej správy.)</w:t>
            </w:r>
            <w:r w:rsidRPr="008358B2">
              <w:rPr>
                <w:color w:val="000000" w:themeColor="text1"/>
                <w:sz w:val="20"/>
                <w:szCs w:val="20"/>
              </w:rPr>
              <w:t xml:space="preserve"> </w:t>
            </w:r>
          </w:p>
        </w:tc>
        <w:tc>
          <w:tcPr>
            <w:tcW w:w="1091" w:type="dxa"/>
            <w:tcBorders>
              <w:top w:val="nil"/>
              <w:left w:val="nil"/>
              <w:bottom w:val="single" w:sz="8" w:space="0" w:color="auto"/>
              <w:right w:val="single" w:sz="8" w:space="0" w:color="auto"/>
            </w:tcBorders>
            <w:tcMar>
              <w:top w:w="28" w:type="dxa"/>
              <w:left w:w="70" w:type="dxa"/>
              <w:bottom w:w="28" w:type="dxa"/>
              <w:right w:w="70" w:type="dxa"/>
            </w:tcMar>
            <w:hideMark/>
          </w:tcPr>
          <w:p w:rsidR="00BB42F2" w:rsidRPr="008358B2" w:rsidRDefault="00BB42F2" w:rsidP="00BE020B">
            <w:pPr>
              <w:spacing w:line="20" w:lineRule="atLeast"/>
              <w:jc w:val="center"/>
              <w:rPr>
                <w:b/>
                <w:bCs/>
                <w:color w:val="000000" w:themeColor="text1"/>
                <w:sz w:val="20"/>
                <w:szCs w:val="20"/>
              </w:rPr>
            </w:pPr>
            <w:r w:rsidRPr="008358B2">
              <w:rPr>
                <w:b/>
                <w:bCs/>
                <w:color w:val="000000" w:themeColor="text1"/>
                <w:sz w:val="20"/>
                <w:szCs w:val="20"/>
              </w:rPr>
              <w:t>B</w:t>
            </w:r>
          </w:p>
        </w:tc>
        <w:tc>
          <w:tcPr>
            <w:tcW w:w="1352" w:type="dxa"/>
            <w:tcBorders>
              <w:top w:val="nil"/>
              <w:left w:val="nil"/>
              <w:bottom w:val="single" w:sz="8" w:space="0" w:color="auto"/>
              <w:right w:val="single" w:sz="8" w:space="0" w:color="auto"/>
            </w:tcBorders>
            <w:tcMar>
              <w:top w:w="28" w:type="dxa"/>
              <w:left w:w="70" w:type="dxa"/>
              <w:bottom w:w="28" w:type="dxa"/>
              <w:right w:w="70" w:type="dxa"/>
            </w:tcMar>
          </w:tcPr>
          <w:p w:rsidR="00BB42F2" w:rsidRPr="008358B2" w:rsidRDefault="00BB42F2" w:rsidP="00BE020B">
            <w:pPr>
              <w:jc w:val="center"/>
              <w:rPr>
                <w:b/>
                <w:bCs/>
                <w:color w:val="000000" w:themeColor="text1"/>
                <w:sz w:val="20"/>
                <w:szCs w:val="20"/>
              </w:rPr>
            </w:pPr>
          </w:p>
          <w:p w:rsidR="00BB42F2" w:rsidRPr="008358B2" w:rsidRDefault="00BB42F2" w:rsidP="00BE020B">
            <w:pPr>
              <w:jc w:val="center"/>
              <w:rPr>
                <w:b/>
                <w:bCs/>
                <w:color w:val="000000" w:themeColor="text1"/>
                <w:sz w:val="20"/>
                <w:szCs w:val="20"/>
              </w:rPr>
            </w:pPr>
            <w:r w:rsidRPr="008358B2">
              <w:rPr>
                <w:b/>
                <w:bCs/>
                <w:color w:val="000000" w:themeColor="text1"/>
                <w:sz w:val="20"/>
                <w:szCs w:val="20"/>
              </w:rPr>
              <w:t>as_55265</w:t>
            </w:r>
          </w:p>
        </w:tc>
        <w:tc>
          <w:tcPr>
            <w:tcW w:w="1653" w:type="dxa"/>
            <w:gridSpan w:val="2"/>
            <w:tcBorders>
              <w:top w:val="nil"/>
              <w:left w:val="nil"/>
              <w:bottom w:val="single" w:sz="8" w:space="0" w:color="auto"/>
              <w:right w:val="single" w:sz="8" w:space="0" w:color="auto"/>
            </w:tcBorders>
            <w:tcMar>
              <w:top w:w="28" w:type="dxa"/>
              <w:left w:w="70" w:type="dxa"/>
              <w:bottom w:w="28" w:type="dxa"/>
              <w:right w:w="70" w:type="dxa"/>
            </w:tcMar>
          </w:tcPr>
          <w:p w:rsidR="00BB42F2" w:rsidRPr="008358B2" w:rsidRDefault="00BB42F2" w:rsidP="00BE020B">
            <w:pPr>
              <w:jc w:val="both"/>
              <w:rPr>
                <w:b/>
                <w:bCs/>
                <w:color w:val="000000" w:themeColor="text1"/>
                <w:sz w:val="20"/>
                <w:szCs w:val="20"/>
              </w:rPr>
            </w:pPr>
          </w:p>
          <w:p w:rsidR="00BB42F2" w:rsidRPr="008358B2" w:rsidRDefault="00BB42F2" w:rsidP="00BE020B">
            <w:pPr>
              <w:jc w:val="both"/>
              <w:rPr>
                <w:b/>
                <w:bCs/>
                <w:color w:val="000000" w:themeColor="text1"/>
                <w:sz w:val="20"/>
                <w:szCs w:val="20"/>
              </w:rPr>
            </w:pPr>
            <w:r w:rsidRPr="008358B2">
              <w:rPr>
                <w:b/>
                <w:bCs/>
                <w:color w:val="000000" w:themeColor="text1"/>
                <w:sz w:val="20"/>
                <w:szCs w:val="20"/>
              </w:rPr>
              <w:t xml:space="preserve">Poskytovanie záznamov pre spis na zverejnenie prostredníctvom el. služby DR SCAN </w:t>
            </w:r>
          </w:p>
        </w:tc>
        <w:tc>
          <w:tcPr>
            <w:tcW w:w="1583" w:type="dxa"/>
            <w:tcBorders>
              <w:top w:val="nil"/>
              <w:left w:val="nil"/>
              <w:bottom w:val="single" w:sz="8" w:space="0" w:color="auto"/>
              <w:right w:val="single" w:sz="8" w:space="0" w:color="auto"/>
            </w:tcBorders>
            <w:tcMar>
              <w:top w:w="28" w:type="dxa"/>
              <w:left w:w="70" w:type="dxa"/>
              <w:bottom w:w="28" w:type="dxa"/>
              <w:right w:w="70" w:type="dxa"/>
            </w:tcMar>
          </w:tcPr>
          <w:p w:rsidR="00BB42F2" w:rsidRPr="008358B2" w:rsidRDefault="00BB42F2" w:rsidP="00BE020B">
            <w:pPr>
              <w:rPr>
                <w:b/>
                <w:bCs/>
                <w:i/>
                <w:iCs/>
                <w:color w:val="000000" w:themeColor="text1"/>
                <w:sz w:val="20"/>
                <w:szCs w:val="20"/>
              </w:rPr>
            </w:pPr>
          </w:p>
          <w:p w:rsidR="00BB42F2" w:rsidRPr="008358B2" w:rsidRDefault="00BB42F2" w:rsidP="00BE020B">
            <w:pPr>
              <w:jc w:val="center"/>
              <w:rPr>
                <w:b/>
                <w:bCs/>
                <w:color w:val="000000" w:themeColor="text1"/>
                <w:sz w:val="20"/>
                <w:szCs w:val="20"/>
              </w:rPr>
            </w:pPr>
          </w:p>
          <w:p w:rsidR="00BB42F2" w:rsidRPr="008358B2" w:rsidRDefault="00BB42F2" w:rsidP="00BE020B">
            <w:pPr>
              <w:spacing w:line="20" w:lineRule="atLeast"/>
              <w:jc w:val="center"/>
              <w:rPr>
                <w:b/>
                <w:bCs/>
                <w:color w:val="000000" w:themeColor="text1"/>
                <w:sz w:val="20"/>
                <w:szCs w:val="20"/>
              </w:rPr>
            </w:pPr>
          </w:p>
        </w:tc>
      </w:tr>
      <w:tr w:rsidR="00BB42F2" w:rsidRPr="008358B2" w:rsidTr="00DA259F">
        <w:trPr>
          <w:trHeight w:val="20"/>
        </w:trPr>
        <w:tc>
          <w:tcPr>
            <w:tcW w:w="3316" w:type="dxa"/>
            <w:tcBorders>
              <w:top w:val="nil"/>
              <w:left w:val="single" w:sz="8" w:space="0" w:color="auto"/>
              <w:bottom w:val="single" w:sz="8" w:space="0" w:color="auto"/>
              <w:right w:val="single" w:sz="8" w:space="0" w:color="auto"/>
            </w:tcBorders>
            <w:shd w:val="clear" w:color="auto" w:fill="C0C0C0"/>
            <w:tcMar>
              <w:top w:w="28" w:type="dxa"/>
              <w:left w:w="70" w:type="dxa"/>
              <w:bottom w:w="28" w:type="dxa"/>
              <w:right w:w="70" w:type="dxa"/>
            </w:tcMar>
            <w:vAlign w:val="center"/>
            <w:hideMark/>
          </w:tcPr>
          <w:p w:rsidR="00BB42F2" w:rsidRPr="008358B2" w:rsidRDefault="00BB42F2" w:rsidP="00BE020B">
            <w:pPr>
              <w:spacing w:line="20" w:lineRule="atLeast"/>
              <w:jc w:val="center"/>
              <w:rPr>
                <w:b/>
                <w:bCs/>
                <w:color w:val="000000" w:themeColor="text1"/>
                <w:sz w:val="20"/>
                <w:szCs w:val="20"/>
              </w:rPr>
            </w:pPr>
            <w:r w:rsidRPr="008358B2">
              <w:rPr>
                <w:b/>
                <w:bCs/>
                <w:color w:val="000000" w:themeColor="text1"/>
                <w:sz w:val="20"/>
                <w:szCs w:val="20"/>
              </w:rPr>
              <w:t>Infraštruktúra</w:t>
            </w:r>
          </w:p>
        </w:tc>
        <w:tc>
          <w:tcPr>
            <w:tcW w:w="1091" w:type="dxa"/>
            <w:tcBorders>
              <w:top w:val="nil"/>
              <w:left w:val="nil"/>
              <w:bottom w:val="single" w:sz="8" w:space="0" w:color="auto"/>
              <w:right w:val="single" w:sz="8" w:space="0" w:color="auto"/>
            </w:tcBorders>
            <w:shd w:val="clear" w:color="auto" w:fill="C0C0C0"/>
            <w:tcMar>
              <w:top w:w="28" w:type="dxa"/>
              <w:left w:w="70" w:type="dxa"/>
              <w:bottom w:w="28" w:type="dxa"/>
              <w:right w:w="70" w:type="dxa"/>
            </w:tcMar>
            <w:vAlign w:val="center"/>
            <w:hideMark/>
          </w:tcPr>
          <w:p w:rsidR="00BB42F2" w:rsidRPr="008358B2" w:rsidRDefault="00BB42F2" w:rsidP="00BE020B">
            <w:pPr>
              <w:jc w:val="center"/>
              <w:rPr>
                <w:b/>
                <w:bCs/>
                <w:color w:val="000000" w:themeColor="text1"/>
                <w:sz w:val="20"/>
                <w:szCs w:val="20"/>
              </w:rPr>
            </w:pPr>
            <w:r w:rsidRPr="008358B2">
              <w:rPr>
                <w:b/>
                <w:bCs/>
                <w:color w:val="000000" w:themeColor="text1"/>
                <w:sz w:val="20"/>
                <w:szCs w:val="20"/>
              </w:rPr>
              <w:t>A – nový systém</w:t>
            </w:r>
          </w:p>
          <w:p w:rsidR="00BB42F2" w:rsidRPr="008358B2" w:rsidRDefault="00BB42F2" w:rsidP="00BE020B">
            <w:pPr>
              <w:spacing w:line="20" w:lineRule="atLeast"/>
              <w:jc w:val="center"/>
              <w:rPr>
                <w:b/>
                <w:bCs/>
                <w:color w:val="000000" w:themeColor="text1"/>
                <w:sz w:val="20"/>
                <w:szCs w:val="20"/>
              </w:rPr>
            </w:pPr>
            <w:r w:rsidRPr="008358B2">
              <w:rPr>
                <w:b/>
                <w:bCs/>
                <w:color w:val="000000" w:themeColor="text1"/>
                <w:sz w:val="20"/>
                <w:szCs w:val="20"/>
              </w:rPr>
              <w:t>B – zmena systému</w:t>
            </w:r>
          </w:p>
        </w:tc>
        <w:tc>
          <w:tcPr>
            <w:tcW w:w="1352" w:type="dxa"/>
            <w:tcBorders>
              <w:top w:val="nil"/>
              <w:left w:val="nil"/>
              <w:bottom w:val="single" w:sz="8" w:space="0" w:color="auto"/>
              <w:right w:val="single" w:sz="8" w:space="0" w:color="auto"/>
            </w:tcBorders>
            <w:shd w:val="clear" w:color="auto" w:fill="C0C0C0"/>
            <w:tcMar>
              <w:top w:w="28" w:type="dxa"/>
              <w:left w:w="70" w:type="dxa"/>
              <w:bottom w:w="28" w:type="dxa"/>
              <w:right w:w="70" w:type="dxa"/>
            </w:tcMar>
            <w:vAlign w:val="center"/>
            <w:hideMark/>
          </w:tcPr>
          <w:p w:rsidR="00BB42F2" w:rsidRPr="008358B2" w:rsidRDefault="00BB42F2" w:rsidP="00BE020B">
            <w:pPr>
              <w:spacing w:line="20" w:lineRule="atLeast"/>
              <w:jc w:val="center"/>
              <w:rPr>
                <w:b/>
                <w:bCs/>
                <w:color w:val="000000" w:themeColor="text1"/>
                <w:sz w:val="20"/>
                <w:szCs w:val="20"/>
              </w:rPr>
            </w:pPr>
            <w:r w:rsidRPr="008358B2">
              <w:rPr>
                <w:b/>
                <w:bCs/>
                <w:color w:val="000000" w:themeColor="text1"/>
                <w:sz w:val="20"/>
                <w:szCs w:val="20"/>
              </w:rPr>
              <w:t>Kód systému</w:t>
            </w:r>
          </w:p>
        </w:tc>
        <w:tc>
          <w:tcPr>
            <w:tcW w:w="3236" w:type="dxa"/>
            <w:gridSpan w:val="3"/>
            <w:tcBorders>
              <w:top w:val="nil"/>
              <w:left w:val="nil"/>
              <w:bottom w:val="single" w:sz="8" w:space="0" w:color="auto"/>
              <w:right w:val="single" w:sz="8" w:space="0" w:color="auto"/>
            </w:tcBorders>
            <w:shd w:val="clear" w:color="auto" w:fill="C0C0C0"/>
            <w:tcMar>
              <w:top w:w="28" w:type="dxa"/>
              <w:left w:w="70" w:type="dxa"/>
              <w:bottom w:w="28" w:type="dxa"/>
              <w:right w:w="70" w:type="dxa"/>
            </w:tcMar>
            <w:vAlign w:val="center"/>
            <w:hideMark/>
          </w:tcPr>
          <w:p w:rsidR="00BB42F2" w:rsidRPr="008358B2" w:rsidRDefault="00BB42F2" w:rsidP="00BE020B">
            <w:pPr>
              <w:spacing w:line="20" w:lineRule="atLeast"/>
              <w:jc w:val="center"/>
              <w:rPr>
                <w:b/>
                <w:bCs/>
                <w:color w:val="000000" w:themeColor="text1"/>
                <w:sz w:val="20"/>
                <w:szCs w:val="20"/>
              </w:rPr>
            </w:pPr>
            <w:r w:rsidRPr="008358B2">
              <w:rPr>
                <w:b/>
                <w:bCs/>
                <w:color w:val="000000" w:themeColor="text1"/>
                <w:sz w:val="20"/>
                <w:szCs w:val="20"/>
              </w:rPr>
              <w:t>Názov systému</w:t>
            </w:r>
          </w:p>
        </w:tc>
      </w:tr>
      <w:tr w:rsidR="00BB42F2" w:rsidRPr="008358B2" w:rsidTr="00DA259F">
        <w:trPr>
          <w:trHeight w:val="20"/>
        </w:trPr>
        <w:tc>
          <w:tcPr>
            <w:tcW w:w="3316" w:type="dxa"/>
            <w:tcBorders>
              <w:top w:val="nil"/>
              <w:left w:val="single" w:sz="8" w:space="0" w:color="auto"/>
              <w:bottom w:val="single" w:sz="8" w:space="0" w:color="auto"/>
              <w:right w:val="single" w:sz="8" w:space="0" w:color="auto"/>
            </w:tcBorders>
            <w:tcMar>
              <w:top w:w="28" w:type="dxa"/>
              <w:left w:w="70" w:type="dxa"/>
              <w:bottom w:w="28" w:type="dxa"/>
              <w:right w:w="70" w:type="dxa"/>
            </w:tcMar>
            <w:hideMark/>
          </w:tcPr>
          <w:p w:rsidR="00BB42F2" w:rsidRPr="008358B2" w:rsidRDefault="00BB42F2" w:rsidP="00BE020B">
            <w:pPr>
              <w:jc w:val="both"/>
              <w:rPr>
                <w:color w:val="000000" w:themeColor="text1"/>
                <w:sz w:val="20"/>
                <w:szCs w:val="20"/>
              </w:rPr>
            </w:pPr>
            <w:r w:rsidRPr="008358B2">
              <w:rPr>
                <w:b/>
                <w:bCs/>
                <w:color w:val="000000" w:themeColor="text1"/>
                <w:sz w:val="20"/>
                <w:szCs w:val="20"/>
              </w:rPr>
              <w:t>6.2.</w:t>
            </w:r>
            <w:r w:rsidRPr="008358B2">
              <w:rPr>
                <w:color w:val="000000" w:themeColor="text1"/>
                <w:sz w:val="20"/>
                <w:szCs w:val="20"/>
              </w:rPr>
              <w:t xml:space="preserve"> Predpokladá predložený návrh zmenu existujúceho alebo vytvorenie nového informačného systému verejnej správy?</w:t>
            </w:r>
          </w:p>
          <w:p w:rsidR="00BB42F2" w:rsidRPr="008358B2" w:rsidRDefault="00BB42F2" w:rsidP="00BE020B">
            <w:pPr>
              <w:spacing w:line="20" w:lineRule="atLeast"/>
              <w:jc w:val="both"/>
              <w:rPr>
                <w:color w:val="000000" w:themeColor="text1"/>
                <w:sz w:val="20"/>
                <w:szCs w:val="20"/>
              </w:rPr>
            </w:pPr>
            <w:r w:rsidRPr="008358B2">
              <w:rPr>
                <w:i/>
                <w:iCs/>
                <w:color w:val="000000" w:themeColor="text1"/>
                <w:sz w:val="20"/>
                <w:szCs w:val="20"/>
              </w:rPr>
              <w:t xml:space="preserve">(Ak áno, uveďte zmenu systému alebo vytvorenie nového systému, ďalej jeho kód a názov z centrálneho </w:t>
            </w:r>
            <w:proofErr w:type="spellStart"/>
            <w:r w:rsidRPr="008358B2">
              <w:rPr>
                <w:i/>
                <w:iCs/>
                <w:color w:val="000000" w:themeColor="text1"/>
                <w:sz w:val="20"/>
                <w:szCs w:val="20"/>
              </w:rPr>
              <w:t>metainformačného</w:t>
            </w:r>
            <w:proofErr w:type="spellEnd"/>
            <w:r w:rsidRPr="008358B2">
              <w:rPr>
                <w:i/>
                <w:iCs/>
                <w:color w:val="000000" w:themeColor="text1"/>
                <w:sz w:val="20"/>
                <w:szCs w:val="20"/>
              </w:rPr>
              <w:t xml:space="preserve"> systému verejnej správy.)</w:t>
            </w:r>
          </w:p>
        </w:tc>
        <w:tc>
          <w:tcPr>
            <w:tcW w:w="1091" w:type="dxa"/>
            <w:tcBorders>
              <w:top w:val="nil"/>
              <w:left w:val="nil"/>
              <w:bottom w:val="single" w:sz="8" w:space="0" w:color="auto"/>
              <w:right w:val="single" w:sz="8" w:space="0" w:color="auto"/>
            </w:tcBorders>
            <w:tcMar>
              <w:top w:w="28" w:type="dxa"/>
              <w:left w:w="70" w:type="dxa"/>
              <w:bottom w:w="28" w:type="dxa"/>
              <w:right w:w="70" w:type="dxa"/>
            </w:tcMar>
            <w:hideMark/>
          </w:tcPr>
          <w:p w:rsidR="00BB42F2" w:rsidRPr="008358B2" w:rsidRDefault="00BB42F2" w:rsidP="00BE020B">
            <w:pPr>
              <w:spacing w:line="20" w:lineRule="atLeast"/>
              <w:jc w:val="center"/>
              <w:rPr>
                <w:b/>
                <w:bCs/>
                <w:color w:val="000000" w:themeColor="text1"/>
                <w:sz w:val="20"/>
                <w:szCs w:val="20"/>
              </w:rPr>
            </w:pPr>
            <w:r w:rsidRPr="008358B2">
              <w:rPr>
                <w:b/>
                <w:bCs/>
                <w:color w:val="000000" w:themeColor="text1"/>
                <w:sz w:val="20"/>
                <w:szCs w:val="20"/>
              </w:rPr>
              <w:t>B</w:t>
            </w:r>
          </w:p>
        </w:tc>
        <w:tc>
          <w:tcPr>
            <w:tcW w:w="1352" w:type="dxa"/>
            <w:tcBorders>
              <w:top w:val="nil"/>
              <w:left w:val="nil"/>
              <w:bottom w:val="single" w:sz="8" w:space="0" w:color="auto"/>
              <w:right w:val="single" w:sz="8" w:space="0" w:color="auto"/>
            </w:tcBorders>
            <w:tcMar>
              <w:top w:w="28" w:type="dxa"/>
              <w:left w:w="70" w:type="dxa"/>
              <w:bottom w:w="28" w:type="dxa"/>
              <w:right w:w="70" w:type="dxa"/>
            </w:tcMar>
          </w:tcPr>
          <w:p w:rsidR="00BB42F2" w:rsidRPr="008358B2" w:rsidRDefault="00BB42F2" w:rsidP="00BE020B">
            <w:pPr>
              <w:rPr>
                <w:i/>
                <w:iCs/>
                <w:color w:val="000000" w:themeColor="text1"/>
                <w:sz w:val="20"/>
                <w:szCs w:val="20"/>
              </w:rPr>
            </w:pPr>
          </w:p>
          <w:p w:rsidR="00BB42F2" w:rsidRPr="008358B2" w:rsidRDefault="00BB42F2" w:rsidP="00BE020B">
            <w:pPr>
              <w:jc w:val="center"/>
              <w:rPr>
                <w:b/>
                <w:bCs/>
                <w:color w:val="000000" w:themeColor="text1"/>
                <w:sz w:val="20"/>
                <w:szCs w:val="20"/>
              </w:rPr>
            </w:pPr>
            <w:r w:rsidRPr="008358B2">
              <w:rPr>
                <w:b/>
                <w:bCs/>
                <w:color w:val="000000" w:themeColor="text1"/>
                <w:sz w:val="20"/>
                <w:szCs w:val="20"/>
              </w:rPr>
              <w:t>isvs_7205</w:t>
            </w:r>
          </w:p>
        </w:tc>
        <w:tc>
          <w:tcPr>
            <w:tcW w:w="3236" w:type="dxa"/>
            <w:gridSpan w:val="3"/>
            <w:tcBorders>
              <w:top w:val="nil"/>
              <w:left w:val="nil"/>
              <w:bottom w:val="single" w:sz="8" w:space="0" w:color="auto"/>
              <w:right w:val="single" w:sz="8" w:space="0" w:color="auto"/>
            </w:tcBorders>
            <w:tcMar>
              <w:top w:w="28" w:type="dxa"/>
              <w:left w:w="70" w:type="dxa"/>
              <w:bottom w:w="28" w:type="dxa"/>
              <w:right w:w="70" w:type="dxa"/>
            </w:tcMar>
          </w:tcPr>
          <w:p w:rsidR="00BB42F2" w:rsidRPr="008358B2" w:rsidRDefault="00BB42F2" w:rsidP="00BE020B">
            <w:pPr>
              <w:rPr>
                <w:i/>
                <w:iCs/>
                <w:color w:val="000000" w:themeColor="text1"/>
                <w:sz w:val="20"/>
                <w:szCs w:val="20"/>
              </w:rPr>
            </w:pPr>
          </w:p>
          <w:p w:rsidR="00BB42F2" w:rsidRPr="008358B2" w:rsidRDefault="00BB42F2" w:rsidP="00BE020B">
            <w:pPr>
              <w:rPr>
                <w:b/>
                <w:bCs/>
                <w:color w:val="000000" w:themeColor="text1"/>
                <w:sz w:val="20"/>
                <w:szCs w:val="20"/>
              </w:rPr>
            </w:pPr>
            <w:r w:rsidRPr="008358B2">
              <w:rPr>
                <w:b/>
                <w:bCs/>
                <w:color w:val="000000" w:themeColor="text1"/>
                <w:sz w:val="20"/>
                <w:szCs w:val="20"/>
              </w:rPr>
              <w:t>Systém správy nepriamych daní (</w:t>
            </w:r>
            <w:proofErr w:type="spellStart"/>
            <w:r w:rsidRPr="008358B2">
              <w:rPr>
                <w:b/>
                <w:bCs/>
                <w:color w:val="000000" w:themeColor="text1"/>
                <w:sz w:val="20"/>
                <w:szCs w:val="20"/>
              </w:rPr>
              <w:t>SysNeD</w:t>
            </w:r>
            <w:proofErr w:type="spellEnd"/>
            <w:r w:rsidRPr="008358B2">
              <w:rPr>
                <w:b/>
                <w:bCs/>
                <w:color w:val="000000" w:themeColor="text1"/>
                <w:sz w:val="20"/>
                <w:szCs w:val="20"/>
              </w:rPr>
              <w:t>)</w:t>
            </w:r>
          </w:p>
        </w:tc>
      </w:tr>
      <w:tr w:rsidR="00BB42F2" w:rsidRPr="008358B2" w:rsidTr="00DA259F">
        <w:trPr>
          <w:trHeight w:val="20"/>
        </w:trPr>
        <w:tc>
          <w:tcPr>
            <w:tcW w:w="3316" w:type="dxa"/>
            <w:tcBorders>
              <w:top w:val="nil"/>
              <w:left w:val="single" w:sz="8" w:space="0" w:color="auto"/>
              <w:bottom w:val="single" w:sz="8" w:space="0" w:color="auto"/>
              <w:right w:val="single" w:sz="8" w:space="0" w:color="auto"/>
            </w:tcBorders>
            <w:shd w:val="clear" w:color="auto" w:fill="BFBFBF"/>
            <w:tcMar>
              <w:top w:w="28" w:type="dxa"/>
              <w:left w:w="70" w:type="dxa"/>
              <w:bottom w:w="28" w:type="dxa"/>
              <w:right w:w="70" w:type="dxa"/>
            </w:tcMar>
            <w:vAlign w:val="center"/>
            <w:hideMark/>
          </w:tcPr>
          <w:p w:rsidR="00BB42F2" w:rsidRPr="008358B2" w:rsidRDefault="00BB42F2" w:rsidP="00BE020B">
            <w:pPr>
              <w:spacing w:line="20" w:lineRule="atLeast"/>
              <w:ind w:hanging="55"/>
              <w:jc w:val="center"/>
              <w:rPr>
                <w:b/>
                <w:bCs/>
                <w:color w:val="000000" w:themeColor="text1"/>
                <w:sz w:val="20"/>
                <w:szCs w:val="20"/>
              </w:rPr>
            </w:pPr>
            <w:r w:rsidRPr="008358B2">
              <w:rPr>
                <w:b/>
                <w:bCs/>
                <w:color w:val="000000" w:themeColor="text1"/>
                <w:sz w:val="20"/>
                <w:szCs w:val="20"/>
              </w:rPr>
              <w:t>Financovanie procesu informatizácie</w:t>
            </w:r>
          </w:p>
        </w:tc>
        <w:tc>
          <w:tcPr>
            <w:tcW w:w="1091" w:type="dxa"/>
            <w:tcBorders>
              <w:top w:val="nil"/>
              <w:left w:val="nil"/>
              <w:bottom w:val="single" w:sz="8" w:space="0" w:color="auto"/>
              <w:right w:val="single" w:sz="8" w:space="0" w:color="auto"/>
            </w:tcBorders>
            <w:shd w:val="clear" w:color="auto" w:fill="BFBFBF"/>
            <w:tcMar>
              <w:top w:w="28" w:type="dxa"/>
              <w:left w:w="70" w:type="dxa"/>
              <w:bottom w:w="28" w:type="dxa"/>
              <w:right w:w="70" w:type="dxa"/>
            </w:tcMar>
            <w:vAlign w:val="center"/>
            <w:hideMark/>
          </w:tcPr>
          <w:p w:rsidR="00BB42F2" w:rsidRPr="008358B2" w:rsidRDefault="00BB42F2" w:rsidP="00BE020B">
            <w:pPr>
              <w:spacing w:line="20" w:lineRule="atLeast"/>
              <w:jc w:val="center"/>
              <w:rPr>
                <w:b/>
                <w:bCs/>
                <w:i/>
                <w:iCs/>
                <w:color w:val="000000" w:themeColor="text1"/>
                <w:sz w:val="20"/>
                <w:szCs w:val="20"/>
              </w:rPr>
            </w:pPr>
            <w:r w:rsidRPr="008358B2">
              <w:rPr>
                <w:b/>
                <w:bCs/>
                <w:color w:val="000000" w:themeColor="text1"/>
                <w:sz w:val="20"/>
                <w:szCs w:val="20"/>
              </w:rPr>
              <w:t>Rezortná úroveň</w:t>
            </w:r>
          </w:p>
        </w:tc>
        <w:tc>
          <w:tcPr>
            <w:tcW w:w="2060" w:type="dxa"/>
            <w:gridSpan w:val="2"/>
            <w:tcBorders>
              <w:top w:val="nil"/>
              <w:left w:val="nil"/>
              <w:bottom w:val="single" w:sz="8" w:space="0" w:color="auto"/>
              <w:right w:val="single" w:sz="8" w:space="0" w:color="auto"/>
            </w:tcBorders>
            <w:shd w:val="clear" w:color="auto" w:fill="BFBFBF"/>
            <w:tcMar>
              <w:top w:w="28" w:type="dxa"/>
              <w:left w:w="70" w:type="dxa"/>
              <w:bottom w:w="28" w:type="dxa"/>
              <w:right w:w="70" w:type="dxa"/>
            </w:tcMar>
            <w:vAlign w:val="center"/>
          </w:tcPr>
          <w:p w:rsidR="00BB42F2" w:rsidRPr="008358B2" w:rsidRDefault="00BB42F2" w:rsidP="00BE020B">
            <w:pPr>
              <w:jc w:val="center"/>
              <w:rPr>
                <w:b/>
                <w:bCs/>
                <w:i/>
                <w:iCs/>
                <w:color w:val="000000" w:themeColor="text1"/>
                <w:sz w:val="20"/>
                <w:szCs w:val="20"/>
              </w:rPr>
            </w:pPr>
            <w:r w:rsidRPr="008358B2">
              <w:rPr>
                <w:b/>
                <w:bCs/>
                <w:color w:val="000000" w:themeColor="text1"/>
                <w:sz w:val="20"/>
                <w:szCs w:val="20"/>
              </w:rPr>
              <w:t>Nadrezortná úroveň</w:t>
            </w:r>
          </w:p>
          <w:p w:rsidR="00BB42F2" w:rsidRPr="008358B2" w:rsidRDefault="00BB42F2" w:rsidP="00BE020B">
            <w:pPr>
              <w:spacing w:line="20" w:lineRule="atLeast"/>
              <w:jc w:val="center"/>
              <w:rPr>
                <w:b/>
                <w:bCs/>
                <w:color w:val="000000" w:themeColor="text1"/>
                <w:sz w:val="20"/>
                <w:szCs w:val="20"/>
              </w:rPr>
            </w:pPr>
          </w:p>
        </w:tc>
        <w:tc>
          <w:tcPr>
            <w:tcW w:w="2528" w:type="dxa"/>
            <w:gridSpan w:val="2"/>
            <w:tcBorders>
              <w:top w:val="nil"/>
              <w:left w:val="nil"/>
              <w:bottom w:val="single" w:sz="8" w:space="0" w:color="auto"/>
              <w:right w:val="single" w:sz="8" w:space="0" w:color="auto"/>
            </w:tcBorders>
            <w:shd w:val="clear" w:color="auto" w:fill="BFBFBF"/>
            <w:tcMar>
              <w:top w:w="28" w:type="dxa"/>
              <w:left w:w="70" w:type="dxa"/>
              <w:bottom w:w="28" w:type="dxa"/>
              <w:right w:w="70" w:type="dxa"/>
            </w:tcMar>
            <w:vAlign w:val="center"/>
            <w:hideMark/>
          </w:tcPr>
          <w:p w:rsidR="00BB42F2" w:rsidRPr="008358B2" w:rsidRDefault="00BB42F2" w:rsidP="00BE020B">
            <w:pPr>
              <w:spacing w:line="20" w:lineRule="atLeast"/>
              <w:rPr>
                <w:b/>
                <w:bCs/>
                <w:color w:val="000000" w:themeColor="text1"/>
                <w:sz w:val="20"/>
                <w:szCs w:val="20"/>
              </w:rPr>
            </w:pPr>
            <w:r w:rsidRPr="008358B2">
              <w:rPr>
                <w:b/>
                <w:bCs/>
                <w:color w:val="000000" w:themeColor="text1"/>
                <w:sz w:val="20"/>
                <w:szCs w:val="20"/>
              </w:rPr>
              <w:t>A - z prostriedkov EÚ   B - z ďalších zdrojov financovania</w:t>
            </w:r>
          </w:p>
        </w:tc>
      </w:tr>
      <w:tr w:rsidR="00BB42F2" w:rsidRPr="008358B2" w:rsidTr="00DA259F">
        <w:trPr>
          <w:trHeight w:val="20"/>
        </w:trPr>
        <w:tc>
          <w:tcPr>
            <w:tcW w:w="3316" w:type="dxa"/>
            <w:tcBorders>
              <w:top w:val="nil"/>
              <w:left w:val="single" w:sz="8" w:space="0" w:color="auto"/>
              <w:bottom w:val="single" w:sz="8" w:space="0" w:color="auto"/>
              <w:right w:val="single" w:sz="8" w:space="0" w:color="auto"/>
            </w:tcBorders>
            <w:tcMar>
              <w:top w:w="28" w:type="dxa"/>
              <w:left w:w="70" w:type="dxa"/>
              <w:bottom w:w="28" w:type="dxa"/>
              <w:right w:w="70" w:type="dxa"/>
            </w:tcMar>
            <w:hideMark/>
          </w:tcPr>
          <w:p w:rsidR="00BB42F2" w:rsidRPr="008358B2" w:rsidRDefault="00BB42F2" w:rsidP="00BE020B">
            <w:pPr>
              <w:jc w:val="both"/>
              <w:rPr>
                <w:color w:val="000000" w:themeColor="text1"/>
                <w:sz w:val="20"/>
                <w:szCs w:val="20"/>
              </w:rPr>
            </w:pPr>
            <w:r w:rsidRPr="008358B2">
              <w:rPr>
                <w:b/>
                <w:bCs/>
                <w:color w:val="000000" w:themeColor="text1"/>
                <w:sz w:val="20"/>
                <w:szCs w:val="20"/>
              </w:rPr>
              <w:t>6.3.</w:t>
            </w:r>
            <w:r w:rsidRPr="008358B2">
              <w:rPr>
                <w:color w:val="000000" w:themeColor="text1"/>
                <w:sz w:val="20"/>
                <w:szCs w:val="20"/>
              </w:rPr>
              <w:t xml:space="preserve"> Vyžaduje si proces informatizácie  finančné investície?</w:t>
            </w:r>
          </w:p>
          <w:p w:rsidR="00BB42F2" w:rsidRPr="008358B2" w:rsidRDefault="00BB42F2" w:rsidP="00BE020B">
            <w:pPr>
              <w:spacing w:line="20" w:lineRule="atLeast"/>
              <w:jc w:val="both"/>
              <w:rPr>
                <w:color w:val="000000" w:themeColor="text1"/>
                <w:sz w:val="20"/>
                <w:szCs w:val="20"/>
              </w:rPr>
            </w:pPr>
            <w:r w:rsidRPr="008358B2">
              <w:rPr>
                <w:i/>
                <w:iCs/>
                <w:color w:val="000000" w:themeColor="text1"/>
                <w:sz w:val="20"/>
                <w:szCs w:val="20"/>
              </w:rPr>
              <w:t>(Uveďte príslušnú úroveň financovania a kvantifikáciu finančných výdavkov uveďte  v analýze vplyvov na rozpočet verejnej správy.)</w:t>
            </w:r>
          </w:p>
        </w:tc>
        <w:tc>
          <w:tcPr>
            <w:tcW w:w="1091" w:type="dxa"/>
            <w:tcBorders>
              <w:top w:val="nil"/>
              <w:left w:val="nil"/>
              <w:bottom w:val="single" w:sz="8" w:space="0" w:color="auto"/>
              <w:right w:val="single" w:sz="8" w:space="0" w:color="auto"/>
            </w:tcBorders>
            <w:tcMar>
              <w:top w:w="28" w:type="dxa"/>
              <w:left w:w="70" w:type="dxa"/>
              <w:bottom w:w="28" w:type="dxa"/>
              <w:right w:w="70" w:type="dxa"/>
            </w:tcMar>
          </w:tcPr>
          <w:p w:rsidR="00BB42F2" w:rsidRPr="008358B2" w:rsidRDefault="00BB42F2" w:rsidP="00BE020B">
            <w:pPr>
              <w:spacing w:line="20" w:lineRule="atLeast"/>
              <w:jc w:val="center"/>
              <w:rPr>
                <w:b/>
                <w:bCs/>
                <w:color w:val="000000" w:themeColor="text1"/>
                <w:sz w:val="20"/>
                <w:szCs w:val="20"/>
              </w:rPr>
            </w:pPr>
            <w:r w:rsidRPr="008358B2">
              <w:rPr>
                <w:b/>
                <w:bCs/>
                <w:color w:val="000000" w:themeColor="text1"/>
                <w:sz w:val="20"/>
                <w:szCs w:val="20"/>
              </w:rPr>
              <w:t>X</w:t>
            </w:r>
          </w:p>
          <w:p w:rsidR="00BB42F2" w:rsidRPr="008358B2" w:rsidRDefault="00BB42F2" w:rsidP="00BE020B">
            <w:pPr>
              <w:spacing w:line="20" w:lineRule="atLeast"/>
              <w:rPr>
                <w:b/>
                <w:bCs/>
                <w:color w:val="000000" w:themeColor="text1"/>
                <w:sz w:val="20"/>
                <w:szCs w:val="20"/>
              </w:rPr>
            </w:pPr>
          </w:p>
        </w:tc>
        <w:tc>
          <w:tcPr>
            <w:tcW w:w="2060" w:type="dxa"/>
            <w:gridSpan w:val="2"/>
            <w:tcBorders>
              <w:top w:val="nil"/>
              <w:left w:val="nil"/>
              <w:bottom w:val="single" w:sz="8" w:space="0" w:color="auto"/>
              <w:right w:val="single" w:sz="8" w:space="0" w:color="auto"/>
            </w:tcBorders>
            <w:tcMar>
              <w:top w:w="28" w:type="dxa"/>
              <w:left w:w="70" w:type="dxa"/>
              <w:bottom w:w="28" w:type="dxa"/>
              <w:right w:w="70" w:type="dxa"/>
            </w:tcMar>
          </w:tcPr>
          <w:p w:rsidR="00BB42F2" w:rsidRPr="008358B2" w:rsidRDefault="00BB42F2" w:rsidP="00BE020B">
            <w:pPr>
              <w:rPr>
                <w:i/>
                <w:iCs/>
                <w:color w:val="000000" w:themeColor="text1"/>
                <w:sz w:val="20"/>
                <w:szCs w:val="20"/>
              </w:rPr>
            </w:pPr>
          </w:p>
        </w:tc>
        <w:tc>
          <w:tcPr>
            <w:tcW w:w="2528" w:type="dxa"/>
            <w:gridSpan w:val="2"/>
            <w:tcBorders>
              <w:top w:val="nil"/>
              <w:left w:val="nil"/>
              <w:bottom w:val="single" w:sz="8" w:space="0" w:color="auto"/>
              <w:right w:val="single" w:sz="8" w:space="0" w:color="auto"/>
            </w:tcBorders>
            <w:tcMar>
              <w:top w:w="28" w:type="dxa"/>
              <w:left w:w="70" w:type="dxa"/>
              <w:bottom w:w="28" w:type="dxa"/>
              <w:right w:w="70" w:type="dxa"/>
            </w:tcMar>
          </w:tcPr>
          <w:p w:rsidR="00BB42F2" w:rsidRPr="008358B2" w:rsidRDefault="00BB42F2" w:rsidP="00BE020B">
            <w:pPr>
              <w:rPr>
                <w:i/>
                <w:iCs/>
                <w:color w:val="000000" w:themeColor="text1"/>
                <w:sz w:val="20"/>
                <w:szCs w:val="20"/>
              </w:rPr>
            </w:pPr>
          </w:p>
          <w:p w:rsidR="00BB42F2" w:rsidRPr="008358B2" w:rsidRDefault="00BB42F2" w:rsidP="00BE020B">
            <w:pPr>
              <w:rPr>
                <w:b/>
                <w:bCs/>
                <w:color w:val="000000" w:themeColor="text1"/>
                <w:sz w:val="20"/>
                <w:szCs w:val="20"/>
              </w:rPr>
            </w:pPr>
            <w:r w:rsidRPr="008358B2">
              <w:rPr>
                <w:b/>
                <w:bCs/>
                <w:color w:val="000000" w:themeColor="text1"/>
                <w:sz w:val="20"/>
                <w:szCs w:val="20"/>
              </w:rPr>
              <w:t>B</w:t>
            </w:r>
          </w:p>
        </w:tc>
      </w:tr>
      <w:tr w:rsidR="00BB42F2" w:rsidRPr="008358B2" w:rsidTr="00DA259F">
        <w:tc>
          <w:tcPr>
            <w:tcW w:w="3316" w:type="dxa"/>
            <w:vAlign w:val="center"/>
            <w:hideMark/>
          </w:tcPr>
          <w:p w:rsidR="00BB42F2" w:rsidRPr="008358B2" w:rsidRDefault="00BB42F2" w:rsidP="00BE020B">
            <w:pPr>
              <w:rPr>
                <w:b/>
                <w:bCs/>
                <w:color w:val="000000" w:themeColor="text1"/>
                <w:sz w:val="20"/>
                <w:szCs w:val="20"/>
              </w:rPr>
            </w:pPr>
          </w:p>
        </w:tc>
        <w:tc>
          <w:tcPr>
            <w:tcW w:w="1091" w:type="dxa"/>
            <w:vAlign w:val="center"/>
            <w:hideMark/>
          </w:tcPr>
          <w:p w:rsidR="00BB42F2" w:rsidRPr="008358B2" w:rsidRDefault="00BB42F2" w:rsidP="00BE020B">
            <w:pPr>
              <w:rPr>
                <w:color w:val="000000" w:themeColor="text1"/>
                <w:sz w:val="20"/>
                <w:szCs w:val="20"/>
              </w:rPr>
            </w:pPr>
          </w:p>
        </w:tc>
        <w:tc>
          <w:tcPr>
            <w:tcW w:w="1352" w:type="dxa"/>
            <w:vAlign w:val="center"/>
            <w:hideMark/>
          </w:tcPr>
          <w:p w:rsidR="00BB42F2" w:rsidRPr="008358B2" w:rsidRDefault="00BB42F2" w:rsidP="00BE020B">
            <w:pPr>
              <w:rPr>
                <w:color w:val="000000" w:themeColor="text1"/>
                <w:sz w:val="20"/>
                <w:szCs w:val="20"/>
              </w:rPr>
            </w:pPr>
          </w:p>
        </w:tc>
        <w:tc>
          <w:tcPr>
            <w:tcW w:w="708" w:type="dxa"/>
            <w:vAlign w:val="center"/>
            <w:hideMark/>
          </w:tcPr>
          <w:p w:rsidR="00BB42F2" w:rsidRPr="008358B2" w:rsidRDefault="00BB42F2" w:rsidP="00BE020B">
            <w:pPr>
              <w:rPr>
                <w:color w:val="000000" w:themeColor="text1"/>
                <w:sz w:val="20"/>
                <w:szCs w:val="20"/>
              </w:rPr>
            </w:pPr>
          </w:p>
        </w:tc>
        <w:tc>
          <w:tcPr>
            <w:tcW w:w="945" w:type="dxa"/>
            <w:vAlign w:val="center"/>
            <w:hideMark/>
          </w:tcPr>
          <w:p w:rsidR="00BB42F2" w:rsidRPr="008358B2" w:rsidRDefault="00BB42F2" w:rsidP="00BE020B">
            <w:pPr>
              <w:rPr>
                <w:color w:val="000000" w:themeColor="text1"/>
                <w:sz w:val="20"/>
                <w:szCs w:val="20"/>
              </w:rPr>
            </w:pPr>
          </w:p>
        </w:tc>
        <w:tc>
          <w:tcPr>
            <w:tcW w:w="1583" w:type="dxa"/>
            <w:vAlign w:val="center"/>
            <w:hideMark/>
          </w:tcPr>
          <w:p w:rsidR="00BB42F2" w:rsidRPr="008358B2" w:rsidRDefault="00BB42F2" w:rsidP="00BE020B">
            <w:pPr>
              <w:rPr>
                <w:color w:val="000000" w:themeColor="text1"/>
                <w:sz w:val="20"/>
                <w:szCs w:val="20"/>
              </w:rPr>
            </w:pPr>
          </w:p>
        </w:tc>
      </w:tr>
    </w:tbl>
    <w:p w:rsidR="00BC2094" w:rsidRDefault="00BC2094" w:rsidP="001B1696"/>
    <w:p w:rsidR="00BB42F2" w:rsidRPr="00F31D8F" w:rsidRDefault="00BB42F2" w:rsidP="00F31D8F"/>
    <w:p w:rsidR="00BB42F2" w:rsidRPr="00F31D8F" w:rsidRDefault="00BB42F2" w:rsidP="00F31D8F"/>
    <w:p w:rsidR="00BB42F2" w:rsidRPr="00F31D8F" w:rsidRDefault="00BB42F2" w:rsidP="00F31D8F"/>
    <w:p w:rsidR="00BB42F2" w:rsidRPr="00F31D8F" w:rsidRDefault="00BB42F2" w:rsidP="00F31D8F"/>
    <w:p w:rsidR="00BB42F2" w:rsidRPr="00F31D8F" w:rsidRDefault="00BB42F2" w:rsidP="00F31D8F"/>
    <w:p w:rsidR="00BB42F2" w:rsidRPr="00F31D8F" w:rsidRDefault="00BB42F2" w:rsidP="00F31D8F"/>
    <w:p w:rsidR="00BB42F2" w:rsidRPr="00F31D8F" w:rsidRDefault="00BB42F2" w:rsidP="00F31D8F"/>
    <w:p w:rsidR="00BB42F2" w:rsidRPr="00F31D8F" w:rsidRDefault="00BB42F2" w:rsidP="00F31D8F"/>
    <w:p w:rsidR="00BB42F2" w:rsidRPr="00F31D8F" w:rsidRDefault="00BB42F2" w:rsidP="00F31D8F"/>
    <w:p w:rsidR="00BB42F2" w:rsidRPr="00F31D8F" w:rsidRDefault="00BB42F2" w:rsidP="00F31D8F"/>
    <w:p w:rsidR="00BB42F2" w:rsidRPr="00F31D8F" w:rsidRDefault="00BB42F2" w:rsidP="00F31D8F"/>
    <w:p w:rsidR="00BB42F2" w:rsidRPr="00F31D8F" w:rsidRDefault="00BB42F2" w:rsidP="00F31D8F"/>
    <w:p w:rsidR="00872B1E" w:rsidRDefault="00872B1E" w:rsidP="00F31D8F"/>
    <w:p w:rsidR="00422DA3" w:rsidRDefault="00422DA3" w:rsidP="00F31D8F"/>
    <w:p w:rsidR="000D2788" w:rsidRPr="00F31D8F" w:rsidRDefault="000D2788" w:rsidP="00F31D8F"/>
    <w:p w:rsidR="00BB42F2" w:rsidRPr="00F31D8F" w:rsidRDefault="00BB42F2" w:rsidP="00F31D8F">
      <w:pPr>
        <w:pStyle w:val="Nzov"/>
      </w:pPr>
      <w:r w:rsidRPr="00F31D8F">
        <w:t>DOLOŽKA ZLUČITEĽNOSTI</w:t>
      </w:r>
    </w:p>
    <w:p w:rsidR="00BB42F2" w:rsidRPr="00F31D8F" w:rsidRDefault="00BB42F2" w:rsidP="00F31D8F">
      <w:pPr>
        <w:pStyle w:val="Zkladntext0"/>
        <w:pBdr>
          <w:bottom w:val="single" w:sz="12" w:space="1" w:color="auto"/>
        </w:pBdr>
        <w:jc w:val="center"/>
        <w:rPr>
          <w:rFonts w:ascii="Times New Roman" w:hAnsi="Times New Roman" w:cs="Times New Roman"/>
          <w:b/>
          <w:bCs/>
        </w:rPr>
      </w:pPr>
      <w:r w:rsidRPr="00F31D8F">
        <w:rPr>
          <w:rFonts w:ascii="Times New Roman" w:hAnsi="Times New Roman" w:cs="Times New Roman"/>
          <w:b/>
          <w:bCs/>
        </w:rPr>
        <w:t xml:space="preserve">k  návrhu zákona, ktorým sa mení a dopĺňa zákon č. 98/2004 Z. z. o spotrebnej dani z minerálneho oleja v znení neskorších predpisov </w:t>
      </w:r>
      <w:r w:rsidRPr="00F31D8F">
        <w:rPr>
          <w:rFonts w:ascii="Times New Roman" w:hAnsi="Times New Roman" w:cs="Times New Roman"/>
          <w:b/>
        </w:rPr>
        <w:t xml:space="preserve">a </w:t>
      </w:r>
      <w:r w:rsidRPr="00F31D8F">
        <w:rPr>
          <w:rFonts w:ascii="Times New Roman" w:hAnsi="Times New Roman" w:cs="Times New Roman"/>
          <w:b/>
          <w:bCs/>
        </w:rPr>
        <w:t xml:space="preserve">ktorým sa mení a dopĺňa zákon                  č. 530/2011 Z. z. o spotrebnej dani z alkoholických nápojov v znení neskorších predpisov          </w:t>
      </w:r>
      <w:r w:rsidRPr="00F31D8F">
        <w:rPr>
          <w:rFonts w:ascii="Times New Roman" w:hAnsi="Times New Roman" w:cs="Times New Roman"/>
          <w:b/>
        </w:rPr>
        <w:t xml:space="preserve">s </w:t>
      </w:r>
      <w:r w:rsidRPr="00F31D8F">
        <w:rPr>
          <w:rFonts w:ascii="Times New Roman" w:hAnsi="Times New Roman" w:cs="Times New Roman"/>
          <w:b/>
          <w:bCs/>
        </w:rPr>
        <w:t>právom Európskej únie</w:t>
      </w:r>
    </w:p>
    <w:p w:rsidR="00BB42F2" w:rsidRPr="00F31D8F" w:rsidRDefault="00BB42F2" w:rsidP="00F31D8F">
      <w:pPr>
        <w:rPr>
          <w:bCs/>
        </w:rPr>
      </w:pPr>
    </w:p>
    <w:p w:rsidR="00BB42F2" w:rsidRPr="00F31D8F" w:rsidRDefault="00BB42F2" w:rsidP="00F31D8F">
      <w:pPr>
        <w:numPr>
          <w:ilvl w:val="0"/>
          <w:numId w:val="7"/>
        </w:numPr>
        <w:jc w:val="both"/>
      </w:pPr>
      <w:r w:rsidRPr="00F31D8F">
        <w:rPr>
          <w:b/>
          <w:bCs/>
        </w:rPr>
        <w:t>Navrhovateľ zákona:</w:t>
      </w:r>
    </w:p>
    <w:p w:rsidR="00BB42F2" w:rsidRPr="00F31D8F" w:rsidRDefault="00BB42F2" w:rsidP="00F31D8F">
      <w:pPr>
        <w:jc w:val="both"/>
      </w:pPr>
    </w:p>
    <w:p w:rsidR="00BB42F2" w:rsidRPr="00F31D8F" w:rsidRDefault="00BB42F2" w:rsidP="00F31D8F">
      <w:pPr>
        <w:ind w:firstLine="425"/>
        <w:jc w:val="both"/>
      </w:pPr>
      <w:r w:rsidRPr="00F31D8F">
        <w:t>Vláda Slovenskej republiky.</w:t>
      </w:r>
    </w:p>
    <w:p w:rsidR="00BB42F2" w:rsidRPr="00F31D8F" w:rsidRDefault="00BB42F2" w:rsidP="00F31D8F">
      <w:pPr>
        <w:jc w:val="both"/>
        <w:rPr>
          <w:bCs/>
        </w:rPr>
      </w:pPr>
    </w:p>
    <w:p w:rsidR="00BB42F2" w:rsidRPr="00F31D8F" w:rsidRDefault="00BB42F2" w:rsidP="00F31D8F">
      <w:pPr>
        <w:numPr>
          <w:ilvl w:val="0"/>
          <w:numId w:val="7"/>
        </w:numPr>
        <w:jc w:val="both"/>
        <w:rPr>
          <w:b/>
          <w:bCs/>
        </w:rPr>
      </w:pPr>
      <w:r w:rsidRPr="00F31D8F">
        <w:rPr>
          <w:b/>
          <w:bCs/>
        </w:rPr>
        <w:t>Názov návrhu zákona:</w:t>
      </w:r>
    </w:p>
    <w:p w:rsidR="00BB42F2" w:rsidRPr="00F31D8F" w:rsidRDefault="00BB42F2" w:rsidP="00F31D8F">
      <w:pPr>
        <w:jc w:val="both"/>
        <w:rPr>
          <w:bCs/>
        </w:rPr>
      </w:pPr>
    </w:p>
    <w:p w:rsidR="00BB42F2" w:rsidRPr="00F31D8F" w:rsidRDefault="00BB42F2" w:rsidP="00F31D8F">
      <w:pPr>
        <w:pStyle w:val="Zkladntext0"/>
        <w:ind w:left="426"/>
        <w:jc w:val="both"/>
        <w:rPr>
          <w:rFonts w:ascii="Times New Roman" w:hAnsi="Times New Roman" w:cs="Times New Roman"/>
        </w:rPr>
      </w:pPr>
      <w:r w:rsidRPr="00F31D8F">
        <w:rPr>
          <w:rFonts w:ascii="Times New Roman" w:hAnsi="Times New Roman" w:cs="Times New Roman"/>
        </w:rPr>
        <w:t xml:space="preserve">Návrh zákona, </w:t>
      </w:r>
      <w:r w:rsidRPr="00F31D8F">
        <w:rPr>
          <w:rFonts w:ascii="Times New Roman" w:hAnsi="Times New Roman" w:cs="Times New Roman"/>
          <w:bCs/>
        </w:rPr>
        <w:t xml:space="preserve">ktorým sa mení a dopĺňa zákon č. 98/2004 Z. z. o spotrebnej dani z minerálneho oleja v znení neskorších predpisov </w:t>
      </w:r>
      <w:r w:rsidRPr="00F31D8F">
        <w:rPr>
          <w:rFonts w:ascii="Times New Roman" w:hAnsi="Times New Roman" w:cs="Times New Roman"/>
        </w:rPr>
        <w:t xml:space="preserve">a </w:t>
      </w:r>
      <w:r w:rsidRPr="00F31D8F">
        <w:rPr>
          <w:rFonts w:ascii="Times New Roman" w:hAnsi="Times New Roman" w:cs="Times New Roman"/>
          <w:bCs/>
        </w:rPr>
        <w:t>ktorým sa mení a dopĺňa zákon                    č. 530/2011 Z. z. o spotrebnej dani z alkoholických nápojov v znení neskorších predpisov.</w:t>
      </w:r>
    </w:p>
    <w:p w:rsidR="00BB42F2" w:rsidRPr="00F31D8F" w:rsidRDefault="00BB42F2" w:rsidP="00F31D8F">
      <w:pPr>
        <w:jc w:val="both"/>
        <w:rPr>
          <w:bCs/>
        </w:rPr>
      </w:pPr>
    </w:p>
    <w:p w:rsidR="00BB42F2" w:rsidRPr="00F31D8F" w:rsidRDefault="00BB42F2" w:rsidP="00F31D8F">
      <w:pPr>
        <w:numPr>
          <w:ilvl w:val="0"/>
          <w:numId w:val="7"/>
        </w:numPr>
        <w:jc w:val="both"/>
        <w:rPr>
          <w:b/>
          <w:bCs/>
        </w:rPr>
      </w:pPr>
      <w:r w:rsidRPr="00F31D8F">
        <w:rPr>
          <w:b/>
          <w:bCs/>
          <w:color w:val="000000"/>
        </w:rPr>
        <w:t>Predmet návrhu zákona</w:t>
      </w:r>
    </w:p>
    <w:p w:rsidR="00BB42F2" w:rsidRPr="00F31D8F" w:rsidRDefault="00BB42F2" w:rsidP="00F31D8F">
      <w:pPr>
        <w:jc w:val="both"/>
        <w:rPr>
          <w:bCs/>
        </w:rPr>
      </w:pPr>
    </w:p>
    <w:p w:rsidR="00BB42F2" w:rsidRPr="00F31D8F" w:rsidRDefault="00BB42F2" w:rsidP="00F31D8F">
      <w:pPr>
        <w:pStyle w:val="Zkladntext"/>
        <w:spacing w:after="0"/>
        <w:ind w:left="850" w:hanging="141"/>
      </w:pPr>
      <w:r w:rsidRPr="00F31D8F">
        <w:t>je upravená v práve Európskej únie:</w:t>
      </w:r>
    </w:p>
    <w:p w:rsidR="00BB42F2" w:rsidRPr="00F31D8F" w:rsidRDefault="00BB42F2" w:rsidP="00F31D8F">
      <w:pPr>
        <w:pStyle w:val="Zkladntext"/>
        <w:spacing w:after="0"/>
      </w:pPr>
    </w:p>
    <w:p w:rsidR="00BB42F2" w:rsidRPr="00F31D8F" w:rsidRDefault="00BB42F2" w:rsidP="00F31D8F">
      <w:pPr>
        <w:pStyle w:val="Zkladntext"/>
        <w:numPr>
          <w:ilvl w:val="0"/>
          <w:numId w:val="8"/>
        </w:numPr>
        <w:spacing w:after="0"/>
        <w:ind w:left="851" w:hanging="284"/>
        <w:rPr>
          <w:b/>
          <w:bCs/>
          <w:iCs/>
        </w:rPr>
      </w:pPr>
      <w:r w:rsidRPr="00F31D8F">
        <w:rPr>
          <w:b/>
          <w:bCs/>
          <w:iCs/>
        </w:rPr>
        <w:t>Primárne právo:</w:t>
      </w:r>
    </w:p>
    <w:p w:rsidR="00BB42F2" w:rsidRPr="00F31D8F" w:rsidRDefault="00BB42F2" w:rsidP="00F31D8F">
      <w:pPr>
        <w:pStyle w:val="Zkladntext"/>
        <w:spacing w:after="0"/>
        <w:rPr>
          <w:bCs/>
          <w:iCs/>
        </w:rPr>
      </w:pPr>
    </w:p>
    <w:p w:rsidR="00BB42F2" w:rsidRPr="00F31D8F" w:rsidRDefault="00BB42F2" w:rsidP="00F31D8F">
      <w:pPr>
        <w:pStyle w:val="Zkladntext"/>
        <w:numPr>
          <w:ilvl w:val="0"/>
          <w:numId w:val="9"/>
        </w:numPr>
        <w:spacing w:after="0"/>
        <w:ind w:hanging="191"/>
      </w:pPr>
      <w:r w:rsidRPr="00F31D8F">
        <w:t>čl. 107 a 108, čl. 110 až 113, čl. 349 a 355 Zmluvy o fungovaní Európskej únie,</w:t>
      </w:r>
    </w:p>
    <w:p w:rsidR="00BB42F2" w:rsidRPr="00F31D8F" w:rsidRDefault="00BB42F2" w:rsidP="00F31D8F">
      <w:pPr>
        <w:pStyle w:val="Zkladntext"/>
        <w:spacing w:after="0"/>
      </w:pPr>
    </w:p>
    <w:p w:rsidR="00BB42F2" w:rsidRPr="00F31D8F" w:rsidRDefault="00BB42F2" w:rsidP="00F31D8F">
      <w:pPr>
        <w:pStyle w:val="Zkladntext"/>
        <w:numPr>
          <w:ilvl w:val="0"/>
          <w:numId w:val="9"/>
        </w:numPr>
        <w:spacing w:after="0"/>
        <w:ind w:hanging="191"/>
      </w:pPr>
      <w:r w:rsidRPr="00F31D8F">
        <w:t>čl. 52 Zmluvy o Európskej únii.</w:t>
      </w:r>
    </w:p>
    <w:p w:rsidR="00BB42F2" w:rsidRPr="00F31D8F" w:rsidRDefault="00BB42F2" w:rsidP="00F31D8F">
      <w:pPr>
        <w:pStyle w:val="Zkladntext"/>
        <w:spacing w:after="0"/>
      </w:pPr>
    </w:p>
    <w:p w:rsidR="00BB42F2" w:rsidRPr="00F31D8F" w:rsidRDefault="00BB42F2" w:rsidP="00F31D8F">
      <w:pPr>
        <w:pStyle w:val="Zkladntext"/>
        <w:numPr>
          <w:ilvl w:val="0"/>
          <w:numId w:val="8"/>
        </w:numPr>
        <w:spacing w:after="0"/>
        <w:ind w:left="851" w:hanging="284"/>
        <w:rPr>
          <w:bCs/>
          <w:iCs/>
          <w:u w:val="single"/>
        </w:rPr>
      </w:pPr>
      <w:r w:rsidRPr="00F31D8F">
        <w:rPr>
          <w:b/>
          <w:bCs/>
          <w:iCs/>
        </w:rPr>
        <w:t>Sekundárne právo</w:t>
      </w:r>
      <w:r w:rsidRPr="00F31D8F">
        <w:rPr>
          <w:b/>
          <w:bCs/>
          <w:i/>
          <w:iCs/>
        </w:rPr>
        <w:t xml:space="preserve"> </w:t>
      </w:r>
    </w:p>
    <w:p w:rsidR="00BB42F2" w:rsidRPr="00F31D8F" w:rsidRDefault="00BB42F2" w:rsidP="00F31D8F">
      <w:pPr>
        <w:pStyle w:val="Zarkazkladnhotextu"/>
        <w:spacing w:after="0"/>
        <w:ind w:left="0"/>
        <w:rPr>
          <w:bCs/>
          <w:iCs/>
        </w:rPr>
      </w:pPr>
    </w:p>
    <w:p w:rsidR="00BB42F2" w:rsidRPr="00F31D8F" w:rsidRDefault="00BB42F2" w:rsidP="00F31D8F">
      <w:pPr>
        <w:numPr>
          <w:ilvl w:val="0"/>
          <w:numId w:val="10"/>
        </w:numPr>
        <w:tabs>
          <w:tab w:val="clear" w:pos="900"/>
          <w:tab w:val="num" w:pos="1134"/>
        </w:tabs>
        <w:ind w:left="1134" w:hanging="283"/>
        <w:jc w:val="both"/>
      </w:pPr>
      <w:r w:rsidRPr="00F31D8F">
        <w:t xml:space="preserve">smernica Rady </w:t>
      </w:r>
      <w:r w:rsidRPr="00F31D8F">
        <w:rPr>
          <w:u w:val="single"/>
        </w:rPr>
        <w:t>92/83/EHS</w:t>
      </w:r>
      <w:r w:rsidRPr="00F31D8F">
        <w:t xml:space="preserve">  z 19. októbra 1992 o zosúladení štruktúr spotrebných daní pre etanol a alkoholické nápoje (Mimoriadne vydanie Ú. v. EÚ kap. 9/zv. 1; </w:t>
      </w:r>
      <w:r w:rsidRPr="00F31D8F">
        <w:rPr>
          <w:iCs/>
        </w:rPr>
        <w:t>Ú. v. ES L 316, 31.10.1992</w:t>
      </w:r>
      <w:r w:rsidRPr="00F31D8F">
        <w:t>), gestor: MF SR,</w:t>
      </w:r>
    </w:p>
    <w:p w:rsidR="00BB42F2" w:rsidRPr="00F31D8F" w:rsidRDefault="00BB42F2" w:rsidP="00F31D8F">
      <w:pPr>
        <w:jc w:val="both"/>
      </w:pPr>
    </w:p>
    <w:p w:rsidR="00BB42F2" w:rsidRPr="00F31D8F" w:rsidRDefault="00BB42F2" w:rsidP="00F31D8F">
      <w:pPr>
        <w:numPr>
          <w:ilvl w:val="0"/>
          <w:numId w:val="10"/>
        </w:numPr>
        <w:tabs>
          <w:tab w:val="clear" w:pos="900"/>
          <w:tab w:val="num" w:pos="1134"/>
        </w:tabs>
        <w:ind w:left="1134" w:hanging="283"/>
        <w:jc w:val="both"/>
      </w:pPr>
      <w:r w:rsidRPr="00F31D8F">
        <w:t xml:space="preserve">smernica Rady </w:t>
      </w:r>
      <w:r w:rsidRPr="00F31D8F">
        <w:rPr>
          <w:u w:val="single"/>
        </w:rPr>
        <w:t>2003/96/ES</w:t>
      </w:r>
      <w:r w:rsidRPr="00F31D8F">
        <w:t xml:space="preserve"> z 27. októbra 2003 o reštrukturalizácii právneho rámca spoločenstva pre zdaňovanie energetických výrobkov a elektriny (Mimoriadne vydanie Ú. v. EÚ kap. 9/zv. 1, </w:t>
      </w:r>
      <w:r w:rsidRPr="00F31D8F">
        <w:rPr>
          <w:iCs/>
        </w:rPr>
        <w:t>Ú. v. EÚ L 283, 31.10.2003</w:t>
      </w:r>
      <w:r w:rsidRPr="00F31D8F">
        <w:t xml:space="preserve">) v platnom znení, gestor: MF SR, </w:t>
      </w:r>
      <w:r w:rsidRPr="00F31D8F">
        <w:rPr>
          <w:noProof/>
        </w:rPr>
        <w:t>spolugestor:</w:t>
      </w:r>
      <w:r w:rsidRPr="00F31D8F">
        <w:t xml:space="preserve"> Ministerstvo hospodárstva SR,</w:t>
      </w:r>
    </w:p>
    <w:p w:rsidR="00BB42F2" w:rsidRPr="00F31D8F" w:rsidRDefault="00BB42F2" w:rsidP="00F31D8F">
      <w:pPr>
        <w:jc w:val="both"/>
      </w:pPr>
    </w:p>
    <w:p w:rsidR="00BB42F2" w:rsidRPr="00F31D8F" w:rsidRDefault="00BB42F2" w:rsidP="00F31D8F">
      <w:pPr>
        <w:numPr>
          <w:ilvl w:val="0"/>
          <w:numId w:val="10"/>
        </w:numPr>
        <w:tabs>
          <w:tab w:val="clear" w:pos="900"/>
          <w:tab w:val="num" w:pos="1134"/>
        </w:tabs>
        <w:ind w:left="1134" w:hanging="283"/>
        <w:jc w:val="both"/>
      </w:pPr>
      <w:r w:rsidRPr="00F31D8F">
        <w:t xml:space="preserve">smernica Rady </w:t>
      </w:r>
      <w:r w:rsidRPr="00F31D8F">
        <w:rPr>
          <w:u w:val="single"/>
        </w:rPr>
        <w:t>2008/118/ES</w:t>
      </w:r>
      <w:r w:rsidRPr="00F31D8F">
        <w:t xml:space="preserve"> zo 16.decembra 2008 o všeobecnom systéme spotrebných daní a o zrušení smernice 92/12/EHS (Ú. v. EÚ L 9, 14.1.2009) v platnom znení, gestor: MF SR,</w:t>
      </w:r>
    </w:p>
    <w:p w:rsidR="00BB42F2" w:rsidRPr="00F31D8F" w:rsidRDefault="00BB42F2" w:rsidP="00F31D8F">
      <w:pPr>
        <w:jc w:val="both"/>
      </w:pPr>
    </w:p>
    <w:p w:rsidR="00BB42F2" w:rsidRPr="00F31D8F" w:rsidRDefault="00BB42F2" w:rsidP="00F31D8F">
      <w:pPr>
        <w:numPr>
          <w:ilvl w:val="0"/>
          <w:numId w:val="10"/>
        </w:numPr>
        <w:tabs>
          <w:tab w:val="clear" w:pos="900"/>
          <w:tab w:val="num" w:pos="1134"/>
        </w:tabs>
        <w:ind w:left="1134" w:hanging="283"/>
        <w:jc w:val="both"/>
      </w:pPr>
      <w:r w:rsidRPr="00983C89">
        <w:t>smernica E</w:t>
      </w:r>
      <w:r w:rsidRPr="00983C89">
        <w:rPr>
          <w:rStyle w:val="Siln"/>
          <w:b w:val="0"/>
          <w:bdr w:val="none" w:sz="0" w:space="0" w:color="auto" w:frame="1"/>
          <w:shd w:val="clear" w:color="auto" w:fill="FFFFFF"/>
        </w:rPr>
        <w:t xml:space="preserve">urópskeho parlamentu a Rady (EÚ) </w:t>
      </w:r>
      <w:r w:rsidRPr="00983C89">
        <w:rPr>
          <w:rStyle w:val="Siln"/>
          <w:b w:val="0"/>
          <w:u w:val="single"/>
          <w:bdr w:val="none" w:sz="0" w:space="0" w:color="auto" w:frame="1"/>
          <w:shd w:val="clear" w:color="auto" w:fill="FFFFFF"/>
        </w:rPr>
        <w:t>2015/1535</w:t>
      </w:r>
      <w:r w:rsidRPr="00983C89">
        <w:rPr>
          <w:rStyle w:val="Siln"/>
          <w:b w:val="0"/>
          <w:bdr w:val="none" w:sz="0" w:space="0" w:color="auto" w:frame="1"/>
          <w:shd w:val="clear" w:color="auto" w:fill="FFFFFF"/>
        </w:rPr>
        <w:t xml:space="preserve"> z 9. septembra 2015, ktorou sa stanovuje postup pri poskytovaní informácií v oblasti technických predpisov a pravidiel vzťahujúcich sa na služby informačnej spoločnosti</w:t>
      </w:r>
      <w:r w:rsidRPr="00F31D8F">
        <w:rPr>
          <w:rStyle w:val="apple-converted-space"/>
          <w:b/>
          <w:bCs/>
          <w:bdr w:val="none" w:sz="0" w:space="0" w:color="auto" w:frame="1"/>
          <w:shd w:val="clear" w:color="auto" w:fill="FFFFFF"/>
        </w:rPr>
        <w:t> </w:t>
      </w:r>
      <w:r w:rsidRPr="00F31D8F">
        <w:rPr>
          <w:bCs/>
          <w:shd w:val="clear" w:color="auto" w:fill="FFFFFF"/>
        </w:rPr>
        <w:t>(kodifikované znenie) (</w:t>
      </w:r>
      <w:r w:rsidRPr="00F31D8F">
        <w:rPr>
          <w:iCs/>
        </w:rPr>
        <w:t xml:space="preserve">Ú. v. EÚ L 241, 17.9.2015), </w:t>
      </w:r>
      <w:r w:rsidRPr="00F31D8F">
        <w:t>gestor: Úrad pre normalizáciu, metrológiu a skúšobníctvo SR,</w:t>
      </w:r>
    </w:p>
    <w:p w:rsidR="00BB42F2" w:rsidRPr="00F31D8F" w:rsidRDefault="00BB42F2" w:rsidP="00F31D8F">
      <w:pPr>
        <w:jc w:val="both"/>
      </w:pPr>
      <w:bookmarkStart w:id="1" w:name="_GoBack"/>
      <w:bookmarkEnd w:id="1"/>
    </w:p>
    <w:p w:rsidR="00BB42F2" w:rsidRPr="00F31D8F" w:rsidRDefault="00BB42F2" w:rsidP="00F31D8F">
      <w:pPr>
        <w:numPr>
          <w:ilvl w:val="0"/>
          <w:numId w:val="10"/>
        </w:numPr>
        <w:tabs>
          <w:tab w:val="clear" w:pos="900"/>
          <w:tab w:val="num" w:pos="1134"/>
        </w:tabs>
        <w:ind w:left="1134" w:hanging="283"/>
        <w:jc w:val="both"/>
      </w:pPr>
      <w:r w:rsidRPr="00F31D8F">
        <w:t xml:space="preserve">nariadenie Komisie (ES) č. </w:t>
      </w:r>
      <w:r w:rsidRPr="00F31D8F">
        <w:rPr>
          <w:u w:val="single"/>
        </w:rPr>
        <w:t>3199/93</w:t>
      </w:r>
      <w:r w:rsidRPr="00F31D8F">
        <w:t xml:space="preserve"> z 22. novembra 1993 o vzájomnom uznávaní postupov úplného denaturovania etanolu na účely výnimky zo spotrebnej dane </w:t>
      </w:r>
      <w:r w:rsidRPr="00F31D8F">
        <w:lastRenderedPageBreak/>
        <w:t>(</w:t>
      </w:r>
      <w:r w:rsidRPr="00F31D8F">
        <w:rPr>
          <w:rStyle w:val="Zvraznenie"/>
          <w:i w:val="0"/>
          <w:iCs/>
        </w:rPr>
        <w:t xml:space="preserve">Mimoriadne vydanie Ú. v. EÚ kap. 9/zv. 1; </w:t>
      </w:r>
      <w:r w:rsidRPr="00F31D8F">
        <w:rPr>
          <w:iCs/>
        </w:rPr>
        <w:t>Ú. v. ES L 288, 23.11.1993</w:t>
      </w:r>
      <w:r w:rsidRPr="00F31D8F">
        <w:rPr>
          <w:rStyle w:val="Zvraznenie"/>
          <w:i w:val="0"/>
          <w:iCs/>
        </w:rPr>
        <w:t>)</w:t>
      </w:r>
      <w:r w:rsidRPr="00F31D8F">
        <w:t xml:space="preserve"> v platnom znení</w:t>
      </w:r>
      <w:r w:rsidRPr="00F31D8F">
        <w:rPr>
          <w:rStyle w:val="Zvraznenie"/>
          <w:i w:val="0"/>
          <w:iCs/>
        </w:rPr>
        <w:t xml:space="preserve">. </w:t>
      </w:r>
      <w:r w:rsidRPr="00F31D8F">
        <w:t>gestor: MF SR,</w:t>
      </w:r>
    </w:p>
    <w:p w:rsidR="00BB42F2" w:rsidRPr="00F31D8F" w:rsidRDefault="00BB42F2" w:rsidP="00F31D8F">
      <w:pPr>
        <w:jc w:val="both"/>
      </w:pPr>
    </w:p>
    <w:p w:rsidR="00BB42F2" w:rsidRPr="00F31D8F" w:rsidRDefault="00BB42F2" w:rsidP="00F31D8F">
      <w:pPr>
        <w:numPr>
          <w:ilvl w:val="0"/>
          <w:numId w:val="10"/>
        </w:numPr>
        <w:tabs>
          <w:tab w:val="clear" w:pos="900"/>
          <w:tab w:val="num" w:pos="1134"/>
        </w:tabs>
        <w:ind w:left="1134" w:hanging="283"/>
        <w:jc w:val="both"/>
      </w:pPr>
      <w:r w:rsidRPr="00F31D8F">
        <w:rPr>
          <w:bCs/>
        </w:rPr>
        <w:t>nariadenie Európskeho parlamentu a Rady (ES) č. </w:t>
      </w:r>
      <w:r w:rsidRPr="00F31D8F">
        <w:rPr>
          <w:bCs/>
          <w:u w:val="single"/>
        </w:rPr>
        <w:t>110/2008</w:t>
      </w:r>
      <w:r w:rsidRPr="00F31D8F">
        <w:rPr>
          <w:bCs/>
        </w:rPr>
        <w:t xml:space="preserve"> z 15. januára 2008 o definovaní, popise, prezentácii, označovaní a ochrane zemepisných označení liehovín a o zrušení nariadenia (EHS) č. 1576/89  (</w:t>
      </w:r>
      <w:r w:rsidRPr="00F31D8F">
        <w:rPr>
          <w:rStyle w:val="Zvraznenie"/>
          <w:i w:val="0"/>
          <w:iCs/>
        </w:rPr>
        <w:t>Ú. v. EÚ L 39, 13.2.2008)</w:t>
      </w:r>
      <w:r w:rsidRPr="00F31D8F">
        <w:rPr>
          <w:bCs/>
        </w:rPr>
        <w:t xml:space="preserve"> v platnom znení</w:t>
      </w:r>
      <w:r w:rsidRPr="00F31D8F">
        <w:rPr>
          <w:rStyle w:val="Zvraznenie"/>
          <w:i w:val="0"/>
          <w:iCs/>
        </w:rPr>
        <w:t xml:space="preserve">, </w:t>
      </w:r>
      <w:r w:rsidRPr="00F31D8F">
        <w:t xml:space="preserve">gestor: </w:t>
      </w:r>
      <w:proofErr w:type="spellStart"/>
      <w:r w:rsidRPr="00F31D8F">
        <w:t>MPaRV</w:t>
      </w:r>
      <w:proofErr w:type="spellEnd"/>
      <w:r w:rsidRPr="00F31D8F">
        <w:t xml:space="preserve"> SR, </w:t>
      </w:r>
      <w:proofErr w:type="spellStart"/>
      <w:r w:rsidRPr="00F31D8F">
        <w:t>spolugestor</w:t>
      </w:r>
      <w:proofErr w:type="spellEnd"/>
      <w:r w:rsidRPr="00F31D8F">
        <w:t>: MF SR,</w:t>
      </w:r>
    </w:p>
    <w:p w:rsidR="00BB42F2" w:rsidRPr="00F31D8F" w:rsidRDefault="00BB42F2" w:rsidP="00F31D8F">
      <w:pPr>
        <w:jc w:val="both"/>
        <w:rPr>
          <w:rStyle w:val="Zvraznenie"/>
          <w:i w:val="0"/>
        </w:rPr>
      </w:pPr>
    </w:p>
    <w:p w:rsidR="00BB42F2" w:rsidRPr="00F31D8F" w:rsidRDefault="00BB42F2" w:rsidP="00F31D8F">
      <w:pPr>
        <w:numPr>
          <w:ilvl w:val="0"/>
          <w:numId w:val="10"/>
        </w:numPr>
        <w:tabs>
          <w:tab w:val="clear" w:pos="900"/>
          <w:tab w:val="num" w:pos="1134"/>
        </w:tabs>
        <w:ind w:left="1134" w:hanging="283"/>
        <w:jc w:val="both"/>
      </w:pPr>
      <w:r w:rsidRPr="00F31D8F">
        <w:t xml:space="preserve">nariadenie Komisie (ES) č.  </w:t>
      </w:r>
      <w:r w:rsidRPr="00F31D8F">
        <w:rPr>
          <w:u w:val="single"/>
        </w:rPr>
        <w:t>555/2008</w:t>
      </w:r>
      <w:r w:rsidRPr="00F31D8F">
        <w:t xml:space="preserve"> z  27. júna 2008, ktorým sa ustanovujú podrobné pravidlá vykonávania nariadenia Rady (ES) č. 479/2008 o spoločnej organizácii trhu s vínom, pokiaľ ide o podporné programy, obchod s tretími krajinami, výrobný potenciál a kontroly vo vinárskom sektore (</w:t>
      </w:r>
      <w:r w:rsidRPr="00F31D8F">
        <w:rPr>
          <w:rStyle w:val="Zvraznenie"/>
          <w:i w:val="0"/>
          <w:iCs/>
        </w:rPr>
        <w:t>Ú. v. EÚ L 170, 30.6.2008) v platnom znení,</w:t>
      </w:r>
      <w:r w:rsidRPr="00F31D8F">
        <w:t xml:space="preserve"> gestor: </w:t>
      </w:r>
      <w:proofErr w:type="spellStart"/>
      <w:r w:rsidRPr="00F31D8F">
        <w:t>MPaRV</w:t>
      </w:r>
      <w:proofErr w:type="spellEnd"/>
      <w:r w:rsidRPr="00F31D8F">
        <w:t xml:space="preserve"> SR, </w:t>
      </w:r>
      <w:proofErr w:type="spellStart"/>
      <w:r w:rsidRPr="00F31D8F">
        <w:t>spolugestor</w:t>
      </w:r>
      <w:proofErr w:type="spellEnd"/>
      <w:r w:rsidRPr="00F31D8F">
        <w:t>: MF SR,</w:t>
      </w:r>
    </w:p>
    <w:p w:rsidR="00BB42F2" w:rsidRPr="00F31D8F" w:rsidRDefault="00BB42F2" w:rsidP="00F31D8F">
      <w:pPr>
        <w:jc w:val="both"/>
      </w:pPr>
    </w:p>
    <w:p w:rsidR="00BB42F2" w:rsidRPr="00F31D8F" w:rsidRDefault="00BB42F2" w:rsidP="00F31D8F">
      <w:pPr>
        <w:numPr>
          <w:ilvl w:val="0"/>
          <w:numId w:val="10"/>
        </w:numPr>
        <w:tabs>
          <w:tab w:val="clear" w:pos="900"/>
          <w:tab w:val="num" w:pos="1134"/>
        </w:tabs>
        <w:ind w:left="1134" w:hanging="283"/>
        <w:jc w:val="both"/>
      </w:pPr>
      <w:r w:rsidRPr="00F31D8F">
        <w:t xml:space="preserve">nariadenie Komisie (ES) č. </w:t>
      </w:r>
      <w:r w:rsidRPr="00F31D8F">
        <w:rPr>
          <w:u w:val="single"/>
        </w:rPr>
        <w:t>684/2009</w:t>
      </w:r>
      <w:r w:rsidRPr="00F31D8F">
        <w:t xml:space="preserve"> z 24. júla 2009, ktorým sa implementuje smernica Rady 2008/118/ES, pokiaľ ide o elektronické postupy pri preprave tovaru podliehajúceho spotrebnej dani v režime pozastavenia dane (Ú. v. EÚ L 197, 29.7.2009)</w:t>
      </w:r>
      <w:r w:rsidRPr="00F31D8F">
        <w:rPr>
          <w:bCs/>
        </w:rPr>
        <w:t xml:space="preserve"> v platnom znení</w:t>
      </w:r>
      <w:r w:rsidRPr="00F31D8F">
        <w:t>, gestor: MF SR,</w:t>
      </w:r>
    </w:p>
    <w:p w:rsidR="00BB42F2" w:rsidRPr="00F31D8F" w:rsidRDefault="00BB42F2" w:rsidP="00F31D8F">
      <w:pPr>
        <w:jc w:val="both"/>
      </w:pPr>
    </w:p>
    <w:p w:rsidR="00BB42F2" w:rsidRPr="00F31D8F" w:rsidRDefault="00BB42F2" w:rsidP="00F31D8F">
      <w:pPr>
        <w:numPr>
          <w:ilvl w:val="0"/>
          <w:numId w:val="10"/>
        </w:numPr>
        <w:tabs>
          <w:tab w:val="clear" w:pos="900"/>
          <w:tab w:val="num" w:pos="1134"/>
        </w:tabs>
        <w:ind w:left="1134" w:hanging="283"/>
        <w:jc w:val="both"/>
      </w:pPr>
      <w:r w:rsidRPr="00F31D8F">
        <w:t xml:space="preserve">nariadenie </w:t>
      </w:r>
      <w:r w:rsidRPr="00F31D8F">
        <w:rPr>
          <w:bCs/>
        </w:rPr>
        <w:t xml:space="preserve">Rady (EÚ) č. </w:t>
      </w:r>
      <w:r w:rsidRPr="00F31D8F">
        <w:rPr>
          <w:bCs/>
          <w:u w:val="single"/>
        </w:rPr>
        <w:t>389/2012</w:t>
      </w:r>
      <w:r w:rsidRPr="00F31D8F">
        <w:rPr>
          <w:bCs/>
        </w:rPr>
        <w:t xml:space="preserve"> z 2. mája 2012 o administratívnej spolupráci v oblasti spotrebných daní a zrušení nariadenia (ES) č. 2073/2004</w:t>
      </w:r>
      <w:r w:rsidRPr="00F31D8F">
        <w:t xml:space="preserve"> (</w:t>
      </w:r>
      <w:r w:rsidRPr="00F31D8F">
        <w:rPr>
          <w:rStyle w:val="Zvraznenie"/>
          <w:i w:val="0"/>
        </w:rPr>
        <w:t>Ú. v. EÚ</w:t>
      </w:r>
      <w:r w:rsidRPr="00F31D8F">
        <w:t xml:space="preserve"> </w:t>
      </w:r>
      <w:r w:rsidRPr="00F31D8F">
        <w:rPr>
          <w:rStyle w:val="Zvraznenie"/>
          <w:i w:val="0"/>
        </w:rPr>
        <w:t xml:space="preserve">L 121, 8.5.2012) v platnom znení, </w:t>
      </w:r>
      <w:r w:rsidRPr="00F31D8F">
        <w:t>gestor: MF SR,</w:t>
      </w:r>
    </w:p>
    <w:p w:rsidR="00BB42F2" w:rsidRPr="00F31D8F" w:rsidRDefault="00BB42F2" w:rsidP="00F31D8F">
      <w:pPr>
        <w:jc w:val="both"/>
      </w:pPr>
    </w:p>
    <w:p w:rsidR="00BB42F2" w:rsidRPr="00F31D8F" w:rsidRDefault="00BB42F2" w:rsidP="00F31D8F">
      <w:pPr>
        <w:numPr>
          <w:ilvl w:val="0"/>
          <w:numId w:val="10"/>
        </w:numPr>
        <w:tabs>
          <w:tab w:val="clear" w:pos="900"/>
          <w:tab w:val="num" w:pos="1134"/>
        </w:tabs>
        <w:ind w:left="1134" w:hanging="283"/>
        <w:jc w:val="both"/>
      </w:pPr>
      <w:r w:rsidRPr="00F31D8F">
        <w:rPr>
          <w:bCs/>
          <w:iCs/>
        </w:rPr>
        <w:t xml:space="preserve">nariadenie </w:t>
      </w:r>
      <w:r w:rsidRPr="00F31D8F">
        <w:t xml:space="preserve">Európskeho parlamentu a Rady (EÚ) č. </w:t>
      </w:r>
      <w:r w:rsidRPr="00F31D8F">
        <w:rPr>
          <w:u w:val="single"/>
        </w:rPr>
        <w:t>952/2013</w:t>
      </w:r>
      <w:r w:rsidRPr="00F31D8F">
        <w:t xml:space="preserve"> z 9. októbra 2013, ktorým sa ustanovuje Colný kódex Únie (prepracované znenie) (Ú. v. EÚ L 269, 10. 10. 2013) v platnom znení, gestor: MF SR,</w:t>
      </w:r>
    </w:p>
    <w:p w:rsidR="00BB42F2" w:rsidRPr="00F31D8F" w:rsidRDefault="00BB42F2" w:rsidP="00F31D8F">
      <w:pPr>
        <w:tabs>
          <w:tab w:val="left" w:pos="1134"/>
        </w:tabs>
        <w:autoSpaceDE w:val="0"/>
        <w:autoSpaceDN w:val="0"/>
        <w:jc w:val="both"/>
        <w:rPr>
          <w:bCs/>
          <w:iCs/>
        </w:rPr>
      </w:pPr>
    </w:p>
    <w:p w:rsidR="00BB42F2" w:rsidRPr="00F31D8F" w:rsidRDefault="00BB42F2" w:rsidP="00F31D8F">
      <w:pPr>
        <w:tabs>
          <w:tab w:val="left" w:pos="1134"/>
        </w:tabs>
        <w:autoSpaceDE w:val="0"/>
        <w:autoSpaceDN w:val="0"/>
        <w:ind w:left="1134" w:hanging="283"/>
        <w:jc w:val="both"/>
      </w:pPr>
      <w:r w:rsidRPr="00F31D8F">
        <w:rPr>
          <w:bCs/>
          <w:iCs/>
        </w:rPr>
        <w:t>-</w:t>
      </w:r>
      <w:r w:rsidRPr="00F31D8F">
        <w:rPr>
          <w:bCs/>
          <w:iCs/>
        </w:rPr>
        <w:tab/>
      </w:r>
      <w:r w:rsidRPr="00F31D8F">
        <w:rPr>
          <w:rStyle w:val="Siln"/>
          <w:b w:val="0"/>
        </w:rPr>
        <w:t xml:space="preserve">nariadenie Komisie (EÚ) č. </w:t>
      </w:r>
      <w:r w:rsidRPr="00F31D8F">
        <w:rPr>
          <w:rStyle w:val="Siln"/>
          <w:b w:val="0"/>
          <w:u w:val="single"/>
        </w:rPr>
        <w:t>651/2014</w:t>
      </w:r>
      <w:r w:rsidRPr="00F31D8F">
        <w:rPr>
          <w:rStyle w:val="Siln"/>
          <w:b w:val="0"/>
        </w:rPr>
        <w:t xml:space="preserve"> zo 17. júna 2014 o vyhlásení určitých kategórií pomoci za zlučiteľné s vnútorným trhom podľa článkov 107 a 108 zmluvy (</w:t>
      </w:r>
      <w:r w:rsidRPr="00F31D8F">
        <w:rPr>
          <w:iCs/>
        </w:rPr>
        <w:t xml:space="preserve">Ú. v. EÚ L 187, 26.6.2014) v platnom znení, </w:t>
      </w:r>
      <w:r w:rsidRPr="00F31D8F">
        <w:t>gestor: Protimonopolný úrad SR</w:t>
      </w:r>
      <w:r w:rsidRPr="00F31D8F">
        <w:rPr>
          <w:iCs/>
        </w:rPr>
        <w:t>,</w:t>
      </w:r>
    </w:p>
    <w:p w:rsidR="00BB42F2" w:rsidRPr="00F31D8F" w:rsidRDefault="00BB42F2" w:rsidP="00F31D8F">
      <w:pPr>
        <w:jc w:val="both"/>
        <w:rPr>
          <w:iCs/>
        </w:rPr>
      </w:pPr>
    </w:p>
    <w:p w:rsidR="00BB42F2" w:rsidRPr="00F31D8F" w:rsidRDefault="00BB42F2" w:rsidP="00F31D8F">
      <w:pPr>
        <w:numPr>
          <w:ilvl w:val="0"/>
          <w:numId w:val="10"/>
        </w:numPr>
        <w:tabs>
          <w:tab w:val="clear" w:pos="900"/>
          <w:tab w:val="num" w:pos="1134"/>
        </w:tabs>
        <w:ind w:left="1134" w:hanging="283"/>
        <w:jc w:val="both"/>
        <w:rPr>
          <w:i/>
        </w:rPr>
      </w:pPr>
      <w:r w:rsidRPr="00F31D8F">
        <w:rPr>
          <w:rStyle w:val="Zvraznenie"/>
          <w:i w:val="0"/>
          <w:iCs/>
        </w:rPr>
        <w:t xml:space="preserve">rozhodnutie </w:t>
      </w:r>
      <w:r w:rsidRPr="00F31D8F">
        <w:rPr>
          <w:bCs/>
        </w:rPr>
        <w:t>Európskeho parlamentu a Rady</w:t>
      </w:r>
      <w:r w:rsidRPr="00F31D8F">
        <w:rPr>
          <w:rStyle w:val="Zvraznenie"/>
          <w:i w:val="0"/>
          <w:iCs/>
        </w:rPr>
        <w:t xml:space="preserve"> </w:t>
      </w:r>
      <w:r w:rsidRPr="00F31D8F">
        <w:rPr>
          <w:bCs/>
        </w:rPr>
        <w:t>č. </w:t>
      </w:r>
      <w:r w:rsidRPr="00F31D8F">
        <w:rPr>
          <w:bCs/>
          <w:u w:val="single"/>
        </w:rPr>
        <w:t>1152/2003/ES</w:t>
      </w:r>
      <w:r w:rsidRPr="00F31D8F">
        <w:rPr>
          <w:bCs/>
        </w:rPr>
        <w:t xml:space="preserve"> zo 16. júna 2003 o informatizácii prepravy a kontroly výrobkov podliehajúcich spotrebnej dani </w:t>
      </w:r>
      <w:r w:rsidRPr="00F31D8F">
        <w:t>(</w:t>
      </w:r>
      <w:r w:rsidRPr="00F31D8F">
        <w:rPr>
          <w:rStyle w:val="Zvraznenie"/>
          <w:i w:val="0"/>
          <w:iCs/>
        </w:rPr>
        <w:t xml:space="preserve">Mimoriadne vydanie Ú. v. EÚ kap. 9/zv. 1; </w:t>
      </w:r>
      <w:r w:rsidRPr="00F31D8F">
        <w:rPr>
          <w:iCs/>
        </w:rPr>
        <w:t>Ú. v. EÚ L 162, 1.7.2003</w:t>
      </w:r>
      <w:r w:rsidRPr="00F31D8F">
        <w:rPr>
          <w:rStyle w:val="Zvraznenie"/>
          <w:i w:val="0"/>
          <w:iCs/>
        </w:rPr>
        <w:t>)</w:t>
      </w:r>
      <w:r w:rsidRPr="00F31D8F">
        <w:t>,</w:t>
      </w:r>
    </w:p>
    <w:p w:rsidR="00BB42F2" w:rsidRPr="00F31D8F" w:rsidRDefault="00BB42F2" w:rsidP="00F31D8F">
      <w:pPr>
        <w:jc w:val="both"/>
        <w:rPr>
          <w:iCs/>
        </w:rPr>
      </w:pPr>
    </w:p>
    <w:p w:rsidR="00BB42F2" w:rsidRPr="00F31D8F" w:rsidRDefault="00BB42F2" w:rsidP="00F31D8F">
      <w:pPr>
        <w:numPr>
          <w:ilvl w:val="0"/>
          <w:numId w:val="10"/>
        </w:numPr>
        <w:tabs>
          <w:tab w:val="clear" w:pos="900"/>
          <w:tab w:val="num" w:pos="1134"/>
        </w:tabs>
        <w:ind w:left="1134" w:hanging="283"/>
        <w:jc w:val="both"/>
      </w:pPr>
      <w:r w:rsidRPr="00F31D8F">
        <w:t xml:space="preserve">vykonávacie rozhodnutie Komisie č. </w:t>
      </w:r>
      <w:r w:rsidRPr="00F31D8F">
        <w:rPr>
          <w:u w:val="single"/>
        </w:rPr>
        <w:t>2012/209/EÚ</w:t>
      </w:r>
      <w:r w:rsidRPr="00F31D8F">
        <w:t xml:space="preserve"> z 20. apríla 2012 o uplatňovaní ustanovení smernice Rady 2008/118/ES o kontrole a preprave na určité prídavné látky v súlade s článkom 20 ods. 2 smernice Rady 2003/96/ES (Ú. v. EÚ L 110, 24.4. 2012),</w:t>
      </w:r>
    </w:p>
    <w:p w:rsidR="00BB42F2" w:rsidRPr="00F31D8F" w:rsidRDefault="00BB42F2" w:rsidP="00F31D8F">
      <w:pPr>
        <w:jc w:val="both"/>
      </w:pPr>
    </w:p>
    <w:p w:rsidR="00BB42F2" w:rsidRPr="00F31D8F" w:rsidRDefault="00BB42F2" w:rsidP="00F31D8F">
      <w:pPr>
        <w:numPr>
          <w:ilvl w:val="0"/>
          <w:numId w:val="10"/>
        </w:numPr>
        <w:tabs>
          <w:tab w:val="clear" w:pos="900"/>
          <w:tab w:val="num" w:pos="1134"/>
        </w:tabs>
        <w:ind w:left="1134" w:hanging="283"/>
        <w:jc w:val="both"/>
        <w:rPr>
          <w:iCs/>
        </w:rPr>
      </w:pPr>
      <w:r w:rsidRPr="00F31D8F">
        <w:rPr>
          <w:b/>
          <w:bCs/>
          <w:iCs/>
        </w:rPr>
        <w:t>v</w:t>
      </w:r>
      <w:r w:rsidRPr="00F31D8F">
        <w:rPr>
          <w:rStyle w:val="Siln"/>
          <w:b w:val="0"/>
          <w:bCs/>
          <w:bdr w:val="none" w:sz="0" w:space="0" w:color="auto" w:frame="1"/>
          <w:shd w:val="clear" w:color="auto" w:fill="FFFFFF"/>
        </w:rPr>
        <w:t xml:space="preserve">ykonávacie rozhodnutie Komisie (EÚ) </w:t>
      </w:r>
      <w:r w:rsidRPr="00F31D8F">
        <w:rPr>
          <w:rStyle w:val="Siln"/>
          <w:b w:val="0"/>
          <w:bCs/>
          <w:u w:val="single"/>
          <w:bdr w:val="none" w:sz="0" w:space="0" w:color="auto" w:frame="1"/>
          <w:shd w:val="clear" w:color="auto" w:fill="FFFFFF"/>
        </w:rPr>
        <w:t>2017/74</w:t>
      </w:r>
      <w:r w:rsidRPr="00F31D8F">
        <w:rPr>
          <w:rStyle w:val="Siln"/>
          <w:b w:val="0"/>
          <w:bCs/>
          <w:bdr w:val="none" w:sz="0" w:space="0" w:color="auto" w:frame="1"/>
          <w:shd w:val="clear" w:color="auto" w:fill="FFFFFF"/>
        </w:rPr>
        <w:t xml:space="preserve"> z 25. novembra 2016, ktorým sa stanovuje spoločná značkovacia látka na daňové účely pre plynové oleje a </w:t>
      </w:r>
      <w:proofErr w:type="spellStart"/>
      <w:r w:rsidRPr="00F31D8F">
        <w:rPr>
          <w:rStyle w:val="Siln"/>
          <w:b w:val="0"/>
          <w:bCs/>
          <w:bdr w:val="none" w:sz="0" w:space="0" w:color="auto" w:frame="1"/>
          <w:shd w:val="clear" w:color="auto" w:fill="FFFFFF"/>
        </w:rPr>
        <w:t>kerozín</w:t>
      </w:r>
      <w:proofErr w:type="spellEnd"/>
      <w:r w:rsidRPr="00F31D8F">
        <w:rPr>
          <w:bCs/>
          <w:iCs/>
        </w:rPr>
        <w:t xml:space="preserve"> (</w:t>
      </w:r>
      <w:r w:rsidRPr="00F31D8F">
        <w:rPr>
          <w:iCs/>
        </w:rPr>
        <w:t>Ú. v. EÚ L 10, 14.1.2017</w:t>
      </w:r>
      <w:r w:rsidRPr="00F31D8F">
        <w:rPr>
          <w:bCs/>
          <w:iCs/>
        </w:rPr>
        <w:t>).</w:t>
      </w:r>
    </w:p>
    <w:p w:rsidR="00872B1E" w:rsidRPr="00F31D8F" w:rsidRDefault="00872B1E" w:rsidP="00F31D8F">
      <w:pPr>
        <w:jc w:val="both"/>
      </w:pPr>
    </w:p>
    <w:p w:rsidR="00BB42F2" w:rsidRPr="00F31D8F" w:rsidRDefault="00BB42F2" w:rsidP="00F31D8F">
      <w:pPr>
        <w:pStyle w:val="Zkladntext"/>
        <w:numPr>
          <w:ilvl w:val="0"/>
          <w:numId w:val="8"/>
        </w:numPr>
        <w:spacing w:after="0"/>
        <w:ind w:left="709" w:hanging="283"/>
      </w:pPr>
      <w:r w:rsidRPr="00F31D8F">
        <w:t>je obsiahnutá v judikatúre Súdneho dvora Európskej únie:</w:t>
      </w:r>
    </w:p>
    <w:p w:rsidR="00BB42F2" w:rsidRPr="00F31D8F" w:rsidRDefault="00BB42F2" w:rsidP="00F31D8F">
      <w:pPr>
        <w:pStyle w:val="Zkladntext"/>
        <w:spacing w:after="0"/>
      </w:pPr>
    </w:p>
    <w:p w:rsidR="00BB42F2" w:rsidRPr="00F31D8F" w:rsidRDefault="00BB42F2" w:rsidP="00F31D8F">
      <w:pPr>
        <w:numPr>
          <w:ilvl w:val="0"/>
          <w:numId w:val="10"/>
        </w:numPr>
        <w:tabs>
          <w:tab w:val="clear" w:pos="900"/>
          <w:tab w:val="num" w:pos="1134"/>
        </w:tabs>
        <w:ind w:left="1134" w:hanging="283"/>
        <w:jc w:val="both"/>
        <w:rPr>
          <w:noProof/>
        </w:rPr>
      </w:pPr>
      <w:r w:rsidRPr="00F31D8F">
        <w:rPr>
          <w:noProof/>
        </w:rPr>
        <w:t>rozhodnutie Súdneho dvora vo veci C - 292/02, Meiland Azewijn BV proti  Hauptzollampt Duisburg, [2004],</w:t>
      </w:r>
    </w:p>
    <w:p w:rsidR="00BB42F2" w:rsidRDefault="00BB42F2" w:rsidP="00F31D8F">
      <w:pPr>
        <w:jc w:val="both"/>
        <w:rPr>
          <w:noProof/>
        </w:rPr>
      </w:pPr>
    </w:p>
    <w:p w:rsidR="00DA259F" w:rsidRPr="00F31D8F" w:rsidRDefault="00DA259F" w:rsidP="00F31D8F">
      <w:pPr>
        <w:jc w:val="both"/>
        <w:rPr>
          <w:noProof/>
        </w:rPr>
      </w:pPr>
    </w:p>
    <w:p w:rsidR="00BB42F2" w:rsidRPr="00F31D8F" w:rsidRDefault="00BB42F2" w:rsidP="00F31D8F">
      <w:pPr>
        <w:ind w:left="1134"/>
        <w:jc w:val="both"/>
        <w:rPr>
          <w:b/>
          <w:noProof/>
        </w:rPr>
      </w:pPr>
      <w:r w:rsidRPr="00F31D8F">
        <w:rPr>
          <w:b/>
          <w:noProof/>
        </w:rPr>
        <w:lastRenderedPageBreak/>
        <w:t>Výrok rozhodnutia:</w:t>
      </w:r>
    </w:p>
    <w:p w:rsidR="00BB42F2" w:rsidRPr="00F31D8F" w:rsidRDefault="00BB42F2" w:rsidP="00F31D8F">
      <w:pPr>
        <w:autoSpaceDE w:val="0"/>
        <w:autoSpaceDN w:val="0"/>
        <w:adjustRightInd w:val="0"/>
        <w:ind w:left="1134"/>
        <w:jc w:val="both"/>
        <w:rPr>
          <w:noProof/>
        </w:rPr>
      </w:pPr>
      <w:r w:rsidRPr="00F31D8F">
        <w:rPr>
          <w:noProof/>
        </w:rPr>
        <w:t>Článok 8a ods. 1 smernice 92/81 o harmonizácii štruktúr spotrebných daní                                     z minerálnych olejov treba vykladať v tom zmysle, že zakazuje členským štátom vyberať spotrebnú daň z označených a neoznačených minerálnych olejov nachádzajúcich sa v štandardnej palivovej nádrži úžitkového motorového vozidla vrátane poľnohospodárskeho stroja a používaných nielen ako palivo na pohon tohto motorového vozidla, ale aj na iné účely, ako napríklad na poľnohospodárske práce, ak bol tento minerálny olej v súlade so zákonom uvedený do daňového voľného obehu v inom členskom štáte.</w:t>
      </w:r>
    </w:p>
    <w:p w:rsidR="00BB42F2" w:rsidRPr="00F31D8F" w:rsidRDefault="00BB42F2" w:rsidP="00F31D8F">
      <w:pPr>
        <w:autoSpaceDE w:val="0"/>
        <w:autoSpaceDN w:val="0"/>
        <w:adjustRightInd w:val="0"/>
        <w:jc w:val="both"/>
        <w:rPr>
          <w:noProof/>
        </w:rPr>
      </w:pPr>
    </w:p>
    <w:p w:rsidR="00BB42F2" w:rsidRPr="00F31D8F" w:rsidRDefault="00BB42F2" w:rsidP="00F31D8F">
      <w:pPr>
        <w:numPr>
          <w:ilvl w:val="0"/>
          <w:numId w:val="10"/>
        </w:numPr>
        <w:tabs>
          <w:tab w:val="clear" w:pos="900"/>
          <w:tab w:val="num" w:pos="1134"/>
        </w:tabs>
        <w:ind w:left="1134" w:hanging="283"/>
        <w:jc w:val="both"/>
        <w:rPr>
          <w:noProof/>
        </w:rPr>
      </w:pPr>
      <w:r w:rsidRPr="00F31D8F">
        <w:rPr>
          <w:noProof/>
        </w:rPr>
        <w:t xml:space="preserve">rozhodnutie Súdneho dvora vo veci C - 82/12, </w:t>
      </w:r>
      <w:r w:rsidRPr="00F31D8F">
        <w:rPr>
          <w:bCs/>
          <w:noProof/>
        </w:rPr>
        <w:t>Transportes Jordi Besora SL</w:t>
      </w:r>
      <w:r w:rsidRPr="00F31D8F">
        <w:rPr>
          <w:noProof/>
        </w:rPr>
        <w:t xml:space="preserve"> proti </w:t>
      </w:r>
      <w:r w:rsidRPr="00F31D8F">
        <w:rPr>
          <w:bCs/>
          <w:noProof/>
        </w:rPr>
        <w:t>Generalitat de Catalunya</w:t>
      </w:r>
      <w:r w:rsidRPr="00F31D8F">
        <w:rPr>
          <w:noProof/>
        </w:rPr>
        <w:t>, [2014].</w:t>
      </w:r>
    </w:p>
    <w:p w:rsidR="00BB42F2" w:rsidRPr="00F31D8F" w:rsidRDefault="00BB42F2" w:rsidP="00F31D8F">
      <w:pPr>
        <w:jc w:val="both"/>
        <w:rPr>
          <w:noProof/>
        </w:rPr>
      </w:pPr>
    </w:p>
    <w:p w:rsidR="00BB42F2" w:rsidRPr="00F31D8F" w:rsidRDefault="00BB42F2" w:rsidP="00F31D8F">
      <w:pPr>
        <w:ind w:left="900" w:firstLine="234"/>
        <w:jc w:val="both"/>
        <w:rPr>
          <w:b/>
          <w:noProof/>
        </w:rPr>
      </w:pPr>
      <w:r w:rsidRPr="00F31D8F">
        <w:rPr>
          <w:b/>
          <w:noProof/>
        </w:rPr>
        <w:t>Výrok rozhodnutia:</w:t>
      </w:r>
    </w:p>
    <w:p w:rsidR="00BB42F2" w:rsidRPr="00F31D8F" w:rsidRDefault="00BB42F2" w:rsidP="00F31D8F">
      <w:pPr>
        <w:pStyle w:val="Zkladntext"/>
        <w:spacing w:after="0"/>
        <w:ind w:left="1134"/>
        <w:jc w:val="both"/>
        <w:rPr>
          <w:bCs/>
        </w:rPr>
      </w:pPr>
      <w:r w:rsidRPr="00F31D8F">
        <w:rPr>
          <w:bCs/>
        </w:rPr>
        <w:t>Článok 3 ods. 2 smernice Rady 92/12/EHS z 25. februára 1992 o všeobecnom systéme, držbe, preprave a kontrole tovarov podliehajúcich spotrebným daniam sa má vykladať v tom zmysle, že bráni vnútroštátnej právnej úprave, ktorá zavádza daň z maloobchodného predaja minerálnych olejov, akou je daň z predaja určitých minerálnych olejov dotknutá vo veci samej, keďže takúto daň nemožno považovať za daň, ktorá sleduje špecifický účel v zmysle tohto ustanovenia, pretože cieľ tejto dane, určenej na financovanie výkonu právomocí v oblasti zdravotníctva a životného prostredia dotknutými územnými samosprávnymi celkami, sám osebe nesmeruje k zabezpečeniu ochrany zdravia a životného prostredia.</w:t>
      </w:r>
    </w:p>
    <w:p w:rsidR="00BB42F2" w:rsidRPr="00F31D8F" w:rsidRDefault="00BB42F2" w:rsidP="00F31D8F">
      <w:pPr>
        <w:numPr>
          <w:ilvl w:val="0"/>
          <w:numId w:val="10"/>
        </w:numPr>
        <w:tabs>
          <w:tab w:val="clear" w:pos="900"/>
          <w:tab w:val="num" w:pos="1134"/>
        </w:tabs>
        <w:ind w:left="1134" w:hanging="283"/>
        <w:jc w:val="both"/>
        <w:rPr>
          <w:i/>
          <w:noProof/>
        </w:rPr>
      </w:pPr>
      <w:r w:rsidRPr="00F31D8F">
        <w:rPr>
          <w:noProof/>
        </w:rPr>
        <w:t>rozhodnutie Súdneho dvora vo veci C - 163/09, Repertoire Culinaire Ltd v. The Commissioners for Her Majesty’s Revenue &amp; Customs, [2010].</w:t>
      </w:r>
    </w:p>
    <w:p w:rsidR="00BB42F2" w:rsidRPr="00F31D8F" w:rsidRDefault="00BB42F2" w:rsidP="00F31D8F">
      <w:pPr>
        <w:pStyle w:val="Zkladntext"/>
        <w:spacing w:after="0"/>
      </w:pPr>
    </w:p>
    <w:p w:rsidR="00BB42F2" w:rsidRPr="00F31D8F" w:rsidRDefault="00BB42F2" w:rsidP="00F31D8F">
      <w:pPr>
        <w:pStyle w:val="Zkladntext"/>
        <w:spacing w:after="0"/>
        <w:ind w:left="1134"/>
        <w:rPr>
          <w:b/>
        </w:rPr>
      </w:pPr>
      <w:r w:rsidRPr="00F31D8F">
        <w:rPr>
          <w:b/>
        </w:rPr>
        <w:t>Výrok rozhodnutia:</w:t>
      </w:r>
    </w:p>
    <w:p w:rsidR="00BB42F2" w:rsidRPr="00F31D8F" w:rsidRDefault="00BB42F2" w:rsidP="00F31D8F">
      <w:pPr>
        <w:pStyle w:val="c08dispositif2"/>
        <w:spacing w:before="0" w:after="0"/>
        <w:ind w:firstLine="0"/>
        <w:rPr>
          <w:rFonts w:ascii="Times New Roman" w:hAnsi="Times New Roman" w:cs="Times New Roman"/>
          <w:b w:val="0"/>
          <w:sz w:val="24"/>
          <w:szCs w:val="24"/>
        </w:rPr>
      </w:pPr>
      <w:r w:rsidRPr="00F31D8F">
        <w:rPr>
          <w:rFonts w:ascii="Times New Roman" w:hAnsi="Times New Roman" w:cs="Times New Roman"/>
          <w:b w:val="0"/>
          <w:sz w:val="24"/>
          <w:szCs w:val="24"/>
        </w:rPr>
        <w:t>Článok 20 prvá zarážka smernice Rady 92/83/EHS z 19. októbra 1992 o zosúladení štruktúr spotrebných daní pre etanol a alkoholické nápoje sa má vykladať v tom zmysle, že definícia „etanolu“ uvedená v tomto ustanovení sa uplatňuje na víno na varenie a na portské na varenie.</w:t>
      </w:r>
    </w:p>
    <w:p w:rsidR="00BB42F2" w:rsidRPr="00F31D8F" w:rsidRDefault="00BB42F2" w:rsidP="00F31D8F">
      <w:pPr>
        <w:pStyle w:val="c08dispositif2"/>
        <w:spacing w:before="0" w:after="0"/>
        <w:ind w:firstLine="0"/>
        <w:rPr>
          <w:rFonts w:ascii="Times New Roman" w:hAnsi="Times New Roman" w:cs="Times New Roman"/>
          <w:b w:val="0"/>
          <w:sz w:val="24"/>
          <w:szCs w:val="24"/>
        </w:rPr>
      </w:pPr>
      <w:r w:rsidRPr="00F31D8F">
        <w:rPr>
          <w:rFonts w:ascii="Times New Roman" w:hAnsi="Times New Roman" w:cs="Times New Roman"/>
          <w:b w:val="0"/>
          <w:sz w:val="24"/>
          <w:szCs w:val="24"/>
        </w:rPr>
        <w:t>Za okolností, ako sú vo veci samej, sa na oslobodenie od zosúladenej dane z vína na varenie, portského na varenie a koňaku na varenie vzťahuje článok 27 ods. 1 písm. f) smernice 92/83.</w:t>
      </w:r>
    </w:p>
    <w:p w:rsidR="00BB42F2" w:rsidRPr="00F31D8F" w:rsidRDefault="00BB42F2" w:rsidP="00F31D8F">
      <w:pPr>
        <w:pStyle w:val="c08dispositif2"/>
        <w:spacing w:before="0" w:after="0"/>
        <w:ind w:left="0" w:firstLine="0"/>
        <w:rPr>
          <w:rFonts w:ascii="Times New Roman" w:hAnsi="Times New Roman" w:cs="Times New Roman"/>
          <w:b w:val="0"/>
          <w:sz w:val="24"/>
          <w:szCs w:val="24"/>
        </w:rPr>
      </w:pPr>
    </w:p>
    <w:p w:rsidR="00BB42F2" w:rsidRPr="00F31D8F" w:rsidRDefault="00BB42F2" w:rsidP="00F31D8F">
      <w:pPr>
        <w:pStyle w:val="c08dispositif2"/>
        <w:spacing w:before="0" w:after="0"/>
        <w:ind w:firstLine="0"/>
        <w:rPr>
          <w:rFonts w:ascii="Times New Roman" w:hAnsi="Times New Roman" w:cs="Times New Roman"/>
          <w:b w:val="0"/>
          <w:sz w:val="24"/>
          <w:szCs w:val="24"/>
        </w:rPr>
      </w:pPr>
      <w:r w:rsidRPr="00F31D8F">
        <w:rPr>
          <w:rFonts w:ascii="Times New Roman" w:hAnsi="Times New Roman" w:cs="Times New Roman"/>
          <w:b w:val="0"/>
          <w:sz w:val="24"/>
          <w:szCs w:val="24"/>
        </w:rPr>
        <w:t>Za predpokladu, že výrobky, akými sú víno na varenie, portské na varenie a koňak na varenie dotknuté v spore vo veci samej, ktoré sa považovali za výrobky nepodliehajúce spotrebnej dani alebo za oslobodené od spotrebnej dane podľa smernice 92/83 a uvoľnené na spotrebu v členskom štáte, kde boli vyrobené, sú určené na uvedenie na trh v inom členskom štáte, posledný uvedený členský štát musí priznať týmto výrobkom na jeho území rovnaké zaobchádzanie, ibaže existujú konkrétne, objektívne a overiteľné skutočnosti dokazujúce, že prvý členský štát správne neuplatnil ustanovenia tejto smernice alebo že podľa jej článku 27 ods. 1 je odôvodnené prijatie opatrení na boj proti daňovým únikom, vyhýbaniu sa plateniu spotrebných daní a ich zneužívaniu a na zabezpečenie ich správneho a čestného uplatnenia.</w:t>
      </w:r>
    </w:p>
    <w:p w:rsidR="00BB42F2" w:rsidRPr="00F31D8F" w:rsidRDefault="00BB42F2" w:rsidP="00F31D8F">
      <w:pPr>
        <w:pStyle w:val="c08dispositif2"/>
        <w:spacing w:before="0" w:after="0"/>
        <w:ind w:left="0" w:firstLine="0"/>
        <w:rPr>
          <w:rFonts w:ascii="Times New Roman" w:hAnsi="Times New Roman" w:cs="Times New Roman"/>
          <w:b w:val="0"/>
          <w:sz w:val="24"/>
          <w:szCs w:val="24"/>
        </w:rPr>
      </w:pPr>
    </w:p>
    <w:p w:rsidR="00BB42F2" w:rsidRPr="00F31D8F" w:rsidRDefault="00BB42F2" w:rsidP="00F31D8F">
      <w:pPr>
        <w:pStyle w:val="c08dispositif2"/>
        <w:spacing w:before="0" w:after="0"/>
        <w:ind w:firstLine="0"/>
        <w:rPr>
          <w:rFonts w:ascii="Times New Roman" w:hAnsi="Times New Roman" w:cs="Times New Roman"/>
          <w:b w:val="0"/>
          <w:sz w:val="24"/>
          <w:szCs w:val="24"/>
        </w:rPr>
      </w:pPr>
      <w:r w:rsidRPr="00F31D8F">
        <w:rPr>
          <w:rFonts w:ascii="Times New Roman" w:hAnsi="Times New Roman" w:cs="Times New Roman"/>
          <w:b w:val="0"/>
          <w:sz w:val="24"/>
          <w:szCs w:val="24"/>
        </w:rPr>
        <w:t xml:space="preserve">Článok 27 ods. 1 písm. f) smernice 92/83 sa má vykladať v tom zmysle, že priznanie oslobodenia upravené v tomto ustanovení môže podliehať dodržaniu podmienok, ako sú podmienky upravené vnútroštátnou právnou úpravou dotknutou </w:t>
      </w:r>
      <w:r w:rsidRPr="00F31D8F">
        <w:rPr>
          <w:rFonts w:ascii="Times New Roman" w:hAnsi="Times New Roman" w:cs="Times New Roman"/>
          <w:b w:val="0"/>
          <w:sz w:val="24"/>
          <w:szCs w:val="24"/>
        </w:rPr>
        <w:lastRenderedPageBreak/>
        <w:t>v spore vo veci samej, a to obmedzenie osôb oprávnených podať žiadosť o vrátenie, lehota štyroch mesiacov na predloženie takejto žiadosti a stanovenie minimálnej sumy na vrátenie, iba vtedy, ak z konkrétnych, objektívnych a overiteľných skutočností vyplýva, že tieto podmienky sú nevyhnutné na účely zabezpečenia správnej a čestnej aplikácie tohto oslobodenia od daní, ako aj na účely ochrany pred daňovými únikmi, vyhýbaním sa plateniu daní a ich zneužívaním. Je úlohou vnútroštátneho súdu, aby preveril, či ide o takýto prípad, pokiaľ ide o podmienky upravené touto právnou úpravou.</w:t>
      </w:r>
    </w:p>
    <w:p w:rsidR="00BB42F2" w:rsidRPr="00F31D8F" w:rsidRDefault="00BB42F2" w:rsidP="00F31D8F">
      <w:pPr>
        <w:pStyle w:val="c08dispositif2"/>
        <w:spacing w:before="0" w:after="0"/>
        <w:ind w:left="0" w:firstLine="0"/>
        <w:rPr>
          <w:rFonts w:ascii="Times New Roman" w:hAnsi="Times New Roman" w:cs="Times New Roman"/>
          <w:b w:val="0"/>
          <w:sz w:val="24"/>
          <w:szCs w:val="24"/>
        </w:rPr>
      </w:pPr>
    </w:p>
    <w:p w:rsidR="00BB42F2" w:rsidRPr="00F31D8F" w:rsidRDefault="00BB42F2" w:rsidP="00F31D8F">
      <w:pPr>
        <w:numPr>
          <w:ilvl w:val="0"/>
          <w:numId w:val="7"/>
        </w:numPr>
        <w:tabs>
          <w:tab w:val="left" w:pos="360"/>
        </w:tabs>
        <w:jc w:val="both"/>
        <w:rPr>
          <w:b/>
          <w:bCs/>
        </w:rPr>
      </w:pPr>
      <w:r w:rsidRPr="00F31D8F">
        <w:rPr>
          <w:b/>
          <w:bCs/>
        </w:rPr>
        <w:t>Záväzky Slovenskej republiky vo vzťahu k Európskej únii:</w:t>
      </w:r>
    </w:p>
    <w:p w:rsidR="00BB42F2" w:rsidRPr="00F31D8F" w:rsidRDefault="00BB42F2" w:rsidP="00F31D8F">
      <w:pPr>
        <w:tabs>
          <w:tab w:val="left" w:pos="360"/>
        </w:tabs>
        <w:jc w:val="both"/>
        <w:rPr>
          <w:bCs/>
        </w:rPr>
      </w:pPr>
    </w:p>
    <w:p w:rsidR="00BB42F2" w:rsidRPr="00F31D8F" w:rsidRDefault="00BB42F2" w:rsidP="00F31D8F">
      <w:pPr>
        <w:pStyle w:val="Zkladntext"/>
        <w:numPr>
          <w:ilvl w:val="0"/>
          <w:numId w:val="11"/>
        </w:numPr>
        <w:tabs>
          <w:tab w:val="left" w:pos="360"/>
          <w:tab w:val="left" w:pos="540"/>
        </w:tabs>
        <w:spacing w:after="0"/>
        <w:jc w:val="both"/>
      </w:pPr>
      <w:r w:rsidRPr="00F31D8F">
        <w:t xml:space="preserve">Lehota na prebratie smernice 2003/96/ES: do dňa pristúpenia Slovenskej republiky k Európskej únii, </w:t>
      </w:r>
      <w:r w:rsidRPr="00F31D8F">
        <w:rPr>
          <w:noProof/>
        </w:rPr>
        <w:t>t. j.</w:t>
      </w:r>
      <w:r w:rsidRPr="00F31D8F">
        <w:t xml:space="preserve"> do 1.5. 2004.</w:t>
      </w:r>
    </w:p>
    <w:p w:rsidR="00BB42F2" w:rsidRPr="00F31D8F" w:rsidRDefault="00BB42F2" w:rsidP="00F31D8F">
      <w:pPr>
        <w:pStyle w:val="Zkladntext"/>
        <w:tabs>
          <w:tab w:val="left" w:pos="360"/>
          <w:tab w:val="left" w:pos="540"/>
        </w:tabs>
        <w:spacing w:after="0"/>
        <w:ind w:left="785"/>
        <w:jc w:val="both"/>
        <w:rPr>
          <w:bCs/>
        </w:rPr>
      </w:pPr>
      <w:r w:rsidRPr="00F31D8F">
        <w:t>Lehota na prebratie smernice 92/83/EHS: do dňa pristúpenia Slovenskej republiky k Európskej únii, t. j. do 1.5. 2004</w:t>
      </w:r>
      <w:r w:rsidRPr="00F31D8F">
        <w:rPr>
          <w:bCs/>
        </w:rPr>
        <w:t>.</w:t>
      </w:r>
    </w:p>
    <w:p w:rsidR="00BB42F2" w:rsidRPr="00F31D8F" w:rsidRDefault="00BB42F2" w:rsidP="00F31D8F">
      <w:pPr>
        <w:pStyle w:val="Zkladntext"/>
        <w:tabs>
          <w:tab w:val="left" w:pos="360"/>
          <w:tab w:val="left" w:pos="540"/>
        </w:tabs>
        <w:spacing w:after="0"/>
        <w:ind w:left="785"/>
        <w:jc w:val="both"/>
      </w:pPr>
      <w:r w:rsidRPr="00F31D8F">
        <w:rPr>
          <w:bCs/>
        </w:rPr>
        <w:t>Lehota na prebratie smernice 2008/118/ES bola stanovená do 1.1. 2010.</w:t>
      </w:r>
    </w:p>
    <w:p w:rsidR="00BB42F2" w:rsidRPr="00F31D8F" w:rsidRDefault="00BB42F2" w:rsidP="00F31D8F">
      <w:pPr>
        <w:pStyle w:val="Zkladntext"/>
        <w:spacing w:after="0"/>
        <w:jc w:val="both"/>
        <w:rPr>
          <w:bCs/>
        </w:rPr>
      </w:pPr>
    </w:p>
    <w:p w:rsidR="00BB42F2" w:rsidRPr="00F31D8F" w:rsidRDefault="00BB42F2" w:rsidP="00F31D8F">
      <w:pPr>
        <w:pStyle w:val="Zkladntext"/>
        <w:numPr>
          <w:ilvl w:val="0"/>
          <w:numId w:val="11"/>
        </w:numPr>
        <w:tabs>
          <w:tab w:val="left" w:pos="360"/>
        </w:tabs>
        <w:spacing w:after="0"/>
        <w:jc w:val="both"/>
      </w:pPr>
      <w:r w:rsidRPr="00F31D8F">
        <w:t>Proti Slovenskej republike nebolo začaté konanie v rámci „EÚ Pilot“, ani nebol začatý postup EK ako aj  nebolo začaté konanie Súdneho dvora EÚ proti SR podľa čl. 258 až 260 Zmluvy o fungovaní Európskej únie.</w:t>
      </w:r>
    </w:p>
    <w:p w:rsidR="00BB42F2" w:rsidRPr="00F31D8F" w:rsidRDefault="00BB42F2" w:rsidP="00F31D8F">
      <w:pPr>
        <w:pStyle w:val="Zkladntext"/>
        <w:tabs>
          <w:tab w:val="left" w:pos="360"/>
        </w:tabs>
        <w:spacing w:after="0"/>
        <w:jc w:val="both"/>
      </w:pPr>
    </w:p>
    <w:p w:rsidR="00BB42F2" w:rsidRPr="00F31D8F" w:rsidRDefault="00BB42F2" w:rsidP="00F31D8F">
      <w:pPr>
        <w:pStyle w:val="Zkladntext"/>
        <w:numPr>
          <w:ilvl w:val="0"/>
          <w:numId w:val="11"/>
        </w:numPr>
        <w:tabs>
          <w:tab w:val="left" w:pos="360"/>
        </w:tabs>
        <w:spacing w:after="0"/>
        <w:jc w:val="both"/>
        <w:rPr>
          <w:noProof/>
        </w:rPr>
      </w:pPr>
      <w:r w:rsidRPr="00F31D8F">
        <w:t xml:space="preserve">Smernica 2003/96/ES bola úplne prebratá do zákona č. 609/2007 Z. z. o spotrebnej dani z elektriny, uhlia a zemného plynu a o zmene a doplnení zákona č. 98/2004 </w:t>
      </w:r>
      <w:r w:rsidRPr="00F31D8F">
        <w:rPr>
          <w:noProof/>
        </w:rPr>
        <w:t>Z.z. o spotrebnej dani z minerálneho oleja v znení neskorších predpisov a do zákona č. 98/2004 Z.z. o spotrebnej dani z minerálneho oleja v znení neskorších predpisov.</w:t>
      </w:r>
    </w:p>
    <w:p w:rsidR="00BB42F2" w:rsidRPr="00F31D8F" w:rsidRDefault="00BB42F2" w:rsidP="00F31D8F">
      <w:pPr>
        <w:pStyle w:val="Zkladntext0"/>
        <w:suppressAutoHyphens/>
        <w:ind w:left="785"/>
        <w:jc w:val="both"/>
        <w:rPr>
          <w:rFonts w:ascii="Times New Roman" w:hAnsi="Times New Roman" w:cs="Times New Roman"/>
          <w:color w:val="auto"/>
        </w:rPr>
      </w:pPr>
      <w:r w:rsidRPr="00F31D8F">
        <w:rPr>
          <w:rFonts w:ascii="Times New Roman" w:hAnsi="Times New Roman" w:cs="Times New Roman"/>
          <w:color w:val="auto"/>
        </w:rPr>
        <w:t xml:space="preserve">Smernica </w:t>
      </w:r>
      <w:r w:rsidRPr="00F31D8F">
        <w:rPr>
          <w:rFonts w:ascii="Times New Roman" w:hAnsi="Times New Roman" w:cs="Times New Roman"/>
          <w:color w:val="auto"/>
          <w:lang w:eastAsia="cs-CZ"/>
        </w:rPr>
        <w:t>92/83/EHS</w:t>
      </w:r>
      <w:r w:rsidRPr="00F31D8F">
        <w:rPr>
          <w:rFonts w:ascii="Times New Roman" w:hAnsi="Times New Roman" w:cs="Times New Roman"/>
          <w:color w:val="auto"/>
        </w:rPr>
        <w:t xml:space="preserve"> bola prebratá do zákona č.</w:t>
      </w:r>
      <w:r w:rsidRPr="00F31D8F">
        <w:rPr>
          <w:rFonts w:ascii="Times New Roman" w:hAnsi="Times New Roman" w:cs="Times New Roman"/>
          <w:b/>
          <w:color w:val="auto"/>
        </w:rPr>
        <w:t xml:space="preserve"> </w:t>
      </w:r>
      <w:r w:rsidRPr="00F31D8F">
        <w:rPr>
          <w:rFonts w:ascii="Times New Roman" w:hAnsi="Times New Roman" w:cs="Times New Roman"/>
          <w:color w:val="auto"/>
        </w:rPr>
        <w:t xml:space="preserve">530/2011 Z. z. </w:t>
      </w:r>
      <w:r w:rsidRPr="00F31D8F">
        <w:rPr>
          <w:rFonts w:ascii="Times New Roman" w:hAnsi="Times New Roman" w:cs="Times New Roman"/>
          <w:bCs/>
          <w:color w:val="auto"/>
        </w:rPr>
        <w:t>o spotrebnej dani z alkoholických nápojov v znení neskorších predpisov</w:t>
      </w:r>
      <w:r w:rsidRPr="00F31D8F">
        <w:rPr>
          <w:rFonts w:ascii="Times New Roman" w:hAnsi="Times New Roman" w:cs="Times New Roman"/>
          <w:color w:val="auto"/>
        </w:rPr>
        <w:t>.</w:t>
      </w:r>
    </w:p>
    <w:p w:rsidR="00BB42F2" w:rsidRPr="00F31D8F" w:rsidRDefault="00BB42F2" w:rsidP="00F31D8F">
      <w:pPr>
        <w:pStyle w:val="Zkladntext0"/>
        <w:suppressAutoHyphens/>
        <w:jc w:val="both"/>
        <w:rPr>
          <w:rFonts w:ascii="Times New Roman" w:hAnsi="Times New Roman" w:cs="Times New Roman"/>
          <w:color w:val="auto"/>
        </w:rPr>
      </w:pPr>
    </w:p>
    <w:p w:rsidR="00BB42F2" w:rsidRPr="00F31D8F" w:rsidRDefault="00BB42F2" w:rsidP="00F31D8F">
      <w:pPr>
        <w:pStyle w:val="Zkladntext0"/>
        <w:suppressAutoHyphens/>
        <w:ind w:left="785"/>
        <w:jc w:val="both"/>
        <w:rPr>
          <w:rFonts w:ascii="Times New Roman" w:hAnsi="Times New Roman" w:cs="Times New Roman"/>
          <w:bCs/>
          <w:color w:val="auto"/>
        </w:rPr>
      </w:pPr>
      <w:r w:rsidRPr="00F31D8F">
        <w:rPr>
          <w:rFonts w:ascii="Times New Roman" w:hAnsi="Times New Roman" w:cs="Times New Roman"/>
          <w:color w:val="auto"/>
        </w:rPr>
        <w:t>Smernica 2008/118</w:t>
      </w:r>
      <w:r w:rsidRPr="00F31D8F">
        <w:rPr>
          <w:rFonts w:ascii="Times New Roman" w:hAnsi="Times New Roman" w:cs="Times New Roman"/>
          <w:color w:val="auto"/>
          <w:lang w:eastAsia="cs-CZ"/>
        </w:rPr>
        <w:t>/ES</w:t>
      </w:r>
      <w:r w:rsidRPr="00F31D8F">
        <w:rPr>
          <w:rFonts w:ascii="Times New Roman" w:hAnsi="Times New Roman" w:cs="Times New Roman"/>
          <w:color w:val="auto"/>
        </w:rPr>
        <w:t xml:space="preserve"> bola prebratá do zákona č.</w:t>
      </w:r>
      <w:r w:rsidRPr="00F31D8F">
        <w:rPr>
          <w:rFonts w:ascii="Times New Roman" w:hAnsi="Times New Roman" w:cs="Times New Roman"/>
          <w:b/>
          <w:color w:val="auto"/>
        </w:rPr>
        <w:t xml:space="preserve"> </w:t>
      </w:r>
      <w:r w:rsidRPr="00F31D8F">
        <w:rPr>
          <w:rFonts w:ascii="Times New Roman" w:hAnsi="Times New Roman" w:cs="Times New Roman"/>
          <w:color w:val="auto"/>
        </w:rPr>
        <w:t xml:space="preserve">530/2011 Z. z. </w:t>
      </w:r>
      <w:r w:rsidRPr="00F31D8F">
        <w:rPr>
          <w:rFonts w:ascii="Times New Roman" w:hAnsi="Times New Roman" w:cs="Times New Roman"/>
          <w:bCs/>
          <w:color w:val="auto"/>
        </w:rPr>
        <w:t xml:space="preserve">o spotrebnej dani z alkoholických nápojov v znení neskorších predpisov, </w:t>
      </w:r>
      <w:r w:rsidRPr="00F31D8F">
        <w:rPr>
          <w:rFonts w:ascii="Times New Roman" w:hAnsi="Times New Roman" w:cs="Times New Roman"/>
          <w:color w:val="auto"/>
        </w:rPr>
        <w:t xml:space="preserve">do zákona č. 98/2004 Z. z.                       o spotrebnej dani z minerálneho oleja </w:t>
      </w:r>
      <w:r w:rsidRPr="00F31D8F">
        <w:rPr>
          <w:rFonts w:ascii="Times New Roman" w:hAnsi="Times New Roman" w:cs="Times New Roman"/>
          <w:bCs/>
          <w:color w:val="auto"/>
        </w:rPr>
        <w:t xml:space="preserve">v znení neskorších predpisov, </w:t>
      </w:r>
      <w:r w:rsidRPr="00F31D8F">
        <w:rPr>
          <w:rFonts w:ascii="Times New Roman" w:hAnsi="Times New Roman" w:cs="Times New Roman"/>
          <w:color w:val="auto"/>
        </w:rPr>
        <w:t xml:space="preserve">do zákona č. 106/2004 Z. z. o spotrebnej dani z tabakových výrobkov </w:t>
      </w:r>
      <w:r w:rsidRPr="00F31D8F">
        <w:rPr>
          <w:rFonts w:ascii="Times New Roman" w:hAnsi="Times New Roman" w:cs="Times New Roman"/>
          <w:bCs/>
          <w:color w:val="auto"/>
        </w:rPr>
        <w:t xml:space="preserve">v znení neskorších predpisov a </w:t>
      </w:r>
      <w:r w:rsidRPr="00F31D8F">
        <w:rPr>
          <w:rFonts w:ascii="Times New Roman" w:hAnsi="Times New Roman" w:cs="Times New Roman"/>
          <w:color w:val="auto"/>
        </w:rPr>
        <w:t>do zákona č. 609/2007 Z. z. o spotrebnej dani z elektriny, uhlia a zemného plynu a o zmene a doplnení zákona č. 98/2004 Z. z. o spotrebnej dani z minerálneho oleja v znení neskorších predpisov v znení neskorších predpisov</w:t>
      </w:r>
      <w:r w:rsidRPr="00F31D8F">
        <w:rPr>
          <w:rFonts w:ascii="Times New Roman" w:hAnsi="Times New Roman" w:cs="Times New Roman"/>
          <w:bCs/>
          <w:color w:val="auto"/>
        </w:rPr>
        <w:t>.</w:t>
      </w:r>
    </w:p>
    <w:p w:rsidR="00BB42F2" w:rsidRPr="00F31D8F" w:rsidRDefault="00BB42F2" w:rsidP="00F31D8F">
      <w:pPr>
        <w:pStyle w:val="Zkladntext0"/>
        <w:suppressAutoHyphens/>
        <w:jc w:val="both"/>
        <w:rPr>
          <w:rFonts w:ascii="Times New Roman" w:hAnsi="Times New Roman" w:cs="Times New Roman"/>
          <w:bCs/>
          <w:color w:val="auto"/>
        </w:rPr>
      </w:pPr>
    </w:p>
    <w:p w:rsidR="00BB42F2" w:rsidRPr="00F31D8F" w:rsidRDefault="00BB42F2" w:rsidP="00F31D8F">
      <w:pPr>
        <w:tabs>
          <w:tab w:val="left" w:pos="425"/>
        </w:tabs>
        <w:ind w:left="785"/>
        <w:jc w:val="both"/>
        <w:rPr>
          <w:rStyle w:val="Zstupntext"/>
          <w:noProof/>
          <w:lang w:eastAsia="cs-CZ"/>
        </w:rPr>
      </w:pPr>
      <w:r w:rsidRPr="00F31D8F">
        <w:rPr>
          <w:noProof/>
          <w:lang w:eastAsia="cs-CZ"/>
        </w:rPr>
        <w:t xml:space="preserve">Smernica (EÚ) 2015/1535 </w:t>
      </w:r>
      <w:r w:rsidRPr="00F31D8F">
        <w:rPr>
          <w:noProof/>
        </w:rPr>
        <w:t>bola prebratá do zákona č. 55/2018 Z.z. o poskytovaní informácií o technickom predpise a o prekážkach voľného pohybu tovaru</w:t>
      </w:r>
      <w:r w:rsidRPr="00F31D8F">
        <w:rPr>
          <w:rStyle w:val="Zstupntext"/>
          <w:noProof/>
          <w:color w:val="000000"/>
        </w:rPr>
        <w:t>.</w:t>
      </w:r>
    </w:p>
    <w:p w:rsidR="00BB42F2" w:rsidRPr="00F31D8F" w:rsidRDefault="00BB42F2" w:rsidP="00F31D8F">
      <w:pPr>
        <w:pStyle w:val="Zkladntext"/>
        <w:tabs>
          <w:tab w:val="left" w:pos="360"/>
        </w:tabs>
        <w:spacing w:after="0"/>
        <w:jc w:val="both"/>
      </w:pPr>
    </w:p>
    <w:p w:rsidR="00BB42F2" w:rsidRPr="00F31D8F" w:rsidRDefault="00BB42F2" w:rsidP="00F31D8F">
      <w:pPr>
        <w:tabs>
          <w:tab w:val="left" w:pos="360"/>
        </w:tabs>
        <w:jc w:val="both"/>
        <w:rPr>
          <w:b/>
          <w:bCs/>
        </w:rPr>
      </w:pPr>
      <w:r w:rsidRPr="00F31D8F">
        <w:rPr>
          <w:b/>
          <w:bCs/>
        </w:rPr>
        <w:t>5.</w:t>
      </w:r>
      <w:r w:rsidRPr="00F31D8F">
        <w:rPr>
          <w:b/>
          <w:bCs/>
        </w:rPr>
        <w:tab/>
      </w:r>
      <w:r w:rsidRPr="00F31D8F">
        <w:rPr>
          <w:b/>
          <w:bCs/>
          <w:color w:val="000000"/>
        </w:rPr>
        <w:t>Návrh zákona je zlučiteľný s právom Európskej únie</w:t>
      </w:r>
      <w:r w:rsidRPr="00F31D8F">
        <w:rPr>
          <w:b/>
          <w:bCs/>
        </w:rPr>
        <w:t>:</w:t>
      </w:r>
    </w:p>
    <w:p w:rsidR="00BB42F2" w:rsidRPr="00F31D8F" w:rsidRDefault="00BB42F2" w:rsidP="00F31D8F">
      <w:pPr>
        <w:jc w:val="both"/>
      </w:pPr>
    </w:p>
    <w:p w:rsidR="00BB42F2" w:rsidRPr="00F31D8F" w:rsidRDefault="00BB42F2" w:rsidP="00F31D8F">
      <w:pPr>
        <w:ind w:left="360"/>
        <w:jc w:val="both"/>
      </w:pPr>
      <w:r w:rsidRPr="00F31D8F">
        <w:t>Úplný.</w:t>
      </w:r>
    </w:p>
    <w:p w:rsidR="00BB42F2" w:rsidRPr="00F31D8F" w:rsidRDefault="00BB42F2" w:rsidP="00F31D8F"/>
    <w:p w:rsidR="00DC53F8" w:rsidRPr="00F31D8F" w:rsidRDefault="00DC53F8" w:rsidP="00F31D8F"/>
    <w:p w:rsidR="00DC53F8" w:rsidRPr="00F31D8F" w:rsidRDefault="00DC53F8" w:rsidP="00F31D8F"/>
    <w:p w:rsidR="00DC53F8" w:rsidRDefault="00DC53F8" w:rsidP="00F31D8F"/>
    <w:p w:rsidR="00DA259F" w:rsidRDefault="00DA259F" w:rsidP="00F31D8F"/>
    <w:p w:rsidR="00DA259F" w:rsidRDefault="00DA259F" w:rsidP="00F31D8F"/>
    <w:p w:rsidR="00DA259F" w:rsidRDefault="00DA259F" w:rsidP="00F31D8F"/>
    <w:p w:rsidR="00DA259F" w:rsidRPr="00F31D8F" w:rsidRDefault="00DA259F" w:rsidP="00F31D8F"/>
    <w:p w:rsidR="00BB42F2" w:rsidRPr="00F31D8F" w:rsidRDefault="00BB42F2" w:rsidP="00F31D8F">
      <w:pPr>
        <w:jc w:val="both"/>
        <w:rPr>
          <w:b/>
          <w:color w:val="000000"/>
        </w:rPr>
      </w:pPr>
      <w:r w:rsidRPr="00F31D8F">
        <w:rPr>
          <w:b/>
          <w:color w:val="000000"/>
        </w:rPr>
        <w:lastRenderedPageBreak/>
        <w:t>B. Osobitná časť</w:t>
      </w:r>
    </w:p>
    <w:p w:rsidR="00BB42F2" w:rsidRPr="00F31D8F" w:rsidRDefault="00BB42F2" w:rsidP="00F31D8F">
      <w:pPr>
        <w:jc w:val="both"/>
        <w:rPr>
          <w:bCs/>
        </w:rPr>
      </w:pPr>
    </w:p>
    <w:p w:rsidR="00BB42F2" w:rsidRPr="00F31D8F" w:rsidRDefault="00BB42F2" w:rsidP="00F31D8F">
      <w:pPr>
        <w:jc w:val="both"/>
        <w:rPr>
          <w:b/>
          <w:bCs/>
        </w:rPr>
      </w:pPr>
      <w:r w:rsidRPr="00F31D8F">
        <w:rPr>
          <w:b/>
          <w:bCs/>
        </w:rPr>
        <w:t>K článku I</w:t>
      </w:r>
    </w:p>
    <w:p w:rsidR="00BB42F2" w:rsidRPr="00F31D8F" w:rsidRDefault="00BB42F2" w:rsidP="00F31D8F">
      <w:pPr>
        <w:tabs>
          <w:tab w:val="left" w:pos="360"/>
        </w:tabs>
        <w:jc w:val="both"/>
      </w:pPr>
    </w:p>
    <w:p w:rsidR="00BB42F2" w:rsidRPr="00F31D8F" w:rsidRDefault="00BB42F2" w:rsidP="00F31D8F">
      <w:pPr>
        <w:autoSpaceDE w:val="0"/>
        <w:autoSpaceDN w:val="0"/>
        <w:adjustRightInd w:val="0"/>
        <w:jc w:val="both"/>
        <w:rPr>
          <w:b/>
          <w:bCs/>
          <w:color w:val="000000"/>
        </w:rPr>
      </w:pPr>
      <w:r w:rsidRPr="00F31D8F">
        <w:rPr>
          <w:b/>
          <w:bCs/>
          <w:color w:val="000000"/>
        </w:rPr>
        <w:t>K bodom 1 a 2</w:t>
      </w:r>
    </w:p>
    <w:p w:rsidR="00BB42F2" w:rsidRPr="00F31D8F" w:rsidRDefault="00BB42F2" w:rsidP="00F31D8F">
      <w:pPr>
        <w:pStyle w:val="Zkladntext0"/>
        <w:ind w:firstLine="567"/>
        <w:jc w:val="both"/>
        <w:outlineLvl w:val="0"/>
        <w:rPr>
          <w:rFonts w:ascii="Times New Roman" w:hAnsi="Times New Roman" w:cs="Times New Roman"/>
        </w:rPr>
      </w:pPr>
      <w:r w:rsidRPr="00F31D8F">
        <w:rPr>
          <w:rFonts w:ascii="Times New Roman" w:hAnsi="Times New Roman" w:cs="Times New Roman"/>
        </w:rPr>
        <w:t xml:space="preserve">Navrhovanou úpravu sa plní záväzok Slovenskej republiky, ktorý vyplynul z rozhodnutia európskej komisie z 21. decembra 2017, ktorým notifikovala </w:t>
      </w:r>
      <w:r w:rsidRPr="00F31D8F">
        <w:rPr>
          <w:rFonts w:ascii="Times New Roman" w:hAnsi="Times New Roman" w:cs="Times New Roman"/>
          <w:bCs/>
        </w:rPr>
        <w:t xml:space="preserve">štátnu pomoc SA.49509 (2017/N) – Slovensko – Daňové zvýhodnenie </w:t>
      </w:r>
      <w:proofErr w:type="spellStart"/>
      <w:r w:rsidRPr="00F31D8F">
        <w:rPr>
          <w:rFonts w:ascii="Times New Roman" w:hAnsi="Times New Roman" w:cs="Times New Roman"/>
          <w:bCs/>
        </w:rPr>
        <w:t>biopalív</w:t>
      </w:r>
      <w:proofErr w:type="spellEnd"/>
      <w:r w:rsidRPr="00F31D8F">
        <w:rPr>
          <w:rFonts w:ascii="Times New Roman" w:hAnsi="Times New Roman" w:cs="Times New Roman"/>
          <w:bCs/>
        </w:rPr>
        <w:t xml:space="preserve">, a to zosúladenie daňového zvýhodnenia </w:t>
      </w:r>
      <w:proofErr w:type="spellStart"/>
      <w:r w:rsidRPr="00F31D8F">
        <w:rPr>
          <w:rFonts w:ascii="Times New Roman" w:hAnsi="Times New Roman" w:cs="Times New Roman"/>
          <w:bCs/>
        </w:rPr>
        <w:t>biopalív</w:t>
      </w:r>
      <w:proofErr w:type="spellEnd"/>
      <w:r w:rsidRPr="00F31D8F">
        <w:rPr>
          <w:rFonts w:ascii="Times New Roman" w:hAnsi="Times New Roman" w:cs="Times New Roman"/>
          <w:bCs/>
        </w:rPr>
        <w:t xml:space="preserve"> </w:t>
      </w:r>
      <w:r w:rsidRPr="00F31D8F">
        <w:rPr>
          <w:rFonts w:ascii="Times New Roman" w:hAnsi="Times New Roman" w:cs="Times New Roman"/>
        </w:rPr>
        <w:t xml:space="preserve">s čl. 16 ods. 1 a 2 smernice </w:t>
      </w:r>
      <w:r w:rsidR="00DA259F">
        <w:rPr>
          <w:rFonts w:ascii="Times New Roman" w:hAnsi="Times New Roman" w:cs="Times New Roman"/>
          <w:bCs/>
        </w:rPr>
        <w:t>č. 2003/96/ES (</w:t>
      </w:r>
      <w:proofErr w:type="spellStart"/>
      <w:r w:rsidR="00DA259F">
        <w:rPr>
          <w:rFonts w:ascii="Times New Roman" w:hAnsi="Times New Roman" w:cs="Times New Roman"/>
          <w:bCs/>
        </w:rPr>
        <w:t>biopalivá</w:t>
      </w:r>
      <w:proofErr w:type="spellEnd"/>
      <w:r w:rsidR="00DA259F">
        <w:rPr>
          <w:rFonts w:ascii="Times New Roman" w:hAnsi="Times New Roman" w:cs="Times New Roman"/>
          <w:bCs/>
        </w:rPr>
        <w:t>)</w:t>
      </w:r>
      <w:r w:rsidR="00DC53F8" w:rsidRPr="00F31D8F">
        <w:rPr>
          <w:rFonts w:ascii="Times New Roman" w:hAnsi="Times New Roman" w:cs="Times New Roman"/>
          <w:bCs/>
        </w:rPr>
        <w:t xml:space="preserve"> </w:t>
      </w:r>
      <w:r w:rsidRPr="00F31D8F">
        <w:rPr>
          <w:rFonts w:ascii="Times New Roman" w:hAnsi="Times New Roman" w:cs="Times New Roman"/>
        </w:rPr>
        <w:t>o reštrukturalizácii právneho rámca spoločenstva pre zdaňovanie energetických výrobkov a elektriny.</w:t>
      </w:r>
    </w:p>
    <w:p w:rsidR="00BB42F2" w:rsidRPr="00F31D8F" w:rsidRDefault="00BB42F2" w:rsidP="00F31D8F">
      <w:pPr>
        <w:jc w:val="both"/>
      </w:pPr>
    </w:p>
    <w:p w:rsidR="00BB42F2" w:rsidRPr="00F31D8F" w:rsidRDefault="00BB42F2" w:rsidP="00F31D8F">
      <w:pPr>
        <w:autoSpaceDE w:val="0"/>
        <w:autoSpaceDN w:val="0"/>
        <w:adjustRightInd w:val="0"/>
        <w:jc w:val="both"/>
        <w:rPr>
          <w:b/>
          <w:bCs/>
          <w:color w:val="000000"/>
        </w:rPr>
      </w:pPr>
      <w:r w:rsidRPr="00F31D8F">
        <w:rPr>
          <w:b/>
          <w:bCs/>
          <w:color w:val="000000"/>
        </w:rPr>
        <w:t>K bodom 3, 7 a 10</w:t>
      </w:r>
    </w:p>
    <w:p w:rsidR="00BB42F2" w:rsidRPr="00F31D8F" w:rsidRDefault="00BB42F2" w:rsidP="00F31D8F">
      <w:pPr>
        <w:pStyle w:val="Odsekzoznamu"/>
        <w:tabs>
          <w:tab w:val="left" w:pos="567"/>
        </w:tabs>
        <w:spacing w:after="0" w:line="240" w:lineRule="auto"/>
        <w:ind w:left="0"/>
        <w:jc w:val="both"/>
        <w:rPr>
          <w:rFonts w:ascii="Times New Roman" w:hAnsi="Times New Roman"/>
          <w:sz w:val="24"/>
          <w:szCs w:val="24"/>
        </w:rPr>
      </w:pPr>
      <w:r w:rsidRPr="00F31D8F">
        <w:rPr>
          <w:rFonts w:ascii="Times New Roman" w:hAnsi="Times New Roman"/>
          <w:sz w:val="24"/>
          <w:szCs w:val="24"/>
        </w:rPr>
        <w:tab/>
        <w:t>Legislatívno-technická úprava, ktorou sa vypúšťa nadbytočný text.</w:t>
      </w:r>
    </w:p>
    <w:p w:rsidR="00BB42F2" w:rsidRPr="00F31D8F" w:rsidRDefault="00BB42F2" w:rsidP="00F31D8F">
      <w:pPr>
        <w:pStyle w:val="Odsekzoznamu"/>
        <w:tabs>
          <w:tab w:val="left" w:pos="567"/>
        </w:tabs>
        <w:spacing w:after="0" w:line="240" w:lineRule="auto"/>
        <w:ind w:left="0"/>
        <w:jc w:val="both"/>
        <w:rPr>
          <w:rFonts w:ascii="Times New Roman" w:hAnsi="Times New Roman"/>
          <w:sz w:val="24"/>
          <w:szCs w:val="24"/>
        </w:rPr>
      </w:pPr>
    </w:p>
    <w:p w:rsidR="00BB42F2" w:rsidRPr="00F31D8F" w:rsidRDefault="00BB42F2" w:rsidP="00F31D8F">
      <w:pPr>
        <w:autoSpaceDE w:val="0"/>
        <w:autoSpaceDN w:val="0"/>
        <w:adjustRightInd w:val="0"/>
        <w:jc w:val="both"/>
        <w:rPr>
          <w:b/>
          <w:bCs/>
          <w:color w:val="000000"/>
        </w:rPr>
      </w:pPr>
      <w:r w:rsidRPr="00F31D8F">
        <w:rPr>
          <w:b/>
          <w:bCs/>
          <w:color w:val="000000"/>
        </w:rPr>
        <w:t>K bodu 4</w:t>
      </w:r>
    </w:p>
    <w:p w:rsidR="00BB42F2" w:rsidRPr="00F31D8F" w:rsidRDefault="00BB42F2" w:rsidP="00F31D8F">
      <w:pPr>
        <w:pStyle w:val="Zkladntext0"/>
        <w:ind w:firstLine="567"/>
        <w:jc w:val="both"/>
        <w:outlineLvl w:val="0"/>
        <w:rPr>
          <w:rFonts w:ascii="Times New Roman" w:hAnsi="Times New Roman" w:cs="Times New Roman"/>
          <w:b/>
        </w:rPr>
      </w:pPr>
      <w:r w:rsidRPr="00F31D8F">
        <w:rPr>
          <w:rFonts w:ascii="Times New Roman" w:hAnsi="Times New Roman" w:cs="Times New Roman"/>
          <w:b/>
        </w:rPr>
        <w:t>§ 8</w:t>
      </w:r>
    </w:p>
    <w:p w:rsidR="00BB42F2" w:rsidRPr="00F31D8F" w:rsidRDefault="00BB42F2" w:rsidP="00F31D8F">
      <w:pPr>
        <w:pStyle w:val="Zkladntext0"/>
        <w:ind w:firstLine="567"/>
        <w:jc w:val="both"/>
        <w:outlineLvl w:val="0"/>
        <w:rPr>
          <w:rFonts w:ascii="Times New Roman" w:hAnsi="Times New Roman" w:cs="Times New Roman"/>
        </w:rPr>
      </w:pPr>
      <w:r w:rsidRPr="00F31D8F">
        <w:rPr>
          <w:rFonts w:ascii="Times New Roman" w:hAnsi="Times New Roman" w:cs="Times New Roman"/>
        </w:rPr>
        <w:t>Navrhovanou úpravou sa zavádza povinnosť označovať minerálny olej uvedený v § 6 ods. 1 písm. a) a d) alebo v § 7 ods. 1 a 2 zákona č. 98/2004 Z. z., t. j. motorový benzín a motorovú naftu (ďalej len „pohonné látky“) identifikačnou látkou pred ich uvedením do daňového voľného obehu na daňovom území s cieľom overenia správnosti uplatnenia sadzby dane na tieto pohonné látky po ich uvedení do daňového voľného obehu. Definuje sa osoba, ktorá je oprávnená odoberať identifikačnú látku, ktorou je prevádzkovateľ daňového skladu, oprávnený príjemca a dovozca minerálneho oleja. Ustanovujú sa tiež situácie kedy sa pohonné látky nevzťahuje povinnosť aby boli označené identifikačnou látkou a tiež sa zakazuje</w:t>
      </w:r>
    </w:p>
    <w:p w:rsidR="00BB42F2" w:rsidRPr="00F31D8F" w:rsidRDefault="00BB42F2" w:rsidP="00F31D8F">
      <w:pPr>
        <w:pStyle w:val="Zkladntext0"/>
        <w:numPr>
          <w:ilvl w:val="0"/>
          <w:numId w:val="34"/>
        </w:numPr>
        <w:ind w:left="567" w:hanging="567"/>
        <w:jc w:val="both"/>
        <w:outlineLvl w:val="0"/>
        <w:rPr>
          <w:rFonts w:ascii="Times New Roman" w:hAnsi="Times New Roman" w:cs="Times New Roman"/>
        </w:rPr>
      </w:pPr>
      <w:r w:rsidRPr="00F31D8F">
        <w:rPr>
          <w:rFonts w:ascii="Times New Roman" w:hAnsi="Times New Roman" w:cs="Times New Roman"/>
        </w:rPr>
        <w:t>označovať iné minerálne oleje rovnakou identifikačnou látkou ako pohonné látky,</w:t>
      </w:r>
    </w:p>
    <w:p w:rsidR="00BB42F2" w:rsidRPr="00F31D8F" w:rsidRDefault="00BB42F2" w:rsidP="00F31D8F">
      <w:pPr>
        <w:pStyle w:val="Zkladntext0"/>
        <w:numPr>
          <w:ilvl w:val="0"/>
          <w:numId w:val="34"/>
        </w:numPr>
        <w:ind w:left="567" w:hanging="567"/>
        <w:jc w:val="both"/>
        <w:outlineLvl w:val="0"/>
        <w:rPr>
          <w:rFonts w:ascii="Times New Roman" w:hAnsi="Times New Roman" w:cs="Times New Roman"/>
        </w:rPr>
      </w:pPr>
      <w:r w:rsidRPr="00F31D8F">
        <w:rPr>
          <w:rFonts w:ascii="Times New Roman" w:hAnsi="Times New Roman" w:cs="Times New Roman"/>
        </w:rPr>
        <w:t>označovať pohonné látky identifikačnou látkou, na ktoré sa nevzťahuje povinnosť označovania identifikačnou látkou,</w:t>
      </w:r>
    </w:p>
    <w:p w:rsidR="00BB42F2" w:rsidRPr="00F31D8F" w:rsidRDefault="00BB42F2" w:rsidP="00F31D8F">
      <w:pPr>
        <w:pStyle w:val="Zkladntext0"/>
        <w:numPr>
          <w:ilvl w:val="0"/>
          <w:numId w:val="34"/>
        </w:numPr>
        <w:ind w:left="567" w:hanging="567"/>
        <w:jc w:val="both"/>
        <w:outlineLvl w:val="0"/>
        <w:rPr>
          <w:rFonts w:ascii="Times New Roman" w:hAnsi="Times New Roman" w:cs="Times New Roman"/>
        </w:rPr>
      </w:pPr>
      <w:r w:rsidRPr="00F31D8F">
        <w:rPr>
          <w:rFonts w:ascii="Times New Roman" w:hAnsi="Times New Roman" w:cs="Times New Roman"/>
        </w:rPr>
        <w:t>zmeniť označenie pohonných látok, pričom zmenou označovania sa myslí napríklad zmena koncentrácie identifikačnej látky, odstránenie identifikačnej látky alebo akákoľvek iná zmena, ktorej následkom by bolo, že pohonné látky nebudú označené v súlade s § 8 návrhu zákona,</w:t>
      </w:r>
    </w:p>
    <w:p w:rsidR="00BB42F2" w:rsidRPr="00F31D8F" w:rsidRDefault="00BB42F2" w:rsidP="00F31D8F">
      <w:pPr>
        <w:pStyle w:val="Zkladntext0"/>
        <w:numPr>
          <w:ilvl w:val="0"/>
          <w:numId w:val="34"/>
        </w:numPr>
        <w:ind w:left="567" w:hanging="567"/>
        <w:jc w:val="both"/>
        <w:outlineLvl w:val="0"/>
        <w:rPr>
          <w:rFonts w:ascii="Times New Roman" w:hAnsi="Times New Roman" w:cs="Times New Roman"/>
        </w:rPr>
      </w:pPr>
      <w:r w:rsidRPr="00F31D8F">
        <w:rPr>
          <w:rFonts w:ascii="Times New Roman" w:hAnsi="Times New Roman" w:cs="Times New Roman"/>
        </w:rPr>
        <w:t>uvádzať pohonné látky do daňového voľného obehu, ak nie sú označené identifikačnou látkou, okrem zákonom stanovených výnimiek,</w:t>
      </w:r>
    </w:p>
    <w:p w:rsidR="00BB42F2" w:rsidRPr="00F31D8F" w:rsidRDefault="00BB42F2" w:rsidP="00F31D8F">
      <w:pPr>
        <w:pStyle w:val="Zkladntext0"/>
        <w:numPr>
          <w:ilvl w:val="0"/>
          <w:numId w:val="34"/>
        </w:numPr>
        <w:ind w:left="567" w:hanging="567"/>
        <w:jc w:val="both"/>
        <w:outlineLvl w:val="0"/>
        <w:rPr>
          <w:rFonts w:ascii="Times New Roman" w:hAnsi="Times New Roman" w:cs="Times New Roman"/>
        </w:rPr>
      </w:pPr>
      <w:r w:rsidRPr="00F31D8F">
        <w:rPr>
          <w:rFonts w:ascii="Times New Roman" w:hAnsi="Times New Roman" w:cs="Times New Roman"/>
        </w:rPr>
        <w:t>predávať, ponúkať na predaj, skladovať alebo prepravovať pohonné látky ak nie sú označené stanoveným spôsobom okrem ustanovených výnimiek.</w:t>
      </w:r>
    </w:p>
    <w:p w:rsidR="00BB42F2" w:rsidRPr="00F31D8F" w:rsidRDefault="00BB42F2" w:rsidP="00F31D8F">
      <w:pPr>
        <w:pStyle w:val="Zkladntext0"/>
        <w:ind w:firstLine="567"/>
        <w:jc w:val="both"/>
        <w:outlineLvl w:val="0"/>
        <w:rPr>
          <w:rFonts w:ascii="Times New Roman" w:hAnsi="Times New Roman" w:cs="Times New Roman"/>
        </w:rPr>
      </w:pPr>
      <w:r w:rsidRPr="00F31D8F">
        <w:rPr>
          <w:rFonts w:ascii="Times New Roman" w:hAnsi="Times New Roman" w:cs="Times New Roman"/>
        </w:rPr>
        <w:t>Upravuje sa postup v situácii, keď nebude vybraný výrobca identifikačnej látky a doterajší výrobca nebude oprávnený alebo nebude môcť vyrábať identifikačnú látku. Tiež sa stanovuje postup odberateľa identifikačnej látky a finančného riaditeľstva, ak nastane porucha</w:t>
      </w:r>
      <w:r w:rsidRPr="00F31D8F">
        <w:rPr>
          <w:rFonts w:ascii="Times New Roman" w:hAnsi="Times New Roman" w:cs="Times New Roman"/>
          <w:color w:val="auto"/>
          <w:lang w:eastAsia="en-US"/>
        </w:rPr>
        <w:t xml:space="preserve"> zariadenia na primiešavanie identifikačnej látky.</w:t>
      </w:r>
    </w:p>
    <w:p w:rsidR="00BB42F2" w:rsidRPr="00F31D8F" w:rsidRDefault="00BB42F2" w:rsidP="00F31D8F">
      <w:pPr>
        <w:pStyle w:val="Zkladntext0"/>
        <w:jc w:val="both"/>
        <w:outlineLvl w:val="0"/>
        <w:rPr>
          <w:rFonts w:ascii="Times New Roman" w:hAnsi="Times New Roman" w:cs="Times New Roman"/>
        </w:rPr>
      </w:pPr>
    </w:p>
    <w:p w:rsidR="00BB42F2" w:rsidRPr="00F31D8F" w:rsidRDefault="00BB42F2" w:rsidP="00F31D8F">
      <w:pPr>
        <w:pStyle w:val="Zkladntext0"/>
        <w:ind w:left="567"/>
        <w:jc w:val="both"/>
        <w:outlineLvl w:val="0"/>
        <w:rPr>
          <w:rFonts w:ascii="Times New Roman" w:hAnsi="Times New Roman" w:cs="Times New Roman"/>
          <w:b/>
        </w:rPr>
      </w:pPr>
      <w:r w:rsidRPr="00F31D8F">
        <w:rPr>
          <w:rFonts w:ascii="Times New Roman" w:hAnsi="Times New Roman" w:cs="Times New Roman"/>
          <w:b/>
        </w:rPr>
        <w:t>§ 9</w:t>
      </w:r>
    </w:p>
    <w:p w:rsidR="00BB42F2" w:rsidRPr="00F31D8F" w:rsidRDefault="00BB42F2" w:rsidP="00F31D8F">
      <w:pPr>
        <w:pStyle w:val="Zkladntext0"/>
        <w:ind w:firstLine="567"/>
        <w:jc w:val="both"/>
        <w:outlineLvl w:val="0"/>
        <w:rPr>
          <w:rFonts w:ascii="Times New Roman" w:hAnsi="Times New Roman" w:cs="Times New Roman"/>
        </w:rPr>
      </w:pPr>
      <w:r w:rsidRPr="00F31D8F">
        <w:rPr>
          <w:rFonts w:ascii="Times New Roman" w:hAnsi="Times New Roman" w:cs="Times New Roman"/>
        </w:rPr>
        <w:t>Stanovujú sa podmienky na zaradenie do evidencie dovozcov minerálneho oleja pre osobu, ktorá chce dovážať pohonné látky z tretích štátov a situácie kedy colný úrad vyradí dovozcu minerálneho oleja z tejto evidencie. Colný úrad bude môcť vyradiť dovozcu minerálneho oleja z evidencie, ak neuskutočnil dovoz pohonných látok v priebehu šiestich po sebe nasledujúcich kalendárnych mesiacov od zaradenia do evidencie dovozcov minerálneho oleja, požiada o vyradenie z evidencie dovozcov minerálneho oleja, prestal spĺňať niektorú            z podmienok pre zaradenie do evidencie alebo podal žiadosť o výmaz z obchodného registra alebo z iného obdobného registra (napr. živnostenského), podal žiadosť o zrušenie živnostenského oprávnenia alebo oznámil ukončenie podnikania.</w:t>
      </w:r>
    </w:p>
    <w:p w:rsidR="00BB42F2" w:rsidRPr="00F31D8F" w:rsidRDefault="00BB42F2" w:rsidP="00F31D8F">
      <w:pPr>
        <w:pStyle w:val="Zkladntext0"/>
        <w:ind w:left="567"/>
        <w:jc w:val="both"/>
        <w:outlineLvl w:val="0"/>
        <w:rPr>
          <w:rFonts w:ascii="Times New Roman" w:hAnsi="Times New Roman" w:cs="Times New Roman"/>
          <w:b/>
        </w:rPr>
      </w:pPr>
      <w:r w:rsidRPr="00F31D8F">
        <w:rPr>
          <w:rFonts w:ascii="Times New Roman" w:hAnsi="Times New Roman" w:cs="Times New Roman"/>
          <w:b/>
        </w:rPr>
        <w:lastRenderedPageBreak/>
        <w:t>§ 9a</w:t>
      </w:r>
    </w:p>
    <w:p w:rsidR="00BB42F2" w:rsidRPr="00F31D8F" w:rsidRDefault="00BB42F2" w:rsidP="00F31D8F">
      <w:pPr>
        <w:pStyle w:val="Zkladntext0"/>
        <w:ind w:firstLine="567"/>
        <w:jc w:val="both"/>
        <w:outlineLvl w:val="0"/>
        <w:rPr>
          <w:rFonts w:ascii="Times New Roman" w:hAnsi="Times New Roman" w:cs="Times New Roman"/>
        </w:rPr>
      </w:pPr>
      <w:r w:rsidRPr="00F31D8F">
        <w:rPr>
          <w:rFonts w:ascii="Times New Roman" w:hAnsi="Times New Roman" w:cs="Times New Roman"/>
        </w:rPr>
        <w:t>Stanovujú sa kritériá na výrobcu identifikačnej látky, spôsob a podmienky jeho výberu. Podľa navrhovaného znenia z dôvodu zamedzenia falšovania identifikačnej látky získa oprávnenie vyrábať identifikačnú látku na označovanie pohonných látok uvádzaných do daňového voľného obehu na daňovom území len jeden výrobca identifikačnej látky, ktorého na základe verejnej súťaže vyberie komisia, ktorú zriadi finančné riaditeľstvo. Zároveň sa stanovujú dôvody kedy sa vyhlási nový výber výrobcu identifikačnej látky.</w:t>
      </w:r>
    </w:p>
    <w:p w:rsidR="00BB42F2" w:rsidRPr="00F31D8F" w:rsidRDefault="00BB42F2" w:rsidP="00F31D8F">
      <w:pPr>
        <w:pStyle w:val="Zkladntext0"/>
        <w:jc w:val="both"/>
        <w:outlineLvl w:val="0"/>
        <w:rPr>
          <w:rFonts w:ascii="Times New Roman" w:hAnsi="Times New Roman" w:cs="Times New Roman"/>
        </w:rPr>
      </w:pPr>
    </w:p>
    <w:p w:rsidR="00BB42F2" w:rsidRPr="00F31D8F" w:rsidRDefault="00BB42F2" w:rsidP="00F31D8F">
      <w:pPr>
        <w:pStyle w:val="Zkladntext0"/>
        <w:ind w:left="567"/>
        <w:jc w:val="both"/>
        <w:outlineLvl w:val="0"/>
        <w:rPr>
          <w:rFonts w:ascii="Times New Roman" w:hAnsi="Times New Roman" w:cs="Times New Roman"/>
          <w:b/>
        </w:rPr>
      </w:pPr>
      <w:r w:rsidRPr="00F31D8F">
        <w:rPr>
          <w:rFonts w:ascii="Times New Roman" w:hAnsi="Times New Roman" w:cs="Times New Roman"/>
          <w:b/>
        </w:rPr>
        <w:t>§ 9b</w:t>
      </w:r>
    </w:p>
    <w:p w:rsidR="00BB42F2" w:rsidRPr="00F31D8F" w:rsidRDefault="00BB42F2" w:rsidP="00F31D8F">
      <w:pPr>
        <w:pStyle w:val="Zkladntext0"/>
        <w:ind w:firstLine="567"/>
        <w:jc w:val="both"/>
        <w:outlineLvl w:val="0"/>
        <w:rPr>
          <w:rFonts w:ascii="Times New Roman" w:hAnsi="Times New Roman" w:cs="Times New Roman"/>
        </w:rPr>
      </w:pPr>
      <w:r w:rsidRPr="00F31D8F">
        <w:rPr>
          <w:rFonts w:ascii="Times New Roman" w:hAnsi="Times New Roman" w:cs="Times New Roman"/>
        </w:rPr>
        <w:t>Navrhované znenie tohto ustanovenia upravuje postup finančného riaditeľstva                        a odberateľa identifikačnej látky pri odbere, vrátení identifikačnej látky, podmienky jej reklamácie, vedenie evidencie odberu a použitia identifikačnej látky a stanovujú sa príslušné lehoty pre stanovené povinnosti. Výrobcovi identifikačnej látky sa stanovuje povinnosť uvádzať na spotrebiteľskom balení identifikačnej látky údaj o objeme identifikačnej látky v balení, dátum balenia, lehotu spotreby identifikačnej látky a informáciu o množstve pohonných látok, ktoré je možné označiť jedným litrom identifikačnej látky. Lehotou spotreby identifikačnej látky je lehota odo dňa výroby identifikačnej látky do uplynutia, ktorej je možné bezpečne použiť identifikačnú látku na označenie pohonných látok, aby pohonné látky označené touto identifikačnou látkou boli považované za označené v súlade so zákonom.</w:t>
      </w:r>
    </w:p>
    <w:p w:rsidR="00BB42F2" w:rsidRPr="00F31D8F" w:rsidRDefault="00BB42F2" w:rsidP="00F31D8F">
      <w:pPr>
        <w:pStyle w:val="Zkladntext0"/>
        <w:jc w:val="both"/>
        <w:outlineLvl w:val="0"/>
        <w:rPr>
          <w:rFonts w:ascii="Times New Roman" w:hAnsi="Times New Roman" w:cs="Times New Roman"/>
        </w:rPr>
      </w:pPr>
    </w:p>
    <w:p w:rsidR="00BB42F2" w:rsidRPr="00F31D8F" w:rsidRDefault="00BB42F2" w:rsidP="00F31D8F">
      <w:pPr>
        <w:pStyle w:val="Zkladntext0"/>
        <w:ind w:left="567"/>
        <w:jc w:val="both"/>
        <w:outlineLvl w:val="0"/>
        <w:rPr>
          <w:rFonts w:ascii="Times New Roman" w:hAnsi="Times New Roman" w:cs="Times New Roman"/>
          <w:b/>
        </w:rPr>
      </w:pPr>
      <w:r w:rsidRPr="00F31D8F">
        <w:rPr>
          <w:rFonts w:ascii="Times New Roman" w:hAnsi="Times New Roman" w:cs="Times New Roman"/>
          <w:b/>
        </w:rPr>
        <w:t>§ 9c</w:t>
      </w:r>
    </w:p>
    <w:p w:rsidR="00BB42F2" w:rsidRPr="00F31D8F" w:rsidRDefault="00BB42F2" w:rsidP="00F31D8F">
      <w:pPr>
        <w:pStyle w:val="Zkladntext0"/>
        <w:ind w:firstLine="567"/>
        <w:jc w:val="both"/>
        <w:outlineLvl w:val="0"/>
        <w:rPr>
          <w:rFonts w:ascii="Times New Roman" w:hAnsi="Times New Roman" w:cs="Times New Roman"/>
        </w:rPr>
      </w:pPr>
      <w:r w:rsidRPr="00F31D8F">
        <w:rPr>
          <w:rFonts w:ascii="Times New Roman" w:hAnsi="Times New Roman" w:cs="Times New Roman"/>
        </w:rPr>
        <w:t>Navrhované ustanovenie umožní finančnému riaditeľstvu rozhodnúť o zmene identifikačnej látky, ak bude mať odôvodené podozrenie, že používaná identifikačná látka bola nezákonným spôsobom použitá na označovanie pohonných látok. Zároveň sa stanovuje postup finančného riaditeľstva a odberateľa identifikačnej látky pri zmene identifikačnej látky a spôsob nakladania s pohonnými látkami, ktoré boli označené doterajšou identifikačnou látkou a uvedené do daňového voľného obehu pred dátumom zmeny identifikačnej látky.</w:t>
      </w:r>
    </w:p>
    <w:p w:rsidR="00BB42F2" w:rsidRPr="00F31D8F" w:rsidRDefault="00BB42F2" w:rsidP="00F31D8F">
      <w:pPr>
        <w:jc w:val="both"/>
        <w:rPr>
          <w:bCs/>
        </w:rPr>
      </w:pPr>
    </w:p>
    <w:p w:rsidR="00BB42F2" w:rsidRPr="00F31D8F" w:rsidRDefault="00BB42F2" w:rsidP="00F31D8F">
      <w:pPr>
        <w:autoSpaceDE w:val="0"/>
        <w:autoSpaceDN w:val="0"/>
        <w:adjustRightInd w:val="0"/>
        <w:jc w:val="both"/>
        <w:rPr>
          <w:b/>
          <w:bCs/>
          <w:color w:val="000000"/>
        </w:rPr>
      </w:pPr>
      <w:r w:rsidRPr="00F31D8F">
        <w:rPr>
          <w:b/>
          <w:bCs/>
          <w:color w:val="000000"/>
        </w:rPr>
        <w:t>K bodom 5 a 6</w:t>
      </w:r>
    </w:p>
    <w:p w:rsidR="00BB42F2" w:rsidRPr="00F31D8F" w:rsidRDefault="00BB42F2" w:rsidP="00F31D8F">
      <w:pPr>
        <w:ind w:firstLine="567"/>
        <w:jc w:val="both"/>
      </w:pPr>
      <w:r w:rsidRPr="00F31D8F">
        <w:t>Ustanovenie upravujúce vznik daňovej povinnosti sa dopĺňa o situáciu, ak minerálny olej (motorový benzín a motorová nafta), ktorý má byť označený identifikačnou látkou je predávaný, ponúkaný na predaj, skladovaný alebo prepravovaný bez označenia identifikačnou látkou v požadovanom objeme. Zároveň sa stanovuje, kto je platiteľom dane.</w:t>
      </w:r>
    </w:p>
    <w:p w:rsidR="00BB42F2" w:rsidRPr="00F31D8F" w:rsidRDefault="00BB42F2" w:rsidP="00F31D8F">
      <w:pPr>
        <w:jc w:val="both"/>
        <w:rPr>
          <w:bCs/>
        </w:rPr>
      </w:pPr>
    </w:p>
    <w:p w:rsidR="00BB42F2" w:rsidRPr="00F31D8F" w:rsidRDefault="00BB42F2" w:rsidP="00F31D8F">
      <w:pPr>
        <w:jc w:val="both"/>
      </w:pPr>
      <w:r w:rsidRPr="00F31D8F">
        <w:rPr>
          <w:b/>
          <w:bCs/>
          <w:color w:val="000000"/>
        </w:rPr>
        <w:t>K bodu 8</w:t>
      </w:r>
    </w:p>
    <w:p w:rsidR="00BB42F2" w:rsidRPr="00F31D8F" w:rsidRDefault="00BB42F2" w:rsidP="00F31D8F">
      <w:pPr>
        <w:ind w:firstLine="567"/>
        <w:jc w:val="both"/>
        <w:rPr>
          <w:bCs/>
        </w:rPr>
      </w:pPr>
      <w:r w:rsidRPr="00F31D8F">
        <w:t>Legislatívno-technická úprava, ktorou sa predmetný text zosúlaďuje vo všetkých ustanoveniach v rovnakom znení.</w:t>
      </w:r>
    </w:p>
    <w:p w:rsidR="00BB42F2" w:rsidRPr="00F31D8F" w:rsidRDefault="00BB42F2" w:rsidP="00F31D8F">
      <w:pPr>
        <w:jc w:val="both"/>
        <w:rPr>
          <w:bCs/>
        </w:rPr>
      </w:pPr>
    </w:p>
    <w:p w:rsidR="00BB42F2" w:rsidRPr="00F31D8F" w:rsidRDefault="00BB42F2" w:rsidP="00F31D8F">
      <w:pPr>
        <w:jc w:val="both"/>
        <w:rPr>
          <w:b/>
          <w:bCs/>
          <w:color w:val="000000"/>
        </w:rPr>
      </w:pPr>
      <w:r w:rsidRPr="00F31D8F">
        <w:rPr>
          <w:b/>
          <w:bCs/>
          <w:color w:val="000000"/>
        </w:rPr>
        <w:t>K bodu 9</w:t>
      </w:r>
    </w:p>
    <w:p w:rsidR="00BB42F2" w:rsidRPr="00F31D8F" w:rsidRDefault="00BB42F2" w:rsidP="00F31D8F">
      <w:pPr>
        <w:ind w:firstLine="567"/>
        <w:jc w:val="both"/>
      </w:pPr>
      <w:r w:rsidRPr="00F31D8F">
        <w:rPr>
          <w:bCs/>
          <w:color w:val="000000"/>
        </w:rPr>
        <w:t>Navrhovanou úpravou sa identifikuje</w:t>
      </w:r>
      <w:r w:rsidRPr="00F31D8F">
        <w:t xml:space="preserve"> daňový subjekt, ktorý má v oznámenom mieste priameho dodania sídlo, trvalý pobyt a lebo miesto podnikania.</w:t>
      </w:r>
    </w:p>
    <w:p w:rsidR="00BB42F2" w:rsidRPr="00F31D8F" w:rsidRDefault="00BB42F2" w:rsidP="00F31D8F">
      <w:pPr>
        <w:jc w:val="both"/>
        <w:rPr>
          <w:bCs/>
        </w:rPr>
      </w:pPr>
    </w:p>
    <w:p w:rsidR="00BB42F2" w:rsidRPr="00F31D8F" w:rsidRDefault="00BB42F2" w:rsidP="00F31D8F">
      <w:pPr>
        <w:autoSpaceDE w:val="0"/>
        <w:autoSpaceDN w:val="0"/>
        <w:adjustRightInd w:val="0"/>
        <w:jc w:val="both"/>
        <w:rPr>
          <w:b/>
          <w:bCs/>
          <w:color w:val="000000"/>
        </w:rPr>
      </w:pPr>
      <w:r w:rsidRPr="00F31D8F">
        <w:rPr>
          <w:b/>
          <w:bCs/>
          <w:color w:val="000000"/>
        </w:rPr>
        <w:t>K bodu 11</w:t>
      </w:r>
    </w:p>
    <w:p w:rsidR="00BB42F2" w:rsidRPr="00F31D8F" w:rsidRDefault="00BB42F2" w:rsidP="00F31D8F">
      <w:pPr>
        <w:pStyle w:val="Zkladntext0"/>
        <w:ind w:firstLine="567"/>
        <w:jc w:val="both"/>
        <w:outlineLvl w:val="0"/>
        <w:rPr>
          <w:rFonts w:ascii="Times New Roman" w:hAnsi="Times New Roman" w:cs="Times New Roman"/>
        </w:rPr>
      </w:pPr>
      <w:r w:rsidRPr="00F31D8F">
        <w:rPr>
          <w:rFonts w:ascii="Times New Roman" w:hAnsi="Times New Roman" w:cs="Times New Roman"/>
        </w:rPr>
        <w:t>Legislatívno-technická úprava spresňujúca odkaz na príslušné ustanovenie.</w:t>
      </w:r>
    </w:p>
    <w:p w:rsidR="00F31D8F" w:rsidRPr="00F31D8F" w:rsidRDefault="00F31D8F" w:rsidP="00F31D8F">
      <w:pPr>
        <w:pStyle w:val="Zkladntext0"/>
        <w:jc w:val="both"/>
        <w:outlineLvl w:val="0"/>
        <w:rPr>
          <w:rFonts w:ascii="Times New Roman" w:hAnsi="Times New Roman" w:cs="Times New Roman"/>
        </w:rPr>
      </w:pPr>
    </w:p>
    <w:p w:rsidR="00BB42F2" w:rsidRPr="00F31D8F" w:rsidRDefault="00BB42F2" w:rsidP="00F31D8F">
      <w:pPr>
        <w:autoSpaceDE w:val="0"/>
        <w:autoSpaceDN w:val="0"/>
        <w:adjustRightInd w:val="0"/>
        <w:jc w:val="both"/>
        <w:rPr>
          <w:b/>
          <w:bCs/>
          <w:color w:val="000000"/>
        </w:rPr>
      </w:pPr>
      <w:r w:rsidRPr="00F31D8F">
        <w:rPr>
          <w:b/>
          <w:bCs/>
          <w:color w:val="000000"/>
        </w:rPr>
        <w:t>K bodom 12, 13, 15, 16, 17 a 18</w:t>
      </w:r>
    </w:p>
    <w:p w:rsidR="00BB42F2" w:rsidRPr="00F31D8F" w:rsidRDefault="00BB42F2" w:rsidP="00F31D8F">
      <w:pPr>
        <w:ind w:firstLine="567"/>
        <w:jc w:val="both"/>
      </w:pPr>
      <w:r w:rsidRPr="00F31D8F">
        <w:t>Legislatívno-technické úpravy spresňujúce predmetné ustanovenia.</w:t>
      </w:r>
    </w:p>
    <w:p w:rsidR="00872B1E" w:rsidRDefault="00872B1E" w:rsidP="00F31D8F">
      <w:pPr>
        <w:jc w:val="both"/>
        <w:rPr>
          <w:bCs/>
        </w:rPr>
      </w:pPr>
    </w:p>
    <w:p w:rsidR="00DA259F" w:rsidRDefault="00DA259F" w:rsidP="00F31D8F">
      <w:pPr>
        <w:jc w:val="both"/>
        <w:rPr>
          <w:bCs/>
        </w:rPr>
      </w:pPr>
    </w:p>
    <w:p w:rsidR="000D2788" w:rsidRPr="00F31D8F" w:rsidRDefault="000D2788" w:rsidP="00F31D8F">
      <w:pPr>
        <w:jc w:val="both"/>
        <w:rPr>
          <w:bCs/>
        </w:rPr>
      </w:pPr>
    </w:p>
    <w:p w:rsidR="00BB42F2" w:rsidRPr="00F31D8F" w:rsidRDefault="00BB42F2" w:rsidP="00F31D8F">
      <w:pPr>
        <w:autoSpaceDE w:val="0"/>
        <w:autoSpaceDN w:val="0"/>
        <w:adjustRightInd w:val="0"/>
        <w:jc w:val="both"/>
        <w:rPr>
          <w:b/>
          <w:bCs/>
          <w:color w:val="000000"/>
        </w:rPr>
      </w:pPr>
      <w:r w:rsidRPr="00F31D8F">
        <w:rPr>
          <w:b/>
          <w:bCs/>
          <w:color w:val="000000"/>
        </w:rPr>
        <w:lastRenderedPageBreak/>
        <w:t>K bodu 14</w:t>
      </w:r>
    </w:p>
    <w:p w:rsidR="00BB42F2" w:rsidRPr="00F31D8F" w:rsidRDefault="00BB42F2" w:rsidP="00F31D8F">
      <w:pPr>
        <w:pStyle w:val="Zkladntext0"/>
        <w:ind w:firstLine="567"/>
        <w:jc w:val="both"/>
        <w:outlineLvl w:val="0"/>
        <w:rPr>
          <w:rFonts w:ascii="Times New Roman" w:hAnsi="Times New Roman" w:cs="Times New Roman"/>
        </w:rPr>
      </w:pPr>
      <w:r w:rsidRPr="00F31D8F">
        <w:rPr>
          <w:rFonts w:ascii="Times New Roman" w:hAnsi="Times New Roman" w:cs="Times New Roman"/>
        </w:rPr>
        <w:t>Legislatívno-technická úprava spresňujúca spotrebiteľské balenie.</w:t>
      </w:r>
    </w:p>
    <w:p w:rsidR="00BB42F2" w:rsidRPr="00F31D8F" w:rsidRDefault="00BB42F2" w:rsidP="00F31D8F">
      <w:pPr>
        <w:jc w:val="both"/>
        <w:rPr>
          <w:bCs/>
        </w:rPr>
      </w:pPr>
    </w:p>
    <w:p w:rsidR="00BB42F2" w:rsidRPr="00F31D8F" w:rsidRDefault="00BB42F2" w:rsidP="00F31D8F">
      <w:pPr>
        <w:autoSpaceDE w:val="0"/>
        <w:autoSpaceDN w:val="0"/>
        <w:adjustRightInd w:val="0"/>
        <w:jc w:val="both"/>
        <w:rPr>
          <w:b/>
          <w:bCs/>
          <w:color w:val="000000"/>
        </w:rPr>
      </w:pPr>
      <w:r w:rsidRPr="00F31D8F">
        <w:rPr>
          <w:b/>
          <w:bCs/>
          <w:color w:val="000000"/>
        </w:rPr>
        <w:t>K bodu 19</w:t>
      </w:r>
    </w:p>
    <w:p w:rsidR="00BB42F2" w:rsidRPr="00F31D8F" w:rsidRDefault="00BB42F2" w:rsidP="00F31D8F">
      <w:pPr>
        <w:pStyle w:val="Zkladntext0"/>
        <w:ind w:firstLine="567"/>
        <w:jc w:val="both"/>
        <w:outlineLvl w:val="0"/>
        <w:rPr>
          <w:rFonts w:ascii="Times New Roman" w:hAnsi="Times New Roman" w:cs="Times New Roman"/>
        </w:rPr>
      </w:pPr>
      <w:r w:rsidRPr="00F31D8F">
        <w:rPr>
          <w:rFonts w:ascii="Times New Roman" w:hAnsi="Times New Roman" w:cs="Times New Roman"/>
        </w:rPr>
        <w:t>Navrhovaná úprava umožní Kriminálnemu úradu finančnej správy dočasne pozastaviť uplatňovanie povolenia vo vybraných prípadoch, kedy bolo začaté trestné stíhanie vyšetrovateľom finančnej správy pre podozrenie zo spáchania daňového trestného činu, po dôkladnom zvážení všetkých okolností a len v tých prípadoch, kedy vydaním takého rozhodnutia nebude narušený samotný účel a priebeh trestného konania, prípadne nebude sťažené využitie procesných prostriedkov a postupov v zmysle trestného konania.</w:t>
      </w:r>
    </w:p>
    <w:p w:rsidR="00BB42F2" w:rsidRPr="00F31D8F" w:rsidRDefault="00BB42F2" w:rsidP="00F31D8F">
      <w:pPr>
        <w:jc w:val="both"/>
        <w:rPr>
          <w:bCs/>
        </w:rPr>
      </w:pPr>
    </w:p>
    <w:p w:rsidR="00BB42F2" w:rsidRPr="00F31D8F" w:rsidRDefault="00BB42F2" w:rsidP="00F31D8F">
      <w:pPr>
        <w:jc w:val="both"/>
        <w:rPr>
          <w:b/>
          <w:bCs/>
        </w:rPr>
      </w:pPr>
      <w:r w:rsidRPr="00F31D8F">
        <w:rPr>
          <w:b/>
          <w:bCs/>
        </w:rPr>
        <w:t>K bodom 20, 21, 22, 23, 24, 25, 26 a 31</w:t>
      </w:r>
    </w:p>
    <w:p w:rsidR="00BB42F2" w:rsidRPr="00F31D8F" w:rsidRDefault="00BB42F2" w:rsidP="00F31D8F">
      <w:pPr>
        <w:ind w:firstLine="567"/>
        <w:jc w:val="both"/>
        <w:rPr>
          <w:bCs/>
        </w:rPr>
      </w:pPr>
      <w:r w:rsidRPr="00F31D8F">
        <w:t>Legislatívno-technické úpravy dopĺňajúce a upravujúce vedenie evidencie daňovým subjektom, colným úradom a finančným riaditeľstvom.</w:t>
      </w:r>
    </w:p>
    <w:p w:rsidR="00BB42F2" w:rsidRPr="00F31D8F" w:rsidRDefault="00BB42F2" w:rsidP="00F31D8F">
      <w:pPr>
        <w:jc w:val="both"/>
        <w:rPr>
          <w:bCs/>
        </w:rPr>
      </w:pPr>
    </w:p>
    <w:p w:rsidR="00BB42F2" w:rsidRPr="00F31D8F" w:rsidRDefault="00BB42F2" w:rsidP="00F31D8F">
      <w:pPr>
        <w:autoSpaceDE w:val="0"/>
        <w:autoSpaceDN w:val="0"/>
        <w:adjustRightInd w:val="0"/>
        <w:jc w:val="both"/>
        <w:rPr>
          <w:b/>
          <w:bCs/>
          <w:color w:val="000000"/>
        </w:rPr>
      </w:pPr>
      <w:r w:rsidRPr="00F31D8F">
        <w:rPr>
          <w:b/>
          <w:bCs/>
          <w:color w:val="000000"/>
        </w:rPr>
        <w:t>K bodom 27, 28, 29 a 30</w:t>
      </w:r>
    </w:p>
    <w:p w:rsidR="00BB42F2" w:rsidRPr="00F31D8F" w:rsidRDefault="00BB42F2" w:rsidP="00F31D8F">
      <w:pPr>
        <w:ind w:firstLine="567"/>
        <w:jc w:val="both"/>
        <w:rPr>
          <w:bCs/>
        </w:rPr>
      </w:pPr>
      <w:r w:rsidRPr="00F31D8F">
        <w:rPr>
          <w:bCs/>
        </w:rPr>
        <w:t xml:space="preserve">V súvislosti s navrhovanými zmenami sa primerane upravujú a dopĺňajú skutkové podstaty správnych deliktov a stanovujú sa sankcie za tieto správne delikty. Ustanovuje sa tiež nová sankcia </w:t>
      </w:r>
      <w:r w:rsidRPr="00F31D8F">
        <w:rPr>
          <w:color w:val="000000"/>
        </w:rPr>
        <w:t>vo výške spotrebnej dane pripadajúcej na množstvo pohonných látok</w:t>
      </w:r>
      <w:r w:rsidRPr="00F31D8F">
        <w:t>, ktoré malo byť chýbajúcim množstvom identifikačnej látky označené</w:t>
      </w:r>
      <w:r w:rsidRPr="00F31D8F">
        <w:rPr>
          <w:color w:val="000000"/>
        </w:rPr>
        <w:t xml:space="preserve"> a na výpočet pokuty sa použije sadzba spotrebnej dane na motorový benzín bez obsahu </w:t>
      </w:r>
      <w:proofErr w:type="spellStart"/>
      <w:r w:rsidRPr="00F31D8F">
        <w:rPr>
          <w:color w:val="000000"/>
        </w:rPr>
        <w:t>biozložky</w:t>
      </w:r>
      <w:proofErr w:type="spellEnd"/>
      <w:r w:rsidRPr="00F31D8F">
        <w:rPr>
          <w:color w:val="000000"/>
        </w:rPr>
        <w:t xml:space="preserve"> (§ 6 ods. 1 písm. a) zákona č. 98/2004 Z. z.</w:t>
      </w:r>
    </w:p>
    <w:p w:rsidR="00BB42F2" w:rsidRPr="00F31D8F" w:rsidRDefault="00BB42F2" w:rsidP="00F31D8F">
      <w:pPr>
        <w:jc w:val="both"/>
        <w:rPr>
          <w:bCs/>
        </w:rPr>
      </w:pPr>
    </w:p>
    <w:p w:rsidR="00BB42F2" w:rsidRPr="00F31D8F" w:rsidRDefault="00BB42F2" w:rsidP="00F31D8F">
      <w:pPr>
        <w:autoSpaceDE w:val="0"/>
        <w:autoSpaceDN w:val="0"/>
        <w:adjustRightInd w:val="0"/>
        <w:jc w:val="both"/>
        <w:rPr>
          <w:b/>
          <w:bCs/>
          <w:color w:val="000000"/>
        </w:rPr>
      </w:pPr>
      <w:r w:rsidRPr="00F31D8F">
        <w:rPr>
          <w:b/>
          <w:bCs/>
          <w:color w:val="000000"/>
        </w:rPr>
        <w:t>K bodu 32</w:t>
      </w:r>
    </w:p>
    <w:p w:rsidR="00BB42F2" w:rsidRPr="00F31D8F" w:rsidRDefault="00BB42F2" w:rsidP="00F31D8F">
      <w:pPr>
        <w:ind w:firstLine="567"/>
        <w:jc w:val="both"/>
        <w:rPr>
          <w:color w:val="000000" w:themeColor="text1"/>
        </w:rPr>
      </w:pPr>
      <w:r w:rsidRPr="00F31D8F">
        <w:t>Stanovuje sa, že tento zákon bol prijatý v súlade s právne záväzným aktom Európskej únie v oblasti technických predpisov.</w:t>
      </w:r>
    </w:p>
    <w:p w:rsidR="00BB42F2" w:rsidRPr="00F31D8F" w:rsidRDefault="00BB42F2" w:rsidP="00F31D8F">
      <w:pPr>
        <w:jc w:val="both"/>
        <w:rPr>
          <w:bCs/>
        </w:rPr>
      </w:pPr>
    </w:p>
    <w:p w:rsidR="00BB42F2" w:rsidRPr="00F31D8F" w:rsidRDefault="00BB42F2" w:rsidP="00F31D8F">
      <w:pPr>
        <w:autoSpaceDE w:val="0"/>
        <w:autoSpaceDN w:val="0"/>
        <w:adjustRightInd w:val="0"/>
        <w:jc w:val="both"/>
        <w:rPr>
          <w:b/>
          <w:bCs/>
          <w:color w:val="000000"/>
        </w:rPr>
      </w:pPr>
      <w:r w:rsidRPr="00F31D8F">
        <w:rPr>
          <w:b/>
          <w:bCs/>
          <w:color w:val="000000"/>
        </w:rPr>
        <w:t>K bodu 33</w:t>
      </w:r>
    </w:p>
    <w:p w:rsidR="00BB42F2" w:rsidRPr="00F31D8F" w:rsidRDefault="00BB42F2" w:rsidP="00F31D8F">
      <w:pPr>
        <w:ind w:firstLine="567"/>
        <w:jc w:val="both"/>
        <w:rPr>
          <w:bCs/>
        </w:rPr>
      </w:pPr>
      <w:r w:rsidRPr="00F31D8F">
        <w:rPr>
          <w:rStyle w:val="Zstupntext"/>
          <w:color w:val="000000"/>
        </w:rPr>
        <w:t xml:space="preserve">V súvislosti s navrhovanými zmenami je potrebné upraviť prechodné ustanovenia. Podľa prechodných ustanovení (§ 46r ods. 1 a 2 návrhu zákona) sa stanovuje, že </w:t>
      </w:r>
      <w:r w:rsidRPr="00F31D8F">
        <w:rPr>
          <w:color w:val="000000"/>
        </w:rPr>
        <w:t xml:space="preserve">finančné riaditeľstvo bude môcť po uzatvorení zmluvy o výrobe identifikačnej látky s výrobcom identifikačnej látky určiť obdobie na testovanie označovania </w:t>
      </w:r>
      <w:r w:rsidRPr="00F31D8F">
        <w:t xml:space="preserve">pohonných látok </w:t>
      </w:r>
      <w:r w:rsidRPr="00F31D8F">
        <w:rPr>
          <w:lang w:eastAsia="en-US"/>
        </w:rPr>
        <w:t>identifikačnou látkou</w:t>
      </w:r>
      <w:r w:rsidRPr="00F31D8F">
        <w:rPr>
          <w:color w:val="000000"/>
        </w:rPr>
        <w:t xml:space="preserve">. Začiatok a ukončenie obdobia testovania identifikačnej látky určenej na označovanie pohonných látok </w:t>
      </w:r>
      <w:r w:rsidRPr="00F31D8F">
        <w:rPr>
          <w:color w:val="000000"/>
          <w:shd w:val="clear" w:color="auto" w:fill="FFFFFF"/>
        </w:rPr>
        <w:t>uverejní finančné riaditeľstvo na svojom webovom sídle. Zároveň sa stanovuje, že obdobie určené na vyhodnocovanie testovania finančným riaditeľstvom, t. j. počet dní po dni ukončenia testovania a prvým dňom začatia označovania pohonných látok identifikačnou látkou podľa § 8 nemôže byť menej ako 90 dní.</w:t>
      </w:r>
    </w:p>
    <w:p w:rsidR="00DC53F8" w:rsidRDefault="00DC53F8" w:rsidP="00F31D8F">
      <w:pPr>
        <w:jc w:val="both"/>
        <w:rPr>
          <w:bCs/>
        </w:rPr>
      </w:pPr>
    </w:p>
    <w:p w:rsidR="007922D8" w:rsidRPr="00F31D8F" w:rsidRDefault="007922D8" w:rsidP="00F31D8F">
      <w:pPr>
        <w:jc w:val="both"/>
        <w:rPr>
          <w:bCs/>
        </w:rPr>
      </w:pPr>
    </w:p>
    <w:p w:rsidR="00BB42F2" w:rsidRPr="00F31D8F" w:rsidRDefault="00BB42F2" w:rsidP="00F31D8F">
      <w:pPr>
        <w:jc w:val="both"/>
        <w:rPr>
          <w:b/>
          <w:bCs/>
        </w:rPr>
      </w:pPr>
      <w:r w:rsidRPr="00F31D8F">
        <w:rPr>
          <w:b/>
          <w:bCs/>
        </w:rPr>
        <w:t>K článku II</w:t>
      </w:r>
    </w:p>
    <w:p w:rsidR="00BB42F2" w:rsidRPr="00F31D8F" w:rsidRDefault="00BB42F2" w:rsidP="00F31D8F">
      <w:pPr>
        <w:jc w:val="both"/>
        <w:rPr>
          <w:bCs/>
        </w:rPr>
      </w:pPr>
    </w:p>
    <w:p w:rsidR="00BB42F2" w:rsidRPr="00F31D8F" w:rsidRDefault="00BB42F2" w:rsidP="00F31D8F">
      <w:pPr>
        <w:tabs>
          <w:tab w:val="left" w:pos="284"/>
          <w:tab w:val="left" w:pos="426"/>
          <w:tab w:val="left" w:pos="567"/>
        </w:tabs>
        <w:autoSpaceDE w:val="0"/>
        <w:autoSpaceDN w:val="0"/>
        <w:adjustRightInd w:val="0"/>
        <w:jc w:val="both"/>
      </w:pPr>
      <w:r w:rsidRPr="00F31D8F">
        <w:rPr>
          <w:b/>
        </w:rPr>
        <w:t>K bodu 1</w:t>
      </w:r>
    </w:p>
    <w:p w:rsidR="00BB42F2" w:rsidRDefault="00BB42F2" w:rsidP="00F31D8F">
      <w:pPr>
        <w:pStyle w:val="Odsekzoznamu"/>
        <w:autoSpaceDE w:val="0"/>
        <w:autoSpaceDN w:val="0"/>
        <w:spacing w:after="0" w:line="240" w:lineRule="auto"/>
        <w:ind w:left="0" w:firstLine="567"/>
        <w:jc w:val="both"/>
        <w:rPr>
          <w:rFonts w:ascii="Times New Roman" w:hAnsi="Times New Roman"/>
          <w:sz w:val="24"/>
          <w:szCs w:val="24"/>
        </w:rPr>
      </w:pPr>
      <w:r w:rsidRPr="00F31D8F">
        <w:rPr>
          <w:rFonts w:ascii="Times New Roman" w:hAnsi="Times New Roman"/>
          <w:sz w:val="24"/>
          <w:szCs w:val="24"/>
        </w:rPr>
        <w:t xml:space="preserve">Legislatívno-technická úprava v nadväznosti na úpravu zákona č. 563/2009 Z. z. o správe daní (daňový poriadok) a o zmene a doplnení niektorých zákonov v znení neskorších predpisov. </w:t>
      </w:r>
    </w:p>
    <w:p w:rsidR="00F31D8F" w:rsidRPr="00F31D8F" w:rsidRDefault="00F31D8F" w:rsidP="00F31D8F">
      <w:pPr>
        <w:autoSpaceDE w:val="0"/>
        <w:autoSpaceDN w:val="0"/>
        <w:jc w:val="both"/>
      </w:pPr>
    </w:p>
    <w:p w:rsidR="00BB42F2" w:rsidRPr="00F31D8F" w:rsidRDefault="00BB42F2" w:rsidP="00F31D8F">
      <w:pPr>
        <w:jc w:val="both"/>
        <w:rPr>
          <w:b/>
        </w:rPr>
      </w:pPr>
      <w:r w:rsidRPr="00F31D8F">
        <w:rPr>
          <w:b/>
        </w:rPr>
        <w:t>K bodu 2</w:t>
      </w:r>
    </w:p>
    <w:p w:rsidR="00872B1E" w:rsidRPr="00F31D8F" w:rsidRDefault="00BB42F2" w:rsidP="00F31D8F">
      <w:pPr>
        <w:ind w:firstLine="567"/>
        <w:jc w:val="both"/>
      </w:pPr>
      <w:r w:rsidRPr="00F31D8F">
        <w:t>Legislatívno-technická úprava v nadväznosti na zmeny uvedené v bode 3.</w:t>
      </w:r>
    </w:p>
    <w:p w:rsidR="00DC53F8" w:rsidRDefault="00DC53F8" w:rsidP="00F31D8F">
      <w:pPr>
        <w:jc w:val="both"/>
      </w:pPr>
    </w:p>
    <w:p w:rsidR="00DA259F" w:rsidRPr="00F31D8F" w:rsidRDefault="00DA259F" w:rsidP="00F31D8F">
      <w:pPr>
        <w:jc w:val="both"/>
      </w:pPr>
    </w:p>
    <w:p w:rsidR="00BB42F2" w:rsidRPr="00F31D8F" w:rsidRDefault="00BB42F2" w:rsidP="00F31D8F">
      <w:pPr>
        <w:jc w:val="both"/>
        <w:rPr>
          <w:b/>
        </w:rPr>
      </w:pPr>
      <w:r w:rsidRPr="00F31D8F">
        <w:rPr>
          <w:b/>
        </w:rPr>
        <w:lastRenderedPageBreak/>
        <w:t>K bodu 3</w:t>
      </w:r>
    </w:p>
    <w:p w:rsidR="00BB42F2" w:rsidRPr="00F31D8F" w:rsidRDefault="00BB42F2" w:rsidP="00F31D8F">
      <w:pPr>
        <w:ind w:firstLine="567"/>
        <w:jc w:val="both"/>
      </w:pPr>
      <w:r w:rsidRPr="00F31D8F">
        <w:t xml:space="preserve">V súlade so smernicou sú výživové doplnky s obsahom alkoholického nápoja predmetom dane. Výživové doplnky sú potraviny doplňujúce prirodzenú stravu, ktoré sú koncentrovanými zdrojmi živín s výživovým alebo fyziologickým účinkom a na trh sa umiestňujú v dávkovanej forme tak, aby ich bolo možné brať v odmeraných malých jednotkových množstvách. V súlade so zákonom č. 355/2007 Z. z. o ochrane, podpore a rozvoji verejného zdravia a o zmene a doplnení niektorých zákonov v znení neskorších predpisov osoby, ktoré chcú umiestňovať výživový doplnok na trh sú povinné plniť oznamovaciu povinnosť voči Úradu verejného zdravotníctva SR o zložení a označovaní výživových doplnkov. </w:t>
      </w:r>
    </w:p>
    <w:p w:rsidR="00BB42F2" w:rsidRPr="00F31D8F" w:rsidRDefault="00BB42F2" w:rsidP="00F31D8F">
      <w:pPr>
        <w:jc w:val="both"/>
      </w:pPr>
      <w:r w:rsidRPr="00F31D8F">
        <w:t>Z dôvodu špecifických podmienok súvisiacich s výrobou výživových doplnkov a v snahe racionalizovať výkon správy dane sa ustanovuje ich výroba v novom type daňového skladu.    V daňovom sklade na výrobu výživových doplnkov bude možné vyrábať extrakty a </w:t>
      </w:r>
      <w:proofErr w:type="spellStart"/>
      <w:r w:rsidRPr="00F31D8F">
        <w:t>maceráty</w:t>
      </w:r>
      <w:proofErr w:type="spellEnd"/>
      <w:r w:rsidRPr="00F31D8F">
        <w:t xml:space="preserve"> a dodávať ich iba na účely oslobodené od dane alebo na výrobu výživových doplnkov. Prevádzkovateľ daňového skladu na výrobu výživových doplnkov má povinnosť zložiť zábezpeku na daň vo výške dane pripadajúcej na množstvo alkoholického nápoja, ktorý používa, alebo predpokladá použiť počas jedného kalendárneho mesiaca. Prítomnosť správcu dane v tomto daňovom sklade sa nevyžaduje a upúšťa sa aj od povinnosti označiť výživový doplnok s obsahom liehu v spotrebiteľskom balení liehu kontrolnou známkou. Na zabezpečenie správneho fungovania kontrolných mechanizmov sa ustanovuje dôsledné vedenie evidencie o prijatom alkoholickom nápoji, jeho použití na výrobu výživových doplnkov, dodaní, predaji a stave zásob.</w:t>
      </w:r>
    </w:p>
    <w:p w:rsidR="00BB42F2" w:rsidRPr="00F31D8F" w:rsidRDefault="00BB42F2" w:rsidP="00F31D8F">
      <w:pPr>
        <w:jc w:val="both"/>
      </w:pPr>
      <w:r w:rsidRPr="00F31D8F">
        <w:t xml:space="preserve">Zároveň sa ustanovuje, že prevádzkovateľ daňového skladu, ktorý má vydané povolenie podľa § 15 zákona č. 530/2011 Z. z. a chce vyrábať výživové doplnky nie je povinný požiadať o vydanie povolenia na prevádzkovanie daňového skladu na výrobu výživových doplnkov. </w:t>
      </w:r>
    </w:p>
    <w:p w:rsidR="00BB42F2" w:rsidRPr="00F31D8F" w:rsidRDefault="00BB42F2" w:rsidP="00F31D8F">
      <w:pPr>
        <w:jc w:val="both"/>
      </w:pPr>
    </w:p>
    <w:p w:rsidR="00BB42F2" w:rsidRPr="00F31D8F" w:rsidRDefault="00BB42F2" w:rsidP="00F31D8F">
      <w:pPr>
        <w:jc w:val="both"/>
        <w:rPr>
          <w:b/>
        </w:rPr>
      </w:pPr>
      <w:r w:rsidRPr="00F31D8F">
        <w:rPr>
          <w:b/>
        </w:rPr>
        <w:t>K bodom 4 a 7</w:t>
      </w:r>
    </w:p>
    <w:p w:rsidR="00BB42F2" w:rsidRPr="00F31D8F" w:rsidRDefault="00BB42F2" w:rsidP="00F31D8F">
      <w:pPr>
        <w:ind w:firstLine="567"/>
        <w:jc w:val="both"/>
      </w:pPr>
      <w:r w:rsidRPr="00F31D8F">
        <w:t>Legislatívno-technická úprava v nadväznosti na zmenu v bode 1.</w:t>
      </w:r>
    </w:p>
    <w:p w:rsidR="00BB42F2" w:rsidRPr="00F31D8F" w:rsidRDefault="00BB42F2" w:rsidP="00F31D8F">
      <w:pPr>
        <w:jc w:val="both"/>
        <w:rPr>
          <w:b/>
        </w:rPr>
      </w:pPr>
    </w:p>
    <w:p w:rsidR="00BB42F2" w:rsidRPr="00F31D8F" w:rsidRDefault="00BB42F2" w:rsidP="00F31D8F">
      <w:pPr>
        <w:jc w:val="both"/>
        <w:rPr>
          <w:b/>
        </w:rPr>
      </w:pPr>
      <w:r w:rsidRPr="00F31D8F">
        <w:rPr>
          <w:b/>
        </w:rPr>
        <w:t>K bodom 5, 6 a 12</w:t>
      </w:r>
    </w:p>
    <w:p w:rsidR="00BB42F2" w:rsidRPr="00F31D8F" w:rsidRDefault="00BB42F2" w:rsidP="00F31D8F">
      <w:pPr>
        <w:ind w:firstLine="567"/>
        <w:jc w:val="both"/>
      </w:pPr>
      <w:r w:rsidRPr="00F31D8F">
        <w:t>Dopĺňa sa finančnému riaditeľstvu, colnému úradu a prevádzkovateľovi daňového skladu na výrobu výživových doplnkov povinnosť viesť evidenciu.</w:t>
      </w:r>
    </w:p>
    <w:p w:rsidR="00BB42F2" w:rsidRPr="00F31D8F" w:rsidRDefault="00BB42F2" w:rsidP="00F31D8F">
      <w:pPr>
        <w:jc w:val="both"/>
      </w:pPr>
    </w:p>
    <w:p w:rsidR="00BB42F2" w:rsidRPr="00F31D8F" w:rsidRDefault="00BB42F2" w:rsidP="00F31D8F">
      <w:pPr>
        <w:jc w:val="both"/>
        <w:rPr>
          <w:b/>
        </w:rPr>
      </w:pPr>
      <w:r w:rsidRPr="00F31D8F">
        <w:rPr>
          <w:b/>
        </w:rPr>
        <w:t>K bodu 8, 13 a 14</w:t>
      </w:r>
    </w:p>
    <w:p w:rsidR="00BB42F2" w:rsidRPr="00F31D8F" w:rsidRDefault="00BB42F2" w:rsidP="00F31D8F">
      <w:pPr>
        <w:ind w:firstLine="567"/>
        <w:jc w:val="both"/>
      </w:pPr>
      <w:r w:rsidRPr="00F31D8F">
        <w:t>Legislatívno-technická úprava súvisiaca so zavedením zdanenia výživových doplnkov.</w:t>
      </w:r>
    </w:p>
    <w:p w:rsidR="00BB42F2" w:rsidRPr="00F31D8F" w:rsidRDefault="00BB42F2" w:rsidP="00F31D8F">
      <w:pPr>
        <w:jc w:val="both"/>
        <w:rPr>
          <w:b/>
        </w:rPr>
      </w:pPr>
    </w:p>
    <w:p w:rsidR="00BB42F2" w:rsidRPr="00F31D8F" w:rsidRDefault="00BB42F2" w:rsidP="00F31D8F">
      <w:pPr>
        <w:jc w:val="both"/>
        <w:rPr>
          <w:b/>
        </w:rPr>
      </w:pPr>
      <w:r w:rsidRPr="00F31D8F">
        <w:rPr>
          <w:b/>
        </w:rPr>
        <w:t>K bodu 9</w:t>
      </w:r>
    </w:p>
    <w:p w:rsidR="00BB42F2" w:rsidRPr="00F31D8F" w:rsidRDefault="00BB42F2" w:rsidP="00F31D8F">
      <w:pPr>
        <w:ind w:firstLine="567"/>
        <w:jc w:val="both"/>
      </w:pPr>
      <w:r w:rsidRPr="00F31D8F">
        <w:t>Legislatívno-technická úprava z dôvodu možnosti vyrábať výživové doplnky v iných typoch daňových skladov.</w:t>
      </w:r>
    </w:p>
    <w:p w:rsidR="00BB42F2" w:rsidRPr="00F31D8F" w:rsidRDefault="00BB42F2" w:rsidP="00F31D8F">
      <w:pPr>
        <w:jc w:val="both"/>
      </w:pPr>
    </w:p>
    <w:p w:rsidR="00BB42F2" w:rsidRPr="00F31D8F" w:rsidRDefault="00BB42F2" w:rsidP="00F31D8F">
      <w:pPr>
        <w:jc w:val="both"/>
        <w:rPr>
          <w:b/>
        </w:rPr>
      </w:pPr>
      <w:r w:rsidRPr="00F31D8F">
        <w:rPr>
          <w:b/>
        </w:rPr>
        <w:t>K bodu 10</w:t>
      </w:r>
    </w:p>
    <w:p w:rsidR="00BB42F2" w:rsidRPr="00F31D8F" w:rsidRDefault="00BB42F2" w:rsidP="00F31D8F">
      <w:pPr>
        <w:ind w:firstLine="567"/>
        <w:jc w:val="both"/>
      </w:pPr>
      <w:r w:rsidRPr="00F31D8F">
        <w:t>Upravuje sa povinnosť označovať spotrebiteľské balenie liehu kontrolnou známkou tak, aby sa nevzťahovala na výživové doplnky.</w:t>
      </w:r>
    </w:p>
    <w:p w:rsidR="00F31D8F" w:rsidRPr="00F31D8F" w:rsidRDefault="00F31D8F" w:rsidP="00F31D8F">
      <w:pPr>
        <w:jc w:val="both"/>
      </w:pPr>
    </w:p>
    <w:p w:rsidR="00BB42F2" w:rsidRPr="00F31D8F" w:rsidRDefault="00BB42F2" w:rsidP="00F31D8F">
      <w:pPr>
        <w:jc w:val="both"/>
        <w:rPr>
          <w:b/>
        </w:rPr>
      </w:pPr>
      <w:r w:rsidRPr="00F31D8F">
        <w:rPr>
          <w:b/>
        </w:rPr>
        <w:t>K bodu 11</w:t>
      </w:r>
    </w:p>
    <w:p w:rsidR="00BB42F2" w:rsidRPr="00F31D8F" w:rsidRDefault="00BB42F2" w:rsidP="00F31D8F">
      <w:pPr>
        <w:ind w:firstLine="567"/>
        <w:jc w:val="both"/>
      </w:pPr>
      <w:r w:rsidRPr="00F31D8F">
        <w:t>Z dôvodu špecifického charakteru výživových doplnkov, ktoré sa predávajú najmä v lekárňach, v snahe predchádzať administratívnej záťaži podnikateľských subjektov, ktoré vyrábajú a predávajú iba výživové doplnky, sa upúšťa od povinnosti mať pri predaji týchto výrobkov vydané povolenie na predaj spotrebiteľského balenia v daňovom voľnom obehu alebo byť držiteľom oprávnenia na distribúciu spotrebiteľského balenia v daňovom voľnom obehu iným prevádzkovateľom obchodných živností.</w:t>
      </w:r>
    </w:p>
    <w:p w:rsidR="00BB42F2" w:rsidRPr="00F31D8F" w:rsidRDefault="00BB42F2" w:rsidP="00F31D8F">
      <w:pPr>
        <w:jc w:val="both"/>
        <w:rPr>
          <w:b/>
        </w:rPr>
      </w:pPr>
      <w:r w:rsidRPr="00F31D8F">
        <w:rPr>
          <w:b/>
        </w:rPr>
        <w:lastRenderedPageBreak/>
        <w:t>K bodu 15</w:t>
      </w:r>
    </w:p>
    <w:p w:rsidR="00BB42F2" w:rsidRPr="00F31D8F" w:rsidRDefault="00BB42F2" w:rsidP="00F31D8F">
      <w:pPr>
        <w:ind w:firstLine="567"/>
        <w:jc w:val="both"/>
      </w:pPr>
      <w:r w:rsidRPr="00F31D8F">
        <w:t>Legislatívno-technická úprava v nadväznosti na zmeny uvedené v bode 3.</w:t>
      </w:r>
    </w:p>
    <w:p w:rsidR="00BB42F2" w:rsidRPr="00F31D8F" w:rsidRDefault="00BB42F2" w:rsidP="00F31D8F">
      <w:pPr>
        <w:jc w:val="both"/>
        <w:rPr>
          <w:b/>
        </w:rPr>
      </w:pPr>
    </w:p>
    <w:p w:rsidR="00BB42F2" w:rsidRPr="00F31D8F" w:rsidRDefault="00BB42F2" w:rsidP="00F31D8F">
      <w:pPr>
        <w:jc w:val="both"/>
        <w:rPr>
          <w:b/>
        </w:rPr>
      </w:pPr>
      <w:r w:rsidRPr="00F31D8F">
        <w:rPr>
          <w:b/>
        </w:rPr>
        <w:t>K bodom 16 a 17</w:t>
      </w:r>
    </w:p>
    <w:p w:rsidR="00BB42F2" w:rsidRPr="00F31D8F" w:rsidRDefault="00BB42F2" w:rsidP="00F31D8F">
      <w:pPr>
        <w:ind w:firstLine="567"/>
        <w:jc w:val="both"/>
      </w:pPr>
      <w:r w:rsidRPr="00F31D8F">
        <w:t xml:space="preserve">V súvislosti so zavedením nového typu daňového skladu sa ustanovujú sankcie a pokuty za porušenie povinností súvisiacich s prevádzkovaním daňového skladu na výrobu výživových doplnkov. </w:t>
      </w:r>
    </w:p>
    <w:p w:rsidR="00BB42F2" w:rsidRPr="00F31D8F" w:rsidRDefault="00BB42F2" w:rsidP="00F31D8F">
      <w:pPr>
        <w:jc w:val="both"/>
      </w:pPr>
    </w:p>
    <w:p w:rsidR="00BB42F2" w:rsidRPr="00F31D8F" w:rsidRDefault="00BB42F2" w:rsidP="00F31D8F">
      <w:pPr>
        <w:jc w:val="both"/>
        <w:rPr>
          <w:b/>
        </w:rPr>
      </w:pPr>
      <w:r w:rsidRPr="00F31D8F">
        <w:rPr>
          <w:b/>
        </w:rPr>
        <w:t>K bodu 18</w:t>
      </w:r>
    </w:p>
    <w:p w:rsidR="00BB42F2" w:rsidRPr="00F31D8F" w:rsidRDefault="00BB42F2" w:rsidP="00F31D8F">
      <w:pPr>
        <w:ind w:firstLine="567"/>
        <w:jc w:val="both"/>
      </w:pPr>
      <w:r w:rsidRPr="00F31D8F">
        <w:t xml:space="preserve">V nadväznosti na vykonané zmeny sa ustanovujú prechodné ustanovenia upravujúce povinnosti osôb, ktoré chcú prevádzkovať daňový sklad na výrobu výživových doplnkov. Zároveň sa ustanovujú povinnosti pre užívateľské podniky, ktoré vyrábali výživové doplnky z liehu oslobodeného od dane a chcú byť prevádzkovateľmi daňového skladu na výrobu výživových doplnkov, prípadne ak sa rozhodnú ukončiť svoju činnosť. Výživové doplnky vyrobené s použitím alkoholického nápoja oslobodeného od dane je možné predávať do vypredania zásob. </w:t>
      </w:r>
    </w:p>
    <w:p w:rsidR="00BB42F2" w:rsidRPr="00F31D8F" w:rsidRDefault="00BB42F2" w:rsidP="00F31D8F">
      <w:pPr>
        <w:jc w:val="both"/>
        <w:rPr>
          <w:bCs/>
        </w:rPr>
      </w:pPr>
    </w:p>
    <w:p w:rsidR="00BB42F2" w:rsidRPr="00F31D8F" w:rsidRDefault="00BB42F2" w:rsidP="00F31D8F">
      <w:pPr>
        <w:jc w:val="both"/>
        <w:rPr>
          <w:bCs/>
        </w:rPr>
      </w:pPr>
    </w:p>
    <w:p w:rsidR="00BB42F2" w:rsidRPr="00F31D8F" w:rsidRDefault="00BB42F2" w:rsidP="00F31D8F">
      <w:pPr>
        <w:jc w:val="both"/>
        <w:rPr>
          <w:b/>
          <w:bCs/>
        </w:rPr>
      </w:pPr>
      <w:r w:rsidRPr="00F31D8F">
        <w:rPr>
          <w:b/>
          <w:bCs/>
        </w:rPr>
        <w:t>K článku III</w:t>
      </w:r>
    </w:p>
    <w:p w:rsidR="00BB42F2" w:rsidRPr="00F31D8F" w:rsidRDefault="00BB42F2" w:rsidP="00F31D8F">
      <w:pPr>
        <w:pStyle w:val="Zkladntext0"/>
        <w:shd w:val="clear" w:color="auto" w:fill="FFFFFF"/>
        <w:jc w:val="both"/>
        <w:rPr>
          <w:rFonts w:ascii="Times New Roman" w:hAnsi="Times New Roman" w:cs="Times New Roman"/>
        </w:rPr>
      </w:pPr>
    </w:p>
    <w:p w:rsidR="00BB42F2" w:rsidRPr="00F31D8F" w:rsidRDefault="00BB42F2" w:rsidP="00F31D8F">
      <w:pPr>
        <w:pStyle w:val="Odsekzoznamu"/>
        <w:shd w:val="clear" w:color="auto" w:fill="FFFFFF"/>
        <w:spacing w:after="0" w:line="240" w:lineRule="auto"/>
        <w:ind w:left="0" w:firstLine="567"/>
        <w:jc w:val="both"/>
        <w:rPr>
          <w:rFonts w:ascii="Times New Roman" w:hAnsi="Times New Roman"/>
          <w:bCs/>
          <w:color w:val="000000"/>
          <w:sz w:val="24"/>
          <w:szCs w:val="24"/>
        </w:rPr>
      </w:pPr>
      <w:r w:rsidRPr="00F31D8F">
        <w:rPr>
          <w:rFonts w:ascii="Times New Roman" w:hAnsi="Times New Roman"/>
          <w:color w:val="000000"/>
          <w:sz w:val="24"/>
          <w:szCs w:val="24"/>
        </w:rPr>
        <w:t xml:space="preserve">Tento zákon nadobúda účinnosť 1. januára 2019 okrem čl. </w:t>
      </w:r>
      <w:r w:rsidRPr="00F31D8F">
        <w:rPr>
          <w:rFonts w:ascii="Times New Roman" w:hAnsi="Times New Roman"/>
          <w:sz w:val="24"/>
          <w:szCs w:val="24"/>
        </w:rPr>
        <w:t xml:space="preserve">I bodu 4 § 9 ods. 1 až 5 a ods. 6 písm. b) až d), ktorý nadobúda účinnosť 1. marca 2019, </w:t>
      </w:r>
      <w:r w:rsidRPr="00F31D8F">
        <w:rPr>
          <w:rFonts w:ascii="Times New Roman" w:hAnsi="Times New Roman"/>
          <w:color w:val="000000"/>
          <w:sz w:val="24"/>
          <w:szCs w:val="24"/>
        </w:rPr>
        <w:t xml:space="preserve">čl. II bodov 1 až 15, ktoré nadobúdajú účinnosť 1. mája 2019 a čl. I bodu 4 § 8, </w:t>
      </w:r>
      <w:r w:rsidRPr="00F31D8F">
        <w:rPr>
          <w:rFonts w:ascii="Times New Roman" w:hAnsi="Times New Roman"/>
          <w:sz w:val="24"/>
          <w:szCs w:val="24"/>
        </w:rPr>
        <w:t xml:space="preserve">§ 9 ods. 6 písm. a), </w:t>
      </w:r>
      <w:r w:rsidRPr="00F31D8F">
        <w:rPr>
          <w:rFonts w:ascii="Times New Roman" w:hAnsi="Times New Roman"/>
          <w:color w:val="000000"/>
          <w:sz w:val="24"/>
          <w:szCs w:val="24"/>
        </w:rPr>
        <w:t xml:space="preserve">§ 9b a 9c a bodov 5, 6, 14, 15, 20, 21, 22, 25 až 30 a 32, ktoré nadobúdajú účinnosť prvým dňom kalendárneho mesiaca nasledujúceho po kalendárnom mesiaci, v ktorom </w:t>
      </w:r>
      <w:r w:rsidRPr="00F31D8F">
        <w:rPr>
          <w:rFonts w:ascii="Times New Roman" w:hAnsi="Times New Roman"/>
          <w:color w:val="000000"/>
          <w:sz w:val="24"/>
          <w:szCs w:val="24"/>
          <w:shd w:val="clear" w:color="auto" w:fill="FFFFFF"/>
        </w:rPr>
        <w:t>finančné riaditeľstvo uverejnilo na svojom webovom sídle oznámenie o začatí označovania minerálneho oleja</w:t>
      </w:r>
      <w:r w:rsidRPr="00F31D8F">
        <w:rPr>
          <w:rFonts w:ascii="Times New Roman" w:hAnsi="Times New Roman"/>
          <w:color w:val="000000"/>
          <w:sz w:val="24"/>
          <w:szCs w:val="24"/>
        </w:rPr>
        <w:t xml:space="preserve"> uvedeného v </w:t>
      </w:r>
      <w:r w:rsidR="00051675" w:rsidRPr="00F31D8F">
        <w:rPr>
          <w:rFonts w:ascii="Times New Roman" w:hAnsi="Times New Roman"/>
          <w:color w:val="000000"/>
          <w:sz w:val="24"/>
          <w:szCs w:val="24"/>
        </w:rPr>
        <w:t xml:space="preserve">§ 6 ods. 1  písm. a) a d) alebo </w:t>
      </w:r>
      <w:r w:rsidRPr="00F31D8F">
        <w:rPr>
          <w:rFonts w:ascii="Times New Roman" w:hAnsi="Times New Roman"/>
          <w:color w:val="000000"/>
          <w:sz w:val="24"/>
          <w:szCs w:val="24"/>
        </w:rPr>
        <w:t>v § 7 ods. 1 a </w:t>
      </w:r>
      <w:r w:rsidRPr="00F31D8F">
        <w:rPr>
          <w:rFonts w:ascii="Times New Roman" w:hAnsi="Times New Roman"/>
          <w:color w:val="000000"/>
          <w:sz w:val="24"/>
          <w:szCs w:val="24"/>
          <w:shd w:val="clear" w:color="auto" w:fill="FFFFFF"/>
        </w:rPr>
        <w:t>2 identifikačnou látkou.</w:t>
      </w:r>
    </w:p>
    <w:p w:rsidR="00BB42F2" w:rsidRPr="00F31D8F" w:rsidRDefault="00BB42F2" w:rsidP="00F31D8F">
      <w:pPr>
        <w:pStyle w:val="Zkladntext0"/>
        <w:jc w:val="both"/>
        <w:rPr>
          <w:rFonts w:ascii="Times New Roman" w:hAnsi="Times New Roman" w:cs="Times New Roman"/>
        </w:rPr>
      </w:pPr>
    </w:p>
    <w:p w:rsidR="00BB42F2" w:rsidRPr="00F31D8F" w:rsidRDefault="00BB42F2" w:rsidP="00F31D8F"/>
    <w:p w:rsidR="00C906D5" w:rsidRPr="00F31D8F" w:rsidRDefault="00C906D5" w:rsidP="00F31D8F">
      <w:pPr>
        <w:tabs>
          <w:tab w:val="num" w:pos="1080"/>
        </w:tabs>
        <w:jc w:val="both"/>
        <w:rPr>
          <w:bCs/>
        </w:rPr>
      </w:pPr>
    </w:p>
    <w:p w:rsidR="00C906D5" w:rsidRPr="00F31D8F" w:rsidRDefault="00C906D5" w:rsidP="00F31D8F">
      <w:pPr>
        <w:autoSpaceDE w:val="0"/>
        <w:autoSpaceDN w:val="0"/>
        <w:ind w:firstLine="567"/>
        <w:jc w:val="both"/>
        <w:rPr>
          <w:color w:val="000000"/>
        </w:rPr>
      </w:pPr>
      <w:r w:rsidRPr="00F31D8F">
        <w:rPr>
          <w:color w:val="000000"/>
        </w:rPr>
        <w:t>Schválené vládou Slovenskej republiky dňa 26. septembra 2018.</w:t>
      </w:r>
    </w:p>
    <w:p w:rsidR="00C906D5" w:rsidRPr="00F31D8F" w:rsidRDefault="00C906D5" w:rsidP="00F31D8F">
      <w:pPr>
        <w:autoSpaceDE w:val="0"/>
        <w:autoSpaceDN w:val="0"/>
        <w:rPr>
          <w:color w:val="000000"/>
        </w:rPr>
      </w:pPr>
    </w:p>
    <w:p w:rsidR="00C906D5" w:rsidRPr="00F31D8F" w:rsidRDefault="00C906D5" w:rsidP="00F31D8F">
      <w:pPr>
        <w:autoSpaceDE w:val="0"/>
        <w:autoSpaceDN w:val="0"/>
        <w:rPr>
          <w:color w:val="000000"/>
        </w:rPr>
      </w:pPr>
    </w:p>
    <w:p w:rsidR="00C906D5" w:rsidRPr="00F31D8F" w:rsidRDefault="00C906D5" w:rsidP="00F31D8F">
      <w:pPr>
        <w:autoSpaceDE w:val="0"/>
        <w:autoSpaceDN w:val="0"/>
        <w:rPr>
          <w:color w:val="000000"/>
        </w:rPr>
      </w:pPr>
    </w:p>
    <w:p w:rsidR="00C906D5" w:rsidRPr="00F31D8F" w:rsidRDefault="00C906D5" w:rsidP="00F31D8F">
      <w:pPr>
        <w:autoSpaceDE w:val="0"/>
        <w:autoSpaceDN w:val="0"/>
        <w:jc w:val="center"/>
        <w:rPr>
          <w:bCs/>
          <w:color w:val="000000"/>
        </w:rPr>
      </w:pPr>
      <w:r w:rsidRPr="00F31D8F">
        <w:rPr>
          <w:bCs/>
          <w:color w:val="000000"/>
        </w:rPr>
        <w:t xml:space="preserve">Peter </w:t>
      </w:r>
      <w:proofErr w:type="spellStart"/>
      <w:r w:rsidRPr="00F31D8F">
        <w:rPr>
          <w:bCs/>
          <w:color w:val="000000"/>
        </w:rPr>
        <w:t>Pellegrini</w:t>
      </w:r>
      <w:proofErr w:type="spellEnd"/>
      <w:r w:rsidR="007E6DDF">
        <w:rPr>
          <w:bCs/>
          <w:color w:val="000000"/>
        </w:rPr>
        <w:t>, v. r.</w:t>
      </w:r>
    </w:p>
    <w:p w:rsidR="00C906D5" w:rsidRPr="00F31D8F" w:rsidRDefault="00C906D5" w:rsidP="00F31D8F">
      <w:pPr>
        <w:autoSpaceDE w:val="0"/>
        <w:autoSpaceDN w:val="0"/>
        <w:jc w:val="center"/>
        <w:rPr>
          <w:color w:val="000000"/>
        </w:rPr>
      </w:pPr>
      <w:r w:rsidRPr="00F31D8F">
        <w:rPr>
          <w:color w:val="000000"/>
        </w:rPr>
        <w:t>predseda vlády Slovenskej republiky</w:t>
      </w:r>
    </w:p>
    <w:p w:rsidR="00C906D5" w:rsidRPr="00F31D8F" w:rsidRDefault="00C906D5" w:rsidP="00F31D8F">
      <w:pPr>
        <w:autoSpaceDE w:val="0"/>
        <w:autoSpaceDN w:val="0"/>
        <w:jc w:val="both"/>
        <w:rPr>
          <w:color w:val="000000"/>
        </w:rPr>
      </w:pPr>
    </w:p>
    <w:p w:rsidR="00C906D5" w:rsidRPr="00F31D8F" w:rsidRDefault="00C906D5" w:rsidP="00F31D8F">
      <w:pPr>
        <w:autoSpaceDE w:val="0"/>
        <w:autoSpaceDN w:val="0"/>
        <w:jc w:val="both"/>
        <w:rPr>
          <w:color w:val="000000"/>
        </w:rPr>
      </w:pPr>
    </w:p>
    <w:p w:rsidR="00C906D5" w:rsidRPr="00F31D8F" w:rsidRDefault="00C906D5" w:rsidP="00F31D8F">
      <w:pPr>
        <w:autoSpaceDE w:val="0"/>
        <w:autoSpaceDN w:val="0"/>
        <w:jc w:val="both"/>
        <w:rPr>
          <w:color w:val="000000"/>
        </w:rPr>
      </w:pPr>
    </w:p>
    <w:p w:rsidR="00C906D5" w:rsidRPr="00F31D8F" w:rsidRDefault="00C906D5" w:rsidP="00F31D8F">
      <w:pPr>
        <w:autoSpaceDE w:val="0"/>
        <w:autoSpaceDN w:val="0"/>
        <w:jc w:val="center"/>
        <w:rPr>
          <w:bCs/>
          <w:color w:val="000000"/>
        </w:rPr>
      </w:pPr>
      <w:r w:rsidRPr="00F31D8F">
        <w:rPr>
          <w:bCs/>
          <w:color w:val="000000"/>
        </w:rPr>
        <w:t xml:space="preserve">Peter </w:t>
      </w:r>
      <w:proofErr w:type="spellStart"/>
      <w:r w:rsidRPr="00F31D8F">
        <w:rPr>
          <w:bCs/>
          <w:color w:val="000000"/>
        </w:rPr>
        <w:t>Kažimír</w:t>
      </w:r>
      <w:proofErr w:type="spellEnd"/>
      <w:r w:rsidR="007E6DDF">
        <w:rPr>
          <w:bCs/>
          <w:color w:val="000000"/>
        </w:rPr>
        <w:t>, v. r.</w:t>
      </w:r>
    </w:p>
    <w:p w:rsidR="00BB42F2" w:rsidRPr="00F31D8F" w:rsidRDefault="00C906D5" w:rsidP="00F31D8F">
      <w:pPr>
        <w:autoSpaceDE w:val="0"/>
        <w:autoSpaceDN w:val="0"/>
        <w:jc w:val="center"/>
      </w:pPr>
      <w:r w:rsidRPr="00F31D8F">
        <w:rPr>
          <w:color w:val="000000"/>
        </w:rPr>
        <w:t xml:space="preserve">podpredseda vlády a minister financií </w:t>
      </w:r>
      <w:r w:rsidRPr="00F31D8F">
        <w:t>Slovenskej republiky</w:t>
      </w:r>
    </w:p>
    <w:sectPr w:rsidR="00BB42F2" w:rsidRPr="00F31D8F" w:rsidSect="00E204E4">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5BB0" w:rsidRDefault="00675BB0">
      <w:r>
        <w:separator/>
      </w:r>
    </w:p>
  </w:endnote>
  <w:endnote w:type="continuationSeparator" w:id="0">
    <w:p w:rsidR="00675BB0" w:rsidRDefault="00675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Vrinda">
    <w:panose1 w:val="020B0502040204020203"/>
    <w:charset w:val="00"/>
    <w:family w:val="swiss"/>
    <w:pitch w:val="variable"/>
    <w:sig w:usb0="00010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altName w:val="Century Gothic"/>
    <w:panose1 w:val="020B0606020202030204"/>
    <w:charset w:val="EE"/>
    <w:family w:val="swiss"/>
    <w:pitch w:val="variable"/>
    <w:sig w:usb0="00000287" w:usb1="00000800" w:usb2="00000000" w:usb3="00000000" w:csb0="0000009F" w:csb1="00000000"/>
  </w:font>
  <w:font w:name="EUAlbertina">
    <w:altName w:val="Times New Roman"/>
    <w:panose1 w:val="00000000000000000000"/>
    <w:charset w:val="00"/>
    <w:family w:val="auto"/>
    <w:notTrueType/>
    <w:pitch w:val="default"/>
    <w:sig w:usb0="00000003" w:usb1="00000000" w:usb2="00000000" w:usb3="00000000" w:csb0="00000001" w:csb1="00000000"/>
  </w:font>
  <w:font w:name="Tahoma">
    <w:altName w:val="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2788" w:rsidRDefault="000D2788">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10</w:t>
    </w:r>
    <w:r>
      <w:rPr>
        <w:rStyle w:val="slostrany"/>
      </w:rPr>
      <w:fldChar w:fldCharType="end"/>
    </w:r>
  </w:p>
  <w:p w:rsidR="000D2788" w:rsidRDefault="000D2788">
    <w:pPr>
      <w:pStyle w:val="Pt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2788" w:rsidRDefault="000D2788" w:rsidP="00683255">
    <w:pPr>
      <w:pStyle w:val="Pta"/>
      <w:jc w:val="center"/>
    </w:pPr>
    <w:r>
      <w:fldChar w:fldCharType="begin"/>
    </w:r>
    <w:r>
      <w:instrText>PAGE   \* MERGEFORMAT</w:instrText>
    </w:r>
    <w:r>
      <w:fldChar w:fldCharType="separate"/>
    </w:r>
    <w:r w:rsidR="00983C89">
      <w:rPr>
        <w:noProof/>
      </w:rPr>
      <w:t>21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2788" w:rsidRDefault="000D2788">
    <w:pPr>
      <w:pStyle w:val="Pta"/>
      <w:jc w:val="right"/>
    </w:pPr>
    <w:r>
      <w:fldChar w:fldCharType="begin"/>
    </w:r>
    <w:r>
      <w:instrText>PAGE   \* MERGEFORMAT</w:instrText>
    </w:r>
    <w:r>
      <w:fldChar w:fldCharType="separate"/>
    </w:r>
    <w:r>
      <w:rPr>
        <w:noProof/>
      </w:rPr>
      <w:t>0</w:t>
    </w:r>
    <w:r>
      <w:fldChar w:fldCharType="end"/>
    </w:r>
  </w:p>
  <w:p w:rsidR="000D2788" w:rsidRDefault="000D2788">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5BB0" w:rsidRDefault="00675BB0">
      <w:r>
        <w:separator/>
      </w:r>
    </w:p>
  </w:footnote>
  <w:footnote w:type="continuationSeparator" w:id="0">
    <w:p w:rsidR="00675BB0" w:rsidRDefault="00675B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2788" w:rsidRDefault="000D2788" w:rsidP="00EB59C8">
    <w:pPr>
      <w:pStyle w:val="Hlavika"/>
      <w:jc w:val="right"/>
      <w:rPr>
        <w:sz w:val="24"/>
        <w:szCs w:val="24"/>
      </w:rPr>
    </w:pPr>
    <w:r>
      <w:rPr>
        <w:sz w:val="24"/>
        <w:szCs w:val="24"/>
      </w:rPr>
      <w:t>Príloha č. 2</w:t>
    </w:r>
  </w:p>
  <w:p w:rsidR="000D2788" w:rsidRPr="00EB59C8" w:rsidRDefault="000D2788" w:rsidP="00EB59C8">
    <w:pPr>
      <w:pStyle w:val="Hlavika"/>
      <w:jc w:val="right"/>
      <w:rPr>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2788" w:rsidRPr="000A15AE" w:rsidRDefault="000D2788" w:rsidP="000A15AE">
    <w:pPr>
      <w:pStyle w:val="Hlavika"/>
      <w:jc w:val="right"/>
      <w:rPr>
        <w:sz w:val="24"/>
        <w:szCs w:val="24"/>
      </w:rPr>
    </w:pPr>
    <w:r>
      <w:rPr>
        <w:sz w:val="24"/>
        <w:szCs w:val="24"/>
      </w:rPr>
      <w:t>Príloha č. 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FDE2882A"/>
    <w:lvl w:ilvl="0">
      <w:start w:val="1"/>
      <w:numFmt w:val="decimal"/>
      <w:pStyle w:val="Nadpis1"/>
      <w:lvlText w:val="%1."/>
      <w:lvlJc w:val="left"/>
      <w:pPr>
        <w:tabs>
          <w:tab w:val="num" w:pos="0"/>
        </w:tabs>
        <w:ind w:left="720" w:hanging="720"/>
      </w:pPr>
      <w:rPr>
        <w:rFonts w:ascii="Times New Roman" w:hAnsi="Times New Roman" w:cs="Times New Roman" w:hint="default"/>
        <w:b w:val="0"/>
        <w:bCs w:val="0"/>
        <w:i w:val="0"/>
        <w:color w:val="auto"/>
        <w:sz w:val="22"/>
      </w:rPr>
    </w:lvl>
    <w:lvl w:ilvl="1">
      <w:start w:val="1"/>
      <w:numFmt w:val="decimal"/>
      <w:pStyle w:val="Nadpis2"/>
      <w:lvlText w:val="%1.%2"/>
      <w:lvlJc w:val="left"/>
      <w:pPr>
        <w:tabs>
          <w:tab w:val="num" w:pos="0"/>
        </w:tabs>
        <w:ind w:left="720" w:hanging="720"/>
      </w:pPr>
      <w:rPr>
        <w:rFonts w:ascii="Times New Roman" w:hAnsi="Times New Roman" w:cs="Times New Roman" w:hint="default"/>
        <w:b w:val="0"/>
        <w:i w:val="0"/>
        <w:color w:val="auto"/>
        <w:sz w:val="22"/>
      </w:rPr>
    </w:lvl>
    <w:lvl w:ilvl="2">
      <w:start w:val="1"/>
      <w:numFmt w:val="decimal"/>
      <w:pStyle w:val="Nadpis3"/>
      <w:lvlText w:val="%1.%2.%3"/>
      <w:lvlJc w:val="left"/>
      <w:pPr>
        <w:tabs>
          <w:tab w:val="num" w:pos="0"/>
        </w:tabs>
        <w:ind w:left="720" w:hanging="720"/>
      </w:pPr>
      <w:rPr>
        <w:rFonts w:ascii="Times New Roman" w:hAnsi="Times New Roman" w:cs="Times New Roman" w:hint="default"/>
        <w:b w:val="0"/>
        <w:i w:val="0"/>
        <w:color w:val="auto"/>
        <w:sz w:val="22"/>
      </w:rPr>
    </w:lvl>
    <w:lvl w:ilvl="3">
      <w:start w:val="1"/>
      <w:numFmt w:val="decimal"/>
      <w:pStyle w:val="Nadpis4"/>
      <w:lvlText w:val="%1.%2.%3.%4"/>
      <w:lvlJc w:val="left"/>
      <w:pPr>
        <w:tabs>
          <w:tab w:val="num" w:pos="0"/>
        </w:tabs>
        <w:ind w:left="720" w:hanging="720"/>
      </w:pPr>
      <w:rPr>
        <w:rFonts w:ascii="Times New Roman" w:hAnsi="Times New Roman" w:cs="Times New Roman" w:hint="default"/>
        <w:b w:val="0"/>
        <w:i w:val="0"/>
        <w:color w:val="auto"/>
        <w:sz w:val="22"/>
      </w:rPr>
    </w:lvl>
    <w:lvl w:ilvl="4">
      <w:start w:val="1"/>
      <w:numFmt w:val="decimal"/>
      <w:pStyle w:val="Nadpis5"/>
      <w:lvlText w:val="%1.%2.%3.%4.%5"/>
      <w:lvlJc w:val="left"/>
      <w:pPr>
        <w:tabs>
          <w:tab w:val="num" w:pos="0"/>
        </w:tabs>
      </w:pPr>
      <w:rPr>
        <w:rFonts w:cs="Times New Roman" w:hint="default"/>
      </w:rPr>
    </w:lvl>
    <w:lvl w:ilvl="5">
      <w:start w:val="1"/>
      <w:numFmt w:val="decimal"/>
      <w:pStyle w:val="Nadpis6"/>
      <w:lvlText w:val="%1.%2.%3.%4.%5.%6"/>
      <w:lvlJc w:val="left"/>
      <w:pPr>
        <w:tabs>
          <w:tab w:val="num" w:pos="0"/>
        </w:tabs>
      </w:pPr>
      <w:rPr>
        <w:rFonts w:cs="Times New Roman" w:hint="default"/>
      </w:rPr>
    </w:lvl>
    <w:lvl w:ilvl="6">
      <w:start w:val="1"/>
      <w:numFmt w:val="decimal"/>
      <w:pStyle w:val="Nadpis7"/>
      <w:lvlText w:val="%1.%2.%3.%4.%5.%6.%7"/>
      <w:lvlJc w:val="left"/>
      <w:pPr>
        <w:tabs>
          <w:tab w:val="num" w:pos="0"/>
        </w:tabs>
      </w:pPr>
      <w:rPr>
        <w:rFonts w:cs="Times New Roman" w:hint="default"/>
      </w:rPr>
    </w:lvl>
    <w:lvl w:ilvl="7">
      <w:start w:val="1"/>
      <w:numFmt w:val="decimal"/>
      <w:pStyle w:val="Nadpis8"/>
      <w:lvlText w:val="%1.%2.%3.%4.%5.%6.%7.%8"/>
      <w:lvlJc w:val="left"/>
      <w:pPr>
        <w:tabs>
          <w:tab w:val="num" w:pos="0"/>
        </w:tabs>
      </w:pPr>
      <w:rPr>
        <w:rFonts w:cs="Times New Roman" w:hint="default"/>
      </w:rPr>
    </w:lvl>
    <w:lvl w:ilvl="8">
      <w:start w:val="1"/>
      <w:numFmt w:val="decimal"/>
      <w:pStyle w:val="Nadpis9"/>
      <w:lvlText w:val="%1.%2.%3.%4.%5.%6.%7.%8.%9"/>
      <w:lvlJc w:val="left"/>
      <w:pPr>
        <w:tabs>
          <w:tab w:val="num" w:pos="0"/>
        </w:tabs>
      </w:pPr>
      <w:rPr>
        <w:rFonts w:cs="Times New Roman" w:hint="default"/>
      </w:rPr>
    </w:lvl>
  </w:abstractNum>
  <w:abstractNum w:abstractNumId="1" w15:restartNumberingAfterBreak="0">
    <w:nsid w:val="0193146C"/>
    <w:multiLevelType w:val="hybridMultilevel"/>
    <w:tmpl w:val="44528930"/>
    <w:lvl w:ilvl="0" w:tplc="041B0017">
      <w:start w:val="1"/>
      <w:numFmt w:val="lowerLetter"/>
      <w:lvlText w:val="%1)"/>
      <w:lvlJc w:val="left"/>
      <w:pPr>
        <w:tabs>
          <w:tab w:val="num" w:pos="785"/>
        </w:tabs>
        <w:ind w:left="785" w:hanging="360"/>
      </w:pPr>
      <w:rPr>
        <w:rFonts w:cs="Times New Roman"/>
      </w:rPr>
    </w:lvl>
    <w:lvl w:ilvl="1" w:tplc="041B0019">
      <w:start w:val="1"/>
      <w:numFmt w:val="lowerLetter"/>
      <w:lvlText w:val="%2."/>
      <w:lvlJc w:val="left"/>
      <w:pPr>
        <w:tabs>
          <w:tab w:val="num" w:pos="1505"/>
        </w:tabs>
        <w:ind w:left="1505" w:hanging="360"/>
      </w:pPr>
      <w:rPr>
        <w:rFonts w:cs="Times New Roman"/>
      </w:rPr>
    </w:lvl>
    <w:lvl w:ilvl="2" w:tplc="041B001B">
      <w:start w:val="1"/>
      <w:numFmt w:val="lowerRoman"/>
      <w:lvlText w:val="%3."/>
      <w:lvlJc w:val="right"/>
      <w:pPr>
        <w:tabs>
          <w:tab w:val="num" w:pos="2225"/>
        </w:tabs>
        <w:ind w:left="2225" w:hanging="180"/>
      </w:pPr>
      <w:rPr>
        <w:rFonts w:cs="Times New Roman"/>
      </w:rPr>
    </w:lvl>
    <w:lvl w:ilvl="3" w:tplc="041B000F">
      <w:start w:val="1"/>
      <w:numFmt w:val="decimal"/>
      <w:lvlText w:val="%4."/>
      <w:lvlJc w:val="left"/>
      <w:pPr>
        <w:tabs>
          <w:tab w:val="num" w:pos="2945"/>
        </w:tabs>
        <w:ind w:left="2945" w:hanging="360"/>
      </w:pPr>
      <w:rPr>
        <w:rFonts w:cs="Times New Roman"/>
      </w:rPr>
    </w:lvl>
    <w:lvl w:ilvl="4" w:tplc="041B0019">
      <w:start w:val="1"/>
      <w:numFmt w:val="lowerLetter"/>
      <w:lvlText w:val="%5."/>
      <w:lvlJc w:val="left"/>
      <w:pPr>
        <w:tabs>
          <w:tab w:val="num" w:pos="3665"/>
        </w:tabs>
        <w:ind w:left="3665" w:hanging="360"/>
      </w:pPr>
      <w:rPr>
        <w:rFonts w:cs="Times New Roman"/>
      </w:rPr>
    </w:lvl>
    <w:lvl w:ilvl="5" w:tplc="041B001B">
      <w:start w:val="1"/>
      <w:numFmt w:val="lowerRoman"/>
      <w:lvlText w:val="%6."/>
      <w:lvlJc w:val="right"/>
      <w:pPr>
        <w:tabs>
          <w:tab w:val="num" w:pos="4385"/>
        </w:tabs>
        <w:ind w:left="4385" w:hanging="180"/>
      </w:pPr>
      <w:rPr>
        <w:rFonts w:cs="Times New Roman"/>
      </w:rPr>
    </w:lvl>
    <w:lvl w:ilvl="6" w:tplc="041B000F">
      <w:start w:val="1"/>
      <w:numFmt w:val="decimal"/>
      <w:lvlText w:val="%7."/>
      <w:lvlJc w:val="left"/>
      <w:pPr>
        <w:tabs>
          <w:tab w:val="num" w:pos="5105"/>
        </w:tabs>
        <w:ind w:left="5105" w:hanging="360"/>
      </w:pPr>
      <w:rPr>
        <w:rFonts w:cs="Times New Roman"/>
      </w:rPr>
    </w:lvl>
    <w:lvl w:ilvl="7" w:tplc="041B0019">
      <w:start w:val="1"/>
      <w:numFmt w:val="lowerLetter"/>
      <w:lvlText w:val="%8."/>
      <w:lvlJc w:val="left"/>
      <w:pPr>
        <w:tabs>
          <w:tab w:val="num" w:pos="5825"/>
        </w:tabs>
        <w:ind w:left="5825" w:hanging="360"/>
      </w:pPr>
      <w:rPr>
        <w:rFonts w:cs="Times New Roman"/>
      </w:rPr>
    </w:lvl>
    <w:lvl w:ilvl="8" w:tplc="041B001B">
      <w:start w:val="1"/>
      <w:numFmt w:val="lowerRoman"/>
      <w:lvlText w:val="%9."/>
      <w:lvlJc w:val="right"/>
      <w:pPr>
        <w:tabs>
          <w:tab w:val="num" w:pos="6545"/>
        </w:tabs>
        <w:ind w:left="6545" w:hanging="180"/>
      </w:pPr>
      <w:rPr>
        <w:rFonts w:cs="Times New Roman"/>
      </w:rPr>
    </w:lvl>
  </w:abstractNum>
  <w:abstractNum w:abstractNumId="2" w15:restartNumberingAfterBreak="0">
    <w:nsid w:val="05C32B79"/>
    <w:multiLevelType w:val="hybridMultilevel"/>
    <w:tmpl w:val="EA1CC516"/>
    <w:lvl w:ilvl="0" w:tplc="4EA685C2">
      <w:start w:val="1"/>
      <w:numFmt w:val="decimal"/>
      <w:lvlText w:val="(%1)"/>
      <w:lvlJc w:val="left"/>
      <w:pPr>
        <w:ind w:left="1050" w:hanging="360"/>
      </w:pPr>
      <w:rPr>
        <w:rFonts w:cs="Times New Roman" w:hint="default"/>
      </w:rPr>
    </w:lvl>
    <w:lvl w:ilvl="1" w:tplc="041B0019" w:tentative="1">
      <w:start w:val="1"/>
      <w:numFmt w:val="lowerLetter"/>
      <w:lvlText w:val="%2."/>
      <w:lvlJc w:val="left"/>
      <w:pPr>
        <w:ind w:left="1770" w:hanging="360"/>
      </w:pPr>
      <w:rPr>
        <w:rFonts w:cs="Times New Roman"/>
      </w:rPr>
    </w:lvl>
    <w:lvl w:ilvl="2" w:tplc="041B001B" w:tentative="1">
      <w:start w:val="1"/>
      <w:numFmt w:val="lowerRoman"/>
      <w:lvlText w:val="%3."/>
      <w:lvlJc w:val="right"/>
      <w:pPr>
        <w:ind w:left="2490" w:hanging="180"/>
      </w:pPr>
      <w:rPr>
        <w:rFonts w:cs="Times New Roman"/>
      </w:rPr>
    </w:lvl>
    <w:lvl w:ilvl="3" w:tplc="041B000F" w:tentative="1">
      <w:start w:val="1"/>
      <w:numFmt w:val="decimal"/>
      <w:lvlText w:val="%4."/>
      <w:lvlJc w:val="left"/>
      <w:pPr>
        <w:ind w:left="3210" w:hanging="360"/>
      </w:pPr>
      <w:rPr>
        <w:rFonts w:cs="Times New Roman"/>
      </w:rPr>
    </w:lvl>
    <w:lvl w:ilvl="4" w:tplc="041B0019" w:tentative="1">
      <w:start w:val="1"/>
      <w:numFmt w:val="lowerLetter"/>
      <w:lvlText w:val="%5."/>
      <w:lvlJc w:val="left"/>
      <w:pPr>
        <w:ind w:left="3930" w:hanging="360"/>
      </w:pPr>
      <w:rPr>
        <w:rFonts w:cs="Times New Roman"/>
      </w:rPr>
    </w:lvl>
    <w:lvl w:ilvl="5" w:tplc="041B001B" w:tentative="1">
      <w:start w:val="1"/>
      <w:numFmt w:val="lowerRoman"/>
      <w:lvlText w:val="%6."/>
      <w:lvlJc w:val="right"/>
      <w:pPr>
        <w:ind w:left="4650" w:hanging="180"/>
      </w:pPr>
      <w:rPr>
        <w:rFonts w:cs="Times New Roman"/>
      </w:rPr>
    </w:lvl>
    <w:lvl w:ilvl="6" w:tplc="041B000F" w:tentative="1">
      <w:start w:val="1"/>
      <w:numFmt w:val="decimal"/>
      <w:lvlText w:val="%7."/>
      <w:lvlJc w:val="left"/>
      <w:pPr>
        <w:ind w:left="5370" w:hanging="360"/>
      </w:pPr>
      <w:rPr>
        <w:rFonts w:cs="Times New Roman"/>
      </w:rPr>
    </w:lvl>
    <w:lvl w:ilvl="7" w:tplc="041B0019" w:tentative="1">
      <w:start w:val="1"/>
      <w:numFmt w:val="lowerLetter"/>
      <w:lvlText w:val="%8."/>
      <w:lvlJc w:val="left"/>
      <w:pPr>
        <w:ind w:left="6090" w:hanging="360"/>
      </w:pPr>
      <w:rPr>
        <w:rFonts w:cs="Times New Roman"/>
      </w:rPr>
    </w:lvl>
    <w:lvl w:ilvl="8" w:tplc="041B001B" w:tentative="1">
      <w:start w:val="1"/>
      <w:numFmt w:val="lowerRoman"/>
      <w:lvlText w:val="%9."/>
      <w:lvlJc w:val="right"/>
      <w:pPr>
        <w:ind w:left="6810" w:hanging="180"/>
      </w:pPr>
      <w:rPr>
        <w:rFonts w:cs="Times New Roman"/>
      </w:rPr>
    </w:lvl>
  </w:abstractNum>
  <w:abstractNum w:abstractNumId="3" w15:restartNumberingAfterBreak="0">
    <w:nsid w:val="069D5631"/>
    <w:multiLevelType w:val="hybridMultilevel"/>
    <w:tmpl w:val="8A822DFA"/>
    <w:lvl w:ilvl="0" w:tplc="6CDEDDF4">
      <w:start w:val="180"/>
      <w:numFmt w:val="bullet"/>
      <w:lvlText w:val="-"/>
      <w:lvlJc w:val="left"/>
      <w:pPr>
        <w:ind w:left="786" w:hanging="360"/>
      </w:pPr>
      <w:rPr>
        <w:rFonts w:ascii="Vrinda" w:eastAsia="Times New Roman" w:hAnsi="Vrinda" w:hint="default"/>
      </w:rPr>
    </w:lvl>
    <w:lvl w:ilvl="1" w:tplc="041B0003" w:tentative="1">
      <w:start w:val="1"/>
      <w:numFmt w:val="bullet"/>
      <w:lvlText w:val="o"/>
      <w:lvlJc w:val="left"/>
      <w:pPr>
        <w:ind w:left="1506" w:hanging="360"/>
      </w:pPr>
      <w:rPr>
        <w:rFonts w:ascii="Courier New" w:hAnsi="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4" w15:restartNumberingAfterBreak="0">
    <w:nsid w:val="0B562028"/>
    <w:multiLevelType w:val="hybridMultilevel"/>
    <w:tmpl w:val="B3FA1F10"/>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0BF72464"/>
    <w:multiLevelType w:val="hybridMultilevel"/>
    <w:tmpl w:val="B032DB40"/>
    <w:lvl w:ilvl="0" w:tplc="041B000F">
      <w:start w:val="1"/>
      <w:numFmt w:val="decimal"/>
      <w:lvlText w:val="%1."/>
      <w:lvlJc w:val="left"/>
      <w:pPr>
        <w:ind w:left="1854" w:hanging="360"/>
      </w:pPr>
      <w:rPr>
        <w:rFonts w:cs="Times New Roman"/>
      </w:rPr>
    </w:lvl>
    <w:lvl w:ilvl="1" w:tplc="041B0019" w:tentative="1">
      <w:start w:val="1"/>
      <w:numFmt w:val="lowerLetter"/>
      <w:lvlText w:val="%2."/>
      <w:lvlJc w:val="left"/>
      <w:pPr>
        <w:ind w:left="2574" w:hanging="360"/>
      </w:pPr>
      <w:rPr>
        <w:rFonts w:cs="Times New Roman"/>
      </w:rPr>
    </w:lvl>
    <w:lvl w:ilvl="2" w:tplc="041B001B" w:tentative="1">
      <w:start w:val="1"/>
      <w:numFmt w:val="lowerRoman"/>
      <w:lvlText w:val="%3."/>
      <w:lvlJc w:val="right"/>
      <w:pPr>
        <w:ind w:left="3294" w:hanging="180"/>
      </w:pPr>
      <w:rPr>
        <w:rFonts w:cs="Times New Roman"/>
      </w:rPr>
    </w:lvl>
    <w:lvl w:ilvl="3" w:tplc="041B000F" w:tentative="1">
      <w:start w:val="1"/>
      <w:numFmt w:val="decimal"/>
      <w:lvlText w:val="%4."/>
      <w:lvlJc w:val="left"/>
      <w:pPr>
        <w:ind w:left="4014" w:hanging="360"/>
      </w:pPr>
      <w:rPr>
        <w:rFonts w:cs="Times New Roman"/>
      </w:rPr>
    </w:lvl>
    <w:lvl w:ilvl="4" w:tplc="041B0019" w:tentative="1">
      <w:start w:val="1"/>
      <w:numFmt w:val="lowerLetter"/>
      <w:lvlText w:val="%5."/>
      <w:lvlJc w:val="left"/>
      <w:pPr>
        <w:ind w:left="4734" w:hanging="360"/>
      </w:pPr>
      <w:rPr>
        <w:rFonts w:cs="Times New Roman"/>
      </w:rPr>
    </w:lvl>
    <w:lvl w:ilvl="5" w:tplc="041B001B" w:tentative="1">
      <w:start w:val="1"/>
      <w:numFmt w:val="lowerRoman"/>
      <w:lvlText w:val="%6."/>
      <w:lvlJc w:val="right"/>
      <w:pPr>
        <w:ind w:left="5454" w:hanging="180"/>
      </w:pPr>
      <w:rPr>
        <w:rFonts w:cs="Times New Roman"/>
      </w:rPr>
    </w:lvl>
    <w:lvl w:ilvl="6" w:tplc="041B000F" w:tentative="1">
      <w:start w:val="1"/>
      <w:numFmt w:val="decimal"/>
      <w:lvlText w:val="%7."/>
      <w:lvlJc w:val="left"/>
      <w:pPr>
        <w:ind w:left="6174" w:hanging="360"/>
      </w:pPr>
      <w:rPr>
        <w:rFonts w:cs="Times New Roman"/>
      </w:rPr>
    </w:lvl>
    <w:lvl w:ilvl="7" w:tplc="041B0019" w:tentative="1">
      <w:start w:val="1"/>
      <w:numFmt w:val="lowerLetter"/>
      <w:lvlText w:val="%8."/>
      <w:lvlJc w:val="left"/>
      <w:pPr>
        <w:ind w:left="6894" w:hanging="360"/>
      </w:pPr>
      <w:rPr>
        <w:rFonts w:cs="Times New Roman"/>
      </w:rPr>
    </w:lvl>
    <w:lvl w:ilvl="8" w:tplc="041B001B" w:tentative="1">
      <w:start w:val="1"/>
      <w:numFmt w:val="lowerRoman"/>
      <w:lvlText w:val="%9."/>
      <w:lvlJc w:val="right"/>
      <w:pPr>
        <w:ind w:left="7614" w:hanging="180"/>
      </w:pPr>
      <w:rPr>
        <w:rFonts w:cs="Times New Roman"/>
      </w:rPr>
    </w:lvl>
  </w:abstractNum>
  <w:abstractNum w:abstractNumId="6" w15:restartNumberingAfterBreak="0">
    <w:nsid w:val="0CD741B6"/>
    <w:multiLevelType w:val="hybridMultilevel"/>
    <w:tmpl w:val="06040940"/>
    <w:lvl w:ilvl="0" w:tplc="1FE27210">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BA0443"/>
    <w:multiLevelType w:val="hybridMultilevel"/>
    <w:tmpl w:val="9D46EE18"/>
    <w:lvl w:ilvl="0" w:tplc="A244BBA8">
      <w:start w:val="180"/>
      <w:numFmt w:val="bullet"/>
      <w:lvlText w:val="-"/>
      <w:lvlJc w:val="left"/>
      <w:pPr>
        <w:ind w:left="786" w:hanging="360"/>
      </w:pPr>
      <w:rPr>
        <w:rFonts w:ascii="Times New Roman" w:eastAsia="Times New Roman" w:hAnsi="Times New Roman" w:hint="default"/>
      </w:rPr>
    </w:lvl>
    <w:lvl w:ilvl="1" w:tplc="041B0003" w:tentative="1">
      <w:start w:val="1"/>
      <w:numFmt w:val="bullet"/>
      <w:lvlText w:val="o"/>
      <w:lvlJc w:val="left"/>
      <w:pPr>
        <w:ind w:left="1506" w:hanging="360"/>
      </w:pPr>
      <w:rPr>
        <w:rFonts w:ascii="Courier New" w:hAnsi="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8" w15:restartNumberingAfterBreak="0">
    <w:nsid w:val="1D3F2D1F"/>
    <w:multiLevelType w:val="hybridMultilevel"/>
    <w:tmpl w:val="2976140A"/>
    <w:lvl w:ilvl="0" w:tplc="CCCEB200">
      <w:start w:val="6"/>
      <w:numFmt w:val="bullet"/>
      <w:lvlText w:val="-"/>
      <w:lvlJc w:val="left"/>
      <w:pPr>
        <w:tabs>
          <w:tab w:val="num" w:pos="900"/>
        </w:tabs>
        <w:ind w:left="900" w:hanging="360"/>
      </w:pPr>
      <w:rPr>
        <w:rFonts w:ascii="Times New Roman" w:eastAsia="Times New Roman" w:hAnsi="Times New Roman"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49398F"/>
    <w:multiLevelType w:val="hybridMultilevel"/>
    <w:tmpl w:val="B7DABB3E"/>
    <w:lvl w:ilvl="0" w:tplc="65A00F2E">
      <w:numFmt w:val="bullet"/>
      <w:lvlText w:val="-"/>
      <w:lvlJc w:val="left"/>
      <w:pPr>
        <w:ind w:left="927" w:hanging="360"/>
      </w:pPr>
      <w:rPr>
        <w:rFonts w:ascii="Vrinda" w:eastAsia="Times New Roman" w:hAnsi="Vrinda" w:hint="default"/>
      </w:rPr>
    </w:lvl>
    <w:lvl w:ilvl="1" w:tplc="041B0003" w:tentative="1">
      <w:start w:val="1"/>
      <w:numFmt w:val="bullet"/>
      <w:lvlText w:val="o"/>
      <w:lvlJc w:val="left"/>
      <w:pPr>
        <w:ind w:left="1647" w:hanging="360"/>
      </w:pPr>
      <w:rPr>
        <w:rFonts w:ascii="Courier New" w:hAnsi="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10" w15:restartNumberingAfterBreak="0">
    <w:nsid w:val="22AB3620"/>
    <w:multiLevelType w:val="hybridMultilevel"/>
    <w:tmpl w:val="8F7896C6"/>
    <w:lvl w:ilvl="0" w:tplc="8EB09F4C">
      <w:start w:val="1"/>
      <w:numFmt w:val="lowerLetter"/>
      <w:lvlText w:val="%1)"/>
      <w:lvlJc w:val="left"/>
      <w:pPr>
        <w:ind w:left="1080" w:hanging="360"/>
      </w:pPr>
      <w:rPr>
        <w:rFonts w:cs="Times New Roman" w:hint="default"/>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11" w15:restartNumberingAfterBreak="0">
    <w:nsid w:val="22C638D4"/>
    <w:multiLevelType w:val="hybridMultilevel"/>
    <w:tmpl w:val="B3428C96"/>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22EC70E7"/>
    <w:multiLevelType w:val="hybridMultilevel"/>
    <w:tmpl w:val="2FD8FA24"/>
    <w:lvl w:ilvl="0" w:tplc="1FE27210">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DF61D3"/>
    <w:multiLevelType w:val="hybridMultilevel"/>
    <w:tmpl w:val="AFCCC618"/>
    <w:lvl w:ilvl="0" w:tplc="1FE27210">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2AAF48FE"/>
    <w:multiLevelType w:val="hybridMultilevel"/>
    <w:tmpl w:val="BC5ED20C"/>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15:restartNumberingAfterBreak="0">
    <w:nsid w:val="2BC4277B"/>
    <w:multiLevelType w:val="hybridMultilevel"/>
    <w:tmpl w:val="089ECF00"/>
    <w:lvl w:ilvl="0" w:tplc="6DD2AAFC">
      <w:numFmt w:val="bullet"/>
      <w:lvlText w:val="−"/>
      <w:lvlJc w:val="left"/>
      <w:pPr>
        <w:ind w:left="720" w:hanging="360"/>
      </w:pPr>
      <w:rPr>
        <w:rFonts w:ascii="Arial Narrow" w:eastAsia="Times New Roman" w:hAnsi="Arial Narrow" w:hint="default"/>
      </w:rPr>
    </w:lvl>
    <w:lvl w:ilvl="1" w:tplc="041B0003">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36D12712"/>
    <w:multiLevelType w:val="hybridMultilevel"/>
    <w:tmpl w:val="93661344"/>
    <w:lvl w:ilvl="0" w:tplc="1FE27210">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72840F4"/>
    <w:multiLevelType w:val="hybridMultilevel"/>
    <w:tmpl w:val="142E6B6C"/>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8" w15:restartNumberingAfterBreak="0">
    <w:nsid w:val="388F1604"/>
    <w:multiLevelType w:val="hybridMultilevel"/>
    <w:tmpl w:val="8160D0CC"/>
    <w:lvl w:ilvl="0" w:tplc="EC285C2C">
      <w:numFmt w:val="bullet"/>
      <w:lvlText w:val="–"/>
      <w:lvlJc w:val="left"/>
      <w:pPr>
        <w:ind w:left="927" w:hanging="360"/>
      </w:pPr>
      <w:rPr>
        <w:rFonts w:ascii="Times New Roman" w:eastAsia="Times New Roman" w:hAnsi="Times New Roman" w:hint="default"/>
        <w:color w:val="auto"/>
      </w:rPr>
    </w:lvl>
    <w:lvl w:ilvl="1" w:tplc="041B0003" w:tentative="1">
      <w:start w:val="1"/>
      <w:numFmt w:val="bullet"/>
      <w:lvlText w:val="o"/>
      <w:lvlJc w:val="left"/>
      <w:pPr>
        <w:ind w:left="1647" w:hanging="360"/>
      </w:pPr>
      <w:rPr>
        <w:rFonts w:ascii="Courier New" w:hAnsi="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19" w15:restartNumberingAfterBreak="0">
    <w:nsid w:val="393B50DD"/>
    <w:multiLevelType w:val="hybridMultilevel"/>
    <w:tmpl w:val="BC5ED20C"/>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0" w15:restartNumberingAfterBreak="0">
    <w:nsid w:val="39EC5582"/>
    <w:multiLevelType w:val="hybridMultilevel"/>
    <w:tmpl w:val="8E387646"/>
    <w:lvl w:ilvl="0" w:tplc="1EF4D4EA">
      <w:numFmt w:val="bullet"/>
      <w:lvlText w:val="-"/>
      <w:lvlJc w:val="left"/>
      <w:pPr>
        <w:ind w:left="720" w:hanging="360"/>
      </w:pPr>
      <w:rPr>
        <w:rFonts w:ascii="Vrinda" w:eastAsia="Times New Roman" w:hAnsi="Vrinda"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3D26213A"/>
    <w:multiLevelType w:val="hybridMultilevel"/>
    <w:tmpl w:val="BE14BFD4"/>
    <w:lvl w:ilvl="0" w:tplc="3BFA3EE2">
      <w:numFmt w:val="bullet"/>
      <w:lvlText w:val="-"/>
      <w:lvlJc w:val="left"/>
      <w:pPr>
        <w:ind w:left="720" w:hanging="360"/>
      </w:pPr>
      <w:rPr>
        <w:rFonts w:ascii="Vrinda" w:eastAsia="Times New Roman" w:hAnsi="Vrinda"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22" w15:restartNumberingAfterBreak="0">
    <w:nsid w:val="40BB08A6"/>
    <w:multiLevelType w:val="hybridMultilevel"/>
    <w:tmpl w:val="1FB241BC"/>
    <w:lvl w:ilvl="0" w:tplc="CCCEB200">
      <w:start w:val="6"/>
      <w:numFmt w:val="bullet"/>
      <w:lvlText w:val="-"/>
      <w:lvlJc w:val="left"/>
      <w:pPr>
        <w:tabs>
          <w:tab w:val="num" w:pos="900"/>
        </w:tabs>
        <w:ind w:left="900" w:hanging="360"/>
      </w:pPr>
      <w:rPr>
        <w:rFonts w:ascii="Times New Roman" w:eastAsia="Times New Roman" w:hAnsi="Times New Roman" w:hint="default"/>
      </w:rPr>
    </w:lvl>
    <w:lvl w:ilvl="1" w:tplc="041B0003">
      <w:start w:val="1"/>
      <w:numFmt w:val="bullet"/>
      <w:lvlText w:val="o"/>
      <w:lvlJc w:val="left"/>
      <w:pPr>
        <w:tabs>
          <w:tab w:val="num" w:pos="1620"/>
        </w:tabs>
        <w:ind w:left="1620" w:hanging="360"/>
      </w:pPr>
      <w:rPr>
        <w:rFonts w:ascii="Courier New" w:hAnsi="Courier New" w:hint="default"/>
      </w:rPr>
    </w:lvl>
    <w:lvl w:ilvl="2" w:tplc="041B0005">
      <w:start w:val="1"/>
      <w:numFmt w:val="bullet"/>
      <w:lvlText w:val=""/>
      <w:lvlJc w:val="left"/>
      <w:pPr>
        <w:tabs>
          <w:tab w:val="num" w:pos="2340"/>
        </w:tabs>
        <w:ind w:left="2340" w:hanging="360"/>
      </w:pPr>
      <w:rPr>
        <w:rFonts w:ascii="Wingdings" w:hAnsi="Wingdings" w:hint="default"/>
      </w:rPr>
    </w:lvl>
    <w:lvl w:ilvl="3" w:tplc="041B0001">
      <w:start w:val="1"/>
      <w:numFmt w:val="bullet"/>
      <w:lvlText w:val=""/>
      <w:lvlJc w:val="left"/>
      <w:pPr>
        <w:tabs>
          <w:tab w:val="num" w:pos="3060"/>
        </w:tabs>
        <w:ind w:left="3060" w:hanging="360"/>
      </w:pPr>
      <w:rPr>
        <w:rFonts w:ascii="Symbol" w:hAnsi="Symbol" w:hint="default"/>
      </w:rPr>
    </w:lvl>
    <w:lvl w:ilvl="4" w:tplc="041B0003">
      <w:start w:val="1"/>
      <w:numFmt w:val="bullet"/>
      <w:lvlText w:val="o"/>
      <w:lvlJc w:val="left"/>
      <w:pPr>
        <w:tabs>
          <w:tab w:val="num" w:pos="3780"/>
        </w:tabs>
        <w:ind w:left="3780" w:hanging="360"/>
      </w:pPr>
      <w:rPr>
        <w:rFonts w:ascii="Courier New" w:hAnsi="Courier New" w:hint="default"/>
      </w:rPr>
    </w:lvl>
    <w:lvl w:ilvl="5" w:tplc="041B0005">
      <w:start w:val="1"/>
      <w:numFmt w:val="bullet"/>
      <w:lvlText w:val=""/>
      <w:lvlJc w:val="left"/>
      <w:pPr>
        <w:tabs>
          <w:tab w:val="num" w:pos="4500"/>
        </w:tabs>
        <w:ind w:left="4500" w:hanging="360"/>
      </w:pPr>
      <w:rPr>
        <w:rFonts w:ascii="Wingdings" w:hAnsi="Wingdings" w:hint="default"/>
      </w:rPr>
    </w:lvl>
    <w:lvl w:ilvl="6" w:tplc="041B0001">
      <w:start w:val="1"/>
      <w:numFmt w:val="bullet"/>
      <w:lvlText w:val=""/>
      <w:lvlJc w:val="left"/>
      <w:pPr>
        <w:tabs>
          <w:tab w:val="num" w:pos="5220"/>
        </w:tabs>
        <w:ind w:left="5220" w:hanging="360"/>
      </w:pPr>
      <w:rPr>
        <w:rFonts w:ascii="Symbol" w:hAnsi="Symbol" w:hint="default"/>
      </w:rPr>
    </w:lvl>
    <w:lvl w:ilvl="7" w:tplc="041B0003">
      <w:start w:val="1"/>
      <w:numFmt w:val="bullet"/>
      <w:lvlText w:val="o"/>
      <w:lvlJc w:val="left"/>
      <w:pPr>
        <w:tabs>
          <w:tab w:val="num" w:pos="5940"/>
        </w:tabs>
        <w:ind w:left="5940" w:hanging="360"/>
      </w:pPr>
      <w:rPr>
        <w:rFonts w:ascii="Courier New" w:hAnsi="Courier New" w:hint="default"/>
      </w:rPr>
    </w:lvl>
    <w:lvl w:ilvl="8" w:tplc="041B0005">
      <w:start w:val="1"/>
      <w:numFmt w:val="bullet"/>
      <w:lvlText w:val=""/>
      <w:lvlJc w:val="left"/>
      <w:pPr>
        <w:tabs>
          <w:tab w:val="num" w:pos="6660"/>
        </w:tabs>
        <w:ind w:left="6660" w:hanging="360"/>
      </w:pPr>
      <w:rPr>
        <w:rFonts w:ascii="Wingdings" w:hAnsi="Wingdings" w:hint="default"/>
      </w:rPr>
    </w:lvl>
  </w:abstractNum>
  <w:abstractNum w:abstractNumId="23" w15:restartNumberingAfterBreak="0">
    <w:nsid w:val="4A902E86"/>
    <w:multiLevelType w:val="hybridMultilevel"/>
    <w:tmpl w:val="FF7CD896"/>
    <w:lvl w:ilvl="0" w:tplc="041B0017">
      <w:start w:val="1"/>
      <w:numFmt w:val="lowerLetter"/>
      <w:lvlText w:val="%1)"/>
      <w:lvlJc w:val="left"/>
      <w:pPr>
        <w:ind w:left="1146" w:hanging="360"/>
      </w:pPr>
      <w:rPr>
        <w:rFonts w:cs="Times New Roman"/>
      </w:rPr>
    </w:lvl>
    <w:lvl w:ilvl="1" w:tplc="041B0019">
      <w:start w:val="1"/>
      <w:numFmt w:val="lowerLetter"/>
      <w:lvlText w:val="%2."/>
      <w:lvlJc w:val="left"/>
      <w:pPr>
        <w:ind w:left="1866" w:hanging="360"/>
      </w:pPr>
      <w:rPr>
        <w:rFonts w:cs="Times New Roman"/>
      </w:rPr>
    </w:lvl>
    <w:lvl w:ilvl="2" w:tplc="041B001B">
      <w:start w:val="1"/>
      <w:numFmt w:val="lowerRoman"/>
      <w:lvlText w:val="%3."/>
      <w:lvlJc w:val="right"/>
      <w:pPr>
        <w:ind w:left="2586" w:hanging="180"/>
      </w:pPr>
      <w:rPr>
        <w:rFonts w:cs="Times New Roman"/>
      </w:rPr>
    </w:lvl>
    <w:lvl w:ilvl="3" w:tplc="041B000F">
      <w:start w:val="1"/>
      <w:numFmt w:val="decimal"/>
      <w:lvlText w:val="%4."/>
      <w:lvlJc w:val="left"/>
      <w:pPr>
        <w:ind w:left="3306" w:hanging="360"/>
      </w:pPr>
      <w:rPr>
        <w:rFonts w:cs="Times New Roman"/>
      </w:rPr>
    </w:lvl>
    <w:lvl w:ilvl="4" w:tplc="041B0019">
      <w:start w:val="1"/>
      <w:numFmt w:val="lowerLetter"/>
      <w:lvlText w:val="%5."/>
      <w:lvlJc w:val="left"/>
      <w:pPr>
        <w:ind w:left="4026" w:hanging="360"/>
      </w:pPr>
      <w:rPr>
        <w:rFonts w:cs="Times New Roman"/>
      </w:rPr>
    </w:lvl>
    <w:lvl w:ilvl="5" w:tplc="041B001B">
      <w:start w:val="1"/>
      <w:numFmt w:val="lowerRoman"/>
      <w:lvlText w:val="%6."/>
      <w:lvlJc w:val="right"/>
      <w:pPr>
        <w:ind w:left="4746" w:hanging="180"/>
      </w:pPr>
      <w:rPr>
        <w:rFonts w:cs="Times New Roman"/>
      </w:rPr>
    </w:lvl>
    <w:lvl w:ilvl="6" w:tplc="041B000F">
      <w:start w:val="1"/>
      <w:numFmt w:val="decimal"/>
      <w:lvlText w:val="%7."/>
      <w:lvlJc w:val="left"/>
      <w:pPr>
        <w:ind w:left="5466" w:hanging="360"/>
      </w:pPr>
      <w:rPr>
        <w:rFonts w:cs="Times New Roman"/>
      </w:rPr>
    </w:lvl>
    <w:lvl w:ilvl="7" w:tplc="041B0019">
      <w:start w:val="1"/>
      <w:numFmt w:val="lowerLetter"/>
      <w:lvlText w:val="%8."/>
      <w:lvlJc w:val="left"/>
      <w:pPr>
        <w:ind w:left="6186" w:hanging="360"/>
      </w:pPr>
      <w:rPr>
        <w:rFonts w:cs="Times New Roman"/>
      </w:rPr>
    </w:lvl>
    <w:lvl w:ilvl="8" w:tplc="041B001B">
      <w:start w:val="1"/>
      <w:numFmt w:val="lowerRoman"/>
      <w:lvlText w:val="%9."/>
      <w:lvlJc w:val="right"/>
      <w:pPr>
        <w:ind w:left="6906" w:hanging="180"/>
      </w:pPr>
      <w:rPr>
        <w:rFonts w:cs="Times New Roman"/>
      </w:rPr>
    </w:lvl>
  </w:abstractNum>
  <w:abstractNum w:abstractNumId="24" w15:restartNumberingAfterBreak="0">
    <w:nsid w:val="50AB015D"/>
    <w:multiLevelType w:val="hybridMultilevel"/>
    <w:tmpl w:val="08BC5B5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5" w15:restartNumberingAfterBreak="0">
    <w:nsid w:val="5C9B77D4"/>
    <w:multiLevelType w:val="multilevel"/>
    <w:tmpl w:val="31CA9A1E"/>
    <w:lvl w:ilvl="0">
      <w:start w:val="1"/>
      <w:numFmt w:val="decimal"/>
      <w:lvlText w:val="%1."/>
      <w:legacy w:legacy="1" w:legacySpace="0" w:legacyIndent="425"/>
      <w:lvlJc w:val="left"/>
      <w:pPr>
        <w:ind w:left="425" w:hanging="425"/>
      </w:pPr>
      <w:rPr>
        <w:rFonts w:cs="Times New Roman"/>
        <w:b/>
        <w:bCs/>
      </w:rPr>
    </w:lvl>
    <w:lvl w:ilvl="1">
      <w:start w:val="1"/>
      <w:numFmt w:val="lowerLetter"/>
      <w:lvlText w:val="%2)"/>
      <w:legacy w:legacy="1" w:legacySpace="0" w:legacyIndent="425"/>
      <w:lvlJc w:val="left"/>
      <w:pPr>
        <w:ind w:left="850" w:hanging="425"/>
      </w:pPr>
      <w:rPr>
        <w:rFonts w:cs="Times New Roman"/>
      </w:rPr>
    </w:lvl>
    <w:lvl w:ilvl="2">
      <w:start w:val="1"/>
      <w:numFmt w:val="decimal"/>
      <w:lvlText w:val="%3.)"/>
      <w:legacy w:legacy="1" w:legacySpace="0" w:legacyIndent="425"/>
      <w:lvlJc w:val="left"/>
      <w:pPr>
        <w:ind w:left="1275" w:hanging="425"/>
      </w:pPr>
      <w:rPr>
        <w:rFonts w:cs="Times New Roman"/>
      </w:rPr>
    </w:lvl>
    <w:lvl w:ilvl="3">
      <w:start w:val="1"/>
      <w:numFmt w:val="lowerLetter"/>
      <w:lvlText w:val="%4)"/>
      <w:legacy w:legacy="1" w:legacySpace="0" w:legacyIndent="708"/>
      <w:lvlJc w:val="left"/>
      <w:pPr>
        <w:ind w:left="1983" w:hanging="708"/>
      </w:pPr>
      <w:rPr>
        <w:rFonts w:cs="Times New Roman"/>
      </w:rPr>
    </w:lvl>
    <w:lvl w:ilvl="4">
      <w:start w:val="1"/>
      <w:numFmt w:val="decimal"/>
      <w:lvlText w:val="(%5)"/>
      <w:legacy w:legacy="1" w:legacySpace="0" w:legacyIndent="708"/>
      <w:lvlJc w:val="left"/>
      <w:pPr>
        <w:ind w:left="2691" w:hanging="708"/>
      </w:pPr>
      <w:rPr>
        <w:rFonts w:cs="Times New Roman"/>
      </w:rPr>
    </w:lvl>
    <w:lvl w:ilvl="5">
      <w:start w:val="1"/>
      <w:numFmt w:val="lowerLetter"/>
      <w:lvlText w:val="(%6)"/>
      <w:legacy w:legacy="1" w:legacySpace="0" w:legacyIndent="708"/>
      <w:lvlJc w:val="left"/>
      <w:pPr>
        <w:ind w:left="3399" w:hanging="708"/>
      </w:pPr>
      <w:rPr>
        <w:rFonts w:cs="Times New Roman"/>
      </w:rPr>
    </w:lvl>
    <w:lvl w:ilvl="6">
      <w:start w:val="1"/>
      <w:numFmt w:val="lowerRoman"/>
      <w:lvlText w:val="(%7)"/>
      <w:legacy w:legacy="1" w:legacySpace="0" w:legacyIndent="708"/>
      <w:lvlJc w:val="left"/>
      <w:pPr>
        <w:ind w:left="4107" w:hanging="708"/>
      </w:pPr>
      <w:rPr>
        <w:rFonts w:cs="Times New Roman"/>
      </w:rPr>
    </w:lvl>
    <w:lvl w:ilvl="7">
      <w:start w:val="1"/>
      <w:numFmt w:val="lowerLetter"/>
      <w:lvlText w:val="(%8)"/>
      <w:legacy w:legacy="1" w:legacySpace="0" w:legacyIndent="708"/>
      <w:lvlJc w:val="left"/>
      <w:pPr>
        <w:ind w:left="4815" w:hanging="708"/>
      </w:pPr>
      <w:rPr>
        <w:rFonts w:cs="Times New Roman"/>
      </w:rPr>
    </w:lvl>
    <w:lvl w:ilvl="8">
      <w:start w:val="1"/>
      <w:numFmt w:val="lowerRoman"/>
      <w:lvlText w:val="(%9)"/>
      <w:legacy w:legacy="1" w:legacySpace="0" w:legacyIndent="708"/>
      <w:lvlJc w:val="left"/>
      <w:pPr>
        <w:ind w:left="5523" w:hanging="708"/>
      </w:pPr>
      <w:rPr>
        <w:rFonts w:cs="Times New Roman"/>
      </w:rPr>
    </w:lvl>
  </w:abstractNum>
  <w:abstractNum w:abstractNumId="26" w15:restartNumberingAfterBreak="0">
    <w:nsid w:val="621B042D"/>
    <w:multiLevelType w:val="hybridMultilevel"/>
    <w:tmpl w:val="4C501246"/>
    <w:lvl w:ilvl="0" w:tplc="267E25B0">
      <w:numFmt w:val="bullet"/>
      <w:lvlText w:val="-"/>
      <w:lvlJc w:val="left"/>
      <w:pPr>
        <w:tabs>
          <w:tab w:val="num" w:pos="720"/>
        </w:tabs>
        <w:ind w:left="720" w:hanging="360"/>
      </w:pPr>
      <w:rPr>
        <w:rFonts w:ascii="Arial Narrow" w:eastAsia="Times New Roman" w:hAnsi="Arial Narrow"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F3C24B4"/>
    <w:multiLevelType w:val="hybridMultilevel"/>
    <w:tmpl w:val="3162F5C2"/>
    <w:lvl w:ilvl="0" w:tplc="056EA108">
      <w:start w:val="226"/>
      <w:numFmt w:val="bullet"/>
      <w:lvlText w:val="-"/>
      <w:lvlJc w:val="left"/>
      <w:pPr>
        <w:ind w:left="720" w:hanging="360"/>
      </w:pPr>
      <w:rPr>
        <w:rFonts w:ascii="Vrinda" w:eastAsia="Times New Roman" w:hAnsi="Vrinda"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70746323"/>
    <w:multiLevelType w:val="hybridMultilevel"/>
    <w:tmpl w:val="A6861506"/>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9" w15:restartNumberingAfterBreak="0">
    <w:nsid w:val="70DC7C8E"/>
    <w:multiLevelType w:val="hybridMultilevel"/>
    <w:tmpl w:val="A14ECBF8"/>
    <w:lvl w:ilvl="0" w:tplc="48F406FE">
      <w:numFmt w:val="bullet"/>
      <w:lvlText w:val="-"/>
      <w:lvlJc w:val="left"/>
      <w:pPr>
        <w:ind w:left="720" w:hanging="360"/>
      </w:pPr>
      <w:rPr>
        <w:rFonts w:ascii="Vrinda" w:eastAsia="Times New Roman" w:hAnsi="Vrinda"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79AC144A"/>
    <w:multiLevelType w:val="hybridMultilevel"/>
    <w:tmpl w:val="D5CEF21C"/>
    <w:lvl w:ilvl="0" w:tplc="28AA7DEC">
      <w:start w:val="1"/>
      <w:numFmt w:val="decimal"/>
      <w:lvlText w:val="%1."/>
      <w:lvlJc w:val="left"/>
      <w:pPr>
        <w:ind w:left="1065" w:hanging="705"/>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1" w15:restartNumberingAfterBreak="0">
    <w:nsid w:val="7BDE54EF"/>
    <w:multiLevelType w:val="hybridMultilevel"/>
    <w:tmpl w:val="419C7968"/>
    <w:lvl w:ilvl="0" w:tplc="041B000F">
      <w:start w:val="1"/>
      <w:numFmt w:val="decimal"/>
      <w:lvlText w:val="%1."/>
      <w:lvlJc w:val="left"/>
      <w:pPr>
        <w:ind w:left="862" w:hanging="360"/>
      </w:pPr>
      <w:rPr>
        <w:rFonts w:cs="Times New Roman"/>
      </w:rPr>
    </w:lvl>
    <w:lvl w:ilvl="1" w:tplc="041B0019" w:tentative="1">
      <w:start w:val="1"/>
      <w:numFmt w:val="lowerLetter"/>
      <w:lvlText w:val="%2."/>
      <w:lvlJc w:val="left"/>
      <w:pPr>
        <w:ind w:left="1582" w:hanging="360"/>
      </w:pPr>
      <w:rPr>
        <w:rFonts w:cs="Times New Roman"/>
      </w:rPr>
    </w:lvl>
    <w:lvl w:ilvl="2" w:tplc="041B001B" w:tentative="1">
      <w:start w:val="1"/>
      <w:numFmt w:val="lowerRoman"/>
      <w:lvlText w:val="%3."/>
      <w:lvlJc w:val="right"/>
      <w:pPr>
        <w:ind w:left="2302" w:hanging="180"/>
      </w:pPr>
      <w:rPr>
        <w:rFonts w:cs="Times New Roman"/>
      </w:rPr>
    </w:lvl>
    <w:lvl w:ilvl="3" w:tplc="041B000F" w:tentative="1">
      <w:start w:val="1"/>
      <w:numFmt w:val="decimal"/>
      <w:lvlText w:val="%4."/>
      <w:lvlJc w:val="left"/>
      <w:pPr>
        <w:ind w:left="3022" w:hanging="360"/>
      </w:pPr>
      <w:rPr>
        <w:rFonts w:cs="Times New Roman"/>
      </w:rPr>
    </w:lvl>
    <w:lvl w:ilvl="4" w:tplc="041B0019" w:tentative="1">
      <w:start w:val="1"/>
      <w:numFmt w:val="lowerLetter"/>
      <w:lvlText w:val="%5."/>
      <w:lvlJc w:val="left"/>
      <w:pPr>
        <w:ind w:left="3742" w:hanging="360"/>
      </w:pPr>
      <w:rPr>
        <w:rFonts w:cs="Times New Roman"/>
      </w:rPr>
    </w:lvl>
    <w:lvl w:ilvl="5" w:tplc="041B001B" w:tentative="1">
      <w:start w:val="1"/>
      <w:numFmt w:val="lowerRoman"/>
      <w:lvlText w:val="%6."/>
      <w:lvlJc w:val="right"/>
      <w:pPr>
        <w:ind w:left="4462" w:hanging="180"/>
      </w:pPr>
      <w:rPr>
        <w:rFonts w:cs="Times New Roman"/>
      </w:rPr>
    </w:lvl>
    <w:lvl w:ilvl="6" w:tplc="041B000F" w:tentative="1">
      <w:start w:val="1"/>
      <w:numFmt w:val="decimal"/>
      <w:lvlText w:val="%7."/>
      <w:lvlJc w:val="left"/>
      <w:pPr>
        <w:ind w:left="5182" w:hanging="360"/>
      </w:pPr>
      <w:rPr>
        <w:rFonts w:cs="Times New Roman"/>
      </w:rPr>
    </w:lvl>
    <w:lvl w:ilvl="7" w:tplc="041B0019" w:tentative="1">
      <w:start w:val="1"/>
      <w:numFmt w:val="lowerLetter"/>
      <w:lvlText w:val="%8."/>
      <w:lvlJc w:val="left"/>
      <w:pPr>
        <w:ind w:left="5902" w:hanging="360"/>
      </w:pPr>
      <w:rPr>
        <w:rFonts w:cs="Times New Roman"/>
      </w:rPr>
    </w:lvl>
    <w:lvl w:ilvl="8" w:tplc="041B001B" w:tentative="1">
      <w:start w:val="1"/>
      <w:numFmt w:val="lowerRoman"/>
      <w:lvlText w:val="%9."/>
      <w:lvlJc w:val="right"/>
      <w:pPr>
        <w:ind w:left="6622" w:hanging="180"/>
      </w:pPr>
      <w:rPr>
        <w:rFonts w:cs="Times New Roman"/>
      </w:rPr>
    </w:lvl>
  </w:abstractNum>
  <w:num w:numId="1">
    <w:abstractNumId w:val="26"/>
  </w:num>
  <w:num w:numId="2">
    <w:abstractNumId w:val="18"/>
  </w:num>
  <w:num w:numId="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num>
  <w:num w:numId="5">
    <w:abstractNumId w:val="21"/>
  </w:num>
  <w:num w:numId="6">
    <w:abstractNumId w:val="0"/>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22"/>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6"/>
  </w:num>
  <w:num w:numId="14">
    <w:abstractNumId w:val="6"/>
  </w:num>
  <w:num w:numId="15">
    <w:abstractNumId w:val="13"/>
  </w:num>
  <w:num w:numId="16">
    <w:abstractNumId w:val="31"/>
  </w:num>
  <w:num w:numId="17">
    <w:abstractNumId w:val="4"/>
  </w:num>
  <w:num w:numId="18">
    <w:abstractNumId w:val="29"/>
  </w:num>
  <w:num w:numId="19">
    <w:abstractNumId w:val="20"/>
  </w:num>
  <w:num w:numId="20">
    <w:abstractNumId w:val="2"/>
  </w:num>
  <w:num w:numId="21">
    <w:abstractNumId w:val="19"/>
  </w:num>
  <w:num w:numId="22">
    <w:abstractNumId w:val="14"/>
  </w:num>
  <w:num w:numId="23">
    <w:abstractNumId w:val="10"/>
  </w:num>
  <w:num w:numId="24">
    <w:abstractNumId w:val="30"/>
  </w:num>
  <w:num w:numId="25">
    <w:abstractNumId w:val="7"/>
  </w:num>
  <w:num w:numId="26">
    <w:abstractNumId w:val="3"/>
  </w:num>
  <w:num w:numId="27">
    <w:abstractNumId w:val="24"/>
  </w:num>
  <w:num w:numId="28">
    <w:abstractNumId w:val="5"/>
  </w:num>
  <w:num w:numId="29">
    <w:abstractNumId w:val="27"/>
  </w:num>
  <w:num w:numId="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num>
  <w:num w:numId="32">
    <w:abstractNumId w:val="17"/>
  </w:num>
  <w:num w:numId="33">
    <w:abstractNumId w:val="11"/>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hyphenationZone w:val="425"/>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278"/>
    <w:rsid w:val="000276A1"/>
    <w:rsid w:val="00040A99"/>
    <w:rsid w:val="00051675"/>
    <w:rsid w:val="000A15AE"/>
    <w:rsid w:val="000B75DA"/>
    <w:rsid w:val="000D2788"/>
    <w:rsid w:val="000D46E5"/>
    <w:rsid w:val="000E09D2"/>
    <w:rsid w:val="000E5DCC"/>
    <w:rsid w:val="000F1B27"/>
    <w:rsid w:val="000F671D"/>
    <w:rsid w:val="00113413"/>
    <w:rsid w:val="00151301"/>
    <w:rsid w:val="0015661B"/>
    <w:rsid w:val="0019292F"/>
    <w:rsid w:val="00193BCC"/>
    <w:rsid w:val="00197091"/>
    <w:rsid w:val="001B0AFE"/>
    <w:rsid w:val="001B1696"/>
    <w:rsid w:val="001C02F1"/>
    <w:rsid w:val="001C0607"/>
    <w:rsid w:val="001D0D77"/>
    <w:rsid w:val="001D4349"/>
    <w:rsid w:val="002039E5"/>
    <w:rsid w:val="002070F3"/>
    <w:rsid w:val="00222E2A"/>
    <w:rsid w:val="00243655"/>
    <w:rsid w:val="00243E51"/>
    <w:rsid w:val="002923DA"/>
    <w:rsid w:val="00294D7D"/>
    <w:rsid w:val="002A41AE"/>
    <w:rsid w:val="002C049C"/>
    <w:rsid w:val="002C4550"/>
    <w:rsid w:val="002D753F"/>
    <w:rsid w:val="002E36DF"/>
    <w:rsid w:val="002E5523"/>
    <w:rsid w:val="002F142D"/>
    <w:rsid w:val="002F48CF"/>
    <w:rsid w:val="00301B7B"/>
    <w:rsid w:val="003134F6"/>
    <w:rsid w:val="0031791B"/>
    <w:rsid w:val="0034037E"/>
    <w:rsid w:val="00353710"/>
    <w:rsid w:val="003A39C1"/>
    <w:rsid w:val="003C289B"/>
    <w:rsid w:val="003C2B30"/>
    <w:rsid w:val="003C4322"/>
    <w:rsid w:val="003E2ED4"/>
    <w:rsid w:val="003E4C33"/>
    <w:rsid w:val="003E6073"/>
    <w:rsid w:val="003F6A02"/>
    <w:rsid w:val="004026E1"/>
    <w:rsid w:val="00402CF6"/>
    <w:rsid w:val="00403848"/>
    <w:rsid w:val="004174FB"/>
    <w:rsid w:val="00422DA3"/>
    <w:rsid w:val="004251C2"/>
    <w:rsid w:val="004403D3"/>
    <w:rsid w:val="004406AC"/>
    <w:rsid w:val="00442BA2"/>
    <w:rsid w:val="0044533D"/>
    <w:rsid w:val="00453013"/>
    <w:rsid w:val="00455DBE"/>
    <w:rsid w:val="00461194"/>
    <w:rsid w:val="004864C4"/>
    <w:rsid w:val="0049434C"/>
    <w:rsid w:val="0049620D"/>
    <w:rsid w:val="004A0D0F"/>
    <w:rsid w:val="004D5909"/>
    <w:rsid w:val="004F1B59"/>
    <w:rsid w:val="004F4C20"/>
    <w:rsid w:val="0050587A"/>
    <w:rsid w:val="005346E7"/>
    <w:rsid w:val="00541A18"/>
    <w:rsid w:val="00552BA9"/>
    <w:rsid w:val="00575278"/>
    <w:rsid w:val="00591A6A"/>
    <w:rsid w:val="005938ED"/>
    <w:rsid w:val="005D74CF"/>
    <w:rsid w:val="00603C7E"/>
    <w:rsid w:val="0066487E"/>
    <w:rsid w:val="00675BB0"/>
    <w:rsid w:val="00683255"/>
    <w:rsid w:val="00691A7F"/>
    <w:rsid w:val="006954A2"/>
    <w:rsid w:val="006A090D"/>
    <w:rsid w:val="006E18F8"/>
    <w:rsid w:val="006E25CA"/>
    <w:rsid w:val="006E7E8D"/>
    <w:rsid w:val="006F4013"/>
    <w:rsid w:val="00730F6D"/>
    <w:rsid w:val="00742FB6"/>
    <w:rsid w:val="0076638E"/>
    <w:rsid w:val="00770E24"/>
    <w:rsid w:val="00774D02"/>
    <w:rsid w:val="00783257"/>
    <w:rsid w:val="007922D8"/>
    <w:rsid w:val="00796471"/>
    <w:rsid w:val="007D5748"/>
    <w:rsid w:val="007E1502"/>
    <w:rsid w:val="007E6DDF"/>
    <w:rsid w:val="007F5521"/>
    <w:rsid w:val="0081183B"/>
    <w:rsid w:val="008215A5"/>
    <w:rsid w:val="00826B4E"/>
    <w:rsid w:val="008336C4"/>
    <w:rsid w:val="008358B2"/>
    <w:rsid w:val="008452BB"/>
    <w:rsid w:val="0085250D"/>
    <w:rsid w:val="00872B1E"/>
    <w:rsid w:val="00891BF2"/>
    <w:rsid w:val="008B029A"/>
    <w:rsid w:val="008B4376"/>
    <w:rsid w:val="008B621F"/>
    <w:rsid w:val="008C0E17"/>
    <w:rsid w:val="008F3892"/>
    <w:rsid w:val="00905728"/>
    <w:rsid w:val="00910730"/>
    <w:rsid w:val="00935651"/>
    <w:rsid w:val="00983C89"/>
    <w:rsid w:val="009C2D64"/>
    <w:rsid w:val="009E065B"/>
    <w:rsid w:val="009F2537"/>
    <w:rsid w:val="00A409CB"/>
    <w:rsid w:val="00A422CF"/>
    <w:rsid w:val="00A638D0"/>
    <w:rsid w:val="00A64D2D"/>
    <w:rsid w:val="00A94DF1"/>
    <w:rsid w:val="00AA25A4"/>
    <w:rsid w:val="00AC1E0C"/>
    <w:rsid w:val="00AD58F5"/>
    <w:rsid w:val="00AE5D0E"/>
    <w:rsid w:val="00AE7CE9"/>
    <w:rsid w:val="00AF1ECE"/>
    <w:rsid w:val="00B54B01"/>
    <w:rsid w:val="00B71122"/>
    <w:rsid w:val="00B95BFE"/>
    <w:rsid w:val="00BB42F2"/>
    <w:rsid w:val="00BC2094"/>
    <w:rsid w:val="00BC5211"/>
    <w:rsid w:val="00BE020B"/>
    <w:rsid w:val="00BE13C3"/>
    <w:rsid w:val="00BF517A"/>
    <w:rsid w:val="00BF7C2F"/>
    <w:rsid w:val="00C13F01"/>
    <w:rsid w:val="00C27370"/>
    <w:rsid w:val="00C335D2"/>
    <w:rsid w:val="00C478ED"/>
    <w:rsid w:val="00C5661B"/>
    <w:rsid w:val="00C73B3B"/>
    <w:rsid w:val="00C82073"/>
    <w:rsid w:val="00C906D5"/>
    <w:rsid w:val="00C91EF0"/>
    <w:rsid w:val="00CA12E6"/>
    <w:rsid w:val="00CC642A"/>
    <w:rsid w:val="00CD1532"/>
    <w:rsid w:val="00CD4B5C"/>
    <w:rsid w:val="00CE6F90"/>
    <w:rsid w:val="00D26625"/>
    <w:rsid w:val="00D3116B"/>
    <w:rsid w:val="00D632CD"/>
    <w:rsid w:val="00D9755D"/>
    <w:rsid w:val="00DA259F"/>
    <w:rsid w:val="00DB124A"/>
    <w:rsid w:val="00DC39DF"/>
    <w:rsid w:val="00DC4658"/>
    <w:rsid w:val="00DC53F8"/>
    <w:rsid w:val="00DE1D4F"/>
    <w:rsid w:val="00DF441A"/>
    <w:rsid w:val="00E033DA"/>
    <w:rsid w:val="00E1634A"/>
    <w:rsid w:val="00E204E4"/>
    <w:rsid w:val="00E355FA"/>
    <w:rsid w:val="00E61FA1"/>
    <w:rsid w:val="00E70476"/>
    <w:rsid w:val="00E71912"/>
    <w:rsid w:val="00E8196C"/>
    <w:rsid w:val="00EB59C8"/>
    <w:rsid w:val="00EC22D4"/>
    <w:rsid w:val="00EE0DC7"/>
    <w:rsid w:val="00F30EE2"/>
    <w:rsid w:val="00F31D8F"/>
    <w:rsid w:val="00F47926"/>
    <w:rsid w:val="00F50F39"/>
    <w:rsid w:val="00F74A55"/>
    <w:rsid w:val="00F75A5A"/>
    <w:rsid w:val="00F85286"/>
    <w:rsid w:val="00FA4569"/>
    <w:rsid w:val="00FB5CCC"/>
    <w:rsid w:val="00FC1870"/>
    <w:rsid w:val="00FE0B9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4F6D853-CA89-479F-BB15-ADFE0F19C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sk-SK" w:eastAsia="sk-SK"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0" w:line="240" w:lineRule="auto"/>
    </w:pPr>
    <w:rPr>
      <w:sz w:val="24"/>
      <w:szCs w:val="24"/>
    </w:rPr>
  </w:style>
  <w:style w:type="paragraph" w:styleId="Nadpis1">
    <w:name w:val="heading 1"/>
    <w:basedOn w:val="Normlny"/>
    <w:next w:val="Normlny"/>
    <w:link w:val="Nadpis1Char"/>
    <w:uiPriority w:val="9"/>
    <w:qFormat/>
    <w:rsid w:val="00403848"/>
    <w:pPr>
      <w:numPr>
        <w:numId w:val="6"/>
      </w:numPr>
      <w:overflowPunct w:val="0"/>
      <w:autoSpaceDE w:val="0"/>
      <w:autoSpaceDN w:val="0"/>
      <w:adjustRightInd w:val="0"/>
      <w:spacing w:line="288" w:lineRule="auto"/>
      <w:jc w:val="both"/>
      <w:textAlignment w:val="baseline"/>
      <w:outlineLvl w:val="0"/>
    </w:pPr>
    <w:rPr>
      <w:kern w:val="28"/>
      <w:sz w:val="22"/>
      <w:szCs w:val="22"/>
      <w:lang w:val="nl-BE"/>
    </w:rPr>
  </w:style>
  <w:style w:type="paragraph" w:styleId="Nadpis2">
    <w:name w:val="heading 2"/>
    <w:basedOn w:val="Normlny"/>
    <w:next w:val="Normlny"/>
    <w:link w:val="Nadpis2Char"/>
    <w:uiPriority w:val="9"/>
    <w:qFormat/>
    <w:rsid w:val="00403848"/>
    <w:pPr>
      <w:numPr>
        <w:ilvl w:val="1"/>
        <w:numId w:val="6"/>
      </w:numPr>
      <w:overflowPunct w:val="0"/>
      <w:autoSpaceDE w:val="0"/>
      <w:autoSpaceDN w:val="0"/>
      <w:adjustRightInd w:val="0"/>
      <w:spacing w:line="288" w:lineRule="auto"/>
      <w:jc w:val="both"/>
      <w:textAlignment w:val="baseline"/>
      <w:outlineLvl w:val="1"/>
    </w:pPr>
    <w:rPr>
      <w:sz w:val="22"/>
      <w:szCs w:val="22"/>
      <w:lang w:val="nl-BE"/>
    </w:rPr>
  </w:style>
  <w:style w:type="paragraph" w:styleId="Nadpis3">
    <w:name w:val="heading 3"/>
    <w:basedOn w:val="Normlny"/>
    <w:next w:val="Normlny"/>
    <w:link w:val="Nadpis3Char"/>
    <w:uiPriority w:val="9"/>
    <w:qFormat/>
    <w:rsid w:val="00403848"/>
    <w:pPr>
      <w:numPr>
        <w:ilvl w:val="2"/>
        <w:numId w:val="6"/>
      </w:numPr>
      <w:overflowPunct w:val="0"/>
      <w:autoSpaceDE w:val="0"/>
      <w:autoSpaceDN w:val="0"/>
      <w:adjustRightInd w:val="0"/>
      <w:spacing w:line="288" w:lineRule="auto"/>
      <w:jc w:val="both"/>
      <w:textAlignment w:val="baseline"/>
      <w:outlineLvl w:val="2"/>
    </w:pPr>
    <w:rPr>
      <w:sz w:val="22"/>
      <w:szCs w:val="22"/>
      <w:lang w:val="nl-BE"/>
    </w:rPr>
  </w:style>
  <w:style w:type="paragraph" w:styleId="Nadpis4">
    <w:name w:val="heading 4"/>
    <w:basedOn w:val="Normlny"/>
    <w:next w:val="Normlny"/>
    <w:link w:val="Nadpis4Char"/>
    <w:uiPriority w:val="9"/>
    <w:qFormat/>
    <w:rsid w:val="00403848"/>
    <w:pPr>
      <w:numPr>
        <w:ilvl w:val="3"/>
        <w:numId w:val="6"/>
      </w:numPr>
      <w:overflowPunct w:val="0"/>
      <w:autoSpaceDE w:val="0"/>
      <w:autoSpaceDN w:val="0"/>
      <w:adjustRightInd w:val="0"/>
      <w:spacing w:line="288" w:lineRule="auto"/>
      <w:jc w:val="both"/>
      <w:textAlignment w:val="baseline"/>
      <w:outlineLvl w:val="3"/>
    </w:pPr>
    <w:rPr>
      <w:sz w:val="22"/>
      <w:szCs w:val="22"/>
      <w:lang w:val="nl-BE"/>
    </w:rPr>
  </w:style>
  <w:style w:type="paragraph" w:styleId="Nadpis5">
    <w:name w:val="heading 5"/>
    <w:basedOn w:val="Normlny"/>
    <w:next w:val="Normlny"/>
    <w:link w:val="Nadpis5Char"/>
    <w:uiPriority w:val="9"/>
    <w:qFormat/>
    <w:rsid w:val="00403848"/>
    <w:pPr>
      <w:numPr>
        <w:ilvl w:val="4"/>
        <w:numId w:val="6"/>
      </w:numPr>
      <w:overflowPunct w:val="0"/>
      <w:autoSpaceDE w:val="0"/>
      <w:autoSpaceDN w:val="0"/>
      <w:adjustRightInd w:val="0"/>
      <w:spacing w:line="288" w:lineRule="auto"/>
      <w:jc w:val="both"/>
      <w:textAlignment w:val="baseline"/>
      <w:outlineLvl w:val="4"/>
    </w:pPr>
    <w:rPr>
      <w:sz w:val="22"/>
      <w:szCs w:val="22"/>
      <w:lang w:val="nl-BE"/>
    </w:rPr>
  </w:style>
  <w:style w:type="paragraph" w:styleId="Nadpis6">
    <w:name w:val="heading 6"/>
    <w:basedOn w:val="Normlny"/>
    <w:next w:val="Normlny"/>
    <w:link w:val="Nadpis6Char"/>
    <w:uiPriority w:val="9"/>
    <w:qFormat/>
    <w:rsid w:val="00403848"/>
    <w:pPr>
      <w:numPr>
        <w:ilvl w:val="5"/>
        <w:numId w:val="6"/>
      </w:numPr>
      <w:overflowPunct w:val="0"/>
      <w:autoSpaceDE w:val="0"/>
      <w:autoSpaceDN w:val="0"/>
      <w:adjustRightInd w:val="0"/>
      <w:spacing w:line="288" w:lineRule="auto"/>
      <w:jc w:val="both"/>
      <w:textAlignment w:val="baseline"/>
      <w:outlineLvl w:val="5"/>
    </w:pPr>
    <w:rPr>
      <w:sz w:val="22"/>
      <w:szCs w:val="22"/>
      <w:lang w:val="nl-BE"/>
    </w:rPr>
  </w:style>
  <w:style w:type="paragraph" w:styleId="Nadpis7">
    <w:name w:val="heading 7"/>
    <w:basedOn w:val="Normlny"/>
    <w:next w:val="Normlny"/>
    <w:link w:val="Nadpis7Char"/>
    <w:uiPriority w:val="9"/>
    <w:qFormat/>
    <w:rsid w:val="00403848"/>
    <w:pPr>
      <w:numPr>
        <w:ilvl w:val="6"/>
        <w:numId w:val="6"/>
      </w:numPr>
      <w:overflowPunct w:val="0"/>
      <w:autoSpaceDE w:val="0"/>
      <w:autoSpaceDN w:val="0"/>
      <w:adjustRightInd w:val="0"/>
      <w:spacing w:line="288" w:lineRule="auto"/>
      <w:jc w:val="both"/>
      <w:textAlignment w:val="baseline"/>
      <w:outlineLvl w:val="6"/>
    </w:pPr>
    <w:rPr>
      <w:sz w:val="22"/>
      <w:szCs w:val="22"/>
      <w:lang w:val="nl-BE"/>
    </w:rPr>
  </w:style>
  <w:style w:type="paragraph" w:styleId="Nadpis8">
    <w:name w:val="heading 8"/>
    <w:basedOn w:val="Normlny"/>
    <w:next w:val="Normlny"/>
    <w:link w:val="Nadpis8Char"/>
    <w:uiPriority w:val="9"/>
    <w:qFormat/>
    <w:rsid w:val="00403848"/>
    <w:pPr>
      <w:numPr>
        <w:ilvl w:val="7"/>
        <w:numId w:val="6"/>
      </w:numPr>
      <w:overflowPunct w:val="0"/>
      <w:autoSpaceDE w:val="0"/>
      <w:autoSpaceDN w:val="0"/>
      <w:adjustRightInd w:val="0"/>
      <w:spacing w:line="288" w:lineRule="auto"/>
      <w:jc w:val="both"/>
      <w:textAlignment w:val="baseline"/>
      <w:outlineLvl w:val="7"/>
    </w:pPr>
    <w:rPr>
      <w:sz w:val="22"/>
      <w:szCs w:val="22"/>
      <w:lang w:val="nl-BE"/>
    </w:rPr>
  </w:style>
  <w:style w:type="paragraph" w:styleId="Nadpis9">
    <w:name w:val="heading 9"/>
    <w:basedOn w:val="Normlny"/>
    <w:next w:val="Normlny"/>
    <w:link w:val="Nadpis9Char"/>
    <w:uiPriority w:val="9"/>
    <w:qFormat/>
    <w:rsid w:val="00403848"/>
    <w:pPr>
      <w:numPr>
        <w:ilvl w:val="8"/>
        <w:numId w:val="6"/>
      </w:numPr>
      <w:overflowPunct w:val="0"/>
      <w:autoSpaceDE w:val="0"/>
      <w:autoSpaceDN w:val="0"/>
      <w:adjustRightInd w:val="0"/>
      <w:spacing w:line="288" w:lineRule="auto"/>
      <w:jc w:val="both"/>
      <w:textAlignment w:val="baseline"/>
      <w:outlineLvl w:val="8"/>
    </w:pPr>
    <w:rPr>
      <w:sz w:val="22"/>
      <w:szCs w:val="22"/>
      <w:lang w:val="nl-B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locked/>
    <w:rsid w:val="00403848"/>
    <w:rPr>
      <w:rFonts w:cs="Times New Roman"/>
      <w:kern w:val="28"/>
      <w:lang w:val="nl-BE" w:eastAsia="x-none"/>
    </w:rPr>
  </w:style>
  <w:style w:type="character" w:customStyle="1" w:styleId="Nadpis2Char">
    <w:name w:val="Nadpis 2 Char"/>
    <w:basedOn w:val="Predvolenpsmoodseku"/>
    <w:link w:val="Nadpis2"/>
    <w:uiPriority w:val="9"/>
    <w:locked/>
    <w:rsid w:val="00403848"/>
    <w:rPr>
      <w:rFonts w:cs="Times New Roman"/>
      <w:lang w:val="nl-BE" w:eastAsia="x-none"/>
    </w:rPr>
  </w:style>
  <w:style w:type="character" w:customStyle="1" w:styleId="Nadpis3Char">
    <w:name w:val="Nadpis 3 Char"/>
    <w:basedOn w:val="Predvolenpsmoodseku"/>
    <w:link w:val="Nadpis3"/>
    <w:uiPriority w:val="9"/>
    <w:locked/>
    <w:rsid w:val="00403848"/>
    <w:rPr>
      <w:rFonts w:cs="Times New Roman"/>
      <w:lang w:val="nl-BE" w:eastAsia="x-none"/>
    </w:rPr>
  </w:style>
  <w:style w:type="character" w:customStyle="1" w:styleId="Nadpis4Char">
    <w:name w:val="Nadpis 4 Char"/>
    <w:basedOn w:val="Predvolenpsmoodseku"/>
    <w:link w:val="Nadpis4"/>
    <w:uiPriority w:val="9"/>
    <w:locked/>
    <w:rsid w:val="00403848"/>
    <w:rPr>
      <w:rFonts w:cs="Times New Roman"/>
      <w:lang w:val="nl-BE" w:eastAsia="x-none"/>
    </w:rPr>
  </w:style>
  <w:style w:type="character" w:customStyle="1" w:styleId="Nadpis5Char">
    <w:name w:val="Nadpis 5 Char"/>
    <w:basedOn w:val="Predvolenpsmoodseku"/>
    <w:link w:val="Nadpis5"/>
    <w:uiPriority w:val="9"/>
    <w:locked/>
    <w:rsid w:val="00403848"/>
    <w:rPr>
      <w:rFonts w:cs="Times New Roman"/>
      <w:lang w:val="nl-BE" w:eastAsia="x-none"/>
    </w:rPr>
  </w:style>
  <w:style w:type="character" w:customStyle="1" w:styleId="Nadpis6Char">
    <w:name w:val="Nadpis 6 Char"/>
    <w:basedOn w:val="Predvolenpsmoodseku"/>
    <w:link w:val="Nadpis6"/>
    <w:uiPriority w:val="9"/>
    <w:locked/>
    <w:rsid w:val="00403848"/>
    <w:rPr>
      <w:rFonts w:cs="Times New Roman"/>
      <w:lang w:val="nl-BE" w:eastAsia="x-none"/>
    </w:rPr>
  </w:style>
  <w:style w:type="character" w:customStyle="1" w:styleId="Nadpis7Char">
    <w:name w:val="Nadpis 7 Char"/>
    <w:basedOn w:val="Predvolenpsmoodseku"/>
    <w:link w:val="Nadpis7"/>
    <w:uiPriority w:val="9"/>
    <w:locked/>
    <w:rsid w:val="00403848"/>
    <w:rPr>
      <w:rFonts w:cs="Times New Roman"/>
      <w:lang w:val="nl-BE" w:eastAsia="x-none"/>
    </w:rPr>
  </w:style>
  <w:style w:type="character" w:customStyle="1" w:styleId="Nadpis8Char">
    <w:name w:val="Nadpis 8 Char"/>
    <w:basedOn w:val="Predvolenpsmoodseku"/>
    <w:link w:val="Nadpis8"/>
    <w:uiPriority w:val="9"/>
    <w:locked/>
    <w:rsid w:val="00403848"/>
    <w:rPr>
      <w:rFonts w:cs="Times New Roman"/>
      <w:lang w:val="nl-BE" w:eastAsia="x-none"/>
    </w:rPr>
  </w:style>
  <w:style w:type="character" w:customStyle="1" w:styleId="Nadpis9Char">
    <w:name w:val="Nadpis 9 Char"/>
    <w:basedOn w:val="Predvolenpsmoodseku"/>
    <w:link w:val="Nadpis9"/>
    <w:uiPriority w:val="9"/>
    <w:locked/>
    <w:rsid w:val="00403848"/>
    <w:rPr>
      <w:rFonts w:cs="Times New Roman"/>
      <w:lang w:val="nl-BE" w:eastAsia="x-none"/>
    </w:rPr>
  </w:style>
  <w:style w:type="character" w:styleId="Zstupntext">
    <w:name w:val="Placeholder Text"/>
    <w:basedOn w:val="Predvolenpsmoodseku"/>
    <w:uiPriority w:val="99"/>
    <w:rsid w:val="00BC2094"/>
    <w:rPr>
      <w:rFonts w:ascii="Times New Roman" w:hAnsi="Times New Roman" w:cs="Times New Roman"/>
      <w:color w:val="808080"/>
    </w:rPr>
  </w:style>
  <w:style w:type="paragraph" w:styleId="Zkladntext2">
    <w:name w:val="Body Text 2"/>
    <w:basedOn w:val="Normlny"/>
    <w:link w:val="Zkladntext2Char"/>
    <w:uiPriority w:val="99"/>
    <w:rsid w:val="00BC2094"/>
    <w:pPr>
      <w:jc w:val="both"/>
    </w:pPr>
  </w:style>
  <w:style w:type="character" w:customStyle="1" w:styleId="Zkladntext2Char">
    <w:name w:val="Základný text 2 Char"/>
    <w:basedOn w:val="Predvolenpsmoodseku"/>
    <w:link w:val="Zkladntext2"/>
    <w:uiPriority w:val="99"/>
    <w:locked/>
    <w:rsid w:val="00BC2094"/>
    <w:rPr>
      <w:rFonts w:cs="Times New Roman"/>
      <w:sz w:val="24"/>
      <w:szCs w:val="24"/>
    </w:rPr>
  </w:style>
  <w:style w:type="paragraph" w:styleId="Zkladntext">
    <w:name w:val="Body Text"/>
    <w:basedOn w:val="Normlny"/>
    <w:link w:val="ZkladntextChar"/>
    <w:uiPriority w:val="99"/>
    <w:rsid w:val="00BC2094"/>
    <w:pPr>
      <w:spacing w:after="120"/>
    </w:pPr>
  </w:style>
  <w:style w:type="character" w:customStyle="1" w:styleId="ZkladntextChar">
    <w:name w:val="Základný text Char"/>
    <w:basedOn w:val="Predvolenpsmoodseku"/>
    <w:link w:val="Zkladntext"/>
    <w:uiPriority w:val="99"/>
    <w:locked/>
    <w:rsid w:val="00BC2094"/>
    <w:rPr>
      <w:rFonts w:cs="Times New Roman"/>
      <w:sz w:val="24"/>
      <w:szCs w:val="24"/>
    </w:rPr>
  </w:style>
  <w:style w:type="paragraph" w:customStyle="1" w:styleId="CM19">
    <w:name w:val="CM1+9"/>
    <w:basedOn w:val="Normlny"/>
    <w:next w:val="Normlny"/>
    <w:uiPriority w:val="99"/>
    <w:rsid w:val="0044533D"/>
    <w:pPr>
      <w:autoSpaceDE w:val="0"/>
      <w:autoSpaceDN w:val="0"/>
      <w:adjustRightInd w:val="0"/>
    </w:pPr>
    <w:rPr>
      <w:rFonts w:ascii="EUAlbertina" w:hAnsi="EUAlbertina"/>
    </w:rPr>
  </w:style>
  <w:style w:type="paragraph" w:customStyle="1" w:styleId="Default">
    <w:name w:val="Default"/>
    <w:rsid w:val="00C5661B"/>
    <w:pPr>
      <w:autoSpaceDE w:val="0"/>
      <w:autoSpaceDN w:val="0"/>
      <w:adjustRightInd w:val="0"/>
      <w:spacing w:after="0" w:line="240" w:lineRule="auto"/>
    </w:pPr>
    <w:rPr>
      <w:rFonts w:ascii="EUAlbertina" w:hAnsi="EUAlbertina" w:cs="EUAlbertina"/>
      <w:color w:val="000000"/>
      <w:sz w:val="24"/>
      <w:szCs w:val="24"/>
    </w:rPr>
  </w:style>
  <w:style w:type="paragraph" w:customStyle="1" w:styleId="CM1">
    <w:name w:val="CM1"/>
    <w:basedOn w:val="Default"/>
    <w:next w:val="Default"/>
    <w:uiPriority w:val="99"/>
    <w:rsid w:val="00C5661B"/>
    <w:rPr>
      <w:rFonts w:cs="Times New Roman"/>
      <w:color w:val="auto"/>
    </w:rPr>
  </w:style>
  <w:style w:type="paragraph" w:customStyle="1" w:styleId="CM3">
    <w:name w:val="CM3"/>
    <w:basedOn w:val="Default"/>
    <w:next w:val="Default"/>
    <w:uiPriority w:val="99"/>
    <w:rsid w:val="00C5661B"/>
    <w:rPr>
      <w:rFonts w:cs="Times New Roman"/>
      <w:color w:val="auto"/>
    </w:rPr>
  </w:style>
  <w:style w:type="paragraph" w:customStyle="1" w:styleId="Zkladntext0">
    <w:name w:val="Základní text"/>
    <w:aliases w:val="Základný text Char Char"/>
    <w:rsid w:val="0015661B"/>
    <w:pPr>
      <w:widowControl w:val="0"/>
      <w:autoSpaceDE w:val="0"/>
      <w:autoSpaceDN w:val="0"/>
      <w:spacing w:after="0" w:line="240" w:lineRule="auto"/>
    </w:pPr>
    <w:rPr>
      <w:rFonts w:ascii="Arial Narrow" w:hAnsi="Arial Narrow" w:cs="Arial Narrow"/>
      <w:color w:val="000000"/>
      <w:sz w:val="24"/>
      <w:szCs w:val="24"/>
    </w:rPr>
  </w:style>
  <w:style w:type="paragraph" w:styleId="Textbubliny">
    <w:name w:val="Balloon Text"/>
    <w:basedOn w:val="Normlny"/>
    <w:link w:val="TextbublinyChar"/>
    <w:uiPriority w:val="99"/>
    <w:semiHidden/>
    <w:unhideWhenUsed/>
    <w:rsid w:val="005346E7"/>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5346E7"/>
    <w:rPr>
      <w:rFonts w:ascii="Tahoma" w:hAnsi="Tahoma" w:cs="Tahoma"/>
      <w:sz w:val="16"/>
      <w:szCs w:val="16"/>
    </w:rPr>
  </w:style>
  <w:style w:type="paragraph" w:styleId="Odsekzoznamu">
    <w:name w:val="List Paragraph"/>
    <w:aliases w:val="Odsek zoznamu1,Odsek"/>
    <w:basedOn w:val="Normlny"/>
    <w:link w:val="OdsekzoznamuChar"/>
    <w:uiPriority w:val="34"/>
    <w:qFormat/>
    <w:rsid w:val="009C2D64"/>
    <w:pPr>
      <w:spacing w:after="160" w:line="256" w:lineRule="auto"/>
      <w:ind w:left="720"/>
      <w:contextualSpacing/>
    </w:pPr>
    <w:rPr>
      <w:rFonts w:ascii="Calibri" w:hAnsi="Calibri"/>
      <w:sz w:val="22"/>
      <w:szCs w:val="22"/>
      <w:lang w:eastAsia="en-US"/>
    </w:rPr>
  </w:style>
  <w:style w:type="paragraph" w:styleId="Zarkazkladnhotextu">
    <w:name w:val="Body Text Indent"/>
    <w:basedOn w:val="Normlny"/>
    <w:link w:val="ZarkazkladnhotextuChar"/>
    <w:uiPriority w:val="99"/>
    <w:rsid w:val="00BB42F2"/>
    <w:pPr>
      <w:spacing w:after="120"/>
      <w:ind w:left="283"/>
    </w:pPr>
  </w:style>
  <w:style w:type="character" w:customStyle="1" w:styleId="ZarkazkladnhotextuChar">
    <w:name w:val="Zarážka základného textu Char"/>
    <w:basedOn w:val="Predvolenpsmoodseku"/>
    <w:link w:val="Zarkazkladnhotextu"/>
    <w:uiPriority w:val="99"/>
    <w:locked/>
    <w:rsid w:val="00BB42F2"/>
    <w:rPr>
      <w:rFonts w:cs="Times New Roman"/>
      <w:sz w:val="24"/>
      <w:szCs w:val="24"/>
    </w:rPr>
  </w:style>
  <w:style w:type="character" w:styleId="Zvraznenie">
    <w:name w:val="Emphasis"/>
    <w:basedOn w:val="Predvolenpsmoodseku"/>
    <w:uiPriority w:val="20"/>
    <w:qFormat/>
    <w:rsid w:val="00BB42F2"/>
    <w:rPr>
      <w:rFonts w:ascii="Times New Roman" w:hAnsi="Times New Roman" w:cs="Times New Roman"/>
      <w:i/>
    </w:rPr>
  </w:style>
  <w:style w:type="character" w:styleId="Siln">
    <w:name w:val="Strong"/>
    <w:basedOn w:val="Predvolenpsmoodseku"/>
    <w:uiPriority w:val="22"/>
    <w:qFormat/>
    <w:rsid w:val="00BB42F2"/>
    <w:rPr>
      <w:rFonts w:ascii="Times New Roman" w:hAnsi="Times New Roman" w:cs="Times New Roman"/>
      <w:b/>
    </w:rPr>
  </w:style>
  <w:style w:type="paragraph" w:styleId="Nzov">
    <w:name w:val="Title"/>
    <w:basedOn w:val="Normlny"/>
    <w:link w:val="NzovChar"/>
    <w:uiPriority w:val="10"/>
    <w:qFormat/>
    <w:rsid w:val="00BB42F2"/>
    <w:pPr>
      <w:jc w:val="center"/>
    </w:pPr>
    <w:rPr>
      <w:b/>
      <w:bCs/>
    </w:rPr>
  </w:style>
  <w:style w:type="character" w:customStyle="1" w:styleId="NzovChar">
    <w:name w:val="Názov Char"/>
    <w:basedOn w:val="Predvolenpsmoodseku"/>
    <w:link w:val="Nzov"/>
    <w:uiPriority w:val="10"/>
    <w:locked/>
    <w:rsid w:val="00BB42F2"/>
    <w:rPr>
      <w:rFonts w:cs="Times New Roman"/>
      <w:b/>
      <w:bCs/>
      <w:sz w:val="24"/>
      <w:szCs w:val="24"/>
    </w:rPr>
  </w:style>
  <w:style w:type="paragraph" w:customStyle="1" w:styleId="c08dispositif2">
    <w:name w:val="c08dispositif2"/>
    <w:basedOn w:val="Normlny"/>
    <w:rsid w:val="00BB42F2"/>
    <w:pPr>
      <w:spacing w:before="192" w:after="240"/>
      <w:ind w:left="1134" w:hanging="567"/>
      <w:jc w:val="both"/>
    </w:pPr>
    <w:rPr>
      <w:rFonts w:ascii="Arial" w:hAnsi="Arial" w:cs="Arial"/>
      <w:b/>
      <w:bCs/>
      <w:sz w:val="22"/>
      <w:szCs w:val="22"/>
    </w:rPr>
  </w:style>
  <w:style w:type="character" w:customStyle="1" w:styleId="apple-converted-space">
    <w:name w:val="apple-converted-space"/>
    <w:rsid w:val="00BB42F2"/>
  </w:style>
  <w:style w:type="paragraph" w:styleId="Hlavika">
    <w:name w:val="header"/>
    <w:basedOn w:val="Normlny"/>
    <w:link w:val="HlavikaChar"/>
    <w:uiPriority w:val="99"/>
    <w:unhideWhenUsed/>
    <w:rsid w:val="00BB42F2"/>
    <w:pPr>
      <w:tabs>
        <w:tab w:val="center" w:pos="4536"/>
        <w:tab w:val="right" w:pos="9072"/>
      </w:tabs>
    </w:pPr>
    <w:rPr>
      <w:sz w:val="20"/>
      <w:szCs w:val="20"/>
    </w:rPr>
  </w:style>
  <w:style w:type="character" w:customStyle="1" w:styleId="HlavikaChar">
    <w:name w:val="Hlavička Char"/>
    <w:basedOn w:val="Predvolenpsmoodseku"/>
    <w:link w:val="Hlavika"/>
    <w:uiPriority w:val="99"/>
    <w:locked/>
    <w:rsid w:val="00BB42F2"/>
    <w:rPr>
      <w:rFonts w:cs="Times New Roman"/>
      <w:sz w:val="20"/>
      <w:szCs w:val="20"/>
    </w:rPr>
  </w:style>
  <w:style w:type="paragraph" w:styleId="Pta">
    <w:name w:val="footer"/>
    <w:basedOn w:val="Normlny"/>
    <w:link w:val="PtaChar"/>
    <w:uiPriority w:val="99"/>
    <w:unhideWhenUsed/>
    <w:rsid w:val="00BB42F2"/>
    <w:pPr>
      <w:tabs>
        <w:tab w:val="center" w:pos="4536"/>
        <w:tab w:val="right" w:pos="9072"/>
      </w:tabs>
    </w:pPr>
    <w:rPr>
      <w:sz w:val="20"/>
      <w:szCs w:val="20"/>
    </w:rPr>
  </w:style>
  <w:style w:type="character" w:customStyle="1" w:styleId="PtaChar">
    <w:name w:val="Päta Char"/>
    <w:basedOn w:val="Predvolenpsmoodseku"/>
    <w:link w:val="Pta"/>
    <w:uiPriority w:val="99"/>
    <w:locked/>
    <w:rsid w:val="00BB42F2"/>
    <w:rPr>
      <w:rFonts w:cs="Times New Roman"/>
      <w:sz w:val="20"/>
      <w:szCs w:val="20"/>
    </w:rPr>
  </w:style>
  <w:style w:type="character" w:styleId="slostrany">
    <w:name w:val="page number"/>
    <w:basedOn w:val="Predvolenpsmoodseku"/>
    <w:uiPriority w:val="99"/>
    <w:rsid w:val="00BB42F2"/>
    <w:rPr>
      <w:rFonts w:cs="Times New Roman"/>
    </w:rPr>
  </w:style>
  <w:style w:type="table" w:styleId="Mriekatabuky">
    <w:name w:val="Table Grid"/>
    <w:basedOn w:val="Normlnatabuka"/>
    <w:uiPriority w:val="59"/>
    <w:rsid w:val="00BB42F2"/>
    <w:pPr>
      <w:spacing w:after="0" w:line="240" w:lineRule="auto"/>
    </w:pPr>
    <w:rPr>
      <w:rFonts w:asciiTheme="minorHAnsi" w:hAnsi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yajntext">
    <w:name w:val="Plain Text"/>
    <w:basedOn w:val="Normlny"/>
    <w:link w:val="ObyajntextChar"/>
    <w:uiPriority w:val="99"/>
    <w:unhideWhenUsed/>
    <w:rsid w:val="00BB42F2"/>
    <w:rPr>
      <w:rFonts w:ascii="Calibri" w:hAnsi="Calibri"/>
      <w:sz w:val="22"/>
      <w:szCs w:val="21"/>
      <w:lang w:eastAsia="en-US"/>
    </w:rPr>
  </w:style>
  <w:style w:type="character" w:customStyle="1" w:styleId="ObyajntextChar">
    <w:name w:val="Obyčajný text Char"/>
    <w:basedOn w:val="Predvolenpsmoodseku"/>
    <w:link w:val="Obyajntext"/>
    <w:uiPriority w:val="99"/>
    <w:locked/>
    <w:rsid w:val="00BB42F2"/>
    <w:rPr>
      <w:rFonts w:ascii="Calibri" w:hAnsi="Calibri" w:cs="Times New Roman"/>
      <w:sz w:val="21"/>
      <w:szCs w:val="21"/>
      <w:lang w:val="x-none" w:eastAsia="en-US"/>
    </w:rPr>
  </w:style>
  <w:style w:type="paragraph" w:styleId="Normlnywebov">
    <w:name w:val="Normal (Web)"/>
    <w:basedOn w:val="Normlny"/>
    <w:uiPriority w:val="99"/>
    <w:unhideWhenUsed/>
    <w:rsid w:val="00BB42F2"/>
    <w:pPr>
      <w:spacing w:before="100" w:beforeAutospacing="1" w:after="100" w:afterAutospacing="1"/>
    </w:pPr>
  </w:style>
  <w:style w:type="character" w:styleId="Hypertextovprepojenie">
    <w:name w:val="Hyperlink"/>
    <w:basedOn w:val="Predvolenpsmoodseku"/>
    <w:uiPriority w:val="99"/>
    <w:rsid w:val="00BB42F2"/>
    <w:rPr>
      <w:rFonts w:cs="Times New Roman"/>
      <w:color w:val="0000FF" w:themeColor="hyperlink"/>
      <w:u w:val="single"/>
    </w:rPr>
  </w:style>
  <w:style w:type="character" w:customStyle="1" w:styleId="OdsekzoznamuChar">
    <w:name w:val="Odsek zoznamu Char"/>
    <w:aliases w:val="Odsek zoznamu1 Char,Odsek Char"/>
    <w:link w:val="Odsekzoznamu"/>
    <w:uiPriority w:val="34"/>
    <w:locked/>
    <w:rsid w:val="00BB42F2"/>
    <w:rPr>
      <w:rFonts w:ascii="Calibri" w:hAnsi="Calibri"/>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3657258">
      <w:marLeft w:val="0"/>
      <w:marRight w:val="0"/>
      <w:marTop w:val="0"/>
      <w:marBottom w:val="0"/>
      <w:divBdr>
        <w:top w:val="none" w:sz="0" w:space="0" w:color="auto"/>
        <w:left w:val="none" w:sz="0" w:space="0" w:color="auto"/>
        <w:bottom w:val="none" w:sz="0" w:space="0" w:color="auto"/>
        <w:right w:val="none" w:sz="0" w:space="0" w:color="auto"/>
      </w:divBdr>
    </w:div>
    <w:div w:id="1963657259">
      <w:marLeft w:val="0"/>
      <w:marRight w:val="0"/>
      <w:marTop w:val="0"/>
      <w:marBottom w:val="0"/>
      <w:divBdr>
        <w:top w:val="none" w:sz="0" w:space="0" w:color="auto"/>
        <w:left w:val="none" w:sz="0" w:space="0" w:color="auto"/>
        <w:bottom w:val="none" w:sz="0" w:space="0" w:color="auto"/>
        <w:right w:val="none" w:sz="0" w:space="0" w:color="auto"/>
      </w:divBdr>
    </w:div>
    <w:div w:id="1963657260">
      <w:marLeft w:val="0"/>
      <w:marRight w:val="0"/>
      <w:marTop w:val="0"/>
      <w:marBottom w:val="0"/>
      <w:divBdr>
        <w:top w:val="none" w:sz="0" w:space="0" w:color="auto"/>
        <w:left w:val="none" w:sz="0" w:space="0" w:color="auto"/>
        <w:bottom w:val="none" w:sz="0" w:space="0" w:color="auto"/>
        <w:right w:val="none" w:sz="0" w:space="0" w:color="auto"/>
      </w:divBdr>
    </w:div>
    <w:div w:id="1963657261">
      <w:marLeft w:val="0"/>
      <w:marRight w:val="0"/>
      <w:marTop w:val="0"/>
      <w:marBottom w:val="0"/>
      <w:divBdr>
        <w:top w:val="none" w:sz="0" w:space="0" w:color="auto"/>
        <w:left w:val="none" w:sz="0" w:space="0" w:color="auto"/>
        <w:bottom w:val="none" w:sz="0" w:space="0" w:color="auto"/>
        <w:right w:val="none" w:sz="0" w:space="0" w:color="auto"/>
      </w:divBdr>
    </w:div>
    <w:div w:id="1963657262">
      <w:marLeft w:val="0"/>
      <w:marRight w:val="0"/>
      <w:marTop w:val="0"/>
      <w:marBottom w:val="0"/>
      <w:divBdr>
        <w:top w:val="none" w:sz="0" w:space="0" w:color="auto"/>
        <w:left w:val="none" w:sz="0" w:space="0" w:color="auto"/>
        <w:bottom w:val="none" w:sz="0" w:space="0" w:color="auto"/>
        <w:right w:val="none" w:sz="0" w:space="0" w:color="auto"/>
      </w:divBdr>
    </w:div>
    <w:div w:id="196365726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ilan.danisovic@mfsr.sk"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24</Pages>
  <Words>8394</Words>
  <Characters>47850</Characters>
  <Application>Microsoft Office Word</Application>
  <DocSecurity>0</DocSecurity>
  <Lines>398</Lines>
  <Paragraphs>112</Paragraphs>
  <ScaleCrop>false</ScaleCrop>
  <HeadingPairs>
    <vt:vector size="2" baseType="variant">
      <vt:variant>
        <vt:lpstr>Názov</vt:lpstr>
      </vt:variant>
      <vt:variant>
        <vt:i4>1</vt:i4>
      </vt:variant>
    </vt:vector>
  </HeadingPairs>
  <TitlesOfParts>
    <vt:vector size="1" baseType="lpstr">
      <vt:lpstr>Predkladacia správa</vt:lpstr>
    </vt:vector>
  </TitlesOfParts>
  <Company>MFSR</Company>
  <LinksUpToDate>false</LinksUpToDate>
  <CharactersWithSpaces>56132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Predkladacia správa</dc:title>
  <dc:subject/>
  <dc:creator>MFSR</dc:creator>
  <cp:keywords/>
  <dc:description/>
  <cp:lastModifiedBy>Danisovic Milan</cp:lastModifiedBy>
  <cp:revision>7</cp:revision>
  <cp:lastPrinted>2018-09-26T12:47:00Z</cp:lastPrinted>
  <dcterms:created xsi:type="dcterms:W3CDTF">2018-09-26T09:21:00Z</dcterms:created>
  <dcterms:modified xsi:type="dcterms:W3CDTF">2018-09-27T07:07:00Z</dcterms:modified>
</cp:coreProperties>
</file>