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EC6C6" w14:textId="77777777" w:rsidR="00863E8E" w:rsidRDefault="00863E8E" w:rsidP="00B14FB0">
      <w:pPr>
        <w:jc w:val="center"/>
        <w:rPr>
          <w:rFonts w:ascii="Times New Roman" w:hAnsi="Times New Roman"/>
          <w:b/>
          <w:sz w:val="24"/>
          <w:szCs w:val="24"/>
        </w:rPr>
      </w:pPr>
    </w:p>
    <w:p w14:paraId="712C6D79" w14:textId="77777777" w:rsidR="00CC7A83" w:rsidRDefault="00C4393A" w:rsidP="00B14FB0">
      <w:pPr>
        <w:jc w:val="center"/>
        <w:rPr>
          <w:rFonts w:ascii="Times New Roman" w:hAnsi="Times New Roman"/>
          <w:b/>
          <w:sz w:val="24"/>
          <w:szCs w:val="24"/>
        </w:rPr>
      </w:pPr>
      <w:r>
        <w:rPr>
          <w:rFonts w:ascii="Times New Roman" w:hAnsi="Times New Roman"/>
          <w:b/>
          <w:sz w:val="24"/>
          <w:szCs w:val="24"/>
        </w:rPr>
        <w:t>Dôvodová</w:t>
      </w:r>
      <w:r w:rsidR="00B14FB0">
        <w:rPr>
          <w:rFonts w:ascii="Times New Roman" w:hAnsi="Times New Roman"/>
          <w:b/>
          <w:sz w:val="24"/>
          <w:szCs w:val="24"/>
        </w:rPr>
        <w:t xml:space="preserve"> správa </w:t>
      </w:r>
    </w:p>
    <w:p w14:paraId="5070A91A" w14:textId="77777777" w:rsidR="000D54BB" w:rsidRDefault="00B14FB0" w:rsidP="00B03251">
      <w:pPr>
        <w:pStyle w:val="Odsekzoznamu"/>
        <w:numPr>
          <w:ilvl w:val="0"/>
          <w:numId w:val="3"/>
        </w:numPr>
        <w:ind w:left="284" w:hanging="284"/>
        <w:rPr>
          <w:rFonts w:ascii="Times New Roman" w:hAnsi="Times New Roman"/>
          <w:b/>
          <w:sz w:val="24"/>
          <w:szCs w:val="24"/>
        </w:rPr>
      </w:pPr>
      <w:r w:rsidRPr="00CC7A83">
        <w:rPr>
          <w:rFonts w:ascii="Times New Roman" w:hAnsi="Times New Roman"/>
          <w:b/>
          <w:sz w:val="24"/>
          <w:szCs w:val="24"/>
        </w:rPr>
        <w:t xml:space="preserve">všeobecná časť </w:t>
      </w:r>
    </w:p>
    <w:p w14:paraId="27AD8CB1" w14:textId="77777777" w:rsidR="006E3F0D" w:rsidRPr="00CC7A83" w:rsidRDefault="006E3F0D" w:rsidP="006E3F0D">
      <w:pPr>
        <w:pStyle w:val="Odsekzoznamu"/>
        <w:ind w:left="714"/>
        <w:rPr>
          <w:rFonts w:ascii="Times New Roman" w:hAnsi="Times New Roman"/>
          <w:b/>
          <w:sz w:val="24"/>
          <w:szCs w:val="24"/>
        </w:rPr>
      </w:pPr>
    </w:p>
    <w:p w14:paraId="0D1424E3" w14:textId="77777777" w:rsidR="00B14FB0" w:rsidRDefault="002846C4" w:rsidP="006E3F0D">
      <w:pPr>
        <w:pStyle w:val="Odsekzoznamu"/>
        <w:spacing w:before="160" w:after="120"/>
        <w:ind w:left="0" w:firstLine="567"/>
        <w:contextualSpacing w:val="0"/>
        <w:jc w:val="both"/>
        <w:rPr>
          <w:rFonts w:ascii="Times New Roman" w:hAnsi="Times New Roman"/>
          <w:sz w:val="24"/>
          <w:szCs w:val="24"/>
        </w:rPr>
      </w:pPr>
      <w:r>
        <w:rPr>
          <w:rFonts w:ascii="Times New Roman" w:hAnsi="Times New Roman"/>
          <w:sz w:val="24"/>
          <w:szCs w:val="24"/>
        </w:rPr>
        <w:t>Zákonom č. 357/2015 Z. z. o finančnej kontrole a audite a o zmene a doplnení niektorých zákonov, ktorý nadobudol účinnosť 1. 1. 2016 došlo k zefektívneniu systému verejnej vnútornej kontroly a auditu a bolo vytvorené také prostredie, ktoré poskytuje uistenie, že verejné výdavky sú využívané hospodárne, efektívne, účelne a účinne. Vyše dvojročná aplikačná prax si vyžaduje precizovanie už zavedených inštitútov, čo je zohľadnené v n</w:t>
      </w:r>
      <w:r w:rsidR="00B14FB0">
        <w:rPr>
          <w:rFonts w:ascii="Times New Roman" w:hAnsi="Times New Roman"/>
          <w:sz w:val="24"/>
          <w:szCs w:val="24"/>
        </w:rPr>
        <w:t>ávrh</w:t>
      </w:r>
      <w:r>
        <w:rPr>
          <w:rFonts w:ascii="Times New Roman" w:hAnsi="Times New Roman"/>
          <w:sz w:val="24"/>
          <w:szCs w:val="24"/>
        </w:rPr>
        <w:t>u</w:t>
      </w:r>
      <w:r w:rsidR="00B14FB0">
        <w:rPr>
          <w:rFonts w:ascii="Times New Roman" w:hAnsi="Times New Roman"/>
          <w:sz w:val="24"/>
          <w:szCs w:val="24"/>
        </w:rPr>
        <w:t xml:space="preserve"> zákona, ktorým sa mení a dopĺňa zákon č. 357/2015 Z. z. o finančnej kontrole a audite a o zmene a doplnení niektorých zákonov</w:t>
      </w:r>
      <w:r w:rsidR="002C2B78">
        <w:rPr>
          <w:rFonts w:ascii="Times New Roman" w:hAnsi="Times New Roman"/>
          <w:sz w:val="24"/>
          <w:szCs w:val="24"/>
        </w:rPr>
        <w:t xml:space="preserve"> v znení zákona č. 177/2018 Z. z. </w:t>
      </w:r>
      <w:r w:rsidR="00B14FB0">
        <w:rPr>
          <w:rFonts w:ascii="Times New Roman" w:hAnsi="Times New Roman"/>
          <w:sz w:val="24"/>
          <w:szCs w:val="24"/>
        </w:rPr>
        <w:t xml:space="preserve"> a ktorým sa menia </w:t>
      </w:r>
      <w:r w:rsidR="00531E09">
        <w:rPr>
          <w:rFonts w:ascii="Times New Roman" w:hAnsi="Times New Roman"/>
          <w:sz w:val="24"/>
          <w:szCs w:val="24"/>
        </w:rPr>
        <w:t xml:space="preserve">a dopĺňajú </w:t>
      </w:r>
      <w:r w:rsidR="00B14FB0">
        <w:rPr>
          <w:rFonts w:ascii="Times New Roman" w:hAnsi="Times New Roman"/>
          <w:sz w:val="24"/>
          <w:szCs w:val="24"/>
        </w:rPr>
        <w:t xml:space="preserve">niektoré zákony </w:t>
      </w:r>
      <w:r w:rsidR="005B3BC1">
        <w:rPr>
          <w:rFonts w:ascii="Times New Roman" w:hAnsi="Times New Roman"/>
          <w:sz w:val="24"/>
          <w:szCs w:val="24"/>
        </w:rPr>
        <w:t>(ďalej len „návrh zákona“)</w:t>
      </w:r>
      <w:r>
        <w:rPr>
          <w:rFonts w:ascii="Times New Roman" w:hAnsi="Times New Roman"/>
          <w:sz w:val="24"/>
          <w:szCs w:val="24"/>
        </w:rPr>
        <w:t>.</w:t>
      </w:r>
      <w:r w:rsidR="005B3BC1">
        <w:rPr>
          <w:rFonts w:ascii="Times New Roman" w:hAnsi="Times New Roman"/>
          <w:sz w:val="24"/>
          <w:szCs w:val="24"/>
        </w:rPr>
        <w:t xml:space="preserve"> </w:t>
      </w:r>
      <w:r w:rsidR="00B14FB0">
        <w:rPr>
          <w:rFonts w:ascii="Times New Roman" w:hAnsi="Times New Roman"/>
          <w:sz w:val="24"/>
          <w:szCs w:val="24"/>
        </w:rPr>
        <w:t xml:space="preserve">Prijatím návrhu </w:t>
      </w:r>
      <w:r w:rsidR="005B3BC1">
        <w:rPr>
          <w:rFonts w:ascii="Times New Roman" w:hAnsi="Times New Roman"/>
          <w:sz w:val="24"/>
          <w:szCs w:val="24"/>
        </w:rPr>
        <w:t xml:space="preserve">zákona </w:t>
      </w:r>
      <w:r w:rsidR="00B14FB0">
        <w:rPr>
          <w:rFonts w:ascii="Times New Roman" w:hAnsi="Times New Roman"/>
          <w:sz w:val="24"/>
          <w:szCs w:val="24"/>
        </w:rPr>
        <w:t>sa</w:t>
      </w:r>
      <w:r w:rsidR="00432F33">
        <w:rPr>
          <w:rFonts w:ascii="Times New Roman" w:hAnsi="Times New Roman"/>
          <w:sz w:val="24"/>
          <w:szCs w:val="24"/>
        </w:rPr>
        <w:t> </w:t>
      </w:r>
      <w:r w:rsidR="00054F48">
        <w:rPr>
          <w:rFonts w:ascii="Times New Roman" w:hAnsi="Times New Roman"/>
          <w:sz w:val="24"/>
          <w:szCs w:val="24"/>
        </w:rPr>
        <w:t>do</w:t>
      </w:r>
      <w:r w:rsidR="005B3BC1">
        <w:rPr>
          <w:rFonts w:ascii="Times New Roman" w:hAnsi="Times New Roman"/>
          <w:sz w:val="24"/>
          <w:szCs w:val="24"/>
        </w:rPr>
        <w:t> </w:t>
      </w:r>
      <w:r w:rsidR="00054F48">
        <w:rPr>
          <w:rFonts w:ascii="Times New Roman" w:hAnsi="Times New Roman"/>
          <w:sz w:val="24"/>
          <w:szCs w:val="24"/>
        </w:rPr>
        <w:t xml:space="preserve">systému finančnej kontroly a auditu zapracujú </w:t>
      </w:r>
      <w:r w:rsidR="00EE7BAF">
        <w:rPr>
          <w:rFonts w:ascii="Times New Roman" w:hAnsi="Times New Roman"/>
          <w:sz w:val="24"/>
          <w:szCs w:val="24"/>
        </w:rPr>
        <w:t>zmeny súvisiace najmä s</w:t>
      </w:r>
      <w:r w:rsidR="00AC6EAA">
        <w:rPr>
          <w:rFonts w:ascii="Times New Roman" w:hAnsi="Times New Roman"/>
          <w:sz w:val="24"/>
          <w:szCs w:val="24"/>
        </w:rPr>
        <w:t> </w:t>
      </w:r>
      <w:r w:rsidR="00EE7BAF">
        <w:rPr>
          <w:rFonts w:ascii="Times New Roman" w:hAnsi="Times New Roman"/>
          <w:sz w:val="24"/>
          <w:szCs w:val="24"/>
        </w:rPr>
        <w:t>podnetmi</w:t>
      </w:r>
      <w:r w:rsidR="00054F48" w:rsidRPr="00054F48">
        <w:rPr>
          <w:rFonts w:ascii="Times New Roman" w:hAnsi="Times New Roman"/>
          <w:sz w:val="24"/>
          <w:szCs w:val="24"/>
        </w:rPr>
        <w:t>, ktoré</w:t>
      </w:r>
      <w:r w:rsidR="0084732A">
        <w:rPr>
          <w:rFonts w:ascii="Times New Roman" w:hAnsi="Times New Roman"/>
          <w:sz w:val="24"/>
          <w:szCs w:val="24"/>
        </w:rPr>
        <w:t> </w:t>
      </w:r>
      <w:r w:rsidR="00054F48" w:rsidRPr="00054F48">
        <w:rPr>
          <w:rFonts w:ascii="Times New Roman" w:hAnsi="Times New Roman"/>
          <w:sz w:val="24"/>
          <w:szCs w:val="24"/>
        </w:rPr>
        <w:t>boli od účinnosti zákona Ministerstvu financií SR predkladané zo</w:t>
      </w:r>
      <w:r w:rsidR="005658E2">
        <w:rPr>
          <w:rFonts w:ascii="Times New Roman" w:hAnsi="Times New Roman"/>
          <w:sz w:val="24"/>
          <w:szCs w:val="24"/>
        </w:rPr>
        <w:t> </w:t>
      </w:r>
      <w:r w:rsidR="00054F48" w:rsidRPr="00054F48">
        <w:rPr>
          <w:rFonts w:ascii="Times New Roman" w:hAnsi="Times New Roman"/>
          <w:sz w:val="24"/>
          <w:szCs w:val="24"/>
        </w:rPr>
        <w:t xml:space="preserve">strany fyzických </w:t>
      </w:r>
      <w:r w:rsidR="00EE7BAF">
        <w:rPr>
          <w:rFonts w:ascii="Times New Roman" w:hAnsi="Times New Roman"/>
          <w:sz w:val="24"/>
          <w:szCs w:val="24"/>
        </w:rPr>
        <w:t xml:space="preserve">osôb </w:t>
      </w:r>
      <w:r w:rsidR="00054F48" w:rsidRPr="00054F48">
        <w:rPr>
          <w:rFonts w:ascii="Times New Roman" w:hAnsi="Times New Roman"/>
          <w:sz w:val="24"/>
          <w:szCs w:val="24"/>
        </w:rPr>
        <w:t>a</w:t>
      </w:r>
      <w:r w:rsidR="00EE7BAF">
        <w:rPr>
          <w:rFonts w:ascii="Times New Roman" w:hAnsi="Times New Roman"/>
          <w:sz w:val="24"/>
          <w:szCs w:val="24"/>
        </w:rPr>
        <w:t>lebo</w:t>
      </w:r>
      <w:r w:rsidR="00E46B8D">
        <w:rPr>
          <w:rFonts w:ascii="Times New Roman" w:hAnsi="Times New Roman"/>
          <w:sz w:val="24"/>
          <w:szCs w:val="24"/>
        </w:rPr>
        <w:t> </w:t>
      </w:r>
      <w:r w:rsidR="00054F48" w:rsidRPr="00054F48">
        <w:rPr>
          <w:rFonts w:ascii="Times New Roman" w:hAnsi="Times New Roman"/>
          <w:sz w:val="24"/>
          <w:szCs w:val="24"/>
        </w:rPr>
        <w:t>právnických osôb vykonávajúcich finančnú kontrolu a</w:t>
      </w:r>
      <w:r w:rsidR="00EE7BAF">
        <w:rPr>
          <w:rFonts w:ascii="Times New Roman" w:hAnsi="Times New Roman"/>
          <w:sz w:val="24"/>
          <w:szCs w:val="24"/>
        </w:rPr>
        <w:t>lebo</w:t>
      </w:r>
      <w:r w:rsidR="004E06C8">
        <w:rPr>
          <w:rFonts w:ascii="Times New Roman" w:hAnsi="Times New Roman"/>
          <w:sz w:val="24"/>
          <w:szCs w:val="24"/>
        </w:rPr>
        <w:t> </w:t>
      </w:r>
      <w:r w:rsidR="00054F48" w:rsidRPr="00054F48">
        <w:rPr>
          <w:rFonts w:ascii="Times New Roman" w:hAnsi="Times New Roman"/>
          <w:sz w:val="24"/>
          <w:szCs w:val="24"/>
        </w:rPr>
        <w:t>audit, a ktoré vyplynuli zo</w:t>
      </w:r>
      <w:r w:rsidR="00E46B8D">
        <w:rPr>
          <w:rFonts w:ascii="Times New Roman" w:hAnsi="Times New Roman"/>
          <w:sz w:val="24"/>
          <w:szCs w:val="24"/>
        </w:rPr>
        <w:t> </w:t>
      </w:r>
      <w:r w:rsidR="00054F48" w:rsidRPr="00054F48">
        <w:rPr>
          <w:rFonts w:ascii="Times New Roman" w:hAnsi="Times New Roman"/>
          <w:sz w:val="24"/>
          <w:szCs w:val="24"/>
        </w:rPr>
        <w:t>samotnej činnosti sekcie auditu a kontroly Ministerstva financií SR. Návrhy na</w:t>
      </w:r>
      <w:r w:rsidR="00AC6EAA">
        <w:rPr>
          <w:rFonts w:ascii="Times New Roman" w:hAnsi="Times New Roman"/>
          <w:sz w:val="24"/>
          <w:szCs w:val="24"/>
        </w:rPr>
        <w:t> </w:t>
      </w:r>
      <w:r w:rsidR="00054F48" w:rsidRPr="00054F48">
        <w:rPr>
          <w:rFonts w:ascii="Times New Roman" w:hAnsi="Times New Roman"/>
          <w:sz w:val="24"/>
          <w:szCs w:val="24"/>
        </w:rPr>
        <w:t>zmen</w:t>
      </w:r>
      <w:r w:rsidR="005B3BC1">
        <w:rPr>
          <w:rFonts w:ascii="Times New Roman" w:hAnsi="Times New Roman"/>
          <w:sz w:val="24"/>
          <w:szCs w:val="24"/>
        </w:rPr>
        <w:t>y</w:t>
      </w:r>
      <w:r w:rsidR="00054F48" w:rsidRPr="00054F48">
        <w:rPr>
          <w:rFonts w:ascii="Times New Roman" w:hAnsi="Times New Roman"/>
          <w:sz w:val="24"/>
          <w:szCs w:val="24"/>
        </w:rPr>
        <w:t xml:space="preserve"> a</w:t>
      </w:r>
      <w:r w:rsidR="00E46B8D">
        <w:rPr>
          <w:rFonts w:ascii="Times New Roman" w:hAnsi="Times New Roman"/>
          <w:sz w:val="24"/>
          <w:szCs w:val="24"/>
        </w:rPr>
        <w:t> </w:t>
      </w:r>
      <w:r w:rsidR="00054F48" w:rsidRPr="00054F48">
        <w:rPr>
          <w:rFonts w:ascii="Times New Roman" w:hAnsi="Times New Roman"/>
          <w:sz w:val="24"/>
          <w:szCs w:val="24"/>
        </w:rPr>
        <w:t>doplneni</w:t>
      </w:r>
      <w:r w:rsidR="005B3BC1">
        <w:rPr>
          <w:rFonts w:ascii="Times New Roman" w:hAnsi="Times New Roman"/>
          <w:sz w:val="24"/>
          <w:szCs w:val="24"/>
        </w:rPr>
        <w:t>a</w:t>
      </w:r>
      <w:r w:rsidR="00054F48" w:rsidRPr="00054F48">
        <w:rPr>
          <w:rFonts w:ascii="Times New Roman" w:hAnsi="Times New Roman"/>
          <w:sz w:val="24"/>
          <w:szCs w:val="24"/>
        </w:rPr>
        <w:t xml:space="preserve"> majú za cieľ zefektívniť postup výkonu finančnej kontroly a auditu a</w:t>
      </w:r>
      <w:r w:rsidR="005B3BC1">
        <w:rPr>
          <w:rFonts w:ascii="Times New Roman" w:hAnsi="Times New Roman"/>
          <w:sz w:val="24"/>
          <w:szCs w:val="24"/>
        </w:rPr>
        <w:t> </w:t>
      </w:r>
      <w:r w:rsidR="00054F48" w:rsidRPr="00054F48">
        <w:rPr>
          <w:rFonts w:ascii="Times New Roman" w:hAnsi="Times New Roman"/>
          <w:sz w:val="24"/>
          <w:szCs w:val="24"/>
        </w:rPr>
        <w:t>naďalej podporovať hospodárne, efektívne, účelné a</w:t>
      </w:r>
      <w:r w:rsidR="00E46B8D">
        <w:rPr>
          <w:rFonts w:ascii="Times New Roman" w:hAnsi="Times New Roman"/>
          <w:sz w:val="24"/>
          <w:szCs w:val="24"/>
        </w:rPr>
        <w:t> ú</w:t>
      </w:r>
      <w:r w:rsidR="00054F48" w:rsidRPr="00054F48">
        <w:rPr>
          <w:rFonts w:ascii="Times New Roman" w:hAnsi="Times New Roman"/>
          <w:sz w:val="24"/>
          <w:szCs w:val="24"/>
        </w:rPr>
        <w:t>činné využívanie verejných financií.</w:t>
      </w:r>
    </w:p>
    <w:p w14:paraId="58D7D528" w14:textId="77777777" w:rsidR="00456997" w:rsidRDefault="00B14FB0" w:rsidP="00A47D74">
      <w:pPr>
        <w:spacing w:after="120"/>
        <w:ind w:firstLine="567"/>
        <w:jc w:val="both"/>
        <w:rPr>
          <w:rFonts w:ascii="Times New Roman" w:hAnsi="Times New Roman"/>
          <w:sz w:val="24"/>
          <w:szCs w:val="24"/>
        </w:rPr>
      </w:pPr>
      <w:r>
        <w:rPr>
          <w:rFonts w:ascii="Times New Roman" w:hAnsi="Times New Roman"/>
          <w:sz w:val="24"/>
          <w:szCs w:val="24"/>
        </w:rPr>
        <w:t xml:space="preserve">V nadväznosti na uvedené, sa </w:t>
      </w:r>
      <w:r w:rsidR="00EE7BAF">
        <w:rPr>
          <w:rFonts w:ascii="Times New Roman" w:hAnsi="Times New Roman"/>
          <w:sz w:val="24"/>
          <w:szCs w:val="24"/>
        </w:rPr>
        <w:t xml:space="preserve">v návrhu zákona </w:t>
      </w:r>
      <w:r w:rsidR="005B3BC1">
        <w:rPr>
          <w:rFonts w:ascii="Times New Roman" w:hAnsi="Times New Roman"/>
          <w:color w:val="000000"/>
          <w:sz w:val="24"/>
          <w:szCs w:val="24"/>
          <w:lang w:eastAsia="sk-SK"/>
        </w:rPr>
        <w:t>jednoznačnejšie a zrozumiteľnejšie defin</w:t>
      </w:r>
      <w:r w:rsidR="00EE7BAF">
        <w:rPr>
          <w:rFonts w:ascii="Times New Roman" w:hAnsi="Times New Roman"/>
          <w:color w:val="000000"/>
          <w:sz w:val="24"/>
          <w:szCs w:val="24"/>
          <w:lang w:eastAsia="sk-SK"/>
        </w:rPr>
        <w:t>ujú</w:t>
      </w:r>
      <w:r w:rsidR="005B3BC1">
        <w:rPr>
          <w:rFonts w:ascii="Times New Roman" w:hAnsi="Times New Roman"/>
          <w:color w:val="000000"/>
          <w:sz w:val="24"/>
          <w:szCs w:val="24"/>
          <w:lang w:eastAsia="sk-SK"/>
        </w:rPr>
        <w:t xml:space="preserve"> možnost</w:t>
      </w:r>
      <w:r w:rsidR="00EE7BAF">
        <w:rPr>
          <w:rFonts w:ascii="Times New Roman" w:hAnsi="Times New Roman"/>
          <w:color w:val="000000"/>
          <w:sz w:val="24"/>
          <w:szCs w:val="24"/>
          <w:lang w:eastAsia="sk-SK"/>
        </w:rPr>
        <w:t>i</w:t>
      </w:r>
      <w:r w:rsidR="005B3BC1">
        <w:rPr>
          <w:rFonts w:ascii="Times New Roman" w:hAnsi="Times New Roman"/>
          <w:color w:val="000000"/>
          <w:sz w:val="24"/>
          <w:szCs w:val="24"/>
          <w:lang w:eastAsia="sk-SK"/>
        </w:rPr>
        <w:t xml:space="preserve"> vyjadrenia osôb vykonávajúcich základnú finančnú kontrolu</w:t>
      </w:r>
      <w:r w:rsidR="00BA388B">
        <w:rPr>
          <w:rFonts w:ascii="Times New Roman" w:hAnsi="Times New Roman"/>
          <w:sz w:val="24"/>
          <w:szCs w:val="24"/>
        </w:rPr>
        <w:t xml:space="preserve">, </w:t>
      </w:r>
      <w:r w:rsidR="005B3BC1">
        <w:rPr>
          <w:rFonts w:ascii="Times New Roman" w:hAnsi="Times New Roman"/>
          <w:sz w:val="24"/>
          <w:szCs w:val="24"/>
        </w:rPr>
        <w:t xml:space="preserve">nakoľko uvedené nebolo </w:t>
      </w:r>
      <w:r w:rsidR="00BA388B">
        <w:rPr>
          <w:rFonts w:ascii="Times New Roman" w:hAnsi="Times New Roman"/>
          <w:sz w:val="24"/>
          <w:szCs w:val="24"/>
        </w:rPr>
        <w:t>v súčasnom znení pre</w:t>
      </w:r>
      <w:r w:rsidR="004B624F">
        <w:rPr>
          <w:rFonts w:ascii="Times New Roman" w:hAnsi="Times New Roman"/>
          <w:sz w:val="24"/>
          <w:szCs w:val="24"/>
        </w:rPr>
        <w:t> </w:t>
      </w:r>
      <w:r w:rsidR="00BA388B">
        <w:rPr>
          <w:rFonts w:ascii="Times New Roman" w:hAnsi="Times New Roman"/>
          <w:sz w:val="24"/>
          <w:szCs w:val="24"/>
        </w:rPr>
        <w:t>zamestnancov orgánov verejnej správy</w:t>
      </w:r>
      <w:r w:rsidR="00FA5DE1">
        <w:rPr>
          <w:rFonts w:ascii="Times New Roman" w:hAnsi="Times New Roman"/>
          <w:sz w:val="24"/>
          <w:szCs w:val="24"/>
        </w:rPr>
        <w:t xml:space="preserve"> dostatočne zrejmé</w:t>
      </w:r>
      <w:r w:rsidR="00BA388B">
        <w:rPr>
          <w:rFonts w:ascii="Times New Roman" w:hAnsi="Times New Roman"/>
          <w:sz w:val="24"/>
          <w:szCs w:val="24"/>
        </w:rPr>
        <w:t xml:space="preserve">. </w:t>
      </w:r>
      <w:r w:rsidR="001A6FC5">
        <w:rPr>
          <w:rFonts w:ascii="Times New Roman" w:hAnsi="Times New Roman"/>
          <w:sz w:val="24"/>
          <w:szCs w:val="24"/>
        </w:rPr>
        <w:t>Začiatok a</w:t>
      </w:r>
      <w:r w:rsidR="001A6FC5" w:rsidRPr="001A6FC5">
        <w:rPr>
          <w:rFonts w:ascii="Times New Roman" w:hAnsi="Times New Roman"/>
          <w:sz w:val="24"/>
          <w:szCs w:val="24"/>
        </w:rPr>
        <w:t>dministratívn</w:t>
      </w:r>
      <w:r w:rsidR="001A6FC5">
        <w:rPr>
          <w:rFonts w:ascii="Times New Roman" w:hAnsi="Times New Roman"/>
          <w:sz w:val="24"/>
          <w:szCs w:val="24"/>
        </w:rPr>
        <w:t>ej</w:t>
      </w:r>
      <w:r w:rsidR="001A6FC5" w:rsidRPr="001A6FC5">
        <w:rPr>
          <w:rFonts w:ascii="Times New Roman" w:hAnsi="Times New Roman"/>
          <w:sz w:val="24"/>
          <w:szCs w:val="24"/>
        </w:rPr>
        <w:t xml:space="preserve"> finančn</w:t>
      </w:r>
      <w:r w:rsidR="001A6FC5">
        <w:rPr>
          <w:rFonts w:ascii="Times New Roman" w:hAnsi="Times New Roman"/>
          <w:sz w:val="24"/>
          <w:szCs w:val="24"/>
        </w:rPr>
        <w:t>ej</w:t>
      </w:r>
      <w:r w:rsidR="001A6FC5" w:rsidRPr="001A6FC5">
        <w:rPr>
          <w:rFonts w:ascii="Times New Roman" w:hAnsi="Times New Roman"/>
          <w:sz w:val="24"/>
          <w:szCs w:val="24"/>
        </w:rPr>
        <w:t xml:space="preserve"> kontrol</w:t>
      </w:r>
      <w:r w:rsidR="001A6FC5">
        <w:rPr>
          <w:rFonts w:ascii="Times New Roman" w:hAnsi="Times New Roman"/>
          <w:sz w:val="24"/>
          <w:szCs w:val="24"/>
        </w:rPr>
        <w:t>y</w:t>
      </w:r>
      <w:r w:rsidR="001A6FC5" w:rsidRPr="001A6FC5">
        <w:rPr>
          <w:rFonts w:ascii="Times New Roman" w:hAnsi="Times New Roman"/>
          <w:sz w:val="24"/>
          <w:szCs w:val="24"/>
        </w:rPr>
        <w:t xml:space="preserve"> sa</w:t>
      </w:r>
      <w:r w:rsidR="004B624F">
        <w:rPr>
          <w:rFonts w:ascii="Times New Roman" w:hAnsi="Times New Roman"/>
          <w:sz w:val="24"/>
          <w:szCs w:val="24"/>
        </w:rPr>
        <w:t> </w:t>
      </w:r>
      <w:r w:rsidR="001A6FC5">
        <w:rPr>
          <w:rFonts w:ascii="Times New Roman" w:hAnsi="Times New Roman"/>
          <w:sz w:val="24"/>
          <w:szCs w:val="24"/>
        </w:rPr>
        <w:t>rozširuje aj</w:t>
      </w:r>
      <w:r w:rsidR="00AC6EAA">
        <w:rPr>
          <w:rFonts w:ascii="Times New Roman" w:hAnsi="Times New Roman"/>
          <w:sz w:val="24"/>
          <w:szCs w:val="24"/>
        </w:rPr>
        <w:t> </w:t>
      </w:r>
      <w:r w:rsidR="001A6FC5">
        <w:rPr>
          <w:rFonts w:ascii="Times New Roman" w:hAnsi="Times New Roman"/>
          <w:sz w:val="24"/>
          <w:szCs w:val="24"/>
        </w:rPr>
        <w:t xml:space="preserve">o </w:t>
      </w:r>
      <w:r w:rsidR="001A6FC5" w:rsidRPr="001A6FC5">
        <w:rPr>
          <w:rFonts w:ascii="Times New Roman" w:hAnsi="Times New Roman"/>
          <w:sz w:val="24"/>
          <w:szCs w:val="24"/>
        </w:rPr>
        <w:t>prv</w:t>
      </w:r>
      <w:r w:rsidR="001A6FC5">
        <w:rPr>
          <w:rFonts w:ascii="Times New Roman" w:hAnsi="Times New Roman"/>
          <w:sz w:val="24"/>
          <w:szCs w:val="24"/>
        </w:rPr>
        <w:t>ý</w:t>
      </w:r>
      <w:r w:rsidR="001A6FC5" w:rsidRPr="001A6FC5">
        <w:rPr>
          <w:rFonts w:ascii="Times New Roman" w:hAnsi="Times New Roman"/>
          <w:sz w:val="24"/>
          <w:szCs w:val="24"/>
        </w:rPr>
        <w:t xml:space="preserve"> úkon oprávnenej osob</w:t>
      </w:r>
      <w:r w:rsidR="001A6FC5">
        <w:rPr>
          <w:rFonts w:ascii="Times New Roman" w:hAnsi="Times New Roman"/>
          <w:sz w:val="24"/>
          <w:szCs w:val="24"/>
        </w:rPr>
        <w:t>y</w:t>
      </w:r>
      <w:r w:rsidR="001A6FC5" w:rsidRPr="001A6FC5">
        <w:rPr>
          <w:rFonts w:ascii="Times New Roman" w:hAnsi="Times New Roman"/>
          <w:sz w:val="24"/>
          <w:szCs w:val="24"/>
        </w:rPr>
        <w:t xml:space="preserve"> voči povinnej osob</w:t>
      </w:r>
      <w:r w:rsidR="001D3E65">
        <w:rPr>
          <w:rFonts w:ascii="Times New Roman" w:hAnsi="Times New Roman"/>
          <w:sz w:val="24"/>
          <w:szCs w:val="24"/>
        </w:rPr>
        <w:t>e</w:t>
      </w:r>
      <w:r w:rsidR="001A6FC5">
        <w:rPr>
          <w:rFonts w:ascii="Times New Roman" w:hAnsi="Times New Roman"/>
          <w:sz w:val="24"/>
          <w:szCs w:val="24"/>
        </w:rPr>
        <w:t xml:space="preserve">, a to </w:t>
      </w:r>
      <w:r w:rsidR="00FA5DE1">
        <w:rPr>
          <w:rFonts w:ascii="Times New Roman" w:hAnsi="Times New Roman"/>
          <w:sz w:val="24"/>
          <w:szCs w:val="24"/>
        </w:rPr>
        <w:t>v prípade,</w:t>
      </w:r>
      <w:r w:rsidR="00AC6EAA">
        <w:rPr>
          <w:rFonts w:ascii="Times New Roman" w:hAnsi="Times New Roman"/>
          <w:sz w:val="24"/>
          <w:szCs w:val="24"/>
        </w:rPr>
        <w:t xml:space="preserve"> </w:t>
      </w:r>
      <w:r w:rsidR="001A6FC5" w:rsidRPr="001A6FC5">
        <w:rPr>
          <w:rFonts w:ascii="Times New Roman" w:hAnsi="Times New Roman"/>
          <w:sz w:val="24"/>
          <w:szCs w:val="24"/>
        </w:rPr>
        <w:t xml:space="preserve">ak je </w:t>
      </w:r>
      <w:r w:rsidR="00FA5DE1">
        <w:rPr>
          <w:rFonts w:ascii="Times New Roman" w:hAnsi="Times New Roman"/>
          <w:sz w:val="24"/>
          <w:szCs w:val="24"/>
        </w:rPr>
        <w:t xml:space="preserve">potrebné vykonať opätovnú </w:t>
      </w:r>
      <w:r w:rsidR="001A6FC5" w:rsidRPr="001A6FC5">
        <w:rPr>
          <w:rFonts w:ascii="Times New Roman" w:hAnsi="Times New Roman"/>
          <w:sz w:val="24"/>
          <w:szCs w:val="24"/>
        </w:rPr>
        <w:t>administratívnu finančnú kontrolu z podnetu oprávnenej osoby</w:t>
      </w:r>
      <w:r w:rsidR="00115544">
        <w:rPr>
          <w:rFonts w:ascii="Times New Roman" w:hAnsi="Times New Roman"/>
          <w:sz w:val="24"/>
          <w:szCs w:val="24"/>
        </w:rPr>
        <w:t>.</w:t>
      </w:r>
      <w:r w:rsidR="00E2604C">
        <w:rPr>
          <w:rFonts w:ascii="Times New Roman" w:hAnsi="Times New Roman"/>
          <w:sz w:val="24"/>
          <w:szCs w:val="24"/>
        </w:rPr>
        <w:t xml:space="preserve"> Taktiež sa zavádza možnosť zastavenia finančnej kontroly alebo auditu z dôvodov hodných osobitného zreteľa, pričom v takomto prípade sa nevypracováva správa z finančnej kontroly alebo auditu, ale vyhotoví sa záznam s uvedením dôvodov </w:t>
      </w:r>
      <w:r w:rsidR="005A11E3">
        <w:rPr>
          <w:rFonts w:ascii="Times New Roman" w:hAnsi="Times New Roman"/>
          <w:sz w:val="24"/>
          <w:szCs w:val="24"/>
        </w:rPr>
        <w:t xml:space="preserve">ich </w:t>
      </w:r>
      <w:r w:rsidR="00E2604C">
        <w:rPr>
          <w:rFonts w:ascii="Times New Roman" w:hAnsi="Times New Roman"/>
          <w:sz w:val="24"/>
          <w:szCs w:val="24"/>
        </w:rPr>
        <w:t>zastavenia.</w:t>
      </w:r>
      <w:r w:rsidR="005A11E3">
        <w:rPr>
          <w:rFonts w:ascii="Times New Roman" w:hAnsi="Times New Roman"/>
          <w:sz w:val="24"/>
          <w:szCs w:val="24"/>
        </w:rPr>
        <w:t xml:space="preserve"> </w:t>
      </w:r>
      <w:r w:rsidR="00456997">
        <w:rPr>
          <w:rFonts w:ascii="Times New Roman" w:hAnsi="Times New Roman"/>
          <w:sz w:val="24"/>
          <w:szCs w:val="24"/>
        </w:rPr>
        <w:t xml:space="preserve">V návrhu zákona sa špecifikuje proces hodnotenia kvality vykonávania finančnej kontroly a auditu, </w:t>
      </w:r>
      <w:r w:rsidR="000E769A">
        <w:rPr>
          <w:rFonts w:ascii="Times New Roman" w:hAnsi="Times New Roman"/>
          <w:sz w:val="24"/>
          <w:szCs w:val="24"/>
        </w:rPr>
        <w:t xml:space="preserve">nakoľko </w:t>
      </w:r>
      <w:r w:rsidR="00FA5DE1">
        <w:rPr>
          <w:rFonts w:ascii="Times New Roman" w:hAnsi="Times New Roman"/>
          <w:sz w:val="24"/>
          <w:szCs w:val="24"/>
        </w:rPr>
        <w:t xml:space="preserve">zákon </w:t>
      </w:r>
      <w:r w:rsidR="000E769A">
        <w:rPr>
          <w:rFonts w:ascii="Times New Roman" w:hAnsi="Times New Roman"/>
          <w:sz w:val="24"/>
          <w:szCs w:val="24"/>
        </w:rPr>
        <w:t xml:space="preserve">doteraz </w:t>
      </w:r>
      <w:r w:rsidR="00FA5DE1">
        <w:rPr>
          <w:rFonts w:ascii="Times New Roman" w:hAnsi="Times New Roman"/>
          <w:sz w:val="24"/>
          <w:szCs w:val="24"/>
        </w:rPr>
        <w:t>iba ustanovoval, že</w:t>
      </w:r>
      <w:r w:rsidR="00CE61DA">
        <w:rPr>
          <w:rFonts w:ascii="Times New Roman" w:hAnsi="Times New Roman"/>
          <w:sz w:val="24"/>
          <w:szCs w:val="24"/>
        </w:rPr>
        <w:t> </w:t>
      </w:r>
      <w:r w:rsidR="00FA5DE1">
        <w:rPr>
          <w:rFonts w:ascii="Times New Roman" w:hAnsi="Times New Roman"/>
          <w:sz w:val="24"/>
          <w:szCs w:val="24"/>
        </w:rPr>
        <w:t xml:space="preserve">Ministerstvo financií SR a Úrad vládneho auditu </w:t>
      </w:r>
      <w:r w:rsidR="00EA2602">
        <w:rPr>
          <w:rFonts w:ascii="Times New Roman" w:hAnsi="Times New Roman"/>
          <w:sz w:val="24"/>
          <w:szCs w:val="24"/>
        </w:rPr>
        <w:t xml:space="preserve">hodnotia </w:t>
      </w:r>
      <w:r w:rsidR="000E769A">
        <w:rPr>
          <w:rFonts w:ascii="Times New Roman" w:hAnsi="Times New Roman"/>
          <w:sz w:val="24"/>
          <w:szCs w:val="24"/>
        </w:rPr>
        <w:t xml:space="preserve">kvalitu </w:t>
      </w:r>
      <w:r w:rsidR="00EA2602">
        <w:rPr>
          <w:rFonts w:ascii="Times New Roman" w:hAnsi="Times New Roman"/>
          <w:sz w:val="24"/>
          <w:szCs w:val="24"/>
        </w:rPr>
        <w:t>v</w:t>
      </w:r>
      <w:r w:rsidR="000E769A">
        <w:rPr>
          <w:rFonts w:ascii="Times New Roman" w:hAnsi="Times New Roman"/>
          <w:sz w:val="24"/>
          <w:szCs w:val="24"/>
        </w:rPr>
        <w:t>ykonávania</w:t>
      </w:r>
      <w:r w:rsidR="00EA2602">
        <w:rPr>
          <w:rFonts w:ascii="Times New Roman" w:hAnsi="Times New Roman"/>
          <w:sz w:val="24"/>
          <w:szCs w:val="24"/>
        </w:rPr>
        <w:t xml:space="preserve"> finančnej kontroly a auditu</w:t>
      </w:r>
      <w:r w:rsidR="00456997">
        <w:rPr>
          <w:rFonts w:ascii="Times New Roman" w:hAnsi="Times New Roman"/>
          <w:sz w:val="24"/>
          <w:szCs w:val="24"/>
        </w:rPr>
        <w:t xml:space="preserve">. Hodnotenie kvality vykonávania finančnej kontroly a auditu má </w:t>
      </w:r>
      <w:r w:rsidR="00EA2602">
        <w:rPr>
          <w:rFonts w:ascii="Times New Roman" w:hAnsi="Times New Roman"/>
          <w:sz w:val="24"/>
          <w:szCs w:val="24"/>
        </w:rPr>
        <w:t>byť zamerané</w:t>
      </w:r>
      <w:r w:rsidR="00456997">
        <w:rPr>
          <w:rFonts w:ascii="Times New Roman" w:hAnsi="Times New Roman"/>
          <w:sz w:val="24"/>
          <w:szCs w:val="24"/>
        </w:rPr>
        <w:t xml:space="preserve"> </w:t>
      </w:r>
      <w:r w:rsidR="006F2EA6">
        <w:rPr>
          <w:rFonts w:ascii="Times New Roman" w:hAnsi="Times New Roman"/>
          <w:sz w:val="24"/>
          <w:szCs w:val="24"/>
        </w:rPr>
        <w:t xml:space="preserve">najmä </w:t>
      </w:r>
      <w:r w:rsidR="00456997">
        <w:rPr>
          <w:rFonts w:ascii="Times New Roman" w:hAnsi="Times New Roman"/>
          <w:sz w:val="24"/>
          <w:szCs w:val="24"/>
        </w:rPr>
        <w:t xml:space="preserve">na procesnú stránku </w:t>
      </w:r>
      <w:r w:rsidR="00456997" w:rsidRPr="00B3068D">
        <w:rPr>
          <w:rFonts w:ascii="Times New Roman" w:hAnsi="Times New Roman"/>
          <w:sz w:val="24"/>
          <w:szCs w:val="24"/>
        </w:rPr>
        <w:t>výkonu</w:t>
      </w:r>
      <w:r w:rsidR="00456997">
        <w:rPr>
          <w:rFonts w:ascii="Times New Roman" w:hAnsi="Times New Roman"/>
          <w:sz w:val="24"/>
          <w:szCs w:val="24"/>
        </w:rPr>
        <w:t xml:space="preserve"> finančnej kontroly a</w:t>
      </w:r>
      <w:r w:rsidR="000E769A">
        <w:rPr>
          <w:rFonts w:ascii="Times New Roman" w:hAnsi="Times New Roman"/>
          <w:sz w:val="24"/>
          <w:szCs w:val="24"/>
        </w:rPr>
        <w:t> </w:t>
      </w:r>
      <w:r w:rsidR="00456997">
        <w:rPr>
          <w:rFonts w:ascii="Times New Roman" w:hAnsi="Times New Roman"/>
          <w:sz w:val="24"/>
          <w:szCs w:val="24"/>
        </w:rPr>
        <w:t>auditu</w:t>
      </w:r>
      <w:r w:rsidR="000E769A">
        <w:rPr>
          <w:rFonts w:ascii="Times New Roman" w:hAnsi="Times New Roman"/>
          <w:sz w:val="24"/>
          <w:szCs w:val="24"/>
        </w:rPr>
        <w:t xml:space="preserve"> a</w:t>
      </w:r>
      <w:r w:rsidR="00456997">
        <w:rPr>
          <w:rFonts w:ascii="Times New Roman" w:hAnsi="Times New Roman"/>
          <w:sz w:val="24"/>
          <w:szCs w:val="24"/>
        </w:rPr>
        <w:t xml:space="preserve"> ich súlad s platnou legislatívou</w:t>
      </w:r>
      <w:r w:rsidR="006F2EA6">
        <w:rPr>
          <w:rFonts w:ascii="Times New Roman" w:hAnsi="Times New Roman"/>
          <w:sz w:val="24"/>
          <w:szCs w:val="24"/>
        </w:rPr>
        <w:t xml:space="preserve">. </w:t>
      </w:r>
    </w:p>
    <w:p w14:paraId="6B193E50" w14:textId="0D1C05C3" w:rsidR="00432F33" w:rsidRDefault="003702AC" w:rsidP="00A47D74">
      <w:pPr>
        <w:spacing w:after="120"/>
        <w:ind w:firstLine="567"/>
        <w:jc w:val="both"/>
        <w:rPr>
          <w:rFonts w:ascii="Times New Roman" w:hAnsi="Times New Roman"/>
          <w:sz w:val="24"/>
          <w:szCs w:val="24"/>
        </w:rPr>
      </w:pPr>
      <w:r>
        <w:rPr>
          <w:rFonts w:ascii="Times New Roman" w:hAnsi="Times New Roman"/>
          <w:sz w:val="24"/>
          <w:szCs w:val="24"/>
        </w:rPr>
        <w:t>Upravujú sa</w:t>
      </w:r>
      <w:r w:rsidR="004E06C8">
        <w:rPr>
          <w:rFonts w:ascii="Times New Roman" w:hAnsi="Times New Roman"/>
          <w:sz w:val="24"/>
          <w:szCs w:val="24"/>
        </w:rPr>
        <w:t xml:space="preserve"> </w:t>
      </w:r>
      <w:r w:rsidR="00D76A18">
        <w:rPr>
          <w:rFonts w:ascii="Times New Roman" w:hAnsi="Times New Roman"/>
          <w:sz w:val="24"/>
          <w:szCs w:val="24"/>
        </w:rPr>
        <w:t>kompetencie</w:t>
      </w:r>
      <w:r w:rsidR="00057AAB">
        <w:rPr>
          <w:rFonts w:ascii="Times New Roman" w:hAnsi="Times New Roman"/>
          <w:sz w:val="24"/>
          <w:szCs w:val="24"/>
        </w:rPr>
        <w:t xml:space="preserve"> </w:t>
      </w:r>
      <w:r w:rsidR="004E06C8">
        <w:rPr>
          <w:rFonts w:ascii="Times New Roman" w:hAnsi="Times New Roman"/>
          <w:sz w:val="24"/>
          <w:szCs w:val="24"/>
        </w:rPr>
        <w:t>a zloženie Výboru pre</w:t>
      </w:r>
      <w:r>
        <w:rPr>
          <w:rFonts w:ascii="Times New Roman" w:hAnsi="Times New Roman"/>
          <w:sz w:val="24"/>
          <w:szCs w:val="24"/>
        </w:rPr>
        <w:t> </w:t>
      </w:r>
      <w:r w:rsidR="004E06C8">
        <w:rPr>
          <w:rFonts w:ascii="Times New Roman" w:hAnsi="Times New Roman"/>
          <w:sz w:val="24"/>
          <w:szCs w:val="24"/>
        </w:rPr>
        <w:t>vnútorný audit a vládny audit</w:t>
      </w:r>
      <w:r w:rsidR="008F5D1F">
        <w:rPr>
          <w:rFonts w:ascii="Times New Roman" w:hAnsi="Times New Roman"/>
          <w:sz w:val="24"/>
          <w:szCs w:val="24"/>
        </w:rPr>
        <w:t xml:space="preserve"> (ďalej len</w:t>
      </w:r>
      <w:r w:rsidR="005658E2">
        <w:rPr>
          <w:rFonts w:ascii="Times New Roman" w:hAnsi="Times New Roman"/>
          <w:sz w:val="24"/>
          <w:szCs w:val="24"/>
        </w:rPr>
        <w:t> </w:t>
      </w:r>
      <w:r w:rsidR="008F5D1F">
        <w:rPr>
          <w:rFonts w:ascii="Times New Roman" w:hAnsi="Times New Roman"/>
          <w:sz w:val="24"/>
          <w:szCs w:val="24"/>
        </w:rPr>
        <w:t>„výbor“)</w:t>
      </w:r>
      <w:r w:rsidR="004E06C8">
        <w:rPr>
          <w:rFonts w:ascii="Times New Roman" w:hAnsi="Times New Roman"/>
          <w:sz w:val="24"/>
          <w:szCs w:val="24"/>
        </w:rPr>
        <w:t>. Jeho úloha by nemala mať len</w:t>
      </w:r>
      <w:r w:rsidR="0068227D">
        <w:rPr>
          <w:rFonts w:ascii="Times New Roman" w:hAnsi="Times New Roman"/>
          <w:sz w:val="24"/>
          <w:szCs w:val="24"/>
        </w:rPr>
        <w:t> </w:t>
      </w:r>
      <w:r w:rsidR="004E06C8">
        <w:rPr>
          <w:rFonts w:ascii="Times New Roman" w:hAnsi="Times New Roman"/>
          <w:sz w:val="24"/>
          <w:szCs w:val="24"/>
        </w:rPr>
        <w:t xml:space="preserve">formálny charakter, ale mal by </w:t>
      </w:r>
      <w:r w:rsidR="00D76A18">
        <w:rPr>
          <w:rFonts w:ascii="Times New Roman" w:hAnsi="Times New Roman"/>
          <w:sz w:val="24"/>
          <w:szCs w:val="24"/>
        </w:rPr>
        <w:t>byť nápomocný pri</w:t>
      </w:r>
      <w:r w:rsidR="005658E2">
        <w:rPr>
          <w:rFonts w:ascii="Times New Roman" w:hAnsi="Times New Roman"/>
          <w:sz w:val="24"/>
          <w:szCs w:val="24"/>
        </w:rPr>
        <w:t> </w:t>
      </w:r>
      <w:r w:rsidR="00D76A18">
        <w:rPr>
          <w:rFonts w:ascii="Times New Roman" w:hAnsi="Times New Roman"/>
          <w:sz w:val="24"/>
          <w:szCs w:val="24"/>
        </w:rPr>
        <w:t>riešení závažných, resp. opakovane sa vyskytujúcich problémov</w:t>
      </w:r>
      <w:r w:rsidR="00057AAB">
        <w:rPr>
          <w:rFonts w:ascii="Times New Roman" w:hAnsi="Times New Roman"/>
          <w:sz w:val="24"/>
          <w:szCs w:val="24"/>
        </w:rPr>
        <w:t xml:space="preserve"> </w:t>
      </w:r>
      <w:r w:rsidR="00D76A18">
        <w:rPr>
          <w:rFonts w:ascii="Times New Roman" w:hAnsi="Times New Roman"/>
          <w:sz w:val="24"/>
          <w:szCs w:val="24"/>
        </w:rPr>
        <w:t>identifikovaných</w:t>
      </w:r>
      <w:r w:rsidR="00057AAB">
        <w:rPr>
          <w:rFonts w:ascii="Times New Roman" w:hAnsi="Times New Roman"/>
          <w:sz w:val="24"/>
          <w:szCs w:val="24"/>
        </w:rPr>
        <w:t xml:space="preserve"> </w:t>
      </w:r>
      <w:r w:rsidR="00EA2602">
        <w:rPr>
          <w:rFonts w:ascii="Times New Roman" w:hAnsi="Times New Roman"/>
          <w:sz w:val="24"/>
          <w:szCs w:val="24"/>
        </w:rPr>
        <w:t>počas</w:t>
      </w:r>
      <w:r w:rsidR="004E06C8">
        <w:rPr>
          <w:rFonts w:ascii="Times New Roman" w:hAnsi="Times New Roman"/>
          <w:sz w:val="24"/>
          <w:szCs w:val="24"/>
        </w:rPr>
        <w:t xml:space="preserve"> výkonu auditu, s ktorými </w:t>
      </w:r>
      <w:r w:rsidR="00057AAB">
        <w:rPr>
          <w:rFonts w:ascii="Times New Roman" w:hAnsi="Times New Roman"/>
          <w:sz w:val="24"/>
          <w:szCs w:val="24"/>
        </w:rPr>
        <w:t xml:space="preserve">sa </w:t>
      </w:r>
      <w:r w:rsidR="004E06C8">
        <w:rPr>
          <w:rFonts w:ascii="Times New Roman" w:hAnsi="Times New Roman"/>
          <w:sz w:val="24"/>
          <w:szCs w:val="24"/>
        </w:rPr>
        <w:t>vnútorní audítori a vládni audítori</w:t>
      </w:r>
      <w:r w:rsidR="00EA2602">
        <w:rPr>
          <w:rFonts w:ascii="Times New Roman" w:hAnsi="Times New Roman"/>
          <w:sz w:val="24"/>
          <w:szCs w:val="24"/>
        </w:rPr>
        <w:t xml:space="preserve"> stretávajú</w:t>
      </w:r>
      <w:r w:rsidR="004E06C8">
        <w:rPr>
          <w:rFonts w:ascii="Times New Roman" w:hAnsi="Times New Roman"/>
          <w:sz w:val="24"/>
          <w:szCs w:val="24"/>
        </w:rPr>
        <w:t>. Z </w:t>
      </w:r>
      <w:r w:rsidR="00EA2602">
        <w:rPr>
          <w:rFonts w:ascii="Times New Roman" w:hAnsi="Times New Roman"/>
          <w:sz w:val="24"/>
          <w:szCs w:val="24"/>
        </w:rPr>
        <w:t>uvedeného</w:t>
      </w:r>
      <w:r w:rsidR="004E06C8">
        <w:rPr>
          <w:rFonts w:ascii="Times New Roman" w:hAnsi="Times New Roman"/>
          <w:sz w:val="24"/>
          <w:szCs w:val="24"/>
        </w:rPr>
        <w:t xml:space="preserve"> dôvodu sa zoznam </w:t>
      </w:r>
      <w:r w:rsidR="004B624F">
        <w:rPr>
          <w:rFonts w:ascii="Times New Roman" w:hAnsi="Times New Roman"/>
          <w:sz w:val="24"/>
          <w:szCs w:val="24"/>
        </w:rPr>
        <w:t xml:space="preserve">členov </w:t>
      </w:r>
      <w:r w:rsidR="00454507">
        <w:rPr>
          <w:rFonts w:ascii="Times New Roman" w:hAnsi="Times New Roman"/>
          <w:sz w:val="24"/>
          <w:szCs w:val="24"/>
        </w:rPr>
        <w:t xml:space="preserve">výboru </w:t>
      </w:r>
      <w:r w:rsidR="00D76A18">
        <w:rPr>
          <w:rFonts w:ascii="Times New Roman" w:hAnsi="Times New Roman"/>
          <w:sz w:val="24"/>
          <w:szCs w:val="24"/>
        </w:rPr>
        <w:t>rozširuje</w:t>
      </w:r>
      <w:r w:rsidR="00057AAB">
        <w:rPr>
          <w:rFonts w:ascii="Times New Roman" w:hAnsi="Times New Roman"/>
          <w:sz w:val="24"/>
          <w:szCs w:val="24"/>
        </w:rPr>
        <w:t xml:space="preserve"> </w:t>
      </w:r>
      <w:r w:rsidR="00FF7280">
        <w:rPr>
          <w:rFonts w:ascii="Times New Roman" w:hAnsi="Times New Roman"/>
          <w:sz w:val="24"/>
          <w:szCs w:val="24"/>
        </w:rPr>
        <w:t>aj</w:t>
      </w:r>
      <w:r w:rsidR="00454507">
        <w:rPr>
          <w:rFonts w:ascii="Times New Roman" w:hAnsi="Times New Roman"/>
          <w:sz w:val="24"/>
          <w:szCs w:val="24"/>
        </w:rPr>
        <w:t> </w:t>
      </w:r>
      <w:r w:rsidR="00FF7280">
        <w:rPr>
          <w:rFonts w:ascii="Times New Roman" w:hAnsi="Times New Roman"/>
          <w:sz w:val="24"/>
          <w:szCs w:val="24"/>
        </w:rPr>
        <w:t>o zástupcov Úradu pre verejné obstarávanie,</w:t>
      </w:r>
      <w:r w:rsidR="00E21B6E">
        <w:rPr>
          <w:rFonts w:ascii="Times New Roman" w:hAnsi="Times New Roman"/>
          <w:sz w:val="24"/>
          <w:szCs w:val="24"/>
        </w:rPr>
        <w:t xml:space="preserve"> Protimonopolného úradu SR a Úradu vládneho auditu. </w:t>
      </w:r>
      <w:r w:rsidR="00432F33">
        <w:rPr>
          <w:rFonts w:ascii="Times New Roman" w:hAnsi="Times New Roman"/>
          <w:sz w:val="24"/>
          <w:szCs w:val="24"/>
        </w:rPr>
        <w:t>Členmi výboru aj</w:t>
      </w:r>
      <w:r w:rsidR="006B1230">
        <w:rPr>
          <w:rFonts w:ascii="Times New Roman" w:hAnsi="Times New Roman"/>
          <w:sz w:val="24"/>
          <w:szCs w:val="24"/>
        </w:rPr>
        <w:t> </w:t>
      </w:r>
      <w:r w:rsidR="00432F33">
        <w:rPr>
          <w:rFonts w:ascii="Times New Roman" w:hAnsi="Times New Roman"/>
          <w:sz w:val="24"/>
          <w:szCs w:val="24"/>
        </w:rPr>
        <w:t>naďalej ostávajú zástupca Úradu vlády SR</w:t>
      </w:r>
      <w:r w:rsidR="00812F21">
        <w:rPr>
          <w:rFonts w:ascii="Times New Roman" w:hAnsi="Times New Roman"/>
          <w:sz w:val="24"/>
          <w:szCs w:val="24"/>
        </w:rPr>
        <w:t xml:space="preserve"> a</w:t>
      </w:r>
      <w:r w:rsidR="00432F33">
        <w:rPr>
          <w:rFonts w:ascii="Times New Roman" w:hAnsi="Times New Roman"/>
          <w:sz w:val="24"/>
          <w:szCs w:val="24"/>
        </w:rPr>
        <w:t xml:space="preserve"> Ministerstva spravodlivosti SR</w:t>
      </w:r>
      <w:r w:rsidR="00057AAB">
        <w:rPr>
          <w:rFonts w:ascii="Times New Roman" w:hAnsi="Times New Roman"/>
          <w:sz w:val="24"/>
          <w:szCs w:val="24"/>
        </w:rPr>
        <w:t xml:space="preserve">, a zároveň sa rozširuje </w:t>
      </w:r>
      <w:r w:rsidR="00432F33">
        <w:rPr>
          <w:rFonts w:ascii="Times New Roman" w:hAnsi="Times New Roman"/>
          <w:sz w:val="24"/>
          <w:szCs w:val="24"/>
        </w:rPr>
        <w:t>počet zástupcov Ministerstva financií SR</w:t>
      </w:r>
      <w:r w:rsidR="00057AAB">
        <w:rPr>
          <w:rFonts w:ascii="Times New Roman" w:hAnsi="Times New Roman"/>
          <w:sz w:val="24"/>
          <w:szCs w:val="24"/>
        </w:rPr>
        <w:t xml:space="preserve"> </w:t>
      </w:r>
      <w:r w:rsidR="00432F33">
        <w:rPr>
          <w:rFonts w:ascii="Times New Roman" w:hAnsi="Times New Roman"/>
          <w:sz w:val="24"/>
          <w:szCs w:val="24"/>
        </w:rPr>
        <w:t>na troch. Členstvo vo</w:t>
      </w:r>
      <w:r w:rsidR="0072127A">
        <w:rPr>
          <w:rFonts w:ascii="Times New Roman" w:hAnsi="Times New Roman"/>
          <w:sz w:val="24"/>
          <w:szCs w:val="24"/>
        </w:rPr>
        <w:t> </w:t>
      </w:r>
      <w:r w:rsidR="00432F33">
        <w:rPr>
          <w:rFonts w:ascii="Times New Roman" w:hAnsi="Times New Roman"/>
          <w:sz w:val="24"/>
          <w:szCs w:val="24"/>
        </w:rPr>
        <w:t>výbore zaniká zástupcovi</w:t>
      </w:r>
      <w:r w:rsidR="00812F21">
        <w:rPr>
          <w:rFonts w:ascii="Times New Roman" w:hAnsi="Times New Roman"/>
          <w:sz w:val="24"/>
          <w:szCs w:val="24"/>
        </w:rPr>
        <w:t xml:space="preserve"> Najvyššieho kontrolného úradu SR,</w:t>
      </w:r>
      <w:r w:rsidR="00432F33">
        <w:rPr>
          <w:rFonts w:ascii="Times New Roman" w:hAnsi="Times New Roman"/>
          <w:sz w:val="24"/>
          <w:szCs w:val="24"/>
        </w:rPr>
        <w:t xml:space="preserve"> Ministerstva vnútra SR a Generálnej prokuratúry SR. </w:t>
      </w:r>
      <w:r w:rsidR="00812F21">
        <w:rPr>
          <w:rFonts w:ascii="Times New Roman" w:hAnsi="Times New Roman"/>
          <w:sz w:val="24"/>
          <w:szCs w:val="24"/>
        </w:rPr>
        <w:t>Za</w:t>
      </w:r>
      <w:r w:rsidR="00A47D74">
        <w:rPr>
          <w:rFonts w:ascii="Times New Roman" w:hAnsi="Times New Roman"/>
          <w:sz w:val="24"/>
          <w:szCs w:val="24"/>
        </w:rPr>
        <w:t> </w:t>
      </w:r>
      <w:r w:rsidR="00812F21">
        <w:rPr>
          <w:rFonts w:ascii="Times New Roman" w:hAnsi="Times New Roman"/>
          <w:sz w:val="24"/>
          <w:szCs w:val="24"/>
        </w:rPr>
        <w:t>predsedu</w:t>
      </w:r>
      <w:r w:rsidR="00812F21" w:rsidRPr="00E21B6E">
        <w:rPr>
          <w:rFonts w:ascii="Times New Roman" w:hAnsi="Times New Roman"/>
          <w:sz w:val="24"/>
          <w:szCs w:val="24"/>
        </w:rPr>
        <w:t xml:space="preserve"> výboru </w:t>
      </w:r>
      <w:r w:rsidR="00812F21">
        <w:rPr>
          <w:rFonts w:ascii="Times New Roman" w:hAnsi="Times New Roman"/>
          <w:sz w:val="24"/>
          <w:szCs w:val="24"/>
        </w:rPr>
        <w:t>sa navrhuje</w:t>
      </w:r>
      <w:r w:rsidR="00812F21" w:rsidRPr="00E21B6E">
        <w:rPr>
          <w:rFonts w:ascii="Times New Roman" w:hAnsi="Times New Roman"/>
          <w:sz w:val="24"/>
          <w:szCs w:val="24"/>
        </w:rPr>
        <w:t xml:space="preserve"> zástupca </w:t>
      </w:r>
      <w:r w:rsidR="00812F21">
        <w:rPr>
          <w:rFonts w:ascii="Times New Roman" w:hAnsi="Times New Roman"/>
          <w:sz w:val="24"/>
          <w:szCs w:val="24"/>
        </w:rPr>
        <w:t>M</w:t>
      </w:r>
      <w:r w:rsidR="00812F21" w:rsidRPr="00E21B6E">
        <w:rPr>
          <w:rFonts w:ascii="Times New Roman" w:hAnsi="Times New Roman"/>
          <w:sz w:val="24"/>
          <w:szCs w:val="24"/>
        </w:rPr>
        <w:t>inisterstva financií</w:t>
      </w:r>
      <w:r w:rsidR="00812F21">
        <w:rPr>
          <w:rFonts w:ascii="Times New Roman" w:hAnsi="Times New Roman"/>
          <w:sz w:val="24"/>
          <w:szCs w:val="24"/>
        </w:rPr>
        <w:t xml:space="preserve"> SR</w:t>
      </w:r>
      <w:r w:rsidR="00812F21" w:rsidRPr="00E21B6E">
        <w:rPr>
          <w:rFonts w:ascii="Times New Roman" w:hAnsi="Times New Roman"/>
          <w:sz w:val="24"/>
          <w:szCs w:val="24"/>
        </w:rPr>
        <w:t>.</w:t>
      </w:r>
      <w:r w:rsidR="00812F21">
        <w:rPr>
          <w:rFonts w:ascii="Times New Roman" w:hAnsi="Times New Roman"/>
          <w:sz w:val="24"/>
          <w:szCs w:val="24"/>
        </w:rPr>
        <w:t xml:space="preserve"> </w:t>
      </w:r>
      <w:r w:rsidR="00454507">
        <w:rPr>
          <w:rFonts w:ascii="Times New Roman" w:hAnsi="Times New Roman"/>
          <w:sz w:val="24"/>
          <w:szCs w:val="24"/>
        </w:rPr>
        <w:t>V</w:t>
      </w:r>
      <w:r w:rsidR="00D76A18">
        <w:rPr>
          <w:rFonts w:ascii="Times New Roman" w:hAnsi="Times New Roman"/>
          <w:sz w:val="24"/>
          <w:szCs w:val="24"/>
        </w:rPr>
        <w:t xml:space="preserve">ýbor bude </w:t>
      </w:r>
      <w:r w:rsidR="00454507">
        <w:rPr>
          <w:rFonts w:ascii="Times New Roman" w:hAnsi="Times New Roman"/>
          <w:sz w:val="24"/>
          <w:szCs w:val="24"/>
        </w:rPr>
        <w:t xml:space="preserve">okrem iného spolupracovať s </w:t>
      </w:r>
      <w:r w:rsidR="00D76A18">
        <w:rPr>
          <w:rFonts w:ascii="Times New Roman" w:hAnsi="Times New Roman"/>
          <w:sz w:val="24"/>
          <w:szCs w:val="24"/>
        </w:rPr>
        <w:t>Ministerstvo</w:t>
      </w:r>
      <w:r w:rsidR="00454507">
        <w:rPr>
          <w:rFonts w:ascii="Times New Roman" w:hAnsi="Times New Roman"/>
          <w:sz w:val="24"/>
          <w:szCs w:val="24"/>
        </w:rPr>
        <w:t>m</w:t>
      </w:r>
      <w:r w:rsidR="00D76A18">
        <w:rPr>
          <w:rFonts w:ascii="Times New Roman" w:hAnsi="Times New Roman"/>
          <w:sz w:val="24"/>
          <w:szCs w:val="24"/>
        </w:rPr>
        <w:t xml:space="preserve"> financií SR </w:t>
      </w:r>
      <w:r w:rsidR="00454507">
        <w:rPr>
          <w:rFonts w:ascii="Times New Roman" w:hAnsi="Times New Roman"/>
          <w:sz w:val="24"/>
          <w:szCs w:val="24"/>
        </w:rPr>
        <w:t xml:space="preserve">pri </w:t>
      </w:r>
      <w:r w:rsidR="00D76A18">
        <w:rPr>
          <w:rFonts w:ascii="Times New Roman" w:hAnsi="Times New Roman"/>
          <w:sz w:val="24"/>
          <w:szCs w:val="24"/>
        </w:rPr>
        <w:t>zabezpečova</w:t>
      </w:r>
      <w:r w:rsidR="00454507">
        <w:rPr>
          <w:rFonts w:ascii="Times New Roman" w:hAnsi="Times New Roman"/>
          <w:sz w:val="24"/>
          <w:szCs w:val="24"/>
        </w:rPr>
        <w:t>ní</w:t>
      </w:r>
      <w:r w:rsidR="00D76A18">
        <w:rPr>
          <w:rFonts w:ascii="Times New Roman" w:hAnsi="Times New Roman"/>
          <w:sz w:val="24"/>
          <w:szCs w:val="24"/>
        </w:rPr>
        <w:t xml:space="preserve"> </w:t>
      </w:r>
      <w:r w:rsidR="009C29E1">
        <w:rPr>
          <w:rFonts w:ascii="Times New Roman" w:hAnsi="Times New Roman"/>
          <w:sz w:val="24"/>
          <w:szCs w:val="24"/>
        </w:rPr>
        <w:t>o</w:t>
      </w:r>
      <w:r w:rsidR="00D76A18">
        <w:rPr>
          <w:rFonts w:ascii="Times New Roman" w:hAnsi="Times New Roman"/>
          <w:sz w:val="24"/>
          <w:szCs w:val="24"/>
        </w:rPr>
        <w:t>d</w:t>
      </w:r>
      <w:r w:rsidR="009C29E1">
        <w:rPr>
          <w:rFonts w:ascii="Times New Roman" w:hAnsi="Times New Roman"/>
          <w:sz w:val="24"/>
          <w:szCs w:val="24"/>
        </w:rPr>
        <w:t>b</w:t>
      </w:r>
      <w:r w:rsidR="00D76A18">
        <w:rPr>
          <w:rFonts w:ascii="Times New Roman" w:hAnsi="Times New Roman"/>
          <w:sz w:val="24"/>
          <w:szCs w:val="24"/>
        </w:rPr>
        <w:t>orné</w:t>
      </w:r>
      <w:r w:rsidR="00454507">
        <w:rPr>
          <w:rFonts w:ascii="Times New Roman" w:hAnsi="Times New Roman"/>
          <w:sz w:val="24"/>
          <w:szCs w:val="24"/>
        </w:rPr>
        <w:t>ho</w:t>
      </w:r>
      <w:r w:rsidR="00D76A18">
        <w:rPr>
          <w:rFonts w:ascii="Times New Roman" w:hAnsi="Times New Roman"/>
          <w:sz w:val="24"/>
          <w:szCs w:val="24"/>
        </w:rPr>
        <w:t xml:space="preserve"> vzdelávani</w:t>
      </w:r>
      <w:r w:rsidR="00454507">
        <w:rPr>
          <w:rFonts w:ascii="Times New Roman" w:hAnsi="Times New Roman"/>
          <w:sz w:val="24"/>
          <w:szCs w:val="24"/>
        </w:rPr>
        <w:t>a</w:t>
      </w:r>
      <w:r w:rsidR="009C29E1">
        <w:rPr>
          <w:rFonts w:ascii="Times New Roman" w:hAnsi="Times New Roman"/>
          <w:sz w:val="24"/>
          <w:szCs w:val="24"/>
        </w:rPr>
        <w:t xml:space="preserve"> vnútorných </w:t>
      </w:r>
      <w:r w:rsidR="00812F21">
        <w:rPr>
          <w:rFonts w:ascii="Times New Roman" w:hAnsi="Times New Roman"/>
          <w:sz w:val="24"/>
          <w:szCs w:val="24"/>
        </w:rPr>
        <w:t xml:space="preserve">audítorov </w:t>
      </w:r>
      <w:r w:rsidR="009C29E1">
        <w:rPr>
          <w:rFonts w:ascii="Times New Roman" w:hAnsi="Times New Roman"/>
          <w:sz w:val="24"/>
          <w:szCs w:val="24"/>
        </w:rPr>
        <w:t>a vládnych audítorov.</w:t>
      </w:r>
    </w:p>
    <w:p w14:paraId="42787AA6" w14:textId="77777777" w:rsidR="00840D11" w:rsidRPr="000562B6" w:rsidRDefault="00060733" w:rsidP="00A47D74">
      <w:pPr>
        <w:spacing w:after="120"/>
        <w:ind w:firstLine="567"/>
        <w:jc w:val="both"/>
        <w:rPr>
          <w:rFonts w:ascii="Times New Roman" w:hAnsi="Times New Roman"/>
          <w:sz w:val="24"/>
          <w:szCs w:val="24"/>
        </w:rPr>
      </w:pPr>
      <w:r>
        <w:rPr>
          <w:rFonts w:ascii="Times New Roman" w:hAnsi="Times New Roman"/>
          <w:sz w:val="24"/>
          <w:szCs w:val="24"/>
        </w:rPr>
        <w:lastRenderedPageBreak/>
        <w:t xml:space="preserve">V rámci </w:t>
      </w:r>
      <w:r w:rsidR="00641CDA">
        <w:rPr>
          <w:rFonts w:ascii="Times New Roman" w:hAnsi="Times New Roman"/>
          <w:sz w:val="24"/>
          <w:szCs w:val="24"/>
        </w:rPr>
        <w:t xml:space="preserve">procesných pravidiel </w:t>
      </w:r>
      <w:r>
        <w:rPr>
          <w:rFonts w:ascii="Times New Roman" w:hAnsi="Times New Roman"/>
          <w:sz w:val="24"/>
          <w:szCs w:val="24"/>
        </w:rPr>
        <w:t>výkonu finančnej kontroly a audi</w:t>
      </w:r>
      <w:r w:rsidR="003702AC">
        <w:rPr>
          <w:rFonts w:ascii="Times New Roman" w:hAnsi="Times New Roman"/>
          <w:sz w:val="24"/>
          <w:szCs w:val="24"/>
        </w:rPr>
        <w:t>t</w:t>
      </w:r>
      <w:r>
        <w:rPr>
          <w:rFonts w:ascii="Times New Roman" w:hAnsi="Times New Roman"/>
          <w:sz w:val="24"/>
          <w:szCs w:val="24"/>
        </w:rPr>
        <w:t>u sa uprav</w:t>
      </w:r>
      <w:r w:rsidR="003702AC">
        <w:rPr>
          <w:rFonts w:ascii="Times New Roman" w:hAnsi="Times New Roman"/>
          <w:sz w:val="24"/>
          <w:szCs w:val="24"/>
        </w:rPr>
        <w:t>uje</w:t>
      </w:r>
      <w:r>
        <w:rPr>
          <w:rFonts w:ascii="Times New Roman" w:hAnsi="Times New Roman"/>
          <w:sz w:val="24"/>
          <w:szCs w:val="24"/>
        </w:rPr>
        <w:t xml:space="preserve"> systém následného </w:t>
      </w:r>
      <w:r w:rsidR="00641CDA">
        <w:rPr>
          <w:rFonts w:ascii="Times New Roman" w:hAnsi="Times New Roman"/>
          <w:sz w:val="24"/>
          <w:szCs w:val="24"/>
        </w:rPr>
        <w:t xml:space="preserve">monitorovania a </w:t>
      </w:r>
      <w:r>
        <w:rPr>
          <w:rFonts w:ascii="Times New Roman" w:hAnsi="Times New Roman"/>
          <w:sz w:val="24"/>
          <w:szCs w:val="24"/>
        </w:rPr>
        <w:t>overovania prijatých opatrení</w:t>
      </w:r>
      <w:r w:rsidR="00B71223" w:rsidRPr="00B71223">
        <w:rPr>
          <w:rFonts w:ascii="Times New Roman" w:hAnsi="Times New Roman"/>
          <w:sz w:val="24"/>
          <w:szCs w:val="24"/>
        </w:rPr>
        <w:t xml:space="preserve"> tak, že povinná osoba</w:t>
      </w:r>
      <w:r>
        <w:rPr>
          <w:rFonts w:ascii="Times New Roman" w:hAnsi="Times New Roman"/>
          <w:sz w:val="24"/>
          <w:szCs w:val="24"/>
        </w:rPr>
        <w:t xml:space="preserve"> pred</w:t>
      </w:r>
      <w:r w:rsidR="003702AC">
        <w:rPr>
          <w:rFonts w:ascii="Times New Roman" w:hAnsi="Times New Roman"/>
          <w:sz w:val="24"/>
          <w:szCs w:val="24"/>
        </w:rPr>
        <w:t>loží</w:t>
      </w:r>
      <w:r>
        <w:rPr>
          <w:rFonts w:ascii="Times New Roman" w:hAnsi="Times New Roman"/>
          <w:sz w:val="24"/>
          <w:szCs w:val="24"/>
        </w:rPr>
        <w:t xml:space="preserve"> oprávnenej osobe</w:t>
      </w:r>
      <w:r w:rsidR="00B71223" w:rsidRPr="00B71223">
        <w:rPr>
          <w:rFonts w:ascii="Times New Roman" w:hAnsi="Times New Roman"/>
          <w:sz w:val="24"/>
          <w:szCs w:val="24"/>
        </w:rPr>
        <w:t xml:space="preserve"> </w:t>
      </w:r>
      <w:r w:rsidR="003702AC">
        <w:rPr>
          <w:rFonts w:ascii="Times New Roman" w:hAnsi="Times New Roman"/>
          <w:sz w:val="24"/>
          <w:szCs w:val="24"/>
        </w:rPr>
        <w:t xml:space="preserve">v určenej lehote </w:t>
      </w:r>
      <w:r w:rsidR="00B71223" w:rsidRPr="00B71223">
        <w:rPr>
          <w:rFonts w:ascii="Times New Roman" w:hAnsi="Times New Roman"/>
          <w:sz w:val="24"/>
          <w:szCs w:val="24"/>
        </w:rPr>
        <w:t>písomný zoznam opatrení prijatých na</w:t>
      </w:r>
      <w:r w:rsidR="003702AC">
        <w:rPr>
          <w:rFonts w:ascii="Times New Roman" w:hAnsi="Times New Roman"/>
          <w:sz w:val="24"/>
          <w:szCs w:val="24"/>
        </w:rPr>
        <w:t> </w:t>
      </w:r>
      <w:r w:rsidR="00B71223" w:rsidRPr="00B71223">
        <w:rPr>
          <w:rFonts w:ascii="Times New Roman" w:hAnsi="Times New Roman"/>
          <w:sz w:val="24"/>
          <w:szCs w:val="24"/>
        </w:rPr>
        <w:t>nápravu zistených nedostatkov a na odstránenie príčin ich vzniku a</w:t>
      </w:r>
      <w:r w:rsidR="003702AC">
        <w:rPr>
          <w:rFonts w:ascii="Times New Roman" w:hAnsi="Times New Roman"/>
          <w:sz w:val="24"/>
          <w:szCs w:val="24"/>
        </w:rPr>
        <w:t xml:space="preserve"> následne, </w:t>
      </w:r>
      <w:r w:rsidR="00B71223" w:rsidRPr="00B71223">
        <w:rPr>
          <w:rFonts w:ascii="Times New Roman" w:hAnsi="Times New Roman"/>
          <w:sz w:val="24"/>
          <w:szCs w:val="24"/>
        </w:rPr>
        <w:t>na výzvu oprávn</w:t>
      </w:r>
      <w:r>
        <w:rPr>
          <w:rFonts w:ascii="Times New Roman" w:hAnsi="Times New Roman"/>
          <w:sz w:val="24"/>
          <w:szCs w:val="24"/>
        </w:rPr>
        <w:t>enej osoby</w:t>
      </w:r>
      <w:r w:rsidR="003702AC">
        <w:rPr>
          <w:rFonts w:ascii="Times New Roman" w:hAnsi="Times New Roman"/>
          <w:sz w:val="24"/>
          <w:szCs w:val="24"/>
        </w:rPr>
        <w:t>,</w:t>
      </w:r>
      <w:r>
        <w:rPr>
          <w:rFonts w:ascii="Times New Roman" w:hAnsi="Times New Roman"/>
          <w:sz w:val="24"/>
          <w:szCs w:val="24"/>
        </w:rPr>
        <w:t xml:space="preserve"> povinná osoba predloží</w:t>
      </w:r>
      <w:r w:rsidR="00B71223" w:rsidRPr="00B71223">
        <w:rPr>
          <w:rFonts w:ascii="Times New Roman" w:hAnsi="Times New Roman"/>
          <w:sz w:val="24"/>
          <w:szCs w:val="24"/>
        </w:rPr>
        <w:t xml:space="preserve"> dokumentáciu preukazujúcu splnenie prijatých opatrení</w:t>
      </w:r>
      <w:r w:rsidR="003702AC">
        <w:rPr>
          <w:rFonts w:ascii="Times New Roman" w:hAnsi="Times New Roman"/>
          <w:sz w:val="24"/>
          <w:szCs w:val="24"/>
        </w:rPr>
        <w:t>. Uvedený postup sa</w:t>
      </w:r>
      <w:r w:rsidR="00CE61DA">
        <w:rPr>
          <w:rFonts w:ascii="Times New Roman" w:hAnsi="Times New Roman"/>
          <w:sz w:val="24"/>
          <w:szCs w:val="24"/>
        </w:rPr>
        <w:t> </w:t>
      </w:r>
      <w:r w:rsidR="003702AC">
        <w:rPr>
          <w:rFonts w:ascii="Times New Roman" w:hAnsi="Times New Roman"/>
          <w:sz w:val="24"/>
          <w:szCs w:val="24"/>
        </w:rPr>
        <w:t xml:space="preserve">nastavuje za účelom efektívneho overenia prijatia a splnenia opatrení </w:t>
      </w:r>
      <w:r w:rsidR="00797BE2">
        <w:rPr>
          <w:rFonts w:ascii="Times New Roman" w:hAnsi="Times New Roman"/>
          <w:sz w:val="24"/>
          <w:szCs w:val="24"/>
        </w:rPr>
        <w:t xml:space="preserve">prijatých </w:t>
      </w:r>
      <w:r w:rsidR="003702AC">
        <w:rPr>
          <w:rFonts w:ascii="Times New Roman" w:hAnsi="Times New Roman"/>
          <w:sz w:val="24"/>
          <w:szCs w:val="24"/>
        </w:rPr>
        <w:t>na</w:t>
      </w:r>
      <w:r w:rsidR="0084732A">
        <w:rPr>
          <w:rFonts w:ascii="Times New Roman" w:hAnsi="Times New Roman"/>
          <w:sz w:val="24"/>
          <w:szCs w:val="24"/>
        </w:rPr>
        <w:t> </w:t>
      </w:r>
      <w:r w:rsidR="003702AC">
        <w:rPr>
          <w:rFonts w:ascii="Times New Roman" w:hAnsi="Times New Roman"/>
          <w:sz w:val="24"/>
          <w:szCs w:val="24"/>
        </w:rPr>
        <w:t>nápravu zistených nedostatkov a na odstránenie príčin ich vzniku.</w:t>
      </w:r>
      <w:r w:rsidR="003702AC" w:rsidRPr="00B71223">
        <w:rPr>
          <w:rFonts w:ascii="Times New Roman" w:hAnsi="Times New Roman"/>
          <w:sz w:val="24"/>
          <w:szCs w:val="24"/>
        </w:rPr>
        <w:t xml:space="preserve"> </w:t>
      </w:r>
    </w:p>
    <w:p w14:paraId="23060840" w14:textId="0715B454" w:rsidR="00B71223" w:rsidRDefault="00B66C42" w:rsidP="00A47D74">
      <w:pPr>
        <w:spacing w:after="120"/>
        <w:ind w:firstLine="567"/>
        <w:jc w:val="both"/>
        <w:rPr>
          <w:rFonts w:ascii="Times New Roman" w:hAnsi="Times New Roman"/>
          <w:sz w:val="24"/>
          <w:szCs w:val="24"/>
        </w:rPr>
      </w:pPr>
      <w:r w:rsidRPr="00253221">
        <w:rPr>
          <w:rFonts w:ascii="Times New Roman" w:hAnsi="Times New Roman"/>
          <w:sz w:val="24"/>
          <w:szCs w:val="24"/>
        </w:rPr>
        <w:t>Dôležitou zmenou pre</w:t>
      </w:r>
      <w:r w:rsidR="00797BE2">
        <w:rPr>
          <w:rFonts w:ascii="Times New Roman" w:hAnsi="Times New Roman"/>
          <w:sz w:val="24"/>
          <w:szCs w:val="24"/>
        </w:rPr>
        <w:t xml:space="preserve">chádza </w:t>
      </w:r>
      <w:r w:rsidRPr="00253221">
        <w:rPr>
          <w:rFonts w:ascii="Times New Roman" w:hAnsi="Times New Roman"/>
          <w:sz w:val="24"/>
          <w:szCs w:val="24"/>
        </w:rPr>
        <w:t xml:space="preserve">aj proces oznamovania podozrení </w:t>
      </w:r>
      <w:r w:rsidR="00B71223" w:rsidRPr="00253221">
        <w:rPr>
          <w:rFonts w:ascii="Times New Roman" w:hAnsi="Times New Roman"/>
          <w:sz w:val="24"/>
          <w:szCs w:val="24"/>
        </w:rPr>
        <w:t>zo spáchania trestného činu, priestupku alebo zo spáchania iného správneho deliktu orgánom príslušným podľa Trestného poriadku alebo podľa osobitných predpisov,</w:t>
      </w:r>
      <w:r w:rsidR="00797BE2">
        <w:rPr>
          <w:rFonts w:ascii="Times New Roman" w:hAnsi="Times New Roman"/>
          <w:sz w:val="24"/>
          <w:szCs w:val="24"/>
        </w:rPr>
        <w:t xml:space="preserve"> </w:t>
      </w:r>
      <w:r w:rsidR="00B71223" w:rsidRPr="00253221">
        <w:rPr>
          <w:rFonts w:ascii="Times New Roman" w:hAnsi="Times New Roman"/>
          <w:sz w:val="24"/>
          <w:szCs w:val="24"/>
        </w:rPr>
        <w:t xml:space="preserve">pričom tieto podozrenia sa </w:t>
      </w:r>
      <w:r w:rsidR="00CA66C5" w:rsidRPr="00253221">
        <w:rPr>
          <w:rFonts w:ascii="Times New Roman" w:hAnsi="Times New Roman"/>
          <w:sz w:val="24"/>
          <w:szCs w:val="24"/>
        </w:rPr>
        <w:t>neuvádza</w:t>
      </w:r>
      <w:r w:rsidR="00797BE2">
        <w:rPr>
          <w:rFonts w:ascii="Times New Roman" w:hAnsi="Times New Roman"/>
          <w:sz w:val="24"/>
          <w:szCs w:val="24"/>
        </w:rPr>
        <w:t>jú</w:t>
      </w:r>
      <w:r w:rsidR="00CA66C5" w:rsidRPr="00253221">
        <w:rPr>
          <w:rFonts w:ascii="Times New Roman" w:hAnsi="Times New Roman"/>
          <w:sz w:val="24"/>
          <w:szCs w:val="24"/>
        </w:rPr>
        <w:t xml:space="preserve"> v</w:t>
      </w:r>
      <w:r w:rsidR="00840D11" w:rsidRPr="00253221">
        <w:rPr>
          <w:rFonts w:ascii="Times New Roman" w:hAnsi="Times New Roman"/>
          <w:sz w:val="24"/>
          <w:szCs w:val="24"/>
        </w:rPr>
        <w:t> </w:t>
      </w:r>
      <w:r w:rsidR="00CA66C5" w:rsidRPr="00253221">
        <w:rPr>
          <w:rFonts w:ascii="Times New Roman" w:hAnsi="Times New Roman"/>
          <w:sz w:val="24"/>
          <w:szCs w:val="24"/>
        </w:rPr>
        <w:t>návrhu čiastkovej správy, návrhu správy, čiastkovej správe alebo v</w:t>
      </w:r>
      <w:r w:rsidR="00797BE2">
        <w:rPr>
          <w:rFonts w:ascii="Times New Roman" w:hAnsi="Times New Roman"/>
          <w:sz w:val="24"/>
          <w:szCs w:val="24"/>
        </w:rPr>
        <w:t> </w:t>
      </w:r>
      <w:r w:rsidR="00CA66C5" w:rsidRPr="00253221">
        <w:rPr>
          <w:rFonts w:ascii="Times New Roman" w:hAnsi="Times New Roman"/>
          <w:sz w:val="24"/>
          <w:szCs w:val="24"/>
        </w:rPr>
        <w:t xml:space="preserve">správe len </w:t>
      </w:r>
      <w:r w:rsidR="00B71223" w:rsidRPr="00253221">
        <w:rPr>
          <w:rFonts w:ascii="Times New Roman" w:hAnsi="Times New Roman"/>
          <w:sz w:val="24"/>
          <w:szCs w:val="24"/>
        </w:rPr>
        <w:t>v</w:t>
      </w:r>
      <w:r w:rsidR="00234466" w:rsidRPr="00253221">
        <w:rPr>
          <w:rFonts w:ascii="Times New Roman" w:hAnsi="Times New Roman"/>
          <w:sz w:val="24"/>
          <w:szCs w:val="24"/>
        </w:rPr>
        <w:t> </w:t>
      </w:r>
      <w:r w:rsidR="00B71223" w:rsidRPr="00253221">
        <w:rPr>
          <w:rFonts w:ascii="Times New Roman" w:hAnsi="Times New Roman"/>
          <w:sz w:val="24"/>
          <w:szCs w:val="24"/>
        </w:rPr>
        <w:t>prípadoch hodných osobitného zreteľa</w:t>
      </w:r>
      <w:r w:rsidR="00CA66C5" w:rsidRPr="00253221">
        <w:rPr>
          <w:rFonts w:ascii="Times New Roman" w:hAnsi="Times New Roman"/>
          <w:sz w:val="24"/>
          <w:szCs w:val="24"/>
        </w:rPr>
        <w:t xml:space="preserve">, </w:t>
      </w:r>
      <w:r w:rsidR="00797BE2">
        <w:rPr>
          <w:rFonts w:ascii="Times New Roman" w:hAnsi="Times New Roman"/>
          <w:sz w:val="24"/>
          <w:szCs w:val="24"/>
        </w:rPr>
        <w:t>t. j. v</w:t>
      </w:r>
      <w:r w:rsidR="00B3068D">
        <w:rPr>
          <w:rFonts w:ascii="Times New Roman" w:hAnsi="Times New Roman"/>
          <w:sz w:val="24"/>
          <w:szCs w:val="24"/>
        </w:rPr>
        <w:t> </w:t>
      </w:r>
      <w:r w:rsidR="00797BE2">
        <w:rPr>
          <w:rFonts w:ascii="Times New Roman" w:hAnsi="Times New Roman"/>
          <w:sz w:val="24"/>
          <w:szCs w:val="24"/>
        </w:rPr>
        <w:t>prípadoch</w:t>
      </w:r>
      <w:r w:rsidR="00B3068D">
        <w:rPr>
          <w:rFonts w:ascii="Times New Roman" w:hAnsi="Times New Roman"/>
          <w:sz w:val="24"/>
          <w:szCs w:val="24"/>
        </w:rPr>
        <w:t>,</w:t>
      </w:r>
      <w:r w:rsidR="00797BE2">
        <w:rPr>
          <w:rFonts w:ascii="Times New Roman" w:hAnsi="Times New Roman"/>
          <w:sz w:val="24"/>
          <w:szCs w:val="24"/>
        </w:rPr>
        <w:t xml:space="preserve"> </w:t>
      </w:r>
      <w:r w:rsidR="00CA66C5" w:rsidRPr="00253221">
        <w:rPr>
          <w:rFonts w:ascii="Times New Roman" w:hAnsi="Times New Roman"/>
          <w:sz w:val="24"/>
          <w:szCs w:val="24"/>
        </w:rPr>
        <w:t>kedy zamestnanci oprávnenej osoby vyhodnotia, že uvedením podozrenia v návrhu čiastkovej správy, návrhu správy, čiastkovej správe alebo</w:t>
      </w:r>
      <w:r w:rsidR="00460FB8">
        <w:rPr>
          <w:rFonts w:ascii="Times New Roman" w:hAnsi="Times New Roman"/>
          <w:sz w:val="24"/>
          <w:szCs w:val="24"/>
        </w:rPr>
        <w:t> </w:t>
      </w:r>
      <w:r w:rsidR="00CA66C5" w:rsidRPr="00253221">
        <w:rPr>
          <w:rFonts w:ascii="Times New Roman" w:hAnsi="Times New Roman"/>
          <w:sz w:val="24"/>
          <w:szCs w:val="24"/>
        </w:rPr>
        <w:t>správe by mohlo dôjsť k zmareniu trestného konania alebo iného konania podľa</w:t>
      </w:r>
      <w:r w:rsidR="00460FB8">
        <w:rPr>
          <w:rFonts w:ascii="Times New Roman" w:hAnsi="Times New Roman"/>
          <w:sz w:val="24"/>
          <w:szCs w:val="24"/>
        </w:rPr>
        <w:t> </w:t>
      </w:r>
      <w:r w:rsidR="00CA66C5" w:rsidRPr="00253221">
        <w:rPr>
          <w:rFonts w:ascii="Times New Roman" w:hAnsi="Times New Roman"/>
          <w:sz w:val="24"/>
          <w:szCs w:val="24"/>
        </w:rPr>
        <w:t>osobitného predpisu.</w:t>
      </w:r>
    </w:p>
    <w:p w14:paraId="39773FD7" w14:textId="77777777" w:rsidR="00B71223" w:rsidRDefault="006E2C11" w:rsidP="00A47D74">
      <w:pPr>
        <w:pStyle w:val="Odsekzoznamu"/>
        <w:spacing w:after="120"/>
        <w:ind w:left="0" w:firstLine="567"/>
        <w:contextualSpacing w:val="0"/>
        <w:jc w:val="both"/>
        <w:rPr>
          <w:rFonts w:ascii="Times New Roman" w:hAnsi="Times New Roman"/>
          <w:sz w:val="24"/>
          <w:szCs w:val="24"/>
        </w:rPr>
      </w:pPr>
      <w:r>
        <w:rPr>
          <w:rFonts w:ascii="Times New Roman" w:hAnsi="Times New Roman"/>
          <w:sz w:val="24"/>
          <w:szCs w:val="24"/>
        </w:rPr>
        <w:t>Predlžuje sa</w:t>
      </w:r>
      <w:r w:rsidR="00F20659">
        <w:rPr>
          <w:rFonts w:ascii="Times New Roman" w:hAnsi="Times New Roman"/>
          <w:sz w:val="24"/>
          <w:szCs w:val="24"/>
        </w:rPr>
        <w:t xml:space="preserve"> subjektívn</w:t>
      </w:r>
      <w:r w:rsidR="00454507">
        <w:rPr>
          <w:rFonts w:ascii="Times New Roman" w:hAnsi="Times New Roman"/>
          <w:sz w:val="24"/>
          <w:szCs w:val="24"/>
        </w:rPr>
        <w:t>a</w:t>
      </w:r>
      <w:r w:rsidR="00F20659">
        <w:rPr>
          <w:rFonts w:ascii="Times New Roman" w:hAnsi="Times New Roman"/>
          <w:sz w:val="24"/>
          <w:szCs w:val="24"/>
        </w:rPr>
        <w:t xml:space="preserve"> lehot</w:t>
      </w:r>
      <w:r>
        <w:rPr>
          <w:rFonts w:ascii="Times New Roman" w:hAnsi="Times New Roman"/>
          <w:sz w:val="24"/>
          <w:szCs w:val="24"/>
        </w:rPr>
        <w:t>a</w:t>
      </w:r>
      <w:r w:rsidR="00F20659">
        <w:rPr>
          <w:rFonts w:ascii="Times New Roman" w:hAnsi="Times New Roman"/>
          <w:sz w:val="24"/>
          <w:szCs w:val="24"/>
        </w:rPr>
        <w:t xml:space="preserve"> na uloženie p</w:t>
      </w:r>
      <w:r w:rsidR="00B71223" w:rsidRPr="00B71223">
        <w:rPr>
          <w:rFonts w:ascii="Times New Roman" w:hAnsi="Times New Roman"/>
          <w:sz w:val="24"/>
          <w:szCs w:val="24"/>
        </w:rPr>
        <w:t>okut</w:t>
      </w:r>
      <w:r w:rsidR="00F20659">
        <w:rPr>
          <w:rFonts w:ascii="Times New Roman" w:hAnsi="Times New Roman"/>
          <w:sz w:val="24"/>
          <w:szCs w:val="24"/>
        </w:rPr>
        <w:t>y</w:t>
      </w:r>
      <w:r w:rsidR="00B71223" w:rsidRPr="00B71223">
        <w:rPr>
          <w:rFonts w:ascii="Times New Roman" w:hAnsi="Times New Roman"/>
          <w:sz w:val="24"/>
          <w:szCs w:val="24"/>
        </w:rPr>
        <w:t xml:space="preserve"> podľa </w:t>
      </w:r>
      <w:r w:rsidR="00F20659">
        <w:rPr>
          <w:rFonts w:ascii="Times New Roman" w:hAnsi="Times New Roman"/>
          <w:sz w:val="24"/>
          <w:szCs w:val="24"/>
        </w:rPr>
        <w:t xml:space="preserve">tohto zákona z jedného </w:t>
      </w:r>
      <w:r w:rsidR="00234466">
        <w:rPr>
          <w:rFonts w:ascii="Times New Roman" w:hAnsi="Times New Roman"/>
          <w:sz w:val="24"/>
          <w:szCs w:val="24"/>
        </w:rPr>
        <w:t>rok</w:t>
      </w:r>
      <w:r w:rsidR="00840D11">
        <w:rPr>
          <w:rFonts w:ascii="Times New Roman" w:hAnsi="Times New Roman"/>
          <w:sz w:val="24"/>
          <w:szCs w:val="24"/>
        </w:rPr>
        <w:t>a</w:t>
      </w:r>
      <w:r>
        <w:rPr>
          <w:rFonts w:ascii="Times New Roman" w:hAnsi="Times New Roman"/>
          <w:sz w:val="24"/>
          <w:szCs w:val="24"/>
        </w:rPr>
        <w:t xml:space="preserve"> </w:t>
      </w:r>
      <w:r w:rsidR="00F20659">
        <w:rPr>
          <w:rFonts w:ascii="Times New Roman" w:hAnsi="Times New Roman"/>
          <w:sz w:val="24"/>
          <w:szCs w:val="24"/>
        </w:rPr>
        <w:t>na</w:t>
      </w:r>
      <w:r w:rsidR="009053CF">
        <w:rPr>
          <w:rFonts w:ascii="Times New Roman" w:hAnsi="Times New Roman"/>
          <w:sz w:val="24"/>
          <w:szCs w:val="24"/>
        </w:rPr>
        <w:t> </w:t>
      </w:r>
      <w:r w:rsidR="00F20659">
        <w:rPr>
          <w:rFonts w:ascii="Times New Roman" w:hAnsi="Times New Roman"/>
          <w:sz w:val="24"/>
          <w:szCs w:val="24"/>
        </w:rPr>
        <w:t>tri roky, z dôvodu lepšej vymožiteľnosti</w:t>
      </w:r>
      <w:r w:rsidR="00234466">
        <w:rPr>
          <w:rFonts w:ascii="Times New Roman" w:hAnsi="Times New Roman"/>
          <w:sz w:val="24"/>
          <w:szCs w:val="24"/>
        </w:rPr>
        <w:t xml:space="preserve"> práva</w:t>
      </w:r>
      <w:r w:rsidR="000513B0">
        <w:rPr>
          <w:rFonts w:ascii="Times New Roman" w:hAnsi="Times New Roman"/>
          <w:sz w:val="24"/>
          <w:szCs w:val="24"/>
        </w:rPr>
        <w:t xml:space="preserve"> a zabezpečenia dostatočného časového p</w:t>
      </w:r>
      <w:r>
        <w:rPr>
          <w:rFonts w:ascii="Times New Roman" w:hAnsi="Times New Roman"/>
          <w:sz w:val="24"/>
          <w:szCs w:val="24"/>
        </w:rPr>
        <w:t>ri</w:t>
      </w:r>
      <w:r w:rsidR="000513B0">
        <w:rPr>
          <w:rFonts w:ascii="Times New Roman" w:hAnsi="Times New Roman"/>
          <w:sz w:val="24"/>
          <w:szCs w:val="24"/>
        </w:rPr>
        <w:t>estoru na riadny priebeh správneho konania</w:t>
      </w:r>
      <w:r w:rsidR="00F20659">
        <w:rPr>
          <w:rFonts w:ascii="Times New Roman" w:hAnsi="Times New Roman"/>
          <w:sz w:val="24"/>
          <w:szCs w:val="24"/>
        </w:rPr>
        <w:t xml:space="preserve">. </w:t>
      </w:r>
    </w:p>
    <w:p w14:paraId="2ED8E49D" w14:textId="48658AD0" w:rsidR="0084732A" w:rsidRDefault="00CF1CD5" w:rsidP="00A47D74">
      <w:pPr>
        <w:spacing w:after="120"/>
        <w:ind w:firstLine="567"/>
        <w:jc w:val="both"/>
        <w:rPr>
          <w:rFonts w:ascii="Times New Roman" w:hAnsi="Times New Roman"/>
          <w:sz w:val="24"/>
          <w:szCs w:val="24"/>
        </w:rPr>
      </w:pPr>
      <w:r w:rsidRPr="00FE5B06">
        <w:rPr>
          <w:rFonts w:ascii="Times New Roman" w:hAnsi="Times New Roman"/>
          <w:sz w:val="24"/>
          <w:szCs w:val="24"/>
        </w:rPr>
        <w:t xml:space="preserve">Prijatie </w:t>
      </w:r>
      <w:r>
        <w:rPr>
          <w:rFonts w:ascii="Times New Roman" w:hAnsi="Times New Roman"/>
          <w:sz w:val="24"/>
          <w:szCs w:val="24"/>
        </w:rPr>
        <w:t>návrhu</w:t>
      </w:r>
      <w:r w:rsidRPr="00FE5B06">
        <w:rPr>
          <w:rFonts w:ascii="Times New Roman" w:hAnsi="Times New Roman"/>
          <w:sz w:val="24"/>
          <w:szCs w:val="24"/>
        </w:rPr>
        <w:t xml:space="preserve"> </w:t>
      </w:r>
      <w:r w:rsidR="006F3876">
        <w:rPr>
          <w:rFonts w:ascii="Times New Roman" w:hAnsi="Times New Roman"/>
          <w:sz w:val="24"/>
          <w:szCs w:val="24"/>
        </w:rPr>
        <w:t xml:space="preserve">zákona </w:t>
      </w:r>
      <w:r>
        <w:rPr>
          <w:rFonts w:ascii="Times New Roman" w:hAnsi="Times New Roman"/>
          <w:sz w:val="24"/>
          <w:szCs w:val="24"/>
        </w:rPr>
        <w:t>ne</w:t>
      </w:r>
      <w:r w:rsidRPr="00FE5B06">
        <w:rPr>
          <w:rFonts w:ascii="Times New Roman" w:hAnsi="Times New Roman"/>
          <w:sz w:val="24"/>
          <w:szCs w:val="24"/>
        </w:rPr>
        <w:t>bude mať vplyv na rozpočet verejnej správy, podnikateľské prostredie</w:t>
      </w:r>
      <w:r>
        <w:rPr>
          <w:rFonts w:ascii="Times New Roman" w:hAnsi="Times New Roman"/>
          <w:sz w:val="24"/>
          <w:szCs w:val="24"/>
        </w:rPr>
        <w:t xml:space="preserve">, </w:t>
      </w:r>
      <w:r w:rsidRPr="00FE5B06">
        <w:rPr>
          <w:rFonts w:ascii="Times New Roman" w:hAnsi="Times New Roman"/>
          <w:sz w:val="24"/>
          <w:szCs w:val="24"/>
        </w:rPr>
        <w:t>na informatizáciu spoločnosti</w:t>
      </w:r>
      <w:r>
        <w:rPr>
          <w:rFonts w:ascii="Times New Roman" w:hAnsi="Times New Roman"/>
          <w:sz w:val="24"/>
          <w:szCs w:val="24"/>
        </w:rPr>
        <w:t>, sociálne vplyvy ani vplyvy na</w:t>
      </w:r>
      <w:r w:rsidRPr="00FE5B06">
        <w:rPr>
          <w:rFonts w:ascii="Times New Roman" w:hAnsi="Times New Roman"/>
          <w:sz w:val="24"/>
          <w:szCs w:val="24"/>
        </w:rPr>
        <w:t xml:space="preserve"> životné prostredie</w:t>
      </w:r>
      <w:r>
        <w:rPr>
          <w:rFonts w:ascii="Times New Roman" w:hAnsi="Times New Roman"/>
          <w:sz w:val="24"/>
          <w:szCs w:val="24"/>
        </w:rPr>
        <w:t xml:space="preserve">, a ani vplyvy na služby verejnej správy pre občana. </w:t>
      </w:r>
      <w:r w:rsidRPr="00E939DC">
        <w:rPr>
          <w:rFonts w:ascii="Times New Roman" w:hAnsi="Times New Roman"/>
          <w:sz w:val="24"/>
          <w:szCs w:val="24"/>
        </w:rPr>
        <w:t xml:space="preserve">Návrh </w:t>
      </w:r>
      <w:r>
        <w:rPr>
          <w:rFonts w:ascii="Times New Roman" w:hAnsi="Times New Roman"/>
          <w:sz w:val="24"/>
          <w:szCs w:val="24"/>
        </w:rPr>
        <w:t>zákona</w:t>
      </w:r>
      <w:r w:rsidRPr="00E939DC">
        <w:rPr>
          <w:rFonts w:ascii="Times New Roman" w:hAnsi="Times New Roman"/>
          <w:sz w:val="24"/>
          <w:szCs w:val="24"/>
        </w:rPr>
        <w:t xml:space="preserve"> nebol predmetom predbežného pripomienkového konania</w:t>
      </w:r>
      <w:r w:rsidR="0084732A" w:rsidRPr="0084732A">
        <w:rPr>
          <w:rFonts w:ascii="Times New Roman" w:hAnsi="Times New Roman"/>
          <w:sz w:val="24"/>
          <w:szCs w:val="24"/>
        </w:rPr>
        <w:t>.</w:t>
      </w:r>
    </w:p>
    <w:p w14:paraId="51C715C7" w14:textId="77777777" w:rsidR="00410E20" w:rsidRPr="00B71223" w:rsidRDefault="00410E20" w:rsidP="00A47D74">
      <w:pPr>
        <w:spacing w:after="120"/>
        <w:ind w:firstLine="567"/>
        <w:jc w:val="both"/>
        <w:rPr>
          <w:rFonts w:ascii="Times New Roman" w:hAnsi="Times New Roman"/>
          <w:sz w:val="24"/>
          <w:szCs w:val="24"/>
        </w:rPr>
      </w:pPr>
      <w:r w:rsidRPr="00BC77FC">
        <w:rPr>
          <w:rFonts w:ascii="Times New Roman" w:hAnsi="Times New Roman"/>
          <w:sz w:val="24"/>
          <w:szCs w:val="24"/>
        </w:rPr>
        <w:t xml:space="preserve">Návrh zákona je v súlade s Ústavou Slovenskej republiky, </w:t>
      </w:r>
      <w:r>
        <w:rPr>
          <w:rFonts w:ascii="Times New Roman" w:hAnsi="Times New Roman"/>
          <w:sz w:val="24"/>
          <w:szCs w:val="24"/>
        </w:rPr>
        <w:t xml:space="preserve">ústavnými zákonmi, inými </w:t>
      </w:r>
      <w:r w:rsidRPr="00BC77FC">
        <w:rPr>
          <w:rFonts w:ascii="Times New Roman" w:hAnsi="Times New Roman"/>
          <w:sz w:val="24"/>
          <w:szCs w:val="24"/>
        </w:rPr>
        <w:t>zákonmi</w:t>
      </w:r>
      <w:r>
        <w:rPr>
          <w:rFonts w:ascii="Times New Roman" w:hAnsi="Times New Roman"/>
          <w:sz w:val="24"/>
          <w:szCs w:val="24"/>
        </w:rPr>
        <w:t xml:space="preserve">, nálezmi Ústavného súdu Slovenskej republiky, </w:t>
      </w:r>
      <w:r w:rsidRPr="00BC77FC">
        <w:rPr>
          <w:rFonts w:ascii="Times New Roman" w:hAnsi="Times New Roman"/>
          <w:sz w:val="24"/>
          <w:szCs w:val="24"/>
        </w:rPr>
        <w:t>medzinárodnými zmluvami a inými medzinárodnými dokumentmi, ktorými je Slovenská republika viazaná a</w:t>
      </w:r>
      <w:r>
        <w:rPr>
          <w:rFonts w:ascii="Times New Roman" w:hAnsi="Times New Roman"/>
          <w:sz w:val="24"/>
          <w:szCs w:val="24"/>
        </w:rPr>
        <w:t> </w:t>
      </w:r>
      <w:r w:rsidRPr="00BC77FC">
        <w:rPr>
          <w:rFonts w:ascii="Times New Roman" w:hAnsi="Times New Roman"/>
          <w:sz w:val="24"/>
          <w:szCs w:val="24"/>
        </w:rPr>
        <w:t>s</w:t>
      </w:r>
      <w:r>
        <w:rPr>
          <w:rFonts w:ascii="Times New Roman" w:hAnsi="Times New Roman"/>
          <w:sz w:val="24"/>
          <w:szCs w:val="24"/>
        </w:rPr>
        <w:t> </w:t>
      </w:r>
      <w:r w:rsidRPr="00BC77FC">
        <w:rPr>
          <w:rFonts w:ascii="Times New Roman" w:hAnsi="Times New Roman"/>
          <w:sz w:val="24"/>
          <w:szCs w:val="24"/>
        </w:rPr>
        <w:t>právom Európskej únie.</w:t>
      </w:r>
    </w:p>
    <w:p w14:paraId="5D9B5CB7" w14:textId="557A908B" w:rsidR="0091527C" w:rsidRPr="00454507" w:rsidRDefault="0084732A" w:rsidP="00A47D74">
      <w:pPr>
        <w:pStyle w:val="Odsekzoznamu"/>
        <w:spacing w:after="120"/>
        <w:ind w:left="0" w:firstLine="567"/>
        <w:contextualSpacing w:val="0"/>
        <w:jc w:val="both"/>
      </w:pPr>
      <w:r w:rsidRPr="0084732A">
        <w:rPr>
          <w:rFonts w:ascii="Times New Roman" w:hAnsi="Times New Roman"/>
          <w:sz w:val="24"/>
          <w:szCs w:val="24"/>
        </w:rPr>
        <w:t xml:space="preserve">Navrhuje sa účinnosť od 1. januára 2019, </w:t>
      </w:r>
      <w:r w:rsidR="00812F21" w:rsidRPr="00812F21">
        <w:rPr>
          <w:rFonts w:ascii="Times New Roman" w:hAnsi="Times New Roman"/>
          <w:sz w:val="24"/>
          <w:szCs w:val="24"/>
        </w:rPr>
        <w:t xml:space="preserve">okrem čl. II </w:t>
      </w:r>
      <w:r w:rsidR="00157E41">
        <w:rPr>
          <w:rFonts w:ascii="Times New Roman" w:hAnsi="Times New Roman"/>
          <w:sz w:val="24"/>
          <w:szCs w:val="24"/>
        </w:rPr>
        <w:t>prvého, druhého, štvrtého a ôsmeho bodu</w:t>
      </w:r>
      <w:r w:rsidR="00812F21" w:rsidRPr="00812F21">
        <w:rPr>
          <w:rFonts w:ascii="Times New Roman" w:hAnsi="Times New Roman"/>
          <w:sz w:val="24"/>
          <w:szCs w:val="24"/>
        </w:rPr>
        <w:t>, ktoré nadobúdajú účinnosť 1. januára 2020</w:t>
      </w:r>
      <w:r w:rsidRPr="0084732A">
        <w:rPr>
          <w:rFonts w:ascii="Times New Roman" w:hAnsi="Times New Roman"/>
          <w:sz w:val="24"/>
          <w:szCs w:val="24"/>
        </w:rPr>
        <w:t>, s</w:t>
      </w:r>
      <w:r w:rsidR="003E1ADC">
        <w:rPr>
          <w:rFonts w:ascii="Times New Roman" w:hAnsi="Times New Roman"/>
          <w:sz w:val="24"/>
          <w:szCs w:val="24"/>
        </w:rPr>
        <w:t>o</w:t>
      </w:r>
      <w:r w:rsidRPr="0084732A">
        <w:rPr>
          <w:rFonts w:ascii="Times New Roman" w:hAnsi="Times New Roman"/>
          <w:sz w:val="24"/>
          <w:szCs w:val="24"/>
        </w:rPr>
        <w:t xml:space="preserve"> </w:t>
      </w:r>
      <w:r w:rsidR="003E1ADC">
        <w:rPr>
          <w:rFonts w:ascii="Times New Roman" w:hAnsi="Times New Roman"/>
          <w:sz w:val="24"/>
          <w:szCs w:val="24"/>
        </w:rPr>
        <w:t xml:space="preserve">zohľadnením </w:t>
      </w:r>
      <w:r w:rsidRPr="0084732A">
        <w:rPr>
          <w:rFonts w:ascii="Times New Roman" w:hAnsi="Times New Roman"/>
          <w:sz w:val="24"/>
          <w:szCs w:val="24"/>
        </w:rPr>
        <w:t>dostatočn</w:t>
      </w:r>
      <w:r w:rsidR="003E1ADC">
        <w:rPr>
          <w:rFonts w:ascii="Times New Roman" w:hAnsi="Times New Roman"/>
          <w:sz w:val="24"/>
          <w:szCs w:val="24"/>
        </w:rPr>
        <w:t>ej</w:t>
      </w:r>
      <w:r w:rsidRPr="0084732A">
        <w:rPr>
          <w:rFonts w:ascii="Times New Roman" w:hAnsi="Times New Roman"/>
          <w:sz w:val="24"/>
          <w:szCs w:val="24"/>
        </w:rPr>
        <w:t xml:space="preserve"> legisvakačn</w:t>
      </w:r>
      <w:r w:rsidR="003E1ADC">
        <w:rPr>
          <w:rFonts w:ascii="Times New Roman" w:hAnsi="Times New Roman"/>
          <w:sz w:val="24"/>
          <w:szCs w:val="24"/>
        </w:rPr>
        <w:t>ej</w:t>
      </w:r>
      <w:r w:rsidRPr="0084732A">
        <w:rPr>
          <w:rFonts w:ascii="Times New Roman" w:hAnsi="Times New Roman"/>
          <w:sz w:val="24"/>
          <w:szCs w:val="24"/>
        </w:rPr>
        <w:t xml:space="preserve"> lehot</w:t>
      </w:r>
      <w:r w:rsidR="003E1ADC">
        <w:rPr>
          <w:rFonts w:ascii="Times New Roman" w:hAnsi="Times New Roman"/>
          <w:sz w:val="24"/>
          <w:szCs w:val="24"/>
        </w:rPr>
        <w:t>y</w:t>
      </w:r>
      <w:r w:rsidRPr="0084732A">
        <w:rPr>
          <w:rFonts w:ascii="Times New Roman" w:hAnsi="Times New Roman"/>
          <w:sz w:val="24"/>
          <w:szCs w:val="24"/>
        </w:rPr>
        <w:t>.</w:t>
      </w:r>
    </w:p>
    <w:p w14:paraId="2C40C820" w14:textId="77777777" w:rsidR="0091527C" w:rsidRDefault="0091527C" w:rsidP="00A47D74">
      <w:pPr>
        <w:spacing w:after="120"/>
        <w:rPr>
          <w:rFonts w:ascii="Times New Roman" w:hAnsi="Times New Roman"/>
          <w:b/>
          <w:sz w:val="24"/>
          <w:szCs w:val="24"/>
        </w:rPr>
      </w:pPr>
      <w:r>
        <w:rPr>
          <w:rFonts w:ascii="Times New Roman" w:hAnsi="Times New Roman"/>
          <w:b/>
          <w:sz w:val="24"/>
          <w:szCs w:val="24"/>
        </w:rPr>
        <w:br w:type="page"/>
      </w:r>
    </w:p>
    <w:p w14:paraId="2AC0301C" w14:textId="77777777" w:rsidR="00185669" w:rsidRPr="00185669" w:rsidRDefault="00185669" w:rsidP="00185669">
      <w:pPr>
        <w:spacing w:after="0" w:line="240" w:lineRule="auto"/>
        <w:jc w:val="center"/>
        <w:rPr>
          <w:rFonts w:ascii="Times New Roman" w:hAnsi="Times New Roman"/>
          <w:b/>
          <w:bCs/>
          <w:sz w:val="28"/>
          <w:szCs w:val="28"/>
          <w:lang w:eastAsia="sk-SK"/>
        </w:rPr>
      </w:pPr>
      <w:r w:rsidRPr="00185669">
        <w:rPr>
          <w:rFonts w:ascii="Times New Roman" w:hAnsi="Times New Roman"/>
          <w:b/>
          <w:bCs/>
          <w:sz w:val="28"/>
          <w:szCs w:val="28"/>
          <w:lang w:eastAsia="sk-SK"/>
        </w:rPr>
        <w:lastRenderedPageBreak/>
        <w:t>Doložka vybraných vplyvov</w:t>
      </w:r>
    </w:p>
    <w:p w14:paraId="2A026D7A" w14:textId="77777777" w:rsidR="00185669" w:rsidRPr="00185669" w:rsidRDefault="00185669" w:rsidP="00185669">
      <w:pPr>
        <w:spacing w:after="200" w:line="276" w:lineRule="auto"/>
        <w:ind w:left="426"/>
        <w:contextualSpacing/>
        <w:rPr>
          <w:rFonts w:ascii="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185669" w:rsidRPr="00185669" w14:paraId="2B36E371" w14:textId="77777777" w:rsidTr="00185669">
        <w:tc>
          <w:tcPr>
            <w:tcW w:w="9180" w:type="dxa"/>
            <w:gridSpan w:val="10"/>
            <w:tcBorders>
              <w:bottom w:val="single" w:sz="4" w:space="0" w:color="FFFFFF"/>
            </w:tcBorders>
            <w:shd w:val="clear" w:color="auto" w:fill="E2E2E2"/>
          </w:tcPr>
          <w:p w14:paraId="3A2EA9DA"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Základné údaje</w:t>
            </w:r>
          </w:p>
        </w:tc>
      </w:tr>
      <w:tr w:rsidR="00185669" w:rsidRPr="00185669" w14:paraId="303D8C90" w14:textId="77777777" w:rsidTr="00185669">
        <w:tc>
          <w:tcPr>
            <w:tcW w:w="9180" w:type="dxa"/>
            <w:gridSpan w:val="10"/>
            <w:tcBorders>
              <w:bottom w:val="single" w:sz="4" w:space="0" w:color="FFFFFF"/>
            </w:tcBorders>
            <w:shd w:val="clear" w:color="auto" w:fill="E2E2E2"/>
          </w:tcPr>
          <w:p w14:paraId="73C03852"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Názov materiálu</w:t>
            </w:r>
          </w:p>
        </w:tc>
      </w:tr>
      <w:tr w:rsidR="00185669" w:rsidRPr="00185669" w14:paraId="194EA577" w14:textId="77777777" w:rsidTr="00185669">
        <w:tc>
          <w:tcPr>
            <w:tcW w:w="9180" w:type="dxa"/>
            <w:gridSpan w:val="10"/>
            <w:tcBorders>
              <w:top w:val="single" w:sz="4" w:space="0" w:color="FFFFFF"/>
            </w:tcBorders>
          </w:tcPr>
          <w:p w14:paraId="44464402" w14:textId="77777777" w:rsidR="00185669" w:rsidRPr="00185669" w:rsidRDefault="00185669" w:rsidP="00185669">
            <w:pPr>
              <w:jc w:val="both"/>
              <w:rPr>
                <w:rFonts w:ascii="Times New Roman" w:hAnsi="Times New Roman"/>
                <w:sz w:val="20"/>
                <w:szCs w:val="20"/>
                <w:lang w:eastAsia="sk-SK"/>
              </w:rPr>
            </w:pPr>
            <w:r w:rsidRPr="00185669">
              <w:rPr>
                <w:rFonts w:ascii="Times New Roman" w:hAnsi="Times New Roman"/>
                <w:sz w:val="20"/>
                <w:szCs w:val="20"/>
                <w:lang w:eastAsia="sk-SK"/>
              </w:rPr>
              <w:t>Návrh zákona, ktorým sa mení a dopĺňa zákon č. 357/2015 Z. z. o finančnej kontrole a audite a o zmene a doplnení niektorých zákonov v znení zákona č. 177/2018 Z. z. a ktorým sa menia a dopĺňajú niektoré zákony.</w:t>
            </w:r>
          </w:p>
          <w:p w14:paraId="56ABD672" w14:textId="77777777" w:rsidR="00185669" w:rsidRPr="00185669" w:rsidRDefault="00185669" w:rsidP="00185669">
            <w:pPr>
              <w:rPr>
                <w:rFonts w:ascii="Times New Roman" w:hAnsi="Times New Roman"/>
                <w:sz w:val="20"/>
                <w:szCs w:val="20"/>
                <w:lang w:eastAsia="sk-SK"/>
              </w:rPr>
            </w:pPr>
          </w:p>
        </w:tc>
      </w:tr>
      <w:tr w:rsidR="00185669" w:rsidRPr="00185669" w14:paraId="06678D49" w14:textId="77777777" w:rsidTr="00185669">
        <w:tc>
          <w:tcPr>
            <w:tcW w:w="9180" w:type="dxa"/>
            <w:gridSpan w:val="10"/>
            <w:tcBorders>
              <w:bottom w:val="single" w:sz="4" w:space="0" w:color="FFFFFF"/>
            </w:tcBorders>
            <w:shd w:val="clear" w:color="auto" w:fill="E2E2E2"/>
          </w:tcPr>
          <w:p w14:paraId="792E75BB"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Predkladateľ (a spolupredkladateľ)</w:t>
            </w:r>
          </w:p>
        </w:tc>
      </w:tr>
      <w:tr w:rsidR="00185669" w:rsidRPr="00185669" w14:paraId="5A5751CD" w14:textId="77777777" w:rsidTr="00185669">
        <w:tc>
          <w:tcPr>
            <w:tcW w:w="9180" w:type="dxa"/>
            <w:gridSpan w:val="10"/>
            <w:tcBorders>
              <w:top w:val="single" w:sz="4" w:space="0" w:color="FFFFFF"/>
            </w:tcBorders>
            <w:shd w:val="clear" w:color="auto" w:fill="FFFFFF"/>
          </w:tcPr>
          <w:p w14:paraId="4DA3D0DB"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Ministerstvo financií SR</w:t>
            </w:r>
          </w:p>
          <w:p w14:paraId="20904943" w14:textId="77777777" w:rsidR="00185669" w:rsidRPr="00185669" w:rsidRDefault="00185669" w:rsidP="00185669">
            <w:pPr>
              <w:rPr>
                <w:rFonts w:ascii="Times New Roman" w:hAnsi="Times New Roman"/>
                <w:sz w:val="20"/>
                <w:szCs w:val="20"/>
                <w:lang w:eastAsia="sk-SK"/>
              </w:rPr>
            </w:pPr>
          </w:p>
        </w:tc>
      </w:tr>
      <w:tr w:rsidR="00185669" w:rsidRPr="00185669" w14:paraId="05BC3421" w14:textId="77777777" w:rsidTr="00185669">
        <w:tc>
          <w:tcPr>
            <w:tcW w:w="4212" w:type="dxa"/>
            <w:gridSpan w:val="2"/>
            <w:vMerge w:val="restart"/>
            <w:tcBorders>
              <w:bottom w:val="single" w:sz="4" w:space="0" w:color="FFFFFF"/>
            </w:tcBorders>
            <w:shd w:val="clear" w:color="auto" w:fill="E2E2E2"/>
            <w:vAlign w:val="center"/>
          </w:tcPr>
          <w:p w14:paraId="62EA03BB"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Charakter predkladaného materiálu</w:t>
            </w:r>
          </w:p>
        </w:tc>
        <w:tc>
          <w:tcPr>
            <w:tcW w:w="705" w:type="dxa"/>
            <w:gridSpan w:val="2"/>
            <w:tcBorders>
              <w:right w:val="nil"/>
            </w:tcBorders>
            <w:shd w:val="clear" w:color="auto" w:fill="FFFFFF"/>
          </w:tcPr>
          <w:p w14:paraId="469E0A1B"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4263" w:type="dxa"/>
            <w:gridSpan w:val="6"/>
            <w:tcBorders>
              <w:left w:val="nil"/>
            </w:tcBorders>
            <w:shd w:val="clear" w:color="auto" w:fill="FFFFFF"/>
          </w:tcPr>
          <w:p w14:paraId="37F67A3C"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Materiál nelegislatívnej povahy</w:t>
            </w:r>
          </w:p>
        </w:tc>
      </w:tr>
      <w:tr w:rsidR="00185669" w:rsidRPr="00185669" w14:paraId="7188A96E" w14:textId="77777777" w:rsidTr="00185669">
        <w:tc>
          <w:tcPr>
            <w:tcW w:w="4212" w:type="dxa"/>
            <w:gridSpan w:val="2"/>
            <w:vMerge/>
            <w:tcBorders>
              <w:top w:val="nil"/>
              <w:bottom w:val="single" w:sz="4" w:space="0" w:color="FFFFFF"/>
            </w:tcBorders>
            <w:shd w:val="clear" w:color="auto" w:fill="E2E2E2"/>
          </w:tcPr>
          <w:p w14:paraId="202891C9" w14:textId="77777777" w:rsidR="00185669" w:rsidRPr="00185669" w:rsidRDefault="00185669" w:rsidP="00185669">
            <w:pPr>
              <w:rPr>
                <w:rFonts w:ascii="Times New Roman" w:hAnsi="Times New Roman"/>
                <w:sz w:val="20"/>
                <w:szCs w:val="20"/>
                <w:lang w:eastAsia="sk-SK"/>
              </w:rPr>
            </w:pPr>
          </w:p>
        </w:tc>
        <w:tc>
          <w:tcPr>
            <w:tcW w:w="705" w:type="dxa"/>
            <w:gridSpan w:val="2"/>
            <w:tcBorders>
              <w:right w:val="nil"/>
            </w:tcBorders>
            <w:shd w:val="clear" w:color="auto" w:fill="FFFFFF"/>
          </w:tcPr>
          <w:p w14:paraId="4F6D7D8C" w14:textId="77777777" w:rsidR="00185669" w:rsidRPr="00185669" w:rsidRDefault="00185669" w:rsidP="00185669">
            <w:pPr>
              <w:jc w:val="center"/>
              <w:rPr>
                <w:rFonts w:ascii="Times New Roman" w:hAnsi="Times New Roman"/>
                <w:sz w:val="20"/>
                <w:szCs w:val="20"/>
                <w:lang w:eastAsia="sk-SK"/>
              </w:rPr>
            </w:pPr>
            <w:r w:rsidRPr="00185669">
              <w:rPr>
                <w:rFonts w:ascii="MS Gothic" w:eastAsia="MS Gothic" w:hAnsi="MS Gothic" w:hint="eastAsia"/>
                <w:sz w:val="20"/>
                <w:szCs w:val="20"/>
                <w:lang w:eastAsia="sk-SK"/>
              </w:rPr>
              <w:t>☒</w:t>
            </w:r>
          </w:p>
        </w:tc>
        <w:tc>
          <w:tcPr>
            <w:tcW w:w="4263" w:type="dxa"/>
            <w:gridSpan w:val="6"/>
            <w:tcBorders>
              <w:left w:val="nil"/>
            </w:tcBorders>
            <w:shd w:val="clear" w:color="auto" w:fill="FFFFFF"/>
          </w:tcPr>
          <w:p w14:paraId="3676402C" w14:textId="77777777" w:rsidR="00185669" w:rsidRPr="00185669" w:rsidRDefault="00185669" w:rsidP="00185669">
            <w:pPr>
              <w:ind w:left="175" w:hanging="175"/>
              <w:rPr>
                <w:rFonts w:ascii="Times New Roman" w:hAnsi="Times New Roman"/>
                <w:sz w:val="20"/>
                <w:szCs w:val="20"/>
                <w:lang w:eastAsia="sk-SK"/>
              </w:rPr>
            </w:pPr>
            <w:r w:rsidRPr="00185669">
              <w:rPr>
                <w:rFonts w:ascii="Times New Roman" w:hAnsi="Times New Roman"/>
                <w:sz w:val="20"/>
                <w:szCs w:val="20"/>
                <w:lang w:eastAsia="sk-SK"/>
              </w:rPr>
              <w:t>Materiál legislatívnej povahy</w:t>
            </w:r>
          </w:p>
        </w:tc>
      </w:tr>
      <w:tr w:rsidR="00185669" w:rsidRPr="00185669" w14:paraId="3287FB90" w14:textId="77777777" w:rsidTr="00185669">
        <w:tc>
          <w:tcPr>
            <w:tcW w:w="4212" w:type="dxa"/>
            <w:gridSpan w:val="2"/>
            <w:vMerge/>
            <w:tcBorders>
              <w:top w:val="nil"/>
            </w:tcBorders>
            <w:shd w:val="clear" w:color="auto" w:fill="E2E2E2"/>
          </w:tcPr>
          <w:p w14:paraId="22D8CBD0" w14:textId="77777777" w:rsidR="00185669" w:rsidRPr="00185669" w:rsidRDefault="00185669" w:rsidP="00185669">
            <w:pPr>
              <w:rPr>
                <w:rFonts w:ascii="Times New Roman" w:hAnsi="Times New Roman"/>
                <w:sz w:val="20"/>
                <w:szCs w:val="20"/>
                <w:lang w:eastAsia="sk-SK"/>
              </w:rPr>
            </w:pPr>
          </w:p>
        </w:tc>
        <w:tc>
          <w:tcPr>
            <w:tcW w:w="705" w:type="dxa"/>
            <w:gridSpan w:val="2"/>
            <w:tcBorders>
              <w:right w:val="nil"/>
            </w:tcBorders>
            <w:shd w:val="clear" w:color="auto" w:fill="FFFFFF"/>
          </w:tcPr>
          <w:p w14:paraId="720F9EEF"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4263" w:type="dxa"/>
            <w:gridSpan w:val="6"/>
            <w:tcBorders>
              <w:left w:val="nil"/>
            </w:tcBorders>
            <w:shd w:val="clear" w:color="auto" w:fill="FFFFFF"/>
          </w:tcPr>
          <w:p w14:paraId="5C5135C0"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Transpozícia práva EÚ</w:t>
            </w:r>
          </w:p>
        </w:tc>
      </w:tr>
      <w:tr w:rsidR="00185669" w:rsidRPr="00185669" w14:paraId="652E47D0" w14:textId="77777777" w:rsidTr="00185669">
        <w:tc>
          <w:tcPr>
            <w:tcW w:w="9180" w:type="dxa"/>
            <w:gridSpan w:val="10"/>
            <w:tcBorders>
              <w:bottom w:val="single" w:sz="4" w:space="0" w:color="FFFFFF"/>
            </w:tcBorders>
            <w:shd w:val="clear" w:color="auto" w:fill="FFFFFF"/>
          </w:tcPr>
          <w:p w14:paraId="25CAA3F9"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V prípade transpozície uveďte zoznam transponovaných predpisov:</w:t>
            </w:r>
          </w:p>
          <w:p w14:paraId="6A014712" w14:textId="77777777" w:rsidR="00185669" w:rsidRPr="00185669" w:rsidRDefault="00185669" w:rsidP="00185669">
            <w:pPr>
              <w:rPr>
                <w:rFonts w:ascii="Times New Roman" w:hAnsi="Times New Roman"/>
                <w:sz w:val="20"/>
                <w:szCs w:val="20"/>
                <w:lang w:eastAsia="sk-SK"/>
              </w:rPr>
            </w:pPr>
          </w:p>
          <w:p w14:paraId="4E105F8B" w14:textId="77777777" w:rsidR="00185669" w:rsidRPr="00185669" w:rsidRDefault="00185669" w:rsidP="00185669">
            <w:pPr>
              <w:rPr>
                <w:rFonts w:ascii="Times New Roman" w:hAnsi="Times New Roman"/>
                <w:sz w:val="20"/>
                <w:szCs w:val="20"/>
                <w:lang w:eastAsia="sk-SK"/>
              </w:rPr>
            </w:pPr>
          </w:p>
        </w:tc>
      </w:tr>
      <w:tr w:rsidR="00185669" w:rsidRPr="00185669" w14:paraId="75EF5F1B" w14:textId="77777777" w:rsidTr="00185669">
        <w:tc>
          <w:tcPr>
            <w:tcW w:w="5634" w:type="dxa"/>
            <w:gridSpan w:val="5"/>
            <w:tcBorders>
              <w:top w:val="single" w:sz="4" w:space="0" w:color="000000"/>
              <w:bottom w:val="single" w:sz="4" w:space="0" w:color="FFFFFF"/>
            </w:tcBorders>
            <w:shd w:val="clear" w:color="auto" w:fill="E2E2E2"/>
          </w:tcPr>
          <w:p w14:paraId="3B85DB1E"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Termín začiatku a ukončenia PPK</w:t>
            </w:r>
          </w:p>
        </w:tc>
        <w:tc>
          <w:tcPr>
            <w:tcW w:w="3546" w:type="dxa"/>
            <w:gridSpan w:val="5"/>
            <w:tcBorders>
              <w:top w:val="single" w:sz="4" w:space="0" w:color="000000"/>
            </w:tcBorders>
          </w:tcPr>
          <w:p w14:paraId="1933DE99"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w:t>
            </w:r>
          </w:p>
        </w:tc>
      </w:tr>
      <w:tr w:rsidR="00185669" w:rsidRPr="00185669" w14:paraId="3D9BB227" w14:textId="77777777" w:rsidTr="00185669">
        <w:tc>
          <w:tcPr>
            <w:tcW w:w="5634" w:type="dxa"/>
            <w:gridSpan w:val="5"/>
            <w:tcBorders>
              <w:bottom w:val="single" w:sz="4" w:space="0" w:color="FFFFFF"/>
            </w:tcBorders>
            <w:shd w:val="clear" w:color="auto" w:fill="E2E2E2"/>
          </w:tcPr>
          <w:p w14:paraId="7B20929B"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Predpokladaný termín predloženia na MPK*</w:t>
            </w:r>
          </w:p>
        </w:tc>
        <w:tc>
          <w:tcPr>
            <w:tcW w:w="3546" w:type="dxa"/>
            <w:gridSpan w:val="5"/>
          </w:tcPr>
          <w:p w14:paraId="2BA531A1"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Začiatok: 31. 05. 2018</w:t>
            </w:r>
          </w:p>
          <w:p w14:paraId="7B6DC7EC"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Koniec: 20. 06. 2018</w:t>
            </w:r>
          </w:p>
        </w:tc>
      </w:tr>
      <w:tr w:rsidR="00185669" w:rsidRPr="00185669" w14:paraId="163A6503" w14:textId="77777777" w:rsidTr="00185669">
        <w:tc>
          <w:tcPr>
            <w:tcW w:w="5634" w:type="dxa"/>
            <w:gridSpan w:val="5"/>
            <w:tcBorders>
              <w:bottom w:val="single" w:sz="4" w:space="0" w:color="FFFFFF"/>
            </w:tcBorders>
            <w:shd w:val="clear" w:color="auto" w:fill="E2E2E2"/>
          </w:tcPr>
          <w:p w14:paraId="190E611B" w14:textId="77777777" w:rsidR="00185669" w:rsidRPr="00185669" w:rsidRDefault="00185669" w:rsidP="00185669">
            <w:pPr>
              <w:spacing w:after="200" w:line="276" w:lineRule="auto"/>
              <w:ind w:left="142"/>
              <w:contextualSpacing/>
              <w:rPr>
                <w:rFonts w:ascii="Times New Roman" w:hAnsi="Times New Roman"/>
                <w:b/>
              </w:rPr>
            </w:pPr>
            <w:r w:rsidRPr="00185669">
              <w:rPr>
                <w:rFonts w:ascii="Times New Roman" w:hAnsi="Times New Roman"/>
                <w:b/>
              </w:rPr>
              <w:t>Predpokladaný termín predloženia na Rokovanie vlády SR*</w:t>
            </w:r>
          </w:p>
        </w:tc>
        <w:tc>
          <w:tcPr>
            <w:tcW w:w="3546" w:type="dxa"/>
            <w:gridSpan w:val="5"/>
          </w:tcPr>
          <w:p w14:paraId="57B0019A"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september 2018</w:t>
            </w:r>
          </w:p>
        </w:tc>
      </w:tr>
      <w:tr w:rsidR="00185669" w:rsidRPr="00185669" w14:paraId="500B6F6C" w14:textId="77777777" w:rsidTr="00185669">
        <w:tc>
          <w:tcPr>
            <w:tcW w:w="9180" w:type="dxa"/>
            <w:gridSpan w:val="10"/>
            <w:tcBorders>
              <w:left w:val="nil"/>
              <w:right w:val="nil"/>
            </w:tcBorders>
            <w:shd w:val="clear" w:color="auto" w:fill="FFFFFF"/>
          </w:tcPr>
          <w:p w14:paraId="5941E56D" w14:textId="77777777" w:rsidR="00185669" w:rsidRPr="00185669" w:rsidRDefault="00185669" w:rsidP="00185669">
            <w:pPr>
              <w:rPr>
                <w:rFonts w:ascii="Times New Roman" w:hAnsi="Times New Roman"/>
                <w:sz w:val="20"/>
                <w:szCs w:val="20"/>
                <w:lang w:eastAsia="sk-SK"/>
              </w:rPr>
            </w:pPr>
          </w:p>
        </w:tc>
      </w:tr>
      <w:tr w:rsidR="00185669" w:rsidRPr="00185669" w14:paraId="5F88AEF1" w14:textId="77777777" w:rsidTr="00185669">
        <w:tc>
          <w:tcPr>
            <w:tcW w:w="9180" w:type="dxa"/>
            <w:gridSpan w:val="10"/>
            <w:tcBorders>
              <w:bottom w:val="single" w:sz="4" w:space="0" w:color="FFFFFF"/>
            </w:tcBorders>
            <w:shd w:val="clear" w:color="auto" w:fill="E2E2E2"/>
          </w:tcPr>
          <w:p w14:paraId="61BE607E"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Definovanie problému</w:t>
            </w:r>
          </w:p>
        </w:tc>
      </w:tr>
      <w:tr w:rsidR="00185669" w:rsidRPr="00185669" w14:paraId="01135BF0" w14:textId="77777777" w:rsidTr="00185669">
        <w:trPr>
          <w:trHeight w:val="718"/>
        </w:trPr>
        <w:tc>
          <w:tcPr>
            <w:tcW w:w="9180" w:type="dxa"/>
            <w:gridSpan w:val="10"/>
            <w:tcBorders>
              <w:top w:val="single" w:sz="4" w:space="0" w:color="FFFFFF"/>
            </w:tcBorders>
            <w:shd w:val="clear" w:color="auto" w:fill="FFFFFF"/>
          </w:tcPr>
          <w:p w14:paraId="19AC4658" w14:textId="77777777" w:rsidR="00185669" w:rsidRPr="00185669" w:rsidRDefault="00185669" w:rsidP="00185669">
            <w:pPr>
              <w:jc w:val="both"/>
              <w:rPr>
                <w:rFonts w:ascii="Times New Roman" w:hAnsi="Times New Roman"/>
                <w:b/>
                <w:sz w:val="20"/>
                <w:szCs w:val="20"/>
                <w:lang w:eastAsia="sk-SK"/>
              </w:rPr>
            </w:pPr>
            <w:r w:rsidRPr="00185669">
              <w:rPr>
                <w:rFonts w:ascii="Times New Roman" w:hAnsi="Times New Roman"/>
                <w:sz w:val="20"/>
                <w:szCs w:val="20"/>
                <w:lang w:eastAsia="sk-SK"/>
              </w:rPr>
              <w:t>Pripravovaná novela zákona č. 357/2015 Z. z. o finančnej kontrole a audite a o zmene a doplnení niektorých zákonov v znení zákona č. 177/2018 Z. z. (ďalej len „novela zákona“) vznikla v nadväznosti na podnety, ktoré boli od účinnosti zákona Ministerstvu financií SR predkladané zo strany fyzických osôb a právnických osôb vykonávajúcich finančnú kontrolu</w:t>
            </w:r>
            <w:r w:rsidRPr="00185669" w:rsidDel="00295566">
              <w:rPr>
                <w:rFonts w:ascii="Times New Roman" w:hAnsi="Times New Roman"/>
                <w:sz w:val="20"/>
                <w:szCs w:val="20"/>
                <w:lang w:eastAsia="sk-SK"/>
              </w:rPr>
              <w:t xml:space="preserve"> </w:t>
            </w:r>
            <w:r w:rsidRPr="00185669">
              <w:rPr>
                <w:rFonts w:ascii="Times New Roman" w:hAnsi="Times New Roman"/>
                <w:sz w:val="20"/>
                <w:szCs w:val="20"/>
                <w:lang w:eastAsia="sk-SK"/>
              </w:rPr>
              <w:t>a</w:t>
            </w:r>
            <w:r w:rsidRPr="00185669" w:rsidDel="00295566">
              <w:rPr>
                <w:rFonts w:ascii="Times New Roman" w:hAnsi="Times New Roman"/>
                <w:sz w:val="20"/>
                <w:szCs w:val="20"/>
                <w:lang w:eastAsia="sk-SK"/>
              </w:rPr>
              <w:t xml:space="preserve"> </w:t>
            </w:r>
            <w:r w:rsidRPr="00185669">
              <w:rPr>
                <w:rFonts w:ascii="Times New Roman" w:hAnsi="Times New Roman"/>
                <w:sz w:val="20"/>
                <w:szCs w:val="20"/>
                <w:lang w:eastAsia="sk-SK"/>
              </w:rPr>
              <w:t xml:space="preserve">audit, a ktoré vyplynuli zo samotnej činnosti sekcie auditu a kontroly Ministerstva financií SR. Novela zákona bude na rokovanie vlády predkladaná ako iniciatívny návrh. Návrhy na zmeny a doplnenia vyplývajú z aplikačnej praxe a majú za cieľ zefektívniť postup výkonu finančnej kontroly a auditu a naďalej podporovať hospodárne, </w:t>
            </w:r>
            <w:r w:rsidRPr="00185669">
              <w:rPr>
                <w:rFonts w:ascii="Times New Roman" w:hAnsi="Times New Roman"/>
                <w:color w:val="000000"/>
                <w:sz w:val="20"/>
                <w:szCs w:val="20"/>
                <w:lang w:eastAsia="sk-SK"/>
              </w:rPr>
              <w:t>efektívne, účelné a účinné využívanie verejných financií</w:t>
            </w:r>
            <w:r w:rsidRPr="00185669">
              <w:rPr>
                <w:rFonts w:ascii="Times New Roman" w:hAnsi="Times New Roman"/>
                <w:sz w:val="20"/>
                <w:szCs w:val="20"/>
                <w:lang w:eastAsia="sk-SK"/>
              </w:rPr>
              <w:t xml:space="preserve">. </w:t>
            </w:r>
          </w:p>
        </w:tc>
      </w:tr>
      <w:tr w:rsidR="00185669" w:rsidRPr="00185669" w14:paraId="3DB09213" w14:textId="77777777" w:rsidTr="00E81090">
        <w:tc>
          <w:tcPr>
            <w:tcW w:w="9180" w:type="dxa"/>
            <w:gridSpan w:val="10"/>
            <w:tcBorders>
              <w:bottom w:val="nil"/>
            </w:tcBorders>
            <w:shd w:val="clear" w:color="auto" w:fill="E2E2E2"/>
          </w:tcPr>
          <w:p w14:paraId="5EBAC1FB"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Ciele a výsledný stav</w:t>
            </w:r>
          </w:p>
        </w:tc>
      </w:tr>
      <w:tr w:rsidR="00185669" w:rsidRPr="00185669" w14:paraId="598BF3B7" w14:textId="77777777" w:rsidTr="00185669">
        <w:trPr>
          <w:trHeight w:val="741"/>
        </w:trPr>
        <w:tc>
          <w:tcPr>
            <w:tcW w:w="9180" w:type="dxa"/>
            <w:gridSpan w:val="10"/>
            <w:tcBorders>
              <w:top w:val="nil"/>
            </w:tcBorders>
            <w:shd w:val="clear" w:color="auto" w:fill="FFFFFF"/>
          </w:tcPr>
          <w:p w14:paraId="39E0CAAE" w14:textId="77777777" w:rsidR="00185669" w:rsidRPr="00185669" w:rsidRDefault="00185669" w:rsidP="00185669">
            <w:pPr>
              <w:jc w:val="both"/>
              <w:rPr>
                <w:rFonts w:ascii="Times New Roman" w:hAnsi="Times New Roman"/>
                <w:color w:val="000000"/>
                <w:sz w:val="20"/>
                <w:szCs w:val="20"/>
                <w:lang w:eastAsia="sk-SK"/>
              </w:rPr>
            </w:pPr>
            <w:r w:rsidRPr="00185669">
              <w:rPr>
                <w:rFonts w:ascii="Times New Roman" w:hAnsi="Times New Roman"/>
                <w:sz w:val="20"/>
                <w:szCs w:val="20"/>
                <w:lang w:eastAsia="sk-SK"/>
              </w:rPr>
              <w:t xml:space="preserve">Hlavné zmeny, ktoré by mala novela zákona obsiahnuť, sú najmä </w:t>
            </w:r>
            <w:r w:rsidRPr="00185669">
              <w:rPr>
                <w:rFonts w:ascii="Times New Roman" w:hAnsi="Times New Roman"/>
                <w:color w:val="000000"/>
                <w:sz w:val="20"/>
                <w:szCs w:val="20"/>
                <w:lang w:eastAsia="sk-SK"/>
              </w:rPr>
              <w:t xml:space="preserve">úprava postavenia a kompetencií Výboru pre vnútorný audit a vládny audit, jednoznačnejšie a zrozumiteľnejšie definovanie možností vyjadrenia osôb vykonávajúcich základnú finančnú kontrolu, upravenie okamihu začiatku administratívnej finančnej kontroly, doplnenie procesu overenia splnenia opatrení prijatých na nápravu zistených nedostatkov a na odstránenie príčin ich vzniku oprávnenou osobou, úprava postavenia prizvanej osoby, zjednotenie terminológie atď. </w:t>
            </w:r>
          </w:p>
          <w:p w14:paraId="7FCC3EA3" w14:textId="77777777" w:rsidR="00185669" w:rsidRPr="00185669" w:rsidRDefault="00185669" w:rsidP="00185669">
            <w:pPr>
              <w:jc w:val="both"/>
              <w:rPr>
                <w:rFonts w:ascii="Times New Roman" w:hAnsi="Times New Roman"/>
                <w:sz w:val="20"/>
                <w:szCs w:val="20"/>
                <w:lang w:eastAsia="sk-SK"/>
              </w:rPr>
            </w:pPr>
            <w:r w:rsidRPr="00185669">
              <w:rPr>
                <w:rFonts w:ascii="Times New Roman" w:hAnsi="Times New Roman"/>
                <w:color w:val="000000"/>
                <w:sz w:val="20"/>
                <w:szCs w:val="20"/>
                <w:lang w:eastAsia="sk-SK"/>
              </w:rPr>
              <w:t>V novele zákona sa bližšie špecifikujú ustanovenia týkajúce sa hodnotenia kvality vykonávania finančnej kontroly a auditu zo strany Ministerstva financií SR a Úradu vládneho auditu. Novela zákona ďalej upraví skončenie a zánik výkonu funkcie vládnych audítorov a vnútorných audítorov, ktoré v aplikačnej praxi spôsobovali problémy.</w:t>
            </w:r>
          </w:p>
        </w:tc>
      </w:tr>
      <w:tr w:rsidR="00185669" w:rsidRPr="00185669" w14:paraId="645E3251" w14:textId="77777777" w:rsidTr="00E81090">
        <w:tc>
          <w:tcPr>
            <w:tcW w:w="9180" w:type="dxa"/>
            <w:gridSpan w:val="10"/>
            <w:tcBorders>
              <w:bottom w:val="nil"/>
            </w:tcBorders>
            <w:shd w:val="clear" w:color="auto" w:fill="E2E2E2"/>
          </w:tcPr>
          <w:p w14:paraId="6911A119"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Dotknuté subjekty</w:t>
            </w:r>
          </w:p>
        </w:tc>
      </w:tr>
      <w:tr w:rsidR="00185669" w:rsidRPr="00185669" w14:paraId="0F950139" w14:textId="77777777" w:rsidTr="00185669">
        <w:tc>
          <w:tcPr>
            <w:tcW w:w="9180" w:type="dxa"/>
            <w:gridSpan w:val="10"/>
            <w:tcBorders>
              <w:top w:val="nil"/>
            </w:tcBorders>
            <w:shd w:val="clear" w:color="auto" w:fill="FFFFFF"/>
          </w:tcPr>
          <w:p w14:paraId="0CBD3F65" w14:textId="77777777" w:rsidR="00185669" w:rsidRPr="00185669" w:rsidRDefault="00185669" w:rsidP="00185669">
            <w:pPr>
              <w:numPr>
                <w:ilvl w:val="0"/>
                <w:numId w:val="11"/>
              </w:numPr>
              <w:spacing w:after="200" w:line="276" w:lineRule="auto"/>
              <w:contextualSpacing/>
              <w:rPr>
                <w:rFonts w:ascii="Times New Roman" w:hAnsi="Times New Roman"/>
                <w:sz w:val="20"/>
                <w:szCs w:val="20"/>
              </w:rPr>
            </w:pPr>
            <w:r w:rsidRPr="00185669">
              <w:rPr>
                <w:rFonts w:ascii="Times New Roman" w:hAnsi="Times New Roman"/>
                <w:sz w:val="20"/>
                <w:szCs w:val="20"/>
              </w:rPr>
              <w:t>orgány verejnej správy</w:t>
            </w:r>
          </w:p>
          <w:p w14:paraId="5335C3BB" w14:textId="77777777" w:rsidR="00185669" w:rsidRPr="00185669" w:rsidRDefault="00185669" w:rsidP="00185669">
            <w:pPr>
              <w:numPr>
                <w:ilvl w:val="0"/>
                <w:numId w:val="11"/>
              </w:numPr>
              <w:spacing w:after="200" w:line="276" w:lineRule="auto"/>
              <w:contextualSpacing/>
              <w:rPr>
                <w:rFonts w:ascii="Times New Roman" w:hAnsi="Times New Roman"/>
                <w:sz w:val="20"/>
                <w:szCs w:val="20"/>
              </w:rPr>
            </w:pPr>
            <w:r w:rsidRPr="00185669">
              <w:rPr>
                <w:rFonts w:ascii="Times New Roman" w:hAnsi="Times New Roman"/>
                <w:sz w:val="20"/>
                <w:szCs w:val="20"/>
              </w:rPr>
              <w:t>správcovia kapitol štátneho rozpočtu</w:t>
            </w:r>
          </w:p>
          <w:p w14:paraId="50A2C60F" w14:textId="77777777" w:rsidR="00185669" w:rsidRPr="00185669" w:rsidRDefault="00185669" w:rsidP="00185669">
            <w:pPr>
              <w:numPr>
                <w:ilvl w:val="0"/>
                <w:numId w:val="11"/>
              </w:numPr>
              <w:spacing w:after="200" w:line="276" w:lineRule="auto"/>
              <w:contextualSpacing/>
              <w:rPr>
                <w:rFonts w:ascii="Calibri" w:hAnsi="Calibri"/>
                <w:i/>
              </w:rPr>
            </w:pPr>
            <w:r w:rsidRPr="00185669">
              <w:rPr>
                <w:rFonts w:ascii="Times New Roman" w:hAnsi="Times New Roman"/>
                <w:sz w:val="20"/>
                <w:szCs w:val="20"/>
              </w:rPr>
              <w:t>Ministerstvo financií SR, Úrad vládneho auditu, iná právnická osoba poverená Ministerstvom financií SR výkonom vládneho auditu</w:t>
            </w:r>
          </w:p>
        </w:tc>
      </w:tr>
      <w:tr w:rsidR="00185669" w:rsidRPr="00185669" w14:paraId="162766D6" w14:textId="77777777" w:rsidTr="00E81090">
        <w:tc>
          <w:tcPr>
            <w:tcW w:w="9180" w:type="dxa"/>
            <w:gridSpan w:val="10"/>
            <w:tcBorders>
              <w:bottom w:val="nil"/>
            </w:tcBorders>
            <w:shd w:val="clear" w:color="auto" w:fill="E2E2E2"/>
          </w:tcPr>
          <w:p w14:paraId="625C9E07"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Alternatívne riešenia</w:t>
            </w:r>
          </w:p>
        </w:tc>
      </w:tr>
      <w:tr w:rsidR="00185669" w:rsidRPr="00185669" w14:paraId="3449E339" w14:textId="77777777" w:rsidTr="00185669">
        <w:trPr>
          <w:trHeight w:val="709"/>
        </w:trPr>
        <w:tc>
          <w:tcPr>
            <w:tcW w:w="9180" w:type="dxa"/>
            <w:gridSpan w:val="10"/>
            <w:tcBorders>
              <w:top w:val="nil"/>
            </w:tcBorders>
            <w:shd w:val="clear" w:color="auto" w:fill="FFFFFF"/>
          </w:tcPr>
          <w:p w14:paraId="00A0CFA0"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Neboli posudzované žiadne alternatívne riešenia.</w:t>
            </w:r>
          </w:p>
        </w:tc>
      </w:tr>
      <w:tr w:rsidR="00185669" w:rsidRPr="00185669" w14:paraId="172E1D77" w14:textId="77777777" w:rsidTr="00185669">
        <w:tc>
          <w:tcPr>
            <w:tcW w:w="9180" w:type="dxa"/>
            <w:gridSpan w:val="10"/>
            <w:tcBorders>
              <w:bottom w:val="single" w:sz="4" w:space="0" w:color="FFFFFF"/>
            </w:tcBorders>
            <w:shd w:val="clear" w:color="auto" w:fill="E2E2E2"/>
          </w:tcPr>
          <w:p w14:paraId="119EE118"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Vykonávacie predpisy</w:t>
            </w:r>
          </w:p>
        </w:tc>
      </w:tr>
      <w:tr w:rsidR="00185669" w:rsidRPr="00185669" w14:paraId="02CF0FE6" w14:textId="77777777" w:rsidTr="00185669">
        <w:tc>
          <w:tcPr>
            <w:tcW w:w="6203" w:type="dxa"/>
            <w:gridSpan w:val="6"/>
            <w:tcBorders>
              <w:top w:val="single" w:sz="4" w:space="0" w:color="FFFFFF"/>
              <w:bottom w:val="nil"/>
              <w:right w:val="nil"/>
            </w:tcBorders>
            <w:shd w:val="clear" w:color="auto" w:fill="FFFFFF"/>
          </w:tcPr>
          <w:p w14:paraId="5F2D21DA"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178928E" w14:textId="77777777" w:rsidR="00185669" w:rsidRPr="00185669" w:rsidRDefault="00185669" w:rsidP="00185669">
            <w:pPr>
              <w:jc w:val="center"/>
              <w:rPr>
                <w:rFonts w:ascii="Times New Roman" w:hAnsi="Times New Roman"/>
                <w:sz w:val="20"/>
                <w:szCs w:val="20"/>
                <w:lang w:eastAsia="sk-SK"/>
              </w:rPr>
            </w:pPr>
            <w:r w:rsidRPr="00185669">
              <w:rPr>
                <w:rFonts w:ascii="MS Gothic" w:eastAsia="MS Gothic" w:hAnsi="MS Gothic" w:hint="eastAsia"/>
                <w:sz w:val="20"/>
                <w:szCs w:val="20"/>
                <w:lang w:eastAsia="sk-SK"/>
              </w:rPr>
              <w:t>☐</w:t>
            </w:r>
            <w:r w:rsidRPr="00185669">
              <w:rPr>
                <w:rFonts w:ascii="Times New Roman" w:hAnsi="Times New Roman"/>
                <w:sz w:val="20"/>
                <w:szCs w:val="20"/>
                <w:lang w:eastAsia="sk-SK"/>
              </w:rPr>
              <w:t xml:space="preserve">  Áno</w:t>
            </w:r>
          </w:p>
        </w:tc>
        <w:tc>
          <w:tcPr>
            <w:tcW w:w="1560" w:type="dxa"/>
            <w:gridSpan w:val="2"/>
            <w:tcBorders>
              <w:top w:val="single" w:sz="4" w:space="0" w:color="FFFFFF"/>
              <w:left w:val="nil"/>
              <w:bottom w:val="nil"/>
            </w:tcBorders>
            <w:shd w:val="clear" w:color="auto" w:fill="FFFFFF"/>
          </w:tcPr>
          <w:p w14:paraId="699B3863" w14:textId="77777777" w:rsidR="00185669" w:rsidRPr="00185669" w:rsidRDefault="00185669" w:rsidP="00185669">
            <w:pPr>
              <w:jc w:val="center"/>
              <w:rPr>
                <w:rFonts w:ascii="Times New Roman" w:hAnsi="Times New Roman"/>
                <w:sz w:val="20"/>
                <w:szCs w:val="20"/>
                <w:lang w:eastAsia="sk-SK"/>
              </w:rPr>
            </w:pPr>
            <w:r w:rsidRPr="00185669">
              <w:rPr>
                <w:rFonts w:ascii="MS Gothic" w:eastAsia="MS Gothic" w:hAnsi="MS Gothic" w:hint="eastAsia"/>
                <w:sz w:val="20"/>
                <w:szCs w:val="20"/>
                <w:lang w:eastAsia="sk-SK"/>
              </w:rPr>
              <w:t>☒</w:t>
            </w:r>
            <w:r w:rsidRPr="00185669">
              <w:rPr>
                <w:rFonts w:ascii="Times New Roman" w:hAnsi="Times New Roman"/>
                <w:sz w:val="20"/>
                <w:szCs w:val="20"/>
                <w:lang w:eastAsia="sk-SK"/>
              </w:rPr>
              <w:t xml:space="preserve">  Nie</w:t>
            </w:r>
          </w:p>
        </w:tc>
      </w:tr>
      <w:tr w:rsidR="00185669" w:rsidRPr="00185669" w14:paraId="1D4D3F87" w14:textId="77777777" w:rsidTr="00185669">
        <w:tc>
          <w:tcPr>
            <w:tcW w:w="9180" w:type="dxa"/>
            <w:gridSpan w:val="10"/>
            <w:tcBorders>
              <w:top w:val="nil"/>
            </w:tcBorders>
            <w:shd w:val="clear" w:color="auto" w:fill="FFFFFF"/>
          </w:tcPr>
          <w:p w14:paraId="5CA1AD8A"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Ak áno, uveďte ktoré oblasti budú nimi upravené, resp. ktorých vykonávacích predpisov sa zmena dotkne:</w:t>
            </w:r>
          </w:p>
          <w:p w14:paraId="418B6FCF" w14:textId="77777777" w:rsidR="00185669" w:rsidRPr="00185669" w:rsidRDefault="00185669" w:rsidP="00185669">
            <w:pPr>
              <w:rPr>
                <w:rFonts w:ascii="Times New Roman" w:hAnsi="Times New Roman"/>
                <w:sz w:val="20"/>
                <w:szCs w:val="20"/>
                <w:lang w:eastAsia="sk-SK"/>
              </w:rPr>
            </w:pPr>
          </w:p>
        </w:tc>
      </w:tr>
      <w:tr w:rsidR="00185669" w:rsidRPr="00185669" w14:paraId="665AAD0B" w14:textId="77777777" w:rsidTr="00185669">
        <w:tc>
          <w:tcPr>
            <w:tcW w:w="9180" w:type="dxa"/>
            <w:gridSpan w:val="10"/>
            <w:tcBorders>
              <w:bottom w:val="single" w:sz="4" w:space="0" w:color="FFFFFF"/>
            </w:tcBorders>
            <w:shd w:val="clear" w:color="auto" w:fill="E2E2E2"/>
          </w:tcPr>
          <w:p w14:paraId="378AE407"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 xml:space="preserve">Transpozícia práva EÚ </w:t>
            </w:r>
          </w:p>
        </w:tc>
      </w:tr>
      <w:tr w:rsidR="00185669" w:rsidRPr="00185669" w14:paraId="7AD39D47" w14:textId="77777777" w:rsidTr="00185669">
        <w:trPr>
          <w:trHeight w:val="157"/>
        </w:trPr>
        <w:tc>
          <w:tcPr>
            <w:tcW w:w="9180" w:type="dxa"/>
            <w:gridSpan w:val="10"/>
            <w:tcBorders>
              <w:top w:val="nil"/>
              <w:left w:val="single" w:sz="4" w:space="0" w:color="000000"/>
              <w:bottom w:val="nil"/>
            </w:tcBorders>
            <w:shd w:val="clear" w:color="auto" w:fill="FFFFFF"/>
          </w:tcPr>
          <w:p w14:paraId="3FAD6A4B"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Bezpredmetné.</w:t>
            </w:r>
          </w:p>
        </w:tc>
      </w:tr>
      <w:tr w:rsidR="00185669" w:rsidRPr="00185669" w14:paraId="42CE272D" w14:textId="77777777" w:rsidTr="00185669">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2345AB6D" w14:textId="77777777" w:rsidR="00185669" w:rsidRPr="00185669" w:rsidRDefault="00185669" w:rsidP="00185669">
            <w:pPr>
              <w:jc w:val="center"/>
              <w:rPr>
                <w:rFonts w:ascii="Times New Roman" w:hAnsi="Times New Roman"/>
                <w:sz w:val="20"/>
                <w:szCs w:val="20"/>
                <w:lang w:eastAsia="sk-SK"/>
              </w:rPr>
            </w:pPr>
          </w:p>
        </w:tc>
      </w:tr>
      <w:tr w:rsidR="00185669" w:rsidRPr="00185669" w14:paraId="1728141B" w14:textId="77777777" w:rsidTr="00185669">
        <w:tc>
          <w:tcPr>
            <w:tcW w:w="9180" w:type="dxa"/>
            <w:gridSpan w:val="10"/>
            <w:tcBorders>
              <w:bottom w:val="single" w:sz="4" w:space="0" w:color="FFFFFF"/>
            </w:tcBorders>
            <w:shd w:val="clear" w:color="auto" w:fill="E2E2E2"/>
          </w:tcPr>
          <w:p w14:paraId="79C1B41F"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Preskúmanie účelnosti**</w:t>
            </w:r>
          </w:p>
        </w:tc>
      </w:tr>
      <w:tr w:rsidR="00185669" w:rsidRPr="00185669" w14:paraId="66B6B073" w14:textId="77777777" w:rsidTr="00185669">
        <w:tc>
          <w:tcPr>
            <w:tcW w:w="9180" w:type="dxa"/>
            <w:gridSpan w:val="10"/>
            <w:tcBorders>
              <w:top w:val="single" w:sz="4" w:space="0" w:color="FFFFFF"/>
            </w:tcBorders>
            <w:shd w:val="clear" w:color="auto" w:fill="FFFFFF"/>
          </w:tcPr>
          <w:p w14:paraId="7798199C"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Uveďte termín, kedy by malo dôjsť k preskúmaniu účinnosti a účelnosti navrhovaného predpisu.</w:t>
            </w:r>
          </w:p>
          <w:p w14:paraId="211B72A8" w14:textId="77777777" w:rsidR="00185669" w:rsidRPr="00185669" w:rsidRDefault="00185669" w:rsidP="00185669">
            <w:pPr>
              <w:rPr>
                <w:rFonts w:ascii="Times New Roman" w:hAnsi="Times New Roman"/>
                <w:i/>
                <w:sz w:val="20"/>
                <w:szCs w:val="20"/>
                <w:lang w:eastAsia="sk-SK"/>
              </w:rPr>
            </w:pPr>
            <w:r w:rsidRPr="00185669">
              <w:rPr>
                <w:rFonts w:ascii="Times New Roman" w:hAnsi="Times New Roman"/>
                <w:i/>
                <w:sz w:val="20"/>
                <w:szCs w:val="20"/>
                <w:lang w:eastAsia="sk-SK"/>
              </w:rPr>
              <w:t>Uveďte kritériá, na základe ktorých bude preskúmanie vykonané.</w:t>
            </w:r>
          </w:p>
          <w:p w14:paraId="350A499C" w14:textId="77777777" w:rsidR="00185669" w:rsidRPr="00185669" w:rsidRDefault="00185669" w:rsidP="00185669">
            <w:pPr>
              <w:rPr>
                <w:rFonts w:ascii="Times New Roman" w:hAnsi="Times New Roman"/>
                <w:i/>
                <w:sz w:val="20"/>
                <w:szCs w:val="20"/>
                <w:lang w:eastAsia="sk-SK"/>
              </w:rPr>
            </w:pPr>
          </w:p>
        </w:tc>
      </w:tr>
      <w:tr w:rsidR="00185669" w:rsidRPr="00185669" w14:paraId="3EEEED16" w14:textId="77777777" w:rsidTr="00185669">
        <w:trPr>
          <w:trHeight w:val="715"/>
        </w:trPr>
        <w:tc>
          <w:tcPr>
            <w:tcW w:w="9180" w:type="dxa"/>
            <w:gridSpan w:val="10"/>
            <w:tcBorders>
              <w:left w:val="nil"/>
              <w:bottom w:val="nil"/>
              <w:right w:val="nil"/>
            </w:tcBorders>
            <w:shd w:val="clear" w:color="auto" w:fill="FFFFFF"/>
          </w:tcPr>
          <w:p w14:paraId="099C1043" w14:textId="77777777" w:rsidR="00185669" w:rsidRPr="00185669" w:rsidRDefault="00185669" w:rsidP="00185669">
            <w:pPr>
              <w:ind w:left="142" w:hanging="142"/>
              <w:rPr>
                <w:rFonts w:ascii="Times New Roman" w:hAnsi="Times New Roman"/>
                <w:sz w:val="20"/>
                <w:szCs w:val="20"/>
                <w:lang w:eastAsia="sk-SK"/>
              </w:rPr>
            </w:pPr>
          </w:p>
          <w:p w14:paraId="43287DB5" w14:textId="77777777" w:rsidR="00185669" w:rsidRPr="00185669" w:rsidRDefault="00185669" w:rsidP="00185669">
            <w:pPr>
              <w:ind w:left="142" w:hanging="142"/>
              <w:rPr>
                <w:rFonts w:ascii="Times New Roman" w:hAnsi="Times New Roman"/>
                <w:sz w:val="20"/>
                <w:szCs w:val="20"/>
                <w:lang w:eastAsia="sk-SK"/>
              </w:rPr>
            </w:pPr>
          </w:p>
          <w:p w14:paraId="036B5868" w14:textId="77777777" w:rsidR="00185669" w:rsidRPr="00185669" w:rsidRDefault="00185669" w:rsidP="00185669">
            <w:pPr>
              <w:ind w:left="142" w:hanging="142"/>
              <w:rPr>
                <w:rFonts w:ascii="Times New Roman" w:hAnsi="Times New Roman"/>
                <w:sz w:val="20"/>
                <w:szCs w:val="20"/>
                <w:lang w:eastAsia="sk-SK"/>
              </w:rPr>
            </w:pPr>
            <w:r w:rsidRPr="00185669">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482B447B"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 nepovinné</w:t>
            </w:r>
          </w:p>
        </w:tc>
      </w:tr>
      <w:tr w:rsidR="00185669" w:rsidRPr="00185669" w14:paraId="79388A9B" w14:textId="77777777" w:rsidTr="00185669">
        <w:tc>
          <w:tcPr>
            <w:tcW w:w="9180" w:type="dxa"/>
            <w:gridSpan w:val="10"/>
            <w:tcBorders>
              <w:top w:val="nil"/>
              <w:left w:val="nil"/>
              <w:right w:val="nil"/>
            </w:tcBorders>
            <w:shd w:val="clear" w:color="auto" w:fill="FFFFFF"/>
          </w:tcPr>
          <w:p w14:paraId="6F0A4CFD" w14:textId="77777777" w:rsidR="00185669" w:rsidRPr="00185669" w:rsidRDefault="00185669" w:rsidP="00185669">
            <w:pPr>
              <w:rPr>
                <w:rFonts w:ascii="Times New Roman" w:hAnsi="Times New Roman"/>
                <w:b/>
                <w:sz w:val="20"/>
                <w:szCs w:val="20"/>
                <w:lang w:eastAsia="sk-SK"/>
              </w:rPr>
            </w:pPr>
          </w:p>
        </w:tc>
      </w:tr>
      <w:tr w:rsidR="00185669" w:rsidRPr="00185669" w14:paraId="375FF408" w14:textId="77777777" w:rsidTr="00185669">
        <w:trPr>
          <w:trHeight w:val="577"/>
        </w:trPr>
        <w:tc>
          <w:tcPr>
            <w:tcW w:w="9180" w:type="dxa"/>
            <w:gridSpan w:val="10"/>
            <w:tcBorders>
              <w:bottom w:val="single" w:sz="4" w:space="0" w:color="FFFFFF"/>
            </w:tcBorders>
            <w:shd w:val="clear" w:color="auto" w:fill="E2E2E2"/>
            <w:vAlign w:val="center"/>
          </w:tcPr>
          <w:p w14:paraId="092A5087"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Vplyvy navrhovaného materiálu</w:t>
            </w:r>
          </w:p>
        </w:tc>
      </w:tr>
      <w:tr w:rsidR="00185669" w:rsidRPr="00185669" w14:paraId="4CFFA55B" w14:textId="77777777" w:rsidTr="00E81090">
        <w:tc>
          <w:tcPr>
            <w:tcW w:w="3812" w:type="dxa"/>
            <w:tcBorders>
              <w:bottom w:val="nil"/>
            </w:tcBorders>
            <w:shd w:val="clear" w:color="auto" w:fill="E2E2E2"/>
          </w:tcPr>
          <w:p w14:paraId="77219817"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Vplyvy na rozpočet verejnej správy</w:t>
            </w:r>
          </w:p>
        </w:tc>
        <w:tc>
          <w:tcPr>
            <w:tcW w:w="541" w:type="dxa"/>
            <w:gridSpan w:val="2"/>
            <w:tcBorders>
              <w:right w:val="nil"/>
            </w:tcBorders>
          </w:tcPr>
          <w:p w14:paraId="5ED4AB9B"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81" w:type="dxa"/>
            <w:gridSpan w:val="2"/>
            <w:tcBorders>
              <w:left w:val="nil"/>
              <w:right w:val="nil"/>
            </w:tcBorders>
          </w:tcPr>
          <w:p w14:paraId="1FC83FE3"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Pozitívne</w:t>
            </w:r>
          </w:p>
        </w:tc>
        <w:tc>
          <w:tcPr>
            <w:tcW w:w="569" w:type="dxa"/>
            <w:tcBorders>
              <w:left w:val="nil"/>
              <w:right w:val="nil"/>
            </w:tcBorders>
          </w:tcPr>
          <w:p w14:paraId="6047B47D" w14:textId="77777777" w:rsidR="00185669" w:rsidRPr="00185669" w:rsidRDefault="00185669" w:rsidP="00185669">
            <w:pPr>
              <w:jc w:val="center"/>
              <w:rPr>
                <w:rFonts w:ascii="Times New Roman" w:hAnsi="Times New Roman"/>
                <w:b/>
                <w:sz w:val="20"/>
                <w:szCs w:val="20"/>
                <w:lang w:eastAsia="sk-SK"/>
              </w:rPr>
            </w:pPr>
            <w:r w:rsidRPr="00185669">
              <w:rPr>
                <w:rFonts w:ascii="MS Gothic" w:eastAsia="MS Gothic" w:hAnsi="MS Gothic" w:hint="eastAsia"/>
                <w:b/>
                <w:sz w:val="20"/>
                <w:szCs w:val="20"/>
                <w:lang w:eastAsia="sk-SK"/>
              </w:rPr>
              <w:t>☒</w:t>
            </w:r>
          </w:p>
        </w:tc>
        <w:tc>
          <w:tcPr>
            <w:tcW w:w="1133" w:type="dxa"/>
            <w:tcBorders>
              <w:left w:val="nil"/>
              <w:right w:val="nil"/>
            </w:tcBorders>
          </w:tcPr>
          <w:p w14:paraId="39E41520"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Žiadne</w:t>
            </w:r>
          </w:p>
        </w:tc>
        <w:tc>
          <w:tcPr>
            <w:tcW w:w="547" w:type="dxa"/>
            <w:gridSpan w:val="2"/>
            <w:tcBorders>
              <w:left w:val="nil"/>
              <w:right w:val="nil"/>
            </w:tcBorders>
          </w:tcPr>
          <w:p w14:paraId="7E0B2DCF" w14:textId="77777777" w:rsidR="00185669" w:rsidRPr="00185669" w:rsidRDefault="00185669" w:rsidP="00185669">
            <w:pPr>
              <w:ind w:left="-107" w:right="-108"/>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97" w:type="dxa"/>
            <w:tcBorders>
              <w:left w:val="nil"/>
            </w:tcBorders>
          </w:tcPr>
          <w:p w14:paraId="0DE95F74" w14:textId="77777777" w:rsidR="00185669" w:rsidRPr="00185669" w:rsidRDefault="00185669" w:rsidP="00185669">
            <w:pPr>
              <w:ind w:left="34"/>
              <w:rPr>
                <w:rFonts w:ascii="Times New Roman" w:hAnsi="Times New Roman"/>
                <w:b/>
                <w:sz w:val="20"/>
                <w:szCs w:val="20"/>
                <w:lang w:eastAsia="sk-SK"/>
              </w:rPr>
            </w:pPr>
            <w:r w:rsidRPr="00185669">
              <w:rPr>
                <w:rFonts w:ascii="Times New Roman" w:hAnsi="Times New Roman"/>
                <w:b/>
                <w:sz w:val="20"/>
                <w:szCs w:val="20"/>
                <w:lang w:eastAsia="sk-SK"/>
              </w:rPr>
              <w:t>Negatívne</w:t>
            </w:r>
          </w:p>
        </w:tc>
      </w:tr>
      <w:tr w:rsidR="00185669" w:rsidRPr="00185669" w14:paraId="622DA96C" w14:textId="77777777" w:rsidTr="00185669">
        <w:tc>
          <w:tcPr>
            <w:tcW w:w="3812" w:type="dxa"/>
            <w:tcBorders>
              <w:top w:val="nil"/>
              <w:bottom w:val="single" w:sz="4" w:space="0" w:color="000000"/>
            </w:tcBorders>
            <w:shd w:val="clear" w:color="auto" w:fill="E2E2E2"/>
          </w:tcPr>
          <w:p w14:paraId="06776117"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 xml:space="preserve">    z toho rozpočtovo zabezpečené vplyvy</w:t>
            </w:r>
          </w:p>
        </w:tc>
        <w:tc>
          <w:tcPr>
            <w:tcW w:w="541" w:type="dxa"/>
            <w:gridSpan w:val="2"/>
            <w:tcBorders>
              <w:right w:val="nil"/>
            </w:tcBorders>
          </w:tcPr>
          <w:p w14:paraId="2CD45858"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281" w:type="dxa"/>
            <w:gridSpan w:val="2"/>
            <w:tcBorders>
              <w:left w:val="nil"/>
              <w:right w:val="nil"/>
            </w:tcBorders>
          </w:tcPr>
          <w:p w14:paraId="694DE927"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Áno</w:t>
            </w:r>
          </w:p>
        </w:tc>
        <w:tc>
          <w:tcPr>
            <w:tcW w:w="569" w:type="dxa"/>
            <w:tcBorders>
              <w:left w:val="nil"/>
              <w:right w:val="nil"/>
            </w:tcBorders>
          </w:tcPr>
          <w:p w14:paraId="6CF67E6B"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133" w:type="dxa"/>
            <w:tcBorders>
              <w:left w:val="nil"/>
              <w:right w:val="nil"/>
            </w:tcBorders>
          </w:tcPr>
          <w:p w14:paraId="475CB55F"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Nie</w:t>
            </w:r>
          </w:p>
        </w:tc>
        <w:tc>
          <w:tcPr>
            <w:tcW w:w="547" w:type="dxa"/>
            <w:gridSpan w:val="2"/>
            <w:tcBorders>
              <w:left w:val="nil"/>
              <w:right w:val="nil"/>
            </w:tcBorders>
          </w:tcPr>
          <w:p w14:paraId="4AA6E9EF" w14:textId="77777777" w:rsidR="00185669" w:rsidRPr="00185669" w:rsidRDefault="00185669" w:rsidP="00185669">
            <w:pPr>
              <w:ind w:left="-107" w:right="-108"/>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297" w:type="dxa"/>
            <w:tcBorders>
              <w:left w:val="nil"/>
            </w:tcBorders>
          </w:tcPr>
          <w:p w14:paraId="0069494C" w14:textId="77777777" w:rsidR="00185669" w:rsidRPr="00185669" w:rsidRDefault="00185669" w:rsidP="00185669">
            <w:pPr>
              <w:ind w:left="34"/>
              <w:rPr>
                <w:rFonts w:ascii="Times New Roman" w:hAnsi="Times New Roman"/>
                <w:sz w:val="20"/>
                <w:szCs w:val="20"/>
                <w:lang w:eastAsia="sk-SK"/>
              </w:rPr>
            </w:pPr>
            <w:r w:rsidRPr="00185669">
              <w:rPr>
                <w:rFonts w:ascii="Times New Roman" w:hAnsi="Times New Roman"/>
                <w:sz w:val="20"/>
                <w:szCs w:val="20"/>
                <w:lang w:eastAsia="sk-SK"/>
              </w:rPr>
              <w:t>Čiastočne</w:t>
            </w:r>
          </w:p>
        </w:tc>
      </w:tr>
      <w:tr w:rsidR="00185669" w:rsidRPr="00185669" w14:paraId="563A6414" w14:textId="77777777" w:rsidTr="00185669">
        <w:tc>
          <w:tcPr>
            <w:tcW w:w="3812" w:type="dxa"/>
            <w:tcBorders>
              <w:top w:val="single" w:sz="4" w:space="0" w:color="000000"/>
              <w:bottom w:val="nil"/>
            </w:tcBorders>
            <w:shd w:val="clear" w:color="auto" w:fill="E2E2E2"/>
          </w:tcPr>
          <w:p w14:paraId="0CC972A6"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Vplyvy na podnikateľské prostredie</w:t>
            </w:r>
          </w:p>
        </w:tc>
        <w:tc>
          <w:tcPr>
            <w:tcW w:w="541" w:type="dxa"/>
            <w:gridSpan w:val="2"/>
            <w:tcBorders>
              <w:right w:val="nil"/>
            </w:tcBorders>
          </w:tcPr>
          <w:p w14:paraId="27400713"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81" w:type="dxa"/>
            <w:gridSpan w:val="2"/>
            <w:tcBorders>
              <w:left w:val="nil"/>
              <w:right w:val="nil"/>
            </w:tcBorders>
          </w:tcPr>
          <w:p w14:paraId="5E5C234A" w14:textId="77777777" w:rsidR="00185669" w:rsidRPr="00185669" w:rsidRDefault="00185669" w:rsidP="00185669">
            <w:pPr>
              <w:ind w:right="-108"/>
              <w:rPr>
                <w:rFonts w:ascii="Times New Roman" w:hAnsi="Times New Roman"/>
                <w:b/>
                <w:sz w:val="20"/>
                <w:szCs w:val="20"/>
                <w:lang w:eastAsia="sk-SK"/>
              </w:rPr>
            </w:pPr>
            <w:r w:rsidRPr="00185669">
              <w:rPr>
                <w:rFonts w:ascii="Times New Roman" w:hAnsi="Times New Roman"/>
                <w:b/>
                <w:sz w:val="20"/>
                <w:szCs w:val="20"/>
                <w:lang w:eastAsia="sk-SK"/>
              </w:rPr>
              <w:t>Pozitívne</w:t>
            </w:r>
          </w:p>
        </w:tc>
        <w:tc>
          <w:tcPr>
            <w:tcW w:w="569" w:type="dxa"/>
            <w:tcBorders>
              <w:left w:val="nil"/>
              <w:right w:val="nil"/>
            </w:tcBorders>
          </w:tcPr>
          <w:p w14:paraId="0FC2C15A" w14:textId="77777777" w:rsidR="00185669" w:rsidRPr="00185669" w:rsidRDefault="00185669" w:rsidP="00185669">
            <w:pPr>
              <w:jc w:val="center"/>
              <w:rPr>
                <w:rFonts w:ascii="Times New Roman" w:hAnsi="Times New Roman"/>
                <w:b/>
                <w:sz w:val="20"/>
                <w:szCs w:val="20"/>
                <w:lang w:eastAsia="sk-SK"/>
              </w:rPr>
            </w:pPr>
            <w:r w:rsidRPr="00185669">
              <w:rPr>
                <w:rFonts w:ascii="MS Gothic" w:eastAsia="MS Gothic" w:hAnsi="MS Gothic" w:hint="eastAsia"/>
                <w:b/>
                <w:sz w:val="20"/>
                <w:szCs w:val="20"/>
                <w:lang w:eastAsia="sk-SK"/>
              </w:rPr>
              <w:t>☒</w:t>
            </w:r>
          </w:p>
        </w:tc>
        <w:tc>
          <w:tcPr>
            <w:tcW w:w="1133" w:type="dxa"/>
            <w:tcBorders>
              <w:left w:val="nil"/>
              <w:right w:val="nil"/>
            </w:tcBorders>
          </w:tcPr>
          <w:p w14:paraId="3D8049A6"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Žiadne</w:t>
            </w:r>
          </w:p>
        </w:tc>
        <w:tc>
          <w:tcPr>
            <w:tcW w:w="547" w:type="dxa"/>
            <w:gridSpan w:val="2"/>
            <w:tcBorders>
              <w:left w:val="nil"/>
              <w:right w:val="nil"/>
            </w:tcBorders>
          </w:tcPr>
          <w:p w14:paraId="7D9648BB"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97" w:type="dxa"/>
            <w:tcBorders>
              <w:left w:val="nil"/>
            </w:tcBorders>
          </w:tcPr>
          <w:p w14:paraId="09712F90" w14:textId="77777777" w:rsidR="00185669" w:rsidRPr="00185669" w:rsidRDefault="00185669" w:rsidP="00185669">
            <w:pPr>
              <w:ind w:left="54"/>
              <w:rPr>
                <w:rFonts w:ascii="Times New Roman" w:hAnsi="Times New Roman"/>
                <w:b/>
                <w:sz w:val="20"/>
                <w:szCs w:val="20"/>
                <w:lang w:eastAsia="sk-SK"/>
              </w:rPr>
            </w:pPr>
            <w:r w:rsidRPr="00185669">
              <w:rPr>
                <w:rFonts w:ascii="Times New Roman" w:hAnsi="Times New Roman"/>
                <w:b/>
                <w:sz w:val="20"/>
                <w:szCs w:val="20"/>
                <w:lang w:eastAsia="sk-SK"/>
              </w:rPr>
              <w:t>Negatívne</w:t>
            </w:r>
          </w:p>
        </w:tc>
      </w:tr>
      <w:tr w:rsidR="00185669" w:rsidRPr="00185669" w14:paraId="770298D3" w14:textId="77777777" w:rsidTr="00185669">
        <w:tc>
          <w:tcPr>
            <w:tcW w:w="3812" w:type="dxa"/>
            <w:tcBorders>
              <w:top w:val="nil"/>
              <w:left w:val="single" w:sz="4" w:space="0" w:color="000000"/>
              <w:bottom w:val="single" w:sz="4" w:space="0" w:color="000000"/>
              <w:right w:val="single" w:sz="4" w:space="0" w:color="000000"/>
            </w:tcBorders>
            <w:shd w:val="clear" w:color="auto" w:fill="E2E2E2"/>
          </w:tcPr>
          <w:p w14:paraId="191E3905"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 xml:space="preserve">    z toho vplyvy na MSP</w:t>
            </w:r>
          </w:p>
        </w:tc>
        <w:tc>
          <w:tcPr>
            <w:tcW w:w="541" w:type="dxa"/>
            <w:gridSpan w:val="2"/>
            <w:tcBorders>
              <w:left w:val="single" w:sz="4" w:space="0" w:color="000000"/>
              <w:right w:val="nil"/>
            </w:tcBorders>
          </w:tcPr>
          <w:p w14:paraId="377E41EB"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281" w:type="dxa"/>
            <w:gridSpan w:val="2"/>
            <w:tcBorders>
              <w:left w:val="nil"/>
              <w:right w:val="nil"/>
            </w:tcBorders>
          </w:tcPr>
          <w:p w14:paraId="01B3AAB1" w14:textId="77777777" w:rsidR="00185669" w:rsidRPr="00185669" w:rsidRDefault="00185669" w:rsidP="00185669">
            <w:pPr>
              <w:ind w:right="-108"/>
              <w:rPr>
                <w:rFonts w:ascii="Times New Roman" w:hAnsi="Times New Roman"/>
                <w:sz w:val="20"/>
                <w:szCs w:val="20"/>
                <w:lang w:eastAsia="sk-SK"/>
              </w:rPr>
            </w:pPr>
            <w:r w:rsidRPr="00185669">
              <w:rPr>
                <w:rFonts w:ascii="Times New Roman" w:hAnsi="Times New Roman"/>
                <w:sz w:val="20"/>
                <w:szCs w:val="20"/>
                <w:lang w:eastAsia="sk-SK"/>
              </w:rPr>
              <w:t>Pozitívne</w:t>
            </w:r>
          </w:p>
        </w:tc>
        <w:tc>
          <w:tcPr>
            <w:tcW w:w="569" w:type="dxa"/>
            <w:tcBorders>
              <w:left w:val="nil"/>
              <w:right w:val="nil"/>
            </w:tcBorders>
          </w:tcPr>
          <w:p w14:paraId="64A8055E"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133" w:type="dxa"/>
            <w:tcBorders>
              <w:left w:val="nil"/>
              <w:right w:val="nil"/>
            </w:tcBorders>
          </w:tcPr>
          <w:p w14:paraId="1CE2C26A"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Žiadne</w:t>
            </w:r>
          </w:p>
        </w:tc>
        <w:tc>
          <w:tcPr>
            <w:tcW w:w="547" w:type="dxa"/>
            <w:gridSpan w:val="2"/>
            <w:tcBorders>
              <w:left w:val="nil"/>
              <w:right w:val="nil"/>
            </w:tcBorders>
          </w:tcPr>
          <w:p w14:paraId="42493021" w14:textId="77777777" w:rsidR="00185669" w:rsidRPr="00185669" w:rsidRDefault="00185669" w:rsidP="00185669">
            <w:pPr>
              <w:jc w:val="center"/>
              <w:rPr>
                <w:rFonts w:ascii="Times New Roman" w:hAnsi="Times New Roman"/>
                <w:sz w:val="20"/>
                <w:szCs w:val="20"/>
                <w:lang w:eastAsia="sk-SK"/>
              </w:rPr>
            </w:pPr>
            <w:r w:rsidRPr="00185669">
              <w:rPr>
                <w:rFonts w:ascii="MS Mincho" w:eastAsia="MS Mincho" w:hAnsi="MS Mincho" w:cs="MS Mincho" w:hint="eastAsia"/>
                <w:sz w:val="20"/>
                <w:szCs w:val="20"/>
                <w:lang w:eastAsia="sk-SK"/>
              </w:rPr>
              <w:t>☐</w:t>
            </w:r>
          </w:p>
        </w:tc>
        <w:tc>
          <w:tcPr>
            <w:tcW w:w="1297" w:type="dxa"/>
            <w:tcBorders>
              <w:left w:val="nil"/>
            </w:tcBorders>
          </w:tcPr>
          <w:p w14:paraId="0CC830BE" w14:textId="77777777" w:rsidR="00185669" w:rsidRPr="00185669" w:rsidRDefault="00185669" w:rsidP="00185669">
            <w:pPr>
              <w:ind w:left="54"/>
              <w:rPr>
                <w:rFonts w:ascii="Times New Roman" w:hAnsi="Times New Roman"/>
                <w:sz w:val="20"/>
                <w:szCs w:val="20"/>
                <w:lang w:eastAsia="sk-SK"/>
              </w:rPr>
            </w:pPr>
            <w:r w:rsidRPr="00185669">
              <w:rPr>
                <w:rFonts w:ascii="Times New Roman" w:hAnsi="Times New Roman"/>
                <w:sz w:val="20"/>
                <w:szCs w:val="20"/>
                <w:lang w:eastAsia="sk-SK"/>
              </w:rPr>
              <w:t>Negatívne</w:t>
            </w:r>
          </w:p>
        </w:tc>
      </w:tr>
      <w:tr w:rsidR="00185669" w:rsidRPr="00185669" w14:paraId="348AD4DB" w14:textId="77777777" w:rsidTr="00185669">
        <w:tc>
          <w:tcPr>
            <w:tcW w:w="3812" w:type="dxa"/>
            <w:tcBorders>
              <w:top w:val="single" w:sz="4" w:space="0" w:color="000000"/>
            </w:tcBorders>
            <w:shd w:val="clear" w:color="auto" w:fill="E2E2E2"/>
          </w:tcPr>
          <w:p w14:paraId="39ADD282"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Sociálne vplyvy</w:t>
            </w:r>
          </w:p>
        </w:tc>
        <w:tc>
          <w:tcPr>
            <w:tcW w:w="541" w:type="dxa"/>
            <w:gridSpan w:val="2"/>
            <w:tcBorders>
              <w:right w:val="nil"/>
            </w:tcBorders>
          </w:tcPr>
          <w:p w14:paraId="5C71A8CE"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81" w:type="dxa"/>
            <w:gridSpan w:val="2"/>
            <w:tcBorders>
              <w:left w:val="nil"/>
              <w:right w:val="nil"/>
            </w:tcBorders>
          </w:tcPr>
          <w:p w14:paraId="0F65D00A" w14:textId="77777777" w:rsidR="00185669" w:rsidRPr="00185669" w:rsidRDefault="00185669" w:rsidP="00185669">
            <w:pPr>
              <w:ind w:right="-108"/>
              <w:rPr>
                <w:rFonts w:ascii="Times New Roman" w:hAnsi="Times New Roman"/>
                <w:b/>
                <w:sz w:val="20"/>
                <w:szCs w:val="20"/>
                <w:lang w:eastAsia="sk-SK"/>
              </w:rPr>
            </w:pPr>
            <w:r w:rsidRPr="00185669">
              <w:rPr>
                <w:rFonts w:ascii="Times New Roman" w:hAnsi="Times New Roman"/>
                <w:b/>
                <w:sz w:val="20"/>
                <w:szCs w:val="20"/>
                <w:lang w:eastAsia="sk-SK"/>
              </w:rPr>
              <w:t>Pozitívne</w:t>
            </w:r>
          </w:p>
        </w:tc>
        <w:tc>
          <w:tcPr>
            <w:tcW w:w="569" w:type="dxa"/>
            <w:tcBorders>
              <w:left w:val="nil"/>
              <w:right w:val="nil"/>
            </w:tcBorders>
          </w:tcPr>
          <w:p w14:paraId="4FEAC402" w14:textId="77777777" w:rsidR="00185669" w:rsidRPr="00185669" w:rsidRDefault="00185669" w:rsidP="00185669">
            <w:pPr>
              <w:jc w:val="center"/>
              <w:rPr>
                <w:rFonts w:ascii="Times New Roman" w:hAnsi="Times New Roman"/>
                <w:b/>
                <w:sz w:val="20"/>
                <w:szCs w:val="20"/>
                <w:lang w:eastAsia="sk-SK"/>
              </w:rPr>
            </w:pPr>
            <w:r w:rsidRPr="00185669">
              <w:rPr>
                <w:rFonts w:ascii="MS Gothic" w:eastAsia="MS Gothic" w:hAnsi="MS Gothic" w:hint="eastAsia"/>
                <w:b/>
                <w:sz w:val="20"/>
                <w:szCs w:val="20"/>
                <w:lang w:eastAsia="sk-SK"/>
              </w:rPr>
              <w:t>☒</w:t>
            </w:r>
          </w:p>
        </w:tc>
        <w:tc>
          <w:tcPr>
            <w:tcW w:w="1133" w:type="dxa"/>
            <w:tcBorders>
              <w:left w:val="nil"/>
              <w:right w:val="nil"/>
            </w:tcBorders>
          </w:tcPr>
          <w:p w14:paraId="7C6E594A"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Žiadne</w:t>
            </w:r>
          </w:p>
        </w:tc>
        <w:tc>
          <w:tcPr>
            <w:tcW w:w="547" w:type="dxa"/>
            <w:gridSpan w:val="2"/>
            <w:tcBorders>
              <w:left w:val="nil"/>
              <w:right w:val="nil"/>
            </w:tcBorders>
          </w:tcPr>
          <w:p w14:paraId="3064608C"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97" w:type="dxa"/>
            <w:tcBorders>
              <w:left w:val="nil"/>
            </w:tcBorders>
          </w:tcPr>
          <w:p w14:paraId="15D8ADA8" w14:textId="77777777" w:rsidR="00185669" w:rsidRPr="00185669" w:rsidRDefault="00185669" w:rsidP="00185669">
            <w:pPr>
              <w:ind w:left="54"/>
              <w:rPr>
                <w:rFonts w:ascii="Times New Roman" w:hAnsi="Times New Roman"/>
                <w:b/>
                <w:sz w:val="20"/>
                <w:szCs w:val="20"/>
                <w:lang w:eastAsia="sk-SK"/>
              </w:rPr>
            </w:pPr>
            <w:r w:rsidRPr="00185669">
              <w:rPr>
                <w:rFonts w:ascii="Times New Roman" w:hAnsi="Times New Roman"/>
                <w:b/>
                <w:sz w:val="20"/>
                <w:szCs w:val="20"/>
                <w:lang w:eastAsia="sk-SK"/>
              </w:rPr>
              <w:t>Negatívne</w:t>
            </w:r>
          </w:p>
        </w:tc>
      </w:tr>
      <w:tr w:rsidR="00185669" w:rsidRPr="00185669" w14:paraId="6CBB2D6D" w14:textId="77777777" w:rsidTr="00E81090">
        <w:tc>
          <w:tcPr>
            <w:tcW w:w="3812" w:type="dxa"/>
            <w:shd w:val="clear" w:color="auto" w:fill="E2E2E2"/>
          </w:tcPr>
          <w:p w14:paraId="4D14B2B2"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Vplyvy na životné prostredie</w:t>
            </w:r>
          </w:p>
        </w:tc>
        <w:tc>
          <w:tcPr>
            <w:tcW w:w="541" w:type="dxa"/>
            <w:gridSpan w:val="2"/>
            <w:tcBorders>
              <w:right w:val="nil"/>
            </w:tcBorders>
          </w:tcPr>
          <w:p w14:paraId="2E18280A"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81" w:type="dxa"/>
            <w:gridSpan w:val="2"/>
            <w:tcBorders>
              <w:left w:val="nil"/>
              <w:right w:val="nil"/>
            </w:tcBorders>
          </w:tcPr>
          <w:p w14:paraId="6FC4C525" w14:textId="77777777" w:rsidR="00185669" w:rsidRPr="00185669" w:rsidRDefault="00185669" w:rsidP="00185669">
            <w:pPr>
              <w:ind w:right="-108"/>
              <w:rPr>
                <w:rFonts w:ascii="Times New Roman" w:hAnsi="Times New Roman"/>
                <w:b/>
                <w:sz w:val="20"/>
                <w:szCs w:val="20"/>
                <w:lang w:eastAsia="sk-SK"/>
              </w:rPr>
            </w:pPr>
            <w:r w:rsidRPr="00185669">
              <w:rPr>
                <w:rFonts w:ascii="Times New Roman" w:hAnsi="Times New Roman"/>
                <w:b/>
                <w:sz w:val="20"/>
                <w:szCs w:val="20"/>
                <w:lang w:eastAsia="sk-SK"/>
              </w:rPr>
              <w:t>Pozitívne</w:t>
            </w:r>
          </w:p>
        </w:tc>
        <w:tc>
          <w:tcPr>
            <w:tcW w:w="569" w:type="dxa"/>
            <w:tcBorders>
              <w:left w:val="nil"/>
              <w:right w:val="nil"/>
            </w:tcBorders>
          </w:tcPr>
          <w:p w14:paraId="6ACC2183" w14:textId="77777777" w:rsidR="00185669" w:rsidRPr="00185669" w:rsidRDefault="00185669" w:rsidP="00185669">
            <w:pPr>
              <w:jc w:val="center"/>
              <w:rPr>
                <w:rFonts w:ascii="Times New Roman" w:hAnsi="Times New Roman"/>
                <w:b/>
                <w:sz w:val="20"/>
                <w:szCs w:val="20"/>
                <w:lang w:eastAsia="sk-SK"/>
              </w:rPr>
            </w:pPr>
            <w:r w:rsidRPr="00185669">
              <w:rPr>
                <w:rFonts w:ascii="MS Gothic" w:eastAsia="MS Gothic" w:hAnsi="MS Gothic" w:hint="eastAsia"/>
                <w:b/>
                <w:sz w:val="20"/>
                <w:szCs w:val="20"/>
                <w:lang w:eastAsia="sk-SK"/>
              </w:rPr>
              <w:t>☒</w:t>
            </w:r>
          </w:p>
        </w:tc>
        <w:tc>
          <w:tcPr>
            <w:tcW w:w="1133" w:type="dxa"/>
            <w:tcBorders>
              <w:left w:val="nil"/>
              <w:right w:val="nil"/>
            </w:tcBorders>
          </w:tcPr>
          <w:p w14:paraId="342E8F35"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Žiadne</w:t>
            </w:r>
          </w:p>
        </w:tc>
        <w:tc>
          <w:tcPr>
            <w:tcW w:w="547" w:type="dxa"/>
            <w:gridSpan w:val="2"/>
            <w:tcBorders>
              <w:left w:val="nil"/>
              <w:right w:val="nil"/>
            </w:tcBorders>
          </w:tcPr>
          <w:p w14:paraId="7938BE64"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97" w:type="dxa"/>
            <w:tcBorders>
              <w:left w:val="nil"/>
            </w:tcBorders>
          </w:tcPr>
          <w:p w14:paraId="10ECEFE0" w14:textId="77777777" w:rsidR="00185669" w:rsidRPr="00185669" w:rsidRDefault="00185669" w:rsidP="00185669">
            <w:pPr>
              <w:ind w:left="54"/>
              <w:rPr>
                <w:rFonts w:ascii="Times New Roman" w:hAnsi="Times New Roman"/>
                <w:b/>
                <w:sz w:val="20"/>
                <w:szCs w:val="20"/>
                <w:lang w:eastAsia="sk-SK"/>
              </w:rPr>
            </w:pPr>
            <w:r w:rsidRPr="00185669">
              <w:rPr>
                <w:rFonts w:ascii="Times New Roman" w:hAnsi="Times New Roman"/>
                <w:b/>
                <w:sz w:val="20"/>
                <w:szCs w:val="20"/>
                <w:lang w:eastAsia="sk-SK"/>
              </w:rPr>
              <w:t>Negatívne</w:t>
            </w:r>
          </w:p>
        </w:tc>
      </w:tr>
      <w:tr w:rsidR="00185669" w:rsidRPr="00185669" w14:paraId="488F4938" w14:textId="77777777" w:rsidTr="00E81090">
        <w:tc>
          <w:tcPr>
            <w:tcW w:w="3812" w:type="dxa"/>
            <w:shd w:val="clear" w:color="auto" w:fill="E2E2E2"/>
          </w:tcPr>
          <w:p w14:paraId="63CAB29F"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Vplyvy na informatizáciu</w:t>
            </w:r>
          </w:p>
        </w:tc>
        <w:tc>
          <w:tcPr>
            <w:tcW w:w="541" w:type="dxa"/>
            <w:gridSpan w:val="2"/>
            <w:tcBorders>
              <w:right w:val="nil"/>
            </w:tcBorders>
          </w:tcPr>
          <w:p w14:paraId="723359B2"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81" w:type="dxa"/>
            <w:gridSpan w:val="2"/>
            <w:tcBorders>
              <w:left w:val="nil"/>
              <w:right w:val="nil"/>
            </w:tcBorders>
          </w:tcPr>
          <w:p w14:paraId="3704FCFF" w14:textId="77777777" w:rsidR="00185669" w:rsidRPr="00185669" w:rsidRDefault="00185669" w:rsidP="00185669">
            <w:pPr>
              <w:ind w:right="-108"/>
              <w:rPr>
                <w:rFonts w:ascii="Times New Roman" w:hAnsi="Times New Roman"/>
                <w:b/>
                <w:sz w:val="20"/>
                <w:szCs w:val="20"/>
                <w:lang w:eastAsia="sk-SK"/>
              </w:rPr>
            </w:pPr>
            <w:r w:rsidRPr="00185669">
              <w:rPr>
                <w:rFonts w:ascii="Times New Roman" w:hAnsi="Times New Roman"/>
                <w:b/>
                <w:sz w:val="20"/>
                <w:szCs w:val="20"/>
                <w:lang w:eastAsia="sk-SK"/>
              </w:rPr>
              <w:t>Pozitívne</w:t>
            </w:r>
          </w:p>
        </w:tc>
        <w:tc>
          <w:tcPr>
            <w:tcW w:w="569" w:type="dxa"/>
            <w:tcBorders>
              <w:left w:val="nil"/>
              <w:right w:val="nil"/>
            </w:tcBorders>
          </w:tcPr>
          <w:p w14:paraId="556A9BE0" w14:textId="77777777" w:rsidR="00185669" w:rsidRPr="00185669" w:rsidRDefault="00185669" w:rsidP="00185669">
            <w:pPr>
              <w:jc w:val="center"/>
              <w:rPr>
                <w:rFonts w:ascii="Times New Roman" w:hAnsi="Times New Roman"/>
                <w:b/>
                <w:sz w:val="20"/>
                <w:szCs w:val="20"/>
                <w:lang w:eastAsia="sk-SK"/>
              </w:rPr>
            </w:pPr>
            <w:r w:rsidRPr="00185669">
              <w:rPr>
                <w:rFonts w:ascii="MS Gothic" w:eastAsia="MS Gothic" w:hAnsi="MS Gothic" w:hint="eastAsia"/>
                <w:b/>
                <w:sz w:val="20"/>
                <w:szCs w:val="20"/>
                <w:lang w:eastAsia="sk-SK"/>
              </w:rPr>
              <w:t>☒</w:t>
            </w:r>
          </w:p>
        </w:tc>
        <w:tc>
          <w:tcPr>
            <w:tcW w:w="1133" w:type="dxa"/>
            <w:tcBorders>
              <w:left w:val="nil"/>
              <w:right w:val="nil"/>
            </w:tcBorders>
          </w:tcPr>
          <w:p w14:paraId="75EAC706"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b/>
                <w:sz w:val="20"/>
                <w:szCs w:val="20"/>
                <w:lang w:eastAsia="sk-SK"/>
              </w:rPr>
              <w:t>Žiadne</w:t>
            </w:r>
          </w:p>
        </w:tc>
        <w:tc>
          <w:tcPr>
            <w:tcW w:w="547" w:type="dxa"/>
            <w:gridSpan w:val="2"/>
            <w:tcBorders>
              <w:left w:val="nil"/>
              <w:right w:val="nil"/>
            </w:tcBorders>
          </w:tcPr>
          <w:p w14:paraId="4AE22B8A" w14:textId="77777777" w:rsidR="00185669" w:rsidRPr="00185669" w:rsidRDefault="00185669" w:rsidP="00185669">
            <w:pPr>
              <w:jc w:val="center"/>
              <w:rPr>
                <w:rFonts w:ascii="Times New Roman" w:hAnsi="Times New Roman"/>
                <w:b/>
                <w:sz w:val="20"/>
                <w:szCs w:val="20"/>
                <w:lang w:eastAsia="sk-SK"/>
              </w:rPr>
            </w:pPr>
            <w:r w:rsidRPr="00185669">
              <w:rPr>
                <w:rFonts w:ascii="MS Mincho" w:eastAsia="MS Mincho" w:hAnsi="MS Mincho" w:cs="MS Mincho" w:hint="eastAsia"/>
                <w:b/>
                <w:sz w:val="20"/>
                <w:szCs w:val="20"/>
                <w:lang w:eastAsia="sk-SK"/>
              </w:rPr>
              <w:t>☐</w:t>
            </w:r>
          </w:p>
        </w:tc>
        <w:tc>
          <w:tcPr>
            <w:tcW w:w="1297" w:type="dxa"/>
            <w:tcBorders>
              <w:left w:val="nil"/>
            </w:tcBorders>
          </w:tcPr>
          <w:p w14:paraId="61AD186F" w14:textId="77777777" w:rsidR="00185669" w:rsidRPr="00185669" w:rsidRDefault="00185669" w:rsidP="00185669">
            <w:pPr>
              <w:ind w:left="54"/>
              <w:rPr>
                <w:rFonts w:ascii="Times New Roman" w:hAnsi="Times New Roman"/>
                <w:b/>
                <w:sz w:val="20"/>
                <w:szCs w:val="20"/>
                <w:lang w:eastAsia="sk-SK"/>
              </w:rPr>
            </w:pPr>
            <w:r w:rsidRPr="00185669">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185669" w:rsidRPr="00185669" w14:paraId="5AB04007" w14:textId="77777777" w:rsidTr="00E81090">
        <w:tc>
          <w:tcPr>
            <w:tcW w:w="3812" w:type="dxa"/>
            <w:tcBorders>
              <w:bottom w:val="nil"/>
            </w:tcBorders>
            <w:shd w:val="clear" w:color="auto" w:fill="E2E2E2"/>
          </w:tcPr>
          <w:p w14:paraId="3BF8BC97" w14:textId="77777777" w:rsidR="00185669" w:rsidRPr="00185669" w:rsidRDefault="00185669" w:rsidP="00185669">
            <w:pPr>
              <w:spacing w:after="0" w:line="240" w:lineRule="auto"/>
              <w:rPr>
                <w:rFonts w:ascii="Times New Roman" w:hAnsi="Times New Roman"/>
                <w:b/>
                <w:sz w:val="20"/>
                <w:szCs w:val="20"/>
                <w:lang w:eastAsia="sk-SK"/>
              </w:rPr>
            </w:pPr>
            <w:r w:rsidRPr="00185669">
              <w:rPr>
                <w:rFonts w:ascii="Times New Roman" w:hAnsi="Times New Roman"/>
                <w:b/>
                <w:sz w:val="20"/>
                <w:szCs w:val="20"/>
              </w:rPr>
              <w:t>Vplyvy na služby verejnej správy pre občana, z toho</w:t>
            </w:r>
          </w:p>
        </w:tc>
        <w:tc>
          <w:tcPr>
            <w:tcW w:w="541" w:type="dxa"/>
            <w:tcBorders>
              <w:bottom w:val="nil"/>
              <w:right w:val="nil"/>
            </w:tcBorders>
          </w:tcPr>
          <w:p w14:paraId="5067BF20" w14:textId="77777777" w:rsidR="00185669" w:rsidRPr="00185669" w:rsidRDefault="00185669" w:rsidP="00185669">
            <w:pPr>
              <w:spacing w:after="0" w:line="240" w:lineRule="auto"/>
              <w:jc w:val="center"/>
              <w:rPr>
                <w:rFonts w:ascii="Times New Roman" w:eastAsia="MS Mincho" w:hAnsi="Times New Roman"/>
                <w:b/>
                <w:sz w:val="20"/>
                <w:szCs w:val="20"/>
                <w:lang w:eastAsia="sk-SK"/>
              </w:rPr>
            </w:pPr>
          </w:p>
        </w:tc>
        <w:tc>
          <w:tcPr>
            <w:tcW w:w="1281" w:type="dxa"/>
            <w:tcBorders>
              <w:left w:val="nil"/>
              <w:bottom w:val="nil"/>
              <w:right w:val="nil"/>
            </w:tcBorders>
          </w:tcPr>
          <w:p w14:paraId="371C1966" w14:textId="77777777" w:rsidR="00185669" w:rsidRPr="00185669" w:rsidRDefault="00185669" w:rsidP="00185669">
            <w:pPr>
              <w:spacing w:after="0" w:line="240" w:lineRule="auto"/>
              <w:ind w:right="-108"/>
              <w:rPr>
                <w:rFonts w:ascii="Times New Roman" w:hAnsi="Times New Roman"/>
                <w:b/>
                <w:sz w:val="20"/>
                <w:szCs w:val="20"/>
                <w:lang w:eastAsia="sk-SK"/>
              </w:rPr>
            </w:pPr>
          </w:p>
        </w:tc>
        <w:tc>
          <w:tcPr>
            <w:tcW w:w="569" w:type="dxa"/>
            <w:tcBorders>
              <w:left w:val="nil"/>
              <w:bottom w:val="nil"/>
              <w:right w:val="nil"/>
            </w:tcBorders>
          </w:tcPr>
          <w:p w14:paraId="4C0731AD" w14:textId="77777777" w:rsidR="00185669" w:rsidRPr="00185669" w:rsidRDefault="00185669" w:rsidP="00185669">
            <w:pPr>
              <w:spacing w:after="0" w:line="240" w:lineRule="auto"/>
              <w:jc w:val="center"/>
              <w:rPr>
                <w:rFonts w:ascii="Times New Roman" w:eastAsia="MS Mincho" w:hAnsi="Times New Roman"/>
                <w:b/>
                <w:sz w:val="20"/>
                <w:szCs w:val="20"/>
                <w:lang w:eastAsia="sk-SK"/>
              </w:rPr>
            </w:pPr>
          </w:p>
        </w:tc>
        <w:tc>
          <w:tcPr>
            <w:tcW w:w="1133" w:type="dxa"/>
            <w:tcBorders>
              <w:left w:val="nil"/>
              <w:bottom w:val="nil"/>
              <w:right w:val="nil"/>
            </w:tcBorders>
          </w:tcPr>
          <w:p w14:paraId="4B098899" w14:textId="77777777" w:rsidR="00185669" w:rsidRPr="00185669" w:rsidRDefault="00185669" w:rsidP="00185669">
            <w:pPr>
              <w:spacing w:after="0" w:line="240" w:lineRule="auto"/>
              <w:rPr>
                <w:rFonts w:ascii="Times New Roman" w:hAnsi="Times New Roman"/>
                <w:b/>
                <w:sz w:val="20"/>
                <w:szCs w:val="20"/>
                <w:lang w:eastAsia="sk-SK"/>
              </w:rPr>
            </w:pPr>
          </w:p>
        </w:tc>
        <w:tc>
          <w:tcPr>
            <w:tcW w:w="547" w:type="dxa"/>
            <w:tcBorders>
              <w:left w:val="nil"/>
              <w:bottom w:val="nil"/>
              <w:right w:val="nil"/>
            </w:tcBorders>
          </w:tcPr>
          <w:p w14:paraId="47CA2BC0" w14:textId="77777777" w:rsidR="00185669" w:rsidRPr="00185669" w:rsidRDefault="00185669" w:rsidP="00185669">
            <w:pPr>
              <w:spacing w:after="0" w:line="240" w:lineRule="auto"/>
              <w:jc w:val="center"/>
              <w:rPr>
                <w:rFonts w:ascii="Times New Roman" w:eastAsia="MS Mincho" w:hAnsi="Times New Roman"/>
                <w:b/>
                <w:sz w:val="20"/>
                <w:szCs w:val="20"/>
                <w:lang w:eastAsia="sk-SK"/>
              </w:rPr>
            </w:pPr>
          </w:p>
        </w:tc>
        <w:tc>
          <w:tcPr>
            <w:tcW w:w="1297" w:type="dxa"/>
            <w:tcBorders>
              <w:left w:val="nil"/>
              <w:bottom w:val="nil"/>
            </w:tcBorders>
          </w:tcPr>
          <w:p w14:paraId="31FD3A3F" w14:textId="77777777" w:rsidR="00185669" w:rsidRPr="00185669" w:rsidRDefault="00185669" w:rsidP="00185669">
            <w:pPr>
              <w:spacing w:after="0" w:line="240" w:lineRule="auto"/>
              <w:ind w:left="54"/>
              <w:rPr>
                <w:rFonts w:ascii="Times New Roman" w:hAnsi="Times New Roman"/>
                <w:b/>
                <w:sz w:val="20"/>
                <w:szCs w:val="20"/>
                <w:lang w:eastAsia="sk-SK"/>
              </w:rPr>
            </w:pPr>
          </w:p>
        </w:tc>
      </w:tr>
      <w:tr w:rsidR="00185669" w:rsidRPr="00185669" w14:paraId="14E038D6" w14:textId="77777777" w:rsidTr="00E81090">
        <w:tc>
          <w:tcPr>
            <w:tcW w:w="3812" w:type="dxa"/>
            <w:tcBorders>
              <w:top w:val="nil"/>
              <w:bottom w:val="nil"/>
            </w:tcBorders>
            <w:shd w:val="clear" w:color="auto" w:fill="E2E2E2"/>
          </w:tcPr>
          <w:p w14:paraId="36952EC6" w14:textId="77777777" w:rsidR="00185669" w:rsidRPr="00185669" w:rsidRDefault="00185669" w:rsidP="00185669">
            <w:pPr>
              <w:spacing w:after="0" w:line="240" w:lineRule="auto"/>
              <w:ind w:left="196" w:hanging="196"/>
              <w:rPr>
                <w:rFonts w:ascii="Times New Roman" w:hAnsi="Times New Roman"/>
                <w:b/>
                <w:sz w:val="20"/>
                <w:szCs w:val="20"/>
              </w:rPr>
            </w:pPr>
            <w:r w:rsidRPr="00185669">
              <w:rPr>
                <w:rFonts w:ascii="Times New Roman" w:hAnsi="Times New Roman"/>
                <w:b/>
                <w:sz w:val="20"/>
                <w:szCs w:val="20"/>
              </w:rPr>
              <w:t xml:space="preserve">    vplyvy služieb verejnej správy na občana</w:t>
            </w:r>
          </w:p>
        </w:tc>
        <w:tc>
          <w:tcPr>
            <w:tcW w:w="541" w:type="dxa"/>
            <w:tcBorders>
              <w:top w:val="nil"/>
              <w:bottom w:val="nil"/>
              <w:right w:val="nil"/>
            </w:tcBorders>
          </w:tcPr>
          <w:p w14:paraId="143040CB" w14:textId="77777777" w:rsidR="00185669" w:rsidRPr="00185669" w:rsidRDefault="00185669" w:rsidP="00185669">
            <w:pPr>
              <w:spacing w:after="0" w:line="240" w:lineRule="auto"/>
              <w:jc w:val="center"/>
              <w:rPr>
                <w:rFonts w:ascii="MS Mincho" w:eastAsia="MS Mincho" w:hAnsi="MS Mincho" w:cs="MS Mincho"/>
                <w:b/>
                <w:sz w:val="20"/>
                <w:szCs w:val="20"/>
              </w:rPr>
            </w:pPr>
            <w:r w:rsidRPr="00185669">
              <w:rPr>
                <w:rFonts w:ascii="MS Mincho" w:eastAsia="MS Mincho" w:hAnsi="MS Mincho" w:cs="MS Mincho" w:hint="eastAsia"/>
                <w:b/>
                <w:sz w:val="20"/>
                <w:szCs w:val="20"/>
              </w:rPr>
              <w:t>☐</w:t>
            </w:r>
          </w:p>
        </w:tc>
        <w:tc>
          <w:tcPr>
            <w:tcW w:w="1281" w:type="dxa"/>
            <w:tcBorders>
              <w:top w:val="nil"/>
              <w:left w:val="nil"/>
              <w:bottom w:val="nil"/>
              <w:right w:val="nil"/>
            </w:tcBorders>
          </w:tcPr>
          <w:p w14:paraId="1A325D93" w14:textId="77777777" w:rsidR="00185669" w:rsidRPr="00185669" w:rsidRDefault="00185669" w:rsidP="00185669">
            <w:pPr>
              <w:spacing w:after="0" w:line="240" w:lineRule="auto"/>
              <w:ind w:right="-108"/>
              <w:rPr>
                <w:rFonts w:ascii="Times New Roman" w:hAnsi="Times New Roman"/>
                <w:b/>
                <w:sz w:val="20"/>
                <w:szCs w:val="20"/>
              </w:rPr>
            </w:pPr>
            <w:r w:rsidRPr="00185669">
              <w:rPr>
                <w:rFonts w:ascii="Times New Roman" w:hAnsi="Times New Roman"/>
                <w:b/>
                <w:sz w:val="20"/>
                <w:szCs w:val="20"/>
              </w:rPr>
              <w:t>Pozitívne</w:t>
            </w:r>
          </w:p>
        </w:tc>
        <w:tc>
          <w:tcPr>
            <w:tcW w:w="569" w:type="dxa"/>
            <w:tcBorders>
              <w:top w:val="nil"/>
              <w:left w:val="nil"/>
              <w:bottom w:val="nil"/>
              <w:right w:val="nil"/>
            </w:tcBorders>
          </w:tcPr>
          <w:p w14:paraId="193CA23A" w14:textId="77777777" w:rsidR="00185669" w:rsidRPr="00185669" w:rsidRDefault="00185669" w:rsidP="00185669">
            <w:pPr>
              <w:spacing w:after="0" w:line="240" w:lineRule="auto"/>
              <w:jc w:val="center"/>
              <w:rPr>
                <w:rFonts w:ascii="MS Mincho" w:eastAsia="MS Mincho" w:hAnsi="MS Mincho" w:cs="MS Mincho"/>
                <w:b/>
                <w:sz w:val="20"/>
                <w:szCs w:val="20"/>
              </w:rPr>
            </w:pPr>
            <w:r w:rsidRPr="00185669">
              <w:rPr>
                <w:rFonts w:ascii="MS Gothic" w:eastAsia="MS Gothic" w:hAnsi="MS Gothic" w:hint="eastAsia"/>
                <w:b/>
                <w:sz w:val="20"/>
                <w:szCs w:val="20"/>
                <w:lang w:eastAsia="sk-SK"/>
              </w:rPr>
              <w:t>☒</w:t>
            </w:r>
          </w:p>
        </w:tc>
        <w:tc>
          <w:tcPr>
            <w:tcW w:w="1133" w:type="dxa"/>
            <w:tcBorders>
              <w:top w:val="nil"/>
              <w:left w:val="nil"/>
              <w:bottom w:val="nil"/>
              <w:right w:val="nil"/>
            </w:tcBorders>
          </w:tcPr>
          <w:p w14:paraId="46284C08" w14:textId="77777777" w:rsidR="00185669" w:rsidRPr="00185669" w:rsidRDefault="00185669" w:rsidP="00185669">
            <w:pPr>
              <w:spacing w:after="0" w:line="240" w:lineRule="auto"/>
              <w:rPr>
                <w:rFonts w:ascii="Times New Roman" w:hAnsi="Times New Roman"/>
                <w:b/>
                <w:sz w:val="20"/>
                <w:szCs w:val="20"/>
              </w:rPr>
            </w:pPr>
            <w:r w:rsidRPr="00185669">
              <w:rPr>
                <w:rFonts w:ascii="Times New Roman" w:hAnsi="Times New Roman"/>
                <w:b/>
                <w:sz w:val="20"/>
                <w:szCs w:val="20"/>
              </w:rPr>
              <w:t>Žiadne</w:t>
            </w:r>
          </w:p>
        </w:tc>
        <w:tc>
          <w:tcPr>
            <w:tcW w:w="547" w:type="dxa"/>
            <w:tcBorders>
              <w:top w:val="nil"/>
              <w:left w:val="nil"/>
              <w:bottom w:val="nil"/>
              <w:right w:val="nil"/>
            </w:tcBorders>
          </w:tcPr>
          <w:p w14:paraId="12F9BB41" w14:textId="77777777" w:rsidR="00185669" w:rsidRPr="00185669" w:rsidRDefault="00185669" w:rsidP="00185669">
            <w:pPr>
              <w:spacing w:after="0" w:line="240" w:lineRule="auto"/>
              <w:jc w:val="center"/>
              <w:rPr>
                <w:rFonts w:ascii="MS Mincho" w:eastAsia="MS Mincho" w:hAnsi="MS Mincho" w:cs="MS Mincho"/>
                <w:b/>
                <w:sz w:val="20"/>
                <w:szCs w:val="20"/>
              </w:rPr>
            </w:pPr>
            <w:r w:rsidRPr="00185669">
              <w:rPr>
                <w:rFonts w:ascii="MS Mincho" w:eastAsia="MS Mincho" w:hAnsi="MS Mincho" w:cs="MS Mincho" w:hint="eastAsia"/>
                <w:b/>
                <w:sz w:val="20"/>
                <w:szCs w:val="20"/>
              </w:rPr>
              <w:t>☐</w:t>
            </w:r>
          </w:p>
        </w:tc>
        <w:tc>
          <w:tcPr>
            <w:tcW w:w="1297" w:type="dxa"/>
            <w:tcBorders>
              <w:top w:val="nil"/>
              <w:left w:val="nil"/>
              <w:bottom w:val="nil"/>
            </w:tcBorders>
          </w:tcPr>
          <w:p w14:paraId="1191791E" w14:textId="77777777" w:rsidR="00185669" w:rsidRPr="00185669" w:rsidRDefault="00185669" w:rsidP="00185669">
            <w:pPr>
              <w:spacing w:after="0" w:line="240" w:lineRule="auto"/>
              <w:ind w:left="54"/>
              <w:rPr>
                <w:rFonts w:ascii="Times New Roman" w:hAnsi="Times New Roman"/>
                <w:b/>
                <w:sz w:val="20"/>
                <w:szCs w:val="20"/>
              </w:rPr>
            </w:pPr>
            <w:r w:rsidRPr="00185669">
              <w:rPr>
                <w:rFonts w:ascii="Times New Roman" w:hAnsi="Times New Roman"/>
                <w:b/>
                <w:sz w:val="20"/>
                <w:szCs w:val="20"/>
              </w:rPr>
              <w:t>Negatívne“</w:t>
            </w:r>
          </w:p>
        </w:tc>
      </w:tr>
      <w:tr w:rsidR="00185669" w:rsidRPr="00185669" w14:paraId="2C3C9E66" w14:textId="77777777" w:rsidTr="00E81090">
        <w:tc>
          <w:tcPr>
            <w:tcW w:w="3812" w:type="dxa"/>
            <w:tcBorders>
              <w:top w:val="nil"/>
            </w:tcBorders>
            <w:shd w:val="clear" w:color="auto" w:fill="E2E2E2"/>
          </w:tcPr>
          <w:p w14:paraId="78F12169" w14:textId="77777777" w:rsidR="00185669" w:rsidRPr="00185669" w:rsidRDefault="00185669" w:rsidP="00185669">
            <w:pPr>
              <w:spacing w:after="0" w:line="240" w:lineRule="auto"/>
              <w:ind w:left="168" w:hanging="168"/>
              <w:rPr>
                <w:rFonts w:ascii="Times New Roman" w:hAnsi="Times New Roman"/>
                <w:b/>
                <w:sz w:val="20"/>
                <w:szCs w:val="20"/>
              </w:rPr>
            </w:pPr>
            <w:r w:rsidRPr="00185669">
              <w:rPr>
                <w:rFonts w:ascii="Times New Roman" w:hAnsi="Times New Roman"/>
                <w:b/>
                <w:sz w:val="20"/>
                <w:szCs w:val="20"/>
              </w:rPr>
              <w:t xml:space="preserve">    vplyvy na procesy služieb vo verejnej správe</w:t>
            </w:r>
          </w:p>
        </w:tc>
        <w:tc>
          <w:tcPr>
            <w:tcW w:w="541" w:type="dxa"/>
            <w:tcBorders>
              <w:top w:val="nil"/>
              <w:right w:val="nil"/>
            </w:tcBorders>
          </w:tcPr>
          <w:p w14:paraId="559BB7C6" w14:textId="77777777" w:rsidR="00185669" w:rsidRPr="00185669" w:rsidRDefault="00185669" w:rsidP="00185669">
            <w:pPr>
              <w:spacing w:after="0" w:line="240" w:lineRule="auto"/>
              <w:jc w:val="center"/>
              <w:rPr>
                <w:rFonts w:ascii="Times New Roman" w:eastAsia="MS Mincho" w:hAnsi="Times New Roman"/>
                <w:b/>
                <w:sz w:val="20"/>
                <w:szCs w:val="20"/>
              </w:rPr>
            </w:pPr>
            <w:r w:rsidRPr="00185669">
              <w:rPr>
                <w:rFonts w:ascii="MS Mincho" w:eastAsia="MS Mincho" w:hAnsi="MS Mincho" w:cs="MS Mincho" w:hint="eastAsia"/>
                <w:b/>
                <w:sz w:val="20"/>
                <w:szCs w:val="20"/>
              </w:rPr>
              <w:t>☐</w:t>
            </w:r>
          </w:p>
        </w:tc>
        <w:tc>
          <w:tcPr>
            <w:tcW w:w="1281" w:type="dxa"/>
            <w:tcBorders>
              <w:top w:val="nil"/>
              <w:left w:val="nil"/>
              <w:right w:val="nil"/>
            </w:tcBorders>
          </w:tcPr>
          <w:p w14:paraId="51E5FFDE" w14:textId="77777777" w:rsidR="00185669" w:rsidRPr="00185669" w:rsidRDefault="00185669" w:rsidP="00185669">
            <w:pPr>
              <w:spacing w:after="0" w:line="240" w:lineRule="auto"/>
              <w:ind w:right="-108"/>
              <w:rPr>
                <w:rFonts w:ascii="Times New Roman" w:hAnsi="Times New Roman"/>
                <w:b/>
                <w:sz w:val="20"/>
                <w:szCs w:val="20"/>
              </w:rPr>
            </w:pPr>
            <w:r w:rsidRPr="00185669">
              <w:rPr>
                <w:rFonts w:ascii="Times New Roman" w:hAnsi="Times New Roman"/>
                <w:b/>
                <w:sz w:val="20"/>
                <w:szCs w:val="20"/>
              </w:rPr>
              <w:t>Pozitívne</w:t>
            </w:r>
          </w:p>
        </w:tc>
        <w:tc>
          <w:tcPr>
            <w:tcW w:w="569" w:type="dxa"/>
            <w:tcBorders>
              <w:top w:val="nil"/>
              <w:left w:val="nil"/>
              <w:right w:val="nil"/>
            </w:tcBorders>
          </w:tcPr>
          <w:p w14:paraId="7F95D8C9" w14:textId="77777777" w:rsidR="00185669" w:rsidRPr="00185669" w:rsidRDefault="00185669" w:rsidP="00185669">
            <w:pPr>
              <w:spacing w:after="0" w:line="240" w:lineRule="auto"/>
              <w:jc w:val="center"/>
              <w:rPr>
                <w:rFonts w:ascii="Times New Roman" w:eastAsia="MS Mincho" w:hAnsi="Times New Roman"/>
                <w:b/>
                <w:sz w:val="20"/>
                <w:szCs w:val="20"/>
              </w:rPr>
            </w:pPr>
            <w:r w:rsidRPr="00185669">
              <w:rPr>
                <w:rFonts w:ascii="MS Gothic" w:eastAsia="MS Gothic" w:hAnsi="MS Gothic" w:hint="eastAsia"/>
                <w:b/>
                <w:sz w:val="20"/>
                <w:szCs w:val="20"/>
                <w:lang w:eastAsia="sk-SK"/>
              </w:rPr>
              <w:t>☒</w:t>
            </w:r>
          </w:p>
        </w:tc>
        <w:tc>
          <w:tcPr>
            <w:tcW w:w="1133" w:type="dxa"/>
            <w:tcBorders>
              <w:top w:val="nil"/>
              <w:left w:val="nil"/>
              <w:right w:val="nil"/>
            </w:tcBorders>
          </w:tcPr>
          <w:p w14:paraId="32AAA1DD" w14:textId="77777777" w:rsidR="00185669" w:rsidRPr="00185669" w:rsidRDefault="00185669" w:rsidP="00185669">
            <w:pPr>
              <w:spacing w:after="0" w:line="240" w:lineRule="auto"/>
              <w:rPr>
                <w:rFonts w:ascii="Times New Roman" w:hAnsi="Times New Roman"/>
                <w:b/>
                <w:sz w:val="20"/>
                <w:szCs w:val="20"/>
              </w:rPr>
            </w:pPr>
            <w:r w:rsidRPr="00185669">
              <w:rPr>
                <w:rFonts w:ascii="Times New Roman" w:hAnsi="Times New Roman"/>
                <w:b/>
                <w:sz w:val="20"/>
                <w:szCs w:val="20"/>
              </w:rPr>
              <w:t>Žiadne</w:t>
            </w:r>
          </w:p>
        </w:tc>
        <w:tc>
          <w:tcPr>
            <w:tcW w:w="547" w:type="dxa"/>
            <w:tcBorders>
              <w:top w:val="nil"/>
              <w:left w:val="nil"/>
              <w:right w:val="nil"/>
            </w:tcBorders>
          </w:tcPr>
          <w:p w14:paraId="57106517" w14:textId="77777777" w:rsidR="00185669" w:rsidRPr="00185669" w:rsidRDefault="00185669" w:rsidP="00185669">
            <w:pPr>
              <w:spacing w:after="0" w:line="240" w:lineRule="auto"/>
              <w:jc w:val="center"/>
              <w:rPr>
                <w:rFonts w:ascii="Times New Roman" w:eastAsia="MS Mincho" w:hAnsi="Times New Roman"/>
                <w:b/>
                <w:sz w:val="20"/>
                <w:szCs w:val="20"/>
              </w:rPr>
            </w:pPr>
            <w:r w:rsidRPr="00185669">
              <w:rPr>
                <w:rFonts w:ascii="MS Mincho" w:eastAsia="MS Mincho" w:hAnsi="MS Mincho" w:cs="MS Mincho" w:hint="eastAsia"/>
                <w:b/>
                <w:sz w:val="20"/>
                <w:szCs w:val="20"/>
              </w:rPr>
              <w:t>☐</w:t>
            </w:r>
          </w:p>
        </w:tc>
        <w:tc>
          <w:tcPr>
            <w:tcW w:w="1297" w:type="dxa"/>
            <w:tcBorders>
              <w:top w:val="nil"/>
              <w:left w:val="nil"/>
            </w:tcBorders>
          </w:tcPr>
          <w:p w14:paraId="2B02F9F9" w14:textId="77777777" w:rsidR="00185669" w:rsidRPr="00185669" w:rsidRDefault="00185669" w:rsidP="00185669">
            <w:pPr>
              <w:spacing w:after="0" w:line="240" w:lineRule="auto"/>
              <w:ind w:left="54"/>
              <w:rPr>
                <w:rFonts w:ascii="Times New Roman" w:hAnsi="Times New Roman"/>
                <w:b/>
                <w:sz w:val="20"/>
                <w:szCs w:val="20"/>
              </w:rPr>
            </w:pPr>
            <w:r w:rsidRPr="00185669">
              <w:rPr>
                <w:rFonts w:ascii="Times New Roman" w:hAnsi="Times New Roman"/>
                <w:b/>
                <w:sz w:val="20"/>
                <w:szCs w:val="20"/>
              </w:rPr>
              <w:t>Negatívne“</w:t>
            </w:r>
          </w:p>
        </w:tc>
      </w:tr>
    </w:tbl>
    <w:p w14:paraId="2C9579D6" w14:textId="77777777" w:rsidR="00185669" w:rsidRPr="00185669" w:rsidRDefault="00185669" w:rsidP="00185669">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85669" w:rsidRPr="00185669" w14:paraId="43DFF5A7" w14:textId="77777777" w:rsidTr="00E81090">
        <w:tc>
          <w:tcPr>
            <w:tcW w:w="9176" w:type="dxa"/>
            <w:tcBorders>
              <w:bottom w:val="nil"/>
            </w:tcBorders>
            <w:shd w:val="clear" w:color="auto" w:fill="E2E2E2"/>
          </w:tcPr>
          <w:p w14:paraId="7D6FC4DB"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Poznámky</w:t>
            </w:r>
          </w:p>
        </w:tc>
      </w:tr>
      <w:tr w:rsidR="00185669" w:rsidRPr="00185669" w14:paraId="03541B7E" w14:textId="77777777" w:rsidTr="00185669">
        <w:trPr>
          <w:trHeight w:val="713"/>
        </w:trPr>
        <w:tc>
          <w:tcPr>
            <w:tcW w:w="9176" w:type="dxa"/>
            <w:tcBorders>
              <w:top w:val="nil"/>
              <w:bottom w:val="single" w:sz="4" w:space="0" w:color="FFFFFF"/>
            </w:tcBorders>
          </w:tcPr>
          <w:p w14:paraId="01DFD752" w14:textId="77777777" w:rsidR="00185669" w:rsidRPr="00185669" w:rsidRDefault="00185669" w:rsidP="00185669">
            <w:pPr>
              <w:jc w:val="both"/>
              <w:rPr>
                <w:rFonts w:ascii="Times New Roman" w:hAnsi="Times New Roman"/>
                <w:b/>
                <w:sz w:val="20"/>
                <w:szCs w:val="20"/>
                <w:lang w:eastAsia="sk-SK"/>
              </w:rPr>
            </w:pPr>
            <w:r w:rsidRPr="00185669">
              <w:rPr>
                <w:rFonts w:ascii="Times New Roman" w:hAnsi="Times New Roman"/>
                <w:sz w:val="20"/>
                <w:szCs w:val="20"/>
                <w:lang w:eastAsia="sk-SK"/>
              </w:rPr>
              <w:t xml:space="preserve">V rámci predprípravnej fázy bola v termíne od 20. 02. 2018 do 05. 03. 2018 na portáli Slov – Lex zverejnená predbežná informácia o príprave novely zákona, v rámci ktorej boli Ministerstvu financií SR zaslané námety od mesta Žilina. Novela zákona bola predmetom medzirezortného pripomienkového konania, dňa 11. 09. 2018 bola prerokovaná Legislatívnou radou vlády SR, ktorej pripomienky boli zapracované do textu novely zákona a na rokovanie vlády SR sa predkladá bez rozporov. </w:t>
            </w:r>
          </w:p>
        </w:tc>
      </w:tr>
      <w:tr w:rsidR="00185669" w:rsidRPr="00185669" w14:paraId="7D55AE8F" w14:textId="77777777" w:rsidTr="00185669">
        <w:tc>
          <w:tcPr>
            <w:tcW w:w="9176" w:type="dxa"/>
            <w:tcBorders>
              <w:bottom w:val="single" w:sz="4" w:space="0" w:color="FFFFFF"/>
            </w:tcBorders>
            <w:shd w:val="clear" w:color="auto" w:fill="E2E2E2"/>
          </w:tcPr>
          <w:p w14:paraId="4CAF54D1"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Kontakt na spracovateľa</w:t>
            </w:r>
          </w:p>
        </w:tc>
      </w:tr>
      <w:tr w:rsidR="00185669" w:rsidRPr="00185669" w14:paraId="0CCFB2EC" w14:textId="77777777" w:rsidTr="00185669">
        <w:trPr>
          <w:trHeight w:val="586"/>
        </w:trPr>
        <w:tc>
          <w:tcPr>
            <w:tcW w:w="9176" w:type="dxa"/>
            <w:tcBorders>
              <w:top w:val="single" w:sz="4" w:space="0" w:color="FFFFFF"/>
            </w:tcBorders>
            <w:shd w:val="clear" w:color="auto" w:fill="FFFFFF"/>
          </w:tcPr>
          <w:p w14:paraId="5B1697F0" w14:textId="77777777" w:rsidR="00185669" w:rsidRPr="00185669" w:rsidRDefault="00185669" w:rsidP="00185669">
            <w:pPr>
              <w:rPr>
                <w:rFonts w:ascii="Times New Roman" w:hAnsi="Times New Roman"/>
                <w:sz w:val="20"/>
                <w:szCs w:val="20"/>
                <w:lang w:eastAsia="sk-SK"/>
              </w:rPr>
            </w:pPr>
            <w:r w:rsidRPr="00185669">
              <w:rPr>
                <w:rFonts w:ascii="Times New Roman" w:hAnsi="Times New Roman"/>
                <w:sz w:val="20"/>
                <w:szCs w:val="20"/>
                <w:lang w:eastAsia="sk-SK"/>
              </w:rPr>
              <w:t>Odbor plánovania a metodiky, Ministerstvo financií SR, 02/5958 3112</w:t>
            </w:r>
          </w:p>
        </w:tc>
      </w:tr>
      <w:tr w:rsidR="00185669" w:rsidRPr="00185669" w14:paraId="546AD74F" w14:textId="77777777" w:rsidTr="00185669">
        <w:tc>
          <w:tcPr>
            <w:tcW w:w="9176" w:type="dxa"/>
            <w:tcBorders>
              <w:bottom w:val="single" w:sz="4" w:space="0" w:color="FFFFFF"/>
            </w:tcBorders>
            <w:shd w:val="clear" w:color="auto" w:fill="E2E2E2"/>
          </w:tcPr>
          <w:p w14:paraId="170FCE52"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Zdroje</w:t>
            </w:r>
          </w:p>
        </w:tc>
      </w:tr>
      <w:tr w:rsidR="00185669" w:rsidRPr="00185669" w14:paraId="747566E0" w14:textId="77777777" w:rsidTr="00185669">
        <w:trPr>
          <w:trHeight w:val="401"/>
        </w:trPr>
        <w:tc>
          <w:tcPr>
            <w:tcW w:w="9176" w:type="dxa"/>
            <w:tcBorders>
              <w:top w:val="single" w:sz="4" w:space="0" w:color="FFFFFF"/>
            </w:tcBorders>
            <w:shd w:val="clear" w:color="auto" w:fill="FFFFFF"/>
          </w:tcPr>
          <w:p w14:paraId="21D2E265" w14:textId="77777777" w:rsidR="00185669" w:rsidRPr="00185669" w:rsidRDefault="00185669" w:rsidP="00185669">
            <w:pPr>
              <w:jc w:val="both"/>
              <w:rPr>
                <w:rFonts w:ascii="Times New Roman" w:hAnsi="Times New Roman"/>
                <w:sz w:val="20"/>
                <w:szCs w:val="20"/>
                <w:lang w:eastAsia="sk-SK"/>
              </w:rPr>
            </w:pPr>
            <w:r w:rsidRPr="00185669">
              <w:rPr>
                <w:rFonts w:ascii="Times New Roman" w:hAnsi="Times New Roman"/>
                <w:sz w:val="20"/>
                <w:szCs w:val="20"/>
                <w:lang w:eastAsia="sk-SK"/>
              </w:rPr>
              <w:t>Podnety od relevantných subjektov vykonávajúcich finančnú kontrolu a audit podľa zákona č. 357/2015 Z. z. o finančnej kontrole a audite a o zmene a doplnení niektorých zákonov v znení zákona č. 177/2018 Z. z., informácie a skúsenosti z vykonaných vládnych auditov.</w:t>
            </w:r>
          </w:p>
          <w:p w14:paraId="3243F75D" w14:textId="77777777" w:rsidR="00185669" w:rsidRPr="00185669" w:rsidRDefault="00185669" w:rsidP="00185669">
            <w:pPr>
              <w:rPr>
                <w:rFonts w:ascii="Times New Roman" w:hAnsi="Times New Roman"/>
                <w:b/>
                <w:sz w:val="20"/>
                <w:szCs w:val="20"/>
                <w:lang w:eastAsia="sk-SK"/>
              </w:rPr>
            </w:pPr>
          </w:p>
        </w:tc>
      </w:tr>
      <w:tr w:rsidR="00185669" w:rsidRPr="00185669" w14:paraId="193197FC" w14:textId="77777777" w:rsidTr="00185669">
        <w:tc>
          <w:tcPr>
            <w:tcW w:w="9176" w:type="dxa"/>
            <w:tcBorders>
              <w:bottom w:val="single" w:sz="4" w:space="0" w:color="FFFFFF"/>
            </w:tcBorders>
            <w:shd w:val="clear" w:color="auto" w:fill="E2E2E2"/>
          </w:tcPr>
          <w:p w14:paraId="56F89323" w14:textId="77777777" w:rsidR="00185669" w:rsidRPr="00185669" w:rsidRDefault="00185669" w:rsidP="00185669">
            <w:pPr>
              <w:numPr>
                <w:ilvl w:val="0"/>
                <w:numId w:val="10"/>
              </w:numPr>
              <w:ind w:left="426"/>
              <w:contextualSpacing/>
              <w:rPr>
                <w:rFonts w:ascii="Times New Roman" w:hAnsi="Times New Roman"/>
                <w:b/>
              </w:rPr>
            </w:pPr>
            <w:r w:rsidRPr="00185669">
              <w:rPr>
                <w:rFonts w:ascii="Times New Roman" w:hAnsi="Times New Roman"/>
                <w:b/>
              </w:rPr>
              <w:t>Stanovisko Komisie pre posudzovanie vybraných vplyvov z PPK</w:t>
            </w:r>
          </w:p>
        </w:tc>
      </w:tr>
      <w:tr w:rsidR="00185669" w:rsidRPr="00185669" w14:paraId="02816F57" w14:textId="77777777" w:rsidTr="00185669">
        <w:tc>
          <w:tcPr>
            <w:tcW w:w="9176" w:type="dxa"/>
            <w:tcBorders>
              <w:top w:val="single" w:sz="4" w:space="0" w:color="FFFFFF"/>
            </w:tcBorders>
            <w:shd w:val="clear" w:color="auto" w:fill="FFFFFF"/>
          </w:tcPr>
          <w:p w14:paraId="1EA0521A" w14:textId="77777777" w:rsidR="00185669" w:rsidRPr="00185669" w:rsidRDefault="00185669" w:rsidP="00185669">
            <w:pPr>
              <w:rPr>
                <w:rFonts w:ascii="Times New Roman" w:hAnsi="Times New Roman"/>
                <w:b/>
                <w:sz w:val="20"/>
                <w:szCs w:val="20"/>
                <w:lang w:eastAsia="sk-SK"/>
              </w:rPr>
            </w:pPr>
            <w:r w:rsidRPr="00185669">
              <w:rPr>
                <w:rFonts w:ascii="Times New Roman" w:hAnsi="Times New Roman"/>
                <w:sz w:val="20"/>
                <w:szCs w:val="20"/>
                <w:lang w:eastAsia="sk-SK"/>
              </w:rPr>
              <w:t>Bezpredmetné.</w:t>
            </w:r>
          </w:p>
          <w:p w14:paraId="077A61BA" w14:textId="77777777" w:rsidR="00185669" w:rsidRPr="00185669" w:rsidRDefault="00185669" w:rsidP="00185669">
            <w:pPr>
              <w:rPr>
                <w:rFonts w:ascii="Times New Roman" w:hAnsi="Times New Roman"/>
                <w:b/>
                <w:sz w:val="20"/>
                <w:szCs w:val="20"/>
                <w:lang w:eastAsia="sk-SK"/>
              </w:rPr>
            </w:pPr>
          </w:p>
          <w:p w14:paraId="7D03CB79" w14:textId="77777777" w:rsidR="00185669" w:rsidRPr="00185669" w:rsidRDefault="00185669" w:rsidP="00185669">
            <w:pPr>
              <w:rPr>
                <w:rFonts w:ascii="Times New Roman" w:hAnsi="Times New Roman"/>
                <w:b/>
                <w:sz w:val="20"/>
                <w:szCs w:val="20"/>
                <w:lang w:eastAsia="sk-SK"/>
              </w:rPr>
            </w:pPr>
          </w:p>
          <w:p w14:paraId="15A1D5EC" w14:textId="77777777" w:rsidR="00185669" w:rsidRPr="00185669" w:rsidRDefault="00185669" w:rsidP="00185669">
            <w:pPr>
              <w:rPr>
                <w:rFonts w:ascii="Times New Roman" w:hAnsi="Times New Roman"/>
                <w:b/>
                <w:sz w:val="20"/>
                <w:szCs w:val="20"/>
                <w:lang w:eastAsia="sk-SK"/>
              </w:rPr>
            </w:pPr>
          </w:p>
          <w:p w14:paraId="7C988709" w14:textId="77777777" w:rsidR="00185669" w:rsidRPr="00185669" w:rsidRDefault="00185669" w:rsidP="00185669">
            <w:pPr>
              <w:rPr>
                <w:rFonts w:ascii="Times New Roman" w:hAnsi="Times New Roman"/>
                <w:b/>
                <w:sz w:val="20"/>
                <w:szCs w:val="20"/>
                <w:lang w:eastAsia="sk-SK"/>
              </w:rPr>
            </w:pPr>
          </w:p>
        </w:tc>
      </w:tr>
    </w:tbl>
    <w:p w14:paraId="3A9914E1" w14:textId="77777777" w:rsidR="00185669" w:rsidRPr="00185669" w:rsidRDefault="00185669" w:rsidP="00185669">
      <w:pPr>
        <w:spacing w:after="0" w:line="240" w:lineRule="auto"/>
        <w:rPr>
          <w:rFonts w:ascii="Times New Roman" w:hAnsi="Times New Roman"/>
          <w:b/>
          <w:sz w:val="20"/>
          <w:szCs w:val="20"/>
          <w:lang w:eastAsia="sk-SK"/>
        </w:rPr>
      </w:pPr>
    </w:p>
    <w:p w14:paraId="1DC2BF07" w14:textId="77777777" w:rsidR="00185669" w:rsidRPr="00185669" w:rsidRDefault="00185669" w:rsidP="00185669">
      <w:pPr>
        <w:spacing w:after="0" w:line="240" w:lineRule="auto"/>
        <w:rPr>
          <w:rFonts w:ascii="Times New Roman" w:hAnsi="Times New Roman"/>
          <w:b/>
          <w:sz w:val="20"/>
          <w:szCs w:val="20"/>
          <w:lang w:eastAsia="sk-SK"/>
        </w:rPr>
      </w:pPr>
    </w:p>
    <w:p w14:paraId="53273E5E" w14:textId="77777777" w:rsidR="00185669" w:rsidRPr="00185669" w:rsidRDefault="00185669" w:rsidP="00185669">
      <w:pPr>
        <w:spacing w:after="0" w:line="240" w:lineRule="auto"/>
        <w:rPr>
          <w:rFonts w:ascii="Times New Roman" w:hAnsi="Times New Roman"/>
          <w:sz w:val="20"/>
          <w:szCs w:val="20"/>
          <w:lang w:eastAsia="sk-SK"/>
        </w:rPr>
      </w:pPr>
    </w:p>
    <w:p w14:paraId="486A6139" w14:textId="77777777" w:rsidR="00185669" w:rsidRDefault="00185669" w:rsidP="0091527C">
      <w:pPr>
        <w:rPr>
          <w:rFonts w:ascii="Times New Roman" w:hAnsi="Times New Roman"/>
          <w:b/>
          <w:sz w:val="24"/>
          <w:szCs w:val="24"/>
        </w:rPr>
      </w:pPr>
    </w:p>
    <w:p w14:paraId="23907949" w14:textId="77777777" w:rsidR="00185669" w:rsidRDefault="00185669" w:rsidP="0091527C">
      <w:pPr>
        <w:rPr>
          <w:rFonts w:ascii="Times New Roman" w:hAnsi="Times New Roman"/>
          <w:b/>
          <w:sz w:val="24"/>
          <w:szCs w:val="24"/>
        </w:rPr>
      </w:pPr>
    </w:p>
    <w:p w14:paraId="7889B6E3" w14:textId="77777777" w:rsidR="00185669" w:rsidRDefault="00185669" w:rsidP="0091527C">
      <w:pPr>
        <w:rPr>
          <w:rFonts w:ascii="Times New Roman" w:hAnsi="Times New Roman"/>
          <w:b/>
          <w:sz w:val="24"/>
          <w:szCs w:val="24"/>
        </w:rPr>
      </w:pPr>
    </w:p>
    <w:p w14:paraId="563A2CB5" w14:textId="77777777" w:rsidR="00185669" w:rsidRDefault="00185669" w:rsidP="0091527C">
      <w:pPr>
        <w:rPr>
          <w:rFonts w:ascii="Times New Roman" w:hAnsi="Times New Roman"/>
          <w:b/>
          <w:sz w:val="24"/>
          <w:szCs w:val="24"/>
        </w:rPr>
      </w:pPr>
    </w:p>
    <w:p w14:paraId="2E235A7F" w14:textId="77777777" w:rsidR="00185669" w:rsidRPr="00185669" w:rsidRDefault="00185669" w:rsidP="00185669">
      <w:pPr>
        <w:autoSpaceDE w:val="0"/>
        <w:autoSpaceDN w:val="0"/>
        <w:adjustRightInd w:val="0"/>
        <w:spacing w:after="0" w:line="240" w:lineRule="auto"/>
        <w:ind w:left="360"/>
        <w:jc w:val="center"/>
        <w:rPr>
          <w:rFonts w:ascii="Times New Roman" w:hAnsi="Times New Roman"/>
          <w:color w:val="000000"/>
          <w:sz w:val="24"/>
          <w:szCs w:val="24"/>
        </w:rPr>
      </w:pPr>
      <w:r w:rsidRPr="00185669">
        <w:rPr>
          <w:rFonts w:ascii="Times New Roman" w:hAnsi="Times New Roman"/>
          <w:b/>
          <w:bCs/>
          <w:color w:val="000000"/>
          <w:sz w:val="24"/>
          <w:szCs w:val="24"/>
        </w:rPr>
        <w:lastRenderedPageBreak/>
        <w:t>DOLOŽKA ZLUČITEĽNOSTI</w:t>
      </w:r>
    </w:p>
    <w:p w14:paraId="1D5380B9" w14:textId="77777777" w:rsidR="00185669" w:rsidRPr="00185669" w:rsidRDefault="00185669" w:rsidP="00185669">
      <w:pPr>
        <w:pBdr>
          <w:bottom w:val="single" w:sz="12" w:space="1" w:color="auto"/>
        </w:pBdr>
        <w:autoSpaceDE w:val="0"/>
        <w:autoSpaceDN w:val="0"/>
        <w:adjustRightInd w:val="0"/>
        <w:spacing w:after="0" w:line="240" w:lineRule="auto"/>
        <w:ind w:left="426"/>
        <w:jc w:val="center"/>
        <w:rPr>
          <w:rFonts w:ascii="Times New Roman" w:hAnsi="Times New Roman"/>
          <w:b/>
          <w:bCs/>
          <w:color w:val="000000"/>
          <w:sz w:val="24"/>
          <w:szCs w:val="24"/>
        </w:rPr>
      </w:pPr>
      <w:r w:rsidRPr="00185669">
        <w:rPr>
          <w:rFonts w:ascii="Times New Roman" w:hAnsi="Times New Roman"/>
          <w:b/>
          <w:bCs/>
          <w:color w:val="000000"/>
          <w:sz w:val="24"/>
          <w:szCs w:val="24"/>
        </w:rPr>
        <w:t xml:space="preserve"> návrhu zákona</w:t>
      </w:r>
      <w:r w:rsidRPr="00185669">
        <w:rPr>
          <w:rFonts w:ascii="Times New Roman" w:hAnsi="Times New Roman"/>
          <w:b/>
          <w:color w:val="000000"/>
          <w:sz w:val="24"/>
          <w:szCs w:val="24"/>
          <w:lang w:eastAsia="sk-SK"/>
        </w:rPr>
        <w:t>, ktorým sa mení a dopĺňa zákon č. 357/2015 Z. z. o finančnej kontrole a audite a o zmene a doplnení niektorých zákonov v znení zákona č. 177/2018 Z. z. a ktorým sa menia a dopĺňajú niektoré zákony</w:t>
      </w:r>
      <w:r w:rsidRPr="00185669">
        <w:rPr>
          <w:rFonts w:ascii="Times New Roman" w:hAnsi="Times New Roman"/>
          <w:b/>
          <w:bCs/>
          <w:color w:val="000000"/>
          <w:sz w:val="24"/>
          <w:szCs w:val="24"/>
        </w:rPr>
        <w:t xml:space="preserve"> s právom </w:t>
      </w:r>
      <w:r w:rsidRPr="00185669">
        <w:rPr>
          <w:rFonts w:ascii="Times New Roman" w:hAnsi="Times New Roman"/>
          <w:b/>
          <w:bCs/>
          <w:color w:val="000000"/>
          <w:sz w:val="24"/>
          <w:szCs w:val="24"/>
        </w:rPr>
        <w:br/>
        <w:t>Európskej únie</w:t>
      </w:r>
    </w:p>
    <w:p w14:paraId="277DF0BB" w14:textId="77777777" w:rsidR="00185669" w:rsidRPr="00185669" w:rsidRDefault="00185669" w:rsidP="00185669">
      <w:pPr>
        <w:autoSpaceDE w:val="0"/>
        <w:autoSpaceDN w:val="0"/>
        <w:adjustRightInd w:val="0"/>
        <w:spacing w:after="0" w:line="240" w:lineRule="auto"/>
        <w:ind w:left="426"/>
        <w:jc w:val="center"/>
        <w:rPr>
          <w:rFonts w:ascii="Times New Roman" w:hAnsi="Times New Roman"/>
          <w:b/>
          <w:bCs/>
          <w:color w:val="000000"/>
          <w:sz w:val="24"/>
          <w:szCs w:val="24"/>
        </w:rPr>
      </w:pPr>
    </w:p>
    <w:p w14:paraId="25890044" w14:textId="77777777" w:rsidR="00185669" w:rsidRPr="00185669" w:rsidRDefault="00185669" w:rsidP="00185669">
      <w:pPr>
        <w:autoSpaceDE w:val="0"/>
        <w:autoSpaceDN w:val="0"/>
        <w:adjustRightInd w:val="0"/>
        <w:spacing w:after="0" w:line="240" w:lineRule="auto"/>
        <w:jc w:val="center"/>
        <w:rPr>
          <w:rFonts w:ascii="Times New Roman" w:hAnsi="Times New Roman"/>
          <w:color w:val="000000"/>
          <w:sz w:val="24"/>
          <w:szCs w:val="24"/>
        </w:rPr>
      </w:pPr>
    </w:p>
    <w:p w14:paraId="13DBEB60" w14:textId="77777777" w:rsidR="00185669" w:rsidRPr="00185669" w:rsidRDefault="00185669" w:rsidP="00185669">
      <w:pPr>
        <w:autoSpaceDE w:val="0"/>
        <w:autoSpaceDN w:val="0"/>
        <w:adjustRightInd w:val="0"/>
        <w:spacing w:after="0" w:line="240" w:lineRule="auto"/>
        <w:jc w:val="center"/>
        <w:rPr>
          <w:rFonts w:ascii="Times New Roman" w:hAnsi="Times New Roman"/>
          <w:color w:val="000000"/>
          <w:sz w:val="24"/>
          <w:szCs w:val="24"/>
        </w:rPr>
      </w:pPr>
    </w:p>
    <w:p w14:paraId="76E17DF7" w14:textId="77777777" w:rsidR="00185669" w:rsidRPr="00185669" w:rsidRDefault="00185669" w:rsidP="00185669">
      <w:pPr>
        <w:numPr>
          <w:ilvl w:val="0"/>
          <w:numId w:val="7"/>
        </w:numPr>
        <w:autoSpaceDE w:val="0"/>
        <w:autoSpaceDN w:val="0"/>
        <w:adjustRightInd w:val="0"/>
        <w:spacing w:before="120" w:after="0" w:line="240" w:lineRule="auto"/>
        <w:ind w:left="709" w:hanging="283"/>
        <w:jc w:val="both"/>
        <w:rPr>
          <w:rFonts w:ascii="Times New Roman" w:hAnsi="Times New Roman"/>
          <w:color w:val="000000"/>
          <w:sz w:val="24"/>
          <w:szCs w:val="24"/>
        </w:rPr>
      </w:pPr>
      <w:r w:rsidRPr="00185669">
        <w:rPr>
          <w:rFonts w:ascii="Times New Roman" w:hAnsi="Times New Roman"/>
          <w:b/>
          <w:color w:val="000000"/>
          <w:sz w:val="24"/>
          <w:szCs w:val="24"/>
        </w:rPr>
        <w:t>Navrhovateľ zákona</w:t>
      </w:r>
      <w:r w:rsidRPr="00185669">
        <w:rPr>
          <w:rFonts w:ascii="Times New Roman" w:hAnsi="Times New Roman"/>
          <w:color w:val="000000"/>
          <w:sz w:val="24"/>
          <w:szCs w:val="24"/>
        </w:rPr>
        <w:t>:</w:t>
      </w:r>
    </w:p>
    <w:p w14:paraId="43AA607F" w14:textId="77777777" w:rsidR="00185669" w:rsidRPr="00185669" w:rsidRDefault="00185669" w:rsidP="00185669">
      <w:pPr>
        <w:autoSpaceDE w:val="0"/>
        <w:autoSpaceDN w:val="0"/>
        <w:adjustRightInd w:val="0"/>
        <w:spacing w:after="0" w:line="240" w:lineRule="auto"/>
        <w:ind w:left="709"/>
        <w:rPr>
          <w:rFonts w:ascii="Times New Roman" w:hAnsi="Times New Roman"/>
          <w:color w:val="000000"/>
          <w:sz w:val="24"/>
          <w:szCs w:val="24"/>
        </w:rPr>
      </w:pPr>
      <w:r w:rsidRPr="00185669">
        <w:rPr>
          <w:rFonts w:ascii="Times New Roman" w:hAnsi="Times New Roman"/>
          <w:color w:val="000000"/>
          <w:sz w:val="24"/>
          <w:szCs w:val="24"/>
        </w:rPr>
        <w:t>Vláda Slovenskej republiky.</w:t>
      </w:r>
    </w:p>
    <w:p w14:paraId="7A44B409"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p>
    <w:p w14:paraId="38BBBD8C"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r w:rsidRPr="00185669">
        <w:rPr>
          <w:rFonts w:ascii="Times New Roman" w:hAnsi="Times New Roman"/>
          <w:color w:val="000000"/>
          <w:sz w:val="24"/>
          <w:szCs w:val="24"/>
        </w:rPr>
        <w:t xml:space="preserve">2. </w:t>
      </w:r>
      <w:r w:rsidRPr="00185669">
        <w:rPr>
          <w:rFonts w:ascii="Times New Roman" w:hAnsi="Times New Roman"/>
          <w:b/>
          <w:color w:val="000000"/>
          <w:sz w:val="24"/>
          <w:szCs w:val="24"/>
        </w:rPr>
        <w:t>Názov návrhu zákona</w:t>
      </w:r>
      <w:r w:rsidRPr="00185669">
        <w:rPr>
          <w:rFonts w:ascii="Times New Roman" w:hAnsi="Times New Roman"/>
          <w:color w:val="000000"/>
          <w:sz w:val="24"/>
          <w:szCs w:val="24"/>
        </w:rPr>
        <w:t xml:space="preserve">: </w:t>
      </w:r>
    </w:p>
    <w:p w14:paraId="15637C81" w14:textId="77777777" w:rsidR="00185669" w:rsidRPr="00185669" w:rsidRDefault="00185669" w:rsidP="00185669">
      <w:pPr>
        <w:autoSpaceDE w:val="0"/>
        <w:autoSpaceDN w:val="0"/>
        <w:adjustRightInd w:val="0"/>
        <w:spacing w:after="0" w:line="240" w:lineRule="auto"/>
        <w:ind w:left="708"/>
        <w:jc w:val="both"/>
        <w:rPr>
          <w:rFonts w:ascii="Times New Roman" w:hAnsi="Times New Roman"/>
          <w:color w:val="000000"/>
          <w:sz w:val="24"/>
          <w:szCs w:val="24"/>
        </w:rPr>
      </w:pPr>
      <w:r w:rsidRPr="00185669">
        <w:rPr>
          <w:rFonts w:ascii="Times New Roman" w:hAnsi="Times New Roman"/>
          <w:color w:val="000000"/>
          <w:sz w:val="24"/>
          <w:szCs w:val="24"/>
          <w:lang w:eastAsia="sk-SK"/>
        </w:rPr>
        <w:t>Návrh zákona, ktorým sa mení a dopĺňa zákon č. 357/2015 Z. z. o finančnej kontrole a audite a o zmene a doplnení niektorých zákonov v znení zákona č. 177/2018 Z. z. a ktorým sa menia a dopĺňajú niektoré zákony.</w:t>
      </w:r>
    </w:p>
    <w:p w14:paraId="24AC0FC5"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p>
    <w:p w14:paraId="77E5C72A"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r w:rsidRPr="00185669">
        <w:rPr>
          <w:rFonts w:ascii="Times New Roman" w:hAnsi="Times New Roman"/>
          <w:color w:val="000000"/>
          <w:sz w:val="24"/>
          <w:szCs w:val="24"/>
        </w:rPr>
        <w:t xml:space="preserve">3. </w:t>
      </w:r>
      <w:r w:rsidRPr="00185669">
        <w:rPr>
          <w:rFonts w:ascii="Times New Roman" w:hAnsi="Times New Roman"/>
          <w:b/>
          <w:bCs/>
          <w:color w:val="000000"/>
          <w:sz w:val="24"/>
          <w:szCs w:val="24"/>
        </w:rPr>
        <w:t>Predmet návrhu zákona je upravený v práve Európskej únie</w:t>
      </w:r>
      <w:r w:rsidRPr="00185669">
        <w:rPr>
          <w:rFonts w:ascii="Times New Roman" w:hAnsi="Times New Roman"/>
          <w:color w:val="000000"/>
          <w:sz w:val="24"/>
          <w:szCs w:val="24"/>
        </w:rPr>
        <w:t xml:space="preserve">: </w:t>
      </w:r>
    </w:p>
    <w:p w14:paraId="451684DA" w14:textId="77777777" w:rsidR="00185669" w:rsidRPr="00185669" w:rsidRDefault="00185669" w:rsidP="00185669">
      <w:pPr>
        <w:autoSpaceDE w:val="0"/>
        <w:autoSpaceDN w:val="0"/>
        <w:adjustRightInd w:val="0"/>
        <w:spacing w:after="0" w:line="240" w:lineRule="auto"/>
        <w:ind w:left="993"/>
        <w:jc w:val="both"/>
        <w:rPr>
          <w:rFonts w:ascii="Times New Roman" w:hAnsi="Times New Roman"/>
          <w:color w:val="000000"/>
          <w:sz w:val="24"/>
          <w:szCs w:val="24"/>
        </w:rPr>
      </w:pPr>
      <w:r w:rsidRPr="00185669">
        <w:rPr>
          <w:rFonts w:ascii="Times New Roman" w:hAnsi="Times New Roman"/>
          <w:color w:val="000000"/>
          <w:sz w:val="24"/>
          <w:szCs w:val="24"/>
        </w:rPr>
        <w:t xml:space="preserve">a) v primárnom práve </w:t>
      </w:r>
    </w:p>
    <w:p w14:paraId="0BF37CEF"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čl. 38 až 44, 49, 53, 56, 57, 162 až 164, 174 až 178, 287, 317, 320 až 324, 325 a 349 Zmluvy o fungovaní Európskej únie.</w:t>
      </w:r>
    </w:p>
    <w:p w14:paraId="170C9938"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595EBC41"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 xml:space="preserve">b) v sekundárnom práve </w:t>
      </w:r>
    </w:p>
    <w:p w14:paraId="2268EB52" w14:textId="77777777" w:rsidR="00185669" w:rsidRPr="00185669" w:rsidRDefault="00185669" w:rsidP="00185669">
      <w:pPr>
        <w:autoSpaceDE w:val="0"/>
        <w:autoSpaceDN w:val="0"/>
        <w:adjustRightInd w:val="0"/>
        <w:spacing w:after="0" w:line="240" w:lineRule="auto"/>
        <w:jc w:val="both"/>
        <w:rPr>
          <w:rFonts w:ascii="Times New Roman" w:hAnsi="Times New Roman"/>
          <w:color w:val="000000"/>
          <w:sz w:val="24"/>
          <w:szCs w:val="24"/>
        </w:rPr>
      </w:pPr>
    </w:p>
    <w:p w14:paraId="2E187D3C" w14:textId="77777777" w:rsidR="00185669" w:rsidRPr="00185669" w:rsidRDefault="00185669" w:rsidP="00185669">
      <w:pPr>
        <w:numPr>
          <w:ilvl w:val="0"/>
          <w:numId w:val="5"/>
        </w:numPr>
        <w:autoSpaceDE w:val="0"/>
        <w:autoSpaceDN w:val="0"/>
        <w:adjustRightInd w:val="0"/>
        <w:spacing w:before="120" w:after="0" w:line="240" w:lineRule="auto"/>
        <w:ind w:left="1276" w:hanging="284"/>
        <w:jc w:val="both"/>
        <w:rPr>
          <w:rFonts w:ascii="Times New Roman" w:hAnsi="Times New Roman"/>
          <w:color w:val="000000"/>
          <w:sz w:val="24"/>
          <w:szCs w:val="24"/>
        </w:rPr>
      </w:pPr>
      <w:r w:rsidRPr="00185669">
        <w:rPr>
          <w:rFonts w:ascii="Times New Roman" w:hAnsi="Times New Roman"/>
          <w:color w:val="000000"/>
          <w:sz w:val="24"/>
          <w:szCs w:val="24"/>
        </w:rPr>
        <w:t xml:space="preserve">nariadenie Komisie (EÚ) č. 651/2014 </w:t>
      </w:r>
      <w:r w:rsidRPr="00185669">
        <w:rPr>
          <w:rFonts w:ascii="Times" w:hAnsi="Times" w:cs="Times"/>
          <w:color w:val="000000"/>
          <w:sz w:val="25"/>
          <w:szCs w:val="25"/>
        </w:rPr>
        <w:t>zo 17. júna 2014</w:t>
      </w:r>
      <w:r w:rsidRPr="00185669">
        <w:rPr>
          <w:rFonts w:ascii="Times New Roman" w:hAnsi="Times New Roman"/>
          <w:color w:val="000000"/>
          <w:sz w:val="24"/>
          <w:szCs w:val="24"/>
        </w:rPr>
        <w:t xml:space="preserve"> o vyhlásení určitých kategórií pomoci za zlučiteľné s vnútorným trhom podľa článkov 107 a 108 zmluvy (Ú. v. EÚ L 187, 26.6.2014) v platnom znení, gestor: PÚ SR, MH SR, MPRV SR, MPSVR SR, MŠVVŠ SR, MŽP SR, MDV SR, MK SR,</w:t>
      </w:r>
    </w:p>
    <w:p w14:paraId="7C893578" w14:textId="77777777" w:rsidR="00185669" w:rsidRPr="00185669" w:rsidRDefault="00185669" w:rsidP="00185669">
      <w:pPr>
        <w:numPr>
          <w:ilvl w:val="0"/>
          <w:numId w:val="5"/>
        </w:numPr>
        <w:autoSpaceDE w:val="0"/>
        <w:autoSpaceDN w:val="0"/>
        <w:adjustRightInd w:val="0"/>
        <w:spacing w:before="120" w:after="0" w:line="240" w:lineRule="auto"/>
        <w:ind w:left="1276" w:hanging="284"/>
        <w:jc w:val="both"/>
        <w:rPr>
          <w:rFonts w:ascii="Times New Roman" w:hAnsi="Times New Roman"/>
          <w:iCs/>
          <w:color w:val="000000"/>
          <w:sz w:val="24"/>
          <w:szCs w:val="24"/>
        </w:rPr>
      </w:pPr>
      <w:r w:rsidRPr="00185669">
        <w:rPr>
          <w:rFonts w:ascii="Times New Roman" w:hAnsi="Times New Roman"/>
          <w:bCs/>
          <w:iCs/>
          <w:color w:val="000000"/>
          <w:sz w:val="24"/>
          <w:szCs w:val="24"/>
        </w:rPr>
        <w:t xml:space="preserve">nariadenie Európskeho parlamentu a Rady (EÚ) č. 508/2014 z  15. mája 2014 o Európskom námornom a rybárskom fonde, ktorým sa zrušujú nariadenia Rady (ES) č. 2328/2003, (ES) č. 861/2006, (ES) č. 1198/2006 a (ES) č. 791/2007 a nariadenie Európskeho parlamentu a Rady (EÚ) č. 1255/2011 (Ú. v. EÚ L 149, 20.5.2014) v platnom znení, </w:t>
      </w:r>
      <w:r w:rsidRPr="00185669">
        <w:rPr>
          <w:rFonts w:ascii="Times New Roman" w:hAnsi="Times New Roman"/>
          <w:color w:val="000000"/>
          <w:sz w:val="24"/>
          <w:szCs w:val="24"/>
        </w:rPr>
        <w:t>gestor: MPRV SR,</w:t>
      </w:r>
    </w:p>
    <w:p w14:paraId="36D53228"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514/2014 zo 16. apríla 2014, ktorým sa stanovujú všeobecné ustanovenia o Fonde pre azyl, migráciu </w:t>
      </w:r>
      <w:r w:rsidRPr="00185669">
        <w:rPr>
          <w:rFonts w:ascii="Times New Roman" w:hAnsi="Times New Roman"/>
          <w:color w:val="000000"/>
          <w:sz w:val="24"/>
          <w:szCs w:val="24"/>
        </w:rPr>
        <w:br/>
        <w:t>a integráciu a o nástroji pre finančnú podporu v oblasti policajnej spolupráce, predchádzania trestnej činnosti, boja proti trestnej činnosti a krízového riadenia (Ú. v. EÚ L 150, 20.5.2014), gestor: MV SR, MS SR, GP SR,</w:t>
      </w:r>
    </w:p>
    <w:p w14:paraId="2BF20239"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515/2014 zo 16. apríla 2014, ktorým sa ako súčasť Fondu pre vnútornú bezpečnosť zriaďuje nástroj </w:t>
      </w:r>
      <w:r w:rsidRPr="00185669">
        <w:rPr>
          <w:rFonts w:ascii="Times New Roman" w:hAnsi="Times New Roman"/>
          <w:color w:val="000000"/>
          <w:sz w:val="24"/>
          <w:szCs w:val="24"/>
        </w:rPr>
        <w:br/>
        <w:t>pre finančnú podporu v oblasti vonkajších hraníc a víz a ktorým sa zrušuje rozhodnutie č. 574/2007/ES (Ú. v. EÚ L 150, 20.5.2014), gestor: MV SR, MZVEZ SR,</w:t>
      </w:r>
    </w:p>
    <w:p w14:paraId="7E4C0870"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516/2014 zo 16. apríla 2014, ktorým sa zriaďuje Fond pre azyl, migráciu a integráciu, a ktorým sa mení rozhodnutie Rady 2008/381/ES a rušia rozhodnutia Európskeho parlamentu </w:t>
      </w:r>
      <w:r w:rsidRPr="00185669">
        <w:rPr>
          <w:rFonts w:ascii="Times New Roman" w:hAnsi="Times New Roman"/>
          <w:color w:val="000000"/>
          <w:sz w:val="24"/>
          <w:szCs w:val="24"/>
        </w:rPr>
        <w:br/>
        <w:t xml:space="preserve">a Rady č. 573/2007/ES a č. 575/2007/ES a rozhodnutie Rady 2007/435/ES </w:t>
      </w:r>
      <w:r w:rsidRPr="00185669">
        <w:rPr>
          <w:rFonts w:ascii="Times New Roman" w:hAnsi="Times New Roman"/>
          <w:color w:val="000000"/>
          <w:sz w:val="24"/>
          <w:szCs w:val="24"/>
        </w:rPr>
        <w:br/>
        <w:t>(Ú. v. EÚ L 150, 20.5.2014), gestor: MV SR,</w:t>
      </w:r>
    </w:p>
    <w:p w14:paraId="45ECB8AF"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537/2014 zo 16. apríla 2014 </w:t>
      </w:r>
      <w:r w:rsidRPr="00185669">
        <w:rPr>
          <w:rFonts w:ascii="Times New Roman" w:hAnsi="Times New Roman"/>
          <w:color w:val="000000"/>
          <w:sz w:val="24"/>
          <w:szCs w:val="24"/>
        </w:rPr>
        <w:br/>
        <w:t xml:space="preserve">o osobitných požiadavkách týkajúcich sa štatutárneho auditu subjektov verejného </w:t>
      </w:r>
      <w:r w:rsidRPr="00185669">
        <w:rPr>
          <w:rFonts w:ascii="Times New Roman" w:hAnsi="Times New Roman"/>
          <w:color w:val="000000"/>
          <w:sz w:val="24"/>
          <w:szCs w:val="24"/>
        </w:rPr>
        <w:lastRenderedPageBreak/>
        <w:t>záujmu a o zrušení rozhodnutia Komisie 2005/909/ES (Ú. v. EÚ L 158, 27.5.2014), gestor: MF SR,</w:t>
      </w:r>
    </w:p>
    <w:p w14:paraId="2575DF20"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35FDA864"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223/2014 z 11. marca 2014 </w:t>
      </w:r>
      <w:r w:rsidRPr="00185669">
        <w:rPr>
          <w:rFonts w:ascii="Times New Roman" w:hAnsi="Times New Roman"/>
          <w:color w:val="000000"/>
          <w:sz w:val="24"/>
          <w:szCs w:val="24"/>
        </w:rPr>
        <w:br/>
        <w:t>o Fonde európskej pomoci pre najodkázanejšie osoby (Ú. v. EÚ L 72, 12.3.2014), gestor: MPSVR SR</w:t>
      </w:r>
    </w:p>
    <w:p w14:paraId="5F31CF08"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nariadenie Európskeho parlamentu a Rady (EÚ) č. 1299/2013 zo 17. decembra 2013 o osobitných ustanoveniach na podporu cieľa Európska územná spolupráca z Európskeho fondu regionálneho rozvoja (Ú. v. EÚ L 347, 20.12.2013), gestor: ÚV SR, MPRV SR, MH SR, MF SR,</w:t>
      </w:r>
    </w:p>
    <w:p w14:paraId="14E0436B"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nariadenie Európskeho parlamentu a Rady (EÚ) č. 1300/2013 zo 17. decembra 2013 o Kohéznom fonde, ktorým sa zrušuje nariadenie Rady (ES) č. 1084/2006 (Ú. v. EÚ L 347, 20.12.2013), gestor: ÚV SR, MDV SR, MŽP SR, MH SR, MF SR,</w:t>
      </w:r>
    </w:p>
    <w:p w14:paraId="7A872DB8"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gestor: </w:t>
      </w:r>
      <w:r w:rsidRPr="00185669">
        <w:rPr>
          <w:rFonts w:ascii="Times New Roman" w:hAnsi="Times New Roman"/>
          <w:bCs/>
          <w:color w:val="000000"/>
          <w:sz w:val="24"/>
          <w:szCs w:val="24"/>
        </w:rPr>
        <w:t>ÚV SR, MDV SR, MŠVVŠ SR, MZ SR, MV SR, MPSVR SR, MH SR, MŽP SR, MF SR,</w:t>
      </w:r>
    </w:p>
    <w:p w14:paraId="2EF1E17C"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w:t>
      </w:r>
      <w:r w:rsidRPr="00185669">
        <w:rPr>
          <w:rFonts w:ascii="Times New Roman" w:hAnsi="Times New Roman"/>
          <w:color w:val="000000"/>
          <w:sz w:val="24"/>
          <w:szCs w:val="24"/>
        </w:rPr>
        <w:br/>
        <w:t xml:space="preserve">o Európskom fonde regionálneho rozvoja, Európskom sociálnom fonde, Kohéznom fonde a Európskom námornom a rybárskom fonde, a ktorým sa zrušuje nariadenie Rady (ES) č. 1083/2006 (Ú. v. EÚ L 347, 20.12.2013) </w:t>
      </w:r>
      <w:r w:rsidRPr="00185669">
        <w:rPr>
          <w:rFonts w:ascii="Times New Roman" w:hAnsi="Times New Roman"/>
          <w:color w:val="000000"/>
          <w:sz w:val="24"/>
          <w:szCs w:val="24"/>
        </w:rPr>
        <w:br/>
        <w:t xml:space="preserve">v platnom znení, gestor: </w:t>
      </w:r>
      <w:r w:rsidRPr="00185669">
        <w:rPr>
          <w:rFonts w:ascii="Times New Roman" w:hAnsi="Times New Roman"/>
          <w:bCs/>
          <w:color w:val="000000"/>
          <w:sz w:val="24"/>
          <w:szCs w:val="24"/>
        </w:rPr>
        <w:t>ÚV SR, MDV SR, MŠVVŠ SR, MZ SR, MV SR, MPSVR SR, MPRV SR, MH SR, MŽP SR, MF SR,</w:t>
      </w:r>
    </w:p>
    <w:p w14:paraId="10640C6B"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1304/2013 z 17. decembra 2013 o Európskom sociálnom fonde a o zrušení nariadenia Rady (ES) </w:t>
      </w:r>
      <w:r w:rsidRPr="00185669">
        <w:rPr>
          <w:rFonts w:ascii="Times New Roman" w:hAnsi="Times New Roman"/>
          <w:color w:val="000000"/>
          <w:sz w:val="24"/>
          <w:szCs w:val="24"/>
        </w:rPr>
        <w:br/>
        <w:t>č. 1081/2006 (Ú. v. EÚ L 347, 20.12.2013) v platnom znení, gestor: ÚV SR, MPSVR SR, MŠVVŠ SR, MV SR, MF SR,</w:t>
      </w:r>
    </w:p>
    <w:p w14:paraId="693D2B74"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nariadenie Európskeho parlamentu a Rady (EÚ) č. 1305/2013 zo 17. decembra 2013 o podpore rozvoja vidieka prostredníctvom Európskeho poľnohospodárskeho fondu pre rozvoj vidieka (EPFRV) a o zrušení nariadenia Rady (ES) č. 1698/2005 (Ú. v. EÚ L 347, 20.12.2013) v platnom znení, gestor: MPRV SR,</w:t>
      </w:r>
    </w:p>
    <w:p w14:paraId="6AB8DF06"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č. 1306/2013 zo 17. decembra 2013 o financovaní, riadení a monitorovaní spoločnej poľnohospodárskej politiky a ktorým sa zrušujú nariadenia Rady (EHS) č. 352/78, (ES) č. 165/94, (ES) č. 2799/98, (ES) č. 814/2000, (ES) č. 1290/2005 a (ES) č. 485/2008 </w:t>
      </w:r>
      <w:r w:rsidRPr="00185669">
        <w:rPr>
          <w:rFonts w:ascii="Times New Roman" w:hAnsi="Times New Roman"/>
          <w:color w:val="000000"/>
          <w:sz w:val="24"/>
          <w:szCs w:val="24"/>
        </w:rPr>
        <w:br/>
        <w:t>(Ú. v. EÚ L 347, 20.12.2013) v platnom znení, gestor: MPRV SR,</w:t>
      </w:r>
    </w:p>
    <w:p w14:paraId="5150D9DF" w14:textId="77777777" w:rsidR="00185669" w:rsidRPr="00185669" w:rsidRDefault="00185669" w:rsidP="00185669">
      <w:pPr>
        <w:numPr>
          <w:ilvl w:val="0"/>
          <w:numId w:val="6"/>
        </w:numPr>
        <w:autoSpaceDE w:val="0"/>
        <w:autoSpaceDN w:val="0"/>
        <w:adjustRightInd w:val="0"/>
        <w:spacing w:before="120" w:after="0" w:line="240" w:lineRule="auto"/>
        <w:ind w:left="1276" w:hanging="284"/>
        <w:jc w:val="both"/>
        <w:rPr>
          <w:rFonts w:ascii="Times New Roman" w:hAnsi="Times New Roman"/>
          <w:color w:val="000000"/>
          <w:sz w:val="24"/>
          <w:szCs w:val="24"/>
        </w:rPr>
      </w:pPr>
      <w:r w:rsidRPr="00185669">
        <w:rPr>
          <w:rFonts w:ascii="Times New Roman" w:hAnsi="Times New Roman"/>
          <w:color w:val="000000"/>
          <w:sz w:val="24"/>
          <w:szCs w:val="24"/>
        </w:rPr>
        <w:t xml:space="preserve">nariadenie Európskeho parlamentu a Rady (EÚ) č. 549/2013 z 21. mája 2013 </w:t>
      </w:r>
      <w:r w:rsidRPr="00185669">
        <w:rPr>
          <w:rFonts w:ascii="Times New Roman" w:hAnsi="Times New Roman"/>
          <w:color w:val="000000"/>
          <w:sz w:val="24"/>
          <w:szCs w:val="24"/>
        </w:rPr>
        <w:br/>
        <w:t xml:space="preserve">o európskom systéme národných a regionálnych účtov v Európskej únii </w:t>
      </w:r>
      <w:r w:rsidRPr="00185669">
        <w:rPr>
          <w:rFonts w:ascii="Times New Roman" w:hAnsi="Times New Roman"/>
          <w:color w:val="000000"/>
          <w:sz w:val="24"/>
          <w:szCs w:val="24"/>
        </w:rPr>
        <w:br/>
        <w:t>(Ú. v. EÚ L 174, 26.6.2013) v platnom znení, gestor: MF SR,</w:t>
      </w:r>
    </w:p>
    <w:p w14:paraId="25C3210C"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(EÚ, Euratom) č. 966/2012 </w:t>
      </w:r>
      <w:r w:rsidRPr="00185669">
        <w:rPr>
          <w:rFonts w:ascii="Times New Roman" w:hAnsi="Times New Roman"/>
          <w:color w:val="000000"/>
          <w:sz w:val="24"/>
          <w:szCs w:val="24"/>
        </w:rPr>
        <w:br/>
        <w:t>z 25. októbra 2012, o rozpočtových pravidlách, ktoré sa vzťahujú na všeobecný rozpočet Únie, a zrušení nariadenia Rady (ES, Euratom) č. 1605/2002 ( Ú. v. EÚ L 298, 26.10.2012) v platnom znení, gestor: MF SR,</w:t>
      </w:r>
    </w:p>
    <w:p w14:paraId="49D78574"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bCs/>
          <w:iCs/>
          <w:sz w:val="24"/>
          <w:szCs w:val="24"/>
        </w:rPr>
        <w:lastRenderedPageBreak/>
        <w:t xml:space="preserve">delegované nariadenie Komisie (EÚ) č. 532/2014 z  13. marca 2014, ktorým sa dopĺňa nariadenie Európskeho parlamentu a Rady (EÚ) č. 223/2014 o Fonde európskej pomoci pre najodkázanejšie osoby (Ú. v. EÚ L 148, 20.5.2014), </w:t>
      </w:r>
      <w:r w:rsidRPr="00185669">
        <w:rPr>
          <w:rFonts w:ascii="Times New Roman" w:hAnsi="Times New Roman"/>
          <w:sz w:val="24"/>
          <w:szCs w:val="24"/>
          <w:lang w:eastAsia="sk-SK"/>
        </w:rPr>
        <w:t>gestor: MPSVR SR,</w:t>
      </w:r>
    </w:p>
    <w:p w14:paraId="6C27808A"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bCs/>
          <w:iCs/>
          <w:sz w:val="24"/>
          <w:szCs w:val="24"/>
        </w:rPr>
        <w:t xml:space="preserve">delegované nariadenie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(Ú. v. EÚ L 138, 13.5.2014) v platnom znení, </w:t>
      </w:r>
      <w:r w:rsidRPr="00185669">
        <w:rPr>
          <w:rFonts w:ascii="Times New Roman" w:hAnsi="Times New Roman"/>
          <w:sz w:val="24"/>
          <w:szCs w:val="24"/>
          <w:lang w:eastAsia="sk-SK"/>
        </w:rPr>
        <w:t xml:space="preserve">gestor: </w:t>
      </w:r>
      <w:r w:rsidRPr="00185669">
        <w:rPr>
          <w:rFonts w:ascii="Times New Roman" w:hAnsi="Times New Roman"/>
          <w:bCs/>
          <w:sz w:val="24"/>
          <w:szCs w:val="24"/>
          <w:lang w:eastAsia="sk-SK"/>
        </w:rPr>
        <w:t>ÚV SR, MDV SR, MŠVVŠ SR, MZ SR, MV SR, MPSVR SR, MPRV SR, MH SR, MŽP SR, MF SR,</w:t>
      </w:r>
    </w:p>
    <w:p w14:paraId="427B2053"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iCs/>
          <w:sz w:val="24"/>
          <w:szCs w:val="24"/>
        </w:rPr>
        <w:t>v</w:t>
      </w:r>
      <w:r w:rsidRPr="00185669">
        <w:rPr>
          <w:rFonts w:ascii="Times New Roman" w:hAnsi="Times New Roman"/>
          <w:bCs/>
          <w:iCs/>
          <w:sz w:val="24"/>
          <w:szCs w:val="24"/>
        </w:rPr>
        <w:t xml:space="preserve">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w:t>
      </w:r>
      <w:r w:rsidRPr="00185669">
        <w:rPr>
          <w:rFonts w:ascii="Times New Roman" w:hAnsi="Times New Roman"/>
          <w:bCs/>
          <w:iCs/>
          <w:sz w:val="24"/>
          <w:szCs w:val="24"/>
        </w:rPr>
        <w:br/>
        <w:t xml:space="preserve">L 69, 08.03.2014) v platnom znení, </w:t>
      </w:r>
      <w:r w:rsidRPr="00185669">
        <w:rPr>
          <w:rFonts w:ascii="Times New Roman" w:hAnsi="Times New Roman"/>
          <w:sz w:val="24"/>
          <w:szCs w:val="24"/>
          <w:lang w:eastAsia="sk-SK"/>
        </w:rPr>
        <w:t xml:space="preserve">gestor: </w:t>
      </w:r>
      <w:r w:rsidRPr="00185669">
        <w:rPr>
          <w:rFonts w:ascii="Times New Roman" w:hAnsi="Times New Roman"/>
          <w:bCs/>
          <w:sz w:val="24"/>
          <w:szCs w:val="24"/>
          <w:lang w:eastAsia="sk-SK"/>
        </w:rPr>
        <w:t>ÚV SR, MDV SR, MŠVVŠ SR, MZ SR, MV SR, MPSVR SR, MPRV SR, MH SR, MŽP SR, MF SR,</w:t>
      </w:r>
    </w:p>
    <w:p w14:paraId="0893E31A"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bCs/>
          <w:iCs/>
          <w:sz w:val="24"/>
          <w:szCs w:val="24"/>
        </w:rPr>
        <w:t xml:space="preserve">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28.8.2014) v platnom znení, </w:t>
      </w:r>
      <w:r w:rsidRPr="00185669">
        <w:rPr>
          <w:rFonts w:ascii="Times New Roman" w:hAnsi="Times New Roman"/>
          <w:sz w:val="24"/>
          <w:szCs w:val="24"/>
          <w:lang w:eastAsia="sk-SK"/>
        </w:rPr>
        <w:t>gestor: MPRV SR,</w:t>
      </w:r>
    </w:p>
    <w:p w14:paraId="2C7C12D8"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bCs/>
          <w:iCs/>
          <w:sz w:val="24"/>
          <w:szCs w:val="24"/>
        </w:rPr>
        <w:t xml:space="preserve">rozhodnutie Rady z  26. júla 2010 o podpise a predbežnom vykonávaní Dohody medzi Európskou úniou, Islandom, Lichtenštajnskom a Nórskom o finančnom mechanizme EHP na obdobie rokov 2009 – 2014, Dohody medzi Európskou úniou a Nórskom o nórskom finančnom mechanizme na obdobie rokov </w:t>
      </w:r>
      <w:r w:rsidRPr="00185669">
        <w:rPr>
          <w:rFonts w:ascii="Times New Roman" w:hAnsi="Times New Roman"/>
          <w:bCs/>
          <w:iCs/>
          <w:sz w:val="24"/>
          <w:szCs w:val="24"/>
        </w:rPr>
        <w:br/>
        <w:t xml:space="preserve">2009 – 2014, dodatkového protokolu k Dohode medzi Európskym hospodárskym spoločenstvom a Islandom, ktorý sa týka osobitných ustanovení uplatniteľných na dovoz určitých rýb a produktov rybného hospodárstva </w:t>
      </w:r>
      <w:r w:rsidRPr="00185669">
        <w:rPr>
          <w:rFonts w:ascii="Times New Roman" w:hAnsi="Times New Roman"/>
          <w:bCs/>
          <w:iCs/>
          <w:sz w:val="24"/>
          <w:szCs w:val="24"/>
        </w:rPr>
        <w:br/>
        <w:t xml:space="preserve">do Európskej únie na obdobie rokov 2009 – 2014 a dodatkového protokolu k Dohode medzi Európskym hospodárskym spoločenstvom a Nórskom, ktorý sa týka osobitných ustanovení uplatniteľných na dovoz určitých rýb a produktov rybného hospodárstva do Európskej únie na obdobie rokov 2009 – 2014 (2010/674/EÚ) (Ú. v. EÚ L 291, 9.11.2010), </w:t>
      </w:r>
      <w:r w:rsidRPr="00185669">
        <w:rPr>
          <w:rFonts w:ascii="Times New Roman" w:hAnsi="Times New Roman"/>
          <w:sz w:val="24"/>
          <w:szCs w:val="24"/>
          <w:lang w:eastAsia="sk-SK"/>
        </w:rPr>
        <w:t>gestor: ÚV SR, MF SR, MPRV SR,</w:t>
      </w:r>
    </w:p>
    <w:p w14:paraId="2EEBBD5D" w14:textId="77777777" w:rsidR="00185669" w:rsidRPr="00185669" w:rsidRDefault="00185669" w:rsidP="00185669">
      <w:pPr>
        <w:numPr>
          <w:ilvl w:val="0"/>
          <w:numId w:val="8"/>
        </w:numPr>
        <w:autoSpaceDE w:val="0"/>
        <w:autoSpaceDN w:val="0"/>
        <w:spacing w:before="120" w:after="0" w:line="240" w:lineRule="auto"/>
        <w:ind w:left="1276" w:hanging="284"/>
        <w:jc w:val="both"/>
        <w:rPr>
          <w:rFonts w:ascii="Times New Roman" w:hAnsi="Times New Roman"/>
          <w:bCs/>
          <w:iCs/>
          <w:sz w:val="24"/>
          <w:szCs w:val="24"/>
        </w:rPr>
      </w:pPr>
      <w:r w:rsidRPr="00185669">
        <w:rPr>
          <w:rFonts w:ascii="Times New Roman" w:hAnsi="Times New Roman"/>
          <w:bCs/>
          <w:sz w:val="24"/>
          <w:szCs w:val="24"/>
          <w:lang w:eastAsia="sk-SK"/>
        </w:rPr>
        <w:t>nariadenie Rady (ES) č. 479/2009 z  25. mája 2009 o uplatňovaní Protokolu o postupe pri nadmernom schodku, ktorý tvorí prílohu Zmluvy o založení Európskeho spoločenstva (kodifikované znenie) (</w:t>
      </w:r>
      <w:r w:rsidRPr="00185669">
        <w:rPr>
          <w:rFonts w:ascii="Times New Roman" w:hAnsi="Times New Roman"/>
          <w:iCs/>
          <w:sz w:val="24"/>
          <w:szCs w:val="24"/>
          <w:lang w:eastAsia="sk-SK"/>
        </w:rPr>
        <w:t xml:space="preserve">Ú. v. EÚ L 145, 10.6.2009) </w:t>
      </w:r>
      <w:r w:rsidRPr="00185669">
        <w:rPr>
          <w:rFonts w:ascii="Times New Roman" w:hAnsi="Times New Roman"/>
          <w:bCs/>
          <w:iCs/>
          <w:sz w:val="24"/>
          <w:szCs w:val="24"/>
        </w:rPr>
        <w:t xml:space="preserve">v platnom znení, </w:t>
      </w:r>
      <w:r w:rsidRPr="00185669">
        <w:rPr>
          <w:rFonts w:ascii="Times New Roman" w:hAnsi="Times New Roman"/>
          <w:sz w:val="24"/>
          <w:szCs w:val="24"/>
          <w:lang w:eastAsia="sk-SK"/>
        </w:rPr>
        <w:t>gestor: MF SR, ŠÚ SR,</w:t>
      </w:r>
    </w:p>
    <w:p w14:paraId="24CC6AE9"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lastRenderedPageBreak/>
        <w:t>-</w:t>
      </w:r>
      <w:r w:rsidRPr="00185669">
        <w:rPr>
          <w:rFonts w:ascii="Times New Roman" w:hAnsi="Times New Roman"/>
          <w:color w:val="000000"/>
          <w:sz w:val="24"/>
          <w:szCs w:val="24"/>
        </w:rPr>
        <w:tab/>
        <w:t xml:space="preserve">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(Ú. v. EÚ L 371, 27.12.2006) v platnom znení, gestor: </w:t>
      </w:r>
      <w:r w:rsidRPr="00185669">
        <w:rPr>
          <w:rFonts w:ascii="Times New Roman" w:hAnsi="Times New Roman"/>
          <w:bCs/>
          <w:color w:val="000000"/>
          <w:sz w:val="24"/>
          <w:szCs w:val="24"/>
        </w:rPr>
        <w:t>ÚV SR</w:t>
      </w:r>
      <w:r w:rsidRPr="00185669">
        <w:rPr>
          <w:rFonts w:ascii="Times New Roman" w:hAnsi="Times New Roman"/>
          <w:bCs/>
          <w:color w:val="000000"/>
          <w:sz w:val="20"/>
          <w:szCs w:val="20"/>
        </w:rPr>
        <w:t xml:space="preserve">, </w:t>
      </w:r>
      <w:r w:rsidRPr="00185669">
        <w:rPr>
          <w:rFonts w:ascii="Times New Roman" w:hAnsi="Times New Roman"/>
          <w:bCs/>
          <w:color w:val="000000"/>
          <w:sz w:val="24"/>
          <w:szCs w:val="24"/>
        </w:rPr>
        <w:t>MŠVVŠ SR, MZ SR, ÚV SR,</w:t>
      </w:r>
      <w:r w:rsidRPr="00185669">
        <w:rPr>
          <w:rFonts w:ascii="Times New Roman" w:hAnsi="Times New Roman"/>
          <w:bCs/>
          <w:color w:val="000000"/>
          <w:szCs w:val="20"/>
        </w:rPr>
        <w:t xml:space="preserve"> </w:t>
      </w:r>
      <w:r w:rsidRPr="00185669">
        <w:rPr>
          <w:rFonts w:ascii="Times New Roman" w:hAnsi="Times New Roman"/>
          <w:bCs/>
          <w:color w:val="000000"/>
          <w:sz w:val="24"/>
          <w:szCs w:val="24"/>
        </w:rPr>
        <w:t>MPSVR SR,</w:t>
      </w:r>
      <w:r w:rsidRPr="00185669">
        <w:rPr>
          <w:rFonts w:ascii="Times New Roman" w:hAnsi="Times New Roman"/>
          <w:bCs/>
          <w:color w:val="000000"/>
          <w:sz w:val="20"/>
          <w:szCs w:val="20"/>
        </w:rPr>
        <w:t xml:space="preserve"> </w:t>
      </w:r>
      <w:r w:rsidRPr="00185669">
        <w:rPr>
          <w:rFonts w:ascii="Times New Roman" w:hAnsi="Times New Roman"/>
          <w:bCs/>
          <w:color w:val="000000"/>
          <w:sz w:val="24"/>
          <w:szCs w:val="24"/>
        </w:rPr>
        <w:t>MDV SR,</w:t>
      </w:r>
      <w:r w:rsidRPr="00185669">
        <w:rPr>
          <w:rFonts w:ascii="Times New Roman" w:hAnsi="Times New Roman"/>
          <w:bCs/>
          <w:color w:val="000000"/>
          <w:sz w:val="20"/>
          <w:szCs w:val="20"/>
        </w:rPr>
        <w:t xml:space="preserve"> </w:t>
      </w:r>
      <w:r w:rsidRPr="00185669">
        <w:rPr>
          <w:rFonts w:ascii="Times New Roman" w:hAnsi="Times New Roman"/>
          <w:bCs/>
          <w:color w:val="000000"/>
          <w:sz w:val="24"/>
          <w:szCs w:val="24"/>
        </w:rPr>
        <w:t>MH SR, MŽP SR, MF SR,</w:t>
      </w:r>
    </w:p>
    <w:p w14:paraId="512E231E"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Európskeho parlamentu a Rady (ES) č. 1082/2006 z 5. júla 2006 </w:t>
      </w:r>
      <w:r w:rsidRPr="00185669">
        <w:rPr>
          <w:rFonts w:ascii="Times New Roman" w:hAnsi="Times New Roman"/>
          <w:color w:val="000000"/>
          <w:sz w:val="24"/>
          <w:szCs w:val="24"/>
        </w:rPr>
        <w:br/>
        <w:t>o Európskom zoskupení územnej spolupráce (EZÚS) (Ú. v. EÚ L 210, 31.07.2006) v platnom znení, gestor: ÚV SR</w:t>
      </w:r>
      <w:r w:rsidRPr="00185669">
        <w:rPr>
          <w:rFonts w:ascii="Times New Roman" w:hAnsi="Times New Roman"/>
          <w:bCs/>
          <w:color w:val="000000"/>
          <w:sz w:val="24"/>
          <w:szCs w:val="24"/>
        </w:rPr>
        <w:t>, MS SR, MV SR,</w:t>
      </w:r>
    </w:p>
    <w:p w14:paraId="720611C2"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nariadenie Rady (EURATOM, ES) č. 2185/96 z 11. novembra 1996 </w:t>
      </w:r>
      <w:r w:rsidRPr="00185669">
        <w:rPr>
          <w:rFonts w:ascii="Times New Roman" w:hAnsi="Times New Roman"/>
          <w:color w:val="000000"/>
          <w:sz w:val="24"/>
          <w:szCs w:val="24"/>
        </w:rPr>
        <w:br/>
        <w:t xml:space="preserve">o kontrolách a inšpekciách na mieste, vykonávaných Komisiou s cieľom ochrany finančných záujmov Európskych spoločenstiev pred spreneverou </w:t>
      </w:r>
      <w:r w:rsidRPr="00185669">
        <w:rPr>
          <w:rFonts w:ascii="Times New Roman" w:hAnsi="Times New Roman"/>
          <w:color w:val="000000"/>
          <w:sz w:val="24"/>
          <w:szCs w:val="24"/>
        </w:rPr>
        <w:br/>
        <w:t>a inými podvodmi (Mimoriadne vydanie Ú. v. EÚ, kap. 9/zv. 1; Ú. v. ES L 292, 15.11.1996),</w:t>
      </w:r>
    </w:p>
    <w:p w14:paraId="6DE433D6"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nariadenie Rady (ES, Euratom) č. 2988/95 z 18. decembra 1995 o ochrane finančných záujmov Európskych spoločenstiev (Mimoriadne vydanie Ú. v. EÚ, kap. 1/zv. 1; Ú. v. ES L 312, 23.12.1995).</w:t>
      </w:r>
    </w:p>
    <w:p w14:paraId="66A59C64"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7A6D87B5"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 xml:space="preserve">c) v judikatúre Súdneho dvora Európskej únie </w:t>
      </w:r>
    </w:p>
    <w:p w14:paraId="56FC33B9"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24591B8C"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rozhodnutie Súdneho dvora vo veci C - 562/12, </w:t>
      </w:r>
      <w:proofErr w:type="spellStart"/>
      <w:r w:rsidRPr="00185669">
        <w:rPr>
          <w:rFonts w:ascii="Times New Roman" w:hAnsi="Times New Roman"/>
          <w:color w:val="000000"/>
          <w:sz w:val="24"/>
          <w:szCs w:val="24"/>
        </w:rPr>
        <w:t>Liivimaa</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Lihaveis</w:t>
      </w:r>
      <w:proofErr w:type="spellEnd"/>
      <w:r w:rsidRPr="00185669">
        <w:rPr>
          <w:rFonts w:ascii="Times New Roman" w:hAnsi="Times New Roman"/>
          <w:color w:val="000000"/>
          <w:sz w:val="24"/>
          <w:szCs w:val="24"/>
        </w:rPr>
        <w:t xml:space="preserve"> MTÜ proti </w:t>
      </w:r>
      <w:proofErr w:type="spellStart"/>
      <w:r w:rsidRPr="00185669">
        <w:rPr>
          <w:rFonts w:ascii="Times New Roman" w:hAnsi="Times New Roman"/>
          <w:color w:val="000000"/>
          <w:sz w:val="24"/>
          <w:szCs w:val="24"/>
        </w:rPr>
        <w:t>Eesti</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Läti</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programmi</w:t>
      </w:r>
      <w:proofErr w:type="spellEnd"/>
      <w:r w:rsidRPr="00185669">
        <w:rPr>
          <w:rFonts w:ascii="Times New Roman" w:hAnsi="Times New Roman"/>
          <w:color w:val="000000"/>
          <w:sz w:val="24"/>
          <w:szCs w:val="24"/>
        </w:rPr>
        <w:t xml:space="preserve"> 2007–2013 </w:t>
      </w:r>
      <w:proofErr w:type="spellStart"/>
      <w:r w:rsidRPr="00185669">
        <w:rPr>
          <w:rFonts w:ascii="Times New Roman" w:hAnsi="Times New Roman"/>
          <w:color w:val="000000"/>
          <w:sz w:val="24"/>
          <w:szCs w:val="24"/>
        </w:rPr>
        <w:t>Seirekomitee</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Eesti</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Vabariigi</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Siseministeerium</w:t>
      </w:r>
      <w:proofErr w:type="spellEnd"/>
      <w:r w:rsidRPr="00185669">
        <w:rPr>
          <w:rFonts w:ascii="Times New Roman" w:hAnsi="Times New Roman"/>
          <w:color w:val="000000"/>
          <w:sz w:val="24"/>
          <w:szCs w:val="24"/>
        </w:rPr>
        <w:t>, [2014].</w:t>
      </w:r>
    </w:p>
    <w:p w14:paraId="09828D73" w14:textId="77777777" w:rsidR="00185669" w:rsidRPr="00185669" w:rsidRDefault="00185669" w:rsidP="00185669">
      <w:pPr>
        <w:spacing w:before="240" w:after="120" w:line="240" w:lineRule="auto"/>
        <w:ind w:left="851"/>
        <w:jc w:val="both"/>
        <w:rPr>
          <w:rFonts w:ascii="Times New Roman" w:hAnsi="Times New Roman"/>
          <w:b/>
          <w:bCs/>
          <w:color w:val="000000"/>
          <w:sz w:val="24"/>
          <w:szCs w:val="24"/>
          <w:lang w:eastAsia="sk-SK"/>
        </w:rPr>
      </w:pPr>
      <w:r w:rsidRPr="00185669">
        <w:rPr>
          <w:rFonts w:ascii="Times New Roman" w:hAnsi="Times New Roman"/>
          <w:color w:val="000000"/>
          <w:sz w:val="24"/>
          <w:szCs w:val="24"/>
        </w:rPr>
        <w:t>Rozsudok Súdneho dvora (štvrtá komora) zo 17. septembra 2014 (návrh na začatie prejudiciálneho konania)</w:t>
      </w:r>
    </w:p>
    <w:p w14:paraId="7079221B" w14:textId="77777777" w:rsidR="00185669" w:rsidRPr="00185669" w:rsidRDefault="00185669" w:rsidP="00185669">
      <w:pPr>
        <w:spacing w:before="240" w:after="120" w:line="240" w:lineRule="auto"/>
        <w:ind w:left="851"/>
        <w:jc w:val="both"/>
        <w:rPr>
          <w:rFonts w:ascii="Times New Roman" w:hAnsi="Times New Roman"/>
          <w:bCs/>
          <w:color w:val="000000"/>
          <w:sz w:val="24"/>
          <w:szCs w:val="24"/>
          <w:u w:val="single"/>
          <w:lang w:eastAsia="sk-SK"/>
        </w:rPr>
      </w:pPr>
      <w:r w:rsidRPr="00185669">
        <w:rPr>
          <w:rFonts w:ascii="Times New Roman" w:hAnsi="Times New Roman"/>
          <w:bCs/>
          <w:color w:val="000000"/>
          <w:sz w:val="24"/>
          <w:szCs w:val="24"/>
          <w:u w:val="single"/>
          <w:lang w:eastAsia="sk-SK"/>
        </w:rPr>
        <w:t xml:space="preserve">Výrok rozsudku </w:t>
      </w:r>
    </w:p>
    <w:p w14:paraId="721E61E3" w14:textId="77777777" w:rsidR="00185669" w:rsidRPr="00185669" w:rsidRDefault="00185669" w:rsidP="00185669">
      <w:pPr>
        <w:numPr>
          <w:ilvl w:val="0"/>
          <w:numId w:val="9"/>
        </w:numPr>
        <w:spacing w:before="120" w:after="200" w:line="276" w:lineRule="auto"/>
        <w:contextualSpacing/>
        <w:jc w:val="both"/>
        <w:rPr>
          <w:rFonts w:ascii="Times New Roman" w:hAnsi="Times New Roman"/>
          <w:vanish/>
          <w:color w:val="000000"/>
          <w:sz w:val="24"/>
          <w:szCs w:val="24"/>
        </w:rPr>
      </w:pPr>
      <w:r w:rsidRPr="00185669">
        <w:rPr>
          <w:rFonts w:ascii="Times New Roman" w:hAnsi="Times New Roman"/>
          <w:color w:val="000000"/>
          <w:sz w:val="24"/>
          <w:szCs w:val="24"/>
        </w:rPr>
        <w:t>Článok 263 ZFEÚ sa má vykladať v tom zmysle, že v rámci operačného programu vyplývajúceho z nariadenia Rady (ES) č. 1083/2006 z 11. júla 2006, ktorým sa ustanovujú všeobecné ustanovenia o Európskom fonde regionálneho rozvoja, Európskom sociálnom fonde a Kohéznom fonde a ktorým sa zrušuje nariadenie (ES) č. 1260/1999, a nariadenia Európskeho parlamentu a Rady (ES) č. 1080/2006 z 5. júla 2006 o Európskom fonde regionálneho rozvoja, a ktorým sa zrušuje nariadenie (ES) č. 1783/1999, ktorého cieľom je podpora európskej územnej spolupráce, žaloba proti rozhodnutiu monitorovacieho výboru, ktorým sa zamieta žiadosť o podporu, nespadá do právomoci Súdneho dvora Európskej únie.</w:t>
      </w:r>
    </w:p>
    <w:p w14:paraId="129E39E1" w14:textId="77777777" w:rsidR="00185669" w:rsidRPr="00185669" w:rsidRDefault="00185669" w:rsidP="00185669">
      <w:pPr>
        <w:autoSpaceDE w:val="0"/>
        <w:autoSpaceDN w:val="0"/>
        <w:adjustRightInd w:val="0"/>
        <w:spacing w:after="0" w:line="240" w:lineRule="auto"/>
        <w:jc w:val="both"/>
        <w:rPr>
          <w:rFonts w:ascii="Times New Roman" w:hAnsi="Times New Roman"/>
          <w:color w:val="000000"/>
          <w:sz w:val="24"/>
          <w:szCs w:val="24"/>
        </w:rPr>
      </w:pPr>
    </w:p>
    <w:p w14:paraId="5B1F1C51" w14:textId="77777777" w:rsidR="00185669" w:rsidRPr="00185669" w:rsidRDefault="00185669" w:rsidP="00185669">
      <w:pPr>
        <w:numPr>
          <w:ilvl w:val="0"/>
          <w:numId w:val="9"/>
        </w:numPr>
        <w:autoSpaceDE w:val="0"/>
        <w:autoSpaceDN w:val="0"/>
        <w:adjustRightInd w:val="0"/>
        <w:spacing w:before="120" w:after="0" w:line="240" w:lineRule="auto"/>
        <w:jc w:val="both"/>
        <w:rPr>
          <w:rFonts w:ascii="Times New Roman" w:hAnsi="Times New Roman"/>
          <w:color w:val="000000"/>
          <w:sz w:val="24"/>
          <w:szCs w:val="24"/>
        </w:rPr>
      </w:pPr>
      <w:r w:rsidRPr="00185669">
        <w:rPr>
          <w:rFonts w:ascii="Times New Roman" w:hAnsi="Times New Roman"/>
          <w:color w:val="000000"/>
          <w:sz w:val="24"/>
          <w:szCs w:val="24"/>
        </w:rPr>
        <w:t>Článok 267 prvý odsek písm. b) ZFEÚ sa má vykladať v tom zmysle, že programová príručka prijatá monitorovacím výborom v rámci operačného programu vyplývajúceho z nariadenia č. 1083/2006, ako aj z nariadenia č. 1080/2006, ktorého cieľom je podpora európskej územnej spolupráce medzi dvoma členskými štátmi, o aký ide vo veci samej, nie je akt prijatý inštitúciou, orgánom, úradom alebo agentúrou Únie, a preto Súdny dvor Európskej únie nemá právomoc posúdiť platnosť ustanovení takejto príručky.</w:t>
      </w:r>
    </w:p>
    <w:p w14:paraId="538E3660" w14:textId="77777777" w:rsidR="00185669" w:rsidRPr="00185669" w:rsidRDefault="00185669" w:rsidP="00185669">
      <w:pPr>
        <w:autoSpaceDE w:val="0"/>
        <w:autoSpaceDN w:val="0"/>
        <w:adjustRightInd w:val="0"/>
        <w:spacing w:after="0" w:line="240" w:lineRule="auto"/>
        <w:ind w:left="1211"/>
        <w:jc w:val="both"/>
        <w:rPr>
          <w:rFonts w:ascii="Times New Roman" w:hAnsi="Times New Roman"/>
          <w:color w:val="000000"/>
          <w:sz w:val="24"/>
          <w:szCs w:val="24"/>
        </w:rPr>
      </w:pPr>
    </w:p>
    <w:p w14:paraId="11C8F0BF" w14:textId="77777777" w:rsidR="00185669" w:rsidRPr="00185669" w:rsidRDefault="00185669" w:rsidP="00185669">
      <w:pPr>
        <w:numPr>
          <w:ilvl w:val="0"/>
          <w:numId w:val="9"/>
        </w:numPr>
        <w:autoSpaceDE w:val="0"/>
        <w:autoSpaceDN w:val="0"/>
        <w:adjustRightInd w:val="0"/>
        <w:spacing w:before="120" w:after="0" w:line="240" w:lineRule="auto"/>
        <w:jc w:val="both"/>
        <w:rPr>
          <w:rFonts w:ascii="Times New Roman" w:hAnsi="Times New Roman"/>
          <w:color w:val="000000"/>
          <w:sz w:val="24"/>
          <w:szCs w:val="24"/>
        </w:rPr>
      </w:pPr>
      <w:r w:rsidRPr="00185669">
        <w:rPr>
          <w:rFonts w:ascii="Times New Roman" w:hAnsi="Times New Roman"/>
          <w:color w:val="000000"/>
          <w:sz w:val="24"/>
          <w:szCs w:val="24"/>
        </w:rPr>
        <w:t xml:space="preserve">Nariadenie č. 1083/2006 v spojení s článkom 47 Charty základných práv Európskej únie sa má vykladať v tom zmysle, že bráni takému ustanoveniu </w:t>
      </w:r>
      <w:r w:rsidRPr="00185669">
        <w:rPr>
          <w:rFonts w:ascii="Times New Roman" w:hAnsi="Times New Roman"/>
          <w:color w:val="000000"/>
          <w:sz w:val="24"/>
          <w:szCs w:val="24"/>
        </w:rPr>
        <w:lastRenderedPageBreak/>
        <w:t>programovej príručky prijatej monitorovacím výborom v rámci operačného programu uzavretého medzi dvoma členskými štátmi, ktorého cieľom je podpora európskej územnej spolupráce, v rozsahu, v akom toto ustanovenie nestanovuje, že rozhodnutie tohto monitorovacieho výboru, ktorým sa zamieta žiadosť o podporu, možno napadnúť na súde členského štátu.</w:t>
      </w:r>
    </w:p>
    <w:p w14:paraId="64C88A21"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7C67FD69"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w:t>
      </w:r>
      <w:r w:rsidRPr="00185669">
        <w:rPr>
          <w:rFonts w:ascii="Times New Roman" w:hAnsi="Times New Roman"/>
          <w:color w:val="000000"/>
          <w:sz w:val="24"/>
          <w:szCs w:val="24"/>
        </w:rPr>
        <w:tab/>
        <w:t xml:space="preserve">rozhodnutie Súdneho dvora vo veci C - 579/11, Grande </w:t>
      </w:r>
      <w:proofErr w:type="spellStart"/>
      <w:r w:rsidRPr="00185669">
        <w:rPr>
          <w:rFonts w:ascii="Times New Roman" w:hAnsi="Times New Roman"/>
          <w:color w:val="000000"/>
          <w:sz w:val="24"/>
          <w:szCs w:val="24"/>
        </w:rPr>
        <w:t>Área</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Metropolitana</w:t>
      </w:r>
      <w:proofErr w:type="spellEnd"/>
      <w:r w:rsidRPr="00185669">
        <w:rPr>
          <w:rFonts w:ascii="Times New Roman" w:hAnsi="Times New Roman"/>
          <w:color w:val="000000"/>
          <w:sz w:val="24"/>
          <w:szCs w:val="24"/>
        </w:rPr>
        <w:t xml:space="preserve"> </w:t>
      </w:r>
      <w:r w:rsidRPr="00185669">
        <w:rPr>
          <w:rFonts w:ascii="Times New Roman" w:hAnsi="Times New Roman"/>
          <w:color w:val="000000"/>
          <w:sz w:val="24"/>
          <w:szCs w:val="24"/>
        </w:rPr>
        <w:br/>
        <w:t xml:space="preserve">do Porto (GAMP) proti </w:t>
      </w:r>
      <w:proofErr w:type="spellStart"/>
      <w:r w:rsidRPr="00185669">
        <w:rPr>
          <w:rFonts w:ascii="Times New Roman" w:hAnsi="Times New Roman"/>
          <w:color w:val="000000"/>
          <w:sz w:val="24"/>
          <w:szCs w:val="24"/>
        </w:rPr>
        <w:t>Comissão</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Directiva</w:t>
      </w:r>
      <w:proofErr w:type="spellEnd"/>
      <w:r w:rsidRPr="00185669">
        <w:rPr>
          <w:rFonts w:ascii="Times New Roman" w:hAnsi="Times New Roman"/>
          <w:color w:val="000000"/>
          <w:sz w:val="24"/>
          <w:szCs w:val="24"/>
        </w:rPr>
        <w:t xml:space="preserve"> do </w:t>
      </w:r>
      <w:proofErr w:type="spellStart"/>
      <w:r w:rsidRPr="00185669">
        <w:rPr>
          <w:rFonts w:ascii="Times New Roman" w:hAnsi="Times New Roman"/>
          <w:color w:val="000000"/>
          <w:sz w:val="24"/>
          <w:szCs w:val="24"/>
        </w:rPr>
        <w:t>Programa</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Operacional</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Potencial</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Humano</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Ministério</w:t>
      </w:r>
      <w:proofErr w:type="spellEnd"/>
      <w:r w:rsidRPr="00185669">
        <w:rPr>
          <w:rFonts w:ascii="Times New Roman" w:hAnsi="Times New Roman"/>
          <w:color w:val="000000"/>
          <w:sz w:val="24"/>
          <w:szCs w:val="24"/>
        </w:rPr>
        <w:t xml:space="preserve"> do </w:t>
      </w:r>
      <w:proofErr w:type="spellStart"/>
      <w:r w:rsidRPr="00185669">
        <w:rPr>
          <w:rFonts w:ascii="Times New Roman" w:hAnsi="Times New Roman"/>
          <w:color w:val="000000"/>
          <w:sz w:val="24"/>
          <w:szCs w:val="24"/>
        </w:rPr>
        <w:t>Ambiente</w:t>
      </w:r>
      <w:proofErr w:type="spellEnd"/>
      <w:r w:rsidRPr="00185669">
        <w:rPr>
          <w:rFonts w:ascii="Times New Roman" w:hAnsi="Times New Roman"/>
          <w:color w:val="000000"/>
          <w:sz w:val="24"/>
          <w:szCs w:val="24"/>
        </w:rPr>
        <w:t xml:space="preserve"> e do </w:t>
      </w:r>
      <w:proofErr w:type="spellStart"/>
      <w:r w:rsidRPr="00185669">
        <w:rPr>
          <w:rFonts w:ascii="Times New Roman" w:hAnsi="Times New Roman"/>
          <w:color w:val="000000"/>
          <w:sz w:val="24"/>
          <w:szCs w:val="24"/>
        </w:rPr>
        <w:t>Ordenamento</w:t>
      </w:r>
      <w:proofErr w:type="spellEnd"/>
      <w:r w:rsidRPr="00185669">
        <w:rPr>
          <w:rFonts w:ascii="Times New Roman" w:hAnsi="Times New Roman"/>
          <w:color w:val="000000"/>
          <w:sz w:val="24"/>
          <w:szCs w:val="24"/>
        </w:rPr>
        <w:t xml:space="preserve"> do </w:t>
      </w:r>
      <w:proofErr w:type="spellStart"/>
      <w:r w:rsidRPr="00185669">
        <w:rPr>
          <w:rFonts w:ascii="Times New Roman" w:hAnsi="Times New Roman"/>
          <w:color w:val="000000"/>
          <w:sz w:val="24"/>
          <w:szCs w:val="24"/>
        </w:rPr>
        <w:t>Território,Ministério</w:t>
      </w:r>
      <w:proofErr w:type="spellEnd"/>
      <w:r w:rsidRPr="00185669">
        <w:rPr>
          <w:rFonts w:ascii="Times New Roman" w:hAnsi="Times New Roman"/>
          <w:color w:val="000000"/>
          <w:sz w:val="24"/>
          <w:szCs w:val="24"/>
        </w:rPr>
        <w:t xml:space="preserve"> do </w:t>
      </w:r>
      <w:proofErr w:type="spellStart"/>
      <w:r w:rsidRPr="00185669">
        <w:rPr>
          <w:rFonts w:ascii="Times New Roman" w:hAnsi="Times New Roman"/>
          <w:color w:val="000000"/>
          <w:sz w:val="24"/>
          <w:szCs w:val="24"/>
        </w:rPr>
        <w:t>Trabalho</w:t>
      </w:r>
      <w:proofErr w:type="spellEnd"/>
      <w:r w:rsidRPr="00185669">
        <w:rPr>
          <w:rFonts w:ascii="Times New Roman" w:hAnsi="Times New Roman"/>
          <w:color w:val="000000"/>
          <w:sz w:val="24"/>
          <w:szCs w:val="24"/>
        </w:rPr>
        <w:t xml:space="preserve"> e da </w:t>
      </w:r>
      <w:proofErr w:type="spellStart"/>
      <w:r w:rsidRPr="00185669">
        <w:rPr>
          <w:rFonts w:ascii="Times New Roman" w:hAnsi="Times New Roman"/>
          <w:color w:val="000000"/>
          <w:sz w:val="24"/>
          <w:szCs w:val="24"/>
        </w:rPr>
        <w:t>Solidariedade</w:t>
      </w:r>
      <w:proofErr w:type="spellEnd"/>
      <w:r w:rsidRPr="00185669">
        <w:rPr>
          <w:rFonts w:ascii="Times New Roman" w:hAnsi="Times New Roman"/>
          <w:color w:val="000000"/>
          <w:sz w:val="24"/>
          <w:szCs w:val="24"/>
        </w:rPr>
        <w:t xml:space="preserve"> </w:t>
      </w:r>
      <w:proofErr w:type="spellStart"/>
      <w:r w:rsidRPr="00185669">
        <w:rPr>
          <w:rFonts w:ascii="Times New Roman" w:hAnsi="Times New Roman"/>
          <w:color w:val="000000"/>
          <w:sz w:val="24"/>
          <w:szCs w:val="24"/>
        </w:rPr>
        <w:t>Social</w:t>
      </w:r>
      <w:proofErr w:type="spellEnd"/>
      <w:r w:rsidRPr="00185669">
        <w:rPr>
          <w:rFonts w:ascii="Times New Roman" w:hAnsi="Times New Roman"/>
          <w:color w:val="000000"/>
          <w:sz w:val="24"/>
          <w:szCs w:val="24"/>
        </w:rPr>
        <w:t>, [2012].</w:t>
      </w:r>
    </w:p>
    <w:p w14:paraId="3C7194CA"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p>
    <w:p w14:paraId="6C65D5BB" w14:textId="77777777" w:rsidR="00185669" w:rsidRPr="00185669" w:rsidRDefault="00185669" w:rsidP="00185669">
      <w:pPr>
        <w:autoSpaceDE w:val="0"/>
        <w:autoSpaceDN w:val="0"/>
        <w:adjustRightInd w:val="0"/>
        <w:spacing w:after="0" w:line="240" w:lineRule="auto"/>
        <w:ind w:left="851"/>
        <w:jc w:val="both"/>
        <w:rPr>
          <w:rFonts w:ascii="Times New Roman" w:hAnsi="Times New Roman"/>
          <w:color w:val="000000"/>
          <w:sz w:val="24"/>
          <w:szCs w:val="24"/>
        </w:rPr>
      </w:pPr>
      <w:r w:rsidRPr="00185669">
        <w:rPr>
          <w:rFonts w:ascii="Times New Roman" w:hAnsi="Times New Roman"/>
          <w:color w:val="000000"/>
          <w:sz w:val="24"/>
          <w:szCs w:val="24"/>
        </w:rPr>
        <w:t>Rozsudok Súdneho dvora (tretia komora) z 19. decembra 2012 (návrh na začatie prejudiciálneho konania)</w:t>
      </w:r>
    </w:p>
    <w:p w14:paraId="19C56AA9" w14:textId="77777777" w:rsidR="00185669" w:rsidRPr="00185669" w:rsidRDefault="00185669" w:rsidP="00185669">
      <w:pPr>
        <w:spacing w:before="240" w:after="120" w:line="240" w:lineRule="auto"/>
        <w:ind w:left="851"/>
        <w:jc w:val="both"/>
        <w:rPr>
          <w:rFonts w:ascii="Times New Roman" w:hAnsi="Times New Roman"/>
          <w:b/>
          <w:bCs/>
          <w:color w:val="000000"/>
          <w:sz w:val="24"/>
          <w:szCs w:val="24"/>
          <w:u w:val="single"/>
          <w:lang w:eastAsia="sk-SK"/>
        </w:rPr>
      </w:pPr>
      <w:r w:rsidRPr="00185669">
        <w:rPr>
          <w:rFonts w:ascii="Times New Roman" w:hAnsi="Times New Roman"/>
          <w:color w:val="000000"/>
          <w:sz w:val="24"/>
          <w:szCs w:val="24"/>
          <w:u w:val="single"/>
          <w:lang w:eastAsia="sk-SK"/>
        </w:rPr>
        <w:t>Výrok rozsudku</w:t>
      </w:r>
      <w:r w:rsidRPr="00185669">
        <w:rPr>
          <w:rFonts w:ascii="Times New Roman" w:hAnsi="Times New Roman"/>
          <w:b/>
          <w:bCs/>
          <w:color w:val="000000"/>
          <w:sz w:val="24"/>
          <w:szCs w:val="24"/>
          <w:u w:val="single"/>
          <w:lang w:eastAsia="sk-SK"/>
        </w:rPr>
        <w:t xml:space="preserve"> </w:t>
      </w:r>
    </w:p>
    <w:p w14:paraId="45999575" w14:textId="77777777" w:rsidR="00185669" w:rsidRPr="00185669" w:rsidRDefault="00185669" w:rsidP="00185669">
      <w:pPr>
        <w:spacing w:before="120" w:after="0" w:line="240" w:lineRule="auto"/>
        <w:ind w:left="851"/>
        <w:jc w:val="both"/>
        <w:rPr>
          <w:rFonts w:ascii="Times New Roman" w:hAnsi="Times New Roman"/>
          <w:color w:val="000000"/>
          <w:sz w:val="24"/>
          <w:szCs w:val="24"/>
          <w:lang w:eastAsia="sk-SK"/>
        </w:rPr>
      </w:pPr>
      <w:r w:rsidRPr="00185669">
        <w:rPr>
          <w:rFonts w:ascii="Times New Roman" w:hAnsi="Times New Roman"/>
          <w:color w:val="000000"/>
          <w:sz w:val="24"/>
          <w:szCs w:val="24"/>
          <w:lang w:eastAsia="sk-SK"/>
        </w:rPr>
        <w:t>Ustanovenia primárneho práva Únie týkajúce sa hospodárskej, sociálnej a územnej súdržnosti, ako aj nariadenie Rady (ES) č. 1083/2006 z 11. júla 2006, ktorým sa ustanovujú všeobecné ustanovenia o Európskom fonde regionálneho rozvoja, Európskom sociálnom fonde a Kohéznom fonde a ktorým sa zrušuje nariadenie (ES) č. 1260/1999, sa majú vykladať tak, že nebránia tomu, aby sa investícia spolufinancovaná Európskou úniou realizovala jednak v prospech lokality mimo územia regiónov, ktoré sú oprávnené na podporu, a jednak subjektom, ktorý má sídlo v tejto lokalite, za podmienky, že táto investícia je realizovaná cielene a adresne smerom k oprávneným regiónom.</w:t>
      </w:r>
    </w:p>
    <w:p w14:paraId="30078EF5" w14:textId="77777777" w:rsidR="00185669" w:rsidRPr="00185669" w:rsidRDefault="00185669" w:rsidP="00185669">
      <w:pPr>
        <w:autoSpaceDE w:val="0"/>
        <w:autoSpaceDN w:val="0"/>
        <w:adjustRightInd w:val="0"/>
        <w:spacing w:after="0" w:line="240" w:lineRule="auto"/>
        <w:jc w:val="both"/>
        <w:rPr>
          <w:rFonts w:ascii="Times New Roman" w:hAnsi="Times New Roman"/>
          <w:color w:val="000000"/>
          <w:sz w:val="24"/>
          <w:szCs w:val="24"/>
        </w:rPr>
      </w:pPr>
    </w:p>
    <w:p w14:paraId="2D042499"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r w:rsidRPr="00185669">
        <w:rPr>
          <w:rFonts w:ascii="Times New Roman" w:hAnsi="Times New Roman"/>
          <w:color w:val="000000"/>
          <w:sz w:val="24"/>
          <w:szCs w:val="24"/>
        </w:rPr>
        <w:t xml:space="preserve"> 4. </w:t>
      </w:r>
      <w:r w:rsidRPr="00185669">
        <w:rPr>
          <w:rFonts w:ascii="Times New Roman" w:hAnsi="Times New Roman"/>
          <w:b/>
          <w:bCs/>
          <w:color w:val="000000"/>
          <w:sz w:val="24"/>
          <w:szCs w:val="24"/>
        </w:rPr>
        <w:t>Záväzky Slovenskej republiky vo vzťahu k Európskej únii</w:t>
      </w:r>
      <w:r w:rsidRPr="00185669">
        <w:rPr>
          <w:rFonts w:ascii="Times New Roman" w:hAnsi="Times New Roman"/>
          <w:color w:val="000000"/>
          <w:sz w:val="24"/>
          <w:szCs w:val="24"/>
        </w:rPr>
        <w:t xml:space="preserve">: </w:t>
      </w:r>
    </w:p>
    <w:p w14:paraId="12FCC206"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a) Lehota na prebranie</w:t>
      </w:r>
      <w:r w:rsidRPr="00185669">
        <w:rPr>
          <w:rFonts w:ascii="Times New Roman" w:hAnsi="Times New Roman"/>
          <w:bCs/>
          <w:color w:val="000000"/>
          <w:sz w:val="24"/>
          <w:szCs w:val="24"/>
          <w:lang w:eastAsia="sk-SK"/>
        </w:rPr>
        <w:t xml:space="preserve"> smernice alebo lehota na implementáciu nariadenia alebo rozhodnutia: bezpredmetné.</w:t>
      </w:r>
      <w:r w:rsidRPr="00185669">
        <w:rPr>
          <w:rFonts w:ascii="Times New Roman" w:hAnsi="Times New Roman"/>
          <w:color w:val="000000"/>
          <w:sz w:val="24"/>
          <w:szCs w:val="24"/>
        </w:rPr>
        <w:t xml:space="preserve"> </w:t>
      </w:r>
    </w:p>
    <w:p w14:paraId="05AC1BC0"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b) Proti SR nebolo začaté konanie v rámci „EÚ Pilot“, ani nebol začatý postup EK a ani konanie o porušení Zmluvy o fungovaní Európskej únie podľa čl. 258 až 260.</w:t>
      </w:r>
    </w:p>
    <w:p w14:paraId="36B157BD" w14:textId="77777777" w:rsidR="00185669" w:rsidRPr="00185669" w:rsidRDefault="00185669" w:rsidP="00185669">
      <w:pPr>
        <w:autoSpaceDE w:val="0"/>
        <w:autoSpaceDN w:val="0"/>
        <w:adjustRightInd w:val="0"/>
        <w:spacing w:after="0" w:line="240" w:lineRule="auto"/>
        <w:ind w:left="1276" w:hanging="283"/>
        <w:jc w:val="both"/>
        <w:rPr>
          <w:rFonts w:ascii="Times New Roman" w:hAnsi="Times New Roman"/>
          <w:color w:val="000000"/>
          <w:sz w:val="24"/>
          <w:szCs w:val="24"/>
        </w:rPr>
      </w:pPr>
      <w:r w:rsidRPr="00185669">
        <w:rPr>
          <w:rFonts w:ascii="Times New Roman" w:hAnsi="Times New Roman"/>
          <w:color w:val="000000"/>
          <w:sz w:val="24"/>
          <w:szCs w:val="24"/>
        </w:rPr>
        <w:t>c) Bezpredmetné.</w:t>
      </w:r>
    </w:p>
    <w:p w14:paraId="4C7FAFF9" w14:textId="77777777" w:rsidR="00185669" w:rsidRPr="00185669" w:rsidRDefault="00185669" w:rsidP="00185669">
      <w:pPr>
        <w:autoSpaceDE w:val="0"/>
        <w:autoSpaceDN w:val="0"/>
        <w:adjustRightInd w:val="0"/>
        <w:spacing w:after="0" w:line="240" w:lineRule="auto"/>
        <w:ind w:left="567" w:firstLine="426"/>
        <w:jc w:val="both"/>
        <w:rPr>
          <w:rFonts w:ascii="Times New Roman" w:hAnsi="Times New Roman"/>
          <w:color w:val="000000"/>
          <w:sz w:val="24"/>
          <w:szCs w:val="24"/>
        </w:rPr>
      </w:pPr>
    </w:p>
    <w:p w14:paraId="598EB3C7" w14:textId="77777777" w:rsidR="00185669" w:rsidRPr="00185669" w:rsidRDefault="00185669" w:rsidP="00185669">
      <w:pPr>
        <w:autoSpaceDE w:val="0"/>
        <w:autoSpaceDN w:val="0"/>
        <w:adjustRightInd w:val="0"/>
        <w:spacing w:after="0" w:line="240" w:lineRule="auto"/>
        <w:ind w:left="567" w:firstLine="426"/>
        <w:jc w:val="both"/>
        <w:rPr>
          <w:rFonts w:ascii="Times New Roman" w:hAnsi="Times New Roman"/>
          <w:color w:val="000000"/>
          <w:sz w:val="24"/>
          <w:szCs w:val="24"/>
        </w:rPr>
      </w:pPr>
    </w:p>
    <w:p w14:paraId="5293CEB4"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r w:rsidRPr="00185669">
        <w:rPr>
          <w:rFonts w:ascii="Times New Roman" w:hAnsi="Times New Roman"/>
          <w:color w:val="000000"/>
          <w:sz w:val="24"/>
          <w:szCs w:val="24"/>
        </w:rPr>
        <w:t xml:space="preserve">5. </w:t>
      </w:r>
      <w:r w:rsidRPr="00185669">
        <w:rPr>
          <w:rFonts w:ascii="Times New Roman" w:hAnsi="Times New Roman"/>
          <w:b/>
          <w:bCs/>
          <w:color w:val="000000"/>
          <w:sz w:val="24"/>
          <w:szCs w:val="24"/>
        </w:rPr>
        <w:t>Návrh zákona je zlučiteľný s právom Európskej únie</w:t>
      </w:r>
      <w:r w:rsidRPr="00185669">
        <w:rPr>
          <w:rFonts w:ascii="Times New Roman" w:hAnsi="Times New Roman"/>
          <w:color w:val="000000"/>
          <w:sz w:val="24"/>
          <w:szCs w:val="24"/>
        </w:rPr>
        <w:t xml:space="preserve">: </w:t>
      </w:r>
    </w:p>
    <w:p w14:paraId="0B6DC16F" w14:textId="77777777" w:rsidR="00185669" w:rsidRPr="00185669" w:rsidRDefault="00185669" w:rsidP="00185669">
      <w:pPr>
        <w:autoSpaceDE w:val="0"/>
        <w:autoSpaceDN w:val="0"/>
        <w:adjustRightInd w:val="0"/>
        <w:spacing w:after="0" w:line="240" w:lineRule="auto"/>
        <w:ind w:firstLine="426"/>
        <w:rPr>
          <w:rFonts w:ascii="Times New Roman" w:hAnsi="Times New Roman"/>
          <w:color w:val="000000"/>
          <w:sz w:val="24"/>
          <w:szCs w:val="24"/>
        </w:rPr>
      </w:pPr>
      <w:r w:rsidRPr="00185669">
        <w:rPr>
          <w:rFonts w:ascii="Times New Roman" w:hAnsi="Times New Roman"/>
          <w:color w:val="000000"/>
          <w:sz w:val="24"/>
          <w:szCs w:val="24"/>
        </w:rPr>
        <w:tab/>
        <w:t>Úplne.</w:t>
      </w:r>
    </w:p>
    <w:p w14:paraId="0CA28456" w14:textId="77777777" w:rsidR="00185669" w:rsidRPr="00185669" w:rsidRDefault="00185669" w:rsidP="00185669">
      <w:pPr>
        <w:autoSpaceDE w:val="0"/>
        <w:autoSpaceDN w:val="0"/>
        <w:adjustRightInd w:val="0"/>
        <w:spacing w:after="0" w:line="240" w:lineRule="auto"/>
        <w:ind w:left="567" w:firstLine="426"/>
        <w:rPr>
          <w:rFonts w:ascii="Times New Roman" w:hAnsi="Times New Roman"/>
          <w:color w:val="000000"/>
          <w:sz w:val="24"/>
          <w:szCs w:val="24"/>
        </w:rPr>
      </w:pPr>
    </w:p>
    <w:p w14:paraId="51BB95E2" w14:textId="77777777" w:rsidR="00185669" w:rsidRPr="00185669" w:rsidRDefault="00185669" w:rsidP="00185669">
      <w:pPr>
        <w:spacing w:after="200" w:line="276" w:lineRule="auto"/>
        <w:ind w:left="360" w:firstLine="426"/>
        <w:jc w:val="both"/>
        <w:rPr>
          <w:rFonts w:ascii="Times New Roman" w:hAnsi="Times New Roman"/>
          <w:sz w:val="24"/>
          <w:szCs w:val="24"/>
        </w:rPr>
      </w:pPr>
    </w:p>
    <w:p w14:paraId="10D1FA8B" w14:textId="77777777" w:rsidR="00185669" w:rsidRDefault="00185669" w:rsidP="0091527C">
      <w:pPr>
        <w:rPr>
          <w:rFonts w:ascii="Times New Roman" w:hAnsi="Times New Roman"/>
          <w:b/>
          <w:sz w:val="24"/>
          <w:szCs w:val="24"/>
        </w:rPr>
      </w:pPr>
    </w:p>
    <w:p w14:paraId="3420A9CA" w14:textId="77777777" w:rsidR="00185669" w:rsidRDefault="00185669" w:rsidP="0091527C">
      <w:pPr>
        <w:rPr>
          <w:rFonts w:ascii="Times New Roman" w:hAnsi="Times New Roman"/>
          <w:b/>
          <w:sz w:val="24"/>
          <w:szCs w:val="24"/>
        </w:rPr>
      </w:pPr>
    </w:p>
    <w:p w14:paraId="42120205" w14:textId="77777777" w:rsidR="00185669" w:rsidRDefault="00185669" w:rsidP="0091527C">
      <w:pPr>
        <w:rPr>
          <w:rFonts w:ascii="Times New Roman" w:hAnsi="Times New Roman"/>
          <w:b/>
          <w:sz w:val="24"/>
          <w:szCs w:val="24"/>
        </w:rPr>
      </w:pPr>
    </w:p>
    <w:p w14:paraId="47E4535B" w14:textId="77777777" w:rsidR="00185669" w:rsidRDefault="00185669" w:rsidP="0091527C">
      <w:pPr>
        <w:rPr>
          <w:rFonts w:ascii="Times New Roman" w:hAnsi="Times New Roman"/>
          <w:b/>
          <w:sz w:val="24"/>
          <w:szCs w:val="24"/>
        </w:rPr>
      </w:pPr>
    </w:p>
    <w:p w14:paraId="1D5EA639" w14:textId="77777777" w:rsidR="00185669" w:rsidRDefault="00185669" w:rsidP="0091527C">
      <w:pPr>
        <w:rPr>
          <w:rFonts w:ascii="Times New Roman" w:hAnsi="Times New Roman"/>
          <w:b/>
          <w:sz w:val="24"/>
          <w:szCs w:val="24"/>
        </w:rPr>
      </w:pPr>
    </w:p>
    <w:p w14:paraId="531B9C37" w14:textId="77777777" w:rsidR="00185669" w:rsidRDefault="00185669" w:rsidP="0091527C">
      <w:pPr>
        <w:rPr>
          <w:rFonts w:ascii="Times New Roman" w:hAnsi="Times New Roman"/>
          <w:b/>
          <w:sz w:val="24"/>
          <w:szCs w:val="24"/>
        </w:rPr>
      </w:pPr>
    </w:p>
    <w:p w14:paraId="6544DD12" w14:textId="77777777" w:rsidR="00185669" w:rsidRDefault="00185669" w:rsidP="0091527C">
      <w:pPr>
        <w:rPr>
          <w:rFonts w:ascii="Times New Roman" w:hAnsi="Times New Roman"/>
          <w:b/>
          <w:sz w:val="24"/>
          <w:szCs w:val="24"/>
        </w:rPr>
      </w:pPr>
    </w:p>
    <w:p w14:paraId="4C4A3FD4" w14:textId="77777777" w:rsidR="0091527C" w:rsidRPr="0091527C" w:rsidRDefault="0091527C" w:rsidP="0091527C">
      <w:pPr>
        <w:rPr>
          <w:rFonts w:ascii="Times New Roman" w:hAnsi="Times New Roman"/>
          <w:b/>
          <w:sz w:val="24"/>
          <w:szCs w:val="24"/>
        </w:rPr>
      </w:pPr>
      <w:r w:rsidRPr="0091527C">
        <w:rPr>
          <w:rFonts w:ascii="Times New Roman" w:hAnsi="Times New Roman"/>
          <w:b/>
          <w:sz w:val="24"/>
          <w:szCs w:val="24"/>
        </w:rPr>
        <w:lastRenderedPageBreak/>
        <w:t>B. osobitná časť</w:t>
      </w:r>
    </w:p>
    <w:p w14:paraId="577F7770"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čl. I</w:t>
      </w:r>
    </w:p>
    <w:p w14:paraId="5015F235"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1 (poznámka pod čiarou k odkazu 1)</w:t>
      </w:r>
    </w:p>
    <w:p w14:paraId="74F9B205" w14:textId="3F8CA192"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 v nadväznosti na účinnosť zákona č. 423/2015 Z. z. o štatutárnom audite a o zmene a doplnení zákona č. 431/2002 Z. z. o účtovníctve v znení neskorších predpisov</w:t>
      </w:r>
      <w:r w:rsidR="00A92D10">
        <w:rPr>
          <w:rFonts w:ascii="Times New Roman" w:hAnsi="Times New Roman"/>
          <w:sz w:val="24"/>
          <w:szCs w:val="24"/>
        </w:rPr>
        <w:t xml:space="preserve"> v znení neskorších predpisov</w:t>
      </w:r>
      <w:r w:rsidRPr="0091527C">
        <w:rPr>
          <w:rFonts w:ascii="Times New Roman" w:hAnsi="Times New Roman"/>
          <w:sz w:val="24"/>
          <w:szCs w:val="24"/>
        </w:rPr>
        <w:t>, ktorý nahradil a zrušil zákon č. 540/2007 Z. z. o audítoroch, audite a dohľade nad výkonom auditu</w:t>
      </w:r>
      <w:r w:rsidR="006F3876">
        <w:rPr>
          <w:rFonts w:ascii="Times New Roman" w:hAnsi="Times New Roman"/>
          <w:sz w:val="24"/>
          <w:szCs w:val="24"/>
        </w:rPr>
        <w:t xml:space="preserve"> a o zmene a doplnení zákona č. </w:t>
      </w:r>
      <w:r w:rsidRPr="0091527C">
        <w:rPr>
          <w:rFonts w:ascii="Times New Roman" w:hAnsi="Times New Roman"/>
          <w:sz w:val="24"/>
          <w:szCs w:val="24"/>
        </w:rPr>
        <w:t xml:space="preserve">431/2002 Z. z. o účtovníctve v znení neskorších predpisov v znení </w:t>
      </w:r>
      <w:r w:rsidR="00A92D10">
        <w:rPr>
          <w:rFonts w:ascii="Times New Roman" w:hAnsi="Times New Roman"/>
          <w:sz w:val="24"/>
          <w:szCs w:val="24"/>
        </w:rPr>
        <w:t>neskorších predpisov.</w:t>
      </w:r>
    </w:p>
    <w:p w14:paraId="2A2F50B2"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2 (§ 2 písm. g))</w:t>
      </w:r>
    </w:p>
    <w:p w14:paraId="74377F46" w14:textId="16E99E81"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Doplnená definícia oprávnenej osoby o Ministerstvo financií SR (ďalej len „ministerstvo financií“) a Úrad vládneho auditu</w:t>
      </w:r>
      <w:r w:rsidR="000E20C8">
        <w:rPr>
          <w:rFonts w:ascii="Times New Roman" w:hAnsi="Times New Roman"/>
          <w:sz w:val="24"/>
          <w:szCs w:val="24"/>
        </w:rPr>
        <w:t xml:space="preserve"> aj </w:t>
      </w:r>
      <w:r w:rsidR="00BE5839">
        <w:rPr>
          <w:rFonts w:ascii="Times New Roman" w:hAnsi="Times New Roman"/>
          <w:sz w:val="24"/>
          <w:szCs w:val="24"/>
        </w:rPr>
        <w:t>v</w:t>
      </w:r>
      <w:r w:rsidR="006F3876">
        <w:rPr>
          <w:rFonts w:ascii="Times New Roman" w:hAnsi="Times New Roman"/>
          <w:sz w:val="24"/>
          <w:szCs w:val="24"/>
        </w:rPr>
        <w:t> </w:t>
      </w:r>
      <w:r w:rsidR="000E20C8">
        <w:rPr>
          <w:rFonts w:ascii="Times New Roman" w:hAnsi="Times New Roman"/>
          <w:sz w:val="24"/>
          <w:szCs w:val="24"/>
        </w:rPr>
        <w:t>prípad</w:t>
      </w:r>
      <w:r w:rsidR="00BE5839">
        <w:rPr>
          <w:rFonts w:ascii="Times New Roman" w:hAnsi="Times New Roman"/>
          <w:sz w:val="24"/>
          <w:szCs w:val="24"/>
        </w:rPr>
        <w:t>e</w:t>
      </w:r>
      <w:r w:rsidR="006F3876">
        <w:rPr>
          <w:rFonts w:ascii="Times New Roman" w:hAnsi="Times New Roman"/>
          <w:sz w:val="24"/>
          <w:szCs w:val="24"/>
        </w:rPr>
        <w:t>,</w:t>
      </w:r>
      <w:r w:rsidRPr="0091527C">
        <w:rPr>
          <w:rFonts w:ascii="Times New Roman" w:hAnsi="Times New Roman"/>
          <w:sz w:val="24"/>
          <w:szCs w:val="24"/>
        </w:rPr>
        <w:t xml:space="preserve"> ak hodnoti</w:t>
      </w:r>
      <w:r w:rsidR="000E20C8">
        <w:rPr>
          <w:rFonts w:ascii="Times New Roman" w:hAnsi="Times New Roman"/>
          <w:sz w:val="24"/>
          <w:szCs w:val="24"/>
        </w:rPr>
        <w:t>a</w:t>
      </w:r>
      <w:r w:rsidRPr="0091527C">
        <w:rPr>
          <w:rFonts w:ascii="Times New Roman" w:hAnsi="Times New Roman"/>
          <w:sz w:val="24"/>
          <w:szCs w:val="24"/>
        </w:rPr>
        <w:t xml:space="preserve"> kvalit</w:t>
      </w:r>
      <w:r w:rsidR="00BE5839">
        <w:rPr>
          <w:rFonts w:ascii="Times New Roman" w:hAnsi="Times New Roman"/>
          <w:sz w:val="24"/>
          <w:szCs w:val="24"/>
        </w:rPr>
        <w:t>u</w:t>
      </w:r>
      <w:r w:rsidRPr="0091527C">
        <w:rPr>
          <w:rFonts w:ascii="Times New Roman" w:hAnsi="Times New Roman"/>
          <w:sz w:val="24"/>
          <w:szCs w:val="24"/>
        </w:rPr>
        <w:t xml:space="preserve"> vykonávania finančnej kontroly a auditu. Špecifikácia oprávnenej osoby vyplynula z ustanovenia nového § 10a, podľa ktorého hodnotenie kvality vykonávania finančnej kontroly a auditu predstavuje samostatný proces, ktorý sa bude riadiť základnými pravidlami finančnej kontroly a auditu podľa § 20 až 27 zákona č. 357/2015 Z. z. o finančnej kontrole a audite a o zmene a doplnení niektorých zákonov (ďalej len „zákon č. 357/2015 Z. z.“).</w:t>
      </w:r>
    </w:p>
    <w:p w14:paraId="101A8CA1"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3 (§ 2 písm. h))</w:t>
      </w:r>
    </w:p>
    <w:p w14:paraId="6591BB0D"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Doplnená definícia povinnej osoby o orgán verejnej správy, útvar, resp. osobu, ak sa u nich vykonáva hodnotenie kvality vykonávania finančnej kontroly a auditu. Špecifikácia povinnej osoby vyplynula z ustanovenia nového § 10a, podľa ktorého hodnotenie kvality predstavuje samostatný proces auditujúceho orgánu, ktorý sa bude riadiť základnými pravidlami finančnej kontroly a auditu podľa § 20 až 27 zákona č. 357/2015 Z. z.</w:t>
      </w:r>
    </w:p>
    <w:p w14:paraId="22C1D544"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4 (§ 2 písm. i))</w:t>
      </w:r>
    </w:p>
    <w:p w14:paraId="011F48A1"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Upravená definícia prizvanej osoby v tom zmysle, že prizvaná osoba sa účastní na administratívnej finančnej kontrole, finančnej kontrole na mieste alebo audite. Uvedené sa navrhuje vzhľadom na skutočnosť, že nie vždy prizvaná osoba vykonáva administratívnu finančnú kontrolu, finančnú kontrolu na mieste alebo audit, ale jej činnosť spočíva napríklad len v odbornom posúdení určitej skutočnosti.</w:t>
      </w:r>
    </w:p>
    <w:p w14:paraId="28320170"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5 (poznámka pod čiarou k odkazu 6)</w:t>
      </w:r>
    </w:p>
    <w:p w14:paraId="216DDAF7"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w:t>
      </w:r>
    </w:p>
    <w:p w14:paraId="0E75FA55"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AE0960">
        <w:rPr>
          <w:rFonts w:ascii="Times New Roman" w:hAnsi="Times New Roman"/>
          <w:b/>
          <w:sz w:val="24"/>
          <w:szCs w:val="24"/>
        </w:rPr>
        <w:t>6</w:t>
      </w:r>
      <w:r w:rsidRPr="0091527C">
        <w:rPr>
          <w:rFonts w:ascii="Times New Roman" w:hAnsi="Times New Roman"/>
          <w:b/>
          <w:sz w:val="24"/>
          <w:szCs w:val="24"/>
        </w:rPr>
        <w:t xml:space="preserve"> (§ 2 písm. s))</w:t>
      </w:r>
    </w:p>
    <w:p w14:paraId="5F113A60"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Doplnená definícia hodnotenia kvality vykonávania finančnej kontroly a auditu</w:t>
      </w:r>
      <w:r w:rsidR="005F0E09">
        <w:rPr>
          <w:rFonts w:ascii="Times New Roman" w:hAnsi="Times New Roman"/>
          <w:sz w:val="24"/>
          <w:szCs w:val="24"/>
        </w:rPr>
        <w:t xml:space="preserve"> z dôvodu, že</w:t>
      </w:r>
      <w:r w:rsidRPr="0091527C">
        <w:rPr>
          <w:rFonts w:ascii="Times New Roman" w:hAnsi="Times New Roman"/>
          <w:sz w:val="24"/>
          <w:szCs w:val="24"/>
        </w:rPr>
        <w:t xml:space="preserve"> </w:t>
      </w:r>
      <w:r w:rsidR="005F0E09">
        <w:rPr>
          <w:rFonts w:ascii="Times New Roman" w:hAnsi="Times New Roman"/>
          <w:sz w:val="24"/>
          <w:szCs w:val="24"/>
        </w:rPr>
        <w:t>d</w:t>
      </w:r>
      <w:r w:rsidRPr="0091527C">
        <w:rPr>
          <w:rFonts w:ascii="Times New Roman" w:hAnsi="Times New Roman"/>
          <w:sz w:val="24"/>
          <w:szCs w:val="24"/>
        </w:rPr>
        <w:t xml:space="preserve">o návrhu zákona boli doplnené osobitné ustanovenia o hodnotení kvality vykonávania finančnej kontroly a auditu auditujúcim orgánom. Snahy ministerstva financií sú zefektívniť hodnotenie kvality vykonávania finančnej kontroly a auditu a z toho dôvodu </w:t>
      </w:r>
      <w:r w:rsidR="005F0E09">
        <w:rPr>
          <w:rFonts w:ascii="Times New Roman" w:hAnsi="Times New Roman"/>
          <w:sz w:val="24"/>
          <w:szCs w:val="24"/>
        </w:rPr>
        <w:t>je</w:t>
      </w:r>
      <w:r w:rsidRPr="0091527C">
        <w:rPr>
          <w:rFonts w:ascii="Times New Roman" w:hAnsi="Times New Roman"/>
          <w:sz w:val="24"/>
          <w:szCs w:val="24"/>
        </w:rPr>
        <w:t xml:space="preserve"> potrebné upraviť ho samostatnými ustanoveniami. Hodnotenie kvality vykonávania finančnej kontroly a auditu má byť zamerané najmä na procesnú stránku výkonu finančnej kontroly a auditu a ich súlad s platnou legislatívou.  </w:t>
      </w:r>
    </w:p>
    <w:p w14:paraId="32F94C81" w14:textId="77777777" w:rsidR="00376778" w:rsidRDefault="00376778" w:rsidP="0091527C">
      <w:pPr>
        <w:jc w:val="both"/>
        <w:rPr>
          <w:rFonts w:ascii="Times New Roman" w:hAnsi="Times New Roman"/>
          <w:b/>
          <w:sz w:val="24"/>
          <w:szCs w:val="24"/>
        </w:rPr>
      </w:pPr>
    </w:p>
    <w:p w14:paraId="20F8C7EF"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AE0960">
        <w:rPr>
          <w:rFonts w:ascii="Times New Roman" w:hAnsi="Times New Roman"/>
          <w:b/>
          <w:sz w:val="24"/>
          <w:szCs w:val="24"/>
        </w:rPr>
        <w:t>7</w:t>
      </w:r>
      <w:r w:rsidRPr="0091527C">
        <w:rPr>
          <w:rFonts w:ascii="Times New Roman" w:hAnsi="Times New Roman"/>
          <w:b/>
          <w:sz w:val="24"/>
          <w:szCs w:val="24"/>
        </w:rPr>
        <w:t xml:space="preserve"> (§ 3 písm. k))</w:t>
      </w:r>
    </w:p>
    <w:p w14:paraId="031AD1D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Dopĺňa sa kompetencia ministerstva financií vzhľadom na úpravu ustanovení § 4 ods. 4 písm. b) a c) novely zákona.</w:t>
      </w:r>
      <w:r w:rsidR="00AB1FA5">
        <w:rPr>
          <w:rFonts w:ascii="Times New Roman" w:hAnsi="Times New Roman"/>
          <w:sz w:val="24"/>
          <w:szCs w:val="24"/>
        </w:rPr>
        <w:t xml:space="preserve"> </w:t>
      </w:r>
      <w:r w:rsidR="00AB1FA5" w:rsidRPr="00AB1FA5">
        <w:rPr>
          <w:rFonts w:ascii="Times New Roman" w:hAnsi="Times New Roman"/>
          <w:sz w:val="24"/>
          <w:szCs w:val="24"/>
        </w:rPr>
        <w:t>Uvedenou úpravou sa má zabezpečiť legislatívny priestor na obzvlášť závažné a komplikované prípady, ktoré vyžadujú, aby bolo správnym orgánom ministerstvo financií, ktoré bude ukladať a vymáhať sankcie za porušenie finančnej disciplíny.</w:t>
      </w:r>
    </w:p>
    <w:p w14:paraId="36F14A40"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AE0960">
        <w:rPr>
          <w:rFonts w:ascii="Times New Roman" w:hAnsi="Times New Roman"/>
          <w:b/>
          <w:sz w:val="24"/>
          <w:szCs w:val="24"/>
        </w:rPr>
        <w:t>8</w:t>
      </w:r>
      <w:r w:rsidRPr="0091527C">
        <w:rPr>
          <w:rFonts w:ascii="Times New Roman" w:hAnsi="Times New Roman"/>
          <w:b/>
          <w:sz w:val="24"/>
          <w:szCs w:val="24"/>
        </w:rPr>
        <w:t xml:space="preserve"> (§ 4 ods. 4 písm. b) a c))</w:t>
      </w:r>
    </w:p>
    <w:p w14:paraId="61BA399D"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Uvedené sa upravuje najmä z dôvodu, aby boli kompetencie Úradu vládneho auditu vo vzťahu k rozhodovaniu, ukladaniu a vymáhaniu sankcií za porušenie finančnej disciplíny obsiahnuté v jednom právnom predpise, nakoľko doteraz bola časť</w:t>
      </w:r>
      <w:r w:rsidR="00517778">
        <w:rPr>
          <w:rFonts w:ascii="Times New Roman" w:hAnsi="Times New Roman"/>
          <w:sz w:val="24"/>
          <w:szCs w:val="24"/>
        </w:rPr>
        <w:t xml:space="preserve"> jeho kompetencií obsiahnutá aj </w:t>
      </w:r>
      <w:r w:rsidRPr="0091527C">
        <w:rPr>
          <w:rFonts w:ascii="Times New Roman" w:hAnsi="Times New Roman"/>
          <w:sz w:val="24"/>
          <w:szCs w:val="24"/>
        </w:rPr>
        <w:t>v zákone č. 523/2004 Z. z. o rozpočtových pravidlách verejnej správy a o zmene a doplnení niektorých zákonov v znení neskorších predpisov. Vypustením relevantných ustanovení zo zákona č. 523/2004 Z. z. o rozpočtových pravidlách verejnej správy a o zmene a doplnení niektorých zákonov v znení neskorších predpisov a ich zlúčením s už existujúcimi ustanoveniam</w:t>
      </w:r>
      <w:r w:rsidR="005F0E09">
        <w:rPr>
          <w:rFonts w:ascii="Times New Roman" w:hAnsi="Times New Roman"/>
          <w:sz w:val="24"/>
          <w:szCs w:val="24"/>
        </w:rPr>
        <w:t>i</w:t>
      </w:r>
      <w:r w:rsidRPr="0091527C">
        <w:rPr>
          <w:rFonts w:ascii="Times New Roman" w:hAnsi="Times New Roman"/>
          <w:sz w:val="24"/>
          <w:szCs w:val="24"/>
        </w:rPr>
        <w:t xml:space="preserve"> v zákone č. 357/2015 Z. z. vznikne jednotná úprava správneho konania a ukladania a vymáhania sankcií za porušenie finančnej disciplíny.</w:t>
      </w:r>
    </w:p>
    <w:p w14:paraId="40412E00"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AE0960">
        <w:rPr>
          <w:rFonts w:ascii="Times New Roman" w:hAnsi="Times New Roman"/>
          <w:b/>
          <w:sz w:val="24"/>
          <w:szCs w:val="24"/>
        </w:rPr>
        <w:t>9</w:t>
      </w:r>
      <w:r w:rsidRPr="0091527C">
        <w:rPr>
          <w:rFonts w:ascii="Times New Roman" w:hAnsi="Times New Roman"/>
          <w:b/>
          <w:sz w:val="24"/>
          <w:szCs w:val="24"/>
        </w:rPr>
        <w:t xml:space="preserve"> (poznámka pod čiarou k odkazu 11)</w:t>
      </w:r>
    </w:p>
    <w:p w14:paraId="1F8E9A68"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w:t>
      </w:r>
    </w:p>
    <w:p w14:paraId="3CC64A8B"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1</w:t>
      </w:r>
      <w:r w:rsidR="00AE0960">
        <w:rPr>
          <w:rFonts w:ascii="Times New Roman" w:hAnsi="Times New Roman"/>
          <w:b/>
          <w:sz w:val="24"/>
          <w:szCs w:val="24"/>
        </w:rPr>
        <w:t>0</w:t>
      </w:r>
      <w:r w:rsidRPr="0091527C">
        <w:rPr>
          <w:rFonts w:ascii="Times New Roman" w:hAnsi="Times New Roman"/>
          <w:b/>
          <w:sz w:val="24"/>
          <w:szCs w:val="24"/>
        </w:rPr>
        <w:t xml:space="preserve"> (§ 5 ods. 1 písm. i))</w:t>
      </w:r>
    </w:p>
    <w:p w14:paraId="1E268A45"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Do činností, ktoré je orgán verejnej správy povinný zabezpečiť v súvislosti s riadnym zabezpečením a rozvíjaním finančného riadenia sa dopĺňa aj zavedenie a dodržiavanie pravidiel a postupov na účely zamedzenia a predchádzania korupci</w:t>
      </w:r>
      <w:r w:rsidR="00811047">
        <w:rPr>
          <w:rFonts w:ascii="Times New Roman" w:hAnsi="Times New Roman"/>
          <w:sz w:val="24"/>
          <w:szCs w:val="24"/>
        </w:rPr>
        <w:t>i</w:t>
      </w:r>
      <w:r w:rsidRPr="0091527C">
        <w:rPr>
          <w:rFonts w:ascii="Times New Roman" w:hAnsi="Times New Roman"/>
          <w:sz w:val="24"/>
          <w:szCs w:val="24"/>
        </w:rPr>
        <w:t>. Uvedené súvisí najmä so</w:t>
      </w:r>
      <w:r w:rsidR="00460FB8">
        <w:rPr>
          <w:rFonts w:ascii="Times New Roman" w:hAnsi="Times New Roman"/>
          <w:sz w:val="24"/>
          <w:szCs w:val="24"/>
        </w:rPr>
        <w:t> </w:t>
      </w:r>
      <w:r w:rsidRPr="0091527C">
        <w:rPr>
          <w:rFonts w:ascii="Times New Roman" w:hAnsi="Times New Roman"/>
          <w:sz w:val="24"/>
          <w:szCs w:val="24"/>
        </w:rPr>
        <w:t xml:space="preserve">snahami ústredných orgánov štátnej správy Slovenskej republiky bojovať s korupčným správaním, a taktiež v nadväznosti na odporúčania OECD. </w:t>
      </w:r>
    </w:p>
    <w:p w14:paraId="47932F64"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1</w:t>
      </w:r>
      <w:r w:rsidR="00AE0960">
        <w:rPr>
          <w:rFonts w:ascii="Times New Roman" w:hAnsi="Times New Roman"/>
          <w:b/>
          <w:sz w:val="24"/>
          <w:szCs w:val="24"/>
        </w:rPr>
        <w:t>1</w:t>
      </w:r>
      <w:r w:rsidRPr="0091527C">
        <w:rPr>
          <w:rFonts w:ascii="Times New Roman" w:hAnsi="Times New Roman"/>
          <w:b/>
          <w:sz w:val="24"/>
          <w:szCs w:val="24"/>
        </w:rPr>
        <w:t xml:space="preserve"> (§ 5 ods. 1 písm. l))</w:t>
      </w:r>
    </w:p>
    <w:p w14:paraId="748DDD40"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Ustanovenie sa dopĺňa v nadväznosti na potreb</w:t>
      </w:r>
      <w:r w:rsidR="00456070">
        <w:rPr>
          <w:rFonts w:ascii="Times New Roman" w:hAnsi="Times New Roman"/>
          <w:sz w:val="24"/>
          <w:szCs w:val="24"/>
        </w:rPr>
        <w:t>u</w:t>
      </w:r>
      <w:r w:rsidRPr="0091527C">
        <w:rPr>
          <w:rFonts w:ascii="Times New Roman" w:hAnsi="Times New Roman"/>
          <w:sz w:val="24"/>
          <w:szCs w:val="24"/>
        </w:rPr>
        <w:t xml:space="preserve"> zosúladenia textu zákona č. 357/2015 Z. z. </w:t>
      </w:r>
    </w:p>
    <w:p w14:paraId="016DDCDC" w14:textId="46F17CA8"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AE0960">
        <w:rPr>
          <w:rFonts w:ascii="Times New Roman" w:hAnsi="Times New Roman"/>
          <w:b/>
          <w:sz w:val="24"/>
          <w:szCs w:val="24"/>
        </w:rPr>
        <w:t xml:space="preserve">12, </w:t>
      </w:r>
      <w:r w:rsidRPr="0091527C">
        <w:rPr>
          <w:rFonts w:ascii="Times New Roman" w:hAnsi="Times New Roman"/>
          <w:b/>
          <w:sz w:val="24"/>
          <w:szCs w:val="24"/>
        </w:rPr>
        <w:t>13</w:t>
      </w:r>
      <w:r w:rsidR="00AE0960">
        <w:rPr>
          <w:rFonts w:ascii="Times New Roman" w:hAnsi="Times New Roman"/>
          <w:b/>
          <w:sz w:val="24"/>
          <w:szCs w:val="24"/>
        </w:rPr>
        <w:t xml:space="preserve"> a</w:t>
      </w:r>
      <w:r w:rsidRPr="0091527C">
        <w:rPr>
          <w:rFonts w:ascii="Times New Roman" w:hAnsi="Times New Roman"/>
          <w:b/>
          <w:sz w:val="24"/>
          <w:szCs w:val="24"/>
        </w:rPr>
        <w:t xml:space="preserve"> </w:t>
      </w:r>
      <w:r w:rsidR="00FD44FA" w:rsidRPr="0091527C">
        <w:rPr>
          <w:rFonts w:ascii="Times New Roman" w:hAnsi="Times New Roman"/>
          <w:b/>
          <w:sz w:val="24"/>
          <w:szCs w:val="24"/>
        </w:rPr>
        <w:t>1</w:t>
      </w:r>
      <w:r w:rsidR="00FD44FA">
        <w:rPr>
          <w:rFonts w:ascii="Times New Roman" w:hAnsi="Times New Roman"/>
          <w:b/>
          <w:sz w:val="24"/>
          <w:szCs w:val="24"/>
        </w:rPr>
        <w:t>6</w:t>
      </w:r>
      <w:r w:rsidR="00FD44FA" w:rsidRPr="0091527C">
        <w:rPr>
          <w:rFonts w:ascii="Times New Roman" w:hAnsi="Times New Roman"/>
          <w:b/>
          <w:sz w:val="24"/>
          <w:szCs w:val="24"/>
        </w:rPr>
        <w:t xml:space="preserve"> </w:t>
      </w:r>
      <w:r w:rsidRPr="0091527C">
        <w:rPr>
          <w:rFonts w:ascii="Times New Roman" w:hAnsi="Times New Roman"/>
          <w:b/>
          <w:sz w:val="24"/>
          <w:szCs w:val="24"/>
        </w:rPr>
        <w:t>(poznámky pod čiarou k odkazom 13, 14 a 16)</w:t>
      </w:r>
    </w:p>
    <w:p w14:paraId="6EBE9A18"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w:t>
      </w:r>
    </w:p>
    <w:p w14:paraId="212A7113"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1</w:t>
      </w:r>
      <w:r w:rsidR="00AE0960">
        <w:rPr>
          <w:rFonts w:ascii="Times New Roman" w:hAnsi="Times New Roman"/>
          <w:b/>
          <w:sz w:val="24"/>
          <w:szCs w:val="24"/>
        </w:rPr>
        <w:t>4</w:t>
      </w:r>
      <w:r w:rsidRPr="0091527C">
        <w:rPr>
          <w:rFonts w:ascii="Times New Roman" w:hAnsi="Times New Roman"/>
          <w:b/>
          <w:sz w:val="24"/>
          <w:szCs w:val="24"/>
        </w:rPr>
        <w:t xml:space="preserve"> (§ 6 ods. 3 písm. h))</w:t>
      </w:r>
    </w:p>
    <w:p w14:paraId="7440A98F" w14:textId="77777777" w:rsidR="0091527C" w:rsidRDefault="0091527C" w:rsidP="0091527C">
      <w:pPr>
        <w:jc w:val="both"/>
        <w:rPr>
          <w:rFonts w:ascii="Times New Roman" w:hAnsi="Times New Roman"/>
          <w:sz w:val="24"/>
          <w:szCs w:val="24"/>
        </w:rPr>
      </w:pPr>
      <w:r w:rsidRPr="0091527C">
        <w:rPr>
          <w:rFonts w:ascii="Times New Roman" w:hAnsi="Times New Roman"/>
          <w:sz w:val="24"/>
          <w:szCs w:val="24"/>
        </w:rPr>
        <w:t>Medzi ciele finančnej kontroly sa zaraďuje aj overenie postupu orgánu verejnej správy pri zabezpečovaní procesov s cieľom predchádzania korupci</w:t>
      </w:r>
      <w:r w:rsidR="00414664">
        <w:rPr>
          <w:rFonts w:ascii="Times New Roman" w:hAnsi="Times New Roman"/>
          <w:sz w:val="24"/>
          <w:szCs w:val="24"/>
        </w:rPr>
        <w:t>i</w:t>
      </w:r>
      <w:r w:rsidRPr="0091527C">
        <w:rPr>
          <w:rFonts w:ascii="Times New Roman" w:hAnsi="Times New Roman"/>
          <w:sz w:val="24"/>
          <w:szCs w:val="24"/>
        </w:rPr>
        <w:t xml:space="preserve"> tak, aby zamestnanci orgánu verejnej správy vykonávajúci finančnú kontrolu napomáhali fungovaniu protikorupčným procesom, ktoré má zabezpečiť orgán verejnej správy v rámci finančného riadenia.</w:t>
      </w:r>
    </w:p>
    <w:p w14:paraId="6730EC3C" w14:textId="70147906" w:rsidR="00B0747B" w:rsidRDefault="00B0747B" w:rsidP="0091527C">
      <w:pPr>
        <w:jc w:val="both"/>
        <w:rPr>
          <w:rFonts w:ascii="Times New Roman" w:hAnsi="Times New Roman"/>
          <w:b/>
          <w:sz w:val="24"/>
          <w:szCs w:val="24"/>
        </w:rPr>
      </w:pPr>
      <w:r w:rsidRPr="0033092C">
        <w:rPr>
          <w:rFonts w:ascii="Times New Roman" w:hAnsi="Times New Roman"/>
          <w:b/>
          <w:sz w:val="24"/>
          <w:szCs w:val="24"/>
        </w:rPr>
        <w:t>K bodu 15 (§ 6 ods. 3 písm. j))</w:t>
      </w:r>
    </w:p>
    <w:p w14:paraId="4224A143" w14:textId="6DD6B62B" w:rsidR="00B0747B" w:rsidRPr="0091527C" w:rsidRDefault="00B0747B" w:rsidP="00B0747B">
      <w:pPr>
        <w:jc w:val="both"/>
        <w:rPr>
          <w:rFonts w:ascii="Times New Roman" w:hAnsi="Times New Roman"/>
          <w:sz w:val="24"/>
          <w:szCs w:val="24"/>
        </w:rPr>
      </w:pPr>
      <w:r w:rsidRPr="0033092C">
        <w:rPr>
          <w:rFonts w:ascii="Times New Roman" w:hAnsi="Times New Roman"/>
          <w:sz w:val="24"/>
          <w:szCs w:val="24"/>
        </w:rPr>
        <w:t>Leg</w:t>
      </w:r>
      <w:r>
        <w:rPr>
          <w:rFonts w:ascii="Times New Roman" w:hAnsi="Times New Roman"/>
          <w:sz w:val="24"/>
          <w:szCs w:val="24"/>
        </w:rPr>
        <w:t xml:space="preserve">islatívno-technická úprava v nadväznosti na </w:t>
      </w:r>
      <w:r w:rsidRPr="0091527C">
        <w:rPr>
          <w:rFonts w:ascii="Times New Roman" w:hAnsi="Times New Roman"/>
          <w:sz w:val="24"/>
          <w:szCs w:val="24"/>
        </w:rPr>
        <w:t>potreb</w:t>
      </w:r>
      <w:r>
        <w:rPr>
          <w:rFonts w:ascii="Times New Roman" w:hAnsi="Times New Roman"/>
          <w:sz w:val="24"/>
          <w:szCs w:val="24"/>
        </w:rPr>
        <w:t>u</w:t>
      </w:r>
      <w:r w:rsidRPr="0091527C">
        <w:rPr>
          <w:rFonts w:ascii="Times New Roman" w:hAnsi="Times New Roman"/>
          <w:sz w:val="24"/>
          <w:szCs w:val="24"/>
        </w:rPr>
        <w:t xml:space="preserve"> zosúladenia textu zákona č. 357/2015 Z. z. </w:t>
      </w:r>
    </w:p>
    <w:p w14:paraId="7569DFBE" w14:textId="77777777" w:rsidR="0033092C" w:rsidRDefault="0033092C" w:rsidP="0091527C">
      <w:pPr>
        <w:jc w:val="both"/>
        <w:rPr>
          <w:rFonts w:ascii="Times New Roman" w:hAnsi="Times New Roman"/>
          <w:b/>
          <w:sz w:val="24"/>
          <w:szCs w:val="24"/>
        </w:rPr>
      </w:pPr>
    </w:p>
    <w:p w14:paraId="79B9673E" w14:textId="77777777" w:rsidR="0033092C" w:rsidRDefault="0033092C" w:rsidP="0091527C">
      <w:pPr>
        <w:jc w:val="both"/>
        <w:rPr>
          <w:rFonts w:ascii="Times New Roman" w:hAnsi="Times New Roman"/>
          <w:b/>
          <w:sz w:val="24"/>
          <w:szCs w:val="24"/>
        </w:rPr>
      </w:pPr>
    </w:p>
    <w:p w14:paraId="6FB5D3F9" w14:textId="2C7293BD"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B0747B" w:rsidRPr="0091527C">
        <w:rPr>
          <w:rFonts w:ascii="Times New Roman" w:hAnsi="Times New Roman"/>
          <w:b/>
          <w:sz w:val="24"/>
          <w:szCs w:val="24"/>
        </w:rPr>
        <w:t>1</w:t>
      </w:r>
      <w:r w:rsidR="00B0747B">
        <w:rPr>
          <w:rFonts w:ascii="Times New Roman" w:hAnsi="Times New Roman"/>
          <w:b/>
          <w:sz w:val="24"/>
          <w:szCs w:val="24"/>
        </w:rPr>
        <w:t>7</w:t>
      </w:r>
      <w:r w:rsidR="00B0747B" w:rsidRPr="0091527C">
        <w:rPr>
          <w:rFonts w:ascii="Times New Roman" w:hAnsi="Times New Roman"/>
          <w:b/>
          <w:sz w:val="24"/>
          <w:szCs w:val="24"/>
        </w:rPr>
        <w:t xml:space="preserve"> </w:t>
      </w:r>
      <w:r w:rsidRPr="0091527C">
        <w:rPr>
          <w:rFonts w:ascii="Times New Roman" w:hAnsi="Times New Roman"/>
          <w:b/>
          <w:sz w:val="24"/>
          <w:szCs w:val="24"/>
        </w:rPr>
        <w:t>(§ 7 ods. 3)</w:t>
      </w:r>
    </w:p>
    <w:p w14:paraId="2D91EF92" w14:textId="6AED4AEF" w:rsidR="0091527C" w:rsidRDefault="0091527C" w:rsidP="0091527C">
      <w:pPr>
        <w:jc w:val="both"/>
        <w:rPr>
          <w:rFonts w:ascii="Times New Roman" w:hAnsi="Times New Roman"/>
          <w:sz w:val="24"/>
          <w:szCs w:val="24"/>
        </w:rPr>
      </w:pPr>
      <w:r w:rsidRPr="0091527C">
        <w:rPr>
          <w:rFonts w:ascii="Times New Roman" w:hAnsi="Times New Roman"/>
          <w:sz w:val="24"/>
          <w:szCs w:val="24"/>
        </w:rPr>
        <w:t>Špecifikácia vyjadrení, ktoré uvádzajú zamestnanci zodpovední za vykonanie základnej finančnej kontroly sa upravuje z dôvodu, že zamestnancom orgánov verejnej správy často nebolo zrejmé, že je potrebné uviesť vždy len jedno vyjadrenie, a že toto vyjadrenie tvorí obligatórnu náležitosť správne vykonanej základnej finančnej kontroly. Pri výkone základnej finančnej kontroly je potrebné uviesť jedno z troch vyjadrení, v závislosti od charakteru finančnej operácie alebo jej časti. Ak je finančná operácia alebo jej časť výsledkom predchádzajúceho procesu (napr. podpísanie zmluvy, ktorá je výsledkom verejného obstarávania) je možné uviesť vyjadrenie finančnú operáciu alebo jej časť je možné vykonať, prípadne nie je možné vykonať, ak sa overovaním zistil nesúlad s niektorými skutočnosťami podľa § 6 ods. 4 zákona č. 357/2015 Z. z. Uvedené vyjadrenie je možné použiť aj</w:t>
      </w:r>
      <w:r w:rsidR="00D06A17">
        <w:rPr>
          <w:rFonts w:ascii="Times New Roman" w:hAnsi="Times New Roman"/>
          <w:sz w:val="24"/>
          <w:szCs w:val="24"/>
        </w:rPr>
        <w:t> </w:t>
      </w:r>
      <w:r w:rsidRPr="0091527C">
        <w:rPr>
          <w:rFonts w:ascii="Times New Roman" w:hAnsi="Times New Roman"/>
          <w:sz w:val="24"/>
          <w:szCs w:val="24"/>
        </w:rPr>
        <w:t>na</w:t>
      </w:r>
      <w:r w:rsidR="00D06A17">
        <w:rPr>
          <w:rFonts w:ascii="Times New Roman" w:hAnsi="Times New Roman"/>
          <w:sz w:val="24"/>
          <w:szCs w:val="24"/>
        </w:rPr>
        <w:t> </w:t>
      </w:r>
      <w:r w:rsidRPr="0091527C">
        <w:rPr>
          <w:rFonts w:ascii="Times New Roman" w:hAnsi="Times New Roman"/>
          <w:sz w:val="24"/>
          <w:szCs w:val="24"/>
        </w:rPr>
        <w:t>vertikálnej úrovni, keď zamestnanci zodpovední za jednotlivé činnosti orgánu verejnej správy uvedú pri svojom overení, že vo finančnej operácii alebo jej časti je možné pokračovať a vedúci zamestnanec uvedie vyjadrenie, že finančnú operáciu alebo jej časť je možné/nie je možné vykonať. Ak ide o finančnú operáciu, ktorá stále prebieha (napr. zadanie príkazu na</w:t>
      </w:r>
      <w:r w:rsidR="00460FB8">
        <w:rPr>
          <w:rFonts w:ascii="Times New Roman" w:hAnsi="Times New Roman"/>
          <w:sz w:val="24"/>
          <w:szCs w:val="24"/>
        </w:rPr>
        <w:t> </w:t>
      </w:r>
      <w:r w:rsidRPr="0091527C">
        <w:rPr>
          <w:rFonts w:ascii="Times New Roman" w:hAnsi="Times New Roman"/>
          <w:sz w:val="24"/>
          <w:szCs w:val="24"/>
        </w:rPr>
        <w:t>pracovnú cestu), môže sa po overení uviesť vyjadrenie, že vo finančnej operácii alebo jej časti je možné pokračovať, poprípade nie je možné pokračovať, ak finančná operácia nie je v súlade s niektorými skutočnosťami podľa § 6 ods. 4 zákona č. 357/2015 Z. z. Ak</w:t>
      </w:r>
      <w:r w:rsidR="00D06A17">
        <w:rPr>
          <w:rFonts w:ascii="Times New Roman" w:hAnsi="Times New Roman"/>
          <w:sz w:val="24"/>
          <w:szCs w:val="24"/>
        </w:rPr>
        <w:t> </w:t>
      </w:r>
      <w:r w:rsidRPr="0091527C">
        <w:rPr>
          <w:rFonts w:ascii="Times New Roman" w:hAnsi="Times New Roman"/>
          <w:sz w:val="24"/>
          <w:szCs w:val="24"/>
        </w:rPr>
        <w:t>zamestnanci orgánu verejnej správy očakávajú príjem do rozpočtu orgánu verejnej správy (napr. príjem z nájomného, príjem do pokladne) a tento príjem im neprišiel v správnej výške alebo v určenej lehote, môže sa uviesť vyjadrenie, že  je potre</w:t>
      </w:r>
      <w:r w:rsidR="004F3169">
        <w:rPr>
          <w:rFonts w:ascii="Times New Roman" w:hAnsi="Times New Roman"/>
          <w:sz w:val="24"/>
          <w:szCs w:val="24"/>
        </w:rPr>
        <w:t>b</w:t>
      </w:r>
      <w:r w:rsidRPr="0091527C">
        <w:rPr>
          <w:rFonts w:ascii="Times New Roman" w:hAnsi="Times New Roman"/>
          <w:sz w:val="24"/>
          <w:szCs w:val="24"/>
        </w:rPr>
        <w:t>né vymáhať</w:t>
      </w:r>
      <w:r w:rsidR="004216E1">
        <w:rPr>
          <w:rFonts w:ascii="Times New Roman" w:hAnsi="Times New Roman"/>
          <w:sz w:val="24"/>
          <w:szCs w:val="24"/>
        </w:rPr>
        <w:t xml:space="preserve"> poskytnuté plnenie</w:t>
      </w:r>
      <w:r w:rsidRPr="0091527C">
        <w:rPr>
          <w:rFonts w:ascii="Times New Roman" w:hAnsi="Times New Roman"/>
          <w:sz w:val="24"/>
          <w:szCs w:val="24"/>
        </w:rPr>
        <w:t xml:space="preserve">. Vymáhanie v kontexte ustanovenia § 7 ods. 3 nepredstavuje len postup na základe právoplatného rozhodnutia súdu, ale rozumie sa ním aj napr. uplatnenie nároku, zaslanie žiadosti o vrátenie, uzavretie dodatku o splátkach atď. </w:t>
      </w:r>
    </w:p>
    <w:p w14:paraId="52A06E1C" w14:textId="6CDFCD0D" w:rsidR="00AE0960" w:rsidRDefault="00AE0960" w:rsidP="0091527C">
      <w:pPr>
        <w:jc w:val="both"/>
        <w:rPr>
          <w:rFonts w:ascii="Times New Roman" w:hAnsi="Times New Roman"/>
          <w:b/>
          <w:sz w:val="24"/>
          <w:szCs w:val="24"/>
        </w:rPr>
      </w:pPr>
      <w:r w:rsidRPr="007C5675">
        <w:rPr>
          <w:rFonts w:ascii="Times New Roman" w:hAnsi="Times New Roman"/>
          <w:b/>
          <w:sz w:val="24"/>
          <w:szCs w:val="24"/>
        </w:rPr>
        <w:t>K</w:t>
      </w:r>
      <w:r w:rsidRPr="0072127A">
        <w:rPr>
          <w:rFonts w:ascii="Times New Roman" w:hAnsi="Times New Roman"/>
          <w:b/>
          <w:sz w:val="24"/>
          <w:szCs w:val="24"/>
        </w:rPr>
        <w:t> </w:t>
      </w:r>
      <w:r w:rsidRPr="007C5675">
        <w:rPr>
          <w:rFonts w:ascii="Times New Roman" w:hAnsi="Times New Roman"/>
          <w:b/>
          <w:sz w:val="24"/>
          <w:szCs w:val="24"/>
        </w:rPr>
        <w:t xml:space="preserve">bodu </w:t>
      </w:r>
      <w:r w:rsidR="00B0747B" w:rsidRPr="007C5675">
        <w:rPr>
          <w:rFonts w:ascii="Times New Roman" w:hAnsi="Times New Roman"/>
          <w:b/>
          <w:sz w:val="24"/>
          <w:szCs w:val="24"/>
        </w:rPr>
        <w:t>1</w:t>
      </w:r>
      <w:r w:rsidR="00B0747B">
        <w:rPr>
          <w:rFonts w:ascii="Times New Roman" w:hAnsi="Times New Roman"/>
          <w:b/>
          <w:sz w:val="24"/>
          <w:szCs w:val="24"/>
        </w:rPr>
        <w:t>8</w:t>
      </w:r>
      <w:r w:rsidR="00B0747B" w:rsidRPr="007C5675">
        <w:rPr>
          <w:rFonts w:ascii="Times New Roman" w:hAnsi="Times New Roman"/>
          <w:b/>
          <w:sz w:val="24"/>
          <w:szCs w:val="24"/>
        </w:rPr>
        <w:t xml:space="preserve"> </w:t>
      </w:r>
      <w:r w:rsidRPr="007C5675">
        <w:rPr>
          <w:rFonts w:ascii="Times New Roman" w:hAnsi="Times New Roman"/>
          <w:b/>
          <w:sz w:val="24"/>
          <w:szCs w:val="24"/>
        </w:rPr>
        <w:t>(poznámka pod čiarou k</w:t>
      </w:r>
      <w:r w:rsidRPr="0072127A">
        <w:rPr>
          <w:rFonts w:ascii="Times New Roman" w:hAnsi="Times New Roman"/>
          <w:b/>
          <w:sz w:val="24"/>
          <w:szCs w:val="24"/>
        </w:rPr>
        <w:t> </w:t>
      </w:r>
      <w:r w:rsidRPr="007C5675">
        <w:rPr>
          <w:rFonts w:ascii="Times New Roman" w:hAnsi="Times New Roman"/>
          <w:b/>
          <w:sz w:val="24"/>
          <w:szCs w:val="24"/>
        </w:rPr>
        <w:t xml:space="preserve">odkazu 17) </w:t>
      </w:r>
    </w:p>
    <w:p w14:paraId="6FACF93E" w14:textId="77777777" w:rsidR="004A449F" w:rsidRPr="0091527C" w:rsidRDefault="004A449F" w:rsidP="004A449F">
      <w:pPr>
        <w:jc w:val="both"/>
        <w:rPr>
          <w:rFonts w:ascii="Times New Roman" w:hAnsi="Times New Roman"/>
          <w:sz w:val="24"/>
          <w:szCs w:val="24"/>
        </w:rPr>
      </w:pPr>
      <w:r w:rsidRPr="0091527C">
        <w:rPr>
          <w:rFonts w:ascii="Times New Roman" w:hAnsi="Times New Roman"/>
          <w:sz w:val="24"/>
          <w:szCs w:val="24"/>
        </w:rPr>
        <w:t>Legislatívno-technická úprava.</w:t>
      </w:r>
    </w:p>
    <w:p w14:paraId="59E2ADE4" w14:textId="60CA5299" w:rsidR="004A449F" w:rsidRDefault="004A449F" w:rsidP="0091527C">
      <w:pPr>
        <w:jc w:val="both"/>
        <w:rPr>
          <w:rFonts w:ascii="Times New Roman" w:hAnsi="Times New Roman"/>
          <w:b/>
          <w:sz w:val="24"/>
          <w:szCs w:val="24"/>
        </w:rPr>
      </w:pPr>
      <w:r>
        <w:rPr>
          <w:rFonts w:ascii="Times New Roman" w:hAnsi="Times New Roman"/>
          <w:b/>
          <w:sz w:val="24"/>
          <w:szCs w:val="24"/>
        </w:rPr>
        <w:t xml:space="preserve">K bodu </w:t>
      </w:r>
      <w:r w:rsidR="00B0747B">
        <w:rPr>
          <w:rFonts w:ascii="Times New Roman" w:hAnsi="Times New Roman"/>
          <w:b/>
          <w:sz w:val="24"/>
          <w:szCs w:val="24"/>
        </w:rPr>
        <w:t xml:space="preserve">19 </w:t>
      </w:r>
      <w:r>
        <w:rPr>
          <w:rFonts w:ascii="Times New Roman" w:hAnsi="Times New Roman"/>
          <w:b/>
          <w:sz w:val="24"/>
          <w:szCs w:val="24"/>
        </w:rPr>
        <w:t>(nový odkaz 18a)</w:t>
      </w:r>
    </w:p>
    <w:p w14:paraId="6835F318" w14:textId="77777777" w:rsidR="004A449F" w:rsidRPr="000D78E7" w:rsidRDefault="00EC3438" w:rsidP="0091527C">
      <w:pPr>
        <w:jc w:val="both"/>
        <w:rPr>
          <w:rFonts w:ascii="Times New Roman" w:hAnsi="Times New Roman"/>
          <w:sz w:val="24"/>
          <w:szCs w:val="24"/>
        </w:rPr>
      </w:pPr>
      <w:r>
        <w:rPr>
          <w:rFonts w:ascii="Times New Roman" w:hAnsi="Times New Roman"/>
          <w:sz w:val="24"/>
          <w:szCs w:val="24"/>
        </w:rPr>
        <w:t xml:space="preserve">Navrhovaná úprava má za cieľ zabezpečiť, aby </w:t>
      </w:r>
      <w:r w:rsidRPr="007C5675">
        <w:rPr>
          <w:rFonts w:ascii="Times New Roman" w:hAnsi="Times New Roman"/>
          <w:sz w:val="24"/>
          <w:szCs w:val="24"/>
        </w:rPr>
        <w:t>malo Ministerstvo pôdohospodárstva a</w:t>
      </w:r>
      <w:r w:rsidRPr="0072127A">
        <w:rPr>
          <w:rFonts w:ascii="Times New Roman" w:hAnsi="Times New Roman"/>
          <w:sz w:val="24"/>
          <w:szCs w:val="24"/>
        </w:rPr>
        <w:t> </w:t>
      </w:r>
      <w:r w:rsidRPr="007C5675">
        <w:rPr>
          <w:rFonts w:ascii="Times New Roman" w:hAnsi="Times New Roman"/>
          <w:sz w:val="24"/>
          <w:szCs w:val="24"/>
        </w:rPr>
        <w:t xml:space="preserve">rozvoja vidieka SR kompetenciu vykonávať finančnú kontrolu na mieste v prípadoch, ak iný členský štát vyplatí prostriedky subjektu so sídlom </w:t>
      </w:r>
      <w:r w:rsidR="000D78E7">
        <w:rPr>
          <w:rFonts w:ascii="Times New Roman" w:hAnsi="Times New Roman"/>
          <w:sz w:val="24"/>
          <w:szCs w:val="24"/>
        </w:rPr>
        <w:t>na</w:t>
      </w:r>
      <w:r w:rsidR="00414664">
        <w:rPr>
          <w:rFonts w:ascii="Times New Roman" w:hAnsi="Times New Roman"/>
          <w:sz w:val="24"/>
          <w:szCs w:val="24"/>
        </w:rPr>
        <w:t xml:space="preserve"> </w:t>
      </w:r>
      <w:r w:rsidR="000D78E7">
        <w:rPr>
          <w:rFonts w:ascii="Times New Roman" w:hAnsi="Times New Roman"/>
          <w:sz w:val="24"/>
          <w:szCs w:val="24"/>
        </w:rPr>
        <w:t xml:space="preserve">území </w:t>
      </w:r>
      <w:r w:rsidRPr="0072127A">
        <w:rPr>
          <w:rFonts w:ascii="Times New Roman" w:hAnsi="Times New Roman"/>
          <w:sz w:val="24"/>
          <w:szCs w:val="24"/>
        </w:rPr>
        <w:t>Slovensk</w:t>
      </w:r>
      <w:r w:rsidR="00414664">
        <w:rPr>
          <w:rFonts w:ascii="Times New Roman" w:hAnsi="Times New Roman"/>
          <w:sz w:val="24"/>
          <w:szCs w:val="24"/>
        </w:rPr>
        <w:t>ej republik</w:t>
      </w:r>
      <w:r w:rsidR="000D78E7">
        <w:rPr>
          <w:rFonts w:ascii="Times New Roman" w:hAnsi="Times New Roman"/>
          <w:sz w:val="24"/>
          <w:szCs w:val="24"/>
        </w:rPr>
        <w:t>y</w:t>
      </w:r>
      <w:r w:rsidRPr="0072127A">
        <w:rPr>
          <w:rFonts w:ascii="Times New Roman" w:hAnsi="Times New Roman"/>
          <w:sz w:val="24"/>
          <w:szCs w:val="24"/>
        </w:rPr>
        <w:t>,</w:t>
      </w:r>
      <w:r w:rsidR="00414664">
        <w:rPr>
          <w:rFonts w:ascii="Times New Roman" w:hAnsi="Times New Roman"/>
          <w:sz w:val="24"/>
          <w:szCs w:val="24"/>
        </w:rPr>
        <w:t xml:space="preserve"> a to</w:t>
      </w:r>
      <w:r>
        <w:rPr>
          <w:rFonts w:ascii="Times New Roman" w:hAnsi="Times New Roman"/>
          <w:sz w:val="24"/>
          <w:szCs w:val="24"/>
        </w:rPr>
        <w:t xml:space="preserve"> v nadväznosti na povinnosti plynúce z nariadenia</w:t>
      </w:r>
      <w:r w:rsidRPr="00EC3438">
        <w:rPr>
          <w:rFonts w:ascii="Times New Roman" w:hAnsi="Times New Roman"/>
          <w:sz w:val="24"/>
          <w:szCs w:val="24"/>
        </w:rPr>
        <w:t xml:space="preserve"> Európskeho parlamentu a Rady (EÚ) č.</w:t>
      </w:r>
      <w:r w:rsidR="00414664">
        <w:rPr>
          <w:rFonts w:ascii="Times New Roman" w:hAnsi="Times New Roman"/>
          <w:sz w:val="24"/>
          <w:szCs w:val="24"/>
        </w:rPr>
        <w:t> </w:t>
      </w:r>
      <w:r w:rsidRPr="00EC3438">
        <w:rPr>
          <w:rFonts w:ascii="Times New Roman" w:hAnsi="Times New Roman"/>
          <w:sz w:val="24"/>
          <w:szCs w:val="24"/>
        </w:rPr>
        <w:t>1306/2013 zo</w:t>
      </w:r>
      <w:r w:rsidR="00E24E48">
        <w:rPr>
          <w:rFonts w:ascii="Times New Roman" w:hAnsi="Times New Roman"/>
          <w:sz w:val="24"/>
          <w:szCs w:val="24"/>
        </w:rPr>
        <w:t> </w:t>
      </w:r>
      <w:r w:rsidRPr="00EC3438">
        <w:rPr>
          <w:rFonts w:ascii="Times New Roman" w:hAnsi="Times New Roman"/>
          <w:sz w:val="24"/>
          <w:szCs w:val="24"/>
        </w:rPr>
        <w:t>17.</w:t>
      </w:r>
      <w:r w:rsidR="00E24E48">
        <w:rPr>
          <w:rFonts w:ascii="Times New Roman" w:hAnsi="Times New Roman"/>
          <w:sz w:val="24"/>
          <w:szCs w:val="24"/>
        </w:rPr>
        <w:t> </w:t>
      </w:r>
      <w:r w:rsidRPr="00EC3438">
        <w:rPr>
          <w:rFonts w:ascii="Times New Roman" w:hAnsi="Times New Roman"/>
          <w:sz w:val="24"/>
          <w:szCs w:val="24"/>
        </w:rPr>
        <w:t>decembra 2013 o financovaní, riadení a monitorovaní spoločnej poľnohospodárskej politiky</w:t>
      </w:r>
      <w:r w:rsidRPr="007C5675">
        <w:rPr>
          <w:rFonts w:ascii="Times New Roman" w:hAnsi="Times New Roman"/>
          <w:sz w:val="24"/>
          <w:szCs w:val="24"/>
        </w:rPr>
        <w:t>.</w:t>
      </w:r>
    </w:p>
    <w:p w14:paraId="78BBD5CD" w14:textId="024E049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B0747B">
        <w:rPr>
          <w:rFonts w:ascii="Times New Roman" w:hAnsi="Times New Roman"/>
          <w:b/>
          <w:sz w:val="24"/>
          <w:szCs w:val="24"/>
        </w:rPr>
        <w:t>20</w:t>
      </w:r>
      <w:r w:rsidR="00B0747B" w:rsidRPr="0091527C">
        <w:rPr>
          <w:rFonts w:ascii="Times New Roman" w:hAnsi="Times New Roman"/>
          <w:b/>
          <w:sz w:val="24"/>
          <w:szCs w:val="24"/>
        </w:rPr>
        <w:t xml:space="preserve"> </w:t>
      </w:r>
      <w:r w:rsidRPr="0091527C">
        <w:rPr>
          <w:rFonts w:ascii="Times New Roman" w:hAnsi="Times New Roman"/>
          <w:b/>
          <w:sz w:val="24"/>
          <w:szCs w:val="24"/>
        </w:rPr>
        <w:t>(§ 10 ods. 2 písm. i))</w:t>
      </w:r>
    </w:p>
    <w:p w14:paraId="590623DD" w14:textId="77777777" w:rsidR="0091527C" w:rsidRDefault="0091527C" w:rsidP="0091527C">
      <w:pPr>
        <w:jc w:val="both"/>
        <w:rPr>
          <w:rFonts w:ascii="Times New Roman" w:hAnsi="Times New Roman"/>
          <w:sz w:val="24"/>
          <w:szCs w:val="24"/>
        </w:rPr>
      </w:pPr>
      <w:r w:rsidRPr="0091527C">
        <w:rPr>
          <w:rFonts w:ascii="Times New Roman" w:hAnsi="Times New Roman"/>
          <w:sz w:val="24"/>
          <w:szCs w:val="24"/>
        </w:rPr>
        <w:t>Medzi ciele auditu sa dopĺňa aj cieľ overovať úroveň predchádzania korupci</w:t>
      </w:r>
      <w:r w:rsidR="007C5675">
        <w:rPr>
          <w:rFonts w:ascii="Times New Roman" w:hAnsi="Times New Roman"/>
          <w:sz w:val="24"/>
          <w:szCs w:val="24"/>
        </w:rPr>
        <w:t>i</w:t>
      </w:r>
      <w:r w:rsidRPr="0091527C">
        <w:rPr>
          <w:rFonts w:ascii="Times New Roman" w:hAnsi="Times New Roman"/>
          <w:sz w:val="24"/>
          <w:szCs w:val="24"/>
        </w:rPr>
        <w:t>, to znamená, ako má orgán verejnej správy nastavené protikorupčné procesy.</w:t>
      </w:r>
    </w:p>
    <w:p w14:paraId="019021FB" w14:textId="33104068" w:rsidR="00B0747B" w:rsidRPr="0033092C" w:rsidRDefault="00B0747B" w:rsidP="0091527C">
      <w:pPr>
        <w:jc w:val="both"/>
        <w:rPr>
          <w:rFonts w:ascii="Times New Roman" w:hAnsi="Times New Roman"/>
          <w:b/>
          <w:sz w:val="24"/>
          <w:szCs w:val="24"/>
        </w:rPr>
      </w:pPr>
      <w:r w:rsidRPr="0033092C">
        <w:rPr>
          <w:rFonts w:ascii="Times New Roman" w:hAnsi="Times New Roman"/>
          <w:b/>
          <w:sz w:val="24"/>
          <w:szCs w:val="24"/>
        </w:rPr>
        <w:t>K bodu 21 (§ 10 ods. 2 písm. k))</w:t>
      </w:r>
    </w:p>
    <w:p w14:paraId="0306A32C" w14:textId="77777777" w:rsidR="00B0747B" w:rsidRPr="0091527C" w:rsidRDefault="00B0747B" w:rsidP="00B0747B">
      <w:pPr>
        <w:jc w:val="both"/>
        <w:rPr>
          <w:rFonts w:ascii="Times New Roman" w:hAnsi="Times New Roman"/>
          <w:sz w:val="24"/>
          <w:szCs w:val="24"/>
        </w:rPr>
      </w:pPr>
      <w:r w:rsidRPr="00822F5D">
        <w:rPr>
          <w:rFonts w:ascii="Times New Roman" w:hAnsi="Times New Roman"/>
          <w:sz w:val="24"/>
          <w:szCs w:val="24"/>
        </w:rPr>
        <w:t>Leg</w:t>
      </w:r>
      <w:r>
        <w:rPr>
          <w:rFonts w:ascii="Times New Roman" w:hAnsi="Times New Roman"/>
          <w:sz w:val="24"/>
          <w:szCs w:val="24"/>
        </w:rPr>
        <w:t xml:space="preserve">islatívno-technická úprava v nadväznosti na </w:t>
      </w:r>
      <w:r w:rsidRPr="0091527C">
        <w:rPr>
          <w:rFonts w:ascii="Times New Roman" w:hAnsi="Times New Roman"/>
          <w:sz w:val="24"/>
          <w:szCs w:val="24"/>
        </w:rPr>
        <w:t>potreb</w:t>
      </w:r>
      <w:r>
        <w:rPr>
          <w:rFonts w:ascii="Times New Roman" w:hAnsi="Times New Roman"/>
          <w:sz w:val="24"/>
          <w:szCs w:val="24"/>
        </w:rPr>
        <w:t>u</w:t>
      </w:r>
      <w:r w:rsidRPr="0091527C">
        <w:rPr>
          <w:rFonts w:ascii="Times New Roman" w:hAnsi="Times New Roman"/>
          <w:sz w:val="24"/>
          <w:szCs w:val="24"/>
        </w:rPr>
        <w:t xml:space="preserve"> zosúladenia textu zákona č. 357/2015 Z. z. </w:t>
      </w:r>
    </w:p>
    <w:p w14:paraId="58BAB307" w14:textId="77777777" w:rsidR="0033092C" w:rsidRDefault="0033092C" w:rsidP="0091527C">
      <w:pPr>
        <w:jc w:val="both"/>
        <w:rPr>
          <w:rFonts w:ascii="Times New Roman" w:hAnsi="Times New Roman"/>
          <w:b/>
          <w:sz w:val="24"/>
          <w:szCs w:val="24"/>
        </w:rPr>
      </w:pPr>
    </w:p>
    <w:p w14:paraId="0D72F6FA" w14:textId="77777777" w:rsidR="0033092C" w:rsidRDefault="0033092C" w:rsidP="0091527C">
      <w:pPr>
        <w:jc w:val="both"/>
        <w:rPr>
          <w:rFonts w:ascii="Times New Roman" w:hAnsi="Times New Roman"/>
          <w:b/>
          <w:sz w:val="24"/>
          <w:szCs w:val="24"/>
        </w:rPr>
      </w:pPr>
    </w:p>
    <w:p w14:paraId="5B9AC201" w14:textId="17B66C69"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CF661E">
        <w:rPr>
          <w:rFonts w:ascii="Times New Roman" w:hAnsi="Times New Roman"/>
          <w:b/>
          <w:sz w:val="24"/>
          <w:szCs w:val="24"/>
        </w:rPr>
        <w:t>22</w:t>
      </w:r>
      <w:r w:rsidR="00CF661E" w:rsidRPr="0091527C">
        <w:rPr>
          <w:rFonts w:ascii="Times New Roman" w:hAnsi="Times New Roman"/>
          <w:b/>
          <w:sz w:val="24"/>
          <w:szCs w:val="24"/>
        </w:rPr>
        <w:t xml:space="preserve"> </w:t>
      </w:r>
      <w:r w:rsidRPr="0091527C">
        <w:rPr>
          <w:rFonts w:ascii="Times New Roman" w:hAnsi="Times New Roman"/>
          <w:b/>
          <w:sz w:val="24"/>
          <w:szCs w:val="24"/>
        </w:rPr>
        <w:t>(§ 10a)</w:t>
      </w:r>
    </w:p>
    <w:p w14:paraId="5B118FB5" w14:textId="21DE6CF4" w:rsidR="004A449F" w:rsidRDefault="0091527C" w:rsidP="0091527C">
      <w:pPr>
        <w:jc w:val="both"/>
        <w:rPr>
          <w:rFonts w:ascii="Times New Roman" w:hAnsi="Times New Roman"/>
          <w:sz w:val="24"/>
          <w:szCs w:val="24"/>
        </w:rPr>
      </w:pPr>
      <w:r w:rsidRPr="0091527C">
        <w:rPr>
          <w:rFonts w:ascii="Times New Roman" w:hAnsi="Times New Roman"/>
          <w:sz w:val="24"/>
          <w:szCs w:val="24"/>
        </w:rPr>
        <w:t>Do zákona č. 357/2015 Z. z. sa dopĺňa samostatné ustanoveni</w:t>
      </w:r>
      <w:r w:rsidR="00F01726">
        <w:rPr>
          <w:rFonts w:ascii="Times New Roman" w:hAnsi="Times New Roman"/>
          <w:sz w:val="24"/>
          <w:szCs w:val="24"/>
        </w:rPr>
        <w:t>e</w:t>
      </w:r>
      <w:r w:rsidRPr="0091527C">
        <w:rPr>
          <w:rFonts w:ascii="Times New Roman" w:hAnsi="Times New Roman"/>
          <w:sz w:val="24"/>
          <w:szCs w:val="24"/>
        </w:rPr>
        <w:t xml:space="preserve"> upravujúce hodnotenie kvality vykonávania finančnej kontroly a auditu. </w:t>
      </w:r>
      <w:r w:rsidR="004A449F" w:rsidRPr="0091527C">
        <w:rPr>
          <w:rFonts w:ascii="Times New Roman" w:hAnsi="Times New Roman"/>
          <w:sz w:val="24"/>
          <w:szCs w:val="24"/>
        </w:rPr>
        <w:t>Od účinnosti zákona č. 357/2015 Z. z. ministerstvo financií a Úrad vládneho auditu hodnot</w:t>
      </w:r>
      <w:r w:rsidR="004E2151">
        <w:rPr>
          <w:rFonts w:ascii="Times New Roman" w:hAnsi="Times New Roman"/>
          <w:sz w:val="24"/>
          <w:szCs w:val="24"/>
        </w:rPr>
        <w:t>ili</w:t>
      </w:r>
      <w:r w:rsidR="004A449F" w:rsidRPr="0091527C">
        <w:rPr>
          <w:rFonts w:ascii="Times New Roman" w:hAnsi="Times New Roman"/>
          <w:sz w:val="24"/>
          <w:szCs w:val="24"/>
        </w:rPr>
        <w:t xml:space="preserve"> kvalit</w:t>
      </w:r>
      <w:r w:rsidR="004E2151">
        <w:rPr>
          <w:rFonts w:ascii="Times New Roman" w:hAnsi="Times New Roman"/>
          <w:sz w:val="24"/>
          <w:szCs w:val="24"/>
        </w:rPr>
        <w:t>u</w:t>
      </w:r>
      <w:r w:rsidR="004A449F" w:rsidRPr="0091527C">
        <w:rPr>
          <w:rFonts w:ascii="Times New Roman" w:hAnsi="Times New Roman"/>
          <w:sz w:val="24"/>
          <w:szCs w:val="24"/>
        </w:rPr>
        <w:t xml:space="preserve"> vykonávania finančnej kontroly a auditu, avšak tento proces v zákone nebol bližšie popísaný.</w:t>
      </w:r>
    </w:p>
    <w:p w14:paraId="4BC2E972"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Cieľom hodnotenia kvality vykonávania finančnej kontroly a auditu je najmä dohliadať nad dodržiavaním ustanovení zákona č. 357/2015 Z. z., iných právnych predpisov (napr. zákon č. 395/2002 Z. z. o archívoch a registratúrach a o doplnení niektorých zákonov v znení neskorších predpisov), príslušných metodických usmernení a iných záväzných dokumentov audítorskou skupinou oprávnenej osoby, vnútorným audítorom, resp. zamestnancami orgánu verejnej správy vykonávajúcimi finančnú kontrolu.</w:t>
      </w:r>
    </w:p>
    <w:p w14:paraId="0F829A53" w14:textId="77777777" w:rsidR="007C5675" w:rsidRDefault="0091527C" w:rsidP="0091527C">
      <w:pPr>
        <w:jc w:val="both"/>
        <w:rPr>
          <w:rFonts w:ascii="Times New Roman" w:hAnsi="Times New Roman"/>
          <w:sz w:val="24"/>
          <w:szCs w:val="24"/>
        </w:rPr>
      </w:pPr>
      <w:r w:rsidRPr="0091527C">
        <w:rPr>
          <w:rFonts w:ascii="Times New Roman" w:hAnsi="Times New Roman"/>
          <w:sz w:val="24"/>
          <w:szCs w:val="24"/>
        </w:rPr>
        <w:t xml:space="preserve">Hodnotenie kvality vykonávania finančnej kontroly a auditu sa môže vykonať na základe podnetu, ale aj na základe ročného plánu, ktorý vychádza z rizikovej analýzy. Impulzom pre hodnotenie kvality vykonávania vnútorného auditu môžu byť aj zaslané ročné správy o vykonaných vnútorných auditoch. </w:t>
      </w:r>
    </w:p>
    <w:p w14:paraId="206728D0" w14:textId="25D0A784" w:rsidR="0091527C" w:rsidRDefault="0091527C" w:rsidP="0091527C">
      <w:pPr>
        <w:jc w:val="both"/>
        <w:rPr>
          <w:rFonts w:ascii="Times New Roman" w:hAnsi="Times New Roman"/>
          <w:sz w:val="24"/>
          <w:szCs w:val="24"/>
        </w:rPr>
      </w:pPr>
      <w:r w:rsidRPr="0091527C">
        <w:rPr>
          <w:rFonts w:ascii="Times New Roman" w:hAnsi="Times New Roman"/>
          <w:sz w:val="24"/>
          <w:szCs w:val="24"/>
        </w:rPr>
        <w:t>Zavedením ustanovenia vzťahujúceho sa k hodnoteniu kvality vykonávania finančnej kontroly a auditu nie je dotknutá možnosť vykonania overenia podľa § 19 ods. 4 zákona č. 357/2015 Z.</w:t>
      </w:r>
      <w:r w:rsidR="00B03251">
        <w:rPr>
          <w:rFonts w:ascii="Times New Roman" w:hAnsi="Times New Roman"/>
          <w:sz w:val="24"/>
          <w:szCs w:val="24"/>
        </w:rPr>
        <w:t> </w:t>
      </w:r>
      <w:r w:rsidRPr="0091527C">
        <w:rPr>
          <w:rFonts w:ascii="Times New Roman" w:hAnsi="Times New Roman"/>
          <w:sz w:val="24"/>
          <w:szCs w:val="24"/>
        </w:rPr>
        <w:t>z., t. j. hodnotenie kvality ako cieľ, resp. jeden z cieľov vládneho auditu. Zamestnanci auditujúceho orgánu, ktorí budú hodnot</w:t>
      </w:r>
      <w:r w:rsidR="004E2151">
        <w:rPr>
          <w:rFonts w:ascii="Times New Roman" w:hAnsi="Times New Roman"/>
          <w:sz w:val="24"/>
          <w:szCs w:val="24"/>
        </w:rPr>
        <w:t>iť</w:t>
      </w:r>
      <w:r w:rsidRPr="0091527C">
        <w:rPr>
          <w:rFonts w:ascii="Times New Roman" w:hAnsi="Times New Roman"/>
          <w:sz w:val="24"/>
          <w:szCs w:val="24"/>
        </w:rPr>
        <w:t xml:space="preserve"> kvalit</w:t>
      </w:r>
      <w:r w:rsidR="004E2151">
        <w:rPr>
          <w:rFonts w:ascii="Times New Roman" w:hAnsi="Times New Roman"/>
          <w:sz w:val="24"/>
          <w:szCs w:val="24"/>
        </w:rPr>
        <w:t>u</w:t>
      </w:r>
      <w:r w:rsidRPr="0091527C">
        <w:rPr>
          <w:rFonts w:ascii="Times New Roman" w:hAnsi="Times New Roman"/>
          <w:sz w:val="24"/>
          <w:szCs w:val="24"/>
        </w:rPr>
        <w:t xml:space="preserve"> vykonávania finančnej kontroly a auditu sa budú primerane riadiť základnými pravidlami finančnej kontroly a auditu.</w:t>
      </w:r>
    </w:p>
    <w:p w14:paraId="3095720E" w14:textId="54F3500B" w:rsidR="001D708E" w:rsidRDefault="007C5675" w:rsidP="0091527C">
      <w:pPr>
        <w:jc w:val="both"/>
        <w:rPr>
          <w:rFonts w:ascii="Times New Roman" w:hAnsi="Times New Roman"/>
          <w:sz w:val="24"/>
          <w:szCs w:val="24"/>
        </w:rPr>
      </w:pPr>
      <w:r>
        <w:rPr>
          <w:rFonts w:ascii="Times New Roman" w:hAnsi="Times New Roman"/>
          <w:sz w:val="24"/>
          <w:szCs w:val="24"/>
        </w:rPr>
        <w:t xml:space="preserve">Zároveň </w:t>
      </w:r>
      <w:r w:rsidR="001D708E">
        <w:rPr>
          <w:rFonts w:ascii="Times New Roman" w:hAnsi="Times New Roman"/>
          <w:sz w:val="24"/>
          <w:szCs w:val="24"/>
        </w:rPr>
        <w:t xml:space="preserve">je upravený </w:t>
      </w:r>
      <w:r>
        <w:rPr>
          <w:rFonts w:ascii="Times New Roman" w:hAnsi="Times New Roman"/>
          <w:sz w:val="24"/>
          <w:szCs w:val="24"/>
        </w:rPr>
        <w:t>špecifický prístup pri hodnoten</w:t>
      </w:r>
      <w:r w:rsidR="004E2151">
        <w:rPr>
          <w:rFonts w:ascii="Times New Roman" w:hAnsi="Times New Roman"/>
          <w:sz w:val="24"/>
          <w:szCs w:val="24"/>
        </w:rPr>
        <w:t>í</w:t>
      </w:r>
      <w:r>
        <w:rPr>
          <w:rFonts w:ascii="Times New Roman" w:hAnsi="Times New Roman"/>
          <w:sz w:val="24"/>
          <w:szCs w:val="24"/>
        </w:rPr>
        <w:t xml:space="preserve"> kvality vykonávania finančnej kontroly a auditu </w:t>
      </w:r>
      <w:r w:rsidRPr="004435F8">
        <w:rPr>
          <w:rFonts w:ascii="Times New Roman" w:hAnsi="Times New Roman"/>
          <w:sz w:val="24"/>
          <w:szCs w:val="24"/>
        </w:rPr>
        <w:t>v orgánoch verejnej správy, ktorými sú Slovenská informačná služba</w:t>
      </w:r>
      <w:r w:rsidR="007E5AAE">
        <w:rPr>
          <w:rFonts w:ascii="Times New Roman" w:hAnsi="Times New Roman"/>
          <w:sz w:val="24"/>
          <w:szCs w:val="24"/>
        </w:rPr>
        <w:t xml:space="preserve"> a</w:t>
      </w:r>
      <w:r w:rsidR="00517778">
        <w:rPr>
          <w:rFonts w:ascii="Times New Roman" w:hAnsi="Times New Roman"/>
          <w:sz w:val="24"/>
          <w:szCs w:val="24"/>
        </w:rPr>
        <w:t> </w:t>
      </w:r>
      <w:r w:rsidRPr="004435F8">
        <w:rPr>
          <w:rFonts w:ascii="Times New Roman" w:hAnsi="Times New Roman"/>
          <w:sz w:val="24"/>
          <w:szCs w:val="24"/>
        </w:rPr>
        <w:t>Vojenské spravodajstvo v pôsobnosti Ministerstv</w:t>
      </w:r>
      <w:r w:rsidR="007E5AAE">
        <w:rPr>
          <w:rFonts w:ascii="Times New Roman" w:hAnsi="Times New Roman"/>
          <w:sz w:val="24"/>
          <w:szCs w:val="24"/>
        </w:rPr>
        <w:t>a</w:t>
      </w:r>
      <w:r w:rsidRPr="004435F8">
        <w:rPr>
          <w:rFonts w:ascii="Times New Roman" w:hAnsi="Times New Roman"/>
          <w:sz w:val="24"/>
          <w:szCs w:val="24"/>
        </w:rPr>
        <w:t xml:space="preserve"> obrany Slovenskej republiky</w:t>
      </w:r>
      <w:r>
        <w:rPr>
          <w:rFonts w:ascii="Times New Roman" w:hAnsi="Times New Roman"/>
          <w:sz w:val="24"/>
          <w:szCs w:val="24"/>
        </w:rPr>
        <w:t>.</w:t>
      </w:r>
    </w:p>
    <w:p w14:paraId="7045494B" w14:textId="77777777" w:rsidR="00531E09" w:rsidRDefault="00531E09" w:rsidP="0091527C">
      <w:pPr>
        <w:jc w:val="both"/>
        <w:rPr>
          <w:rFonts w:ascii="Times New Roman" w:hAnsi="Times New Roman"/>
          <w:sz w:val="24"/>
          <w:szCs w:val="24"/>
        </w:rPr>
      </w:pPr>
      <w:r>
        <w:rPr>
          <w:rFonts w:ascii="Times New Roman" w:hAnsi="Times New Roman"/>
          <w:sz w:val="24"/>
          <w:szCs w:val="24"/>
        </w:rPr>
        <w:t>Ministerstvo financií vypracuje k hodnoteniu kvality metodické usmernenie, ktoré bude zverejnené na webovej stránke ministerstva financií.</w:t>
      </w:r>
    </w:p>
    <w:p w14:paraId="2D19A3A8" w14:textId="23E3A29B"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F661E" w:rsidRPr="0091527C">
        <w:rPr>
          <w:rFonts w:ascii="Times New Roman" w:hAnsi="Times New Roman"/>
          <w:b/>
          <w:sz w:val="24"/>
          <w:szCs w:val="24"/>
        </w:rPr>
        <w:t>2</w:t>
      </w:r>
      <w:r w:rsidR="00CF661E">
        <w:rPr>
          <w:rFonts w:ascii="Times New Roman" w:hAnsi="Times New Roman"/>
          <w:b/>
          <w:sz w:val="24"/>
          <w:szCs w:val="24"/>
        </w:rPr>
        <w:t>3</w:t>
      </w:r>
      <w:r w:rsidR="00CF661E" w:rsidRPr="0091527C">
        <w:rPr>
          <w:rFonts w:ascii="Times New Roman" w:hAnsi="Times New Roman"/>
          <w:b/>
          <w:sz w:val="24"/>
          <w:szCs w:val="24"/>
        </w:rPr>
        <w:t xml:space="preserve"> </w:t>
      </w:r>
      <w:r w:rsidRPr="0091527C">
        <w:rPr>
          <w:rFonts w:ascii="Times New Roman" w:hAnsi="Times New Roman"/>
          <w:b/>
          <w:sz w:val="24"/>
          <w:szCs w:val="24"/>
        </w:rPr>
        <w:t>(§ 11)</w:t>
      </w:r>
    </w:p>
    <w:p w14:paraId="4BA81C9A" w14:textId="1A75314C" w:rsidR="0091527C" w:rsidRPr="0091527C" w:rsidRDefault="0091527C" w:rsidP="003E03AD">
      <w:pPr>
        <w:jc w:val="both"/>
        <w:rPr>
          <w:rFonts w:ascii="Times New Roman" w:hAnsi="Times New Roman"/>
          <w:sz w:val="24"/>
          <w:szCs w:val="24"/>
        </w:rPr>
      </w:pPr>
      <w:r w:rsidRPr="0091527C">
        <w:rPr>
          <w:rFonts w:ascii="Times New Roman" w:hAnsi="Times New Roman"/>
          <w:sz w:val="24"/>
          <w:szCs w:val="24"/>
        </w:rPr>
        <w:t>V ustanovení sa upravuje zloženie a kompetencie Výboru pre vnútorný audit a vládny audit (ďalej len „výbor“), vzhľadom na jeho špecifické postavenie v systéme. S ohľadom na doterajšiu prax a kompetencie výboru, bude mať ministerstvo financií</w:t>
      </w:r>
      <w:r w:rsidR="003E03AD">
        <w:rPr>
          <w:rFonts w:ascii="Times New Roman" w:hAnsi="Times New Roman"/>
          <w:sz w:val="24"/>
          <w:szCs w:val="24"/>
        </w:rPr>
        <w:t xml:space="preserve"> troch zástupcov vrátane predsedu</w:t>
      </w:r>
      <w:r w:rsidRPr="0091527C">
        <w:rPr>
          <w:rFonts w:ascii="Times New Roman" w:hAnsi="Times New Roman"/>
          <w:sz w:val="24"/>
          <w:szCs w:val="24"/>
        </w:rPr>
        <w:t>,</w:t>
      </w:r>
      <w:r w:rsidR="003E03AD">
        <w:rPr>
          <w:rFonts w:ascii="Times New Roman" w:hAnsi="Times New Roman"/>
          <w:sz w:val="24"/>
          <w:szCs w:val="24"/>
        </w:rPr>
        <w:t xml:space="preserve"> a to</w:t>
      </w:r>
      <w:r w:rsidRPr="0091527C">
        <w:rPr>
          <w:rFonts w:ascii="Times New Roman" w:hAnsi="Times New Roman"/>
          <w:sz w:val="24"/>
          <w:szCs w:val="24"/>
        </w:rPr>
        <w:t xml:space="preserve"> </w:t>
      </w:r>
      <w:r w:rsidR="00E24E48">
        <w:rPr>
          <w:rFonts w:ascii="Times New Roman" w:hAnsi="Times New Roman"/>
          <w:sz w:val="24"/>
          <w:szCs w:val="24"/>
        </w:rPr>
        <w:t>z dôvodu</w:t>
      </w:r>
      <w:r w:rsidR="003E03AD" w:rsidRPr="003E03AD">
        <w:rPr>
          <w:rFonts w:ascii="Times New Roman" w:hAnsi="Times New Roman"/>
          <w:sz w:val="24"/>
          <w:szCs w:val="24"/>
        </w:rPr>
        <w:t xml:space="preserve">, že v rámci </w:t>
      </w:r>
      <w:r w:rsidR="003E03AD">
        <w:rPr>
          <w:rFonts w:ascii="Times New Roman" w:hAnsi="Times New Roman"/>
          <w:sz w:val="24"/>
          <w:szCs w:val="24"/>
        </w:rPr>
        <w:t>m</w:t>
      </w:r>
      <w:r w:rsidR="003E03AD" w:rsidRPr="003E03AD">
        <w:rPr>
          <w:rFonts w:ascii="Times New Roman" w:hAnsi="Times New Roman"/>
          <w:sz w:val="24"/>
          <w:szCs w:val="24"/>
        </w:rPr>
        <w:t>inisterstva financií pôsobia popri útvare vnúto</w:t>
      </w:r>
      <w:r w:rsidR="003E03AD">
        <w:rPr>
          <w:rFonts w:ascii="Times New Roman" w:hAnsi="Times New Roman"/>
          <w:sz w:val="24"/>
          <w:szCs w:val="24"/>
        </w:rPr>
        <w:t>rného auditu aj vládni audítori.</w:t>
      </w:r>
      <w:r w:rsidR="003E03AD" w:rsidRPr="003E03AD">
        <w:rPr>
          <w:rFonts w:ascii="Times New Roman" w:hAnsi="Times New Roman"/>
          <w:sz w:val="24"/>
          <w:szCs w:val="24"/>
        </w:rPr>
        <w:t xml:space="preserve"> </w:t>
      </w:r>
      <w:r w:rsidR="003E03AD">
        <w:rPr>
          <w:rFonts w:ascii="Times New Roman" w:hAnsi="Times New Roman"/>
          <w:sz w:val="24"/>
          <w:szCs w:val="24"/>
        </w:rPr>
        <w:t>O</w:t>
      </w:r>
      <w:r w:rsidRPr="0091527C">
        <w:rPr>
          <w:rFonts w:ascii="Times New Roman" w:hAnsi="Times New Roman"/>
          <w:sz w:val="24"/>
          <w:szCs w:val="24"/>
        </w:rPr>
        <w:t xml:space="preserve">statní členovia výboru budú mať po jednom zástupcovi. Dopĺňa sa zástupca Úradu vládneho auditu, Úradu pre verejné obstarávanie, Protimonopolného úradu Slovenskej republiky a vypúšťa sa zástupca Ministerstva vnútra SR a Generálnej prokuratúry SR. </w:t>
      </w:r>
      <w:r w:rsidR="00756BCE">
        <w:rPr>
          <w:rFonts w:ascii="Times New Roman" w:hAnsi="Times New Roman"/>
          <w:sz w:val="24"/>
          <w:szCs w:val="24"/>
        </w:rPr>
        <w:t>Zároveň sa vypúšťa zástupca Najvyššieho kontrolného úradu SR, a to s</w:t>
      </w:r>
      <w:r w:rsidR="005E5A17">
        <w:rPr>
          <w:rFonts w:ascii="Times New Roman" w:hAnsi="Times New Roman"/>
          <w:sz w:val="24"/>
          <w:szCs w:val="24"/>
        </w:rPr>
        <w:t> </w:t>
      </w:r>
      <w:r w:rsidR="00756BCE" w:rsidRPr="00074054">
        <w:rPr>
          <w:rFonts w:ascii="Times New Roman" w:hAnsi="Times New Roman"/>
          <w:sz w:val="24"/>
          <w:szCs w:val="24"/>
        </w:rPr>
        <w:t>ohľadom na zachovanie jeho nezávislého postavenia</w:t>
      </w:r>
      <w:r w:rsidR="00074054" w:rsidRPr="00074054">
        <w:rPr>
          <w:rFonts w:ascii="Times New Roman" w:hAnsi="Times New Roman"/>
          <w:sz w:val="24"/>
          <w:szCs w:val="24"/>
        </w:rPr>
        <w:t>. Napriek tomu, že zástupca Najvyššieho kontrolného úradu SR</w:t>
      </w:r>
      <w:r w:rsidR="00074054">
        <w:rPr>
          <w:rFonts w:ascii="Times New Roman" w:hAnsi="Times New Roman"/>
          <w:sz w:val="24"/>
          <w:szCs w:val="24"/>
        </w:rPr>
        <w:t xml:space="preserve"> už nebude</w:t>
      </w:r>
      <w:r w:rsidR="00074054" w:rsidRPr="00074054">
        <w:rPr>
          <w:rFonts w:ascii="Times New Roman" w:hAnsi="Times New Roman"/>
          <w:sz w:val="24"/>
          <w:szCs w:val="24"/>
        </w:rPr>
        <w:t xml:space="preserve"> členom v</w:t>
      </w:r>
      <w:r w:rsidR="00756BCE" w:rsidRPr="00074054">
        <w:rPr>
          <w:rFonts w:ascii="Times New Roman" w:hAnsi="Times New Roman"/>
          <w:sz w:val="24"/>
          <w:szCs w:val="24"/>
        </w:rPr>
        <w:t>ýboru, b</w:t>
      </w:r>
      <w:r w:rsidR="00074054" w:rsidRPr="00074054">
        <w:rPr>
          <w:rFonts w:ascii="Times New Roman" w:hAnsi="Times New Roman"/>
          <w:sz w:val="24"/>
          <w:szCs w:val="24"/>
        </w:rPr>
        <w:t>ude informovaný o</w:t>
      </w:r>
      <w:r w:rsidR="00E6528A">
        <w:rPr>
          <w:rFonts w:ascii="Times New Roman" w:hAnsi="Times New Roman"/>
          <w:sz w:val="24"/>
          <w:szCs w:val="24"/>
        </w:rPr>
        <w:t> </w:t>
      </w:r>
      <w:r w:rsidR="00074054" w:rsidRPr="00074054">
        <w:rPr>
          <w:rFonts w:ascii="Times New Roman" w:hAnsi="Times New Roman"/>
          <w:sz w:val="24"/>
          <w:szCs w:val="24"/>
        </w:rPr>
        <w:t>zasadnutiach v</w:t>
      </w:r>
      <w:r w:rsidR="005E5A17">
        <w:rPr>
          <w:rFonts w:ascii="Times New Roman" w:hAnsi="Times New Roman"/>
          <w:sz w:val="24"/>
          <w:szCs w:val="24"/>
        </w:rPr>
        <w:t>ýboru a </w:t>
      </w:r>
      <w:r w:rsidR="00756BCE" w:rsidRPr="00074054">
        <w:rPr>
          <w:rFonts w:ascii="Times New Roman" w:hAnsi="Times New Roman"/>
          <w:sz w:val="24"/>
          <w:szCs w:val="24"/>
        </w:rPr>
        <w:t xml:space="preserve">bude mať možnosť sa ich </w:t>
      </w:r>
      <w:r w:rsidR="003E03AD" w:rsidRPr="00074054">
        <w:rPr>
          <w:rFonts w:ascii="Times New Roman" w:hAnsi="Times New Roman"/>
          <w:sz w:val="24"/>
          <w:szCs w:val="24"/>
        </w:rPr>
        <w:t xml:space="preserve">zúčastniť </w:t>
      </w:r>
      <w:r w:rsidR="00756BCE" w:rsidRPr="00074054">
        <w:rPr>
          <w:rFonts w:ascii="Times New Roman" w:hAnsi="Times New Roman"/>
          <w:sz w:val="24"/>
          <w:szCs w:val="24"/>
        </w:rPr>
        <w:t>v</w:t>
      </w:r>
      <w:r w:rsidR="003E03AD">
        <w:rPr>
          <w:rFonts w:ascii="Times New Roman" w:hAnsi="Times New Roman"/>
          <w:sz w:val="24"/>
          <w:szCs w:val="24"/>
        </w:rPr>
        <w:t> </w:t>
      </w:r>
      <w:r w:rsidR="00756BCE" w:rsidRPr="00074054">
        <w:rPr>
          <w:rFonts w:ascii="Times New Roman" w:hAnsi="Times New Roman"/>
          <w:sz w:val="24"/>
          <w:szCs w:val="24"/>
        </w:rPr>
        <w:t>pozícii pozorovateľa bez hlasovacieho práva</w:t>
      </w:r>
      <w:r w:rsidR="00074054" w:rsidRPr="00074054">
        <w:rPr>
          <w:rFonts w:ascii="Times New Roman" w:hAnsi="Times New Roman"/>
          <w:sz w:val="24"/>
          <w:szCs w:val="24"/>
        </w:rPr>
        <w:t xml:space="preserve">. </w:t>
      </w:r>
      <w:r w:rsidRPr="0091527C">
        <w:rPr>
          <w:rFonts w:ascii="Times New Roman" w:hAnsi="Times New Roman"/>
          <w:sz w:val="24"/>
          <w:szCs w:val="24"/>
        </w:rPr>
        <w:t>Zmena zloženia výboru súvisí najmä s kompetenciou vykonávať porad</w:t>
      </w:r>
      <w:r w:rsidR="005E5A17">
        <w:rPr>
          <w:rFonts w:ascii="Times New Roman" w:hAnsi="Times New Roman"/>
          <w:sz w:val="24"/>
          <w:szCs w:val="24"/>
        </w:rPr>
        <w:t>enskú a konzultačnú činnosť pre </w:t>
      </w:r>
      <w:r w:rsidRPr="0091527C">
        <w:rPr>
          <w:rFonts w:ascii="Times New Roman" w:hAnsi="Times New Roman"/>
          <w:sz w:val="24"/>
          <w:szCs w:val="24"/>
        </w:rPr>
        <w:t xml:space="preserve">správcov kapitoly štátneho rozpočtu, ministerstvo financií a Úrad vládneho auditu pri ich audítorskej činnosti. </w:t>
      </w:r>
    </w:p>
    <w:p w14:paraId="0B5E1F1C" w14:textId="46C8A2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Činnosti výboru sa rozširujú za účelom zefektívnenia vzdelávania vnútorných </w:t>
      </w:r>
      <w:r w:rsidR="005E5A17">
        <w:rPr>
          <w:rFonts w:ascii="Times New Roman" w:hAnsi="Times New Roman"/>
          <w:sz w:val="24"/>
          <w:szCs w:val="24"/>
        </w:rPr>
        <w:t xml:space="preserve">audítorov </w:t>
      </w:r>
      <w:r w:rsidRPr="0091527C">
        <w:rPr>
          <w:rFonts w:ascii="Times New Roman" w:hAnsi="Times New Roman"/>
          <w:sz w:val="24"/>
          <w:szCs w:val="24"/>
        </w:rPr>
        <w:t xml:space="preserve">a vládnych audítorov, a to aj v nadväznosti na poradenskú a konzultačnú činnosť výboru </w:t>
      </w:r>
      <w:r w:rsidRPr="0091527C">
        <w:rPr>
          <w:rFonts w:ascii="Times New Roman" w:hAnsi="Times New Roman"/>
          <w:sz w:val="24"/>
          <w:szCs w:val="24"/>
        </w:rPr>
        <w:lastRenderedPageBreak/>
        <w:t>(navrhovanie odborných tém, spolupráca pri príprave plánu vzdelávania atď.), na základe ktorej môže výbor odborne zhodnotiť oblasti, ktorým je potrebné venovať väčšiu pozornosť a prispieť tak</w:t>
      </w:r>
      <w:r w:rsidR="00460FB8">
        <w:rPr>
          <w:rFonts w:ascii="Times New Roman" w:hAnsi="Times New Roman"/>
          <w:sz w:val="24"/>
          <w:szCs w:val="24"/>
        </w:rPr>
        <w:t> </w:t>
      </w:r>
      <w:r w:rsidRPr="0091527C">
        <w:rPr>
          <w:rFonts w:ascii="Times New Roman" w:hAnsi="Times New Roman"/>
          <w:sz w:val="24"/>
          <w:szCs w:val="24"/>
        </w:rPr>
        <w:t>k adresnejšiemu nastaveniu systému vzdelávania. Výbor podľa navrhovanej úpravy spolupracuje pri zabezpečovaní vzdelávania vnútorných audítorov a vládnych audítorov, avšak celková zodpovednosť za zabezpečenie vzdelávania zamestnancov vykonávajúcich nielen audit, ale aj finančnú kontrolu naďalej ostáva v kompetencii ministerstva financií.</w:t>
      </w:r>
    </w:p>
    <w:p w14:paraId="34DC1C83" w14:textId="77777777" w:rsidR="0091527C" w:rsidRPr="0091527C" w:rsidDel="009C7A6B" w:rsidRDefault="0091527C" w:rsidP="0091527C">
      <w:pPr>
        <w:jc w:val="both"/>
        <w:rPr>
          <w:rFonts w:ascii="Times New Roman" w:hAnsi="Times New Roman"/>
          <w:sz w:val="24"/>
          <w:szCs w:val="24"/>
        </w:rPr>
      </w:pPr>
      <w:r w:rsidRPr="0091527C">
        <w:rPr>
          <w:rFonts w:ascii="Times New Roman" w:hAnsi="Times New Roman"/>
          <w:sz w:val="24"/>
          <w:szCs w:val="24"/>
        </w:rPr>
        <w:t xml:space="preserve">Administratívne a technické náležitosti činností výboru bude zabezpečovať sekretariát výboru, ktorý bude pozostávať zo zamestnancov ministerstva financií. Hlavná činnosť výboru, t. j. konzultačná a poradenská činnosť, bude zabezpečovaná výborom ako celkom, pričom v rámci výboru budú zriadené komisie. </w:t>
      </w:r>
    </w:p>
    <w:p w14:paraId="7B3E8EED" w14:textId="75D2C145"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Ďalšie úlohy výboru a jednotlivých komisií, a zároveň spôsob rokovania, upraví štatút výboru. Výbor bude na webovom sídle ministerstva financií zverejňovať program svojho plánovaného rokovania</w:t>
      </w:r>
      <w:r w:rsidR="00E6528A">
        <w:rPr>
          <w:rFonts w:ascii="Times New Roman" w:hAnsi="Times New Roman"/>
          <w:sz w:val="24"/>
          <w:szCs w:val="24"/>
        </w:rPr>
        <w:t>,</w:t>
      </w:r>
      <w:r w:rsidRPr="0091527C">
        <w:rPr>
          <w:rFonts w:ascii="Times New Roman" w:hAnsi="Times New Roman"/>
          <w:sz w:val="24"/>
          <w:szCs w:val="24"/>
        </w:rPr>
        <w:t xml:space="preserve"> pričom vnútorní audítori a vládni audítori budú mať možnosť požiadať o prizvanie na rokovanie výboru, a to najmä vtedy, ak výbor bude riešiť </w:t>
      </w:r>
      <w:r w:rsidR="003E03AD">
        <w:rPr>
          <w:rFonts w:ascii="Times New Roman" w:hAnsi="Times New Roman"/>
          <w:sz w:val="24"/>
          <w:szCs w:val="24"/>
        </w:rPr>
        <w:t xml:space="preserve">aktuálne </w:t>
      </w:r>
      <w:r w:rsidRPr="0091527C">
        <w:rPr>
          <w:rFonts w:ascii="Times New Roman" w:hAnsi="Times New Roman"/>
          <w:sz w:val="24"/>
          <w:szCs w:val="24"/>
        </w:rPr>
        <w:t>otázky a problémy. Taktiež môžu zaslať na rokovanie výboru vlastné podnety na</w:t>
      </w:r>
      <w:r w:rsidR="003E03AD">
        <w:rPr>
          <w:rFonts w:ascii="Times New Roman" w:hAnsi="Times New Roman"/>
          <w:sz w:val="24"/>
          <w:szCs w:val="24"/>
        </w:rPr>
        <w:t> </w:t>
      </w:r>
      <w:r w:rsidRPr="0091527C">
        <w:rPr>
          <w:rFonts w:ascii="Times New Roman" w:hAnsi="Times New Roman"/>
          <w:sz w:val="24"/>
          <w:szCs w:val="24"/>
        </w:rPr>
        <w:t>prerokovanie. Na rokovanie výboru môžu byť v prípade potreby prizvaní experti z relevantných oblastí.</w:t>
      </w:r>
    </w:p>
    <w:p w14:paraId="29FE02ED" w14:textId="39856473"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192C37" w:rsidRPr="0091527C">
        <w:rPr>
          <w:rFonts w:ascii="Times New Roman" w:hAnsi="Times New Roman"/>
          <w:b/>
          <w:sz w:val="24"/>
          <w:szCs w:val="24"/>
        </w:rPr>
        <w:t>2</w:t>
      </w:r>
      <w:r w:rsidR="00192C37">
        <w:rPr>
          <w:rFonts w:ascii="Times New Roman" w:hAnsi="Times New Roman"/>
          <w:b/>
          <w:sz w:val="24"/>
          <w:szCs w:val="24"/>
        </w:rPr>
        <w:t>4</w:t>
      </w:r>
      <w:r w:rsidR="00192C37" w:rsidRPr="0091527C">
        <w:rPr>
          <w:rFonts w:ascii="Times New Roman" w:hAnsi="Times New Roman"/>
          <w:b/>
          <w:sz w:val="24"/>
          <w:szCs w:val="24"/>
        </w:rPr>
        <w:t xml:space="preserve"> </w:t>
      </w:r>
      <w:r w:rsidRPr="0091527C">
        <w:rPr>
          <w:rFonts w:ascii="Times New Roman" w:hAnsi="Times New Roman"/>
          <w:b/>
          <w:sz w:val="24"/>
          <w:szCs w:val="24"/>
        </w:rPr>
        <w:t>(§ 12 ods. 5)</w:t>
      </w:r>
    </w:p>
    <w:p w14:paraId="10C2F613" w14:textId="2D5199CB"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Upravuje sa ustanovenie, v zmysle ktorého ministerstvo financií vedie zoznam vnútorných audítorov a zoznam vládnych audítorov. V súčasnosti zoznamy obsahujú aj odvolaných audítorov s uvedením dátumu odvolania, čo má za následok, že niektorí audítori sa v zozname nachádzajú aj viackrát, a to pri rôznych oprávnených osobách. Takáto evidencia nie je opodstatnená a v praxi pôsobí zmätočne. Na základe uvedeného</w:t>
      </w:r>
      <w:r w:rsidR="001B36BD">
        <w:rPr>
          <w:rFonts w:ascii="Times New Roman" w:hAnsi="Times New Roman"/>
          <w:sz w:val="24"/>
          <w:szCs w:val="24"/>
        </w:rPr>
        <w:t>,</w:t>
      </w:r>
      <w:r w:rsidRPr="0091527C">
        <w:rPr>
          <w:rFonts w:ascii="Times New Roman" w:hAnsi="Times New Roman"/>
          <w:sz w:val="24"/>
          <w:szCs w:val="24"/>
        </w:rPr>
        <w:t xml:space="preserve"> zoznamy budú obsahovať len vymenovaných vnútorných audítorov a vládnych audítorov, ktorí môžu aktuálne vykonávať audit pre danú oprávnenú osobu, t. j. v zoznamoch sa viac nebudú uvádzať vnútorní audítori a vládni audítori, ktorí už boli v danej oprávnenej osobe odvolaní. </w:t>
      </w:r>
    </w:p>
    <w:p w14:paraId="2266DE51" w14:textId="6A4431D8"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192C37" w:rsidRPr="0091527C">
        <w:rPr>
          <w:rFonts w:ascii="Times New Roman" w:hAnsi="Times New Roman"/>
          <w:b/>
          <w:sz w:val="24"/>
          <w:szCs w:val="24"/>
        </w:rPr>
        <w:t>2</w:t>
      </w:r>
      <w:r w:rsidR="00192C37">
        <w:rPr>
          <w:rFonts w:ascii="Times New Roman" w:hAnsi="Times New Roman"/>
          <w:b/>
          <w:sz w:val="24"/>
          <w:szCs w:val="24"/>
        </w:rPr>
        <w:t>5</w:t>
      </w:r>
      <w:r w:rsidR="00192C37" w:rsidRPr="0091527C">
        <w:rPr>
          <w:rFonts w:ascii="Times New Roman" w:hAnsi="Times New Roman"/>
          <w:b/>
          <w:sz w:val="24"/>
          <w:szCs w:val="24"/>
        </w:rPr>
        <w:t xml:space="preserve"> </w:t>
      </w:r>
      <w:r w:rsidRPr="0091527C">
        <w:rPr>
          <w:rFonts w:ascii="Times New Roman" w:hAnsi="Times New Roman"/>
          <w:b/>
          <w:sz w:val="24"/>
          <w:szCs w:val="24"/>
        </w:rPr>
        <w:t>(§ 13 ods. 6)</w:t>
      </w:r>
    </w:p>
    <w:p w14:paraId="5F6B91BB"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Uplynutie lehoty šesť mesiacov na opätovné vykonanie kvalifikačnej skúšky bolo znížené na obdobie troch mesiacov, keďže prax ukázala, že ustanovená lehota bola neprimerane dlhá, a že neexistuje žiaden dôvod brániaci jej skráteniu. Znížením lehoty by sa mala zabezpečiť vyššia úspešnosť absolvovania kvalifikačnej skúšky, a zároveň zníženie administratívnej záťaže. Dôvodom úpravy je aj to, že neprimerane dlhá lehota na opätovné vykonanie kvalifikačnej skúšky pôsobila pre záujemcov o vykonanie kvalifikačnej skúšky odradzujúco.</w:t>
      </w:r>
    </w:p>
    <w:p w14:paraId="3CC297A3" w14:textId="3D80E1FA"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192C37" w:rsidRPr="0091527C">
        <w:rPr>
          <w:rFonts w:ascii="Times New Roman" w:hAnsi="Times New Roman"/>
          <w:b/>
          <w:sz w:val="24"/>
          <w:szCs w:val="24"/>
        </w:rPr>
        <w:t>2</w:t>
      </w:r>
      <w:r w:rsidR="00192C37">
        <w:rPr>
          <w:rFonts w:ascii="Times New Roman" w:hAnsi="Times New Roman"/>
          <w:b/>
          <w:sz w:val="24"/>
          <w:szCs w:val="24"/>
        </w:rPr>
        <w:t>6</w:t>
      </w:r>
      <w:r w:rsidR="00192C37" w:rsidRPr="0091527C">
        <w:rPr>
          <w:rFonts w:ascii="Times New Roman" w:hAnsi="Times New Roman"/>
          <w:b/>
          <w:sz w:val="24"/>
          <w:szCs w:val="24"/>
        </w:rPr>
        <w:t xml:space="preserve"> </w:t>
      </w:r>
      <w:r w:rsidRPr="0091527C">
        <w:rPr>
          <w:rFonts w:ascii="Times New Roman" w:hAnsi="Times New Roman"/>
          <w:b/>
          <w:sz w:val="24"/>
          <w:szCs w:val="24"/>
        </w:rPr>
        <w:t xml:space="preserve">a </w:t>
      </w:r>
      <w:r w:rsidR="00192C37" w:rsidRPr="0091527C">
        <w:rPr>
          <w:rFonts w:ascii="Times New Roman" w:hAnsi="Times New Roman"/>
          <w:b/>
          <w:sz w:val="24"/>
          <w:szCs w:val="24"/>
        </w:rPr>
        <w:t>2</w:t>
      </w:r>
      <w:r w:rsidR="00192C37">
        <w:rPr>
          <w:rFonts w:ascii="Times New Roman" w:hAnsi="Times New Roman"/>
          <w:b/>
          <w:sz w:val="24"/>
          <w:szCs w:val="24"/>
        </w:rPr>
        <w:t>8</w:t>
      </w:r>
      <w:r w:rsidR="00192C37" w:rsidRPr="0091527C">
        <w:rPr>
          <w:rFonts w:ascii="Times New Roman" w:hAnsi="Times New Roman"/>
          <w:b/>
          <w:sz w:val="24"/>
          <w:szCs w:val="24"/>
        </w:rPr>
        <w:t xml:space="preserve"> </w:t>
      </w:r>
      <w:r w:rsidRPr="0091527C">
        <w:rPr>
          <w:rFonts w:ascii="Times New Roman" w:hAnsi="Times New Roman"/>
          <w:b/>
          <w:sz w:val="24"/>
          <w:szCs w:val="24"/>
        </w:rPr>
        <w:t>(§ 14 ods. 2 až 4 a ods. 7)</w:t>
      </w:r>
    </w:p>
    <w:p w14:paraId="104026D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Úprava predmetných ustanovení súvisí s rozšírením kompetencie výboru o kompetenciu spolupracovať pri zabezpečovaní odborného vzdelávania, kompetenciu uznávať iné formy vzdelávania atď. Výbor bude mať na zabezpečenie administratívnych úkonov k dispozícii sekretariát, pričom podrobnosti budú upravené v štatúte výboru.</w:t>
      </w:r>
    </w:p>
    <w:p w14:paraId="081F3C7C"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Zároveň sa upravuje, že rovnakú vzdelávaciu aktivitu možno do odborného vzdelávania započítať len raz za kalendárny rok. V pôvodnom znení zákona č. 357/2015 Z. z. sa mohla vzdelávacia aktivita započítať len raz celkovo, čo bolo obmedzujúce v tom zmysle, že aj keď bolo potrebné pre vnútorného audítora alebo vládneho audítora absolvovať náročnejšiu tému aj viac rokov po sebe, započítaná mu mohla byť len raz.</w:t>
      </w:r>
    </w:p>
    <w:p w14:paraId="316018DF" w14:textId="6C83BA26"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192C37" w:rsidRPr="0091527C">
        <w:rPr>
          <w:rFonts w:ascii="Times New Roman" w:hAnsi="Times New Roman"/>
          <w:b/>
          <w:sz w:val="24"/>
          <w:szCs w:val="24"/>
        </w:rPr>
        <w:t>2</w:t>
      </w:r>
      <w:r w:rsidR="00192C37">
        <w:rPr>
          <w:rFonts w:ascii="Times New Roman" w:hAnsi="Times New Roman"/>
          <w:b/>
          <w:sz w:val="24"/>
          <w:szCs w:val="24"/>
        </w:rPr>
        <w:t>7</w:t>
      </w:r>
      <w:r w:rsidR="00192C37" w:rsidRPr="0091527C">
        <w:rPr>
          <w:rFonts w:ascii="Times New Roman" w:hAnsi="Times New Roman"/>
          <w:b/>
          <w:sz w:val="24"/>
          <w:szCs w:val="24"/>
        </w:rPr>
        <w:t xml:space="preserve"> </w:t>
      </w:r>
      <w:r w:rsidRPr="0091527C">
        <w:rPr>
          <w:rFonts w:ascii="Times New Roman" w:hAnsi="Times New Roman"/>
          <w:b/>
          <w:sz w:val="24"/>
          <w:szCs w:val="24"/>
        </w:rPr>
        <w:t>(poznámka pod čiarou k odkazu 21)</w:t>
      </w:r>
    </w:p>
    <w:p w14:paraId="4EA6E2D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Oslobodenie od povinnosti vzdelávať sa, sa rozšírila aj o služobné voľno štátneho zamestnanca podľa zákona č. 55/2017 Z. z. o štátnej službe.</w:t>
      </w:r>
    </w:p>
    <w:p w14:paraId="735995BE" w14:textId="438E081C"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192C37" w:rsidRPr="0091527C">
        <w:rPr>
          <w:rFonts w:ascii="Times New Roman" w:hAnsi="Times New Roman"/>
          <w:b/>
          <w:sz w:val="24"/>
          <w:szCs w:val="24"/>
        </w:rPr>
        <w:t>2</w:t>
      </w:r>
      <w:r w:rsidR="00192C37">
        <w:rPr>
          <w:rFonts w:ascii="Times New Roman" w:hAnsi="Times New Roman"/>
          <w:b/>
          <w:sz w:val="24"/>
          <w:szCs w:val="24"/>
        </w:rPr>
        <w:t>9</w:t>
      </w:r>
      <w:r w:rsidR="00192C37" w:rsidRPr="0091527C">
        <w:rPr>
          <w:rFonts w:ascii="Times New Roman" w:hAnsi="Times New Roman"/>
          <w:b/>
          <w:sz w:val="24"/>
          <w:szCs w:val="24"/>
        </w:rPr>
        <w:t xml:space="preserve"> </w:t>
      </w:r>
      <w:r w:rsidRPr="0091527C">
        <w:rPr>
          <w:rFonts w:ascii="Times New Roman" w:hAnsi="Times New Roman"/>
          <w:b/>
          <w:sz w:val="24"/>
          <w:szCs w:val="24"/>
        </w:rPr>
        <w:t>(§ 15)</w:t>
      </w:r>
    </w:p>
    <w:p w14:paraId="4ED27DF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Upravuje sa nadpis vzhľadom na navrhované doplnenie tohto ustanovenia.</w:t>
      </w:r>
    </w:p>
    <w:p w14:paraId="7C37C5A5" w14:textId="3322DC99"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192C37">
        <w:rPr>
          <w:rFonts w:ascii="Times New Roman" w:hAnsi="Times New Roman"/>
          <w:b/>
          <w:sz w:val="24"/>
          <w:szCs w:val="24"/>
        </w:rPr>
        <w:t>30</w:t>
      </w:r>
      <w:r w:rsidR="00192C37" w:rsidRPr="0091527C">
        <w:rPr>
          <w:rFonts w:ascii="Times New Roman" w:hAnsi="Times New Roman"/>
          <w:b/>
          <w:sz w:val="24"/>
          <w:szCs w:val="24"/>
        </w:rPr>
        <w:t xml:space="preserve"> </w:t>
      </w:r>
      <w:r w:rsidRPr="0091527C">
        <w:rPr>
          <w:rFonts w:ascii="Times New Roman" w:hAnsi="Times New Roman"/>
          <w:b/>
          <w:sz w:val="24"/>
          <w:szCs w:val="24"/>
        </w:rPr>
        <w:t>(§ 15 ods. 1 až 4)</w:t>
      </w:r>
    </w:p>
    <w:p w14:paraId="02A64561"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Niektoré činnosti ministerstva financií sa budú vykonávať prostredníctvom výboru, a to vzhľadom na rozšírenie jeho kompetencií v § 11 zákona č. 357/2015 Z. z. Výbor bude </w:t>
      </w:r>
      <w:r w:rsidR="00B3642F">
        <w:rPr>
          <w:rFonts w:ascii="Times New Roman" w:hAnsi="Times New Roman"/>
          <w:sz w:val="24"/>
          <w:szCs w:val="24"/>
        </w:rPr>
        <w:t>overovať</w:t>
      </w:r>
      <w:r w:rsidR="00B3642F" w:rsidRPr="0091527C">
        <w:rPr>
          <w:rFonts w:ascii="Times New Roman" w:hAnsi="Times New Roman"/>
          <w:sz w:val="24"/>
          <w:szCs w:val="24"/>
        </w:rPr>
        <w:t xml:space="preserve"> </w:t>
      </w:r>
      <w:r w:rsidRPr="0091527C">
        <w:rPr>
          <w:rFonts w:ascii="Times New Roman" w:hAnsi="Times New Roman"/>
          <w:sz w:val="24"/>
          <w:szCs w:val="24"/>
        </w:rPr>
        <w:t xml:space="preserve">plnenie povinností vnútorných audítorov a vládnych audítorov odborne sa vzdelávať podľa § 14 ods. 5 zákona č. 357/2015 Z. z. V prípade, ak si vnútorný audítor alebo vládny audítor nesplní túto povinnosť, výbor zašle návrh na </w:t>
      </w:r>
      <w:r w:rsidR="00632AAA">
        <w:rPr>
          <w:rFonts w:ascii="Times New Roman" w:hAnsi="Times New Roman"/>
          <w:sz w:val="24"/>
          <w:szCs w:val="24"/>
        </w:rPr>
        <w:t xml:space="preserve">jeho </w:t>
      </w:r>
      <w:r w:rsidRPr="0091527C">
        <w:rPr>
          <w:rFonts w:ascii="Times New Roman" w:hAnsi="Times New Roman"/>
          <w:sz w:val="24"/>
          <w:szCs w:val="24"/>
        </w:rPr>
        <w:t>odvolanie ministerstv</w:t>
      </w:r>
      <w:r w:rsidR="00632AAA">
        <w:rPr>
          <w:rFonts w:ascii="Times New Roman" w:hAnsi="Times New Roman"/>
          <w:sz w:val="24"/>
          <w:szCs w:val="24"/>
        </w:rPr>
        <w:t>u</w:t>
      </w:r>
      <w:r w:rsidRPr="0091527C">
        <w:rPr>
          <w:rFonts w:ascii="Times New Roman" w:hAnsi="Times New Roman"/>
          <w:sz w:val="24"/>
          <w:szCs w:val="24"/>
        </w:rPr>
        <w:t xml:space="preserve"> financií alebo inému správcovi kapitoly štátneho rozpočtu</w:t>
      </w:r>
      <w:r w:rsidR="00632AAA">
        <w:rPr>
          <w:rFonts w:ascii="Times New Roman" w:hAnsi="Times New Roman"/>
          <w:sz w:val="24"/>
          <w:szCs w:val="24"/>
        </w:rPr>
        <w:t>, pričom</w:t>
      </w:r>
      <w:r w:rsidRPr="0091527C">
        <w:rPr>
          <w:rFonts w:ascii="Times New Roman" w:hAnsi="Times New Roman"/>
          <w:sz w:val="24"/>
          <w:szCs w:val="24"/>
        </w:rPr>
        <w:t xml:space="preserve"> </w:t>
      </w:r>
      <w:r w:rsidR="00632AAA">
        <w:rPr>
          <w:rFonts w:ascii="Times New Roman" w:hAnsi="Times New Roman"/>
          <w:sz w:val="24"/>
          <w:szCs w:val="24"/>
        </w:rPr>
        <w:t>m</w:t>
      </w:r>
      <w:r w:rsidRPr="0091527C">
        <w:rPr>
          <w:rFonts w:ascii="Times New Roman" w:hAnsi="Times New Roman"/>
          <w:sz w:val="24"/>
          <w:szCs w:val="24"/>
        </w:rPr>
        <w:t xml:space="preserve">inisterstvo financií alebo iný správca kapitoly štátneho rozpočtu má v takom prípade povinnosť odvolať vládneho audítora alebo vnútorného audítora. </w:t>
      </w:r>
      <w:r w:rsidR="001376CE">
        <w:rPr>
          <w:rFonts w:ascii="Times New Roman" w:hAnsi="Times New Roman"/>
          <w:sz w:val="24"/>
          <w:szCs w:val="24"/>
        </w:rPr>
        <w:t xml:space="preserve">K uvedenej zmene </w:t>
      </w:r>
      <w:r w:rsidR="001F7610">
        <w:rPr>
          <w:rFonts w:ascii="Times New Roman" w:hAnsi="Times New Roman"/>
          <w:sz w:val="24"/>
          <w:szCs w:val="24"/>
        </w:rPr>
        <w:t>dochádza</w:t>
      </w:r>
      <w:r w:rsidR="001376CE">
        <w:rPr>
          <w:rFonts w:ascii="Times New Roman" w:hAnsi="Times New Roman"/>
          <w:sz w:val="24"/>
          <w:szCs w:val="24"/>
        </w:rPr>
        <w:t xml:space="preserve"> najmä z dôvodu zabezpečenia nezávislého posudzovania iných foriem vzdelávania alebo lektorskej činnosti (nad rámec odborného vzdelávania, ktoré zabezpečuje ministerstvo financií) ako súčasť odborného vzdelávania, ktoré musí audítor </w:t>
      </w:r>
      <w:r w:rsidR="001F7610">
        <w:rPr>
          <w:rFonts w:ascii="Times New Roman" w:hAnsi="Times New Roman"/>
          <w:sz w:val="24"/>
          <w:szCs w:val="24"/>
        </w:rPr>
        <w:t xml:space="preserve">absolvovať v rozsahu stanovenom zákonom. </w:t>
      </w:r>
    </w:p>
    <w:p w14:paraId="3FC04639" w14:textId="5B75B598"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Zároveň dochádza ku gramatickej úprave v tom zmysle, že na odvolanie vládneho audítora a vnútorného audítora ministerstva financií zasiela </w:t>
      </w:r>
      <w:r w:rsidR="002C1B46">
        <w:rPr>
          <w:rFonts w:ascii="Times New Roman" w:hAnsi="Times New Roman"/>
          <w:sz w:val="24"/>
          <w:szCs w:val="24"/>
        </w:rPr>
        <w:t xml:space="preserve">výboru </w:t>
      </w:r>
      <w:r w:rsidRPr="0091527C">
        <w:rPr>
          <w:rFonts w:ascii="Times New Roman" w:hAnsi="Times New Roman"/>
          <w:sz w:val="24"/>
          <w:szCs w:val="24"/>
        </w:rPr>
        <w:t xml:space="preserve">návrh ministerstvo financií a návrh na odvolanie vnútorného audítora iného správcu kapitoly štátneho rozpočtu zasiela </w:t>
      </w:r>
      <w:r w:rsidR="002C1B46">
        <w:rPr>
          <w:rFonts w:ascii="Times New Roman" w:hAnsi="Times New Roman"/>
          <w:sz w:val="24"/>
          <w:szCs w:val="24"/>
        </w:rPr>
        <w:t xml:space="preserve">výboru </w:t>
      </w:r>
      <w:r w:rsidRPr="0091527C">
        <w:rPr>
          <w:rFonts w:ascii="Times New Roman" w:hAnsi="Times New Roman"/>
          <w:sz w:val="24"/>
          <w:szCs w:val="24"/>
        </w:rPr>
        <w:t>iný správca kapitoly štátneho rozpočtu (pred uskutočnením zmeny, skončením alebo zánikom ich štátnozamestnaneckého pomeru, služobného pomeru alebo pracovného pomeru podľa osobitných predpisov).</w:t>
      </w:r>
      <w:r w:rsidR="000422EF">
        <w:rPr>
          <w:rFonts w:ascii="Times New Roman" w:hAnsi="Times New Roman"/>
          <w:sz w:val="24"/>
          <w:szCs w:val="24"/>
        </w:rPr>
        <w:t xml:space="preserve"> </w:t>
      </w:r>
      <w:r w:rsidR="001D708E">
        <w:rPr>
          <w:rFonts w:ascii="Times New Roman" w:hAnsi="Times New Roman"/>
          <w:sz w:val="24"/>
          <w:szCs w:val="24"/>
        </w:rPr>
        <w:t>P</w:t>
      </w:r>
      <w:r w:rsidR="000422EF" w:rsidRPr="000422EF">
        <w:rPr>
          <w:rFonts w:ascii="Times New Roman" w:hAnsi="Times New Roman"/>
          <w:sz w:val="24"/>
          <w:szCs w:val="24"/>
        </w:rPr>
        <w:t xml:space="preserve">ostup podľa § 15 ods. 4 </w:t>
      </w:r>
      <w:r w:rsidR="000422EF">
        <w:rPr>
          <w:rFonts w:ascii="Times New Roman" w:hAnsi="Times New Roman"/>
          <w:sz w:val="24"/>
          <w:szCs w:val="24"/>
        </w:rPr>
        <w:t xml:space="preserve">zákona č. 357/2015 Z. z. </w:t>
      </w:r>
      <w:r w:rsidR="000422EF" w:rsidRPr="000422EF">
        <w:rPr>
          <w:rFonts w:ascii="Times New Roman" w:hAnsi="Times New Roman"/>
          <w:sz w:val="24"/>
          <w:szCs w:val="24"/>
        </w:rPr>
        <w:t xml:space="preserve">sa využije </w:t>
      </w:r>
      <w:r w:rsidR="002C1B46">
        <w:rPr>
          <w:rFonts w:ascii="Times New Roman" w:hAnsi="Times New Roman"/>
          <w:sz w:val="24"/>
          <w:szCs w:val="24"/>
        </w:rPr>
        <w:t>len</w:t>
      </w:r>
      <w:r w:rsidR="006B1230">
        <w:rPr>
          <w:rFonts w:ascii="Times New Roman" w:hAnsi="Times New Roman"/>
          <w:sz w:val="24"/>
          <w:szCs w:val="24"/>
        </w:rPr>
        <w:t> </w:t>
      </w:r>
      <w:r w:rsidR="000422EF" w:rsidRPr="000422EF">
        <w:rPr>
          <w:rFonts w:ascii="Times New Roman" w:hAnsi="Times New Roman"/>
          <w:sz w:val="24"/>
          <w:szCs w:val="24"/>
        </w:rPr>
        <w:t>v</w:t>
      </w:r>
      <w:r w:rsidR="00C50298">
        <w:rPr>
          <w:rFonts w:ascii="Times New Roman" w:hAnsi="Times New Roman"/>
          <w:sz w:val="24"/>
          <w:szCs w:val="24"/>
        </w:rPr>
        <w:t> </w:t>
      </w:r>
      <w:r w:rsidR="000422EF" w:rsidRPr="000422EF">
        <w:rPr>
          <w:rFonts w:ascii="Times New Roman" w:hAnsi="Times New Roman"/>
          <w:sz w:val="24"/>
          <w:szCs w:val="24"/>
        </w:rPr>
        <w:t>prípade, ak dôjde k</w:t>
      </w:r>
      <w:r w:rsidR="00747F6E">
        <w:rPr>
          <w:rFonts w:ascii="Times New Roman" w:hAnsi="Times New Roman"/>
          <w:sz w:val="24"/>
          <w:szCs w:val="24"/>
        </w:rPr>
        <w:t> </w:t>
      </w:r>
      <w:r w:rsidR="000422EF" w:rsidRPr="000422EF">
        <w:rPr>
          <w:rFonts w:ascii="Times New Roman" w:hAnsi="Times New Roman"/>
          <w:sz w:val="24"/>
          <w:szCs w:val="24"/>
        </w:rPr>
        <w:t>situácii</w:t>
      </w:r>
      <w:r w:rsidR="00747F6E">
        <w:rPr>
          <w:rFonts w:ascii="Times New Roman" w:hAnsi="Times New Roman"/>
          <w:sz w:val="24"/>
          <w:szCs w:val="24"/>
        </w:rPr>
        <w:t>,</w:t>
      </w:r>
      <w:r w:rsidR="000422EF" w:rsidRPr="000422EF">
        <w:rPr>
          <w:rFonts w:ascii="Times New Roman" w:hAnsi="Times New Roman"/>
          <w:sz w:val="24"/>
          <w:szCs w:val="24"/>
        </w:rPr>
        <w:t xml:space="preserve"> na základe ktorej</w:t>
      </w:r>
      <w:r w:rsidR="000422EF">
        <w:rPr>
          <w:rFonts w:ascii="Times New Roman" w:hAnsi="Times New Roman"/>
          <w:sz w:val="24"/>
          <w:szCs w:val="24"/>
        </w:rPr>
        <w:t xml:space="preserve"> je potrebné odvolať vnútorného audítora alebo vládneho audítora, t.</w:t>
      </w:r>
      <w:r w:rsidR="00607AD8">
        <w:rPr>
          <w:rFonts w:ascii="Times New Roman" w:hAnsi="Times New Roman"/>
          <w:sz w:val="24"/>
          <w:szCs w:val="24"/>
        </w:rPr>
        <w:t xml:space="preserve"> </w:t>
      </w:r>
      <w:r w:rsidR="000422EF">
        <w:rPr>
          <w:rFonts w:ascii="Times New Roman" w:hAnsi="Times New Roman"/>
          <w:sz w:val="24"/>
          <w:szCs w:val="24"/>
        </w:rPr>
        <w:t>j. predmetný postup bude irelevantný n</w:t>
      </w:r>
      <w:r w:rsidR="000422EF" w:rsidRPr="000422EF">
        <w:rPr>
          <w:rFonts w:ascii="Times New Roman" w:hAnsi="Times New Roman"/>
          <w:sz w:val="24"/>
          <w:szCs w:val="24"/>
        </w:rPr>
        <w:t>apr. v</w:t>
      </w:r>
      <w:r w:rsidR="000422EF">
        <w:rPr>
          <w:rFonts w:ascii="Times New Roman" w:hAnsi="Times New Roman"/>
          <w:sz w:val="24"/>
          <w:szCs w:val="24"/>
        </w:rPr>
        <w:t> </w:t>
      </w:r>
      <w:r w:rsidR="000422EF" w:rsidRPr="000422EF">
        <w:rPr>
          <w:rFonts w:ascii="Times New Roman" w:hAnsi="Times New Roman"/>
          <w:sz w:val="24"/>
          <w:szCs w:val="24"/>
        </w:rPr>
        <w:t>prípade</w:t>
      </w:r>
      <w:r w:rsidR="000422EF">
        <w:rPr>
          <w:rFonts w:ascii="Times New Roman" w:hAnsi="Times New Roman"/>
          <w:sz w:val="24"/>
          <w:szCs w:val="24"/>
        </w:rPr>
        <w:t>,</w:t>
      </w:r>
      <w:r w:rsidR="000422EF" w:rsidRPr="000422EF">
        <w:rPr>
          <w:rFonts w:ascii="Times New Roman" w:hAnsi="Times New Roman"/>
          <w:sz w:val="24"/>
          <w:szCs w:val="24"/>
        </w:rPr>
        <w:t xml:space="preserve"> ak dôjde k</w:t>
      </w:r>
      <w:r w:rsidR="002C1B46">
        <w:rPr>
          <w:rFonts w:ascii="Times New Roman" w:hAnsi="Times New Roman"/>
          <w:sz w:val="24"/>
          <w:szCs w:val="24"/>
        </w:rPr>
        <w:t> </w:t>
      </w:r>
      <w:r w:rsidR="000422EF" w:rsidRPr="000422EF">
        <w:rPr>
          <w:rFonts w:ascii="Times New Roman" w:hAnsi="Times New Roman"/>
          <w:sz w:val="24"/>
          <w:szCs w:val="24"/>
        </w:rPr>
        <w:t>zmene dĺžky týždenného pracovného času,</w:t>
      </w:r>
      <w:r w:rsidR="000422EF">
        <w:rPr>
          <w:rFonts w:ascii="Times New Roman" w:hAnsi="Times New Roman"/>
          <w:sz w:val="24"/>
          <w:szCs w:val="24"/>
        </w:rPr>
        <w:t xml:space="preserve"> </w:t>
      </w:r>
      <w:r w:rsidR="00607AD8">
        <w:rPr>
          <w:rFonts w:ascii="Times New Roman" w:hAnsi="Times New Roman"/>
          <w:sz w:val="24"/>
          <w:szCs w:val="24"/>
        </w:rPr>
        <w:t>pričom</w:t>
      </w:r>
      <w:r w:rsidR="000422EF" w:rsidRPr="000422EF">
        <w:rPr>
          <w:rFonts w:ascii="Times New Roman" w:hAnsi="Times New Roman"/>
          <w:sz w:val="24"/>
          <w:szCs w:val="24"/>
        </w:rPr>
        <w:t xml:space="preserve"> </w:t>
      </w:r>
      <w:r w:rsidR="000422EF">
        <w:rPr>
          <w:rFonts w:ascii="Times New Roman" w:hAnsi="Times New Roman"/>
          <w:sz w:val="24"/>
          <w:szCs w:val="24"/>
        </w:rPr>
        <w:t>takáto zmena ne</w:t>
      </w:r>
      <w:r w:rsidR="00607AD8">
        <w:rPr>
          <w:rFonts w:ascii="Times New Roman" w:hAnsi="Times New Roman"/>
          <w:sz w:val="24"/>
          <w:szCs w:val="24"/>
        </w:rPr>
        <w:t xml:space="preserve">bude mať </w:t>
      </w:r>
      <w:r w:rsidR="000422EF" w:rsidRPr="000422EF">
        <w:rPr>
          <w:rFonts w:ascii="Times New Roman" w:hAnsi="Times New Roman"/>
          <w:sz w:val="24"/>
          <w:szCs w:val="24"/>
        </w:rPr>
        <w:t>za</w:t>
      </w:r>
      <w:r w:rsidR="00607AD8">
        <w:rPr>
          <w:rFonts w:ascii="Times New Roman" w:hAnsi="Times New Roman"/>
          <w:sz w:val="24"/>
          <w:szCs w:val="24"/>
        </w:rPr>
        <w:t> </w:t>
      </w:r>
      <w:r w:rsidR="000422EF" w:rsidRPr="000422EF">
        <w:rPr>
          <w:rFonts w:ascii="Times New Roman" w:hAnsi="Times New Roman"/>
          <w:sz w:val="24"/>
          <w:szCs w:val="24"/>
        </w:rPr>
        <w:t>následok odvolanie vnútorného</w:t>
      </w:r>
      <w:r w:rsidR="000422EF">
        <w:rPr>
          <w:rFonts w:ascii="Times New Roman" w:hAnsi="Times New Roman"/>
          <w:sz w:val="24"/>
          <w:szCs w:val="24"/>
        </w:rPr>
        <w:t xml:space="preserve"> audítora alebo </w:t>
      </w:r>
      <w:r w:rsidR="000422EF" w:rsidRPr="000422EF">
        <w:rPr>
          <w:rFonts w:ascii="Times New Roman" w:hAnsi="Times New Roman"/>
          <w:sz w:val="24"/>
          <w:szCs w:val="24"/>
        </w:rPr>
        <w:t>vládneho audítora.</w:t>
      </w:r>
      <w:r w:rsidR="00C922EB">
        <w:rPr>
          <w:rFonts w:ascii="Times New Roman" w:hAnsi="Times New Roman"/>
          <w:sz w:val="24"/>
          <w:szCs w:val="24"/>
        </w:rPr>
        <w:t xml:space="preserve"> </w:t>
      </w:r>
      <w:r w:rsidRPr="0091527C">
        <w:rPr>
          <w:rFonts w:ascii="Times New Roman" w:hAnsi="Times New Roman"/>
          <w:sz w:val="24"/>
          <w:szCs w:val="24"/>
        </w:rPr>
        <w:t xml:space="preserve">Ďalej sa ustanovenie dopĺňa o skutočnosť, že </w:t>
      </w:r>
      <w:r w:rsidR="00C922EB">
        <w:rPr>
          <w:rFonts w:ascii="Times New Roman" w:hAnsi="Times New Roman"/>
          <w:sz w:val="24"/>
          <w:szCs w:val="24"/>
        </w:rPr>
        <w:t>ak dôjde k </w:t>
      </w:r>
      <w:r w:rsidR="00020207">
        <w:rPr>
          <w:rFonts w:ascii="Times New Roman" w:hAnsi="Times New Roman"/>
          <w:sz w:val="24"/>
          <w:szCs w:val="24"/>
        </w:rPr>
        <w:t>preloženiu</w:t>
      </w:r>
      <w:r w:rsidRPr="0091527C">
        <w:rPr>
          <w:rFonts w:ascii="Times New Roman" w:hAnsi="Times New Roman"/>
          <w:sz w:val="24"/>
          <w:szCs w:val="24"/>
        </w:rPr>
        <w:t xml:space="preserve"> vládneho audítora z ministerstva financií na Úrad vládneho auditu alebo z Úradu vládneho auditu na ministerstvo financií, ministerstvo financií </w:t>
      </w:r>
      <w:r w:rsidR="000A23CE">
        <w:rPr>
          <w:rFonts w:ascii="Times New Roman" w:hAnsi="Times New Roman"/>
          <w:sz w:val="24"/>
          <w:szCs w:val="24"/>
        </w:rPr>
        <w:t xml:space="preserve">nezasiela návrh na odvolanie </w:t>
      </w:r>
      <w:r w:rsidRPr="0091527C">
        <w:rPr>
          <w:rFonts w:ascii="Times New Roman" w:hAnsi="Times New Roman"/>
          <w:sz w:val="24"/>
          <w:szCs w:val="24"/>
        </w:rPr>
        <w:t xml:space="preserve">vládneho audítora </w:t>
      </w:r>
      <w:r w:rsidR="000A23CE">
        <w:rPr>
          <w:rFonts w:ascii="Times New Roman" w:hAnsi="Times New Roman"/>
          <w:sz w:val="24"/>
          <w:szCs w:val="24"/>
        </w:rPr>
        <w:t>výboru a </w:t>
      </w:r>
      <w:r w:rsidRPr="0091527C">
        <w:rPr>
          <w:rFonts w:ascii="Times New Roman" w:hAnsi="Times New Roman"/>
          <w:sz w:val="24"/>
          <w:szCs w:val="24"/>
        </w:rPr>
        <w:t>neodvolá</w:t>
      </w:r>
      <w:r w:rsidR="000A23CE">
        <w:rPr>
          <w:rFonts w:ascii="Times New Roman" w:hAnsi="Times New Roman"/>
          <w:sz w:val="24"/>
          <w:szCs w:val="24"/>
        </w:rPr>
        <w:t xml:space="preserve"> vládneho audítora</w:t>
      </w:r>
      <w:r w:rsidRPr="0091527C">
        <w:rPr>
          <w:rFonts w:ascii="Times New Roman" w:hAnsi="Times New Roman"/>
          <w:sz w:val="24"/>
          <w:szCs w:val="24"/>
        </w:rPr>
        <w:t>. Uvedené vyplýva zo vzájomného prepojenia týchto dvoch úradov (Úrad vládneho auditu je rozpočtovou organizáciou ministerstva financií), a zároveň potreby väčšej flexibility v </w:t>
      </w:r>
      <w:r w:rsidR="00607AD8">
        <w:rPr>
          <w:rFonts w:ascii="Times New Roman" w:hAnsi="Times New Roman"/>
          <w:sz w:val="24"/>
          <w:szCs w:val="24"/>
        </w:rPr>
        <w:t>činnosti</w:t>
      </w:r>
      <w:r w:rsidR="00607AD8" w:rsidRPr="0091527C">
        <w:rPr>
          <w:rFonts w:ascii="Times New Roman" w:hAnsi="Times New Roman"/>
          <w:sz w:val="24"/>
          <w:szCs w:val="24"/>
        </w:rPr>
        <w:t xml:space="preserve"> </w:t>
      </w:r>
      <w:r w:rsidRPr="0091527C">
        <w:rPr>
          <w:rFonts w:ascii="Times New Roman" w:hAnsi="Times New Roman"/>
          <w:sz w:val="24"/>
          <w:szCs w:val="24"/>
        </w:rPr>
        <w:t>auditujúceho orgánu. Pri častom presune zamestnancov v auditujúcich orgánoch existovala zbytočná administratívna a časová záťaž spojená s</w:t>
      </w:r>
      <w:r w:rsidR="00607AD8">
        <w:rPr>
          <w:rFonts w:ascii="Times New Roman" w:hAnsi="Times New Roman"/>
          <w:sz w:val="24"/>
          <w:szCs w:val="24"/>
        </w:rPr>
        <w:t> </w:t>
      </w:r>
      <w:r w:rsidRPr="0091527C">
        <w:rPr>
          <w:rFonts w:ascii="Times New Roman" w:hAnsi="Times New Roman"/>
          <w:sz w:val="24"/>
          <w:szCs w:val="24"/>
        </w:rPr>
        <w:t>odvolávaním a následným novým vymenovávaním vládnych audítorov. Vo veľa prípadoch išlo len</w:t>
      </w:r>
      <w:r w:rsidR="00460FB8">
        <w:rPr>
          <w:rFonts w:ascii="Times New Roman" w:hAnsi="Times New Roman"/>
          <w:sz w:val="24"/>
          <w:szCs w:val="24"/>
        </w:rPr>
        <w:t> </w:t>
      </w:r>
      <w:r w:rsidRPr="0091527C">
        <w:rPr>
          <w:rFonts w:ascii="Times New Roman" w:hAnsi="Times New Roman"/>
          <w:sz w:val="24"/>
          <w:szCs w:val="24"/>
        </w:rPr>
        <w:t>o dočasné pre</w:t>
      </w:r>
      <w:r w:rsidR="004D081E">
        <w:rPr>
          <w:rFonts w:ascii="Times New Roman" w:hAnsi="Times New Roman"/>
          <w:sz w:val="24"/>
          <w:szCs w:val="24"/>
        </w:rPr>
        <w:t>loženie</w:t>
      </w:r>
      <w:r w:rsidRPr="0091527C">
        <w:rPr>
          <w:rFonts w:ascii="Times New Roman" w:hAnsi="Times New Roman"/>
          <w:sz w:val="24"/>
          <w:szCs w:val="24"/>
        </w:rPr>
        <w:t xml:space="preserve"> takýchto zamestnancov. Uvedená zmena sa vzťahuje len</w:t>
      </w:r>
      <w:r w:rsidR="006B1230">
        <w:rPr>
          <w:rFonts w:ascii="Times New Roman" w:hAnsi="Times New Roman"/>
          <w:sz w:val="24"/>
          <w:szCs w:val="24"/>
        </w:rPr>
        <w:t> </w:t>
      </w:r>
      <w:r w:rsidRPr="0091527C">
        <w:rPr>
          <w:rFonts w:ascii="Times New Roman" w:hAnsi="Times New Roman"/>
          <w:sz w:val="24"/>
          <w:szCs w:val="24"/>
        </w:rPr>
        <w:t>na pracovné pozície, ktoré zahŕňajú odbor štátnej služby kontrola a audit, teda uvedené neplatí pri </w:t>
      </w:r>
      <w:r w:rsidR="004D081E">
        <w:rPr>
          <w:rFonts w:ascii="Times New Roman" w:hAnsi="Times New Roman"/>
          <w:sz w:val="24"/>
          <w:szCs w:val="24"/>
        </w:rPr>
        <w:t>preloženiach</w:t>
      </w:r>
      <w:r w:rsidRPr="0091527C">
        <w:rPr>
          <w:rFonts w:ascii="Times New Roman" w:hAnsi="Times New Roman"/>
          <w:sz w:val="24"/>
          <w:szCs w:val="24"/>
        </w:rPr>
        <w:t xml:space="preserve"> na irelevantné sekcie a odbory ministerstva financií alebo Úradu vládneho auditu.</w:t>
      </w:r>
    </w:p>
    <w:p w14:paraId="4E52C416" w14:textId="654F3296"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9A17C8">
        <w:rPr>
          <w:rFonts w:ascii="Times New Roman" w:hAnsi="Times New Roman"/>
          <w:b/>
          <w:sz w:val="24"/>
          <w:szCs w:val="24"/>
        </w:rPr>
        <w:t>31</w:t>
      </w:r>
      <w:r w:rsidR="009A17C8" w:rsidRPr="0091527C">
        <w:rPr>
          <w:rFonts w:ascii="Times New Roman" w:hAnsi="Times New Roman"/>
          <w:b/>
          <w:sz w:val="24"/>
          <w:szCs w:val="24"/>
        </w:rPr>
        <w:t xml:space="preserve"> </w:t>
      </w:r>
      <w:r w:rsidRPr="0091527C">
        <w:rPr>
          <w:rFonts w:ascii="Times New Roman" w:hAnsi="Times New Roman"/>
          <w:b/>
          <w:sz w:val="24"/>
          <w:szCs w:val="24"/>
        </w:rPr>
        <w:t>(§ 15 ods. 5 a 6)</w:t>
      </w:r>
    </w:p>
    <w:p w14:paraId="5839667E" w14:textId="77777777" w:rsidR="0091527C" w:rsidRPr="0091527C" w:rsidRDefault="00164AE3" w:rsidP="0091527C">
      <w:pPr>
        <w:jc w:val="both"/>
        <w:rPr>
          <w:rFonts w:ascii="Times New Roman" w:hAnsi="Times New Roman"/>
          <w:sz w:val="24"/>
          <w:szCs w:val="24"/>
        </w:rPr>
      </w:pPr>
      <w:r>
        <w:rPr>
          <w:rFonts w:ascii="Times New Roman" w:hAnsi="Times New Roman"/>
          <w:sz w:val="24"/>
          <w:szCs w:val="24"/>
        </w:rPr>
        <w:t xml:space="preserve">Navrhovaná úprava reflektuje na kompetencie výboru, ktorý podľa § 11 ods. 2 písm. b) posudzuje návrh na odvolanie vnútorného audítora alebo vládneho audítora vypracovaný ministerstvom financií na základe výsledkov hodnotenia kvality a návrh na odvolanie </w:t>
      </w:r>
      <w:r>
        <w:rPr>
          <w:rFonts w:ascii="Times New Roman" w:hAnsi="Times New Roman"/>
          <w:sz w:val="24"/>
          <w:szCs w:val="24"/>
        </w:rPr>
        <w:lastRenderedPageBreak/>
        <w:t>vnútorného audítora alebo vládneho audítora z dôvodu relevantnej zmeny, skončenia alebo</w:t>
      </w:r>
      <w:r w:rsidR="006B1230">
        <w:rPr>
          <w:rFonts w:ascii="Times New Roman" w:hAnsi="Times New Roman"/>
          <w:sz w:val="24"/>
          <w:szCs w:val="24"/>
        </w:rPr>
        <w:t> </w:t>
      </w:r>
      <w:r>
        <w:rPr>
          <w:rFonts w:ascii="Times New Roman" w:hAnsi="Times New Roman"/>
          <w:sz w:val="24"/>
          <w:szCs w:val="24"/>
        </w:rPr>
        <w:t>zániku štátnozamestnaneckého pomeru, služobného pomeru alebo pracovného pomeru.</w:t>
      </w:r>
    </w:p>
    <w:p w14:paraId="2D1DDC32" w14:textId="0C140B48"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9A17C8">
        <w:rPr>
          <w:rFonts w:ascii="Times New Roman" w:hAnsi="Times New Roman"/>
          <w:b/>
          <w:sz w:val="24"/>
          <w:szCs w:val="24"/>
        </w:rPr>
        <w:t>32</w:t>
      </w:r>
      <w:r w:rsidR="009A17C8" w:rsidRPr="0091527C">
        <w:rPr>
          <w:rFonts w:ascii="Times New Roman" w:hAnsi="Times New Roman"/>
          <w:b/>
          <w:sz w:val="24"/>
          <w:szCs w:val="24"/>
        </w:rPr>
        <w:t xml:space="preserve"> </w:t>
      </w:r>
      <w:r w:rsidRPr="0091527C">
        <w:rPr>
          <w:rFonts w:ascii="Times New Roman" w:hAnsi="Times New Roman"/>
          <w:b/>
          <w:sz w:val="24"/>
          <w:szCs w:val="24"/>
        </w:rPr>
        <w:t>(§ 15 ods. 8)</w:t>
      </w:r>
    </w:p>
    <w:p w14:paraId="6D953DA2" w14:textId="77777777" w:rsidR="0091527C" w:rsidRPr="0091527C" w:rsidRDefault="0091527C" w:rsidP="0091527C">
      <w:pPr>
        <w:jc w:val="both"/>
        <w:rPr>
          <w:rFonts w:ascii="Times New Roman" w:hAnsi="Times New Roman"/>
          <w:b/>
          <w:sz w:val="24"/>
          <w:szCs w:val="24"/>
        </w:rPr>
      </w:pPr>
      <w:r w:rsidRPr="0091527C">
        <w:rPr>
          <w:rFonts w:ascii="Times New Roman" w:hAnsi="Times New Roman"/>
          <w:sz w:val="24"/>
          <w:szCs w:val="24"/>
        </w:rPr>
        <w:t>Doplnená úprava zániku výkonu funkcie vnútorného audítora a vládneho audítora aj o skutočnosti, ktoré doteraz platný zákon č. 357/2015 Z. z. neupravoval. Všetky tieto skutočnosti automaticky zakladajú dôvody na zánik výkonu funkcie vymenovaného vnútorného audítora a vládneho audítora.</w:t>
      </w:r>
    </w:p>
    <w:p w14:paraId="17B79642" w14:textId="6E09F1BB"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9A17C8" w:rsidRPr="0091527C">
        <w:rPr>
          <w:rFonts w:ascii="Times New Roman" w:hAnsi="Times New Roman"/>
          <w:b/>
          <w:sz w:val="24"/>
          <w:szCs w:val="24"/>
        </w:rPr>
        <w:t>3</w:t>
      </w:r>
      <w:r w:rsidR="009A17C8">
        <w:rPr>
          <w:rFonts w:ascii="Times New Roman" w:hAnsi="Times New Roman"/>
          <w:b/>
          <w:sz w:val="24"/>
          <w:szCs w:val="24"/>
        </w:rPr>
        <w:t>3</w:t>
      </w:r>
      <w:r w:rsidR="009A17C8" w:rsidRPr="0091527C">
        <w:rPr>
          <w:rFonts w:ascii="Times New Roman" w:hAnsi="Times New Roman"/>
          <w:b/>
          <w:sz w:val="24"/>
          <w:szCs w:val="24"/>
        </w:rPr>
        <w:t xml:space="preserve"> </w:t>
      </w:r>
      <w:r w:rsidRPr="0091527C">
        <w:rPr>
          <w:rFonts w:ascii="Times New Roman" w:hAnsi="Times New Roman"/>
          <w:b/>
          <w:sz w:val="24"/>
          <w:szCs w:val="24"/>
        </w:rPr>
        <w:t>(§ 16 ods. 1)</w:t>
      </w:r>
    </w:p>
    <w:p w14:paraId="790C2209"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Ustanovenie sa upravuje za účelom zabezpečenia nezávislosti vnútorného auditu aj od výkonu vládneho auditu, pričom uvedené sa týka len vnútorného auditu ministerstva financií.</w:t>
      </w:r>
    </w:p>
    <w:p w14:paraId="6182BF16" w14:textId="6EF5355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9A17C8" w:rsidRPr="0091527C">
        <w:rPr>
          <w:rFonts w:ascii="Times New Roman" w:hAnsi="Times New Roman"/>
          <w:b/>
          <w:sz w:val="24"/>
          <w:szCs w:val="24"/>
        </w:rPr>
        <w:t>3</w:t>
      </w:r>
      <w:r w:rsidR="009A17C8">
        <w:rPr>
          <w:rFonts w:ascii="Times New Roman" w:hAnsi="Times New Roman"/>
          <w:b/>
          <w:sz w:val="24"/>
          <w:szCs w:val="24"/>
        </w:rPr>
        <w:t>4</w:t>
      </w:r>
      <w:r w:rsidR="009A17C8" w:rsidRPr="0091527C">
        <w:rPr>
          <w:rFonts w:ascii="Times New Roman" w:hAnsi="Times New Roman"/>
          <w:b/>
          <w:sz w:val="24"/>
          <w:szCs w:val="24"/>
        </w:rPr>
        <w:t xml:space="preserve"> </w:t>
      </w:r>
      <w:r w:rsidRPr="0091527C">
        <w:rPr>
          <w:rFonts w:ascii="Times New Roman" w:hAnsi="Times New Roman"/>
          <w:b/>
          <w:sz w:val="24"/>
          <w:szCs w:val="24"/>
        </w:rPr>
        <w:t>(§ 18 ods. 1 písm. a))</w:t>
      </w:r>
    </w:p>
    <w:p w14:paraId="6FE986BB"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Upravuje sa povinnosť zasielať aj zmeny plánov vnútorného auditu, ktoré sa v praxi vykonávajú formou dodatkov k plánom. Uvedené sa upravuje z dôvodu, aby relevantné orgány, t. j. ministerstvo financií a Najvyšší kontrolný úrad SR, mali prehľad o plánovaných aktivitách jednotlivých útvarov vnútorného auditu, a aby mohli efektívnejšie koordinovať svoje vlastné kontrolné aktivity.</w:t>
      </w:r>
    </w:p>
    <w:p w14:paraId="6CE2A8AB" w14:textId="1CFDC6DA"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0168C4" w:rsidRPr="0091527C">
        <w:rPr>
          <w:rFonts w:ascii="Times New Roman" w:hAnsi="Times New Roman"/>
          <w:b/>
          <w:sz w:val="24"/>
          <w:szCs w:val="24"/>
        </w:rPr>
        <w:t>3</w:t>
      </w:r>
      <w:r w:rsidR="000168C4">
        <w:rPr>
          <w:rFonts w:ascii="Times New Roman" w:hAnsi="Times New Roman"/>
          <w:b/>
          <w:sz w:val="24"/>
          <w:szCs w:val="24"/>
        </w:rPr>
        <w:t>5</w:t>
      </w:r>
      <w:r w:rsidR="000168C4" w:rsidRPr="0091527C">
        <w:rPr>
          <w:rFonts w:ascii="Times New Roman" w:hAnsi="Times New Roman"/>
          <w:b/>
          <w:sz w:val="24"/>
          <w:szCs w:val="24"/>
        </w:rPr>
        <w:t xml:space="preserve"> </w:t>
      </w:r>
      <w:r w:rsidRPr="0091527C">
        <w:rPr>
          <w:rFonts w:ascii="Times New Roman" w:hAnsi="Times New Roman"/>
          <w:b/>
          <w:sz w:val="24"/>
          <w:szCs w:val="24"/>
        </w:rPr>
        <w:t>(§ 18 ods. 1 písm. c))</w:t>
      </w:r>
    </w:p>
    <w:p w14:paraId="4E6DA853" w14:textId="06EDDAF3"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Rozširuje sa povinnosť uchovávať dokumentáciu vnútorného auditu aj </w:t>
      </w:r>
      <w:r w:rsidR="00657A54">
        <w:rPr>
          <w:rFonts w:ascii="Times New Roman" w:hAnsi="Times New Roman"/>
          <w:sz w:val="24"/>
          <w:szCs w:val="24"/>
        </w:rPr>
        <w:t xml:space="preserve">o </w:t>
      </w:r>
      <w:r w:rsidRPr="0091527C">
        <w:rPr>
          <w:rFonts w:ascii="Times New Roman" w:hAnsi="Times New Roman"/>
          <w:sz w:val="24"/>
          <w:szCs w:val="24"/>
        </w:rPr>
        <w:t>dokumentáciu preukazujúcu prípravu</w:t>
      </w:r>
      <w:r w:rsidR="00657A54">
        <w:rPr>
          <w:rFonts w:ascii="Times New Roman" w:hAnsi="Times New Roman"/>
          <w:sz w:val="24"/>
          <w:szCs w:val="24"/>
        </w:rPr>
        <w:t xml:space="preserve">, </w:t>
      </w:r>
      <w:r w:rsidRPr="0091527C">
        <w:rPr>
          <w:rFonts w:ascii="Times New Roman" w:hAnsi="Times New Roman"/>
          <w:sz w:val="24"/>
          <w:szCs w:val="24"/>
        </w:rPr>
        <w:t xml:space="preserve">tvorbu </w:t>
      </w:r>
      <w:r w:rsidR="00657A54">
        <w:rPr>
          <w:rFonts w:ascii="Times New Roman" w:hAnsi="Times New Roman"/>
          <w:sz w:val="24"/>
          <w:szCs w:val="24"/>
        </w:rPr>
        <w:t xml:space="preserve">a zmenu </w:t>
      </w:r>
      <w:r w:rsidRPr="0091527C">
        <w:rPr>
          <w:rFonts w:ascii="Times New Roman" w:hAnsi="Times New Roman"/>
          <w:sz w:val="24"/>
          <w:szCs w:val="24"/>
        </w:rPr>
        <w:t xml:space="preserve">plánov vnútorného auditu. Uvedené súvisí najmä s preukázaním splnenia požiadaviek vyplývajúcich z relevantných ustanovení zákona č. 357/2015 Z. z. a príslušných metodických usmernení </w:t>
      </w:r>
      <w:r w:rsidR="001225D1">
        <w:rPr>
          <w:rFonts w:ascii="Times New Roman" w:hAnsi="Times New Roman"/>
          <w:sz w:val="24"/>
          <w:szCs w:val="24"/>
        </w:rPr>
        <w:t xml:space="preserve">napr. </w:t>
      </w:r>
      <w:r w:rsidRPr="0091527C">
        <w:rPr>
          <w:rFonts w:ascii="Times New Roman" w:hAnsi="Times New Roman"/>
          <w:sz w:val="24"/>
          <w:szCs w:val="24"/>
        </w:rPr>
        <w:t>za účelom hodnotenia kvality vykonávania vnútorného auditu.</w:t>
      </w:r>
    </w:p>
    <w:p w14:paraId="5FDF49E6" w14:textId="73D4BBDD"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0168C4" w:rsidRPr="0091527C">
        <w:rPr>
          <w:rFonts w:ascii="Times New Roman" w:hAnsi="Times New Roman"/>
          <w:b/>
          <w:sz w:val="24"/>
          <w:szCs w:val="24"/>
        </w:rPr>
        <w:t>3</w:t>
      </w:r>
      <w:r w:rsidR="000168C4">
        <w:rPr>
          <w:rFonts w:ascii="Times New Roman" w:hAnsi="Times New Roman"/>
          <w:b/>
          <w:sz w:val="24"/>
          <w:szCs w:val="24"/>
        </w:rPr>
        <w:t>6</w:t>
      </w:r>
      <w:r w:rsidR="000168C4" w:rsidRPr="0091527C">
        <w:rPr>
          <w:rFonts w:ascii="Times New Roman" w:hAnsi="Times New Roman"/>
          <w:b/>
          <w:sz w:val="24"/>
          <w:szCs w:val="24"/>
        </w:rPr>
        <w:t xml:space="preserve"> </w:t>
      </w:r>
      <w:r w:rsidRPr="0091527C">
        <w:rPr>
          <w:rFonts w:ascii="Times New Roman" w:hAnsi="Times New Roman"/>
          <w:b/>
          <w:sz w:val="24"/>
          <w:szCs w:val="24"/>
        </w:rPr>
        <w:t xml:space="preserve">(§ 19 ods. </w:t>
      </w:r>
      <w:r w:rsidR="006A4D38">
        <w:rPr>
          <w:rFonts w:ascii="Times New Roman" w:hAnsi="Times New Roman"/>
          <w:b/>
          <w:sz w:val="24"/>
          <w:szCs w:val="24"/>
        </w:rPr>
        <w:t>2</w:t>
      </w:r>
      <w:r w:rsidRPr="0091527C">
        <w:rPr>
          <w:rFonts w:ascii="Times New Roman" w:hAnsi="Times New Roman"/>
          <w:b/>
          <w:sz w:val="24"/>
          <w:szCs w:val="24"/>
        </w:rPr>
        <w:t>)</w:t>
      </w:r>
    </w:p>
    <w:p w14:paraId="1422DCE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Ustanovenie sa dopĺňa s ohľadom na situáciu, keď je výkon vládneho auditu zabezpečený viacerými oprávnenými osobami. Znamená to, že ak napríklad vykonáva vládny audit spoločne ministerstvo financií a Úrad vládneho auditu a vedúci audítorskej skupiny, t. j. vymenovaný vládny audítor, pod vedením ktorého sa vykonáva vládny audit je zamestnancom ministerstva financií, poverenie na vykonanie vládneho auditu bude podpísané ministrom financií SR, alebo ním písomne splnomocneným vedúcim zamestnancom.</w:t>
      </w:r>
    </w:p>
    <w:p w14:paraId="1881C71D" w14:textId="7854BFA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0168C4" w:rsidRPr="0091527C">
        <w:rPr>
          <w:rFonts w:ascii="Times New Roman" w:hAnsi="Times New Roman"/>
          <w:b/>
          <w:sz w:val="24"/>
          <w:szCs w:val="24"/>
        </w:rPr>
        <w:t>3</w:t>
      </w:r>
      <w:r w:rsidR="000168C4">
        <w:rPr>
          <w:rFonts w:ascii="Times New Roman" w:hAnsi="Times New Roman"/>
          <w:b/>
          <w:sz w:val="24"/>
          <w:szCs w:val="24"/>
        </w:rPr>
        <w:t>7</w:t>
      </w:r>
      <w:r w:rsidR="000168C4" w:rsidRPr="0091527C">
        <w:rPr>
          <w:rFonts w:ascii="Times New Roman" w:hAnsi="Times New Roman"/>
          <w:b/>
          <w:sz w:val="24"/>
          <w:szCs w:val="24"/>
        </w:rPr>
        <w:t xml:space="preserve"> </w:t>
      </w:r>
      <w:r w:rsidRPr="0091527C">
        <w:rPr>
          <w:rFonts w:ascii="Times New Roman" w:hAnsi="Times New Roman"/>
          <w:b/>
          <w:sz w:val="24"/>
          <w:szCs w:val="24"/>
        </w:rPr>
        <w:t>(poznámka pod čiarou k odkazu 23)</w:t>
      </w:r>
    </w:p>
    <w:p w14:paraId="45C06FAA" w14:textId="1F83420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Úprava poznámky pod čiarou v nadväznosti na zmenu zákona č. 583/2004 Z. z. o rozpočtových pravidlách územnej samosprávy a o zmene a doplnení niektorých zákonov v znení </w:t>
      </w:r>
      <w:r w:rsidR="00D054BD">
        <w:rPr>
          <w:rFonts w:ascii="Times New Roman" w:hAnsi="Times New Roman"/>
          <w:sz w:val="24"/>
          <w:szCs w:val="24"/>
        </w:rPr>
        <w:t>zákona č.</w:t>
      </w:r>
      <w:r w:rsidR="00B03251">
        <w:rPr>
          <w:rFonts w:ascii="Times New Roman" w:hAnsi="Times New Roman"/>
          <w:sz w:val="24"/>
          <w:szCs w:val="24"/>
        </w:rPr>
        <w:t> </w:t>
      </w:r>
      <w:r w:rsidR="00D054BD">
        <w:rPr>
          <w:rFonts w:ascii="Times New Roman" w:hAnsi="Times New Roman"/>
          <w:sz w:val="24"/>
          <w:szCs w:val="24"/>
        </w:rPr>
        <w:t>361/2014 Z. z</w:t>
      </w:r>
      <w:r w:rsidRPr="0091527C">
        <w:rPr>
          <w:rFonts w:ascii="Times New Roman" w:hAnsi="Times New Roman"/>
          <w:sz w:val="24"/>
          <w:szCs w:val="24"/>
        </w:rPr>
        <w:t>.</w:t>
      </w:r>
    </w:p>
    <w:p w14:paraId="02889538" w14:textId="58120724"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0168C4" w:rsidRPr="0091527C">
        <w:rPr>
          <w:rFonts w:ascii="Times New Roman" w:hAnsi="Times New Roman"/>
          <w:b/>
          <w:sz w:val="24"/>
          <w:szCs w:val="24"/>
        </w:rPr>
        <w:t>3</w:t>
      </w:r>
      <w:r w:rsidR="000168C4">
        <w:rPr>
          <w:rFonts w:ascii="Times New Roman" w:hAnsi="Times New Roman"/>
          <w:b/>
          <w:sz w:val="24"/>
          <w:szCs w:val="24"/>
        </w:rPr>
        <w:t>8</w:t>
      </w:r>
      <w:r w:rsidR="000168C4" w:rsidRPr="0091527C">
        <w:rPr>
          <w:rFonts w:ascii="Times New Roman" w:hAnsi="Times New Roman"/>
          <w:b/>
          <w:sz w:val="24"/>
          <w:szCs w:val="24"/>
        </w:rPr>
        <w:t xml:space="preserve"> </w:t>
      </w:r>
      <w:r w:rsidRPr="0091527C">
        <w:rPr>
          <w:rFonts w:ascii="Times New Roman" w:hAnsi="Times New Roman"/>
          <w:b/>
          <w:sz w:val="24"/>
          <w:szCs w:val="24"/>
        </w:rPr>
        <w:t>(§ 19 ods. 4)</w:t>
      </w:r>
    </w:p>
    <w:p w14:paraId="4CD12B42" w14:textId="77777777" w:rsidR="0091527C" w:rsidRPr="0091527C" w:rsidRDefault="00CF4416" w:rsidP="0091527C">
      <w:pPr>
        <w:jc w:val="both"/>
        <w:rPr>
          <w:rFonts w:ascii="Times New Roman" w:hAnsi="Times New Roman"/>
          <w:sz w:val="24"/>
          <w:szCs w:val="24"/>
        </w:rPr>
      </w:pPr>
      <w:r>
        <w:rPr>
          <w:rFonts w:ascii="Times New Roman" w:hAnsi="Times New Roman"/>
          <w:sz w:val="24"/>
          <w:szCs w:val="24"/>
        </w:rPr>
        <w:t xml:space="preserve">Úprava reflektuje </w:t>
      </w:r>
      <w:r w:rsidR="002A40C8">
        <w:rPr>
          <w:rFonts w:ascii="Times New Roman" w:hAnsi="Times New Roman"/>
          <w:sz w:val="24"/>
          <w:szCs w:val="24"/>
        </w:rPr>
        <w:t xml:space="preserve">na </w:t>
      </w:r>
      <w:r w:rsidR="0091527C" w:rsidRPr="0091527C">
        <w:rPr>
          <w:rFonts w:ascii="Times New Roman" w:hAnsi="Times New Roman"/>
          <w:sz w:val="24"/>
          <w:szCs w:val="24"/>
        </w:rPr>
        <w:t>potrebu zjednotenia terminológie</w:t>
      </w:r>
      <w:r>
        <w:rPr>
          <w:rFonts w:ascii="Times New Roman" w:hAnsi="Times New Roman"/>
          <w:sz w:val="24"/>
          <w:szCs w:val="24"/>
        </w:rPr>
        <w:t xml:space="preserve"> v súvislosti s tým, že</w:t>
      </w:r>
      <w:r w:rsidR="0091527C" w:rsidRPr="0091527C">
        <w:rPr>
          <w:rFonts w:ascii="Times New Roman" w:hAnsi="Times New Roman"/>
          <w:sz w:val="24"/>
          <w:szCs w:val="24"/>
        </w:rPr>
        <w:t xml:space="preserve"> oprávnená osoba navrhuje odporúčania, v nadväznosti na</w:t>
      </w:r>
      <w:r>
        <w:rPr>
          <w:rFonts w:ascii="Times New Roman" w:hAnsi="Times New Roman"/>
          <w:sz w:val="24"/>
          <w:szCs w:val="24"/>
        </w:rPr>
        <w:t> </w:t>
      </w:r>
      <w:r w:rsidR="0091527C" w:rsidRPr="0091527C">
        <w:rPr>
          <w:rFonts w:ascii="Times New Roman" w:hAnsi="Times New Roman"/>
          <w:sz w:val="24"/>
          <w:szCs w:val="24"/>
        </w:rPr>
        <w:t>ktoré povinná osoba prijíma konkrétne opatrenia.</w:t>
      </w:r>
    </w:p>
    <w:p w14:paraId="6FE0FDC3" w14:textId="77777777" w:rsidR="003646C5" w:rsidRDefault="003646C5" w:rsidP="0091527C">
      <w:pPr>
        <w:jc w:val="both"/>
        <w:rPr>
          <w:rFonts w:ascii="Times New Roman" w:hAnsi="Times New Roman"/>
          <w:b/>
          <w:sz w:val="24"/>
          <w:szCs w:val="24"/>
        </w:rPr>
      </w:pPr>
    </w:p>
    <w:p w14:paraId="2574098B" w14:textId="77777777" w:rsidR="003646C5" w:rsidRDefault="003646C5" w:rsidP="0091527C">
      <w:pPr>
        <w:jc w:val="both"/>
        <w:rPr>
          <w:rFonts w:ascii="Times New Roman" w:hAnsi="Times New Roman"/>
          <w:b/>
          <w:sz w:val="24"/>
          <w:szCs w:val="24"/>
        </w:rPr>
      </w:pPr>
    </w:p>
    <w:p w14:paraId="0F755960" w14:textId="07304C10"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0168C4" w:rsidRPr="0091527C">
        <w:rPr>
          <w:rFonts w:ascii="Times New Roman" w:hAnsi="Times New Roman"/>
          <w:b/>
          <w:sz w:val="24"/>
          <w:szCs w:val="24"/>
        </w:rPr>
        <w:t>3</w:t>
      </w:r>
      <w:r w:rsidR="000168C4">
        <w:rPr>
          <w:rFonts w:ascii="Times New Roman" w:hAnsi="Times New Roman"/>
          <w:b/>
          <w:sz w:val="24"/>
          <w:szCs w:val="24"/>
        </w:rPr>
        <w:t>9</w:t>
      </w:r>
      <w:r w:rsidR="000168C4" w:rsidRPr="0091527C">
        <w:rPr>
          <w:rFonts w:ascii="Times New Roman" w:hAnsi="Times New Roman"/>
          <w:b/>
          <w:sz w:val="24"/>
          <w:szCs w:val="24"/>
        </w:rPr>
        <w:t xml:space="preserve"> </w:t>
      </w:r>
      <w:r w:rsidRPr="0091527C">
        <w:rPr>
          <w:rFonts w:ascii="Times New Roman" w:hAnsi="Times New Roman"/>
          <w:b/>
          <w:sz w:val="24"/>
          <w:szCs w:val="24"/>
        </w:rPr>
        <w:t>(§ 20 ods. 1)</w:t>
      </w:r>
    </w:p>
    <w:p w14:paraId="23F26C8D"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V platnej právnej úprave sa administratívna finančná kontrola začína prvým úkonom povinnej osoby voči oprávnenej osobe, čo je napr. zaslanie žiadosti o poskytnutie príspevku/dotácie, zaslanie dokladov a podobne. Začatie administratívnej finančnej kontroly sa rozširuje o prvý úkon oprávnenej osoby voči povinnej osobe. Stane sa to najmä v prípadoch, keď po ukončení prvej administratívnej finančnej kontroly nastanú významné skutočnosti, ktoré budú vyžadovať vykonanie opätovnej administratívnej finančnej kontroly, napr. zistenia iných kontrolných orgánov. V praxi sa viackrát vyskytla potreba začatia administratívnej finančnej kontroly, avšak oprávnená osoba ju nemohla začať bez toho, aby povinná osoba vykonala prvý úkon. Takéto situácie sa riešili vykonaním finančnej kontroly na mieste, čo však predstavovalo zvýšenú administratívnu a časovú záťaž. </w:t>
      </w:r>
      <w:r w:rsidR="001D708E">
        <w:rPr>
          <w:rFonts w:ascii="Times New Roman" w:hAnsi="Times New Roman"/>
          <w:sz w:val="24"/>
          <w:szCs w:val="24"/>
        </w:rPr>
        <w:t>Zároveň sa upravuje</w:t>
      </w:r>
      <w:r w:rsidR="002A40C8">
        <w:rPr>
          <w:rFonts w:ascii="Times New Roman" w:hAnsi="Times New Roman"/>
          <w:sz w:val="24"/>
          <w:szCs w:val="24"/>
        </w:rPr>
        <w:t>, že opätovnou administratívnou finančnou kontrolou nemusia byť overené všetky skutočnosti, ktoré boli overené predchádzajúcou administratívnou finančnou kontrolou.</w:t>
      </w:r>
    </w:p>
    <w:p w14:paraId="263B2B4D" w14:textId="1764FA4C"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9A7D14">
        <w:rPr>
          <w:rFonts w:ascii="Times New Roman" w:hAnsi="Times New Roman"/>
          <w:b/>
          <w:sz w:val="24"/>
          <w:szCs w:val="24"/>
        </w:rPr>
        <w:t>40</w:t>
      </w:r>
      <w:r w:rsidR="009A7D14" w:rsidRPr="0091527C">
        <w:rPr>
          <w:rFonts w:ascii="Times New Roman" w:hAnsi="Times New Roman"/>
          <w:b/>
          <w:sz w:val="24"/>
          <w:szCs w:val="24"/>
        </w:rPr>
        <w:t xml:space="preserve"> </w:t>
      </w:r>
      <w:r w:rsidRPr="0091527C">
        <w:rPr>
          <w:rFonts w:ascii="Times New Roman" w:hAnsi="Times New Roman"/>
          <w:b/>
          <w:sz w:val="24"/>
          <w:szCs w:val="24"/>
        </w:rPr>
        <w:t>(§ 20 ods. 2 písm. a))</w:t>
      </w:r>
    </w:p>
    <w:p w14:paraId="46F8E6CA"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Ustanovenie sa dopĺňa o oprávnenie oprávnenej osoby, podľa ktorého je, okrem vyžadovania predkladania informácií, dokladov alebo iných podkladov súvisiacich s výkonom finančnej kontroly alebo auditu, oprávnená aj vyhotovovať si ich fotokópie a nakladať s nimi za účelom zabezpečenia vyhotovenia spisu z vykonanej finančnej kontroly alebo auditu a preukázania zistených skutočností.</w:t>
      </w:r>
    </w:p>
    <w:p w14:paraId="55BAA79A" w14:textId="622D9F5A"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9A7D14">
        <w:rPr>
          <w:rFonts w:ascii="Times New Roman" w:hAnsi="Times New Roman"/>
          <w:b/>
          <w:sz w:val="24"/>
          <w:szCs w:val="24"/>
        </w:rPr>
        <w:t>41</w:t>
      </w:r>
      <w:r w:rsidRPr="0091527C">
        <w:rPr>
          <w:rFonts w:ascii="Times New Roman" w:hAnsi="Times New Roman"/>
          <w:b/>
          <w:sz w:val="24"/>
          <w:szCs w:val="24"/>
        </w:rPr>
        <w:t xml:space="preserve">, </w:t>
      </w:r>
      <w:r w:rsidR="009A7D14">
        <w:rPr>
          <w:rFonts w:ascii="Times New Roman" w:hAnsi="Times New Roman"/>
          <w:b/>
          <w:sz w:val="24"/>
          <w:szCs w:val="24"/>
        </w:rPr>
        <w:t>42</w:t>
      </w:r>
      <w:r w:rsidR="007C3D31">
        <w:rPr>
          <w:rFonts w:ascii="Times New Roman" w:hAnsi="Times New Roman"/>
          <w:b/>
          <w:sz w:val="24"/>
          <w:szCs w:val="24"/>
        </w:rPr>
        <w:t xml:space="preserve">, </w:t>
      </w:r>
      <w:r w:rsidR="009A7D14" w:rsidRPr="0091527C">
        <w:rPr>
          <w:rFonts w:ascii="Times New Roman" w:hAnsi="Times New Roman"/>
          <w:b/>
          <w:sz w:val="24"/>
          <w:szCs w:val="24"/>
        </w:rPr>
        <w:t>5</w:t>
      </w:r>
      <w:r w:rsidR="009A7D14">
        <w:rPr>
          <w:rFonts w:ascii="Times New Roman" w:hAnsi="Times New Roman"/>
          <w:b/>
          <w:sz w:val="24"/>
          <w:szCs w:val="24"/>
        </w:rPr>
        <w:t xml:space="preserve">3 </w:t>
      </w:r>
      <w:r w:rsidR="00116F3D">
        <w:rPr>
          <w:rFonts w:ascii="Times New Roman" w:hAnsi="Times New Roman"/>
          <w:b/>
          <w:sz w:val="24"/>
          <w:szCs w:val="24"/>
        </w:rPr>
        <w:t xml:space="preserve">a </w:t>
      </w:r>
      <w:r w:rsidR="009A7D14">
        <w:rPr>
          <w:rFonts w:ascii="Times New Roman" w:hAnsi="Times New Roman"/>
          <w:b/>
          <w:sz w:val="24"/>
          <w:szCs w:val="24"/>
        </w:rPr>
        <w:t>54</w:t>
      </w:r>
      <w:r w:rsidR="009A7D14" w:rsidRPr="0091527C">
        <w:rPr>
          <w:rFonts w:ascii="Times New Roman" w:hAnsi="Times New Roman"/>
          <w:b/>
          <w:sz w:val="24"/>
          <w:szCs w:val="24"/>
        </w:rPr>
        <w:t xml:space="preserve"> </w:t>
      </w:r>
      <w:r w:rsidRPr="0091527C">
        <w:rPr>
          <w:rFonts w:ascii="Times New Roman" w:hAnsi="Times New Roman"/>
          <w:b/>
          <w:sz w:val="24"/>
          <w:szCs w:val="24"/>
        </w:rPr>
        <w:t>(§ 20 ods. 2 písm. c)</w:t>
      </w:r>
      <w:r w:rsidR="00472E55">
        <w:rPr>
          <w:rFonts w:ascii="Times New Roman" w:hAnsi="Times New Roman"/>
          <w:b/>
          <w:sz w:val="24"/>
          <w:szCs w:val="24"/>
        </w:rPr>
        <w:t xml:space="preserve"> až </w:t>
      </w:r>
      <w:r w:rsidR="007522D4">
        <w:rPr>
          <w:rFonts w:ascii="Times New Roman" w:hAnsi="Times New Roman"/>
          <w:b/>
          <w:sz w:val="24"/>
          <w:szCs w:val="24"/>
        </w:rPr>
        <w:t>f)</w:t>
      </w:r>
      <w:r w:rsidR="00466BFE">
        <w:rPr>
          <w:rFonts w:ascii="Times New Roman" w:hAnsi="Times New Roman"/>
          <w:b/>
          <w:sz w:val="24"/>
          <w:szCs w:val="24"/>
        </w:rPr>
        <w:t>,</w:t>
      </w:r>
      <w:r w:rsidR="007522D4">
        <w:rPr>
          <w:rFonts w:ascii="Times New Roman" w:hAnsi="Times New Roman"/>
          <w:b/>
          <w:sz w:val="24"/>
          <w:szCs w:val="24"/>
        </w:rPr>
        <w:t xml:space="preserve"> </w:t>
      </w:r>
      <w:r w:rsidRPr="0091527C">
        <w:rPr>
          <w:rFonts w:ascii="Times New Roman" w:hAnsi="Times New Roman"/>
          <w:b/>
          <w:sz w:val="24"/>
          <w:szCs w:val="24"/>
        </w:rPr>
        <w:t>§ 21 ods. 3 písm. e) až h))</w:t>
      </w:r>
    </w:p>
    <w:p w14:paraId="74BC9F13"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Doterajší systém overovania splnených opatrení prijatých na nápravu zistených nedostatkov a na odstránenie príčin ich vzniku povinnou osobou sa nahrádza novým systémom v nadväznosti na podnety vyplývajúce z aplikačnej praxe. Upravuje sa povinnosť povinnej osoby predložiť oprávnenej osobe </w:t>
      </w:r>
      <w:r w:rsidR="00472E55">
        <w:rPr>
          <w:rFonts w:ascii="Times New Roman" w:hAnsi="Times New Roman"/>
          <w:sz w:val="24"/>
          <w:szCs w:val="24"/>
        </w:rPr>
        <w:t xml:space="preserve">v lehote určenej oprávnenou osobou </w:t>
      </w:r>
      <w:r w:rsidRPr="0091527C">
        <w:rPr>
          <w:rFonts w:ascii="Times New Roman" w:hAnsi="Times New Roman"/>
          <w:sz w:val="24"/>
          <w:szCs w:val="24"/>
        </w:rPr>
        <w:t>písomný zoznam opatrení prijatých na nápravu nedostatkov a na odstránenie príčin ich vzniku (ďalej len</w:t>
      </w:r>
      <w:r w:rsidR="00C50298">
        <w:rPr>
          <w:rFonts w:ascii="Times New Roman" w:hAnsi="Times New Roman"/>
          <w:sz w:val="24"/>
          <w:szCs w:val="24"/>
        </w:rPr>
        <w:t> </w:t>
      </w:r>
      <w:r w:rsidRPr="0091527C">
        <w:rPr>
          <w:rFonts w:ascii="Times New Roman" w:hAnsi="Times New Roman"/>
          <w:sz w:val="24"/>
          <w:szCs w:val="24"/>
        </w:rPr>
        <w:t xml:space="preserve">„písomný zoznam prijatých opatrení“), resp. ho na požiadanie oprávnenej osoby prepracovať a predložiť </w:t>
      </w:r>
      <w:r w:rsidR="00E83B73">
        <w:rPr>
          <w:rFonts w:ascii="Times New Roman" w:hAnsi="Times New Roman"/>
          <w:sz w:val="24"/>
          <w:szCs w:val="24"/>
        </w:rPr>
        <w:t xml:space="preserve">písomný zoznam prijatých opatrení </w:t>
      </w:r>
      <w:r w:rsidRPr="0091527C">
        <w:rPr>
          <w:rFonts w:ascii="Times New Roman" w:hAnsi="Times New Roman"/>
          <w:sz w:val="24"/>
          <w:szCs w:val="24"/>
        </w:rPr>
        <w:t>v lehote stanovenej oprávnenou osobou, ak oprávnená osoba vyžadovala jeho prepracovanie. Povinná osoba má následne</w:t>
      </w:r>
      <w:r w:rsidR="00466BFE">
        <w:rPr>
          <w:rFonts w:ascii="Times New Roman" w:hAnsi="Times New Roman"/>
          <w:sz w:val="24"/>
          <w:szCs w:val="24"/>
        </w:rPr>
        <w:t>,</w:t>
      </w:r>
      <w:r w:rsidRPr="0091527C">
        <w:rPr>
          <w:rFonts w:ascii="Times New Roman" w:hAnsi="Times New Roman"/>
          <w:sz w:val="24"/>
          <w:szCs w:val="24"/>
        </w:rPr>
        <w:t xml:space="preserve"> </w:t>
      </w:r>
      <w:r w:rsidR="00472E55">
        <w:rPr>
          <w:rFonts w:ascii="Times New Roman" w:hAnsi="Times New Roman"/>
          <w:sz w:val="24"/>
          <w:szCs w:val="24"/>
        </w:rPr>
        <w:t>po</w:t>
      </w:r>
      <w:r w:rsidR="00466BFE">
        <w:rPr>
          <w:rFonts w:ascii="Times New Roman" w:hAnsi="Times New Roman"/>
          <w:sz w:val="24"/>
          <w:szCs w:val="24"/>
        </w:rPr>
        <w:t> </w:t>
      </w:r>
      <w:r w:rsidR="00472E55">
        <w:rPr>
          <w:rFonts w:ascii="Times New Roman" w:hAnsi="Times New Roman"/>
          <w:sz w:val="24"/>
          <w:szCs w:val="24"/>
        </w:rPr>
        <w:t xml:space="preserve">uplynutí lehoty </w:t>
      </w:r>
      <w:r w:rsidR="00466BFE">
        <w:rPr>
          <w:rFonts w:ascii="Times New Roman" w:hAnsi="Times New Roman"/>
          <w:sz w:val="24"/>
          <w:szCs w:val="24"/>
        </w:rPr>
        <w:t>na splnenie opatrení</w:t>
      </w:r>
      <w:r w:rsidR="007C3B24" w:rsidRPr="007C3B24">
        <w:rPr>
          <w:rFonts w:ascii="Times New Roman" w:hAnsi="Times New Roman"/>
          <w:sz w:val="24"/>
          <w:szCs w:val="24"/>
        </w:rPr>
        <w:t xml:space="preserve"> </w:t>
      </w:r>
      <w:r w:rsidR="007C3B24" w:rsidRPr="0091527C">
        <w:rPr>
          <w:rFonts w:ascii="Times New Roman" w:hAnsi="Times New Roman"/>
          <w:sz w:val="24"/>
          <w:szCs w:val="24"/>
        </w:rPr>
        <w:t>prijatých na nápravu zistených nedostatkov a na odstránenie príčin ich vzniku (ďalej len „splnenie prijatých opatrení“)</w:t>
      </w:r>
      <w:r w:rsidR="00466BFE">
        <w:rPr>
          <w:rFonts w:ascii="Times New Roman" w:hAnsi="Times New Roman"/>
          <w:sz w:val="24"/>
          <w:szCs w:val="24"/>
        </w:rPr>
        <w:t xml:space="preserve">, </w:t>
      </w:r>
      <w:r w:rsidRPr="0091527C">
        <w:rPr>
          <w:rFonts w:ascii="Times New Roman" w:hAnsi="Times New Roman"/>
          <w:sz w:val="24"/>
          <w:szCs w:val="24"/>
        </w:rPr>
        <w:t>povinnosť na</w:t>
      </w:r>
      <w:r w:rsidR="00C50298">
        <w:rPr>
          <w:rFonts w:ascii="Times New Roman" w:hAnsi="Times New Roman"/>
          <w:sz w:val="24"/>
          <w:szCs w:val="24"/>
        </w:rPr>
        <w:t> </w:t>
      </w:r>
      <w:r w:rsidRPr="0091527C">
        <w:rPr>
          <w:rFonts w:ascii="Times New Roman" w:hAnsi="Times New Roman"/>
          <w:sz w:val="24"/>
          <w:szCs w:val="24"/>
        </w:rPr>
        <w:t xml:space="preserve">vyžiadanie oprávnenej osoby, predložiť dokumentáciu preukazujúcu splnenie </w:t>
      </w:r>
      <w:r w:rsidR="007C3B24">
        <w:rPr>
          <w:rFonts w:ascii="Times New Roman" w:hAnsi="Times New Roman"/>
          <w:sz w:val="24"/>
          <w:szCs w:val="24"/>
        </w:rPr>
        <w:t xml:space="preserve">prijatých </w:t>
      </w:r>
      <w:r w:rsidRPr="0091527C">
        <w:rPr>
          <w:rFonts w:ascii="Times New Roman" w:hAnsi="Times New Roman"/>
          <w:sz w:val="24"/>
          <w:szCs w:val="24"/>
        </w:rPr>
        <w:t>opatrení</w:t>
      </w:r>
      <w:r w:rsidR="007C3B24">
        <w:rPr>
          <w:rFonts w:ascii="Times New Roman" w:hAnsi="Times New Roman"/>
          <w:sz w:val="24"/>
          <w:szCs w:val="24"/>
        </w:rPr>
        <w:t>. N</w:t>
      </w:r>
      <w:r w:rsidRPr="0091527C">
        <w:rPr>
          <w:rFonts w:ascii="Times New Roman" w:hAnsi="Times New Roman"/>
          <w:sz w:val="24"/>
          <w:szCs w:val="24"/>
        </w:rPr>
        <w:t xml:space="preserve">epôjde </w:t>
      </w:r>
      <w:r w:rsidR="007C3B24">
        <w:rPr>
          <w:rFonts w:ascii="Times New Roman" w:hAnsi="Times New Roman"/>
          <w:sz w:val="24"/>
          <w:szCs w:val="24"/>
        </w:rPr>
        <w:t xml:space="preserve">teda </w:t>
      </w:r>
      <w:r w:rsidRPr="0091527C">
        <w:rPr>
          <w:rFonts w:ascii="Times New Roman" w:hAnsi="Times New Roman"/>
          <w:sz w:val="24"/>
          <w:szCs w:val="24"/>
        </w:rPr>
        <w:t>o ďalší zoznam alebo správu, ale o samotnú dokumentáciu preukazujúcu splnenie prijatých opatrení</w:t>
      </w:r>
      <w:r w:rsidR="007C3B24">
        <w:rPr>
          <w:rFonts w:ascii="Times New Roman" w:hAnsi="Times New Roman"/>
          <w:sz w:val="24"/>
          <w:szCs w:val="24"/>
        </w:rPr>
        <w:t>.</w:t>
      </w:r>
    </w:p>
    <w:p w14:paraId="032F9DD5"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Oprávnenej osobe prislúcha právo </w:t>
      </w:r>
      <w:r w:rsidR="007C3B24">
        <w:rPr>
          <w:rFonts w:ascii="Times New Roman" w:hAnsi="Times New Roman"/>
          <w:sz w:val="24"/>
          <w:szCs w:val="24"/>
        </w:rPr>
        <w:t>vy</w:t>
      </w:r>
      <w:r w:rsidRPr="0091527C">
        <w:rPr>
          <w:rFonts w:ascii="Times New Roman" w:hAnsi="Times New Roman"/>
          <w:sz w:val="24"/>
          <w:szCs w:val="24"/>
        </w:rPr>
        <w:t xml:space="preserve">žadovať od povinnej osoby </w:t>
      </w:r>
      <w:r w:rsidR="007C3B24">
        <w:rPr>
          <w:rFonts w:ascii="Times New Roman" w:hAnsi="Times New Roman"/>
          <w:sz w:val="24"/>
          <w:szCs w:val="24"/>
        </w:rPr>
        <w:t xml:space="preserve">predloženie </w:t>
      </w:r>
      <w:r w:rsidRPr="0091527C">
        <w:rPr>
          <w:rFonts w:ascii="Times New Roman" w:hAnsi="Times New Roman"/>
          <w:sz w:val="24"/>
          <w:szCs w:val="24"/>
        </w:rPr>
        <w:t>písomn</w:t>
      </w:r>
      <w:r w:rsidR="007C3B24">
        <w:rPr>
          <w:rFonts w:ascii="Times New Roman" w:hAnsi="Times New Roman"/>
          <w:sz w:val="24"/>
          <w:szCs w:val="24"/>
        </w:rPr>
        <w:t>ého</w:t>
      </w:r>
      <w:r w:rsidRPr="0091527C">
        <w:rPr>
          <w:rFonts w:ascii="Times New Roman" w:hAnsi="Times New Roman"/>
          <w:sz w:val="24"/>
          <w:szCs w:val="24"/>
        </w:rPr>
        <w:t xml:space="preserve"> zoznam</w:t>
      </w:r>
      <w:r w:rsidR="007C3B24">
        <w:rPr>
          <w:rFonts w:ascii="Times New Roman" w:hAnsi="Times New Roman"/>
          <w:sz w:val="24"/>
          <w:szCs w:val="24"/>
        </w:rPr>
        <w:t>u</w:t>
      </w:r>
      <w:r w:rsidRPr="0091527C">
        <w:rPr>
          <w:rFonts w:ascii="Times New Roman" w:hAnsi="Times New Roman"/>
          <w:sz w:val="24"/>
          <w:szCs w:val="24"/>
        </w:rPr>
        <w:t xml:space="preserve"> prijatých opatrení, a taktiež preukázanie splnenia prijatých opatrení za účelom overenia prijatia a splnenia opatrení na nápravu zistených nedostatkov a na odstránenie príčin ich vzniku.</w:t>
      </w:r>
    </w:p>
    <w:p w14:paraId="54C6A6A8" w14:textId="586997F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21637A" w:rsidRPr="0091527C">
        <w:rPr>
          <w:rFonts w:ascii="Times New Roman" w:hAnsi="Times New Roman"/>
          <w:b/>
          <w:sz w:val="24"/>
          <w:szCs w:val="24"/>
        </w:rPr>
        <w:t>4</w:t>
      </w:r>
      <w:r w:rsidR="0021637A">
        <w:rPr>
          <w:rFonts w:ascii="Times New Roman" w:hAnsi="Times New Roman"/>
          <w:b/>
          <w:sz w:val="24"/>
          <w:szCs w:val="24"/>
        </w:rPr>
        <w:t>3</w:t>
      </w:r>
      <w:r w:rsidR="0021637A" w:rsidRPr="0091527C">
        <w:rPr>
          <w:rFonts w:ascii="Times New Roman" w:hAnsi="Times New Roman"/>
          <w:b/>
          <w:sz w:val="24"/>
          <w:szCs w:val="24"/>
        </w:rPr>
        <w:t xml:space="preserve"> </w:t>
      </w:r>
      <w:r w:rsidRPr="0091527C">
        <w:rPr>
          <w:rFonts w:ascii="Times New Roman" w:hAnsi="Times New Roman"/>
          <w:b/>
          <w:sz w:val="24"/>
          <w:szCs w:val="24"/>
        </w:rPr>
        <w:t>(poznámka pod čiarou k odkazu 26)</w:t>
      </w:r>
    </w:p>
    <w:p w14:paraId="63F4504D"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w:t>
      </w:r>
    </w:p>
    <w:p w14:paraId="6F9EDBF4" w14:textId="77777777" w:rsidR="003646C5" w:rsidRDefault="003646C5" w:rsidP="0091527C">
      <w:pPr>
        <w:jc w:val="both"/>
        <w:rPr>
          <w:rFonts w:ascii="Times New Roman" w:hAnsi="Times New Roman"/>
          <w:b/>
          <w:sz w:val="24"/>
          <w:szCs w:val="24"/>
        </w:rPr>
      </w:pPr>
    </w:p>
    <w:p w14:paraId="3C692444" w14:textId="77777777" w:rsidR="003646C5" w:rsidRDefault="003646C5" w:rsidP="0091527C">
      <w:pPr>
        <w:jc w:val="both"/>
        <w:rPr>
          <w:rFonts w:ascii="Times New Roman" w:hAnsi="Times New Roman"/>
          <w:b/>
          <w:sz w:val="24"/>
          <w:szCs w:val="24"/>
        </w:rPr>
      </w:pPr>
    </w:p>
    <w:p w14:paraId="2EB97F94" w14:textId="2CFB6F6F"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bodom </w:t>
      </w:r>
      <w:r w:rsidR="0021637A" w:rsidRPr="0091527C">
        <w:rPr>
          <w:rFonts w:ascii="Times New Roman" w:hAnsi="Times New Roman"/>
          <w:b/>
          <w:sz w:val="24"/>
          <w:szCs w:val="24"/>
        </w:rPr>
        <w:t>4</w:t>
      </w:r>
      <w:r w:rsidR="0021637A">
        <w:rPr>
          <w:rFonts w:ascii="Times New Roman" w:hAnsi="Times New Roman"/>
          <w:b/>
          <w:sz w:val="24"/>
          <w:szCs w:val="24"/>
        </w:rPr>
        <w:t>4</w:t>
      </w:r>
      <w:r w:rsidR="0021637A" w:rsidRPr="0091527C">
        <w:rPr>
          <w:rFonts w:ascii="Times New Roman" w:hAnsi="Times New Roman"/>
          <w:b/>
          <w:sz w:val="24"/>
          <w:szCs w:val="24"/>
        </w:rPr>
        <w:t xml:space="preserve"> </w:t>
      </w:r>
      <w:r w:rsidRPr="0091527C">
        <w:rPr>
          <w:rFonts w:ascii="Times New Roman" w:hAnsi="Times New Roman"/>
          <w:b/>
          <w:sz w:val="24"/>
          <w:szCs w:val="24"/>
        </w:rPr>
        <w:t>a </w:t>
      </w:r>
      <w:r w:rsidR="00C33208">
        <w:rPr>
          <w:rFonts w:ascii="Times New Roman" w:hAnsi="Times New Roman"/>
          <w:b/>
          <w:sz w:val="24"/>
          <w:szCs w:val="24"/>
        </w:rPr>
        <w:t>50</w:t>
      </w:r>
      <w:r w:rsidR="00C33208" w:rsidRPr="0091527C">
        <w:rPr>
          <w:rFonts w:ascii="Times New Roman" w:hAnsi="Times New Roman"/>
          <w:b/>
          <w:sz w:val="24"/>
          <w:szCs w:val="24"/>
        </w:rPr>
        <w:t xml:space="preserve"> </w:t>
      </w:r>
      <w:r w:rsidRPr="0091527C">
        <w:rPr>
          <w:rFonts w:ascii="Times New Roman" w:hAnsi="Times New Roman"/>
          <w:b/>
          <w:sz w:val="24"/>
          <w:szCs w:val="24"/>
        </w:rPr>
        <w:t>(§ 20 ods. 4 písm. b) a c) a § 21 ods. 1 písm. b))</w:t>
      </w:r>
    </w:p>
    <w:p w14:paraId="1D600FEF"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V rámci uvedených ustanovení sa upravuje námietkové konanie. Povinná osoba má oprávnenie oboznámiť sa s návrhom čiastkovej správy alebo s návrhom správy jeho doručením, ak boli zistené nedostatky. Následne je povinná osoba oprávnená podať v lehote určenej oprávnenou osobou písomné námietky k zisteným nedostatkom, navrhnutým odporúčaniam, k lehote na predloženie písomného zoznamu prijatých opatrení a k lehote na</w:t>
      </w:r>
      <w:r w:rsidR="00D06A17">
        <w:rPr>
          <w:rFonts w:ascii="Times New Roman" w:hAnsi="Times New Roman"/>
          <w:sz w:val="24"/>
          <w:szCs w:val="24"/>
        </w:rPr>
        <w:t> </w:t>
      </w:r>
      <w:r w:rsidRPr="0091527C">
        <w:rPr>
          <w:rFonts w:ascii="Times New Roman" w:hAnsi="Times New Roman"/>
          <w:sz w:val="24"/>
          <w:szCs w:val="24"/>
        </w:rPr>
        <w:t>splnenie prijatých opatrení. Oprávnená osoba má povinnosť preveriť opodstatnenosť predložených námietok, pričom v prípade, ak ich vyhodnotí ako opodstatnené, zohľadní ich v čiastkovej správe alebo správe, a ak ich vyhodnotí ako neopodstatnené, uvedie ich v čiastkovej správe alebo správe spolu s odôvodnením ich neopodstatnenosti. Odôvodnenie by malo byť nápomocné a </w:t>
      </w:r>
      <w:proofErr w:type="spellStart"/>
      <w:r w:rsidRPr="0091527C">
        <w:rPr>
          <w:rFonts w:ascii="Times New Roman" w:hAnsi="Times New Roman"/>
          <w:sz w:val="24"/>
          <w:szCs w:val="24"/>
        </w:rPr>
        <w:t>edukatívne</w:t>
      </w:r>
      <w:proofErr w:type="spellEnd"/>
      <w:r w:rsidRPr="0091527C">
        <w:rPr>
          <w:rFonts w:ascii="Times New Roman" w:hAnsi="Times New Roman"/>
          <w:sz w:val="24"/>
          <w:szCs w:val="24"/>
        </w:rPr>
        <w:t xml:space="preserve"> pre povinnú osobu, pričom by nemalo ísť len o strohé konštatovanie toho, že námietka je neopodstatnená. </w:t>
      </w:r>
    </w:p>
    <w:p w14:paraId="5C842E7F" w14:textId="56367195"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33208" w:rsidRPr="0091527C">
        <w:rPr>
          <w:rFonts w:ascii="Times New Roman" w:hAnsi="Times New Roman"/>
          <w:b/>
          <w:sz w:val="24"/>
          <w:szCs w:val="24"/>
        </w:rPr>
        <w:t>4</w:t>
      </w:r>
      <w:r w:rsidR="00C33208">
        <w:rPr>
          <w:rFonts w:ascii="Times New Roman" w:hAnsi="Times New Roman"/>
          <w:b/>
          <w:sz w:val="24"/>
          <w:szCs w:val="24"/>
        </w:rPr>
        <w:t>5</w:t>
      </w:r>
      <w:r w:rsidR="00C33208" w:rsidRPr="0091527C">
        <w:rPr>
          <w:rFonts w:ascii="Times New Roman" w:hAnsi="Times New Roman"/>
          <w:b/>
          <w:sz w:val="24"/>
          <w:szCs w:val="24"/>
        </w:rPr>
        <w:t xml:space="preserve"> </w:t>
      </w:r>
      <w:r w:rsidRPr="0091527C">
        <w:rPr>
          <w:rFonts w:ascii="Times New Roman" w:hAnsi="Times New Roman"/>
          <w:b/>
          <w:sz w:val="24"/>
          <w:szCs w:val="24"/>
        </w:rPr>
        <w:t>(§ 20 ods. 4 písm. e))</w:t>
      </w:r>
    </w:p>
    <w:p w14:paraId="55F8A071"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Podľa platnej právnej úpravy sa podozrenia zo spáchania trestného činu, priestupku alebo</w:t>
      </w:r>
      <w:r w:rsidR="006008EE">
        <w:rPr>
          <w:rFonts w:ascii="Times New Roman" w:hAnsi="Times New Roman"/>
          <w:sz w:val="24"/>
          <w:szCs w:val="24"/>
        </w:rPr>
        <w:t> </w:t>
      </w:r>
      <w:r w:rsidRPr="0091527C">
        <w:rPr>
          <w:rFonts w:ascii="Times New Roman" w:hAnsi="Times New Roman"/>
          <w:sz w:val="24"/>
          <w:szCs w:val="24"/>
        </w:rPr>
        <w:t>iného správneho deliktu neuvádzajú v návrhu čiastkovej správy, návrhu správy, čiastkovej správe alebo správe. Najmä pri správnych deliktoch uvedené ustanovenie spôsobovalo problémy, nakoľko išlo zväčša o nedostatky formálneho charakteru, ktoré v</w:t>
      </w:r>
      <w:r w:rsidR="006008EE">
        <w:rPr>
          <w:rFonts w:ascii="Times New Roman" w:hAnsi="Times New Roman"/>
          <w:sz w:val="24"/>
          <w:szCs w:val="24"/>
        </w:rPr>
        <w:t> </w:t>
      </w:r>
      <w:r w:rsidRPr="0091527C">
        <w:rPr>
          <w:rFonts w:ascii="Times New Roman" w:hAnsi="Times New Roman"/>
          <w:sz w:val="24"/>
          <w:szCs w:val="24"/>
        </w:rPr>
        <w:t>niektorých prípadoch tvoria podstatnú časť správ z vykonaných finančných kontrol a</w:t>
      </w:r>
      <w:r w:rsidR="006008EE">
        <w:rPr>
          <w:rFonts w:ascii="Times New Roman" w:hAnsi="Times New Roman"/>
          <w:sz w:val="24"/>
          <w:szCs w:val="24"/>
        </w:rPr>
        <w:t> </w:t>
      </w:r>
      <w:r w:rsidRPr="0091527C">
        <w:rPr>
          <w:rFonts w:ascii="Times New Roman" w:hAnsi="Times New Roman"/>
          <w:sz w:val="24"/>
          <w:szCs w:val="24"/>
        </w:rPr>
        <w:t>auditov.</w:t>
      </w:r>
    </w:p>
    <w:p w14:paraId="3E2FF4E1" w14:textId="79F16DCA"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Doplnením, že </w:t>
      </w:r>
      <w:r w:rsidR="005B19A2">
        <w:rPr>
          <w:rFonts w:ascii="Times New Roman" w:hAnsi="Times New Roman"/>
          <w:sz w:val="24"/>
          <w:szCs w:val="24"/>
        </w:rPr>
        <w:t xml:space="preserve">tieto podozrenia sa </w:t>
      </w:r>
      <w:r w:rsidRPr="0091527C">
        <w:rPr>
          <w:rFonts w:ascii="Times New Roman" w:hAnsi="Times New Roman"/>
          <w:sz w:val="24"/>
          <w:szCs w:val="24"/>
        </w:rPr>
        <w:t>v návrhu čiastkovej správy, návrhu správy, čiastkovej správe alebo správe neuvádzajú v prípadoch hodných osobitného zreteľa, sa umožňuje zamestnancom oprávnenej osoby posúdiť každý prípad individuálne. Takýmito prípadmi sa rozumejú najmä situácie, kedy by uvedením podozrenia v návrhu čiastkovej správy, návrhu správy, čiastkovej správe alebo správe mohlo dôjsť k zmareniu trestného konania alebo iného konania podľa osobitného predpisu. V praxi pôjde napríklad o podozrenie zo spáchania trestného činu subvenčného podvodu, machinácie pri verejnom obstarávaní a verejnej dražbe, poškodzovania finančný</w:t>
      </w:r>
      <w:r w:rsidR="00B00309">
        <w:rPr>
          <w:rFonts w:ascii="Times New Roman" w:hAnsi="Times New Roman"/>
          <w:sz w:val="24"/>
          <w:szCs w:val="24"/>
        </w:rPr>
        <w:t>ch záujmov Európskej únie a pod</w:t>
      </w:r>
      <w:r w:rsidRPr="0091527C">
        <w:rPr>
          <w:rFonts w:ascii="Times New Roman" w:hAnsi="Times New Roman"/>
          <w:sz w:val="24"/>
          <w:szCs w:val="24"/>
        </w:rPr>
        <w:t>.</w:t>
      </w:r>
    </w:p>
    <w:p w14:paraId="50D22FCF" w14:textId="3BA9CCA2"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bodu  </w:t>
      </w:r>
      <w:r w:rsidR="00C33208" w:rsidRPr="0091527C">
        <w:rPr>
          <w:rFonts w:ascii="Times New Roman" w:hAnsi="Times New Roman"/>
          <w:b/>
          <w:sz w:val="24"/>
          <w:szCs w:val="24"/>
        </w:rPr>
        <w:t>4</w:t>
      </w:r>
      <w:r w:rsidR="00C33208">
        <w:rPr>
          <w:rFonts w:ascii="Times New Roman" w:hAnsi="Times New Roman"/>
          <w:b/>
          <w:sz w:val="24"/>
          <w:szCs w:val="24"/>
        </w:rPr>
        <w:t>6</w:t>
      </w:r>
      <w:r w:rsidR="00C33208" w:rsidRPr="0091527C">
        <w:rPr>
          <w:rFonts w:ascii="Times New Roman" w:hAnsi="Times New Roman"/>
          <w:b/>
          <w:sz w:val="24"/>
          <w:szCs w:val="24"/>
        </w:rPr>
        <w:t xml:space="preserve"> </w:t>
      </w:r>
      <w:r w:rsidRPr="0091527C">
        <w:rPr>
          <w:rFonts w:ascii="Times New Roman" w:hAnsi="Times New Roman"/>
          <w:b/>
          <w:sz w:val="24"/>
          <w:szCs w:val="24"/>
        </w:rPr>
        <w:t>(§ 20 ods. 5 písm. a))</w:t>
      </w:r>
    </w:p>
    <w:p w14:paraId="2A80EA66" w14:textId="77777777" w:rsidR="0091527C" w:rsidRPr="0091527C" w:rsidRDefault="005B19A2" w:rsidP="0091527C">
      <w:pPr>
        <w:jc w:val="both"/>
        <w:rPr>
          <w:rFonts w:ascii="Times New Roman" w:hAnsi="Times New Roman"/>
          <w:sz w:val="24"/>
          <w:szCs w:val="24"/>
        </w:rPr>
      </w:pPr>
      <w:r>
        <w:rPr>
          <w:rFonts w:ascii="Times New Roman" w:hAnsi="Times New Roman"/>
          <w:sz w:val="24"/>
          <w:szCs w:val="24"/>
        </w:rPr>
        <w:t>K zmene dochádza z dôvodu,</w:t>
      </w:r>
      <w:r w:rsidR="0091527C" w:rsidRPr="0091527C">
        <w:rPr>
          <w:rFonts w:ascii="Times New Roman" w:hAnsi="Times New Roman"/>
          <w:sz w:val="24"/>
          <w:szCs w:val="24"/>
        </w:rPr>
        <w:t xml:space="preserve"> </w:t>
      </w:r>
      <w:r>
        <w:rPr>
          <w:rFonts w:ascii="Times New Roman" w:hAnsi="Times New Roman"/>
          <w:sz w:val="24"/>
          <w:szCs w:val="24"/>
        </w:rPr>
        <w:t>že v zmysle</w:t>
      </w:r>
      <w:r w:rsidR="0091527C" w:rsidRPr="0091527C">
        <w:rPr>
          <w:rFonts w:ascii="Times New Roman" w:hAnsi="Times New Roman"/>
          <w:sz w:val="24"/>
          <w:szCs w:val="24"/>
        </w:rPr>
        <w:t xml:space="preserve"> predchádzajúcej úprav</w:t>
      </w:r>
      <w:r>
        <w:rPr>
          <w:rFonts w:ascii="Times New Roman" w:hAnsi="Times New Roman"/>
          <w:sz w:val="24"/>
          <w:szCs w:val="24"/>
        </w:rPr>
        <w:t>y</w:t>
      </w:r>
      <w:r w:rsidR="00DF4277">
        <w:rPr>
          <w:rFonts w:ascii="Times New Roman" w:hAnsi="Times New Roman"/>
          <w:sz w:val="24"/>
          <w:szCs w:val="24"/>
        </w:rPr>
        <w:t xml:space="preserve"> </w:t>
      </w:r>
      <w:r w:rsidR="0091527C" w:rsidRPr="0091527C">
        <w:rPr>
          <w:rFonts w:ascii="Times New Roman" w:hAnsi="Times New Roman"/>
          <w:sz w:val="24"/>
          <w:szCs w:val="24"/>
        </w:rPr>
        <w:t>mala oprávnená osoba povinnosť oznámiť povinnej osobe termín výkonu finančnej kontroly na mieste alebo auditu. Pojem „termín“ sa vykladal ako časový úsek od začatia výkonu finančnej kontroly na mieste alebo auditu po ich skončenie. Uvedené však v praxi spôsobovalo problémy, nakoľko oprávnená osoba nemusí v čase začatia výkonu finančnej kontroly na mieste alebo auditu vedieť odhadnúť termín ich skončenia, keďže tento závisí nielen od cieľov finančnej kontroly na</w:t>
      </w:r>
      <w:r w:rsidR="006008EE">
        <w:rPr>
          <w:rFonts w:ascii="Times New Roman" w:hAnsi="Times New Roman"/>
          <w:sz w:val="24"/>
          <w:szCs w:val="24"/>
        </w:rPr>
        <w:t> </w:t>
      </w:r>
      <w:r w:rsidR="0091527C" w:rsidRPr="0091527C">
        <w:rPr>
          <w:rFonts w:ascii="Times New Roman" w:hAnsi="Times New Roman"/>
          <w:sz w:val="24"/>
          <w:szCs w:val="24"/>
        </w:rPr>
        <w:t xml:space="preserve">mieste a auditu, ale aj od rozsahu overovanej dokumentácie a viacerých nepredvídateľných skutočností, ktoré sa môžu objaviť v priebehu finančnej kontroly na mieste alebo auditu. </w:t>
      </w:r>
    </w:p>
    <w:p w14:paraId="2EAD087F" w14:textId="75C897A6"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33208" w:rsidRPr="0091527C">
        <w:rPr>
          <w:rFonts w:ascii="Times New Roman" w:hAnsi="Times New Roman"/>
          <w:b/>
          <w:sz w:val="24"/>
          <w:szCs w:val="24"/>
        </w:rPr>
        <w:t>4</w:t>
      </w:r>
      <w:r w:rsidR="00C33208">
        <w:rPr>
          <w:rFonts w:ascii="Times New Roman" w:hAnsi="Times New Roman"/>
          <w:b/>
          <w:sz w:val="24"/>
          <w:szCs w:val="24"/>
        </w:rPr>
        <w:t>7</w:t>
      </w:r>
      <w:r w:rsidR="00C33208" w:rsidRPr="0091527C">
        <w:rPr>
          <w:rFonts w:ascii="Times New Roman" w:hAnsi="Times New Roman"/>
          <w:b/>
          <w:sz w:val="24"/>
          <w:szCs w:val="24"/>
        </w:rPr>
        <w:t xml:space="preserve"> </w:t>
      </w:r>
      <w:r w:rsidRPr="0091527C">
        <w:rPr>
          <w:rFonts w:ascii="Times New Roman" w:hAnsi="Times New Roman"/>
          <w:b/>
          <w:sz w:val="24"/>
          <w:szCs w:val="24"/>
        </w:rPr>
        <w:t>(§ 20 ods. 5 písm. b))</w:t>
      </w:r>
    </w:p>
    <w:p w14:paraId="3F2BC7E1"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Úprava zabezpečuje zjednotenie terminológie zákona č. 357/2015 Z. z.</w:t>
      </w:r>
    </w:p>
    <w:p w14:paraId="0D9FD11E" w14:textId="6F8E7462"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33208" w:rsidRPr="0091527C">
        <w:rPr>
          <w:rFonts w:ascii="Times New Roman" w:hAnsi="Times New Roman"/>
          <w:b/>
          <w:sz w:val="24"/>
          <w:szCs w:val="24"/>
        </w:rPr>
        <w:t>4</w:t>
      </w:r>
      <w:r w:rsidR="00C33208">
        <w:rPr>
          <w:rFonts w:ascii="Times New Roman" w:hAnsi="Times New Roman"/>
          <w:b/>
          <w:sz w:val="24"/>
          <w:szCs w:val="24"/>
        </w:rPr>
        <w:t>8</w:t>
      </w:r>
      <w:r w:rsidR="00C33208" w:rsidRPr="0091527C">
        <w:rPr>
          <w:rFonts w:ascii="Times New Roman" w:hAnsi="Times New Roman"/>
          <w:b/>
          <w:sz w:val="24"/>
          <w:szCs w:val="24"/>
        </w:rPr>
        <w:t xml:space="preserve"> </w:t>
      </w:r>
      <w:r w:rsidRPr="0091527C">
        <w:rPr>
          <w:rFonts w:ascii="Times New Roman" w:hAnsi="Times New Roman"/>
          <w:b/>
          <w:sz w:val="24"/>
          <w:szCs w:val="24"/>
        </w:rPr>
        <w:t>(§ 20 ods. 6)</w:t>
      </w:r>
    </w:p>
    <w:p w14:paraId="47261F39"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Precizuje sa fikcia doručenia návrhu čiastkovej správy/návrhu správy povinnej osobe. Navrhovaná úprava vychádza z ustanovení Civilného sporového poriadku.</w:t>
      </w:r>
    </w:p>
    <w:p w14:paraId="28A10BA9" w14:textId="77777777" w:rsidR="003646C5" w:rsidRDefault="003646C5" w:rsidP="0091527C">
      <w:pPr>
        <w:jc w:val="both"/>
        <w:rPr>
          <w:rFonts w:ascii="Times New Roman" w:hAnsi="Times New Roman"/>
          <w:b/>
          <w:sz w:val="24"/>
          <w:szCs w:val="24"/>
        </w:rPr>
      </w:pPr>
    </w:p>
    <w:p w14:paraId="1C88B7CF" w14:textId="431D90B3"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lastRenderedPageBreak/>
        <w:t xml:space="preserve">K bodu </w:t>
      </w:r>
      <w:r w:rsidR="00C33208" w:rsidRPr="0091527C">
        <w:rPr>
          <w:rFonts w:ascii="Times New Roman" w:hAnsi="Times New Roman"/>
          <w:b/>
          <w:sz w:val="24"/>
          <w:szCs w:val="24"/>
        </w:rPr>
        <w:t>4</w:t>
      </w:r>
      <w:r w:rsidR="00C33208">
        <w:rPr>
          <w:rFonts w:ascii="Times New Roman" w:hAnsi="Times New Roman"/>
          <w:b/>
          <w:sz w:val="24"/>
          <w:szCs w:val="24"/>
        </w:rPr>
        <w:t>9</w:t>
      </w:r>
      <w:r w:rsidR="00C33208" w:rsidRPr="0091527C">
        <w:rPr>
          <w:rFonts w:ascii="Times New Roman" w:hAnsi="Times New Roman"/>
          <w:b/>
          <w:sz w:val="24"/>
          <w:szCs w:val="24"/>
        </w:rPr>
        <w:t xml:space="preserve"> </w:t>
      </w:r>
      <w:r w:rsidRPr="0091527C">
        <w:rPr>
          <w:rFonts w:ascii="Times New Roman" w:hAnsi="Times New Roman"/>
          <w:b/>
          <w:sz w:val="24"/>
          <w:szCs w:val="24"/>
        </w:rPr>
        <w:t>(§ 20 ods. 7 a 8)</w:t>
      </w:r>
    </w:p>
    <w:p w14:paraId="44003B78"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Upravuje sa inštitút prerokovania návrhu čiastkovej správy/návrhu správy v tom zmysle, že zamestnanci vykonávajúci vnútorný audit alebo vládny audit neprerokujú návrh čiastkovej správy/návrh správy, ale prerokujú s povinnou osobou</w:t>
      </w:r>
      <w:r w:rsidR="009E35D9">
        <w:rPr>
          <w:rFonts w:ascii="Times New Roman" w:hAnsi="Times New Roman"/>
          <w:sz w:val="24"/>
          <w:szCs w:val="24"/>
        </w:rPr>
        <w:t xml:space="preserve"> negatívne </w:t>
      </w:r>
      <w:r w:rsidR="00AB64D7">
        <w:rPr>
          <w:rFonts w:ascii="Times New Roman" w:hAnsi="Times New Roman"/>
          <w:sz w:val="24"/>
          <w:szCs w:val="24"/>
        </w:rPr>
        <w:t xml:space="preserve">a </w:t>
      </w:r>
      <w:r w:rsidR="009E35D9">
        <w:rPr>
          <w:rFonts w:ascii="Times New Roman" w:hAnsi="Times New Roman"/>
          <w:sz w:val="24"/>
          <w:szCs w:val="24"/>
        </w:rPr>
        <w:t xml:space="preserve">pozitívne </w:t>
      </w:r>
      <w:r w:rsidRPr="0091527C">
        <w:rPr>
          <w:rFonts w:ascii="Times New Roman" w:hAnsi="Times New Roman"/>
          <w:sz w:val="24"/>
          <w:szCs w:val="24"/>
        </w:rPr>
        <w:t xml:space="preserve">skutočnosti zistené počas auditu, a to pred doručením návrhu čiastkovej správy/návrhu správy povinnej osobe na oboznámenie. Úprava ustanovenia vyplynula z doterajšej praxe. </w:t>
      </w:r>
    </w:p>
    <w:p w14:paraId="57F63812" w14:textId="2768763D"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7A75B0">
        <w:rPr>
          <w:rFonts w:ascii="Times New Roman" w:hAnsi="Times New Roman"/>
          <w:b/>
          <w:sz w:val="24"/>
          <w:szCs w:val="24"/>
        </w:rPr>
        <w:t>51</w:t>
      </w:r>
      <w:r w:rsidR="007A75B0" w:rsidRPr="0091527C">
        <w:rPr>
          <w:rFonts w:ascii="Times New Roman" w:hAnsi="Times New Roman"/>
          <w:b/>
          <w:sz w:val="24"/>
          <w:szCs w:val="24"/>
        </w:rPr>
        <w:t xml:space="preserve"> </w:t>
      </w:r>
      <w:r w:rsidRPr="0091527C">
        <w:rPr>
          <w:rFonts w:ascii="Times New Roman" w:hAnsi="Times New Roman"/>
          <w:b/>
          <w:sz w:val="24"/>
          <w:szCs w:val="24"/>
        </w:rPr>
        <w:t>(§ 21 ods. 3 písm. a))</w:t>
      </w:r>
    </w:p>
    <w:p w14:paraId="1BD1DD56"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Rozširuje sa povinnosť povinnej osoby predložiť na vyžiadanie oprávnenej osoby aj výsledky vnútorných kontrol a vnútorných auditov. Uvedené sa dopĺňa v nadväznosti na podnety vyplývajúce z aplikačnej praxe, a zároveň z dôvodu potreby zabezpečenia komplexnosti informácií o fungovaní finančného riadenia v povinnej osobe.</w:t>
      </w:r>
    </w:p>
    <w:p w14:paraId="5D24FB11" w14:textId="4B20D460"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7A75B0">
        <w:rPr>
          <w:rFonts w:ascii="Times New Roman" w:hAnsi="Times New Roman"/>
          <w:b/>
          <w:sz w:val="24"/>
          <w:szCs w:val="24"/>
        </w:rPr>
        <w:t>52</w:t>
      </w:r>
      <w:r w:rsidR="007A75B0" w:rsidRPr="0091527C">
        <w:rPr>
          <w:rFonts w:ascii="Times New Roman" w:hAnsi="Times New Roman"/>
          <w:b/>
          <w:sz w:val="24"/>
          <w:szCs w:val="24"/>
        </w:rPr>
        <w:t xml:space="preserve"> </w:t>
      </w:r>
      <w:r w:rsidRPr="0091527C">
        <w:rPr>
          <w:rFonts w:ascii="Times New Roman" w:hAnsi="Times New Roman"/>
          <w:b/>
          <w:sz w:val="24"/>
          <w:szCs w:val="24"/>
        </w:rPr>
        <w:t>(§ 21 ods. 3 písm. b))</w:t>
      </w:r>
    </w:p>
    <w:p w14:paraId="6EC0984F" w14:textId="77777777" w:rsidR="00204846" w:rsidRDefault="0091527C" w:rsidP="0091527C">
      <w:pPr>
        <w:jc w:val="both"/>
        <w:rPr>
          <w:rFonts w:ascii="Times New Roman" w:hAnsi="Times New Roman"/>
          <w:sz w:val="24"/>
          <w:szCs w:val="24"/>
        </w:rPr>
      </w:pPr>
      <w:r w:rsidRPr="0091527C">
        <w:rPr>
          <w:rFonts w:ascii="Times New Roman" w:hAnsi="Times New Roman"/>
          <w:sz w:val="24"/>
          <w:szCs w:val="24"/>
        </w:rPr>
        <w:t xml:space="preserve">Vzhľadom na doplnené oprávnenie oprávnenej osoby vyhotovovať si kópie dokladov a iných podkladov predložených povinnou osobou v rámci výkonu finančnej kontroly a auditu sa dopĺňa povinnosť povinnej osoby umožniť oprávnenej osobe vyhotovovať si tieto kópie. </w:t>
      </w:r>
    </w:p>
    <w:p w14:paraId="6DA0066F" w14:textId="375A7781"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7A75B0" w:rsidRPr="0091527C">
        <w:rPr>
          <w:rFonts w:ascii="Times New Roman" w:hAnsi="Times New Roman"/>
          <w:b/>
          <w:sz w:val="24"/>
          <w:szCs w:val="24"/>
        </w:rPr>
        <w:t>5</w:t>
      </w:r>
      <w:r w:rsidR="007A75B0">
        <w:rPr>
          <w:rFonts w:ascii="Times New Roman" w:hAnsi="Times New Roman"/>
          <w:b/>
          <w:sz w:val="24"/>
          <w:szCs w:val="24"/>
        </w:rPr>
        <w:t>5</w:t>
      </w:r>
      <w:r w:rsidR="007A75B0" w:rsidRPr="0091527C">
        <w:rPr>
          <w:rFonts w:ascii="Times New Roman" w:hAnsi="Times New Roman"/>
          <w:b/>
          <w:sz w:val="24"/>
          <w:szCs w:val="24"/>
        </w:rPr>
        <w:t xml:space="preserve"> </w:t>
      </w:r>
      <w:r w:rsidRPr="0091527C">
        <w:rPr>
          <w:rFonts w:ascii="Times New Roman" w:hAnsi="Times New Roman"/>
          <w:b/>
          <w:sz w:val="24"/>
          <w:szCs w:val="24"/>
        </w:rPr>
        <w:t>(§ 21 ods. 5 a 6)</w:t>
      </w:r>
    </w:p>
    <w:p w14:paraId="2F23B45B" w14:textId="5F9278F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Uvedené sa upravuje v nadväznosti na aplikačnú prax, nakoľko návrh správy sa pri výkone auditu doručuje povinnej osobe až po prerokovaní skutočností zistených počas auditu, pričom prerokovanie má byť zamerané nielen na nedostatky</w:t>
      </w:r>
      <w:r w:rsidR="00CD5367">
        <w:rPr>
          <w:rFonts w:ascii="Times New Roman" w:hAnsi="Times New Roman"/>
          <w:sz w:val="24"/>
          <w:szCs w:val="24"/>
        </w:rPr>
        <w:t>,</w:t>
      </w:r>
      <w:r w:rsidRPr="0091527C">
        <w:rPr>
          <w:rFonts w:ascii="Times New Roman" w:hAnsi="Times New Roman"/>
          <w:sz w:val="24"/>
          <w:szCs w:val="24"/>
        </w:rPr>
        <w:t xml:space="preserve"> ale aj na pozitívne zistené skutočnosti. Úprava vyplýva taktiež zo skutočnosti, že povinná osoba na prerokovaní ešte nedisponuje návrhom správy, nakoľko s týmto sa oboznámi až po jeho doručení.</w:t>
      </w:r>
    </w:p>
    <w:p w14:paraId="07CACD6C" w14:textId="0FE1C1D8"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sidRPr="0091527C">
        <w:rPr>
          <w:rFonts w:ascii="Times New Roman" w:hAnsi="Times New Roman"/>
          <w:b/>
          <w:sz w:val="24"/>
          <w:szCs w:val="24"/>
        </w:rPr>
        <w:t>5</w:t>
      </w:r>
      <w:r w:rsidR="00CD5367">
        <w:rPr>
          <w:rFonts w:ascii="Times New Roman" w:hAnsi="Times New Roman"/>
          <w:b/>
          <w:sz w:val="24"/>
          <w:szCs w:val="24"/>
        </w:rPr>
        <w:t>6</w:t>
      </w:r>
      <w:r w:rsidR="00CD5367" w:rsidRPr="0091527C">
        <w:rPr>
          <w:rFonts w:ascii="Times New Roman" w:hAnsi="Times New Roman"/>
          <w:b/>
          <w:sz w:val="24"/>
          <w:szCs w:val="24"/>
        </w:rPr>
        <w:t xml:space="preserve"> </w:t>
      </w:r>
      <w:r w:rsidRPr="0091527C">
        <w:rPr>
          <w:rFonts w:ascii="Times New Roman" w:hAnsi="Times New Roman"/>
          <w:b/>
          <w:sz w:val="24"/>
          <w:szCs w:val="24"/>
        </w:rPr>
        <w:t>(§ 22 ods. 1)</w:t>
      </w:r>
    </w:p>
    <w:p w14:paraId="0A374ADB"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Špecifikuje sa doterajšia právna úprava </w:t>
      </w:r>
      <w:r w:rsidR="00AE6627">
        <w:rPr>
          <w:rFonts w:ascii="Times New Roman" w:hAnsi="Times New Roman"/>
          <w:sz w:val="24"/>
          <w:szCs w:val="24"/>
        </w:rPr>
        <w:t>a ustanovuje sa</w:t>
      </w:r>
      <w:r w:rsidRPr="0091527C">
        <w:rPr>
          <w:rFonts w:ascii="Times New Roman" w:hAnsi="Times New Roman"/>
          <w:sz w:val="24"/>
          <w:szCs w:val="24"/>
        </w:rPr>
        <w:t xml:space="preserve">, </w:t>
      </w:r>
      <w:r w:rsidR="00AE6627">
        <w:rPr>
          <w:rFonts w:ascii="Times New Roman" w:hAnsi="Times New Roman"/>
          <w:sz w:val="24"/>
          <w:szCs w:val="24"/>
        </w:rPr>
        <w:t xml:space="preserve">že </w:t>
      </w:r>
      <w:r w:rsidRPr="0091527C">
        <w:rPr>
          <w:rFonts w:ascii="Times New Roman" w:hAnsi="Times New Roman"/>
          <w:sz w:val="24"/>
          <w:szCs w:val="24"/>
        </w:rPr>
        <w:t xml:space="preserve">ak sa vykonáva administratívna finančná kontrola aj finančná kontrola na mieste tej istej finančnej operácie alebo jej časti, môže sa vypracovať jeden spoločný návrh čiastkovej správy alebo návrh správy a jedna spoločná čiastková správa alebo správa z administratívnej finančnej kontroly a finančnej kontroly na mieste. </w:t>
      </w:r>
      <w:r w:rsidR="00C8539E">
        <w:rPr>
          <w:rFonts w:ascii="Times New Roman" w:hAnsi="Times New Roman"/>
          <w:sz w:val="24"/>
          <w:szCs w:val="24"/>
        </w:rPr>
        <w:t>Uvedené</w:t>
      </w:r>
      <w:r w:rsidR="00C8539E" w:rsidRPr="0091527C">
        <w:rPr>
          <w:rFonts w:ascii="Times New Roman" w:hAnsi="Times New Roman"/>
          <w:sz w:val="24"/>
          <w:szCs w:val="24"/>
        </w:rPr>
        <w:t xml:space="preserve"> </w:t>
      </w:r>
      <w:r w:rsidRPr="0091527C">
        <w:rPr>
          <w:rFonts w:ascii="Times New Roman" w:hAnsi="Times New Roman"/>
          <w:sz w:val="24"/>
          <w:szCs w:val="24"/>
        </w:rPr>
        <w:t>sa zaviedlo z dôvodu, aby bolo jasné, že spoločná správa bude obsahovať zistenia z vykonanej administratívnej finančnej kontroly a súčasne aj finančnej kontroly na mieste.</w:t>
      </w:r>
      <w:r w:rsidR="00436846">
        <w:rPr>
          <w:rFonts w:ascii="Times New Roman" w:hAnsi="Times New Roman"/>
          <w:sz w:val="24"/>
          <w:szCs w:val="24"/>
        </w:rPr>
        <w:t xml:space="preserve"> Spoločná správa</w:t>
      </w:r>
      <w:r w:rsidR="00436846" w:rsidRPr="00436846">
        <w:rPr>
          <w:rFonts w:ascii="Times New Roman" w:hAnsi="Times New Roman"/>
          <w:sz w:val="24"/>
          <w:szCs w:val="24"/>
        </w:rPr>
        <w:t xml:space="preserve"> </w:t>
      </w:r>
      <w:r w:rsidR="00436846">
        <w:rPr>
          <w:rFonts w:ascii="Times New Roman" w:hAnsi="Times New Roman"/>
          <w:sz w:val="24"/>
          <w:szCs w:val="24"/>
        </w:rPr>
        <w:t>z administratívnej finančnej kontroly a finančnej kontroly na mieste nepredstavuje „nový typ“ správy a na jej náležitosti, resp. obsah sa vzťahujú rovnaké ustanovenia ako pri návrhu čiastkovej správy/návrhu správy alebo čiastkovej správe/správe z administratívnej finančnej kontroly alebo finančnej kontroly na mieste (§ 22 ods. 3 a 4).</w:t>
      </w:r>
    </w:p>
    <w:p w14:paraId="063F63E4" w14:textId="72C25B09"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sidRPr="0091527C">
        <w:rPr>
          <w:rFonts w:ascii="Times New Roman" w:hAnsi="Times New Roman"/>
          <w:b/>
          <w:sz w:val="24"/>
          <w:szCs w:val="24"/>
        </w:rPr>
        <w:t>5</w:t>
      </w:r>
      <w:r w:rsidR="00CD5367">
        <w:rPr>
          <w:rFonts w:ascii="Times New Roman" w:hAnsi="Times New Roman"/>
          <w:b/>
          <w:sz w:val="24"/>
          <w:szCs w:val="24"/>
        </w:rPr>
        <w:t>7</w:t>
      </w:r>
      <w:r w:rsidR="00CD5367" w:rsidRPr="0091527C">
        <w:rPr>
          <w:rFonts w:ascii="Times New Roman" w:hAnsi="Times New Roman"/>
          <w:b/>
          <w:sz w:val="24"/>
          <w:szCs w:val="24"/>
        </w:rPr>
        <w:t xml:space="preserve"> </w:t>
      </w:r>
      <w:r w:rsidRPr="0091527C">
        <w:rPr>
          <w:rFonts w:ascii="Times New Roman" w:hAnsi="Times New Roman"/>
          <w:b/>
          <w:sz w:val="24"/>
          <w:szCs w:val="24"/>
        </w:rPr>
        <w:t>(§ 22 ods. 2 písm. a))</w:t>
      </w:r>
    </w:p>
    <w:p w14:paraId="48E7DB5F" w14:textId="77777777" w:rsid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Rozširuje sa možnosť </w:t>
      </w:r>
      <w:r w:rsidR="00544A4E">
        <w:rPr>
          <w:rFonts w:ascii="Times New Roman" w:hAnsi="Times New Roman"/>
          <w:sz w:val="24"/>
          <w:szCs w:val="24"/>
        </w:rPr>
        <w:t> vypracovať čiastkovú správu</w:t>
      </w:r>
      <w:r w:rsidRPr="0091527C">
        <w:rPr>
          <w:rFonts w:ascii="Times New Roman" w:hAnsi="Times New Roman"/>
          <w:sz w:val="24"/>
          <w:szCs w:val="24"/>
        </w:rPr>
        <w:t xml:space="preserve"> aj vtedy, ak je potrebné finančnú kontrolu alebo audit skončiť v časti finančnej kontroly alebo auditu, napr. </w:t>
      </w:r>
      <w:r w:rsidR="00544A4E">
        <w:rPr>
          <w:rFonts w:ascii="Times New Roman" w:hAnsi="Times New Roman"/>
          <w:sz w:val="24"/>
          <w:szCs w:val="24"/>
        </w:rPr>
        <w:t xml:space="preserve">ak </w:t>
      </w:r>
      <w:r w:rsidRPr="0091527C">
        <w:rPr>
          <w:rFonts w:ascii="Times New Roman" w:hAnsi="Times New Roman"/>
          <w:sz w:val="24"/>
          <w:szCs w:val="24"/>
        </w:rPr>
        <w:t>je potrebné samostatne skončiť niektorý z cieľov finančnej kontroly alebo auditu. Uvedené vyplýva zo skutočnosti, že v aplikačnej praxi nebolo možné označiť všetky prípady overovania ako finančné operácie, resp. ich časti. Väčšinou sa tento problém objavoval pri výkone auditu, nakoľko audit overuje komplexnejší rozsah, a teda nielen finančné operácie.</w:t>
      </w:r>
    </w:p>
    <w:p w14:paraId="45492CC2" w14:textId="77777777" w:rsidR="003646C5" w:rsidRDefault="003646C5" w:rsidP="0091527C">
      <w:pPr>
        <w:jc w:val="both"/>
        <w:rPr>
          <w:rFonts w:ascii="Times New Roman" w:hAnsi="Times New Roman"/>
          <w:b/>
          <w:sz w:val="24"/>
          <w:szCs w:val="24"/>
        </w:rPr>
      </w:pPr>
    </w:p>
    <w:p w14:paraId="01D7B889" w14:textId="252B4EA0" w:rsidR="00F87695" w:rsidRDefault="00F87695" w:rsidP="0091527C">
      <w:pPr>
        <w:jc w:val="both"/>
        <w:rPr>
          <w:rFonts w:ascii="Times New Roman" w:hAnsi="Times New Roman"/>
          <w:b/>
          <w:sz w:val="24"/>
          <w:szCs w:val="24"/>
        </w:rPr>
      </w:pPr>
      <w:r w:rsidRPr="007D4FB3">
        <w:rPr>
          <w:rFonts w:ascii="Times New Roman" w:hAnsi="Times New Roman"/>
          <w:b/>
          <w:sz w:val="24"/>
          <w:szCs w:val="24"/>
        </w:rPr>
        <w:lastRenderedPageBreak/>
        <w:t>K</w:t>
      </w:r>
      <w:r w:rsidRPr="0072127A">
        <w:rPr>
          <w:rFonts w:ascii="Times New Roman" w:hAnsi="Times New Roman"/>
          <w:b/>
          <w:sz w:val="24"/>
          <w:szCs w:val="24"/>
        </w:rPr>
        <w:t> </w:t>
      </w:r>
      <w:r w:rsidRPr="007D4FB3">
        <w:rPr>
          <w:rFonts w:ascii="Times New Roman" w:hAnsi="Times New Roman"/>
          <w:b/>
          <w:sz w:val="24"/>
          <w:szCs w:val="24"/>
        </w:rPr>
        <w:t xml:space="preserve">bodu </w:t>
      </w:r>
      <w:r w:rsidR="00CD5367" w:rsidRPr="007D4FB3">
        <w:rPr>
          <w:rFonts w:ascii="Times New Roman" w:hAnsi="Times New Roman"/>
          <w:b/>
          <w:sz w:val="24"/>
          <w:szCs w:val="24"/>
        </w:rPr>
        <w:t>5</w:t>
      </w:r>
      <w:r w:rsidR="00CD5367">
        <w:rPr>
          <w:rFonts w:ascii="Times New Roman" w:hAnsi="Times New Roman"/>
          <w:b/>
          <w:sz w:val="24"/>
          <w:szCs w:val="24"/>
        </w:rPr>
        <w:t>8</w:t>
      </w:r>
      <w:r w:rsidR="00CD5367" w:rsidRPr="007D4FB3">
        <w:rPr>
          <w:rFonts w:ascii="Times New Roman" w:hAnsi="Times New Roman"/>
          <w:b/>
          <w:sz w:val="24"/>
          <w:szCs w:val="24"/>
        </w:rPr>
        <w:t xml:space="preserve"> </w:t>
      </w:r>
      <w:r w:rsidRPr="007D4FB3">
        <w:rPr>
          <w:rFonts w:ascii="Times New Roman" w:hAnsi="Times New Roman"/>
          <w:b/>
          <w:sz w:val="24"/>
          <w:szCs w:val="24"/>
        </w:rPr>
        <w:t>(§ 22 ods. 3 písm. b))</w:t>
      </w:r>
    </w:p>
    <w:p w14:paraId="4BCF1E42" w14:textId="77777777" w:rsidR="00F87695" w:rsidRPr="0072127A" w:rsidRDefault="00F87695" w:rsidP="0091527C">
      <w:pPr>
        <w:jc w:val="both"/>
        <w:rPr>
          <w:rFonts w:ascii="Times New Roman" w:hAnsi="Times New Roman"/>
          <w:sz w:val="24"/>
          <w:szCs w:val="24"/>
        </w:rPr>
      </w:pPr>
      <w:r w:rsidRPr="007D4FB3">
        <w:rPr>
          <w:rFonts w:ascii="Times New Roman" w:hAnsi="Times New Roman"/>
          <w:sz w:val="24"/>
          <w:szCs w:val="24"/>
        </w:rPr>
        <w:t xml:space="preserve">Navrhovaná úprava </w:t>
      </w:r>
      <w:r>
        <w:rPr>
          <w:rFonts w:ascii="Times New Roman" w:hAnsi="Times New Roman"/>
          <w:sz w:val="24"/>
          <w:szCs w:val="24"/>
        </w:rPr>
        <w:t xml:space="preserve">zjednocuje </w:t>
      </w:r>
      <w:r w:rsidRPr="007D4FB3">
        <w:rPr>
          <w:rFonts w:ascii="Times New Roman" w:hAnsi="Times New Roman"/>
          <w:sz w:val="24"/>
          <w:szCs w:val="24"/>
        </w:rPr>
        <w:t>podmienk</w:t>
      </w:r>
      <w:r>
        <w:rPr>
          <w:rFonts w:ascii="Times New Roman" w:hAnsi="Times New Roman"/>
          <w:sz w:val="24"/>
          <w:szCs w:val="24"/>
        </w:rPr>
        <w:t>y</w:t>
      </w:r>
      <w:r w:rsidRPr="007D4FB3">
        <w:rPr>
          <w:rFonts w:ascii="Times New Roman" w:hAnsi="Times New Roman"/>
          <w:sz w:val="24"/>
          <w:szCs w:val="24"/>
        </w:rPr>
        <w:t xml:space="preserve"> výkonu vnútorného auditu a vládneho auditu</w:t>
      </w:r>
      <w:r>
        <w:rPr>
          <w:rFonts w:ascii="Times New Roman" w:hAnsi="Times New Roman"/>
          <w:sz w:val="24"/>
          <w:szCs w:val="24"/>
        </w:rPr>
        <w:t xml:space="preserve"> v prípadoch, keď z dôvodov hodných osobitného zreteľa nie je možné získať podpisy zamestnancov oprávnenej osoby alebo prizvanej osoby, ktorí vykonávali audit</w:t>
      </w:r>
      <w:r w:rsidR="007D4FB3">
        <w:rPr>
          <w:rFonts w:ascii="Times New Roman" w:hAnsi="Times New Roman"/>
          <w:sz w:val="24"/>
          <w:szCs w:val="24"/>
        </w:rPr>
        <w:t xml:space="preserve">. </w:t>
      </w:r>
    </w:p>
    <w:p w14:paraId="63C8B68C" w14:textId="2C148BCB"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sidRPr="0091527C">
        <w:rPr>
          <w:rFonts w:ascii="Times New Roman" w:hAnsi="Times New Roman"/>
          <w:b/>
          <w:sz w:val="24"/>
          <w:szCs w:val="24"/>
        </w:rPr>
        <w:t>5</w:t>
      </w:r>
      <w:r w:rsidR="00CD5367">
        <w:rPr>
          <w:rFonts w:ascii="Times New Roman" w:hAnsi="Times New Roman"/>
          <w:b/>
          <w:sz w:val="24"/>
          <w:szCs w:val="24"/>
        </w:rPr>
        <w:t>9</w:t>
      </w:r>
      <w:r w:rsidR="00CD5367" w:rsidRPr="0091527C">
        <w:rPr>
          <w:rFonts w:ascii="Times New Roman" w:hAnsi="Times New Roman"/>
          <w:b/>
          <w:sz w:val="24"/>
          <w:szCs w:val="24"/>
        </w:rPr>
        <w:t xml:space="preserve"> </w:t>
      </w:r>
      <w:r w:rsidRPr="0091527C">
        <w:rPr>
          <w:rFonts w:ascii="Times New Roman" w:hAnsi="Times New Roman"/>
          <w:b/>
          <w:sz w:val="24"/>
          <w:szCs w:val="24"/>
        </w:rPr>
        <w:t>(§ 22 ods. 3 písm. e))</w:t>
      </w:r>
    </w:p>
    <w:p w14:paraId="26101145" w14:textId="77777777" w:rsidR="0091527C" w:rsidRDefault="0091527C" w:rsidP="0091527C">
      <w:pPr>
        <w:jc w:val="both"/>
        <w:rPr>
          <w:rFonts w:ascii="Times New Roman" w:hAnsi="Times New Roman"/>
          <w:sz w:val="24"/>
          <w:szCs w:val="24"/>
        </w:rPr>
      </w:pPr>
      <w:r w:rsidRPr="0091527C">
        <w:rPr>
          <w:rFonts w:ascii="Times New Roman" w:hAnsi="Times New Roman"/>
          <w:sz w:val="24"/>
          <w:szCs w:val="24"/>
        </w:rPr>
        <w:t>Ako povinná náležitosť návrhu čiastkovej správy/návrhu správy sa už neuvádza návrh opatrenia, ale len návrh odporúčania. Uvedené vyplýva zo zjednotenia týchto pojmov, keďže odporúčanie sa ako jediné bude uvádzať k zistenému nedostatku, ako návrh na jeho odstránenie.</w:t>
      </w:r>
    </w:p>
    <w:p w14:paraId="517359EF" w14:textId="76A51C96"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Pr>
          <w:rFonts w:ascii="Times New Roman" w:hAnsi="Times New Roman"/>
          <w:b/>
          <w:sz w:val="24"/>
          <w:szCs w:val="24"/>
        </w:rPr>
        <w:t>60</w:t>
      </w:r>
      <w:r w:rsidR="00CD5367" w:rsidRPr="0091527C">
        <w:rPr>
          <w:rFonts w:ascii="Times New Roman" w:hAnsi="Times New Roman"/>
          <w:b/>
          <w:sz w:val="24"/>
          <w:szCs w:val="24"/>
        </w:rPr>
        <w:t xml:space="preserve"> </w:t>
      </w:r>
      <w:r w:rsidRPr="0091527C">
        <w:rPr>
          <w:rFonts w:ascii="Times New Roman" w:hAnsi="Times New Roman"/>
          <w:b/>
          <w:sz w:val="24"/>
          <w:szCs w:val="24"/>
        </w:rPr>
        <w:t>(§ 22 ods. 3 písm. f))</w:t>
      </w:r>
    </w:p>
    <w:p w14:paraId="514E05CE" w14:textId="287C3A32"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K návrhu čiastkovej správy/návrhu správy sa navrhuje prikladať zoznam </w:t>
      </w:r>
      <w:r w:rsidR="00FE5442">
        <w:rPr>
          <w:rFonts w:ascii="Times New Roman" w:hAnsi="Times New Roman"/>
          <w:sz w:val="24"/>
          <w:szCs w:val="24"/>
        </w:rPr>
        <w:t>podkladov</w:t>
      </w:r>
      <w:r w:rsidR="00FE5442" w:rsidRPr="0091527C">
        <w:rPr>
          <w:rFonts w:ascii="Times New Roman" w:hAnsi="Times New Roman"/>
          <w:sz w:val="24"/>
          <w:szCs w:val="24"/>
        </w:rPr>
        <w:t xml:space="preserve"> </w:t>
      </w:r>
      <w:r w:rsidRPr="0091527C">
        <w:rPr>
          <w:rFonts w:ascii="Times New Roman" w:hAnsi="Times New Roman"/>
          <w:sz w:val="24"/>
          <w:szCs w:val="24"/>
        </w:rPr>
        <w:t xml:space="preserve">preukazujúcich zistené nedostatky. Ide o precizovanie existujúcich ustanovení. Existujúce </w:t>
      </w:r>
      <w:r w:rsidR="00FE5442">
        <w:rPr>
          <w:rFonts w:ascii="Times New Roman" w:hAnsi="Times New Roman"/>
          <w:sz w:val="24"/>
          <w:szCs w:val="24"/>
        </w:rPr>
        <w:t>podklady</w:t>
      </w:r>
      <w:r w:rsidR="00FE5442" w:rsidRPr="0091527C">
        <w:rPr>
          <w:rFonts w:ascii="Times New Roman" w:hAnsi="Times New Roman"/>
          <w:sz w:val="24"/>
          <w:szCs w:val="24"/>
        </w:rPr>
        <w:t xml:space="preserve"> </w:t>
      </w:r>
      <w:r w:rsidRPr="0091527C">
        <w:rPr>
          <w:rFonts w:ascii="Times New Roman" w:hAnsi="Times New Roman"/>
          <w:sz w:val="24"/>
          <w:szCs w:val="24"/>
        </w:rPr>
        <w:t>má povinná osoba v rámci vlastnej dokumentácie a oprávnená osoba disponuje ich kópiami, ktoré sú súčasťou spisu k vykonanej finančnej kontrole alebo auditu.</w:t>
      </w:r>
    </w:p>
    <w:p w14:paraId="3941A3D3" w14:textId="01587BDC"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CD5367">
        <w:rPr>
          <w:rFonts w:ascii="Times New Roman" w:hAnsi="Times New Roman"/>
          <w:b/>
          <w:sz w:val="24"/>
          <w:szCs w:val="24"/>
        </w:rPr>
        <w:t>61</w:t>
      </w:r>
      <w:r w:rsidR="00CD5367" w:rsidRPr="0091527C">
        <w:rPr>
          <w:rFonts w:ascii="Times New Roman" w:hAnsi="Times New Roman"/>
          <w:b/>
          <w:sz w:val="24"/>
          <w:szCs w:val="24"/>
        </w:rPr>
        <w:t xml:space="preserve"> </w:t>
      </w:r>
      <w:r w:rsidRPr="0091527C">
        <w:rPr>
          <w:rFonts w:ascii="Times New Roman" w:hAnsi="Times New Roman"/>
          <w:b/>
          <w:sz w:val="24"/>
          <w:szCs w:val="24"/>
        </w:rPr>
        <w:t>až </w:t>
      </w:r>
      <w:r w:rsidR="00CD5367">
        <w:rPr>
          <w:rFonts w:ascii="Times New Roman" w:hAnsi="Times New Roman"/>
          <w:b/>
          <w:sz w:val="24"/>
          <w:szCs w:val="24"/>
        </w:rPr>
        <w:t>63</w:t>
      </w:r>
      <w:r w:rsidR="00CD5367" w:rsidRPr="0091527C">
        <w:rPr>
          <w:rFonts w:ascii="Times New Roman" w:hAnsi="Times New Roman"/>
          <w:b/>
          <w:sz w:val="24"/>
          <w:szCs w:val="24"/>
        </w:rPr>
        <w:t xml:space="preserve"> </w:t>
      </w:r>
      <w:r w:rsidRPr="0091527C">
        <w:rPr>
          <w:rFonts w:ascii="Times New Roman" w:hAnsi="Times New Roman"/>
          <w:b/>
          <w:sz w:val="24"/>
          <w:szCs w:val="24"/>
        </w:rPr>
        <w:t>(§ 22 ods. 3 písm. h) až j) a ods. 4 písm. b) až e))</w:t>
      </w:r>
    </w:p>
    <w:p w14:paraId="2636B663"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Upravujú sa náležitosti návrhu čiastkovej správy/návrhu správy vzhľadom na nový navrhovaný systém overovania prijatých opatrení a následného overovania splnenia prijatých opatrení.</w:t>
      </w:r>
    </w:p>
    <w:p w14:paraId="1BFFBA8D" w14:textId="72299A8E"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sidRPr="0091527C">
        <w:rPr>
          <w:rFonts w:ascii="Times New Roman" w:hAnsi="Times New Roman"/>
          <w:b/>
          <w:sz w:val="24"/>
          <w:szCs w:val="24"/>
        </w:rPr>
        <w:t>6</w:t>
      </w:r>
      <w:r w:rsidR="00CD5367">
        <w:rPr>
          <w:rFonts w:ascii="Times New Roman" w:hAnsi="Times New Roman"/>
          <w:b/>
          <w:sz w:val="24"/>
          <w:szCs w:val="24"/>
        </w:rPr>
        <w:t>4</w:t>
      </w:r>
      <w:r w:rsidR="00CD5367" w:rsidRPr="0091527C">
        <w:rPr>
          <w:rFonts w:ascii="Times New Roman" w:hAnsi="Times New Roman"/>
          <w:b/>
          <w:sz w:val="24"/>
          <w:szCs w:val="24"/>
        </w:rPr>
        <w:t xml:space="preserve"> </w:t>
      </w:r>
      <w:r w:rsidRPr="0091527C">
        <w:rPr>
          <w:rFonts w:ascii="Times New Roman" w:hAnsi="Times New Roman"/>
          <w:b/>
          <w:sz w:val="24"/>
          <w:szCs w:val="24"/>
        </w:rPr>
        <w:t>(§ 22 ods. 5)</w:t>
      </w:r>
    </w:p>
    <w:p w14:paraId="3CA46ABF"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Legislatívno-technická úprava vzhľadom na zmenu pojmu „prerokovanie návrhu čiastkovej správy a návrhu správy“ na „prerokovanie skutočností zistených počas auditu“.</w:t>
      </w:r>
    </w:p>
    <w:p w14:paraId="0A9FEBB8" w14:textId="6AEDA19D"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CD5367" w:rsidRPr="0091527C">
        <w:rPr>
          <w:rFonts w:ascii="Times New Roman" w:hAnsi="Times New Roman"/>
          <w:b/>
          <w:sz w:val="24"/>
          <w:szCs w:val="24"/>
        </w:rPr>
        <w:t>6</w:t>
      </w:r>
      <w:r w:rsidR="00CD5367">
        <w:rPr>
          <w:rFonts w:ascii="Times New Roman" w:hAnsi="Times New Roman"/>
          <w:b/>
          <w:sz w:val="24"/>
          <w:szCs w:val="24"/>
        </w:rPr>
        <w:t>5</w:t>
      </w:r>
      <w:r w:rsidR="00CD5367" w:rsidRPr="0091527C">
        <w:rPr>
          <w:rFonts w:ascii="Times New Roman" w:hAnsi="Times New Roman"/>
          <w:b/>
          <w:sz w:val="24"/>
          <w:szCs w:val="24"/>
        </w:rPr>
        <w:t xml:space="preserve"> </w:t>
      </w:r>
      <w:r w:rsidRPr="0091527C">
        <w:rPr>
          <w:rFonts w:ascii="Times New Roman" w:hAnsi="Times New Roman"/>
          <w:b/>
          <w:sz w:val="24"/>
          <w:szCs w:val="24"/>
        </w:rPr>
        <w:t>(§ 22 ods. 6)</w:t>
      </w:r>
    </w:p>
    <w:p w14:paraId="3422AC83"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Novelou zákona sa umožňuje skončiť administratívnu finančnú kontrolu, finančnú kontrolu na mieste a audit aj iným spôsobom ako zaslaním správy, konkrétne vyhotovením záznamu s uvedením dôvodov ich zastavenia. Za prípady hodné osobitného zreteľa sú považované prípady, kedy pokračovanie kontroly neplní svoj účel a je potrebné skončiť finančnú kontrolu alebo audit inak ako zaslaním správy. Takýmito prípadmi sa rozumie napríklad zánik povinnej osoby alebo iná prekážka ktorá znemožňuje výkon finančnej kontroly alebo auditu. Uvedené vyplýva okrem iného aj zo skúseností z výkonu administratívnej finančnej kontroly, kedy povinná osoba vzala späť dokumentáciu predloženú k výkonu administratívnej finančnej kontroly, pričom v takomto prípade musela byť administratívna finančná kontrola skončená riadnym spôsobom, t. j. zaslaním správy aj napriek tomu, že stratila svoje opodstatnenie.</w:t>
      </w:r>
      <w:r w:rsidR="00020EBE">
        <w:rPr>
          <w:rFonts w:ascii="Times New Roman" w:hAnsi="Times New Roman"/>
          <w:sz w:val="24"/>
          <w:szCs w:val="24"/>
        </w:rPr>
        <w:t xml:space="preserve"> Zároveň sa oprávnenej osobe ukladá povinnosť zaslať vyhotovený záznam povinnej osobe</w:t>
      </w:r>
      <w:r w:rsidR="00F56683">
        <w:rPr>
          <w:rFonts w:ascii="Times New Roman" w:hAnsi="Times New Roman"/>
          <w:sz w:val="24"/>
          <w:szCs w:val="24"/>
        </w:rPr>
        <w:t xml:space="preserve">, pričom oprávnená osoba by tak mala urobiť čo najskôr. Povinnosť zaslať vyhotovený záznam povinnej osobe sa nevzťahuje na </w:t>
      </w:r>
      <w:r w:rsidR="00020EBE">
        <w:rPr>
          <w:rFonts w:ascii="Times New Roman" w:hAnsi="Times New Roman"/>
          <w:sz w:val="24"/>
          <w:szCs w:val="24"/>
        </w:rPr>
        <w:t>prípad</w:t>
      </w:r>
      <w:r w:rsidR="00F56683">
        <w:rPr>
          <w:rFonts w:ascii="Times New Roman" w:hAnsi="Times New Roman"/>
          <w:sz w:val="24"/>
          <w:szCs w:val="24"/>
        </w:rPr>
        <w:t>y</w:t>
      </w:r>
      <w:r w:rsidR="00020EBE">
        <w:rPr>
          <w:rFonts w:ascii="Times New Roman" w:hAnsi="Times New Roman"/>
          <w:sz w:val="24"/>
          <w:szCs w:val="24"/>
        </w:rPr>
        <w:t xml:space="preserve">, kedy povinná osoba zanikla. </w:t>
      </w:r>
    </w:p>
    <w:p w14:paraId="3141000C" w14:textId="59DFCD98"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DB3E73" w:rsidRPr="0091527C">
        <w:rPr>
          <w:rFonts w:ascii="Times New Roman" w:hAnsi="Times New Roman"/>
          <w:b/>
          <w:sz w:val="24"/>
          <w:szCs w:val="24"/>
        </w:rPr>
        <w:t>6</w:t>
      </w:r>
      <w:r w:rsidR="00DB3E73">
        <w:rPr>
          <w:rFonts w:ascii="Times New Roman" w:hAnsi="Times New Roman"/>
          <w:b/>
          <w:sz w:val="24"/>
          <w:szCs w:val="24"/>
        </w:rPr>
        <w:t>6</w:t>
      </w:r>
      <w:r w:rsidR="00DB3E73" w:rsidRPr="0091527C">
        <w:rPr>
          <w:rFonts w:ascii="Times New Roman" w:hAnsi="Times New Roman"/>
          <w:b/>
          <w:sz w:val="24"/>
          <w:szCs w:val="24"/>
        </w:rPr>
        <w:t xml:space="preserve"> </w:t>
      </w:r>
      <w:r w:rsidRPr="0091527C">
        <w:rPr>
          <w:rFonts w:ascii="Times New Roman" w:hAnsi="Times New Roman"/>
          <w:b/>
          <w:sz w:val="24"/>
          <w:szCs w:val="24"/>
        </w:rPr>
        <w:t>(§ 24</w:t>
      </w:r>
      <w:r w:rsidR="002A3119">
        <w:rPr>
          <w:rFonts w:ascii="Times New Roman" w:hAnsi="Times New Roman"/>
          <w:b/>
          <w:sz w:val="24"/>
          <w:szCs w:val="24"/>
        </w:rPr>
        <w:t xml:space="preserve"> ods. 1 až </w:t>
      </w:r>
      <w:r w:rsidR="00264613">
        <w:rPr>
          <w:rFonts w:ascii="Times New Roman" w:hAnsi="Times New Roman"/>
          <w:b/>
          <w:sz w:val="24"/>
          <w:szCs w:val="24"/>
        </w:rPr>
        <w:t>3</w:t>
      </w:r>
      <w:r w:rsidRPr="0091527C">
        <w:rPr>
          <w:rFonts w:ascii="Times New Roman" w:hAnsi="Times New Roman"/>
          <w:b/>
          <w:sz w:val="24"/>
          <w:szCs w:val="24"/>
        </w:rPr>
        <w:t>)</w:t>
      </w:r>
    </w:p>
    <w:p w14:paraId="24054B50" w14:textId="77777777" w:rsidR="00DB3E73" w:rsidRDefault="0091527C" w:rsidP="0091527C">
      <w:pPr>
        <w:jc w:val="both"/>
        <w:rPr>
          <w:rFonts w:ascii="Times New Roman" w:hAnsi="Times New Roman"/>
          <w:sz w:val="24"/>
          <w:szCs w:val="24"/>
        </w:rPr>
      </w:pPr>
      <w:r w:rsidRPr="0091527C">
        <w:rPr>
          <w:rFonts w:ascii="Times New Roman" w:hAnsi="Times New Roman"/>
          <w:sz w:val="24"/>
          <w:szCs w:val="24"/>
        </w:rPr>
        <w:t xml:space="preserve">Inštitút prizvanej osoby sa upravuje v tom zmysle, že prizvaná osoba sa účastní na administratívnej finančnej kontrole, finančnej kontrole na mieste alebo audite. K úprave dochádza najmä vzhľadom na skutočnosť, že nie vždy prizvaná osoba vykonáva administratívnu finančnú kontrolu, finančnú kontrolu na mieste alebo audit, ale jej činnosť spočíva napríklad len v odbornom posúdení určitej skutočnosti. </w:t>
      </w:r>
    </w:p>
    <w:p w14:paraId="2CD99D5E" w14:textId="77777777" w:rsidR="00DB3E73" w:rsidRPr="0033092C" w:rsidRDefault="00DB3E73" w:rsidP="0091527C">
      <w:pPr>
        <w:jc w:val="both"/>
        <w:rPr>
          <w:rFonts w:ascii="Times New Roman" w:hAnsi="Times New Roman"/>
          <w:b/>
          <w:sz w:val="24"/>
          <w:szCs w:val="24"/>
        </w:rPr>
      </w:pPr>
      <w:r w:rsidRPr="0033092C">
        <w:rPr>
          <w:rFonts w:ascii="Times New Roman" w:hAnsi="Times New Roman"/>
          <w:b/>
          <w:sz w:val="24"/>
          <w:szCs w:val="24"/>
        </w:rPr>
        <w:lastRenderedPageBreak/>
        <w:t>K bodu 67 (poznámka pod čiarou k odkazu 27)</w:t>
      </w:r>
    </w:p>
    <w:p w14:paraId="25AB99C3" w14:textId="0EBB3ECE" w:rsidR="0091527C" w:rsidRPr="0091527C" w:rsidRDefault="00DB3E73" w:rsidP="0091527C">
      <w:pPr>
        <w:jc w:val="both"/>
        <w:rPr>
          <w:rFonts w:ascii="Times New Roman" w:hAnsi="Times New Roman"/>
          <w:sz w:val="24"/>
          <w:szCs w:val="24"/>
        </w:rPr>
      </w:pPr>
      <w:r>
        <w:rPr>
          <w:rFonts w:ascii="Times New Roman" w:hAnsi="Times New Roman"/>
          <w:sz w:val="24"/>
          <w:szCs w:val="24"/>
        </w:rPr>
        <w:t xml:space="preserve">Legislatívno-technická </w:t>
      </w:r>
      <w:r w:rsidR="00EE1BE4">
        <w:rPr>
          <w:rFonts w:ascii="Times New Roman" w:hAnsi="Times New Roman"/>
          <w:sz w:val="24"/>
          <w:szCs w:val="24"/>
        </w:rPr>
        <w:t>úprava</w:t>
      </w:r>
      <w:r>
        <w:rPr>
          <w:rFonts w:ascii="Times New Roman" w:hAnsi="Times New Roman"/>
          <w:sz w:val="24"/>
          <w:szCs w:val="24"/>
        </w:rPr>
        <w:t>.</w:t>
      </w:r>
    </w:p>
    <w:p w14:paraId="433699AB" w14:textId="058CB045"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DB3E73" w:rsidRPr="0091527C">
        <w:rPr>
          <w:rFonts w:ascii="Times New Roman" w:hAnsi="Times New Roman"/>
          <w:b/>
          <w:sz w:val="24"/>
          <w:szCs w:val="24"/>
        </w:rPr>
        <w:t>6</w:t>
      </w:r>
      <w:r w:rsidR="00DB3E73">
        <w:rPr>
          <w:rFonts w:ascii="Times New Roman" w:hAnsi="Times New Roman"/>
          <w:b/>
          <w:sz w:val="24"/>
          <w:szCs w:val="24"/>
        </w:rPr>
        <w:t>8</w:t>
      </w:r>
      <w:r w:rsidR="00DB3E73" w:rsidRPr="0091527C">
        <w:rPr>
          <w:rFonts w:ascii="Times New Roman" w:hAnsi="Times New Roman"/>
          <w:b/>
          <w:sz w:val="24"/>
          <w:szCs w:val="24"/>
        </w:rPr>
        <w:t xml:space="preserve"> </w:t>
      </w:r>
      <w:r w:rsidRPr="0091527C">
        <w:rPr>
          <w:rFonts w:ascii="Times New Roman" w:hAnsi="Times New Roman"/>
          <w:b/>
          <w:sz w:val="24"/>
          <w:szCs w:val="24"/>
        </w:rPr>
        <w:t>(§ 26)</w:t>
      </w:r>
    </w:p>
    <w:p w14:paraId="20B20812" w14:textId="77777777" w:rsidR="00460FB8" w:rsidRPr="00F56683" w:rsidRDefault="0091527C" w:rsidP="0091527C">
      <w:pPr>
        <w:jc w:val="both"/>
        <w:rPr>
          <w:rFonts w:ascii="Times New Roman" w:hAnsi="Times New Roman"/>
          <w:sz w:val="24"/>
          <w:szCs w:val="24"/>
        </w:rPr>
      </w:pPr>
      <w:r w:rsidRPr="0091527C">
        <w:rPr>
          <w:rFonts w:ascii="Times New Roman" w:hAnsi="Times New Roman"/>
          <w:sz w:val="24"/>
          <w:szCs w:val="24"/>
        </w:rPr>
        <w:t>Dop</w:t>
      </w:r>
      <w:r w:rsidR="00576F70">
        <w:rPr>
          <w:rFonts w:ascii="Times New Roman" w:hAnsi="Times New Roman"/>
          <w:sz w:val="24"/>
          <w:szCs w:val="24"/>
        </w:rPr>
        <w:t>ĺňa</w:t>
      </w:r>
      <w:r w:rsidRPr="0091527C">
        <w:rPr>
          <w:rFonts w:ascii="Times New Roman" w:hAnsi="Times New Roman"/>
          <w:sz w:val="24"/>
          <w:szCs w:val="24"/>
        </w:rPr>
        <w:t xml:space="preserve"> sa povinnosť oznámenia pochybnosti o nepredpojatosti a možnosť namietať predpojatosť aj o osobu, ktorú </w:t>
      </w:r>
      <w:r w:rsidR="00576F70">
        <w:rPr>
          <w:rFonts w:ascii="Times New Roman" w:hAnsi="Times New Roman"/>
          <w:sz w:val="24"/>
          <w:szCs w:val="24"/>
        </w:rPr>
        <w:t xml:space="preserve">na vykonanie základnej finančnej kontroly </w:t>
      </w:r>
      <w:r w:rsidRPr="0091527C">
        <w:rPr>
          <w:rFonts w:ascii="Times New Roman" w:hAnsi="Times New Roman"/>
          <w:sz w:val="24"/>
          <w:szCs w:val="24"/>
        </w:rPr>
        <w:t xml:space="preserve">schválilo uznesením obecné zastupiteľstvo. Tieto situácie sa budú týkať najmä malých obcí, ktoré nemajú dostatok zamestnancov na </w:t>
      </w:r>
      <w:r w:rsidR="00F56683">
        <w:rPr>
          <w:rFonts w:ascii="Times New Roman" w:hAnsi="Times New Roman"/>
          <w:sz w:val="24"/>
          <w:szCs w:val="24"/>
        </w:rPr>
        <w:t xml:space="preserve">vykonávanie </w:t>
      </w:r>
      <w:r w:rsidR="00576F70">
        <w:rPr>
          <w:rFonts w:ascii="Times New Roman" w:hAnsi="Times New Roman"/>
          <w:sz w:val="24"/>
          <w:szCs w:val="24"/>
        </w:rPr>
        <w:t xml:space="preserve">základnej </w:t>
      </w:r>
      <w:r w:rsidR="00F56683">
        <w:rPr>
          <w:rFonts w:ascii="Times New Roman" w:hAnsi="Times New Roman"/>
          <w:sz w:val="24"/>
          <w:szCs w:val="24"/>
        </w:rPr>
        <w:t>finančnej kontroly.</w:t>
      </w:r>
      <w:r w:rsidR="00576F70">
        <w:rPr>
          <w:rFonts w:ascii="Times New Roman" w:hAnsi="Times New Roman"/>
          <w:sz w:val="24"/>
          <w:szCs w:val="24"/>
        </w:rPr>
        <w:t xml:space="preserve"> </w:t>
      </w:r>
    </w:p>
    <w:p w14:paraId="68EC50EF" w14:textId="20A628E2"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DB3E73" w:rsidRPr="0091527C">
        <w:rPr>
          <w:rFonts w:ascii="Times New Roman" w:hAnsi="Times New Roman"/>
          <w:b/>
          <w:sz w:val="24"/>
          <w:szCs w:val="24"/>
        </w:rPr>
        <w:t>6</w:t>
      </w:r>
      <w:r w:rsidR="00DB3E73">
        <w:rPr>
          <w:rFonts w:ascii="Times New Roman" w:hAnsi="Times New Roman"/>
          <w:b/>
          <w:sz w:val="24"/>
          <w:szCs w:val="24"/>
        </w:rPr>
        <w:t>9</w:t>
      </w:r>
      <w:r w:rsidR="00DB3E73" w:rsidRPr="0091527C">
        <w:rPr>
          <w:rFonts w:ascii="Times New Roman" w:hAnsi="Times New Roman"/>
          <w:b/>
          <w:sz w:val="24"/>
          <w:szCs w:val="24"/>
        </w:rPr>
        <w:t xml:space="preserve"> </w:t>
      </w:r>
      <w:r w:rsidRPr="0091527C">
        <w:rPr>
          <w:rFonts w:ascii="Times New Roman" w:hAnsi="Times New Roman"/>
          <w:b/>
          <w:sz w:val="24"/>
          <w:szCs w:val="24"/>
        </w:rPr>
        <w:t>(§ 28 ods. 3)</w:t>
      </w:r>
    </w:p>
    <w:p w14:paraId="4CE9DC15" w14:textId="77777777" w:rsidR="00204846" w:rsidRDefault="0091527C" w:rsidP="0091527C">
      <w:pPr>
        <w:jc w:val="both"/>
        <w:rPr>
          <w:rFonts w:ascii="Times New Roman" w:hAnsi="Times New Roman"/>
          <w:sz w:val="24"/>
          <w:szCs w:val="24"/>
        </w:rPr>
      </w:pPr>
      <w:r w:rsidRPr="0091527C">
        <w:rPr>
          <w:rFonts w:ascii="Times New Roman" w:hAnsi="Times New Roman"/>
          <w:sz w:val="24"/>
          <w:szCs w:val="24"/>
        </w:rPr>
        <w:t xml:space="preserve">Upravuje spôsob určenia výšky pokuty podľa § 28 ods. 3 zákona č. 357/2015 Z. z. </w:t>
      </w:r>
      <w:r w:rsidR="00A2191C">
        <w:rPr>
          <w:rFonts w:ascii="Times New Roman" w:hAnsi="Times New Roman"/>
          <w:sz w:val="24"/>
          <w:szCs w:val="24"/>
        </w:rPr>
        <w:t>S</w:t>
      </w:r>
      <w:r w:rsidRPr="0091527C">
        <w:rPr>
          <w:rFonts w:ascii="Times New Roman" w:hAnsi="Times New Roman"/>
          <w:sz w:val="24"/>
          <w:szCs w:val="24"/>
        </w:rPr>
        <w:t>pôsob určenia výšky pokuty - najviac do sumy vyššieho čerpania verejných financií predstavoval v aplikačnej praxi problémy vzhľadom na to, že niektoré pochybenia v rámci finančnej kontroly a vládneho auditu medzinárodných zdrojov nie je možné presne vyčísliť</w:t>
      </w:r>
      <w:r w:rsidR="00A2191C">
        <w:rPr>
          <w:rFonts w:ascii="Times New Roman" w:hAnsi="Times New Roman"/>
          <w:sz w:val="24"/>
          <w:szCs w:val="24"/>
        </w:rPr>
        <w:t>, pričom</w:t>
      </w:r>
      <w:r w:rsidRPr="0091527C">
        <w:rPr>
          <w:rFonts w:ascii="Times New Roman" w:hAnsi="Times New Roman"/>
          <w:sz w:val="24"/>
          <w:szCs w:val="24"/>
        </w:rPr>
        <w:t xml:space="preserve"> </w:t>
      </w:r>
      <w:r w:rsidR="00A2191C">
        <w:rPr>
          <w:rFonts w:ascii="Times New Roman" w:hAnsi="Times New Roman"/>
          <w:sz w:val="24"/>
          <w:szCs w:val="24"/>
        </w:rPr>
        <w:t>p</w:t>
      </w:r>
      <w:r w:rsidRPr="0091527C">
        <w:rPr>
          <w:rFonts w:ascii="Times New Roman" w:hAnsi="Times New Roman"/>
          <w:sz w:val="24"/>
          <w:szCs w:val="24"/>
        </w:rPr>
        <w:t xml:space="preserve">okuta sa stanovuje ako percentuálny podiel z hodnoty verejných financií, ktoré </w:t>
      </w:r>
      <w:r w:rsidR="00544A4E">
        <w:rPr>
          <w:rFonts w:ascii="Times New Roman" w:hAnsi="Times New Roman"/>
          <w:sz w:val="24"/>
          <w:szCs w:val="24"/>
        </w:rPr>
        <w:t>boli neoprávnene</w:t>
      </w:r>
      <w:r w:rsidRPr="0091527C">
        <w:rPr>
          <w:rFonts w:ascii="Times New Roman" w:hAnsi="Times New Roman"/>
          <w:sz w:val="24"/>
          <w:szCs w:val="24"/>
        </w:rPr>
        <w:t xml:space="preserve"> poskytnuté alebo použité. </w:t>
      </w:r>
    </w:p>
    <w:p w14:paraId="42ACE3C0" w14:textId="7282D2C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DB3E73">
        <w:rPr>
          <w:rFonts w:ascii="Times New Roman" w:hAnsi="Times New Roman"/>
          <w:b/>
          <w:sz w:val="24"/>
          <w:szCs w:val="24"/>
        </w:rPr>
        <w:t>70</w:t>
      </w:r>
      <w:r w:rsidR="00DB3E73" w:rsidRPr="0091527C">
        <w:rPr>
          <w:rFonts w:ascii="Times New Roman" w:hAnsi="Times New Roman"/>
          <w:b/>
          <w:sz w:val="24"/>
          <w:szCs w:val="24"/>
        </w:rPr>
        <w:t xml:space="preserve"> </w:t>
      </w:r>
      <w:r w:rsidRPr="0091527C">
        <w:rPr>
          <w:rFonts w:ascii="Times New Roman" w:hAnsi="Times New Roman"/>
          <w:b/>
          <w:sz w:val="24"/>
          <w:szCs w:val="24"/>
        </w:rPr>
        <w:t>a </w:t>
      </w:r>
      <w:r w:rsidR="00DB3E73">
        <w:rPr>
          <w:rFonts w:ascii="Times New Roman" w:hAnsi="Times New Roman"/>
          <w:b/>
          <w:sz w:val="24"/>
          <w:szCs w:val="24"/>
        </w:rPr>
        <w:t>71</w:t>
      </w:r>
      <w:r w:rsidR="00DB3E73" w:rsidRPr="0091527C">
        <w:rPr>
          <w:rFonts w:ascii="Times New Roman" w:hAnsi="Times New Roman"/>
          <w:b/>
          <w:sz w:val="24"/>
          <w:szCs w:val="24"/>
        </w:rPr>
        <w:t xml:space="preserve"> </w:t>
      </w:r>
      <w:r w:rsidRPr="0091527C">
        <w:rPr>
          <w:rFonts w:ascii="Times New Roman" w:hAnsi="Times New Roman"/>
          <w:b/>
          <w:sz w:val="24"/>
          <w:szCs w:val="24"/>
        </w:rPr>
        <w:t>(§ 28 ods. 4 písm. a) a ods. 5)</w:t>
      </w:r>
    </w:p>
    <w:p w14:paraId="7DAA1995"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Zavádza sa nová možnosť uloženia sankcie za porušenie povinností vyplývajúcich z § 5 ods. 1 písm. h) zákona č. 357/2015 Z. z. Uvedená úprava vyplýva z požiadaviek legislatívy EÚ a má slúžiť na zabezpečenie sankčného mechanizmu vo vzťahu k individuálnym alebo systémovým nezrovnalostiam zisteným </w:t>
      </w:r>
      <w:r w:rsidR="0004664A">
        <w:rPr>
          <w:rFonts w:ascii="Times New Roman" w:hAnsi="Times New Roman"/>
          <w:sz w:val="24"/>
          <w:szCs w:val="24"/>
        </w:rPr>
        <w:t>oprávnenou osobou</w:t>
      </w:r>
      <w:r w:rsidRPr="0091527C">
        <w:rPr>
          <w:rFonts w:ascii="Times New Roman" w:hAnsi="Times New Roman"/>
          <w:sz w:val="24"/>
          <w:szCs w:val="24"/>
        </w:rPr>
        <w:t xml:space="preserve"> v operáciách (napr. projekt) alebo programoch/operačných programoch.</w:t>
      </w:r>
    </w:p>
    <w:p w14:paraId="01A46B5C" w14:textId="040D3380"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bodom </w:t>
      </w:r>
      <w:r w:rsidR="00DB3E73">
        <w:rPr>
          <w:rFonts w:ascii="Times New Roman" w:hAnsi="Times New Roman"/>
          <w:b/>
          <w:sz w:val="24"/>
          <w:szCs w:val="24"/>
        </w:rPr>
        <w:t>72</w:t>
      </w:r>
      <w:r w:rsidRPr="0091527C">
        <w:rPr>
          <w:rFonts w:ascii="Times New Roman" w:hAnsi="Times New Roman"/>
          <w:b/>
          <w:sz w:val="24"/>
          <w:szCs w:val="24"/>
        </w:rPr>
        <w:t xml:space="preserve">, </w:t>
      </w:r>
      <w:r w:rsidR="00DB3E73">
        <w:rPr>
          <w:rFonts w:ascii="Times New Roman" w:hAnsi="Times New Roman"/>
          <w:b/>
          <w:sz w:val="24"/>
          <w:szCs w:val="24"/>
        </w:rPr>
        <w:t>73</w:t>
      </w:r>
      <w:r w:rsidRPr="0091527C">
        <w:rPr>
          <w:rFonts w:ascii="Times New Roman" w:hAnsi="Times New Roman"/>
          <w:b/>
          <w:sz w:val="24"/>
          <w:szCs w:val="24"/>
        </w:rPr>
        <w:t xml:space="preserve">, </w:t>
      </w:r>
      <w:r w:rsidR="00DB3E73">
        <w:rPr>
          <w:rFonts w:ascii="Times New Roman" w:hAnsi="Times New Roman"/>
          <w:b/>
          <w:sz w:val="24"/>
          <w:szCs w:val="24"/>
        </w:rPr>
        <w:t xml:space="preserve">74 </w:t>
      </w:r>
      <w:r w:rsidR="00E4120A">
        <w:rPr>
          <w:rFonts w:ascii="Times New Roman" w:hAnsi="Times New Roman"/>
          <w:b/>
          <w:sz w:val="24"/>
          <w:szCs w:val="24"/>
        </w:rPr>
        <w:t xml:space="preserve">a </w:t>
      </w:r>
      <w:r w:rsidR="00DB3E73" w:rsidRPr="0091527C">
        <w:rPr>
          <w:rFonts w:ascii="Times New Roman" w:hAnsi="Times New Roman"/>
          <w:b/>
          <w:sz w:val="24"/>
          <w:szCs w:val="24"/>
        </w:rPr>
        <w:t>7</w:t>
      </w:r>
      <w:r w:rsidR="00DB3E73">
        <w:rPr>
          <w:rFonts w:ascii="Times New Roman" w:hAnsi="Times New Roman"/>
          <w:b/>
          <w:sz w:val="24"/>
          <w:szCs w:val="24"/>
        </w:rPr>
        <w:t>6</w:t>
      </w:r>
      <w:r w:rsidR="00DB3E73" w:rsidRPr="0091527C">
        <w:rPr>
          <w:rFonts w:ascii="Times New Roman" w:hAnsi="Times New Roman"/>
          <w:b/>
          <w:sz w:val="24"/>
          <w:szCs w:val="24"/>
        </w:rPr>
        <w:t xml:space="preserve"> </w:t>
      </w:r>
      <w:r w:rsidRPr="0091527C">
        <w:rPr>
          <w:rFonts w:ascii="Times New Roman" w:hAnsi="Times New Roman"/>
          <w:b/>
          <w:sz w:val="24"/>
          <w:szCs w:val="24"/>
        </w:rPr>
        <w:t xml:space="preserve">(§ 28 ods. 8 až 11, </w:t>
      </w:r>
      <w:r w:rsidR="00AE6627">
        <w:rPr>
          <w:rFonts w:ascii="Times New Roman" w:hAnsi="Times New Roman"/>
          <w:b/>
          <w:sz w:val="24"/>
          <w:szCs w:val="24"/>
        </w:rPr>
        <w:t xml:space="preserve">13, </w:t>
      </w:r>
      <w:r w:rsidRPr="0091527C">
        <w:rPr>
          <w:rFonts w:ascii="Times New Roman" w:hAnsi="Times New Roman"/>
          <w:b/>
          <w:sz w:val="24"/>
          <w:szCs w:val="24"/>
        </w:rPr>
        <w:t>14 a 15)</w:t>
      </w:r>
    </w:p>
    <w:p w14:paraId="1BB75036"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Úprava vnútorných odkazov v zákone č. 357/2015 Z. z.</w:t>
      </w:r>
    </w:p>
    <w:p w14:paraId="628CEC67" w14:textId="436D49FB"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DB3E73" w:rsidRPr="0091527C">
        <w:rPr>
          <w:rFonts w:ascii="Times New Roman" w:hAnsi="Times New Roman"/>
          <w:b/>
          <w:sz w:val="24"/>
          <w:szCs w:val="24"/>
        </w:rPr>
        <w:t>7</w:t>
      </w:r>
      <w:r w:rsidR="00DB3E73">
        <w:rPr>
          <w:rFonts w:ascii="Times New Roman" w:hAnsi="Times New Roman"/>
          <w:b/>
          <w:sz w:val="24"/>
          <w:szCs w:val="24"/>
        </w:rPr>
        <w:t>5</w:t>
      </w:r>
      <w:r w:rsidR="00DB3E73" w:rsidRPr="0091527C">
        <w:rPr>
          <w:rFonts w:ascii="Times New Roman" w:hAnsi="Times New Roman"/>
          <w:b/>
          <w:sz w:val="24"/>
          <w:szCs w:val="24"/>
        </w:rPr>
        <w:t xml:space="preserve"> </w:t>
      </w:r>
      <w:r w:rsidRPr="0091527C">
        <w:rPr>
          <w:rFonts w:ascii="Times New Roman" w:hAnsi="Times New Roman"/>
          <w:b/>
          <w:sz w:val="24"/>
          <w:szCs w:val="24"/>
        </w:rPr>
        <w:t>(§ 28 ods. 11)</w:t>
      </w:r>
    </w:p>
    <w:p w14:paraId="53560704"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Predlžuje sa subjektívna lehota z jedného roka na obdobie troch rokov. Uvedená úprava vyplýva z aplikačnej praxe, nakoľko stanovená lehota sa ukázala ako veľmi krátka pre celý proces správneho konania, čím sa v praxi stávalo uloženie pokuty ťažko realizovateľným.</w:t>
      </w:r>
    </w:p>
    <w:p w14:paraId="265813A6" w14:textId="5507B09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 xml:space="preserve">K bodu </w:t>
      </w:r>
      <w:r w:rsidR="00DB3E73" w:rsidRPr="0091527C">
        <w:rPr>
          <w:rFonts w:ascii="Times New Roman" w:hAnsi="Times New Roman"/>
          <w:b/>
          <w:sz w:val="24"/>
          <w:szCs w:val="24"/>
        </w:rPr>
        <w:t>7</w:t>
      </w:r>
      <w:r w:rsidR="00DB3E73">
        <w:rPr>
          <w:rFonts w:ascii="Times New Roman" w:hAnsi="Times New Roman"/>
          <w:b/>
          <w:sz w:val="24"/>
          <w:szCs w:val="24"/>
        </w:rPr>
        <w:t>7</w:t>
      </w:r>
      <w:r w:rsidR="00DB3E73" w:rsidRPr="0091527C">
        <w:rPr>
          <w:rFonts w:ascii="Times New Roman" w:hAnsi="Times New Roman"/>
          <w:b/>
          <w:sz w:val="24"/>
          <w:szCs w:val="24"/>
        </w:rPr>
        <w:t xml:space="preserve"> </w:t>
      </w:r>
      <w:r w:rsidRPr="0091527C">
        <w:rPr>
          <w:rFonts w:ascii="Times New Roman" w:hAnsi="Times New Roman"/>
          <w:b/>
          <w:sz w:val="24"/>
          <w:szCs w:val="24"/>
        </w:rPr>
        <w:t>(§ 30a)</w:t>
      </w:r>
    </w:p>
    <w:p w14:paraId="1BF69010" w14:textId="43A43EBD" w:rsidR="00F621A6" w:rsidRPr="00F621A6" w:rsidRDefault="0091527C" w:rsidP="00F621A6">
      <w:pPr>
        <w:jc w:val="both"/>
        <w:rPr>
          <w:rFonts w:ascii="Times New Roman" w:hAnsi="Times New Roman"/>
          <w:sz w:val="24"/>
          <w:szCs w:val="24"/>
        </w:rPr>
      </w:pPr>
      <w:r w:rsidRPr="0091527C">
        <w:rPr>
          <w:rFonts w:ascii="Times New Roman" w:hAnsi="Times New Roman"/>
          <w:sz w:val="24"/>
          <w:szCs w:val="24"/>
        </w:rPr>
        <w:t>Dopĺňa sa prechodné ustanoveni</w:t>
      </w:r>
      <w:r w:rsidR="00F621A6">
        <w:rPr>
          <w:rFonts w:ascii="Times New Roman" w:hAnsi="Times New Roman"/>
          <w:sz w:val="24"/>
          <w:szCs w:val="24"/>
        </w:rPr>
        <w:t>e</w:t>
      </w:r>
      <w:r w:rsidRPr="0091527C">
        <w:rPr>
          <w:rFonts w:ascii="Times New Roman" w:hAnsi="Times New Roman"/>
          <w:sz w:val="24"/>
          <w:szCs w:val="24"/>
        </w:rPr>
        <w:t>, ktoré m</w:t>
      </w:r>
      <w:r w:rsidR="00F621A6">
        <w:rPr>
          <w:rFonts w:ascii="Times New Roman" w:hAnsi="Times New Roman"/>
          <w:sz w:val="24"/>
          <w:szCs w:val="24"/>
        </w:rPr>
        <w:t>á</w:t>
      </w:r>
      <w:r w:rsidRPr="0091527C">
        <w:rPr>
          <w:rFonts w:ascii="Times New Roman" w:hAnsi="Times New Roman"/>
          <w:sz w:val="24"/>
          <w:szCs w:val="24"/>
        </w:rPr>
        <w:t xml:space="preserve"> za cieľ upraviť situáci</w:t>
      </w:r>
      <w:r w:rsidR="00F621A6">
        <w:rPr>
          <w:rFonts w:ascii="Times New Roman" w:hAnsi="Times New Roman"/>
          <w:sz w:val="24"/>
          <w:szCs w:val="24"/>
        </w:rPr>
        <w:t>u</w:t>
      </w:r>
      <w:r w:rsidRPr="0091527C">
        <w:rPr>
          <w:rFonts w:ascii="Times New Roman" w:hAnsi="Times New Roman"/>
          <w:sz w:val="24"/>
          <w:szCs w:val="24"/>
        </w:rPr>
        <w:t xml:space="preserve">, ak boli vládni audítori iných ministerstiev </w:t>
      </w:r>
      <w:r w:rsidR="000803C1">
        <w:rPr>
          <w:rFonts w:ascii="Times New Roman" w:hAnsi="Times New Roman"/>
          <w:sz w:val="24"/>
          <w:szCs w:val="24"/>
        </w:rPr>
        <w:t xml:space="preserve">ako ministerstva financií </w:t>
      </w:r>
      <w:r w:rsidRPr="0091527C">
        <w:rPr>
          <w:rFonts w:ascii="Times New Roman" w:hAnsi="Times New Roman"/>
          <w:sz w:val="24"/>
          <w:szCs w:val="24"/>
        </w:rPr>
        <w:t>vymenovaní podľa zákona č. 502/2001 Z. z. o finančnej kontrole a vnútornom audite a o zmene a doplnení niektorých zákonov v znení neskorších predpisov a neboli odvolaní účinnosťou nového zákona. Aktuálne znenie zákona č. 357/2015 Z. z. neumožňuje odvolanie vládnych audítorov iných ministerstiev ani zo strany ministerstva financií, ani zo strany štatutárneho orgánu iného správcu kapitoly štátneho rozpočtu, a to napriek skutočnosti, že nevykonávajú vládny audit alebo v prípade, že neplnia podmienky odborného vzdelávania podľa zákona č. 357/2015 Z. z. Príslušní vládni audítori sú uvedení v zozname vládnych audítorov, pričom niektorí z nich sú uvedení súbežne aj v zozname vnútorných audítorov. Táto skupina vládnych audítorov bola vymenovaná príslušnými štatutárnymi orgánmi orgánov verejnej správy, pričom podľa súčasne platnej právnej úpravy môže odvolávať vládnych audítorov len ministerstvo financií. Nakoľko vzniklo právne vákuum a vládni audítori iných ministerstiev</w:t>
      </w:r>
      <w:r w:rsidR="00E93E25">
        <w:rPr>
          <w:rFonts w:ascii="Times New Roman" w:hAnsi="Times New Roman"/>
          <w:sz w:val="24"/>
          <w:szCs w:val="24"/>
        </w:rPr>
        <w:t xml:space="preserve"> ako ministerstva financií</w:t>
      </w:r>
      <w:r w:rsidRPr="0091527C">
        <w:rPr>
          <w:rFonts w:ascii="Times New Roman" w:hAnsi="Times New Roman"/>
          <w:sz w:val="24"/>
          <w:szCs w:val="24"/>
        </w:rPr>
        <w:t xml:space="preserve"> ani reálne </w:t>
      </w:r>
      <w:r w:rsidRPr="0091527C">
        <w:rPr>
          <w:rFonts w:ascii="Times New Roman" w:hAnsi="Times New Roman"/>
          <w:sz w:val="24"/>
          <w:szCs w:val="24"/>
        </w:rPr>
        <w:lastRenderedPageBreak/>
        <w:t xml:space="preserve">nemôžu podľa platnej legislatívy vykonávať vládny audit, navrhuje sa automatický zánik </w:t>
      </w:r>
      <w:r w:rsidR="00A2191C">
        <w:rPr>
          <w:rFonts w:ascii="Times New Roman" w:hAnsi="Times New Roman"/>
          <w:sz w:val="24"/>
          <w:szCs w:val="24"/>
        </w:rPr>
        <w:t xml:space="preserve">výkonu </w:t>
      </w:r>
      <w:r w:rsidRPr="0091527C">
        <w:rPr>
          <w:rFonts w:ascii="Times New Roman" w:hAnsi="Times New Roman"/>
          <w:sz w:val="24"/>
          <w:szCs w:val="24"/>
        </w:rPr>
        <w:t>ich funkcie od 1. januára 2019</w:t>
      </w:r>
      <w:r w:rsidR="00A2191C">
        <w:rPr>
          <w:rFonts w:ascii="Times New Roman" w:hAnsi="Times New Roman"/>
          <w:sz w:val="24"/>
          <w:szCs w:val="24"/>
        </w:rPr>
        <w:t xml:space="preserve">, pričom </w:t>
      </w:r>
      <w:r w:rsidRPr="0091527C">
        <w:rPr>
          <w:rFonts w:ascii="Times New Roman" w:hAnsi="Times New Roman"/>
          <w:sz w:val="24"/>
          <w:szCs w:val="24"/>
        </w:rPr>
        <w:t xml:space="preserve"> </w:t>
      </w:r>
      <w:r w:rsidR="00F621A6" w:rsidRPr="00F621A6">
        <w:rPr>
          <w:rFonts w:ascii="Times New Roman" w:hAnsi="Times New Roman"/>
          <w:sz w:val="24"/>
          <w:szCs w:val="24"/>
          <w:lang w:eastAsia="sk-SK"/>
        </w:rPr>
        <w:t>ak vládny audítor splnil podmienku vzdelávania podľa § 14 ods. 5</w:t>
      </w:r>
      <w:r w:rsidR="00A2191C">
        <w:rPr>
          <w:rFonts w:ascii="Times New Roman" w:hAnsi="Times New Roman"/>
          <w:sz w:val="24"/>
          <w:szCs w:val="24"/>
          <w:lang w:eastAsia="sk-SK"/>
        </w:rPr>
        <w:t xml:space="preserve"> nezanikajú účinky úspešného vykonania kvalifikačnej skúšky</w:t>
      </w:r>
      <w:r w:rsidR="00F621A6" w:rsidRPr="00F621A6">
        <w:rPr>
          <w:rFonts w:ascii="Times New Roman" w:hAnsi="Times New Roman"/>
          <w:sz w:val="24"/>
          <w:szCs w:val="24"/>
          <w:lang w:eastAsia="sk-SK"/>
        </w:rPr>
        <w:t xml:space="preserve">. </w:t>
      </w:r>
    </w:p>
    <w:p w14:paraId="5D017799" w14:textId="230E75A3" w:rsidR="0091527C" w:rsidRPr="0091527C" w:rsidRDefault="00B16E7A" w:rsidP="0091527C">
      <w:pPr>
        <w:jc w:val="both"/>
        <w:rPr>
          <w:rFonts w:ascii="Times New Roman" w:hAnsi="Times New Roman"/>
          <w:sz w:val="24"/>
          <w:szCs w:val="24"/>
        </w:rPr>
      </w:pPr>
      <w:r>
        <w:rPr>
          <w:rFonts w:ascii="Times New Roman" w:hAnsi="Times New Roman"/>
          <w:sz w:val="24"/>
          <w:szCs w:val="24"/>
        </w:rPr>
        <w:t xml:space="preserve">Zároveň sa </w:t>
      </w:r>
      <w:r w:rsidR="0091527C" w:rsidRPr="0091527C">
        <w:rPr>
          <w:rFonts w:ascii="Times New Roman" w:hAnsi="Times New Roman"/>
          <w:sz w:val="24"/>
          <w:szCs w:val="24"/>
        </w:rPr>
        <w:t xml:space="preserve">upravuje </w:t>
      </w:r>
      <w:r>
        <w:rPr>
          <w:rFonts w:ascii="Times New Roman" w:hAnsi="Times New Roman"/>
          <w:sz w:val="24"/>
          <w:szCs w:val="24"/>
        </w:rPr>
        <w:t xml:space="preserve">zánik a zachovanie </w:t>
      </w:r>
      <w:r w:rsidR="0091527C" w:rsidRPr="0091527C">
        <w:rPr>
          <w:rFonts w:ascii="Times New Roman" w:hAnsi="Times New Roman"/>
          <w:sz w:val="24"/>
          <w:szCs w:val="24"/>
        </w:rPr>
        <w:t>členstv</w:t>
      </w:r>
      <w:r>
        <w:rPr>
          <w:rFonts w:ascii="Times New Roman" w:hAnsi="Times New Roman"/>
          <w:sz w:val="24"/>
          <w:szCs w:val="24"/>
        </w:rPr>
        <w:t>a</w:t>
      </w:r>
      <w:r w:rsidR="0091527C" w:rsidRPr="0091527C">
        <w:rPr>
          <w:rFonts w:ascii="Times New Roman" w:hAnsi="Times New Roman"/>
          <w:sz w:val="24"/>
          <w:szCs w:val="24"/>
        </w:rPr>
        <w:t xml:space="preserve"> doterajších zástupcov výboru</w:t>
      </w:r>
      <w:r>
        <w:rPr>
          <w:rFonts w:ascii="Times New Roman" w:hAnsi="Times New Roman"/>
          <w:sz w:val="24"/>
          <w:szCs w:val="24"/>
        </w:rPr>
        <w:t>, a taktiež vymenovanie nových členov výboru</w:t>
      </w:r>
      <w:r w:rsidR="00603E9C">
        <w:rPr>
          <w:rFonts w:ascii="Times New Roman" w:hAnsi="Times New Roman"/>
          <w:sz w:val="24"/>
          <w:szCs w:val="24"/>
        </w:rPr>
        <w:t xml:space="preserve">, ktorých vymenuje štatutárny orgán </w:t>
      </w:r>
      <w:r w:rsidR="003B2555">
        <w:rPr>
          <w:rFonts w:ascii="Times New Roman" w:hAnsi="Times New Roman"/>
          <w:sz w:val="24"/>
          <w:szCs w:val="24"/>
        </w:rPr>
        <w:t xml:space="preserve">príslušného </w:t>
      </w:r>
      <w:r w:rsidR="00603E9C">
        <w:rPr>
          <w:rFonts w:ascii="Times New Roman" w:hAnsi="Times New Roman"/>
          <w:sz w:val="24"/>
          <w:szCs w:val="24"/>
        </w:rPr>
        <w:t>orgánu verejnej správy</w:t>
      </w:r>
      <w:r w:rsidR="0091527C" w:rsidRPr="0091527C">
        <w:rPr>
          <w:rFonts w:ascii="Times New Roman" w:hAnsi="Times New Roman"/>
          <w:sz w:val="24"/>
          <w:szCs w:val="24"/>
        </w:rPr>
        <w:t>. Výbor je povinný upraviť svoj štatút v zmysle platnej legislatívy do</w:t>
      </w:r>
      <w:r w:rsidR="00B3642F">
        <w:rPr>
          <w:rFonts w:ascii="Times New Roman" w:hAnsi="Times New Roman"/>
          <w:sz w:val="24"/>
          <w:szCs w:val="24"/>
        </w:rPr>
        <w:t> </w:t>
      </w:r>
      <w:r w:rsidR="00F621A6">
        <w:rPr>
          <w:rFonts w:ascii="Times New Roman" w:hAnsi="Times New Roman"/>
          <w:sz w:val="24"/>
          <w:szCs w:val="24"/>
        </w:rPr>
        <w:t>31. marca 2019</w:t>
      </w:r>
      <w:r w:rsidR="0091527C" w:rsidRPr="0091527C">
        <w:rPr>
          <w:rFonts w:ascii="Times New Roman" w:hAnsi="Times New Roman"/>
          <w:sz w:val="24"/>
          <w:szCs w:val="24"/>
        </w:rPr>
        <w:t>.</w:t>
      </w:r>
    </w:p>
    <w:p w14:paraId="1C5614DB"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Upravuje sa prechodné ustanovenie na zasielanie ročných správ o vykonaných vnútorných auditoch za rok 2018, ktoré sa budú vypracovávať podľa právnej úpravy platnej do 31. decembra 2018, a teda </w:t>
      </w:r>
      <w:r w:rsidR="00B16E7A">
        <w:rPr>
          <w:rFonts w:ascii="Times New Roman" w:hAnsi="Times New Roman"/>
          <w:sz w:val="24"/>
          <w:szCs w:val="24"/>
        </w:rPr>
        <w:t xml:space="preserve">podľa </w:t>
      </w:r>
      <w:r w:rsidRPr="0091527C">
        <w:rPr>
          <w:rFonts w:ascii="Times New Roman" w:hAnsi="Times New Roman"/>
          <w:sz w:val="24"/>
          <w:szCs w:val="24"/>
        </w:rPr>
        <w:t>vyhlášky MF SR č. 109/2016 Z. z., ktorou sa ustanovuje obsah ročnej správy o vykonaných vnútorných auditoch.</w:t>
      </w:r>
    </w:p>
    <w:p w14:paraId="2D6ADB18" w14:textId="4F300C3E"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 xml:space="preserve">Správne konania o uložení pokuty právoplatne neukončené do </w:t>
      </w:r>
      <w:r w:rsidR="00F621A6">
        <w:rPr>
          <w:rFonts w:ascii="Times New Roman" w:hAnsi="Times New Roman"/>
          <w:sz w:val="24"/>
          <w:szCs w:val="24"/>
        </w:rPr>
        <w:t xml:space="preserve">31. decembra 2018 </w:t>
      </w:r>
      <w:r w:rsidRPr="0091527C">
        <w:rPr>
          <w:rFonts w:ascii="Times New Roman" w:hAnsi="Times New Roman"/>
          <w:sz w:val="24"/>
          <w:szCs w:val="24"/>
        </w:rPr>
        <w:t>sa dokončia podľa doterajš</w:t>
      </w:r>
      <w:r w:rsidR="002954FF">
        <w:rPr>
          <w:rFonts w:ascii="Times New Roman" w:hAnsi="Times New Roman"/>
          <w:sz w:val="24"/>
          <w:szCs w:val="24"/>
        </w:rPr>
        <w:t>ieho</w:t>
      </w:r>
      <w:r w:rsidRPr="0091527C">
        <w:rPr>
          <w:rFonts w:ascii="Times New Roman" w:hAnsi="Times New Roman"/>
          <w:sz w:val="24"/>
          <w:szCs w:val="24"/>
        </w:rPr>
        <w:t xml:space="preserve"> predpis</w:t>
      </w:r>
      <w:r w:rsidR="002954FF">
        <w:rPr>
          <w:rFonts w:ascii="Times New Roman" w:hAnsi="Times New Roman"/>
          <w:sz w:val="24"/>
          <w:szCs w:val="24"/>
        </w:rPr>
        <w:t>u</w:t>
      </w:r>
      <w:r w:rsidRPr="0091527C">
        <w:rPr>
          <w:rFonts w:ascii="Times New Roman" w:hAnsi="Times New Roman"/>
          <w:sz w:val="24"/>
          <w:szCs w:val="24"/>
        </w:rPr>
        <w:t xml:space="preserve">, </w:t>
      </w:r>
      <w:r w:rsidR="00F621A6">
        <w:rPr>
          <w:rFonts w:ascii="Times New Roman" w:hAnsi="Times New Roman"/>
          <w:sz w:val="24"/>
          <w:szCs w:val="24"/>
        </w:rPr>
        <w:t xml:space="preserve">a </w:t>
      </w:r>
      <w:r w:rsidRPr="0091527C">
        <w:rPr>
          <w:rFonts w:ascii="Times New Roman" w:hAnsi="Times New Roman"/>
          <w:sz w:val="24"/>
          <w:szCs w:val="24"/>
        </w:rPr>
        <w:t>teda sa uplatní subjektívna jednoročná lehota na uloženie pokuty.</w:t>
      </w:r>
      <w:r w:rsidR="00B3642F">
        <w:rPr>
          <w:rFonts w:ascii="Times New Roman" w:hAnsi="Times New Roman"/>
          <w:sz w:val="24"/>
          <w:szCs w:val="24"/>
        </w:rPr>
        <w:t xml:space="preserve"> Rovnako aj n</w:t>
      </w:r>
      <w:r w:rsidR="00B3642F" w:rsidRPr="00B3642F">
        <w:rPr>
          <w:rFonts w:ascii="Times New Roman" w:hAnsi="Times New Roman"/>
          <w:sz w:val="24"/>
          <w:szCs w:val="24"/>
        </w:rPr>
        <w:t xml:space="preserve">a finančnú kontrolu a audit začatý pred </w:t>
      </w:r>
      <w:r w:rsidR="00B3642F">
        <w:rPr>
          <w:rFonts w:ascii="Times New Roman" w:hAnsi="Times New Roman"/>
          <w:sz w:val="24"/>
          <w:szCs w:val="24"/>
        </w:rPr>
        <w:t xml:space="preserve">31. decembrom 2018 </w:t>
      </w:r>
      <w:r w:rsidR="00B16E7A">
        <w:rPr>
          <w:rFonts w:ascii="Times New Roman" w:hAnsi="Times New Roman"/>
          <w:sz w:val="24"/>
          <w:szCs w:val="24"/>
        </w:rPr>
        <w:t xml:space="preserve">sa </w:t>
      </w:r>
      <w:r w:rsidR="00B3642F">
        <w:rPr>
          <w:rFonts w:ascii="Times New Roman" w:hAnsi="Times New Roman"/>
          <w:sz w:val="24"/>
          <w:szCs w:val="24"/>
        </w:rPr>
        <w:t>bud</w:t>
      </w:r>
      <w:r w:rsidR="002954FF">
        <w:rPr>
          <w:rFonts w:ascii="Times New Roman" w:hAnsi="Times New Roman"/>
          <w:sz w:val="24"/>
          <w:szCs w:val="24"/>
        </w:rPr>
        <w:t>e</w:t>
      </w:r>
      <w:r w:rsidR="00B3642F" w:rsidRPr="00B3642F">
        <w:rPr>
          <w:rFonts w:ascii="Times New Roman" w:hAnsi="Times New Roman"/>
          <w:sz w:val="24"/>
          <w:szCs w:val="24"/>
        </w:rPr>
        <w:t xml:space="preserve"> vzťah</w:t>
      </w:r>
      <w:r w:rsidR="00B3642F">
        <w:rPr>
          <w:rFonts w:ascii="Times New Roman" w:hAnsi="Times New Roman"/>
          <w:sz w:val="24"/>
          <w:szCs w:val="24"/>
        </w:rPr>
        <w:t xml:space="preserve">ovať </w:t>
      </w:r>
      <w:r w:rsidR="00B3642F" w:rsidRPr="00B3642F">
        <w:rPr>
          <w:rFonts w:ascii="Times New Roman" w:hAnsi="Times New Roman"/>
          <w:sz w:val="24"/>
          <w:szCs w:val="24"/>
        </w:rPr>
        <w:t>doterajš</w:t>
      </w:r>
      <w:r w:rsidR="002954FF">
        <w:rPr>
          <w:rFonts w:ascii="Times New Roman" w:hAnsi="Times New Roman"/>
          <w:sz w:val="24"/>
          <w:szCs w:val="24"/>
        </w:rPr>
        <w:t>í</w:t>
      </w:r>
      <w:r w:rsidR="00B3642F">
        <w:rPr>
          <w:rFonts w:ascii="Times New Roman" w:hAnsi="Times New Roman"/>
          <w:sz w:val="24"/>
          <w:szCs w:val="24"/>
        </w:rPr>
        <w:t xml:space="preserve"> </w:t>
      </w:r>
      <w:r w:rsidR="00B3642F" w:rsidRPr="00B3642F">
        <w:rPr>
          <w:rFonts w:ascii="Times New Roman" w:hAnsi="Times New Roman"/>
          <w:sz w:val="24"/>
          <w:szCs w:val="24"/>
        </w:rPr>
        <w:t>predpis</w:t>
      </w:r>
      <w:r w:rsidR="00B3642F">
        <w:rPr>
          <w:rFonts w:ascii="Times New Roman" w:hAnsi="Times New Roman"/>
          <w:sz w:val="24"/>
          <w:szCs w:val="24"/>
        </w:rPr>
        <w:t>.</w:t>
      </w:r>
    </w:p>
    <w:p w14:paraId="2DE98BB1" w14:textId="77777777" w:rsidR="003B0DEE" w:rsidRDefault="003B0DEE" w:rsidP="002C2F6F">
      <w:pPr>
        <w:jc w:val="both"/>
        <w:rPr>
          <w:rFonts w:ascii="Times New Roman" w:hAnsi="Times New Roman"/>
          <w:b/>
          <w:sz w:val="24"/>
          <w:szCs w:val="24"/>
        </w:rPr>
      </w:pPr>
    </w:p>
    <w:p w14:paraId="7763F0C5" w14:textId="77777777" w:rsidR="002C2F6F" w:rsidRPr="002C2F6F" w:rsidRDefault="002C2F6F" w:rsidP="002C2F6F">
      <w:pPr>
        <w:jc w:val="both"/>
        <w:rPr>
          <w:rFonts w:ascii="Times New Roman" w:hAnsi="Times New Roman"/>
          <w:b/>
          <w:sz w:val="24"/>
          <w:szCs w:val="24"/>
        </w:rPr>
      </w:pPr>
      <w:r w:rsidRPr="002C2F6F">
        <w:rPr>
          <w:rFonts w:ascii="Times New Roman" w:hAnsi="Times New Roman"/>
          <w:b/>
          <w:sz w:val="24"/>
          <w:szCs w:val="24"/>
        </w:rPr>
        <w:t>K čl. II</w:t>
      </w:r>
    </w:p>
    <w:p w14:paraId="5018B997" w14:textId="77777777" w:rsidR="002C2F6F" w:rsidRPr="002C2F6F" w:rsidRDefault="002C2F6F" w:rsidP="002C2F6F">
      <w:pPr>
        <w:jc w:val="both"/>
        <w:rPr>
          <w:rFonts w:ascii="Times New Roman" w:hAnsi="Times New Roman"/>
          <w:b/>
          <w:sz w:val="24"/>
          <w:szCs w:val="24"/>
        </w:rPr>
      </w:pPr>
      <w:r w:rsidRPr="002C2F6F">
        <w:rPr>
          <w:rFonts w:ascii="Times New Roman" w:hAnsi="Times New Roman"/>
          <w:b/>
          <w:sz w:val="24"/>
          <w:szCs w:val="24"/>
        </w:rPr>
        <w:t>K bodu 1</w:t>
      </w:r>
    </w:p>
    <w:p w14:paraId="5F94B1CA" w14:textId="77777777" w:rsidR="002C2F6F" w:rsidRPr="002C2F6F" w:rsidRDefault="002C2F6F" w:rsidP="002C2F6F">
      <w:pPr>
        <w:spacing w:line="240" w:lineRule="auto"/>
        <w:jc w:val="both"/>
        <w:rPr>
          <w:rFonts w:ascii="Times New Roman" w:hAnsi="Times New Roman"/>
          <w:sz w:val="24"/>
          <w:szCs w:val="24"/>
        </w:rPr>
      </w:pPr>
      <w:r w:rsidRPr="002C2F6F">
        <w:rPr>
          <w:rFonts w:ascii="Times New Roman" w:hAnsi="Times New Roman"/>
          <w:sz w:val="24"/>
          <w:szCs w:val="24"/>
        </w:rPr>
        <w:t xml:space="preserve">Hodnotenie efektívnosti a účinnosti verejných výdavkov (revízia výdavkov) napĺňa programové vyhlásenia vlády. Predkladaná právna úprava upravuje spoluprácu správcov jednotlivých kapitol s ministerstvom financií pri revízii výdavkov a aj pri hodnotení plnenia opatrení navrhnutých v revízii výdavkov. Spolupráca na úrovní kapitol prebieha prostredníctvom odborných stretnutí, zapojenia analytických tímov na jednotlivých orgánoch ústrednej štátnej správy, poskytovania štatistík a informácií k témam revízii výdavkov schválených vládou. </w:t>
      </w:r>
    </w:p>
    <w:p w14:paraId="66758DB6" w14:textId="77777777" w:rsidR="002C2F6F" w:rsidRPr="002C2F6F" w:rsidRDefault="002C2F6F" w:rsidP="002C2F6F">
      <w:pPr>
        <w:spacing w:line="240" w:lineRule="auto"/>
        <w:jc w:val="both"/>
        <w:rPr>
          <w:rFonts w:ascii="Times New Roman" w:hAnsi="Times New Roman"/>
          <w:b/>
          <w:sz w:val="24"/>
          <w:szCs w:val="24"/>
          <w:lang w:eastAsia="sk-SK"/>
        </w:rPr>
      </w:pPr>
      <w:r w:rsidRPr="002C2F6F">
        <w:rPr>
          <w:rFonts w:ascii="Times New Roman" w:hAnsi="Times New Roman"/>
          <w:b/>
          <w:sz w:val="24"/>
          <w:szCs w:val="24"/>
          <w:lang w:eastAsia="sk-SK"/>
        </w:rPr>
        <w:t>K bodu 2</w:t>
      </w:r>
    </w:p>
    <w:p w14:paraId="46CA7E92" w14:textId="77777777" w:rsidR="002C2F6F" w:rsidRPr="002C2F6F" w:rsidRDefault="002C2F6F" w:rsidP="002C2F6F">
      <w:pPr>
        <w:spacing w:line="240" w:lineRule="auto"/>
        <w:jc w:val="both"/>
        <w:rPr>
          <w:rFonts w:ascii="Times New Roman" w:hAnsi="Times New Roman"/>
          <w:sz w:val="24"/>
          <w:szCs w:val="24"/>
          <w:lang w:eastAsia="sk-SK"/>
        </w:rPr>
      </w:pPr>
      <w:r w:rsidRPr="002C2F6F">
        <w:rPr>
          <w:rFonts w:ascii="Times New Roman" w:hAnsi="Times New Roman"/>
          <w:sz w:val="24"/>
          <w:szCs w:val="24"/>
          <w:lang w:eastAsia="sk-SK"/>
        </w:rPr>
        <w:t xml:space="preserve">Hodnotenie efektívnosti a účinnosti verejných výdavkov (revízia výdavkov) patrí medzi štandardné nástroje rozhodovania vo verejnej správe využívané v štátoch Európskej únie. Vláda Slovenskej republiky sa zaviazala hodnotiť verejné výdavky vo svojom programovom vyhlásení. Ministerstvo financií navrhuje vláde ciele, organizáciu aj technické parametre jednotlivých revízii. Mandát hodnotenia efektívnosti verejných výdavkov zvyčajne schvaľuje vláda uznesením so strategickými dokumentami, v ktorých uvádza aj odôvodnenie revízie výdavkov a harmonogram hodnotenia vybraných oblastí. Schvaľovanie mandátov hodnotenia efektívnosti a účinnosti verejných výdavkov nebolo zákonom ustanovené a navrhovaná úprava má za cieľ zakotviť hodnotenie väčšiny výdavkov verejnej správy počas mandátu vlády. Vláda počas svojho mandátu určí vybrané oblasti, v ktorých sa vykoná revízia výdavkov, pričom je viazaná minimálnou hodnotou hodnotených verejných výdavkov. Revízia výdavkov sa po vypracovaní zverejní na webovom sídle ministerstva financií a predloží sa spoločne s návrhom rozpočtu verejnej správy. Ministerstvo financií každoročne s rozpočtom verejnej správy predkladá aj hodnotenie plnenia jednotlivých opatrení z revízie výdavkov, pričom môže využívať vstupy iných orgánov verejnej správy. </w:t>
      </w:r>
    </w:p>
    <w:p w14:paraId="2346EA91" w14:textId="77777777" w:rsidR="003646C5" w:rsidRDefault="003646C5" w:rsidP="002C2F6F">
      <w:pPr>
        <w:spacing w:line="240" w:lineRule="auto"/>
        <w:jc w:val="both"/>
        <w:rPr>
          <w:rFonts w:ascii="Times New Roman" w:hAnsi="Times New Roman"/>
          <w:b/>
          <w:sz w:val="24"/>
          <w:szCs w:val="24"/>
          <w:lang w:eastAsia="sk-SK"/>
        </w:rPr>
      </w:pPr>
    </w:p>
    <w:p w14:paraId="61667FC1" w14:textId="77777777" w:rsidR="002C2F6F" w:rsidRPr="002C2F6F" w:rsidRDefault="002C2F6F" w:rsidP="002C2F6F">
      <w:pPr>
        <w:spacing w:line="240" w:lineRule="auto"/>
        <w:jc w:val="both"/>
        <w:rPr>
          <w:rFonts w:ascii="Times New Roman" w:hAnsi="Times New Roman"/>
          <w:b/>
          <w:sz w:val="24"/>
          <w:szCs w:val="24"/>
          <w:lang w:eastAsia="sk-SK"/>
        </w:rPr>
      </w:pPr>
      <w:r w:rsidRPr="002C2F6F">
        <w:rPr>
          <w:rFonts w:ascii="Times New Roman" w:hAnsi="Times New Roman"/>
          <w:b/>
          <w:sz w:val="24"/>
          <w:szCs w:val="24"/>
          <w:lang w:eastAsia="sk-SK"/>
        </w:rPr>
        <w:lastRenderedPageBreak/>
        <w:t>K bodu 3</w:t>
      </w:r>
    </w:p>
    <w:p w14:paraId="343FEB5A" w14:textId="77777777" w:rsidR="002C2F6F" w:rsidRPr="002C2F6F" w:rsidRDefault="002C2F6F" w:rsidP="002C2F6F">
      <w:pPr>
        <w:spacing w:line="240" w:lineRule="auto"/>
        <w:jc w:val="both"/>
        <w:rPr>
          <w:rFonts w:ascii="Times New Roman" w:hAnsi="Times New Roman"/>
          <w:sz w:val="24"/>
          <w:szCs w:val="24"/>
          <w:lang w:eastAsia="sk-SK"/>
        </w:rPr>
      </w:pPr>
      <w:r w:rsidRPr="002C2F6F">
        <w:rPr>
          <w:rFonts w:ascii="Times New Roman" w:hAnsi="Times New Roman"/>
          <w:sz w:val="24"/>
          <w:szCs w:val="24"/>
          <w:lang w:eastAsia="sk-SK"/>
        </w:rPr>
        <w:t>Legislatívno-technická úprava v súvislosti s aktualizáciou poznámok pod čiarou odkazujúcich na zrušený právny predpis.</w:t>
      </w:r>
    </w:p>
    <w:p w14:paraId="1334A62D" w14:textId="77777777" w:rsidR="002C2F6F" w:rsidRPr="002C2F6F" w:rsidRDefault="002C2F6F" w:rsidP="002C2F6F">
      <w:pPr>
        <w:spacing w:line="240" w:lineRule="auto"/>
        <w:jc w:val="both"/>
        <w:rPr>
          <w:rFonts w:ascii="Times New Roman" w:hAnsi="Times New Roman"/>
          <w:b/>
          <w:sz w:val="24"/>
          <w:szCs w:val="24"/>
          <w:lang w:eastAsia="sk-SK"/>
        </w:rPr>
      </w:pPr>
      <w:r w:rsidRPr="002C2F6F">
        <w:rPr>
          <w:rFonts w:ascii="Times New Roman" w:hAnsi="Times New Roman"/>
          <w:b/>
          <w:sz w:val="24"/>
          <w:szCs w:val="24"/>
          <w:lang w:eastAsia="sk-SK"/>
        </w:rPr>
        <w:t>K bodu 4</w:t>
      </w:r>
    </w:p>
    <w:p w14:paraId="65D7D4F4" w14:textId="77777777" w:rsidR="002C2F6F" w:rsidRPr="002C2F6F" w:rsidRDefault="002C2F6F" w:rsidP="002C2F6F">
      <w:pPr>
        <w:spacing w:line="240" w:lineRule="auto"/>
        <w:jc w:val="both"/>
        <w:rPr>
          <w:rFonts w:ascii="Times New Roman" w:hAnsi="Times New Roman"/>
          <w:sz w:val="24"/>
          <w:szCs w:val="24"/>
          <w:lang w:eastAsia="sk-SK"/>
        </w:rPr>
      </w:pPr>
      <w:r w:rsidRPr="002C2F6F">
        <w:rPr>
          <w:rFonts w:ascii="Times New Roman" w:hAnsi="Times New Roman"/>
          <w:sz w:val="24"/>
          <w:szCs w:val="24"/>
          <w:lang w:eastAsia="sk-SK"/>
        </w:rPr>
        <w:t>Predkladaná právna úprava ukladá povinnosť vybraným subjektom verejnej správy hodnotiť štúdiou uskutočniteľnosti plánované investície a koncesie, a štúdie následne zverejniť na svojom webovom sídle. Z právnej úpravy sú vyňaté samosprávne územné celky z dôvodu ich autonómneho rozpočtovania a rozhodovania. Vláda už v súčasnosti upravuje proces hodnotenia investícií a koncesií prostredníctvom viacerých postupov a metodických rámcov, pričom absentuje právna úprava využívaných pojmov. Predkladaný návrh definuje povinný subjekt a investíciu. Povinnosť vypracovať a zverejniť štúdiu uskutočniteľnosti sa v zmysle návrhu vzťahuje aj na koncesie, a to najmä z dôvodu, že koncesné vzťahy obvykle zahŕňajú aj povinnosti súvisiace s výstavbou, dostavbou, technickým zhodnotením, údržbou a opravami majetku. Právna úprava prispeje k naplneniu princípu hodnoty za peniaze zavedením povinnosti vykonať štúdiu uskutočniteľnosti investície a koncesie, čo zvýši pravdepodobnosť výberu alternatívy s čo najvyšším prínosom pre občanov. Štúdiou uskutočniteľnosti sa rozumie hodnotenie a analýza potenciálu projektu, jeho nákladov a prínosov s cieľom pomôcť pri rozhodovaní prostredníctvom objektívneho a racionálneho odhalenia silných a slabých stránok projektu, jeho možností a rizík, ako aj identifikovať zdroje potrebné na jeho realizáciu a jeho vyhliadky na úspech. Povinný subjekt vypracuje a zverejní štúdiu najneskôr do okamihu začatia prác na získaní stavebného povolenia. V prípade, ak nejde o stavebné práce, najneskôr pred vznikom takého záväzku, od ktorého je realizácia projektu nezvratná, čo znamená najneskôr do oznámenia o vyhlásení verejného obstarávania, oznámenia o koncesii alebo oznámenia o vyhlásení súťaže návrhov. Ministerstvu financií predkladanou právnou úpravou vznikne povinnosť hodnotiť a zverejniť hodnotenie k štúdii uskutočniteľnosti podľa princípov hodnoty za peniaze z pohľadu splnenia formálnych a odb</w:t>
      </w:r>
      <w:r w:rsidR="00517778">
        <w:rPr>
          <w:rFonts w:ascii="Times New Roman" w:hAnsi="Times New Roman"/>
          <w:sz w:val="24"/>
          <w:szCs w:val="24"/>
          <w:lang w:eastAsia="sk-SK"/>
        </w:rPr>
        <w:t>orných požiadaviek kladených na </w:t>
      </w:r>
      <w:r w:rsidRPr="002C2F6F">
        <w:rPr>
          <w:rFonts w:ascii="Times New Roman" w:hAnsi="Times New Roman"/>
          <w:sz w:val="24"/>
          <w:szCs w:val="24"/>
          <w:lang w:eastAsia="sk-SK"/>
        </w:rPr>
        <w:t xml:space="preserve">takýto druh štúdie, vrátane overenia vecnej správnosti. Ministerstvo financií bude pri svojom hodnotení vychádzať z ustanoveného Rámca na hodnotenie verejných investičných projektov a investičného pokynu. Predkladaná právna úprava tak ustanovuje povinné subjekty, ktorým ukladá povinnosť pri investíciách a koncesiách brať ohľad na najlepšiu možnosť a formalizuje súčasnú aplikačnú prax. Právna úprava berie do úvahy utajované skutočnosti, ktoré môžu byť obsahom štúdie uskutočniteľnosti. V takom prípade sa štúdia nezverejňuje a zasiela sa ministerstvu financií. </w:t>
      </w:r>
    </w:p>
    <w:p w14:paraId="24116EDB" w14:textId="77777777" w:rsidR="002C2F6F" w:rsidRPr="002C2F6F" w:rsidRDefault="002C2F6F" w:rsidP="002C2F6F">
      <w:pPr>
        <w:spacing w:line="240" w:lineRule="auto"/>
        <w:jc w:val="both"/>
        <w:rPr>
          <w:rFonts w:ascii="Times New Roman" w:hAnsi="Times New Roman"/>
          <w:b/>
          <w:sz w:val="24"/>
          <w:szCs w:val="24"/>
          <w:lang w:eastAsia="sk-SK"/>
        </w:rPr>
      </w:pPr>
      <w:r w:rsidRPr="002C2F6F">
        <w:rPr>
          <w:rFonts w:ascii="Times New Roman" w:hAnsi="Times New Roman"/>
          <w:b/>
          <w:sz w:val="24"/>
          <w:szCs w:val="24"/>
          <w:lang w:eastAsia="sk-SK"/>
        </w:rPr>
        <w:t>K bodom 5 a 6</w:t>
      </w:r>
    </w:p>
    <w:p w14:paraId="4BD695B5" w14:textId="77777777" w:rsidR="002C2F6F" w:rsidRPr="002C2F6F" w:rsidRDefault="002C2F6F" w:rsidP="002C2F6F">
      <w:pPr>
        <w:spacing w:line="240" w:lineRule="auto"/>
        <w:jc w:val="both"/>
        <w:rPr>
          <w:rFonts w:ascii="Times New Roman" w:hAnsi="Times New Roman"/>
          <w:sz w:val="24"/>
          <w:szCs w:val="24"/>
          <w:lang w:eastAsia="sk-SK"/>
        </w:rPr>
      </w:pPr>
      <w:r w:rsidRPr="002C2F6F">
        <w:rPr>
          <w:rFonts w:ascii="Times New Roman" w:hAnsi="Times New Roman"/>
          <w:sz w:val="24"/>
          <w:szCs w:val="24"/>
          <w:lang w:eastAsia="sk-SK"/>
        </w:rPr>
        <w:t>Nariadením Európskeho parlamentu a Rady (EÚ) č. 549/2013 o európskom systéme národných a regionálnych účtov v Európskej únii došlo k zmene metodiky vo vzťahu ku kritériám rozhodujúcich na zaradenie právnických osôb do sektora verejnej správy, pričom došlo k posilneniu kvalitatívnych kritérií. Navrhovanou úpravou sa reflektuje na túto zmenu a upravuje sa definícia príspevkovej organizácie. V nadväznosti na úpravu definície príspevkovej organizácie sa vypúšťa povinnosť zriaďovateľa zrušiť príspevkovú organizáciu, ktorá nespĺňa kritérium 50%.</w:t>
      </w:r>
    </w:p>
    <w:p w14:paraId="023A2BE8" w14:textId="77777777" w:rsidR="002C2F6F" w:rsidRPr="002C2F6F" w:rsidRDefault="002C2F6F" w:rsidP="002C2F6F">
      <w:pPr>
        <w:jc w:val="both"/>
        <w:rPr>
          <w:rFonts w:ascii="Times New Roman" w:hAnsi="Times New Roman"/>
          <w:b/>
          <w:sz w:val="24"/>
          <w:szCs w:val="24"/>
        </w:rPr>
      </w:pPr>
      <w:r w:rsidRPr="002C2F6F">
        <w:rPr>
          <w:rFonts w:ascii="Times New Roman" w:hAnsi="Times New Roman"/>
          <w:b/>
          <w:sz w:val="24"/>
          <w:szCs w:val="24"/>
        </w:rPr>
        <w:t>K bodu 7</w:t>
      </w:r>
    </w:p>
    <w:p w14:paraId="0CB30D05" w14:textId="77777777" w:rsidR="002C2F6F" w:rsidRPr="002C2F6F" w:rsidRDefault="002C2F6F" w:rsidP="002C2F6F">
      <w:pPr>
        <w:jc w:val="both"/>
        <w:rPr>
          <w:rFonts w:ascii="Times New Roman" w:hAnsi="Times New Roman"/>
          <w:sz w:val="24"/>
          <w:szCs w:val="24"/>
        </w:rPr>
      </w:pPr>
      <w:r w:rsidRPr="002C2F6F">
        <w:rPr>
          <w:rFonts w:ascii="Times New Roman" w:hAnsi="Times New Roman"/>
          <w:sz w:val="24"/>
          <w:szCs w:val="24"/>
        </w:rPr>
        <w:t xml:space="preserve">Vzhľadom na to, že v čl. I sa navrhuje komplexne upraviť pôsobnosť Úradu vládneho auditu v zákone č. 357/2015 Z. z. </w:t>
      </w:r>
      <w:r w:rsidRPr="002C2F6F">
        <w:rPr>
          <w:rFonts w:ascii="Times New Roman" w:hAnsi="Times New Roman"/>
          <w:bCs/>
          <w:sz w:val="24"/>
          <w:szCs w:val="24"/>
        </w:rPr>
        <w:t xml:space="preserve">finančnej kontrole a audite a o zmene a doplnení niektorých zákonov, sa z dôvodu </w:t>
      </w:r>
      <w:r w:rsidRPr="002C2F6F">
        <w:rPr>
          <w:rFonts w:ascii="Times New Roman" w:hAnsi="Times New Roman"/>
          <w:sz w:val="24"/>
          <w:szCs w:val="24"/>
        </w:rPr>
        <w:t xml:space="preserve">odstránenia duplicity zo zákona č. 523/2004 Z. z. vypúšťa pôsobnosť </w:t>
      </w:r>
      <w:r w:rsidRPr="002C2F6F">
        <w:rPr>
          <w:rFonts w:ascii="Times New Roman" w:hAnsi="Times New Roman"/>
          <w:sz w:val="24"/>
          <w:szCs w:val="24"/>
        </w:rPr>
        <w:lastRenderedPageBreak/>
        <w:t>Úradu vládneho auditu ukladať a vymáhať sankcie za porušenie finančnej disciplíny, ktorá je v súčasnosti čiastočne upravená v § 31 ods. 9 zákona č. 523/2004 Z. z.</w:t>
      </w:r>
    </w:p>
    <w:p w14:paraId="4C0732F6" w14:textId="77777777" w:rsidR="002C2F6F" w:rsidRPr="002C2F6F" w:rsidRDefault="002C2F6F" w:rsidP="002C2F6F">
      <w:pPr>
        <w:spacing w:line="240" w:lineRule="auto"/>
        <w:jc w:val="both"/>
        <w:rPr>
          <w:rFonts w:ascii="Times New Roman" w:hAnsi="Times New Roman"/>
          <w:b/>
          <w:sz w:val="24"/>
          <w:szCs w:val="24"/>
          <w:lang w:eastAsia="sk-SK"/>
        </w:rPr>
      </w:pPr>
      <w:r w:rsidRPr="002C2F6F">
        <w:rPr>
          <w:rFonts w:ascii="Times New Roman" w:hAnsi="Times New Roman"/>
          <w:b/>
          <w:sz w:val="24"/>
          <w:szCs w:val="24"/>
          <w:lang w:eastAsia="sk-SK"/>
        </w:rPr>
        <w:t>K bodu 8</w:t>
      </w:r>
    </w:p>
    <w:p w14:paraId="4B3AF667" w14:textId="77777777" w:rsidR="002C2F6F" w:rsidRPr="002C2F6F" w:rsidRDefault="002C2F6F" w:rsidP="002C2F6F">
      <w:pPr>
        <w:spacing w:line="240" w:lineRule="auto"/>
        <w:jc w:val="both"/>
        <w:rPr>
          <w:rFonts w:ascii="Times New Roman" w:hAnsi="Times New Roman"/>
          <w:sz w:val="24"/>
          <w:szCs w:val="24"/>
          <w:lang w:eastAsia="sk-SK"/>
        </w:rPr>
      </w:pPr>
      <w:r w:rsidRPr="002C2F6F">
        <w:rPr>
          <w:rFonts w:ascii="Times New Roman" w:hAnsi="Times New Roman"/>
          <w:sz w:val="24"/>
          <w:szCs w:val="24"/>
          <w:lang w:eastAsia="sk-SK"/>
        </w:rPr>
        <w:t>Hodnotenia plnenia opatrení navrhnutých v revízii výdavkov nadväzujú na revízie výdavkov, a preto môžu byť predložené s návrhom rozpočtu verejnej správy až v roku nasledujúcom po roku, v ktorom boli súčasťou rozpočtu verejnej správy aj revízie výdavkov.</w:t>
      </w:r>
    </w:p>
    <w:p w14:paraId="23CE407A" w14:textId="77777777" w:rsidR="003B0DEE" w:rsidRDefault="003B0DEE" w:rsidP="00D06A17">
      <w:pPr>
        <w:jc w:val="both"/>
        <w:rPr>
          <w:rFonts w:ascii="Times New Roman" w:hAnsi="Times New Roman"/>
          <w:b/>
          <w:sz w:val="24"/>
          <w:szCs w:val="24"/>
        </w:rPr>
      </w:pPr>
    </w:p>
    <w:p w14:paraId="300B9F51" w14:textId="77777777" w:rsidR="0091527C" w:rsidRPr="0091527C" w:rsidRDefault="0091527C" w:rsidP="00D06A17">
      <w:pPr>
        <w:jc w:val="both"/>
        <w:rPr>
          <w:rFonts w:ascii="Times New Roman" w:hAnsi="Times New Roman"/>
          <w:b/>
          <w:sz w:val="24"/>
          <w:szCs w:val="24"/>
        </w:rPr>
      </w:pPr>
      <w:r w:rsidRPr="0091527C">
        <w:rPr>
          <w:rFonts w:ascii="Times New Roman" w:hAnsi="Times New Roman"/>
          <w:b/>
          <w:sz w:val="24"/>
          <w:szCs w:val="24"/>
        </w:rPr>
        <w:t>K čl. III</w:t>
      </w:r>
    </w:p>
    <w:p w14:paraId="48EBAE5B"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Novelizuje sa zákon Národnej rady Slovenskej republiky č. 278/1993 Z. z. o správe majetku štátu v znení neskorších predpisov. Potreba zmien súvisí s kompetenciou ministerstva financií a Úradu vládneho auditu vykonávať vládny auditu správy majetku v jednotlivých povinných osobách. Podľa zákona č. 357/2015 Z. z. môže Úrad vládneho auditu vykonávať vládny audit aj v správcoch kapitol štátneho rozpočtu, čo ale podľa osobitných predpisov pri vládnom audite správy majetku štátu (zákon č. 278/1993 Z. z.) nie je možné, nakoľko tieto sú prispôsobené ešte zneniu predchádzajúceho zákona č. 502/2001 Z. z. o finančnej kontrole a vnútornom audite a o zmene a doplnení niektorých zákonov v znení neskorších predpisov, a</w:t>
      </w:r>
      <w:r w:rsidR="006008EE">
        <w:rPr>
          <w:rFonts w:ascii="Times New Roman" w:hAnsi="Times New Roman"/>
          <w:sz w:val="24"/>
          <w:szCs w:val="24"/>
        </w:rPr>
        <w:t> </w:t>
      </w:r>
      <w:r w:rsidRPr="0091527C">
        <w:rPr>
          <w:rFonts w:ascii="Times New Roman" w:hAnsi="Times New Roman"/>
          <w:sz w:val="24"/>
          <w:szCs w:val="24"/>
        </w:rPr>
        <w:t>teda Úrad vládneho auditu nie je oprávnený vykonávať vládny audit správy majetku štátu v</w:t>
      </w:r>
      <w:r w:rsidR="006008EE">
        <w:rPr>
          <w:rFonts w:ascii="Times New Roman" w:hAnsi="Times New Roman"/>
          <w:sz w:val="24"/>
          <w:szCs w:val="24"/>
        </w:rPr>
        <w:t> </w:t>
      </w:r>
      <w:r w:rsidRPr="0091527C">
        <w:rPr>
          <w:rFonts w:ascii="Times New Roman" w:hAnsi="Times New Roman"/>
          <w:sz w:val="24"/>
          <w:szCs w:val="24"/>
        </w:rPr>
        <w:t>správcoch kapitoly štátneho rozpočtu a ministerstvo financií v ostatných správcoch.</w:t>
      </w:r>
    </w:p>
    <w:p w14:paraId="3A8C4563" w14:textId="77777777" w:rsidR="003B0DEE" w:rsidRDefault="003B0DEE" w:rsidP="0091527C">
      <w:pPr>
        <w:jc w:val="both"/>
        <w:rPr>
          <w:rFonts w:ascii="Times New Roman" w:hAnsi="Times New Roman"/>
          <w:b/>
          <w:sz w:val="24"/>
          <w:szCs w:val="24"/>
        </w:rPr>
      </w:pPr>
    </w:p>
    <w:p w14:paraId="148CC149" w14:textId="77777777" w:rsidR="0091527C" w:rsidRPr="0091527C" w:rsidRDefault="0091527C" w:rsidP="0091527C">
      <w:pPr>
        <w:jc w:val="both"/>
        <w:rPr>
          <w:rFonts w:ascii="Times New Roman" w:hAnsi="Times New Roman"/>
          <w:b/>
          <w:sz w:val="24"/>
          <w:szCs w:val="24"/>
        </w:rPr>
      </w:pPr>
      <w:r w:rsidRPr="0091527C">
        <w:rPr>
          <w:rFonts w:ascii="Times New Roman" w:hAnsi="Times New Roman"/>
          <w:b/>
          <w:sz w:val="24"/>
          <w:szCs w:val="24"/>
        </w:rPr>
        <w:t>K čl. IV</w:t>
      </w:r>
    </w:p>
    <w:p w14:paraId="76DFDA65" w14:textId="77777777" w:rsidR="0091527C" w:rsidRPr="0091527C" w:rsidRDefault="0091527C" w:rsidP="0091527C">
      <w:pPr>
        <w:jc w:val="both"/>
        <w:rPr>
          <w:rFonts w:ascii="Times New Roman" w:hAnsi="Times New Roman"/>
          <w:sz w:val="24"/>
          <w:szCs w:val="24"/>
        </w:rPr>
      </w:pPr>
      <w:r w:rsidRPr="0091527C">
        <w:rPr>
          <w:rFonts w:ascii="Times New Roman" w:hAnsi="Times New Roman"/>
          <w:sz w:val="24"/>
          <w:szCs w:val="24"/>
        </w:rPr>
        <w:t>Novelizuje sa zákon č. 374/2014 Z. z. o pohľadávkach štátu a o zmene a doplnení niektorých zákonov v znení neskorších predpisov. Uvedená zmena súvisí s kompetenciami ministerstva financií a Úradu vládneho auditu podľa zákona č. 357/2015 Z. z.</w:t>
      </w:r>
    </w:p>
    <w:p w14:paraId="324EC23B" w14:textId="77777777" w:rsidR="003B0DEE" w:rsidRDefault="003B0DEE" w:rsidP="002C2F6F">
      <w:pPr>
        <w:jc w:val="both"/>
        <w:rPr>
          <w:rFonts w:ascii="Times New Roman" w:hAnsi="Times New Roman"/>
          <w:b/>
          <w:sz w:val="24"/>
          <w:szCs w:val="24"/>
        </w:rPr>
      </w:pPr>
    </w:p>
    <w:p w14:paraId="04CA3C79" w14:textId="77777777" w:rsidR="002C2F6F" w:rsidRPr="002C2F6F" w:rsidRDefault="002C2F6F" w:rsidP="002C2F6F">
      <w:pPr>
        <w:jc w:val="both"/>
        <w:rPr>
          <w:rFonts w:ascii="Times New Roman" w:hAnsi="Times New Roman"/>
          <w:b/>
          <w:sz w:val="24"/>
          <w:szCs w:val="24"/>
        </w:rPr>
      </w:pPr>
      <w:r w:rsidRPr="002C2F6F">
        <w:rPr>
          <w:rFonts w:ascii="Times New Roman" w:hAnsi="Times New Roman"/>
          <w:b/>
          <w:sz w:val="24"/>
          <w:szCs w:val="24"/>
        </w:rPr>
        <w:t>K čl. V</w:t>
      </w:r>
    </w:p>
    <w:p w14:paraId="7EF582A2" w14:textId="77777777" w:rsidR="008E779B" w:rsidRDefault="002C2F6F" w:rsidP="002C2F6F">
      <w:pPr>
        <w:autoSpaceDE w:val="0"/>
        <w:autoSpaceDN w:val="0"/>
        <w:adjustRightInd w:val="0"/>
        <w:spacing w:after="0" w:line="240" w:lineRule="auto"/>
        <w:jc w:val="both"/>
        <w:rPr>
          <w:rFonts w:ascii="Times New Roman" w:hAnsi="Times New Roman"/>
          <w:color w:val="000000"/>
          <w:sz w:val="24"/>
          <w:szCs w:val="24"/>
          <w:lang w:eastAsia="sk-SK"/>
        </w:rPr>
      </w:pPr>
      <w:r w:rsidRPr="002C2F6F">
        <w:rPr>
          <w:rFonts w:ascii="Times New Roman" w:hAnsi="Times New Roman"/>
          <w:color w:val="000000"/>
          <w:sz w:val="24"/>
          <w:szCs w:val="24"/>
        </w:rPr>
        <w:t xml:space="preserve">Navrhuje sa účinnosť od 1. januára 2019, okrem čl. II </w:t>
      </w:r>
      <w:r w:rsidR="002413EE">
        <w:rPr>
          <w:rFonts w:ascii="Times New Roman" w:hAnsi="Times New Roman"/>
          <w:color w:val="000000"/>
          <w:sz w:val="24"/>
          <w:szCs w:val="24"/>
        </w:rPr>
        <w:t> prvého</w:t>
      </w:r>
      <w:r w:rsidRPr="002C2F6F">
        <w:rPr>
          <w:rFonts w:ascii="Times New Roman" w:hAnsi="Times New Roman"/>
          <w:color w:val="000000"/>
          <w:sz w:val="24"/>
          <w:szCs w:val="24"/>
        </w:rPr>
        <w:t xml:space="preserve">, </w:t>
      </w:r>
      <w:r w:rsidR="002413EE">
        <w:rPr>
          <w:rFonts w:ascii="Times New Roman" w:hAnsi="Times New Roman"/>
          <w:color w:val="000000"/>
          <w:sz w:val="24"/>
          <w:szCs w:val="24"/>
        </w:rPr>
        <w:t xml:space="preserve">druhého, štvrtého a ôsmeho bodu, </w:t>
      </w:r>
      <w:r w:rsidRPr="002C2F6F">
        <w:rPr>
          <w:rFonts w:ascii="Times New Roman" w:hAnsi="Times New Roman"/>
          <w:color w:val="000000"/>
          <w:sz w:val="24"/>
          <w:szCs w:val="24"/>
        </w:rPr>
        <w:t xml:space="preserve">ktoré nadobúdajú účinnosť 1. januára 2020. </w:t>
      </w:r>
      <w:r w:rsidRPr="002C2F6F">
        <w:rPr>
          <w:rFonts w:ascii="Times New Roman" w:hAnsi="Times New Roman"/>
          <w:color w:val="000000"/>
          <w:sz w:val="24"/>
          <w:szCs w:val="24"/>
          <w:lang w:eastAsia="sk-SK"/>
        </w:rPr>
        <w:t>Prvé revízie výdavkov podľa čl. II bod 2 sa predložia s návrhom rozpočtu po 1. januári 2020. Revízie výdavkov budú predkladané až vládou, ktorá získa mandát v nasledujúcich parlamentných voľbách. Vláda určuje oblasti, ktoré chce v rámci revízie výdavkov zhodnotiť. Prioritné oblasti vlády by mali byť hodnotené a na základe vykonaných revízii výdavkov vláda prijíma opatrenia. Aplikácia zákona v oblasti revízie výdavkov začne až po najbližších parlamentných voľbách, aby mohla vláda, ktorá získa dôveru, určiť svoje priority a v rámci nich vykonať revíziu výdavkov. V prípade, ak vláda svojim rozhodnutím určí povinnosť ministerstvu financií predložiť revíziu výdavkov pred účinnosťou zákona, nebude sa na túto povinnosť vzťahovať ustanovenie o rozsahu revízie podľa § 14 ods. 3. Dôvodom posunutia účinnosti na obdobie po ďalšom programovom vyhlásení vlády je rozsah hodnotených výdavkov, ktorý je v hodnote polovice hodnoty verejných výdavkov verejnej správy. Hodnotenie uvedeného objemu výdavkov nie je možné vykonať v priebehu krátkeho obdobia</w:t>
      </w:r>
      <w:r w:rsidR="006B1230">
        <w:rPr>
          <w:rFonts w:ascii="Times New Roman" w:hAnsi="Times New Roman"/>
          <w:color w:val="000000"/>
          <w:sz w:val="24"/>
          <w:szCs w:val="24"/>
          <w:lang w:eastAsia="sk-SK"/>
        </w:rPr>
        <w:t>,</w:t>
      </w:r>
      <w:r w:rsidRPr="002C2F6F">
        <w:rPr>
          <w:rFonts w:ascii="Times New Roman" w:hAnsi="Times New Roman"/>
          <w:color w:val="000000"/>
          <w:sz w:val="24"/>
          <w:szCs w:val="24"/>
          <w:lang w:eastAsia="sk-SK"/>
        </w:rPr>
        <w:t xml:space="preserve"> a preto je nevyhnutné, aby sa rozsah aplikoval na štvorročné obdobie. Mandát na revíziu výdavkov v rozsahu ustanovenom zákonom bude aplikovať až vláda, ktorá získa dôveru v Národnej rade Slovenskej republike po nasledujúcich </w:t>
      </w:r>
    </w:p>
    <w:p w14:paraId="5D7E9119" w14:textId="2BA18F24" w:rsidR="002C2F6F" w:rsidRDefault="002C2F6F" w:rsidP="002C2F6F">
      <w:pPr>
        <w:autoSpaceDE w:val="0"/>
        <w:autoSpaceDN w:val="0"/>
        <w:adjustRightInd w:val="0"/>
        <w:spacing w:after="0" w:line="240" w:lineRule="auto"/>
        <w:jc w:val="both"/>
        <w:rPr>
          <w:rFonts w:ascii="Times New Roman" w:hAnsi="Times New Roman"/>
          <w:color w:val="000000"/>
          <w:sz w:val="24"/>
          <w:szCs w:val="24"/>
          <w:lang w:eastAsia="sk-SK"/>
        </w:rPr>
      </w:pPr>
      <w:r w:rsidRPr="002C2F6F">
        <w:rPr>
          <w:rFonts w:ascii="Times New Roman" w:hAnsi="Times New Roman"/>
          <w:color w:val="000000"/>
          <w:sz w:val="24"/>
          <w:szCs w:val="24"/>
          <w:lang w:eastAsia="sk-SK"/>
        </w:rPr>
        <w:lastRenderedPageBreak/>
        <w:t>parlamentných voľbách. Účinnosť zákona je pri investíciách a koncesiách rovnako až 1. januára 2020 z dôvodu prípravy subjektov verejnej správy na nové povinnosti určené zákonom. Legisvakačnú lehotu môžu subjekty verejnej správy využiť na prípravu smerníc a metodických postupov, aby vypracovali a zverejnili štúdiu uskutočniteľnosti podľa platnej legislatívy.</w:t>
      </w:r>
    </w:p>
    <w:p w14:paraId="5B914D30" w14:textId="77777777" w:rsidR="002C2F6F" w:rsidRPr="002C2F6F" w:rsidRDefault="002C2F6F" w:rsidP="002C2F6F">
      <w:pPr>
        <w:autoSpaceDE w:val="0"/>
        <w:autoSpaceDN w:val="0"/>
        <w:adjustRightInd w:val="0"/>
        <w:spacing w:after="0" w:line="240" w:lineRule="auto"/>
        <w:jc w:val="both"/>
        <w:rPr>
          <w:rFonts w:ascii="Times New Roman" w:hAnsi="Times New Roman"/>
          <w:color w:val="000000"/>
          <w:sz w:val="24"/>
          <w:szCs w:val="24"/>
        </w:rPr>
      </w:pPr>
    </w:p>
    <w:p w14:paraId="36C18E87" w14:textId="1831C35D" w:rsidR="007D1D92" w:rsidRDefault="007D1D92" w:rsidP="007D1D92">
      <w:pPr>
        <w:keepLines/>
        <w:rPr>
          <w:rFonts w:ascii="Times New Roman" w:hAnsi="Times New Roman"/>
          <w:bCs/>
          <w:sz w:val="24"/>
          <w:szCs w:val="24"/>
        </w:rPr>
      </w:pPr>
      <w:r>
        <w:rPr>
          <w:rFonts w:ascii="Times New Roman" w:hAnsi="Times New Roman"/>
          <w:bCs/>
          <w:sz w:val="24"/>
          <w:szCs w:val="24"/>
        </w:rPr>
        <w:t>Bratislav</w:t>
      </w:r>
      <w:r w:rsidR="009F2F0F">
        <w:rPr>
          <w:rFonts w:ascii="Times New Roman" w:hAnsi="Times New Roman"/>
          <w:bCs/>
          <w:sz w:val="24"/>
          <w:szCs w:val="24"/>
        </w:rPr>
        <w:t>a</w:t>
      </w:r>
      <w:r>
        <w:rPr>
          <w:rFonts w:ascii="Times New Roman" w:hAnsi="Times New Roman"/>
          <w:bCs/>
          <w:sz w:val="24"/>
          <w:szCs w:val="24"/>
        </w:rPr>
        <w:t xml:space="preserve"> 26. septembra 2018</w:t>
      </w:r>
    </w:p>
    <w:p w14:paraId="3A85A689" w14:textId="77777777" w:rsidR="007D1D92" w:rsidRDefault="007D1D92" w:rsidP="007D1D92">
      <w:pPr>
        <w:keepLines/>
        <w:jc w:val="center"/>
        <w:rPr>
          <w:rFonts w:ascii="Times New Roman" w:hAnsi="Times New Roman"/>
          <w:bCs/>
          <w:sz w:val="24"/>
          <w:szCs w:val="24"/>
        </w:rPr>
      </w:pPr>
    </w:p>
    <w:p w14:paraId="3452B946" w14:textId="77777777" w:rsidR="007D1D92" w:rsidRDefault="007D1D92" w:rsidP="007D1D92">
      <w:pPr>
        <w:keepLines/>
        <w:jc w:val="center"/>
        <w:rPr>
          <w:rFonts w:ascii="Times New Roman" w:hAnsi="Times New Roman"/>
          <w:bCs/>
          <w:sz w:val="24"/>
          <w:szCs w:val="24"/>
        </w:rPr>
      </w:pPr>
    </w:p>
    <w:p w14:paraId="127E0E0E" w14:textId="77777777" w:rsidR="003B0DEE" w:rsidRDefault="003B0DEE" w:rsidP="007D1D92">
      <w:pPr>
        <w:keepLines/>
        <w:jc w:val="center"/>
        <w:rPr>
          <w:rFonts w:ascii="Times New Roman" w:hAnsi="Times New Roman"/>
          <w:bCs/>
          <w:sz w:val="24"/>
          <w:szCs w:val="24"/>
        </w:rPr>
      </w:pPr>
    </w:p>
    <w:p w14:paraId="649A94A9" w14:textId="77777777" w:rsidR="007D1D92" w:rsidRDefault="007D1D92" w:rsidP="007D1D92">
      <w:pPr>
        <w:keepLines/>
        <w:jc w:val="center"/>
        <w:rPr>
          <w:rFonts w:ascii="Times New Roman" w:hAnsi="Times New Roman"/>
          <w:bCs/>
          <w:sz w:val="24"/>
          <w:szCs w:val="24"/>
        </w:rPr>
      </w:pPr>
    </w:p>
    <w:p w14:paraId="1945F642" w14:textId="6E2D2D4E" w:rsidR="007D1D92" w:rsidRDefault="007D1D92" w:rsidP="007D1D92">
      <w:pPr>
        <w:keepLines/>
        <w:jc w:val="center"/>
        <w:rPr>
          <w:rFonts w:ascii="Times New Roman" w:hAnsi="Times New Roman"/>
          <w:sz w:val="24"/>
          <w:szCs w:val="24"/>
        </w:rPr>
      </w:pPr>
      <w:r>
        <w:rPr>
          <w:rFonts w:ascii="Times New Roman" w:hAnsi="Times New Roman"/>
          <w:bCs/>
          <w:sz w:val="24"/>
          <w:szCs w:val="24"/>
        </w:rPr>
        <w:t xml:space="preserve">Peter Pellegrini </w:t>
      </w:r>
      <w:r w:rsidR="003B1792">
        <w:rPr>
          <w:rFonts w:ascii="Times New Roman" w:hAnsi="Times New Roman"/>
          <w:bCs/>
          <w:sz w:val="24"/>
          <w:szCs w:val="24"/>
        </w:rPr>
        <w:t>v. r.</w:t>
      </w:r>
    </w:p>
    <w:p w14:paraId="2C04F3CE" w14:textId="77777777" w:rsidR="007D1D92" w:rsidRDefault="007D1D92" w:rsidP="007D1D92">
      <w:pPr>
        <w:keepLines/>
        <w:jc w:val="center"/>
        <w:rPr>
          <w:rFonts w:ascii="Times New Roman" w:hAnsi="Times New Roman"/>
          <w:sz w:val="24"/>
          <w:szCs w:val="24"/>
        </w:rPr>
      </w:pPr>
      <w:r>
        <w:rPr>
          <w:rFonts w:ascii="Times New Roman" w:hAnsi="Times New Roman"/>
          <w:sz w:val="24"/>
          <w:szCs w:val="24"/>
        </w:rPr>
        <w:t>predseda vlády</w:t>
      </w:r>
    </w:p>
    <w:p w14:paraId="5509F7A8" w14:textId="77777777" w:rsidR="007D1D92" w:rsidRDefault="007D1D92" w:rsidP="007D1D92">
      <w:pPr>
        <w:keepLines/>
        <w:jc w:val="center"/>
        <w:rPr>
          <w:rFonts w:ascii="Times New Roman" w:hAnsi="Times New Roman"/>
          <w:sz w:val="24"/>
          <w:szCs w:val="24"/>
        </w:rPr>
      </w:pPr>
      <w:r>
        <w:rPr>
          <w:rFonts w:ascii="Times New Roman" w:hAnsi="Times New Roman"/>
          <w:sz w:val="24"/>
          <w:szCs w:val="24"/>
        </w:rPr>
        <w:t>Slovenskej republiky</w:t>
      </w:r>
    </w:p>
    <w:p w14:paraId="7A6ECF5B" w14:textId="77777777" w:rsidR="007D1D92" w:rsidRDefault="007D1D92" w:rsidP="007D1D92">
      <w:pPr>
        <w:keepLines/>
        <w:rPr>
          <w:rFonts w:ascii="Times New Roman" w:hAnsi="Times New Roman"/>
          <w:sz w:val="24"/>
          <w:szCs w:val="24"/>
        </w:rPr>
      </w:pPr>
    </w:p>
    <w:p w14:paraId="0815C269" w14:textId="77777777" w:rsidR="007D1D92" w:rsidRDefault="007D1D92" w:rsidP="007D1D92">
      <w:pPr>
        <w:keepLines/>
        <w:rPr>
          <w:rFonts w:ascii="Times New Roman" w:hAnsi="Times New Roman"/>
          <w:sz w:val="24"/>
          <w:szCs w:val="24"/>
        </w:rPr>
      </w:pPr>
    </w:p>
    <w:p w14:paraId="45CFDC6F" w14:textId="77777777" w:rsidR="007D1D92" w:rsidRDefault="007D1D92" w:rsidP="007D1D92">
      <w:pPr>
        <w:keepLines/>
        <w:rPr>
          <w:rFonts w:ascii="Times New Roman" w:hAnsi="Times New Roman"/>
          <w:sz w:val="24"/>
          <w:szCs w:val="24"/>
        </w:rPr>
      </w:pPr>
    </w:p>
    <w:p w14:paraId="52486132" w14:textId="77777777" w:rsidR="007D1D92" w:rsidRDefault="007D1D92" w:rsidP="007D1D92">
      <w:pPr>
        <w:keepLines/>
        <w:rPr>
          <w:rFonts w:ascii="Times New Roman" w:hAnsi="Times New Roman"/>
          <w:sz w:val="24"/>
          <w:szCs w:val="24"/>
        </w:rPr>
      </w:pPr>
    </w:p>
    <w:p w14:paraId="3DC590F5" w14:textId="77777777" w:rsidR="007D1D92" w:rsidRDefault="007D1D92" w:rsidP="007D1D92">
      <w:pPr>
        <w:keepLines/>
        <w:rPr>
          <w:rFonts w:ascii="Times New Roman" w:hAnsi="Times New Roman"/>
          <w:sz w:val="24"/>
          <w:szCs w:val="24"/>
        </w:rPr>
      </w:pPr>
    </w:p>
    <w:p w14:paraId="5F56E004" w14:textId="562FECD7" w:rsidR="007D1D92" w:rsidRDefault="007D1D92" w:rsidP="007D1D92">
      <w:pPr>
        <w:keepLines/>
        <w:jc w:val="center"/>
        <w:rPr>
          <w:rFonts w:ascii="Times New Roman" w:hAnsi="Times New Roman"/>
          <w:sz w:val="24"/>
          <w:szCs w:val="24"/>
        </w:rPr>
      </w:pPr>
      <w:r>
        <w:rPr>
          <w:rFonts w:ascii="Times New Roman" w:hAnsi="Times New Roman"/>
          <w:bCs/>
          <w:sz w:val="24"/>
          <w:szCs w:val="24"/>
        </w:rPr>
        <w:t xml:space="preserve">Peter Kažimír </w:t>
      </w:r>
      <w:r w:rsidR="003B1792">
        <w:rPr>
          <w:rFonts w:ascii="Times New Roman" w:hAnsi="Times New Roman"/>
          <w:bCs/>
          <w:sz w:val="24"/>
          <w:szCs w:val="24"/>
        </w:rPr>
        <w:t>v. r.</w:t>
      </w:r>
      <w:bookmarkStart w:id="0" w:name="_GoBack"/>
      <w:bookmarkEnd w:id="0"/>
    </w:p>
    <w:p w14:paraId="22DCF191" w14:textId="6B730115" w:rsidR="007D1D92" w:rsidRDefault="007D1D92" w:rsidP="007D1D92">
      <w:pPr>
        <w:keepLines/>
        <w:jc w:val="center"/>
        <w:rPr>
          <w:rFonts w:ascii="Times New Roman" w:hAnsi="Times New Roman"/>
          <w:sz w:val="24"/>
          <w:szCs w:val="24"/>
        </w:rPr>
      </w:pPr>
      <w:r>
        <w:rPr>
          <w:rFonts w:ascii="Times New Roman" w:hAnsi="Times New Roman"/>
          <w:sz w:val="24"/>
          <w:szCs w:val="24"/>
        </w:rPr>
        <w:t>podpredseda vlády a minister financií</w:t>
      </w:r>
    </w:p>
    <w:p w14:paraId="112C01AC" w14:textId="559CCC86" w:rsidR="007D1D92" w:rsidRDefault="007D1D92" w:rsidP="007D1D92">
      <w:pPr>
        <w:keepLines/>
        <w:jc w:val="center"/>
        <w:rPr>
          <w:rFonts w:ascii="Times New Roman" w:hAnsi="Times New Roman"/>
          <w:color w:val="000000"/>
          <w:sz w:val="24"/>
          <w:szCs w:val="24"/>
        </w:rPr>
      </w:pPr>
      <w:r>
        <w:rPr>
          <w:rFonts w:ascii="Times New Roman" w:hAnsi="Times New Roman"/>
          <w:sz w:val="24"/>
          <w:szCs w:val="24"/>
        </w:rPr>
        <w:t>Slovenskej republiky</w:t>
      </w:r>
    </w:p>
    <w:p w14:paraId="6048ED96" w14:textId="77777777" w:rsidR="007D1D92" w:rsidRDefault="007D1D92" w:rsidP="007D1D92">
      <w:pPr>
        <w:pStyle w:val="Normlnywebov"/>
        <w:spacing w:before="120" w:beforeAutospacing="0" w:after="120" w:afterAutospacing="0"/>
        <w:ind w:firstLine="720"/>
        <w:jc w:val="both"/>
        <w:rPr>
          <w:b/>
          <w:bCs/>
          <w:sz w:val="28"/>
          <w:szCs w:val="28"/>
        </w:rPr>
      </w:pPr>
    </w:p>
    <w:p w14:paraId="704B13DC" w14:textId="77777777" w:rsidR="00B71223" w:rsidRDefault="00B71223" w:rsidP="00D06A17">
      <w:pPr>
        <w:pStyle w:val="Odsekzoznamu"/>
        <w:spacing w:before="240" w:after="0"/>
        <w:ind w:left="0" w:firstLine="567"/>
        <w:contextualSpacing w:val="0"/>
        <w:jc w:val="both"/>
        <w:rPr>
          <w:rFonts w:ascii="Times New Roman" w:hAnsi="Times New Roman"/>
          <w:sz w:val="24"/>
          <w:szCs w:val="24"/>
        </w:rPr>
      </w:pPr>
    </w:p>
    <w:sectPr w:rsidR="00B71223" w:rsidSect="003810C8">
      <w:footerReference w:type="default" r:id="rId8"/>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937C" w14:textId="77777777" w:rsidR="00433735" w:rsidRDefault="00433735" w:rsidP="00D06A17">
      <w:pPr>
        <w:spacing w:after="0" w:line="240" w:lineRule="auto"/>
      </w:pPr>
      <w:r>
        <w:separator/>
      </w:r>
    </w:p>
  </w:endnote>
  <w:endnote w:type="continuationSeparator" w:id="0">
    <w:p w14:paraId="529E619C" w14:textId="77777777" w:rsidR="00433735" w:rsidRDefault="00433735" w:rsidP="00D0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407C" w14:textId="77777777" w:rsidR="00D06A17" w:rsidRPr="00D06A17" w:rsidRDefault="00D06A17">
    <w:pPr>
      <w:pStyle w:val="Pta"/>
      <w:jc w:val="center"/>
      <w:rPr>
        <w:rFonts w:ascii="Times New Roman" w:hAnsi="Times New Roman"/>
      </w:rPr>
    </w:pPr>
    <w:r w:rsidRPr="00D06A17">
      <w:rPr>
        <w:rFonts w:ascii="Times New Roman" w:hAnsi="Times New Roman"/>
      </w:rPr>
      <w:fldChar w:fldCharType="begin"/>
    </w:r>
    <w:r w:rsidRPr="00D06A17">
      <w:rPr>
        <w:rFonts w:ascii="Times New Roman" w:hAnsi="Times New Roman"/>
      </w:rPr>
      <w:instrText>PAGE   \* MERGEFORMAT</w:instrText>
    </w:r>
    <w:r w:rsidRPr="00D06A17">
      <w:rPr>
        <w:rFonts w:ascii="Times New Roman" w:hAnsi="Times New Roman"/>
      </w:rPr>
      <w:fldChar w:fldCharType="separate"/>
    </w:r>
    <w:r w:rsidR="003B1792">
      <w:rPr>
        <w:rFonts w:ascii="Times New Roman" w:hAnsi="Times New Roman"/>
        <w:noProof/>
      </w:rPr>
      <w:t>25</w:t>
    </w:r>
    <w:r w:rsidRPr="00D06A17">
      <w:rPr>
        <w:rFonts w:ascii="Times New Roman" w:hAnsi="Times New Roman"/>
      </w:rPr>
      <w:fldChar w:fldCharType="end"/>
    </w:r>
  </w:p>
  <w:p w14:paraId="64748706" w14:textId="77777777" w:rsidR="00D06A17" w:rsidRDefault="00D06A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2E33" w14:textId="77777777" w:rsidR="00433735" w:rsidRDefault="00433735" w:rsidP="00D06A17">
      <w:pPr>
        <w:spacing w:after="0" w:line="240" w:lineRule="auto"/>
      </w:pPr>
      <w:r>
        <w:separator/>
      </w:r>
    </w:p>
  </w:footnote>
  <w:footnote w:type="continuationSeparator" w:id="0">
    <w:p w14:paraId="71A0F20B" w14:textId="77777777" w:rsidR="00433735" w:rsidRDefault="00433735" w:rsidP="00D0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3FA1826"/>
    <w:multiLevelType w:val="multilevel"/>
    <w:tmpl w:val="45E8211C"/>
    <w:styleLink w:val="zkon"/>
    <w:lvl w:ilvl="0">
      <w:start w:val="1"/>
      <w:numFmt w:val="decimal"/>
      <w:lvlText w:val="(%1)"/>
      <w:lvlJc w:val="left"/>
      <w:pPr>
        <w:ind w:left="360" w:hanging="360"/>
      </w:pPr>
      <w:rPr>
        <w:rFonts w:ascii="Arial Narrow"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F8860A7"/>
    <w:multiLevelType w:val="hybridMultilevel"/>
    <w:tmpl w:val="A1C485B0"/>
    <w:lvl w:ilvl="0" w:tplc="9A8098C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8F85B80"/>
    <w:multiLevelType w:val="hybridMultilevel"/>
    <w:tmpl w:val="F418E9A6"/>
    <w:lvl w:ilvl="0" w:tplc="694E53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7D166B"/>
    <w:multiLevelType w:val="hybridMultilevel"/>
    <w:tmpl w:val="1FA69D8E"/>
    <w:lvl w:ilvl="0" w:tplc="B99E9B4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5" w15:restartNumberingAfterBreak="0">
    <w:nsid w:val="4D7F38E4"/>
    <w:multiLevelType w:val="hybridMultilevel"/>
    <w:tmpl w:val="511CF87A"/>
    <w:lvl w:ilvl="0" w:tplc="A290073E">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 w15:restartNumberingAfterBreak="0">
    <w:nsid w:val="4EDD3F71"/>
    <w:multiLevelType w:val="hybridMultilevel"/>
    <w:tmpl w:val="2A6A6FAC"/>
    <w:lvl w:ilvl="0" w:tplc="CCCEB200">
      <w:start w:val="6"/>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 w15:restartNumberingAfterBreak="0">
    <w:nsid w:val="50800AEE"/>
    <w:multiLevelType w:val="hybridMultilevel"/>
    <w:tmpl w:val="909052F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4E316AB"/>
    <w:multiLevelType w:val="hybridMultilevel"/>
    <w:tmpl w:val="8A08D5A8"/>
    <w:lvl w:ilvl="0" w:tplc="CCCEB200">
      <w:start w:val="6"/>
      <w:numFmt w:val="bullet"/>
      <w:lvlText w:val="-"/>
      <w:lvlJc w:val="left"/>
      <w:pPr>
        <w:ind w:left="1004" w:hanging="360"/>
      </w:pPr>
      <w:rPr>
        <w:rFonts w:ascii="Times New Roman" w:eastAsia="Times New Roman" w:hAnsi="Times New Roman"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79172FA2"/>
    <w:multiLevelType w:val="hybridMultilevel"/>
    <w:tmpl w:val="34CE13F4"/>
    <w:lvl w:ilvl="0" w:tplc="CCCEB200">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
  </w:num>
  <w:num w:numId="2">
    <w:abstractNumId w:val="0"/>
  </w:num>
  <w:num w:numId="3">
    <w:abstractNumId w:val="7"/>
  </w:num>
  <w:num w:numId="4">
    <w:abstractNumId w:val="3"/>
  </w:num>
  <w:num w:numId="5">
    <w:abstractNumId w:val="6"/>
  </w:num>
  <w:num w:numId="6">
    <w:abstractNumId w:val="9"/>
  </w:num>
  <w:num w:numId="7">
    <w:abstractNumId w:val="5"/>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0"/>
    <w:rsid w:val="00002084"/>
    <w:rsid w:val="000168C4"/>
    <w:rsid w:val="00020207"/>
    <w:rsid w:val="00020EBE"/>
    <w:rsid w:val="00026E4E"/>
    <w:rsid w:val="00036ADE"/>
    <w:rsid w:val="000422EF"/>
    <w:rsid w:val="0004664A"/>
    <w:rsid w:val="000513B0"/>
    <w:rsid w:val="000548C2"/>
    <w:rsid w:val="00054F48"/>
    <w:rsid w:val="000562B6"/>
    <w:rsid w:val="00057AAB"/>
    <w:rsid w:val="00057CF3"/>
    <w:rsid w:val="00060733"/>
    <w:rsid w:val="00074054"/>
    <w:rsid w:val="0007514E"/>
    <w:rsid w:val="000803C1"/>
    <w:rsid w:val="000958FF"/>
    <w:rsid w:val="000A23CE"/>
    <w:rsid w:val="000A29A1"/>
    <w:rsid w:val="000D54BB"/>
    <w:rsid w:val="000D78E7"/>
    <w:rsid w:val="000E20C8"/>
    <w:rsid w:val="000E769A"/>
    <w:rsid w:val="00106CA7"/>
    <w:rsid w:val="00115544"/>
    <w:rsid w:val="00116F3D"/>
    <w:rsid w:val="001225D1"/>
    <w:rsid w:val="001376CE"/>
    <w:rsid w:val="0015049F"/>
    <w:rsid w:val="00157E41"/>
    <w:rsid w:val="00164AE3"/>
    <w:rsid w:val="001730DF"/>
    <w:rsid w:val="00185669"/>
    <w:rsid w:val="001900B1"/>
    <w:rsid w:val="00192C37"/>
    <w:rsid w:val="001A4D15"/>
    <w:rsid w:val="001A6FC5"/>
    <w:rsid w:val="001B36BD"/>
    <w:rsid w:val="001C0392"/>
    <w:rsid w:val="001D3E65"/>
    <w:rsid w:val="001D708E"/>
    <w:rsid w:val="001E1DA2"/>
    <w:rsid w:val="001E62CA"/>
    <w:rsid w:val="001F7610"/>
    <w:rsid w:val="001F7BBC"/>
    <w:rsid w:val="00204846"/>
    <w:rsid w:val="0021637A"/>
    <w:rsid w:val="00234466"/>
    <w:rsid w:val="002347DA"/>
    <w:rsid w:val="002413EE"/>
    <w:rsid w:val="00253221"/>
    <w:rsid w:val="00264613"/>
    <w:rsid w:val="00265CD4"/>
    <w:rsid w:val="00271BFF"/>
    <w:rsid w:val="00276DAF"/>
    <w:rsid w:val="002846C4"/>
    <w:rsid w:val="00286FCF"/>
    <w:rsid w:val="002954FF"/>
    <w:rsid w:val="00297E21"/>
    <w:rsid w:val="002A3119"/>
    <w:rsid w:val="002A40C8"/>
    <w:rsid w:val="002C1B46"/>
    <w:rsid w:val="002C285E"/>
    <w:rsid w:val="002C2B78"/>
    <w:rsid w:val="002C2F6F"/>
    <w:rsid w:val="002C35D2"/>
    <w:rsid w:val="002E6105"/>
    <w:rsid w:val="002F0545"/>
    <w:rsid w:val="00300D73"/>
    <w:rsid w:val="0030126A"/>
    <w:rsid w:val="00310B0B"/>
    <w:rsid w:val="003170D3"/>
    <w:rsid w:val="0033092C"/>
    <w:rsid w:val="00336FE4"/>
    <w:rsid w:val="00343DA9"/>
    <w:rsid w:val="00344F1D"/>
    <w:rsid w:val="00346953"/>
    <w:rsid w:val="003646C5"/>
    <w:rsid w:val="003702AC"/>
    <w:rsid w:val="00376778"/>
    <w:rsid w:val="003810C8"/>
    <w:rsid w:val="00383C64"/>
    <w:rsid w:val="00384AA2"/>
    <w:rsid w:val="00387D6E"/>
    <w:rsid w:val="003B0DEE"/>
    <w:rsid w:val="003B1792"/>
    <w:rsid w:val="003B2555"/>
    <w:rsid w:val="003B57D1"/>
    <w:rsid w:val="003C4AA3"/>
    <w:rsid w:val="003E03AD"/>
    <w:rsid w:val="003E1ADC"/>
    <w:rsid w:val="003F3709"/>
    <w:rsid w:val="00410E20"/>
    <w:rsid w:val="00414664"/>
    <w:rsid w:val="004149FE"/>
    <w:rsid w:val="004174DB"/>
    <w:rsid w:val="004216E1"/>
    <w:rsid w:val="00432F33"/>
    <w:rsid w:val="00433735"/>
    <w:rsid w:val="00436846"/>
    <w:rsid w:val="004435F8"/>
    <w:rsid w:val="00454507"/>
    <w:rsid w:val="00456070"/>
    <w:rsid w:val="00456997"/>
    <w:rsid w:val="00457694"/>
    <w:rsid w:val="00460FB8"/>
    <w:rsid w:val="00466BFE"/>
    <w:rsid w:val="00472E55"/>
    <w:rsid w:val="004948D0"/>
    <w:rsid w:val="004A156D"/>
    <w:rsid w:val="004A449F"/>
    <w:rsid w:val="004B624F"/>
    <w:rsid w:val="004D081E"/>
    <w:rsid w:val="004E06C8"/>
    <w:rsid w:val="004E2151"/>
    <w:rsid w:val="004E34E1"/>
    <w:rsid w:val="004F3169"/>
    <w:rsid w:val="00517778"/>
    <w:rsid w:val="00531E09"/>
    <w:rsid w:val="00544A4E"/>
    <w:rsid w:val="00560AA9"/>
    <w:rsid w:val="005658E2"/>
    <w:rsid w:val="00576F70"/>
    <w:rsid w:val="005A11E3"/>
    <w:rsid w:val="005B0D46"/>
    <w:rsid w:val="005B19A2"/>
    <w:rsid w:val="005B3BC1"/>
    <w:rsid w:val="005E44AE"/>
    <w:rsid w:val="005E5A17"/>
    <w:rsid w:val="005E6EAF"/>
    <w:rsid w:val="005F0E09"/>
    <w:rsid w:val="006008EE"/>
    <w:rsid w:val="00603E9C"/>
    <w:rsid w:val="00607AD8"/>
    <w:rsid w:val="00617342"/>
    <w:rsid w:val="00632AAA"/>
    <w:rsid w:val="00641CDA"/>
    <w:rsid w:val="00657A54"/>
    <w:rsid w:val="00677812"/>
    <w:rsid w:val="0068227D"/>
    <w:rsid w:val="0069150B"/>
    <w:rsid w:val="00697350"/>
    <w:rsid w:val="006A4D38"/>
    <w:rsid w:val="006A70E2"/>
    <w:rsid w:val="006B1230"/>
    <w:rsid w:val="006D1D46"/>
    <w:rsid w:val="006E2C11"/>
    <w:rsid w:val="006E3F0D"/>
    <w:rsid w:val="006F2EA6"/>
    <w:rsid w:val="006F3876"/>
    <w:rsid w:val="006F72A9"/>
    <w:rsid w:val="00704C50"/>
    <w:rsid w:val="0072127A"/>
    <w:rsid w:val="00740674"/>
    <w:rsid w:val="00744BEE"/>
    <w:rsid w:val="00747F6E"/>
    <w:rsid w:val="00751661"/>
    <w:rsid w:val="007522D4"/>
    <w:rsid w:val="00756BCE"/>
    <w:rsid w:val="0075767F"/>
    <w:rsid w:val="007621EB"/>
    <w:rsid w:val="00797BE2"/>
    <w:rsid w:val="007A6620"/>
    <w:rsid w:val="007A75B0"/>
    <w:rsid w:val="007C3B24"/>
    <w:rsid w:val="007C3D31"/>
    <w:rsid w:val="007C4559"/>
    <w:rsid w:val="007C5675"/>
    <w:rsid w:val="007C76AE"/>
    <w:rsid w:val="007D1D92"/>
    <w:rsid w:val="007D4FB3"/>
    <w:rsid w:val="007E5AAE"/>
    <w:rsid w:val="007F2FFE"/>
    <w:rsid w:val="007F39F6"/>
    <w:rsid w:val="00811047"/>
    <w:rsid w:val="00812F21"/>
    <w:rsid w:val="00825A18"/>
    <w:rsid w:val="008401A5"/>
    <w:rsid w:val="00840D11"/>
    <w:rsid w:val="0084732A"/>
    <w:rsid w:val="00863E8E"/>
    <w:rsid w:val="008B2D2C"/>
    <w:rsid w:val="008E779B"/>
    <w:rsid w:val="008F058B"/>
    <w:rsid w:val="008F5D1F"/>
    <w:rsid w:val="00902320"/>
    <w:rsid w:val="009053CF"/>
    <w:rsid w:val="0091527C"/>
    <w:rsid w:val="00924BD2"/>
    <w:rsid w:val="009460FA"/>
    <w:rsid w:val="00957059"/>
    <w:rsid w:val="009661E0"/>
    <w:rsid w:val="00977070"/>
    <w:rsid w:val="009A10C3"/>
    <w:rsid w:val="009A17C8"/>
    <w:rsid w:val="009A66C8"/>
    <w:rsid w:val="009A7D14"/>
    <w:rsid w:val="009C29E1"/>
    <w:rsid w:val="009C4EBF"/>
    <w:rsid w:val="009C7A6B"/>
    <w:rsid w:val="009E3455"/>
    <w:rsid w:val="009E35D9"/>
    <w:rsid w:val="009E5CB7"/>
    <w:rsid w:val="009F2F0F"/>
    <w:rsid w:val="009F6508"/>
    <w:rsid w:val="00A022D0"/>
    <w:rsid w:val="00A0568A"/>
    <w:rsid w:val="00A10E5B"/>
    <w:rsid w:val="00A2191C"/>
    <w:rsid w:val="00A27621"/>
    <w:rsid w:val="00A33A07"/>
    <w:rsid w:val="00A47D74"/>
    <w:rsid w:val="00A92D10"/>
    <w:rsid w:val="00AA156A"/>
    <w:rsid w:val="00AB1FA5"/>
    <w:rsid w:val="00AB5E8A"/>
    <w:rsid w:val="00AB64D7"/>
    <w:rsid w:val="00AB758A"/>
    <w:rsid w:val="00AC6EAA"/>
    <w:rsid w:val="00AE0960"/>
    <w:rsid w:val="00AE6627"/>
    <w:rsid w:val="00B00309"/>
    <w:rsid w:val="00B03251"/>
    <w:rsid w:val="00B0747B"/>
    <w:rsid w:val="00B07836"/>
    <w:rsid w:val="00B14FB0"/>
    <w:rsid w:val="00B15AAE"/>
    <w:rsid w:val="00B16E7A"/>
    <w:rsid w:val="00B3068D"/>
    <w:rsid w:val="00B3642F"/>
    <w:rsid w:val="00B66C42"/>
    <w:rsid w:val="00B71223"/>
    <w:rsid w:val="00BA388B"/>
    <w:rsid w:val="00BC77FC"/>
    <w:rsid w:val="00BE4086"/>
    <w:rsid w:val="00BE5839"/>
    <w:rsid w:val="00C12CAA"/>
    <w:rsid w:val="00C33208"/>
    <w:rsid w:val="00C4393A"/>
    <w:rsid w:val="00C50298"/>
    <w:rsid w:val="00C60E9C"/>
    <w:rsid w:val="00C6403D"/>
    <w:rsid w:val="00C65654"/>
    <w:rsid w:val="00C679D5"/>
    <w:rsid w:val="00C7077E"/>
    <w:rsid w:val="00C82781"/>
    <w:rsid w:val="00C8539E"/>
    <w:rsid w:val="00C922EB"/>
    <w:rsid w:val="00C975AB"/>
    <w:rsid w:val="00CA05AC"/>
    <w:rsid w:val="00CA66C5"/>
    <w:rsid w:val="00CC7A83"/>
    <w:rsid w:val="00CD5367"/>
    <w:rsid w:val="00CD5939"/>
    <w:rsid w:val="00CE4485"/>
    <w:rsid w:val="00CE61DA"/>
    <w:rsid w:val="00CF1CD5"/>
    <w:rsid w:val="00CF4416"/>
    <w:rsid w:val="00CF661E"/>
    <w:rsid w:val="00D010CB"/>
    <w:rsid w:val="00D054BD"/>
    <w:rsid w:val="00D06A17"/>
    <w:rsid w:val="00D30021"/>
    <w:rsid w:val="00D54593"/>
    <w:rsid w:val="00D76A18"/>
    <w:rsid w:val="00D76D68"/>
    <w:rsid w:val="00DB3E73"/>
    <w:rsid w:val="00DF4277"/>
    <w:rsid w:val="00E21B6E"/>
    <w:rsid w:val="00E24E48"/>
    <w:rsid w:val="00E2604C"/>
    <w:rsid w:val="00E4120A"/>
    <w:rsid w:val="00E46B8D"/>
    <w:rsid w:val="00E56D8F"/>
    <w:rsid w:val="00E6528A"/>
    <w:rsid w:val="00E821C3"/>
    <w:rsid w:val="00E83B73"/>
    <w:rsid w:val="00E939DC"/>
    <w:rsid w:val="00E93ABB"/>
    <w:rsid w:val="00E93E25"/>
    <w:rsid w:val="00EA2602"/>
    <w:rsid w:val="00EC3438"/>
    <w:rsid w:val="00ED428C"/>
    <w:rsid w:val="00EE1BE4"/>
    <w:rsid w:val="00EE7BAF"/>
    <w:rsid w:val="00F01726"/>
    <w:rsid w:val="00F20659"/>
    <w:rsid w:val="00F2559D"/>
    <w:rsid w:val="00F43136"/>
    <w:rsid w:val="00F56683"/>
    <w:rsid w:val="00F621A6"/>
    <w:rsid w:val="00F87695"/>
    <w:rsid w:val="00F87A3A"/>
    <w:rsid w:val="00FA5DE1"/>
    <w:rsid w:val="00FC2898"/>
    <w:rsid w:val="00FC4D17"/>
    <w:rsid w:val="00FD21E2"/>
    <w:rsid w:val="00FD44FA"/>
    <w:rsid w:val="00FE5442"/>
    <w:rsid w:val="00FE5B06"/>
    <w:rsid w:val="00FF728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4DAB7"/>
  <w14:defaultImageDpi w14:val="0"/>
  <w15:docId w15:val="{1F71EF4C-B9C1-4BD6-BB84-7026F474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3ABB"/>
    <w:rPr>
      <w:rFonts w:cs="Times New Roman"/>
    </w:rPr>
  </w:style>
  <w:style w:type="paragraph" w:styleId="Nadpis1">
    <w:name w:val="heading 1"/>
    <w:basedOn w:val="Normlny"/>
    <w:next w:val="Normlny"/>
    <w:link w:val="Nadpis1Char"/>
    <w:uiPriority w:val="99"/>
    <w:qFormat/>
    <w:rsid w:val="008F058B"/>
    <w:pPr>
      <w:keepNext/>
      <w:spacing w:before="240" w:after="60" w:line="240" w:lineRule="auto"/>
      <w:outlineLvl w:val="0"/>
    </w:pPr>
    <w:rPr>
      <w:rFonts w:ascii="Arial Narrow" w:hAnsi="Arial Narrow" w:cs="Arial"/>
      <w:b/>
      <w:bCs/>
      <w:kern w:val="32"/>
      <w:szCs w:val="32"/>
      <w:lang w:eastAsia="sk-SK"/>
    </w:rPr>
  </w:style>
  <w:style w:type="paragraph" w:styleId="Nadpis2">
    <w:name w:val="heading 2"/>
    <w:basedOn w:val="Normlny"/>
    <w:next w:val="Normlny"/>
    <w:link w:val="Nadpis2Char"/>
    <w:autoRedefine/>
    <w:uiPriority w:val="9"/>
    <w:unhideWhenUsed/>
    <w:qFormat/>
    <w:rsid w:val="008F058B"/>
    <w:pPr>
      <w:keepNext/>
      <w:keepLines/>
      <w:spacing w:before="40" w:after="0" w:line="256" w:lineRule="auto"/>
      <w:outlineLvl w:val="1"/>
    </w:pPr>
    <w:rPr>
      <w:rFonts w:ascii="Arial Narrow" w:eastAsiaTheme="majorEastAsia" w:hAnsi="Arial Narrow"/>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F058B"/>
    <w:rPr>
      <w:rFonts w:ascii="Arial Narrow" w:hAnsi="Arial Narrow" w:cs="Arial"/>
      <w:b/>
      <w:bCs/>
      <w:kern w:val="32"/>
      <w:sz w:val="32"/>
      <w:szCs w:val="32"/>
      <w:lang w:val="x-none" w:eastAsia="sk-SK"/>
    </w:rPr>
  </w:style>
  <w:style w:type="character" w:customStyle="1" w:styleId="Nadpis2Char">
    <w:name w:val="Nadpis 2 Char"/>
    <w:basedOn w:val="Predvolenpsmoodseku"/>
    <w:link w:val="Nadpis2"/>
    <w:uiPriority w:val="9"/>
    <w:locked/>
    <w:rsid w:val="008F058B"/>
    <w:rPr>
      <w:rFonts w:ascii="Arial Narrow" w:eastAsiaTheme="majorEastAsia" w:hAnsi="Arial Narrow" w:cs="Times New Roman"/>
      <w:b/>
      <w:sz w:val="26"/>
      <w:szCs w:val="26"/>
    </w:rPr>
  </w:style>
  <w:style w:type="paragraph" w:customStyle="1" w:styleId="tlkam1">
    <w:name w:val="Štýlkam1"/>
    <w:basedOn w:val="Nadpis1"/>
    <w:link w:val="tlkam1Char"/>
    <w:autoRedefine/>
    <w:qFormat/>
    <w:rsid w:val="008F058B"/>
    <w:pPr>
      <w:keepNext w:val="0"/>
      <w:numPr>
        <w:numId w:val="2"/>
      </w:numPr>
      <w:spacing w:before="0" w:after="240"/>
      <w:contextualSpacing/>
      <w:jc w:val="both"/>
    </w:pPr>
    <w:rPr>
      <w:bCs w:val="0"/>
      <w:sz w:val="32"/>
    </w:rPr>
  </w:style>
  <w:style w:type="character" w:customStyle="1" w:styleId="tlkam1Char">
    <w:name w:val="Štýlkam1 Char"/>
    <w:basedOn w:val="Nadpis1Char"/>
    <w:link w:val="tlkam1"/>
    <w:locked/>
    <w:rsid w:val="008F058B"/>
    <w:rPr>
      <w:rFonts w:ascii="Arial Narrow" w:hAnsi="Arial Narrow" w:cs="Arial"/>
      <w:b/>
      <w:bCs w:val="0"/>
      <w:kern w:val="32"/>
      <w:sz w:val="32"/>
      <w:szCs w:val="32"/>
      <w:lang w:val="x-none" w:eastAsia="sk-SK"/>
    </w:rPr>
  </w:style>
  <w:style w:type="paragraph" w:styleId="Odsekzoznamu">
    <w:name w:val="List Paragraph"/>
    <w:basedOn w:val="Normlny"/>
    <w:uiPriority w:val="34"/>
    <w:qFormat/>
    <w:rsid w:val="00B14FB0"/>
    <w:pPr>
      <w:ind w:left="720"/>
      <w:contextualSpacing/>
    </w:pPr>
  </w:style>
  <w:style w:type="paragraph" w:styleId="Textbubliny">
    <w:name w:val="Balloon Text"/>
    <w:basedOn w:val="Normlny"/>
    <w:link w:val="TextbublinyChar"/>
    <w:uiPriority w:val="99"/>
    <w:semiHidden/>
    <w:unhideWhenUsed/>
    <w:rsid w:val="00C439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4393A"/>
    <w:rPr>
      <w:rFonts w:ascii="Segoe UI" w:hAnsi="Segoe UI" w:cs="Segoe UI"/>
      <w:sz w:val="18"/>
      <w:szCs w:val="18"/>
    </w:rPr>
  </w:style>
  <w:style w:type="character" w:styleId="Odkaznakomentr">
    <w:name w:val="annotation reference"/>
    <w:basedOn w:val="Predvolenpsmoodseku"/>
    <w:uiPriority w:val="99"/>
    <w:semiHidden/>
    <w:unhideWhenUsed/>
    <w:rsid w:val="00265CD4"/>
    <w:rPr>
      <w:rFonts w:cs="Times New Roman"/>
      <w:sz w:val="16"/>
      <w:szCs w:val="16"/>
    </w:rPr>
  </w:style>
  <w:style w:type="paragraph" w:styleId="Textkomentra">
    <w:name w:val="annotation text"/>
    <w:basedOn w:val="Normlny"/>
    <w:link w:val="TextkomentraChar"/>
    <w:uiPriority w:val="99"/>
    <w:semiHidden/>
    <w:unhideWhenUsed/>
    <w:rsid w:val="00265CD4"/>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265CD4"/>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65CD4"/>
    <w:rPr>
      <w:b/>
      <w:bCs/>
    </w:rPr>
  </w:style>
  <w:style w:type="character" w:customStyle="1" w:styleId="PredmetkomentraChar">
    <w:name w:val="Predmet komentára Char"/>
    <w:basedOn w:val="TextkomentraChar"/>
    <w:link w:val="Predmetkomentra"/>
    <w:uiPriority w:val="99"/>
    <w:semiHidden/>
    <w:locked/>
    <w:rsid w:val="00265CD4"/>
    <w:rPr>
      <w:rFonts w:cs="Times New Roman"/>
      <w:b/>
      <w:bCs/>
      <w:sz w:val="20"/>
      <w:szCs w:val="20"/>
    </w:rPr>
  </w:style>
  <w:style w:type="paragraph" w:styleId="Revzia">
    <w:name w:val="Revision"/>
    <w:hidden/>
    <w:uiPriority w:val="99"/>
    <w:semiHidden/>
    <w:rsid w:val="00432F33"/>
    <w:pPr>
      <w:spacing w:after="0" w:line="240" w:lineRule="auto"/>
    </w:pPr>
    <w:rPr>
      <w:rFonts w:cs="Times New Roman"/>
    </w:rPr>
  </w:style>
  <w:style w:type="paragraph" w:styleId="Hlavika">
    <w:name w:val="header"/>
    <w:basedOn w:val="Normlny"/>
    <w:link w:val="HlavikaChar"/>
    <w:uiPriority w:val="99"/>
    <w:unhideWhenUsed/>
    <w:rsid w:val="0091527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1527C"/>
    <w:rPr>
      <w:rFonts w:cs="Times New Roman"/>
    </w:rPr>
  </w:style>
  <w:style w:type="paragraph" w:styleId="Pta">
    <w:name w:val="footer"/>
    <w:basedOn w:val="Normlny"/>
    <w:link w:val="PtaChar"/>
    <w:uiPriority w:val="99"/>
    <w:unhideWhenUsed/>
    <w:rsid w:val="0091527C"/>
    <w:pPr>
      <w:tabs>
        <w:tab w:val="center" w:pos="4536"/>
        <w:tab w:val="right" w:pos="9072"/>
      </w:tabs>
      <w:spacing w:after="0" w:line="240" w:lineRule="auto"/>
    </w:pPr>
  </w:style>
  <w:style w:type="character" w:customStyle="1" w:styleId="PtaChar">
    <w:name w:val="Päta Char"/>
    <w:basedOn w:val="Predvolenpsmoodseku"/>
    <w:link w:val="Pta"/>
    <w:uiPriority w:val="99"/>
    <w:locked/>
    <w:rsid w:val="0091527C"/>
    <w:rPr>
      <w:rFonts w:cs="Times New Roman"/>
    </w:rPr>
  </w:style>
  <w:style w:type="paragraph" w:customStyle="1" w:styleId="Default">
    <w:name w:val="Default"/>
    <w:rsid w:val="0091527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zkon">
    <w:name w:val="zákon"/>
    <w:pPr>
      <w:numPr>
        <w:numId w:val="1"/>
      </w:numPr>
    </w:pPr>
  </w:style>
  <w:style w:type="paragraph" w:styleId="Normlnywebov">
    <w:name w:val="Normal (Web)"/>
    <w:basedOn w:val="Normlny"/>
    <w:uiPriority w:val="99"/>
    <w:semiHidden/>
    <w:unhideWhenUsed/>
    <w:rsid w:val="007D1D92"/>
    <w:pPr>
      <w:spacing w:before="100" w:beforeAutospacing="1" w:after="100" w:afterAutospacing="1" w:line="240" w:lineRule="auto"/>
    </w:pPr>
    <w:rPr>
      <w:rFonts w:ascii="Times New Roman" w:hAnsi="Times New Roman"/>
      <w:sz w:val="24"/>
      <w:szCs w:val="24"/>
      <w:lang w:eastAsia="sk-SK"/>
    </w:rPr>
  </w:style>
  <w:style w:type="table" w:styleId="Mriekatabuky">
    <w:name w:val="Table Grid"/>
    <w:basedOn w:val="Normlnatabuka"/>
    <w:uiPriority w:val="59"/>
    <w:rsid w:val="007D1D9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1856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53564">
      <w:bodyDiv w:val="1"/>
      <w:marLeft w:val="0"/>
      <w:marRight w:val="0"/>
      <w:marTop w:val="0"/>
      <w:marBottom w:val="0"/>
      <w:divBdr>
        <w:top w:val="none" w:sz="0" w:space="0" w:color="auto"/>
        <w:left w:val="none" w:sz="0" w:space="0" w:color="auto"/>
        <w:bottom w:val="none" w:sz="0" w:space="0" w:color="auto"/>
        <w:right w:val="none" w:sz="0" w:space="0" w:color="auto"/>
      </w:divBdr>
    </w:div>
    <w:div w:id="1984694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05E8-EF18-407B-875F-B8BE1415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10134</Words>
  <Characters>59418</Characters>
  <Application>Microsoft Office Word</Application>
  <DocSecurity>0</DocSecurity>
  <Lines>495</Lines>
  <Paragraphs>138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Motyčková Katarína</dc:creator>
  <cp:keywords/>
  <dc:description/>
  <cp:lastModifiedBy>Antalkova Klaudia</cp:lastModifiedBy>
  <cp:revision>3</cp:revision>
  <cp:lastPrinted>2018-09-26T10:39:00Z</cp:lastPrinted>
  <dcterms:created xsi:type="dcterms:W3CDTF">2018-09-26T10:42:00Z</dcterms:created>
  <dcterms:modified xsi:type="dcterms:W3CDTF">2018-09-26T10:42:00Z</dcterms:modified>
</cp:coreProperties>
</file>