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CA" w:rsidRPr="00962FCA" w:rsidRDefault="00962FCA" w:rsidP="00962FCA">
      <w:pPr>
        <w:jc w:val="center"/>
        <w:rPr>
          <w:b/>
          <w:spacing w:val="30"/>
        </w:rPr>
      </w:pPr>
      <w:r w:rsidRPr="00962FCA">
        <w:rPr>
          <w:b/>
          <w:spacing w:val="30"/>
        </w:rPr>
        <w:t>DÔVODOVÁ SPRÁVA</w:t>
      </w:r>
    </w:p>
    <w:p w:rsidR="00962FCA" w:rsidRPr="00962FCA" w:rsidRDefault="00962FCA" w:rsidP="00962FCA">
      <w:pPr>
        <w:ind w:firstLine="709"/>
        <w:jc w:val="both"/>
        <w:rPr>
          <w:b/>
        </w:rPr>
      </w:pPr>
    </w:p>
    <w:p w:rsidR="00962FCA" w:rsidRPr="00962FCA" w:rsidRDefault="00962FCA" w:rsidP="00962FCA">
      <w:pPr>
        <w:jc w:val="both"/>
        <w:rPr>
          <w:b/>
        </w:rPr>
      </w:pPr>
      <w:r w:rsidRPr="00962FCA">
        <w:rPr>
          <w:b/>
        </w:rPr>
        <w:t xml:space="preserve">A. Všeobecná časť </w:t>
      </w:r>
    </w:p>
    <w:p w:rsidR="00962FCA" w:rsidRPr="00962FCA" w:rsidRDefault="00962FCA" w:rsidP="00962FCA">
      <w:pPr>
        <w:ind w:firstLine="709"/>
        <w:jc w:val="both"/>
        <w:rPr>
          <w:b/>
        </w:rPr>
      </w:pPr>
    </w:p>
    <w:p w:rsidR="00962FCA" w:rsidRPr="00962FCA" w:rsidRDefault="00575A14" w:rsidP="00575A14">
      <w:pPr>
        <w:ind w:firstLine="709"/>
        <w:jc w:val="both"/>
      </w:pPr>
      <w:r>
        <w:t>Ú</w:t>
      </w:r>
      <w:r w:rsidR="00962FCA" w:rsidRPr="00962FCA">
        <w:t xml:space="preserve">čelom </w:t>
      </w:r>
      <w:r>
        <w:t>predloženi</w:t>
      </w:r>
      <w:r w:rsidR="00565B19">
        <w:t>a</w:t>
      </w:r>
      <w:r>
        <w:t xml:space="preserve"> návrhu </w:t>
      </w:r>
      <w:r w:rsidR="00962FCA" w:rsidRPr="00962FCA">
        <w:t xml:space="preserve">zákona, </w:t>
      </w:r>
      <w:r w:rsidR="00FA23BC" w:rsidRPr="00FA23BC">
        <w:t xml:space="preserve">ktorým sa mení a dopĺňa zákon </w:t>
      </w:r>
      <w:r w:rsidR="00B25DD5">
        <w:t xml:space="preserve">č. </w:t>
      </w:r>
      <w:r w:rsidR="00F06134">
        <w:t xml:space="preserve">596/2003 Z. z. o štátnej správe v školstve a školskej samospráve a o zmene a doplnení niektorých zákonov v znení neskorších predpisov a ktorým sa menia a dopĺňajú niektoré zákony </w:t>
      </w:r>
      <w:r w:rsidR="00962FCA" w:rsidRPr="00962FCA">
        <w:t xml:space="preserve"> (ďalej len „</w:t>
      </w:r>
      <w:r>
        <w:t>návrh zákona</w:t>
      </w:r>
      <w:r w:rsidR="00962FCA" w:rsidRPr="00962FCA">
        <w:t xml:space="preserve">“) je </w:t>
      </w:r>
      <w:r w:rsidR="00F06134">
        <w:t>posilniť napĺňanie kompete</w:t>
      </w:r>
      <w:r w:rsidR="009E4667">
        <w:t xml:space="preserve">ncií Štátnej školskej </w:t>
      </w:r>
      <w:r w:rsidR="009E4667" w:rsidRPr="001077F4">
        <w:t>inšpekcie a napomôcť reforme systému výchovného poradenstva a prevencie.</w:t>
      </w:r>
      <w:r w:rsidR="00F06134">
        <w:t xml:space="preserve"> </w:t>
      </w:r>
    </w:p>
    <w:p w:rsidR="00962FCA" w:rsidRDefault="00962FCA" w:rsidP="00962FCA">
      <w:pPr>
        <w:ind w:firstLine="709"/>
        <w:jc w:val="both"/>
      </w:pPr>
    </w:p>
    <w:p w:rsidR="00BF10CE" w:rsidRDefault="00F06134" w:rsidP="00962FCA">
      <w:pPr>
        <w:ind w:firstLine="709"/>
        <w:jc w:val="both"/>
      </w:pPr>
      <w:r>
        <w:t xml:space="preserve">V praxi boli pri výkone inšpekčnej činnosti identifikované viaceré problémy súvisiace s tým, že kontrolované subjekty </w:t>
      </w:r>
      <w:r w:rsidRPr="00F06134">
        <w:t>nevytvárajú podmienky pre výkon kontroly</w:t>
      </w:r>
      <w:r>
        <w:t xml:space="preserve">. </w:t>
      </w:r>
      <w:r w:rsidRPr="00F06134">
        <w:t>Zámerom návrhu je zvýšiť právnu istotu kontrolovaných subjektov nastavením j</w:t>
      </w:r>
      <w:r>
        <w:t xml:space="preserve">ednoznačných </w:t>
      </w:r>
      <w:r w:rsidRPr="00F06134">
        <w:t>pravidiel pre úpravu výstupných materiálov (správ o výsledkoch škol</w:t>
      </w:r>
      <w:r w:rsidR="006E6510">
        <w:t>skej inšpekcie). V súvislosti s </w:t>
      </w:r>
      <w:r w:rsidRPr="00F06134">
        <w:t xml:space="preserve">účinnosťou zákona č. 18/2018 Z. z. o ochrane osobných údajov a zmene a doplnení niektorých zákonov a Nariadenia Európskeho parlamentu a Rady EÚ) 2016/679 sa </w:t>
      </w:r>
      <w:r>
        <w:t>upravuje</w:t>
      </w:r>
      <w:r w:rsidRPr="00F06134">
        <w:t xml:space="preserve"> problematik</w:t>
      </w:r>
      <w:r>
        <w:t>a spracúvania</w:t>
      </w:r>
      <w:r w:rsidRPr="00F06134">
        <w:t xml:space="preserve"> osobných údajov, ktoré ŠŠI spracúva na základe vykonaných inšpekcií</w:t>
      </w:r>
      <w:r>
        <w:t xml:space="preserve"> a ktoré spracúvajú okresné úrady v sídle kraja na účely organizovania, koordinácie a financovania školských súťaží a predmetových olympiád</w:t>
      </w:r>
      <w:r w:rsidRPr="00F06134">
        <w:t>.</w:t>
      </w:r>
    </w:p>
    <w:p w:rsidR="00F06134" w:rsidRDefault="00F06134" w:rsidP="00F72DD1">
      <w:pPr>
        <w:jc w:val="both"/>
      </w:pPr>
    </w:p>
    <w:p w:rsidR="00BF10CE" w:rsidRPr="00962FCA" w:rsidRDefault="00BF10CE" w:rsidP="00BF10CE">
      <w:pPr>
        <w:autoSpaceDE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je v súlade s Ústavou, ústavnými zákonmi, medzinárodnými zmluvami, ktorými je Slovenská republika viazaná,  zákonmi</w:t>
      </w:r>
      <w:r w:rsidR="00565B19">
        <w:rPr>
          <w:rFonts w:eastAsia="Times New Roman"/>
        </w:rPr>
        <w:t xml:space="preserve">, </w:t>
      </w:r>
      <w:r w:rsidRPr="00962FCA">
        <w:rPr>
          <w:rFonts w:eastAsia="Times New Roman"/>
        </w:rPr>
        <w:t>v súlade s právom Európskej únie</w:t>
      </w:r>
      <w:r w:rsidR="00565B19">
        <w:rPr>
          <w:rFonts w:eastAsia="Times New Roman"/>
        </w:rPr>
        <w:t xml:space="preserve"> a v súlade s nálezmi Ústavného súdu Slovenskej republiky</w:t>
      </w:r>
      <w:r w:rsidRPr="00962FCA">
        <w:rPr>
          <w:rFonts w:eastAsia="Times New Roman"/>
        </w:rPr>
        <w:t>.</w:t>
      </w:r>
    </w:p>
    <w:p w:rsidR="00BF10CE" w:rsidRPr="00962FCA" w:rsidRDefault="00BF10CE" w:rsidP="00962FCA">
      <w:pPr>
        <w:ind w:firstLine="709"/>
        <w:jc w:val="both"/>
      </w:pPr>
    </w:p>
    <w:p w:rsidR="00962FCA" w:rsidRPr="00962FCA" w:rsidRDefault="00565B19" w:rsidP="00962FCA">
      <w:pPr>
        <w:ind w:firstLine="708"/>
        <w:jc w:val="both"/>
      </w:pPr>
      <w:r w:rsidRPr="00565B19">
        <w:t>Návrh zákona nemá vplyv na rozpočet verejnej spr</w:t>
      </w:r>
      <w:r w:rsidR="006E6510">
        <w:t>ávy, sociálne vplyvy, vplyvy na </w:t>
      </w:r>
      <w:r w:rsidRPr="00565B19">
        <w:t>podnikateľské prostredie, životné prostredie, na informatizáciu spoločnosti ani na služby verejnej správy pre občana.</w:t>
      </w: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  <w:r w:rsidRPr="00962FCA">
        <w:rPr>
          <w:rFonts w:eastAsia="Times New Roman"/>
        </w:rPr>
        <w:t>Návrh zákona bol podľa § 33 ods. 2 zákona č. 523/2004 Z. z. o rozpočtových pravidlách verejnej správy a o zmene a doplnení n</w:t>
      </w:r>
      <w:r w:rsidR="006E6510">
        <w:rPr>
          <w:rFonts w:eastAsia="Times New Roman"/>
        </w:rPr>
        <w:t>iektorých zákonov prerokovaný s </w:t>
      </w:r>
      <w:r w:rsidRPr="00962FCA">
        <w:rPr>
          <w:rFonts w:eastAsia="Times New Roman"/>
        </w:rPr>
        <w:t>Ministerstvom financií Slovenskej republiky.</w:t>
      </w: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</w:p>
    <w:p w:rsidR="00962FCA" w:rsidRPr="00962FCA" w:rsidRDefault="00962FCA" w:rsidP="00962FCA">
      <w:pPr>
        <w:autoSpaceDE w:val="0"/>
        <w:ind w:firstLine="708"/>
        <w:jc w:val="both"/>
        <w:rPr>
          <w:rFonts w:eastAsia="Times New Roman"/>
        </w:rPr>
      </w:pPr>
    </w:p>
    <w:p w:rsidR="00962FCA" w:rsidRPr="00962FCA" w:rsidRDefault="00962FCA" w:rsidP="00962FCA">
      <w:pPr>
        <w:ind w:firstLine="709"/>
        <w:jc w:val="both"/>
      </w:pPr>
    </w:p>
    <w:p w:rsidR="00962FCA" w:rsidRPr="00962FCA" w:rsidRDefault="00962FCA" w:rsidP="00962FCA">
      <w:pPr>
        <w:ind w:firstLine="709"/>
        <w:jc w:val="both"/>
      </w:pPr>
    </w:p>
    <w:p w:rsidR="00E766EC" w:rsidRDefault="00E766EC">
      <w:pPr>
        <w:spacing w:after="200" w:line="276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E766EC" w:rsidRPr="00962FCA" w:rsidRDefault="00E766EC" w:rsidP="00E766EC">
      <w:pPr>
        <w:ind w:right="-108"/>
        <w:jc w:val="center"/>
        <w:rPr>
          <w:rFonts w:eastAsia="Times New Roman"/>
        </w:rPr>
      </w:pPr>
      <w:r w:rsidRPr="00962FCA">
        <w:rPr>
          <w:rFonts w:eastAsia="Times New Roman"/>
          <w:b/>
          <w:bCs/>
        </w:rPr>
        <w:lastRenderedPageBreak/>
        <w:t>Doložka vybraných vplyvov</w:t>
      </w:r>
    </w:p>
    <w:p w:rsidR="00E766EC" w:rsidRPr="00962FCA" w:rsidRDefault="00E766EC" w:rsidP="00E766EC">
      <w:pPr>
        <w:ind w:right="-108"/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A.1. Názov materiálu:</w:t>
      </w:r>
      <w:r w:rsidRPr="00962FCA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>n</w:t>
      </w:r>
      <w:r w:rsidRPr="00962FCA">
        <w:rPr>
          <w:rFonts w:eastAsia="Times New Roman"/>
          <w:bCs/>
        </w:rPr>
        <w:t>ávrh zákona</w:t>
      </w:r>
      <w:r w:rsidR="00B25DD5" w:rsidRPr="00B25DD5">
        <w:rPr>
          <w:rFonts w:eastAsia="Times New Roman"/>
          <w:bCs/>
        </w:rPr>
        <w:t xml:space="preserve">, ktorým sa mení a dopĺňa zákon </w:t>
      </w:r>
      <w:r w:rsidR="00B25DD5">
        <w:rPr>
          <w:rFonts w:eastAsia="Times New Roman"/>
          <w:bCs/>
        </w:rPr>
        <w:t xml:space="preserve">č. </w:t>
      </w:r>
      <w:r w:rsidR="006E6510">
        <w:rPr>
          <w:rFonts w:eastAsia="Times New Roman"/>
          <w:bCs/>
        </w:rPr>
        <w:t>596/2003 Z. z. o </w:t>
      </w:r>
      <w:r w:rsidR="00B25DD5" w:rsidRPr="00B25DD5">
        <w:rPr>
          <w:rFonts w:eastAsia="Times New Roman"/>
          <w:bCs/>
        </w:rPr>
        <w:t xml:space="preserve">štátnej správe v školstve a školskej samospráve a o zmene </w:t>
      </w:r>
      <w:r w:rsidR="006E6510">
        <w:rPr>
          <w:rFonts w:eastAsia="Times New Roman"/>
          <w:bCs/>
        </w:rPr>
        <w:t>a doplnení niektorých zákonov v </w:t>
      </w:r>
      <w:r w:rsidR="00B25DD5" w:rsidRPr="00B25DD5">
        <w:rPr>
          <w:rFonts w:eastAsia="Times New Roman"/>
          <w:bCs/>
        </w:rPr>
        <w:t>znení neskorších predpisov a ktorým sa me</w:t>
      </w:r>
      <w:r w:rsidR="00426879">
        <w:rPr>
          <w:rFonts w:eastAsia="Times New Roman"/>
          <w:bCs/>
        </w:rPr>
        <w:t>nia a dopĺňajú niektoré zákony</w:t>
      </w:r>
    </w:p>
    <w:p w:rsidR="00E766EC" w:rsidRPr="00962FCA" w:rsidRDefault="00E766EC" w:rsidP="00E766EC">
      <w:pPr>
        <w:jc w:val="both"/>
        <w:rPr>
          <w:rFonts w:eastAsia="Times New Roman"/>
          <w:b/>
        </w:rPr>
      </w:pPr>
      <w:r w:rsidRPr="00962FCA">
        <w:rPr>
          <w:rFonts w:eastAsia="Times New Roman"/>
          <w:b/>
        </w:rPr>
        <w:t>Termín začatia a ukončenia PPK:</w:t>
      </w:r>
    </w:p>
    <w:p w:rsidR="00E766EC" w:rsidRPr="00962FCA" w:rsidRDefault="00E766EC" w:rsidP="00E766EC">
      <w:pPr>
        <w:jc w:val="both"/>
        <w:rPr>
          <w:rFonts w:eastAsia="Times New Roman"/>
        </w:rPr>
      </w:pP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A.2. Vplyvy:</w:t>
      </w: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6"/>
        <w:gridCol w:w="1547"/>
        <w:gridCol w:w="1569"/>
        <w:gridCol w:w="1664"/>
      </w:tblGrid>
      <w:tr w:rsidR="00E766EC" w:rsidRPr="00962FCA" w:rsidTr="00E766EC"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66EC" w:rsidRPr="00962FCA" w:rsidRDefault="00E766EC" w:rsidP="00256D61">
            <w:pPr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Pozitívne</w:t>
            </w: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Žiadne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Negatívne</w:t>
            </w:r>
          </w:p>
        </w:tc>
      </w:tr>
      <w:tr w:rsidR="00E766EC" w:rsidRPr="00962FCA" w:rsidTr="00E766EC"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66EC" w:rsidRPr="00962FCA" w:rsidRDefault="00E766EC" w:rsidP="00927D45">
            <w:pPr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1. Vplyvy na rozpočet verejnej správy</w:t>
            </w:r>
            <w:r w:rsidRPr="00962FCA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</w:tr>
      <w:tr w:rsidR="00E766EC" w:rsidRPr="00962FCA" w:rsidTr="00E766EC"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66EC" w:rsidRPr="00962FCA" w:rsidRDefault="00E766EC" w:rsidP="00927D45">
            <w:pPr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 xml:space="preserve">2. Vplyvy na podnikateľské prostredie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</w:tr>
      <w:tr w:rsidR="00E766EC" w:rsidRPr="00962FCA" w:rsidTr="00E766EC"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66EC" w:rsidRPr="00962FCA" w:rsidRDefault="00E766EC" w:rsidP="00927D45">
            <w:pPr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3</w:t>
            </w:r>
            <w:r w:rsidR="00927D45">
              <w:rPr>
                <w:rFonts w:eastAsia="Times New Roman"/>
              </w:rPr>
              <w:t>.</w:t>
            </w:r>
            <w:r w:rsidRPr="00962FCA">
              <w:rPr>
                <w:rFonts w:eastAsia="Times New Roman"/>
              </w:rPr>
              <w:t xml:space="preserve"> Sociálne vplyvy 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</w:tr>
      <w:tr w:rsidR="00E766EC" w:rsidRPr="00962FCA" w:rsidTr="00E766EC"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66EC" w:rsidRPr="00962FCA" w:rsidRDefault="00E766EC" w:rsidP="00256D61">
            <w:pPr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4. Vplyvy na životné prostredie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</w:tr>
      <w:tr w:rsidR="00E766EC" w:rsidRPr="00962FCA" w:rsidTr="00E766EC"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766EC" w:rsidRPr="00962FCA" w:rsidRDefault="00E766EC" w:rsidP="00927D45">
            <w:pPr>
              <w:jc w:val="both"/>
              <w:rPr>
                <w:rFonts w:eastAsia="Times New Roman"/>
              </w:rPr>
            </w:pPr>
            <w:r w:rsidRPr="00962FCA">
              <w:rPr>
                <w:rFonts w:eastAsia="Times New Roman"/>
              </w:rPr>
              <w:t>5. Vplyvy na informatizáciu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766EC" w:rsidRPr="00962FCA" w:rsidRDefault="00E766EC" w:rsidP="00E766EC">
            <w:pPr>
              <w:jc w:val="center"/>
              <w:rPr>
                <w:rFonts w:eastAsia="Times New Roman"/>
              </w:rPr>
            </w:pPr>
          </w:p>
        </w:tc>
      </w:tr>
      <w:tr w:rsidR="00927D45" w:rsidRPr="00962FCA" w:rsidTr="00E766EC">
        <w:tc>
          <w:tcPr>
            <w:tcW w:w="2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27D45" w:rsidRPr="00962FCA" w:rsidRDefault="00927D45" w:rsidP="00256D61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6. </w:t>
            </w:r>
            <w:r w:rsidRPr="00927D45">
              <w:rPr>
                <w:rFonts w:eastAsia="Times New Roman"/>
              </w:rPr>
              <w:t xml:space="preserve">Vplyvy na služby </w:t>
            </w:r>
            <w:r w:rsidR="00E96361">
              <w:rPr>
                <w:rFonts w:eastAsia="Times New Roman"/>
              </w:rPr>
              <w:t xml:space="preserve">verejnej správy </w:t>
            </w:r>
            <w:r w:rsidRPr="00927D45">
              <w:rPr>
                <w:rFonts w:eastAsia="Times New Roman"/>
              </w:rPr>
              <w:t>pre občana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27D45" w:rsidRPr="00962FCA" w:rsidRDefault="00927D45" w:rsidP="00E766EC">
            <w:pPr>
              <w:jc w:val="center"/>
              <w:rPr>
                <w:rFonts w:eastAsia="Times New Roman"/>
              </w:rPr>
            </w:pPr>
          </w:p>
        </w:tc>
        <w:tc>
          <w:tcPr>
            <w:tcW w:w="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27D45" w:rsidRDefault="00927D45" w:rsidP="00E766E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927D45" w:rsidRPr="00962FCA" w:rsidRDefault="00927D45" w:rsidP="00E766EC">
            <w:pPr>
              <w:jc w:val="center"/>
              <w:rPr>
                <w:rFonts w:eastAsia="Times New Roman"/>
              </w:rPr>
            </w:pPr>
          </w:p>
        </w:tc>
      </w:tr>
    </w:tbl>
    <w:p w:rsidR="00E766EC" w:rsidRPr="00962FCA" w:rsidRDefault="00E766EC" w:rsidP="00E766EC">
      <w:pPr>
        <w:jc w:val="both"/>
        <w:rPr>
          <w:rFonts w:eastAsia="Times New Roman"/>
        </w:rPr>
      </w:pP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A.3. Poznámky</w:t>
      </w: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 </w:t>
      </w:r>
    </w:p>
    <w:p w:rsidR="00E766EC" w:rsidRDefault="00E766EC" w:rsidP="00E766EC">
      <w:pPr>
        <w:jc w:val="both"/>
        <w:rPr>
          <w:rFonts w:eastAsia="Times New Roman"/>
        </w:rPr>
      </w:pPr>
    </w:p>
    <w:p w:rsidR="00E766EC" w:rsidRPr="00962FCA" w:rsidRDefault="00E766EC" w:rsidP="00E766EC">
      <w:pPr>
        <w:jc w:val="both"/>
        <w:rPr>
          <w:rFonts w:eastAsia="Times New Roman"/>
        </w:rPr>
      </w:pP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>A.4. Alternatívne riešenia</w:t>
      </w:r>
    </w:p>
    <w:p w:rsidR="00E766EC" w:rsidRPr="00962FCA" w:rsidRDefault="00E766EC" w:rsidP="00E766EC">
      <w:pPr>
        <w:jc w:val="both"/>
        <w:rPr>
          <w:rFonts w:eastAsia="Times New Roman"/>
        </w:rPr>
      </w:pPr>
    </w:p>
    <w:p w:rsidR="00E766EC" w:rsidRDefault="00E766EC" w:rsidP="00E766EC">
      <w:pPr>
        <w:jc w:val="both"/>
        <w:rPr>
          <w:rFonts w:eastAsia="Times New Roman"/>
          <w:b/>
          <w:bCs/>
        </w:rPr>
      </w:pPr>
      <w:r w:rsidRPr="00962FCA">
        <w:rPr>
          <w:rFonts w:eastAsia="Times New Roman"/>
          <w:b/>
          <w:bCs/>
        </w:rPr>
        <w:t> </w:t>
      </w:r>
    </w:p>
    <w:p w:rsidR="00E766EC" w:rsidRPr="00962FCA" w:rsidRDefault="00E766EC" w:rsidP="00E766EC">
      <w:pPr>
        <w:jc w:val="both"/>
        <w:rPr>
          <w:rFonts w:eastAsia="Times New Roman"/>
        </w:rPr>
      </w:pPr>
    </w:p>
    <w:p w:rsidR="00E766EC" w:rsidRPr="00962FCA" w:rsidRDefault="00E766EC" w:rsidP="00E766EC">
      <w:pPr>
        <w:jc w:val="both"/>
        <w:rPr>
          <w:rFonts w:eastAsia="Times New Roman"/>
        </w:rPr>
      </w:pPr>
      <w:r w:rsidRPr="00962FCA">
        <w:rPr>
          <w:rFonts w:eastAsia="Times New Roman"/>
          <w:b/>
          <w:bCs/>
        </w:rPr>
        <w:t xml:space="preserve">A.5. Stanovisko gestorov </w:t>
      </w:r>
    </w:p>
    <w:p w:rsidR="00962FCA" w:rsidRPr="00962FCA" w:rsidRDefault="00962FCA" w:rsidP="00E766EC">
      <w:pPr>
        <w:jc w:val="both"/>
      </w:pPr>
    </w:p>
    <w:p w:rsidR="00E766EC" w:rsidRDefault="00E766EC">
      <w:pPr>
        <w:spacing w:after="200" w:line="276" w:lineRule="auto"/>
        <w:rPr>
          <w:b/>
          <w:bCs/>
          <w:spacing w:val="30"/>
        </w:rPr>
      </w:pPr>
      <w:r>
        <w:rPr>
          <w:b/>
          <w:bCs/>
          <w:spacing w:val="30"/>
        </w:rPr>
        <w:br w:type="page"/>
      </w:r>
    </w:p>
    <w:p w:rsidR="00E766EC" w:rsidRPr="002E7CAD" w:rsidRDefault="00E766EC" w:rsidP="00E766EC">
      <w:pPr>
        <w:jc w:val="center"/>
        <w:rPr>
          <w:b/>
          <w:bCs/>
          <w:spacing w:val="30"/>
        </w:rPr>
      </w:pPr>
      <w:r w:rsidRPr="002E7CAD">
        <w:rPr>
          <w:b/>
          <w:bCs/>
          <w:spacing w:val="30"/>
        </w:rPr>
        <w:lastRenderedPageBreak/>
        <w:t>DOLOŽKA ZLUČITEĽNOSTI</w:t>
      </w:r>
    </w:p>
    <w:p w:rsidR="00E766EC" w:rsidRPr="002E7CAD" w:rsidRDefault="00E766EC" w:rsidP="00E766EC">
      <w:pPr>
        <w:jc w:val="center"/>
        <w:rPr>
          <w:b/>
          <w:bCs/>
        </w:rPr>
      </w:pPr>
      <w:r w:rsidRPr="002E7CAD">
        <w:rPr>
          <w:b/>
          <w:bCs/>
        </w:rPr>
        <w:t xml:space="preserve">návrhu vyhlášky </w:t>
      </w:r>
      <w:r w:rsidRPr="002E7CAD">
        <w:rPr>
          <w:b/>
        </w:rPr>
        <w:t>s právom Európskej únie</w:t>
      </w:r>
    </w:p>
    <w:p w:rsidR="00E766EC" w:rsidRPr="002E7CAD" w:rsidRDefault="00E766EC" w:rsidP="00E766EC">
      <w:pPr>
        <w:jc w:val="both"/>
        <w:rPr>
          <w:b/>
          <w:bCs/>
        </w:rPr>
      </w:pPr>
    </w:p>
    <w:p w:rsidR="00E766EC" w:rsidRPr="002E7CAD" w:rsidRDefault="00E766EC" w:rsidP="00E766EC">
      <w:pPr>
        <w:jc w:val="both"/>
        <w:rPr>
          <w:b/>
          <w:bCs/>
        </w:rPr>
      </w:pPr>
    </w:p>
    <w:p w:rsidR="00E766EC" w:rsidRPr="002E7CAD" w:rsidRDefault="00E766EC" w:rsidP="002822AE">
      <w:pPr>
        <w:numPr>
          <w:ilvl w:val="0"/>
          <w:numId w:val="2"/>
        </w:numPr>
        <w:jc w:val="both"/>
      </w:pPr>
      <w:r w:rsidRPr="002E7CAD">
        <w:rPr>
          <w:b/>
          <w:bCs/>
        </w:rPr>
        <w:t xml:space="preserve">Navrhovateľ </w:t>
      </w:r>
      <w:r>
        <w:rPr>
          <w:b/>
          <w:bCs/>
        </w:rPr>
        <w:t>zákona</w:t>
      </w:r>
      <w:r w:rsidRPr="002E7CAD">
        <w:rPr>
          <w:b/>
          <w:bCs/>
        </w:rPr>
        <w:t xml:space="preserve">: </w:t>
      </w:r>
      <w:r>
        <w:t>poslan</w:t>
      </w:r>
      <w:r w:rsidR="001F0F19">
        <w:t>ci</w:t>
      </w:r>
      <w:r>
        <w:t xml:space="preserve"> Národnej rady Slovenskej republiky </w:t>
      </w:r>
      <w:r w:rsidR="00042001" w:rsidRPr="00042001">
        <w:t xml:space="preserve">Ľubomír Petrák, Martin </w:t>
      </w:r>
      <w:proofErr w:type="spellStart"/>
      <w:r w:rsidR="00042001" w:rsidRPr="00042001">
        <w:t>Glvač</w:t>
      </w:r>
      <w:proofErr w:type="spellEnd"/>
      <w:r w:rsidR="00042001" w:rsidRPr="00042001">
        <w:t>, Dušan Jarjab</w:t>
      </w:r>
      <w:r w:rsidR="00042001">
        <w:t>e</w:t>
      </w:r>
      <w:r w:rsidR="00042001" w:rsidRPr="00042001">
        <w:t>k, Pav</w:t>
      </w:r>
      <w:r w:rsidR="00042001">
        <w:t>o</w:t>
      </w:r>
      <w:r w:rsidR="00042001" w:rsidRPr="00042001">
        <w:t>l Gog</w:t>
      </w:r>
      <w:r w:rsidR="00042001">
        <w:t>a</w:t>
      </w:r>
      <w:r w:rsidR="00042001" w:rsidRPr="00042001">
        <w:t xml:space="preserve"> a Péter Vörös</w:t>
      </w:r>
      <w:bookmarkStart w:id="0" w:name="_GoBack"/>
      <w:bookmarkEnd w:id="0"/>
    </w:p>
    <w:p w:rsidR="00E766EC" w:rsidRPr="002E7CAD" w:rsidRDefault="00E766EC" w:rsidP="00E766EC">
      <w:pPr>
        <w:jc w:val="both"/>
      </w:pPr>
    </w:p>
    <w:p w:rsidR="00E766EC" w:rsidRPr="006E1F35" w:rsidRDefault="00E766EC" w:rsidP="006E1F35">
      <w:pPr>
        <w:numPr>
          <w:ilvl w:val="0"/>
          <w:numId w:val="2"/>
        </w:numPr>
        <w:jc w:val="both"/>
        <w:rPr>
          <w:b/>
          <w:bCs/>
        </w:rPr>
      </w:pPr>
      <w:r w:rsidRPr="006E1F35">
        <w:rPr>
          <w:b/>
          <w:bCs/>
        </w:rPr>
        <w:t>Názov návrhu zákona:</w:t>
      </w:r>
      <w:r w:rsidRPr="002E7CAD">
        <w:t xml:space="preserve"> </w:t>
      </w:r>
      <w:r w:rsidR="006E1F35" w:rsidRPr="006E1F35">
        <w:rPr>
          <w:rFonts w:eastAsia="Times New Roman"/>
          <w:bCs/>
        </w:rPr>
        <w:t xml:space="preserve">návrh zákona, ktorým sa mení a dopĺňa zákon </w:t>
      </w:r>
      <w:r w:rsidR="006E1F35">
        <w:rPr>
          <w:rFonts w:eastAsia="Times New Roman"/>
          <w:bCs/>
        </w:rPr>
        <w:t xml:space="preserve">č. </w:t>
      </w:r>
      <w:r w:rsidR="006E6510">
        <w:rPr>
          <w:rFonts w:eastAsia="Times New Roman"/>
          <w:bCs/>
        </w:rPr>
        <w:t>596/2003 Z. z. o </w:t>
      </w:r>
      <w:r w:rsidR="006E1F35" w:rsidRPr="006E1F35">
        <w:rPr>
          <w:rFonts w:eastAsia="Times New Roman"/>
          <w:bCs/>
        </w:rPr>
        <w:t xml:space="preserve">štátnej správe v školstve a školskej samospráve a o zmene a doplnení niektorých zákonov v znení neskorších predpisov a ktorým sa menia a dopĺňajú niektoré zákony  </w:t>
      </w:r>
    </w:p>
    <w:p w:rsidR="006E1F35" w:rsidRDefault="006E1F35" w:rsidP="006E1F35">
      <w:pPr>
        <w:pStyle w:val="Odsekzoznamu"/>
        <w:rPr>
          <w:b/>
          <w:bCs/>
        </w:rPr>
      </w:pPr>
    </w:p>
    <w:p w:rsidR="006E1F35" w:rsidRPr="006E1F35" w:rsidRDefault="006E1F35" w:rsidP="006E1F35">
      <w:pPr>
        <w:ind w:left="360"/>
        <w:jc w:val="both"/>
        <w:rPr>
          <w:b/>
          <w:bCs/>
        </w:rPr>
      </w:pPr>
    </w:p>
    <w:p w:rsidR="00E766EC" w:rsidRPr="002E7CAD" w:rsidRDefault="00E766EC" w:rsidP="00E766EC">
      <w:pPr>
        <w:numPr>
          <w:ilvl w:val="0"/>
          <w:numId w:val="2"/>
        </w:numPr>
        <w:jc w:val="both"/>
        <w:rPr>
          <w:b/>
          <w:bCs/>
        </w:rPr>
      </w:pPr>
      <w:r w:rsidRPr="002E7CAD">
        <w:rPr>
          <w:b/>
          <w:bCs/>
        </w:rPr>
        <w:t xml:space="preserve">Problematika návrhu </w:t>
      </w:r>
      <w:r>
        <w:rPr>
          <w:b/>
          <w:bCs/>
        </w:rPr>
        <w:t>zákona</w:t>
      </w:r>
      <w:r w:rsidRPr="002E7CAD">
        <w:rPr>
          <w:b/>
          <w:bCs/>
        </w:rPr>
        <w:t>:</w:t>
      </w:r>
    </w:p>
    <w:p w:rsidR="00E766EC" w:rsidRPr="002E7CAD" w:rsidRDefault="00E766EC" w:rsidP="00E766EC">
      <w:pPr>
        <w:pStyle w:val="Zarkazkladnhotextu3"/>
        <w:numPr>
          <w:ilvl w:val="0"/>
          <w:numId w:val="3"/>
        </w:numPr>
        <w:spacing w:after="0"/>
        <w:jc w:val="both"/>
        <w:rPr>
          <w:sz w:val="24"/>
          <w:szCs w:val="24"/>
          <w:lang w:val="sk-SK"/>
        </w:rPr>
      </w:pPr>
      <w:r w:rsidRPr="002E7CAD">
        <w:rPr>
          <w:sz w:val="24"/>
          <w:szCs w:val="24"/>
          <w:lang w:val="sk-SK"/>
        </w:rPr>
        <w:t>nie je upravená v práve Európskej únie,</w:t>
      </w:r>
    </w:p>
    <w:p w:rsidR="00E766EC" w:rsidRPr="002E7CAD" w:rsidRDefault="00E766EC" w:rsidP="00E766EC">
      <w:pPr>
        <w:pStyle w:val="Zarkazkladnhotextu3"/>
        <w:numPr>
          <w:ilvl w:val="0"/>
          <w:numId w:val="3"/>
        </w:numPr>
        <w:spacing w:after="0"/>
        <w:jc w:val="both"/>
        <w:rPr>
          <w:sz w:val="24"/>
          <w:szCs w:val="24"/>
          <w:lang w:val="sk-SK"/>
        </w:rPr>
      </w:pPr>
      <w:r w:rsidRPr="002E7CAD">
        <w:rPr>
          <w:sz w:val="24"/>
          <w:szCs w:val="24"/>
          <w:lang w:val="sk-SK"/>
        </w:rPr>
        <w:t>nie je obsiahnutá v judikatúre Súdneho dvora Európskej únie.</w:t>
      </w:r>
    </w:p>
    <w:p w:rsidR="00E766EC" w:rsidRPr="002E7CAD" w:rsidRDefault="00E766EC" w:rsidP="00E766EC">
      <w:pPr>
        <w:pStyle w:val="Zarkazkladnhotextu3"/>
        <w:spacing w:after="0"/>
        <w:ind w:left="0"/>
        <w:jc w:val="both"/>
        <w:rPr>
          <w:sz w:val="24"/>
          <w:szCs w:val="24"/>
          <w:lang w:val="sk-SK"/>
        </w:rPr>
      </w:pPr>
    </w:p>
    <w:p w:rsidR="00E766EC" w:rsidRPr="002E7CAD" w:rsidRDefault="00E766EC" w:rsidP="00E766EC">
      <w:pPr>
        <w:pStyle w:val="Zarkazkladnhotextu3"/>
        <w:spacing w:after="0"/>
        <w:ind w:left="0" w:firstLine="708"/>
        <w:jc w:val="both"/>
        <w:rPr>
          <w:b/>
          <w:sz w:val="24"/>
          <w:szCs w:val="24"/>
          <w:lang w:val="sk-SK"/>
        </w:rPr>
      </w:pPr>
      <w:r w:rsidRPr="002E7CAD">
        <w:rPr>
          <w:b/>
          <w:sz w:val="24"/>
          <w:szCs w:val="24"/>
          <w:lang w:val="sk-SK"/>
        </w:rPr>
        <w:t>Vzhľadom na vnútroštátny charakter na</w:t>
      </w:r>
      <w:r w:rsidR="006E6510">
        <w:rPr>
          <w:b/>
          <w:sz w:val="24"/>
          <w:szCs w:val="24"/>
          <w:lang w:val="sk-SK"/>
        </w:rPr>
        <w:t>vrhovaného právneho predpisu je </w:t>
      </w:r>
      <w:r w:rsidRPr="002E7CAD">
        <w:rPr>
          <w:b/>
          <w:sz w:val="24"/>
          <w:szCs w:val="24"/>
          <w:lang w:val="sk-SK"/>
        </w:rPr>
        <w:t xml:space="preserve">bezpredmetné vyjadrovať sa k bodom 4., 5. a 6. doložky zlučiteľnosti. </w:t>
      </w:r>
    </w:p>
    <w:p w:rsidR="00E766EC" w:rsidRDefault="00E766EC" w:rsidP="00E766EC"/>
    <w:p w:rsidR="00E766EC" w:rsidRDefault="00E766EC">
      <w:pPr>
        <w:spacing w:after="200" w:line="276" w:lineRule="auto"/>
        <w:rPr>
          <w:b/>
        </w:rPr>
      </w:pPr>
    </w:p>
    <w:p w:rsidR="00E766EC" w:rsidRDefault="00E766EC" w:rsidP="00962FCA">
      <w:pPr>
        <w:jc w:val="both"/>
        <w:rPr>
          <w:b/>
        </w:rPr>
      </w:pPr>
    </w:p>
    <w:p w:rsidR="00E766EC" w:rsidRDefault="00E766EC" w:rsidP="00962FCA">
      <w:pPr>
        <w:jc w:val="both"/>
        <w:rPr>
          <w:b/>
        </w:rPr>
      </w:pPr>
    </w:p>
    <w:p w:rsidR="00E766EC" w:rsidRDefault="00E766EC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962FCA" w:rsidRPr="00962FCA" w:rsidRDefault="00962FCA" w:rsidP="00962FCA">
      <w:pPr>
        <w:jc w:val="both"/>
        <w:rPr>
          <w:b/>
        </w:rPr>
      </w:pPr>
      <w:r w:rsidRPr="00962FCA">
        <w:rPr>
          <w:b/>
        </w:rPr>
        <w:lastRenderedPageBreak/>
        <w:t xml:space="preserve">B. </w:t>
      </w:r>
      <w:r w:rsidR="00E766EC">
        <w:rPr>
          <w:b/>
        </w:rPr>
        <w:t>Osobitná časť</w:t>
      </w:r>
    </w:p>
    <w:p w:rsidR="00962FCA" w:rsidRPr="00962FCA" w:rsidRDefault="00962FCA" w:rsidP="00962FCA">
      <w:pPr>
        <w:jc w:val="both"/>
        <w:rPr>
          <w:b/>
        </w:rPr>
      </w:pPr>
    </w:p>
    <w:p w:rsidR="00962FCA" w:rsidRPr="00962FCA" w:rsidRDefault="00962FCA" w:rsidP="00962FCA">
      <w:pPr>
        <w:jc w:val="both"/>
        <w:rPr>
          <w:b/>
        </w:rPr>
      </w:pPr>
      <w:r w:rsidRPr="00962FCA">
        <w:rPr>
          <w:b/>
        </w:rPr>
        <w:t>K Čl. I</w:t>
      </w:r>
    </w:p>
    <w:p w:rsidR="00962FCA" w:rsidRPr="004B4D0F" w:rsidRDefault="00962FCA" w:rsidP="00962FCA">
      <w:pPr>
        <w:jc w:val="both"/>
      </w:pPr>
    </w:p>
    <w:p w:rsidR="006978C2" w:rsidRPr="006978C2" w:rsidRDefault="006978C2" w:rsidP="006E1F35">
      <w:pPr>
        <w:jc w:val="both"/>
        <w:rPr>
          <w:b/>
        </w:rPr>
      </w:pPr>
      <w:r w:rsidRPr="006978C2">
        <w:rPr>
          <w:b/>
        </w:rPr>
        <w:t>K bodu 1</w:t>
      </w:r>
    </w:p>
    <w:p w:rsidR="006978C2" w:rsidRDefault="006978C2" w:rsidP="006E1F35">
      <w:pPr>
        <w:jc w:val="both"/>
      </w:pPr>
      <w:r>
        <w:t xml:space="preserve">Cieľom navrhovanej úpravy je, aby pri zrušení spoločného školského obvodu mali dotknuté subjekty dostatočný časový priestor na zabezpečenie potrebných úkonov. Preto sa navrhuje, aby spoločný školský obvod </w:t>
      </w:r>
      <w:r w:rsidR="005B2D1D">
        <w:t>nebolo možné z</w:t>
      </w:r>
      <w:r>
        <w:t>ruš</w:t>
      </w:r>
      <w:r w:rsidR="005B2D1D">
        <w:t>iť</w:t>
      </w:r>
      <w:r>
        <w:t xml:space="preserve"> bezprostredne zároveň s vypovedaním dohody obcí o jeho zriadení</w:t>
      </w:r>
      <w:r w:rsidR="00897845">
        <w:t xml:space="preserve">. Nástrojom na dosiahnutie cieľa je </w:t>
      </w:r>
      <w:r>
        <w:t>inštitút výpovednej lehoty, ktorej minimálne trvanie ustanoví zákon.</w:t>
      </w:r>
    </w:p>
    <w:p w:rsidR="006978C2" w:rsidRDefault="006978C2" w:rsidP="006E1F35">
      <w:pPr>
        <w:jc w:val="both"/>
      </w:pPr>
    </w:p>
    <w:p w:rsidR="00AF5B0D" w:rsidRPr="00AF5B0D" w:rsidRDefault="00AF5B0D" w:rsidP="006E1F35">
      <w:pPr>
        <w:jc w:val="both"/>
        <w:rPr>
          <w:b/>
        </w:rPr>
      </w:pPr>
      <w:r>
        <w:rPr>
          <w:b/>
        </w:rPr>
        <w:t>K </w:t>
      </w:r>
      <w:r w:rsidRPr="001077F4">
        <w:rPr>
          <w:b/>
        </w:rPr>
        <w:t xml:space="preserve">bodu </w:t>
      </w:r>
      <w:r w:rsidR="006978C2">
        <w:rPr>
          <w:b/>
        </w:rPr>
        <w:t>2</w:t>
      </w:r>
    </w:p>
    <w:p w:rsidR="001F0F19" w:rsidRDefault="006E1F35" w:rsidP="006E1F35">
      <w:pPr>
        <w:jc w:val="both"/>
      </w:pPr>
      <w:r>
        <w:t xml:space="preserve">Okresný úrad v sídle kraja podľa aktuálne účinnej právnej </w:t>
      </w:r>
      <w:r w:rsidR="006E6510">
        <w:t>úpravy organizuje, koordinuje a </w:t>
      </w:r>
      <w:r>
        <w:t>finančne zabezpečuje okresné a krajské kolá súťaží detí a žiakov škôl a školských zariadení vo svojej územnej pôsobnosti a predmetové olympiády žiako</w:t>
      </w:r>
      <w:r w:rsidR="006E6510">
        <w:t>v škôl a školských zariadení vo </w:t>
      </w:r>
      <w:r>
        <w:t xml:space="preserve">svojej územnej pôsobnosti. Okresný úrad v sídle kraja </w:t>
      </w:r>
      <w:r w:rsidR="00AF5B0D">
        <w:t xml:space="preserve">tiež </w:t>
      </w:r>
      <w:r>
        <w:t>organizačne a finančne zabezpečuje spoluprácu so zriaďovateľmi vo svojej územnej pôsobnosti, s právnickými osobami a občianskymi združeniami zabezpečujúcimi šport a telesnú kultúru.</w:t>
      </w:r>
      <w:r w:rsidR="00AF5B0D">
        <w:t xml:space="preserve"> </w:t>
      </w:r>
      <w:r w:rsidR="006E6510">
        <w:t>Okresný úrad v </w:t>
      </w:r>
      <w:r>
        <w:t>sídle kraja finančne zabezpečuje celoslovenské kolá súťaží detí a žiakov škôl a školských zariadení organizovaných na území kraja.</w:t>
      </w:r>
      <w:r w:rsidR="00AF5B0D">
        <w:t xml:space="preserve"> V súvislosti s účinnosťou zákona č. 18/2018 Z. z. o ochrane osobných údajov a o zmene a doplnení niektorých zákonov sa navrhovanou úpravou ustanovuje rozsah osobných údajov, ktoré môžu zamestnanci okresných úradov v sídle kraja spracúvať pri plnení úloh súvisiacich</w:t>
      </w:r>
      <w:r w:rsidR="006E6510">
        <w:t xml:space="preserve"> s organizáciou, koordináciou a </w:t>
      </w:r>
      <w:r w:rsidR="00AF5B0D">
        <w:t>financovaním vyššie uvedených súťaží.</w:t>
      </w:r>
    </w:p>
    <w:p w:rsidR="007711F0" w:rsidRDefault="007711F0" w:rsidP="001F0F19">
      <w:pPr>
        <w:jc w:val="both"/>
      </w:pPr>
    </w:p>
    <w:p w:rsidR="007711F0" w:rsidRPr="005A0BA5" w:rsidRDefault="007711F0" w:rsidP="001F0F19">
      <w:pPr>
        <w:jc w:val="both"/>
        <w:rPr>
          <w:b/>
        </w:rPr>
      </w:pPr>
      <w:r w:rsidRPr="005A0BA5">
        <w:rPr>
          <w:b/>
        </w:rPr>
        <w:t>K </w:t>
      </w:r>
      <w:r w:rsidRPr="001077F4">
        <w:rPr>
          <w:b/>
        </w:rPr>
        <w:t xml:space="preserve">bodu </w:t>
      </w:r>
      <w:r w:rsidR="006978C2">
        <w:rPr>
          <w:b/>
        </w:rPr>
        <w:t>3</w:t>
      </w:r>
    </w:p>
    <w:p w:rsidR="00524859" w:rsidRDefault="00524859" w:rsidP="001F0F19">
      <w:pPr>
        <w:jc w:val="both"/>
      </w:pPr>
      <w:r>
        <w:t>Cieľom navrhovanej úpravy</w:t>
      </w:r>
      <w:r w:rsidRPr="00524859">
        <w:t xml:space="preserve"> je zvýšiť právnu istotu kontrolovaných subjektov nastavením j</w:t>
      </w:r>
      <w:r>
        <w:t>ednoznačných</w:t>
      </w:r>
      <w:r w:rsidRPr="00524859">
        <w:t xml:space="preserve"> pravidiel pre úpravu výstupných materiálov (správ o výsledkoch školskej inšpekcie). V súčasnosti </w:t>
      </w:r>
      <w:r>
        <w:t>účinná právna úprava</w:t>
      </w:r>
      <w:r w:rsidRPr="00524859">
        <w:t xml:space="preserve"> neobsahuje</w:t>
      </w:r>
      <w:r w:rsidR="006E6510">
        <w:t xml:space="preserve"> algoritmus, ktorý sa použije v </w:t>
      </w:r>
      <w:r w:rsidRPr="00524859">
        <w:t>prípade, že buď na podnet riaditeľa kontrolovaného subjektu alebo na základe vnútornej kontroly v rámci Štátnej školskej inšpekcie boli zistené nedostatky vo výsledkoch a procesoch školskej inšpekcie. Mechanizmus opráv nedostatkov v kontrolných záveroch, ktorý obsahuje zákon č. 10/1996 Z. z. o kontrole v štátnej správe, nie je možn</w:t>
      </w:r>
      <w:r>
        <w:t>é</w:t>
      </w:r>
      <w:r w:rsidRPr="00524859">
        <w:t xml:space="preserve"> vzhľadom na špecifické vlastnosti školskej inšpekcie použiť v plnom rozsahu. </w:t>
      </w:r>
      <w:r>
        <w:t>Navrhovaná úprava</w:t>
      </w:r>
      <w:r w:rsidRPr="00524859">
        <w:t xml:space="preserve"> má ambíciu skvalitniť výkon inšpekcie, pričom podnet na vypracovanie dodatku k správe má vychádzať zo zistení vnútornej kontroly inšpekcie</w:t>
      </w:r>
      <w:r>
        <w:t>.</w:t>
      </w:r>
    </w:p>
    <w:p w:rsidR="00524859" w:rsidRDefault="00524859" w:rsidP="001F0F19">
      <w:pPr>
        <w:jc w:val="both"/>
      </w:pPr>
    </w:p>
    <w:p w:rsidR="007711F0" w:rsidRDefault="007711F0" w:rsidP="001F0F19">
      <w:pPr>
        <w:jc w:val="both"/>
        <w:rPr>
          <w:b/>
        </w:rPr>
      </w:pPr>
      <w:r w:rsidRPr="001077F4">
        <w:rPr>
          <w:b/>
        </w:rPr>
        <w:t>K</w:t>
      </w:r>
      <w:r w:rsidR="00C90FEC" w:rsidRPr="001077F4">
        <w:rPr>
          <w:b/>
        </w:rPr>
        <w:t> </w:t>
      </w:r>
      <w:r w:rsidRPr="001077F4">
        <w:rPr>
          <w:b/>
        </w:rPr>
        <w:t>bod</w:t>
      </w:r>
      <w:r w:rsidR="00C90FEC" w:rsidRPr="001077F4">
        <w:rPr>
          <w:b/>
        </w:rPr>
        <w:t xml:space="preserve">om </w:t>
      </w:r>
      <w:r w:rsidR="006978C2">
        <w:rPr>
          <w:b/>
        </w:rPr>
        <w:t>4</w:t>
      </w:r>
      <w:r w:rsidR="00C90FEC" w:rsidRPr="001077F4">
        <w:rPr>
          <w:b/>
        </w:rPr>
        <w:t xml:space="preserve"> až </w:t>
      </w:r>
      <w:r w:rsidR="006978C2">
        <w:rPr>
          <w:b/>
        </w:rPr>
        <w:t>6</w:t>
      </w:r>
      <w:r w:rsidR="00EC3AD3" w:rsidRPr="001077F4">
        <w:rPr>
          <w:b/>
        </w:rPr>
        <w:t xml:space="preserve"> a</w:t>
      </w:r>
      <w:r w:rsidR="00E36E7C" w:rsidRPr="001077F4">
        <w:rPr>
          <w:b/>
        </w:rPr>
        <w:t> </w:t>
      </w:r>
      <w:r w:rsidR="00006FC1">
        <w:rPr>
          <w:b/>
        </w:rPr>
        <w:t>9</w:t>
      </w:r>
      <w:r w:rsidR="00E36E7C" w:rsidRPr="001077F4">
        <w:rPr>
          <w:b/>
        </w:rPr>
        <w:t xml:space="preserve"> a Čl. II</w:t>
      </w:r>
    </w:p>
    <w:p w:rsidR="00EC3AD3" w:rsidRPr="00EC3AD3" w:rsidRDefault="00EC3AD3" w:rsidP="00C25E13">
      <w:pPr>
        <w:jc w:val="both"/>
      </w:pPr>
      <w:r>
        <w:t>V praxi narastá</w:t>
      </w:r>
      <w:r w:rsidRPr="00EC3AD3">
        <w:t xml:space="preserve"> frekvencia situácií, kedy kontrolované sub</w:t>
      </w:r>
      <w:r w:rsidR="006E6510">
        <w:t>jekty nevytvárajú podmienky pre </w:t>
      </w:r>
      <w:r w:rsidRPr="00EC3AD3">
        <w:t>výkon kontroly buď tým, že odmietnu predložiť požado</w:t>
      </w:r>
      <w:r w:rsidR="006E6510">
        <w:t>vanú dokumentáciu alebo tým, že </w:t>
      </w:r>
      <w:r w:rsidRPr="00EC3AD3">
        <w:t>zamedzia vstup školských inšpektorov do kontrolované</w:t>
      </w:r>
      <w:r w:rsidR="006E6510">
        <w:t>ho subjektu. Ukazuje sa, že v </w:t>
      </w:r>
      <w:r w:rsidRPr="00EC3AD3">
        <w:t xml:space="preserve">prípadoch, kedy si školy a školské zariadenia uvedomujú, že výsledky kontroly by vzhľadom na existujúci stav mohli viesť k podaniu návrhu na </w:t>
      </w:r>
      <w:r w:rsidR="006E6510">
        <w:t>vyradenie subjektu zo siete, je </w:t>
      </w:r>
      <w:r w:rsidRPr="00EC3AD3">
        <w:t xml:space="preserve">menej rizikové zniesť uloženie pokuty podľa § 37a ods. 2 písm. a) zákona č. 596/2003 Z. z. Pokuta v maximálnej výške 331,50 € sa ukladá v správnom konaní, čo znamená, že celý proces sa značne predlžuje. Ilustráciou tohto stavu  je škola, kedy výkon školskej inšpekcie nebol umožnený 2-krát po sebe, </w:t>
      </w:r>
      <w:r w:rsidR="00C25E13">
        <w:t xml:space="preserve">bolo vydané </w:t>
      </w:r>
      <w:r w:rsidRPr="00EC3AD3">
        <w:t xml:space="preserve">prvostupňové rozhodnutie o uložení pokuty, následne po odvolaní bolo vydané rozhodnutie druhého stupňa a v súčasnosti vo veci na návrh vo veci rozhoduje </w:t>
      </w:r>
      <w:r w:rsidR="00C25E13">
        <w:t>súd</w:t>
      </w:r>
      <w:r w:rsidRPr="00EC3AD3">
        <w:t xml:space="preserve">. Je možné predpokladať, že po rozhodnutí súdu žalobca podá ešte kasačnú sťažnosť, takže definitívne sa vo veci rozhodne najskôr po 1,5 roka po pokuse </w:t>
      </w:r>
      <w:r w:rsidRPr="00EC3AD3">
        <w:lastRenderedPageBreak/>
        <w:t>inšpekcie vykonať kontrolu. Počas tohto obdobia štát prostredníctvom orgánu, ktorý je na to určený</w:t>
      </w:r>
      <w:r w:rsidR="00C25E13">
        <w:t xml:space="preserve">, </w:t>
      </w:r>
      <w:r w:rsidRPr="00EC3AD3">
        <w:t xml:space="preserve"> nemá možnosť nielen plánovito dohliadať na úroveň pedagogického riadenia, výchovno-vzdelávacieho procesu a podmienok, ale ani riešiť existujúce problémy.</w:t>
      </w:r>
      <w:r w:rsidR="006E6510">
        <w:t xml:space="preserve"> Z </w:t>
      </w:r>
      <w:r w:rsidR="00C25E13">
        <w:t xml:space="preserve">charakteristiky problémov vyplýva, že súčasná právna úprava neúčinne rieši, resp. de </w:t>
      </w:r>
      <w:proofErr w:type="spellStart"/>
      <w:r w:rsidR="00C25E13">
        <w:t>facto</w:t>
      </w:r>
      <w:proofErr w:type="spellEnd"/>
      <w:r w:rsidR="00C25E13">
        <w:t xml:space="preserve"> vôbec nerieši vzniknuté situácie. </w:t>
      </w:r>
    </w:p>
    <w:p w:rsidR="004767BC" w:rsidRDefault="004767BC" w:rsidP="00ED275B">
      <w:pPr>
        <w:jc w:val="both"/>
      </w:pPr>
    </w:p>
    <w:p w:rsidR="00006FC1" w:rsidRPr="00006FC1" w:rsidRDefault="00006FC1" w:rsidP="00ED275B">
      <w:pPr>
        <w:jc w:val="both"/>
        <w:rPr>
          <w:b/>
        </w:rPr>
      </w:pPr>
      <w:r w:rsidRPr="00006FC1">
        <w:rPr>
          <w:b/>
        </w:rPr>
        <w:t>K bodu 7</w:t>
      </w:r>
    </w:p>
    <w:p w:rsidR="00006FC1" w:rsidRDefault="00006FC1" w:rsidP="00ED275B">
      <w:pPr>
        <w:jc w:val="both"/>
      </w:pPr>
      <w:r>
        <w:t>V nadväznosti na navrhované zmeny v § 13 sa z dôvodu jednoznačnosti definujú aj druhy konania fyzických osôb a právnických osôb, ktoré budú považované za marenie výkonu školskej inšpekcie.</w:t>
      </w:r>
    </w:p>
    <w:p w:rsidR="00006FC1" w:rsidRDefault="00006FC1" w:rsidP="00ED275B">
      <w:pPr>
        <w:jc w:val="both"/>
      </w:pPr>
    </w:p>
    <w:p w:rsidR="004767BC" w:rsidRPr="00C25E13" w:rsidRDefault="004767BC" w:rsidP="00ED275B">
      <w:pPr>
        <w:jc w:val="both"/>
        <w:rPr>
          <w:b/>
        </w:rPr>
      </w:pPr>
      <w:r w:rsidRPr="00C25E13">
        <w:rPr>
          <w:b/>
        </w:rPr>
        <w:t xml:space="preserve">K bodu </w:t>
      </w:r>
      <w:r w:rsidR="00006FC1">
        <w:rPr>
          <w:b/>
        </w:rPr>
        <w:t>8</w:t>
      </w:r>
    </w:p>
    <w:p w:rsidR="000C20ED" w:rsidRDefault="000C20ED" w:rsidP="000C20ED">
      <w:pPr>
        <w:jc w:val="both"/>
      </w:pPr>
      <w:r>
        <w:t>V súvislosti s účinnosťou zákona č. 18/2018 Z. z. o ochrane osobný</w:t>
      </w:r>
      <w:r w:rsidR="006E6510">
        <w:t>ch údajov a zmene a </w:t>
      </w:r>
      <w:r>
        <w:t>doplnení niektorých zákonov a Nariadenia Európskeho parlamentu a Rady EÚ) 2016/679 vyplynula potreba explicitne upraviť problematiku osobnýc</w:t>
      </w:r>
      <w:r w:rsidR="006E6510">
        <w:t>h údajov, ktoré ŠŠI spracúva na </w:t>
      </w:r>
      <w:r>
        <w:t>základe vykonaných školských inšpekcií. Je v záujme školskej inšpekcie, ako aj dotknutých osôb (žiaci, rodičia, pedagogickí a odborní zamestnanci), aby vedeli, za akých okolností a aké osobné údaje bude školská inšpekcia spracúvať.</w:t>
      </w:r>
    </w:p>
    <w:p w:rsidR="00F71684" w:rsidRDefault="00F71684" w:rsidP="000C20ED">
      <w:pPr>
        <w:jc w:val="both"/>
      </w:pPr>
    </w:p>
    <w:p w:rsidR="00962FCA" w:rsidRDefault="00962FCA" w:rsidP="00962FCA">
      <w:pPr>
        <w:jc w:val="both"/>
        <w:rPr>
          <w:b/>
        </w:rPr>
      </w:pPr>
      <w:r w:rsidRPr="00962FCA">
        <w:rPr>
          <w:b/>
        </w:rPr>
        <w:t>K Čl. II</w:t>
      </w:r>
      <w:r w:rsidR="000C20ED">
        <w:rPr>
          <w:b/>
        </w:rPr>
        <w:t>I</w:t>
      </w:r>
    </w:p>
    <w:p w:rsidR="00585427" w:rsidRDefault="00585427" w:rsidP="00962FCA">
      <w:pPr>
        <w:jc w:val="both"/>
        <w:rPr>
          <w:b/>
        </w:rPr>
      </w:pPr>
    </w:p>
    <w:p w:rsidR="00AF039A" w:rsidRDefault="00D7588B" w:rsidP="00962FCA">
      <w:pPr>
        <w:jc w:val="both"/>
      </w:pPr>
      <w:r>
        <w:t>Navrhovanou zmenou sa upravujú podmienky prijímacieho konania pre školský rok 2019/2020 pre s</w:t>
      </w:r>
      <w:r w:rsidRPr="00D7588B">
        <w:t>tredn</w:t>
      </w:r>
      <w:r>
        <w:t>ú</w:t>
      </w:r>
      <w:r w:rsidRPr="00D7588B">
        <w:t xml:space="preserve"> umeleck</w:t>
      </w:r>
      <w:r>
        <w:t>ú</w:t>
      </w:r>
      <w:r w:rsidRPr="00D7588B">
        <w:t xml:space="preserve"> škol</w:t>
      </w:r>
      <w:r>
        <w:t>u</w:t>
      </w:r>
      <w:r w:rsidRPr="00D7588B">
        <w:t xml:space="preserve"> a škol</w:t>
      </w:r>
      <w:r>
        <w:t>u</w:t>
      </w:r>
      <w:r w:rsidRPr="00D7588B">
        <w:t xml:space="preserve"> úžitkového výtvarníctva</w:t>
      </w:r>
      <w:r>
        <w:t xml:space="preserve"> v súvislosti s ich transformáciou na školu umeleckého priemyslu a v nadväznosti na vznik novej skupiny študijných odborov, v ktorých môže škola umeleckého priemyslu poskytovať výchovu a vzdelávanie.</w:t>
      </w:r>
    </w:p>
    <w:p w:rsidR="00AF039A" w:rsidRDefault="00AF039A" w:rsidP="00962FCA">
      <w:pPr>
        <w:jc w:val="both"/>
      </w:pPr>
    </w:p>
    <w:p w:rsidR="00AF039A" w:rsidRPr="001077F4" w:rsidRDefault="00AF039A" w:rsidP="00962FCA">
      <w:pPr>
        <w:jc w:val="both"/>
        <w:rPr>
          <w:b/>
        </w:rPr>
      </w:pPr>
      <w:r w:rsidRPr="001077F4">
        <w:rPr>
          <w:b/>
        </w:rPr>
        <w:t xml:space="preserve">K Čl. </w:t>
      </w:r>
      <w:r w:rsidR="0074311D" w:rsidRPr="001077F4">
        <w:rPr>
          <w:b/>
        </w:rPr>
        <w:t>I</w:t>
      </w:r>
      <w:r w:rsidRPr="001077F4">
        <w:rPr>
          <w:b/>
        </w:rPr>
        <w:t>V</w:t>
      </w:r>
    </w:p>
    <w:p w:rsidR="00A312C3" w:rsidRPr="00962FCA" w:rsidRDefault="00AF039A" w:rsidP="004B4D0F">
      <w:pPr>
        <w:jc w:val="both"/>
      </w:pPr>
      <w:r w:rsidRPr="001077F4">
        <w:t>Ustanovenie upravujúce účinnosť návrhu zákona, ktorá</w:t>
      </w:r>
      <w:r w:rsidR="00F8002C" w:rsidRPr="001077F4">
        <w:t xml:space="preserve"> sa navrhuje od 1. januára 2019</w:t>
      </w:r>
      <w:r w:rsidR="00585427">
        <w:t>.</w:t>
      </w:r>
      <w:r w:rsidR="00F8002C" w:rsidRPr="001077F4">
        <w:t xml:space="preserve"> </w:t>
      </w:r>
    </w:p>
    <w:sectPr w:rsidR="00A312C3" w:rsidRPr="00962FCA" w:rsidSect="00840575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526" w:rsidRDefault="00923526" w:rsidP="00840575">
      <w:r>
        <w:separator/>
      </w:r>
    </w:p>
  </w:endnote>
  <w:endnote w:type="continuationSeparator" w:id="0">
    <w:p w:rsidR="00923526" w:rsidRDefault="00923526" w:rsidP="0084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526" w:rsidRDefault="00923526" w:rsidP="00840575">
      <w:r>
        <w:separator/>
      </w:r>
    </w:p>
  </w:footnote>
  <w:footnote w:type="continuationSeparator" w:id="0">
    <w:p w:rsidR="00923526" w:rsidRDefault="00923526" w:rsidP="0084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5870"/>
    <w:multiLevelType w:val="hybridMultilevel"/>
    <w:tmpl w:val="07E8BBF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6B363E"/>
    <w:multiLevelType w:val="hybridMultilevel"/>
    <w:tmpl w:val="5E684B7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C5E3EAE"/>
    <w:multiLevelType w:val="hybridMultilevel"/>
    <w:tmpl w:val="C57CDDFC"/>
    <w:lvl w:ilvl="0" w:tplc="9BA8F01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6632A6"/>
    <w:multiLevelType w:val="hybridMultilevel"/>
    <w:tmpl w:val="3BE62EEA"/>
    <w:lvl w:ilvl="0" w:tplc="8FEE3F3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5" w15:restartNumberingAfterBreak="0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</w:abstractNum>
  <w:abstractNum w:abstractNumId="6" w15:restartNumberingAfterBreak="0">
    <w:nsid w:val="5B8E2D10"/>
    <w:multiLevelType w:val="hybridMultilevel"/>
    <w:tmpl w:val="9224DB9E"/>
    <w:lvl w:ilvl="0" w:tplc="9BFC8018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62FCA"/>
    <w:rsid w:val="00006FC1"/>
    <w:rsid w:val="000320DA"/>
    <w:rsid w:val="00034C4C"/>
    <w:rsid w:val="00042001"/>
    <w:rsid w:val="00073040"/>
    <w:rsid w:val="000775F8"/>
    <w:rsid w:val="000B17A2"/>
    <w:rsid w:val="000C20ED"/>
    <w:rsid w:val="000C7CE4"/>
    <w:rsid w:val="000F34EA"/>
    <w:rsid w:val="001077F4"/>
    <w:rsid w:val="00130053"/>
    <w:rsid w:val="001335A7"/>
    <w:rsid w:val="00145346"/>
    <w:rsid w:val="00154AA8"/>
    <w:rsid w:val="00164BA5"/>
    <w:rsid w:val="001A17A7"/>
    <w:rsid w:val="001F0F19"/>
    <w:rsid w:val="00201ED4"/>
    <w:rsid w:val="00223A7F"/>
    <w:rsid w:val="00255254"/>
    <w:rsid w:val="00256D61"/>
    <w:rsid w:val="002822AE"/>
    <w:rsid w:val="002900A5"/>
    <w:rsid w:val="002C58B2"/>
    <w:rsid w:val="002E7CAD"/>
    <w:rsid w:val="00323CAD"/>
    <w:rsid w:val="0033666A"/>
    <w:rsid w:val="00426879"/>
    <w:rsid w:val="004767BC"/>
    <w:rsid w:val="004B4D0F"/>
    <w:rsid w:val="00500EC5"/>
    <w:rsid w:val="00517142"/>
    <w:rsid w:val="00524859"/>
    <w:rsid w:val="00565B19"/>
    <w:rsid w:val="00575A14"/>
    <w:rsid w:val="00585427"/>
    <w:rsid w:val="005859F9"/>
    <w:rsid w:val="005A0BA5"/>
    <w:rsid w:val="005B2D1D"/>
    <w:rsid w:val="005D1184"/>
    <w:rsid w:val="00626D74"/>
    <w:rsid w:val="006978C2"/>
    <w:rsid w:val="006D475C"/>
    <w:rsid w:val="006E1F35"/>
    <w:rsid w:val="006E6510"/>
    <w:rsid w:val="0073461C"/>
    <w:rsid w:val="0074311D"/>
    <w:rsid w:val="0076185B"/>
    <w:rsid w:val="007711F0"/>
    <w:rsid w:val="007F2922"/>
    <w:rsid w:val="00840575"/>
    <w:rsid w:val="0085438E"/>
    <w:rsid w:val="008742C1"/>
    <w:rsid w:val="00882857"/>
    <w:rsid w:val="00897845"/>
    <w:rsid w:val="008C77E2"/>
    <w:rsid w:val="008E1CB1"/>
    <w:rsid w:val="00923526"/>
    <w:rsid w:val="00927D45"/>
    <w:rsid w:val="00962FCA"/>
    <w:rsid w:val="00986DE6"/>
    <w:rsid w:val="009E01DB"/>
    <w:rsid w:val="009E4667"/>
    <w:rsid w:val="009F2A7F"/>
    <w:rsid w:val="00A1089B"/>
    <w:rsid w:val="00A312C3"/>
    <w:rsid w:val="00A524C6"/>
    <w:rsid w:val="00A71BF1"/>
    <w:rsid w:val="00A848FA"/>
    <w:rsid w:val="00A92FED"/>
    <w:rsid w:val="00AD1F4D"/>
    <w:rsid w:val="00AF039A"/>
    <w:rsid w:val="00AF5B0D"/>
    <w:rsid w:val="00B00EC8"/>
    <w:rsid w:val="00B03D14"/>
    <w:rsid w:val="00B053CC"/>
    <w:rsid w:val="00B07120"/>
    <w:rsid w:val="00B21E95"/>
    <w:rsid w:val="00B25DD5"/>
    <w:rsid w:val="00B50677"/>
    <w:rsid w:val="00B61F9F"/>
    <w:rsid w:val="00BE3123"/>
    <w:rsid w:val="00BF10CE"/>
    <w:rsid w:val="00C22715"/>
    <w:rsid w:val="00C25E13"/>
    <w:rsid w:val="00C90FEC"/>
    <w:rsid w:val="00D7588B"/>
    <w:rsid w:val="00D81751"/>
    <w:rsid w:val="00D85CD7"/>
    <w:rsid w:val="00DB789C"/>
    <w:rsid w:val="00DC32ED"/>
    <w:rsid w:val="00DD50FC"/>
    <w:rsid w:val="00E36E7C"/>
    <w:rsid w:val="00E62B79"/>
    <w:rsid w:val="00E766EC"/>
    <w:rsid w:val="00E96361"/>
    <w:rsid w:val="00EA1B75"/>
    <w:rsid w:val="00EA6D0B"/>
    <w:rsid w:val="00EB6D34"/>
    <w:rsid w:val="00EC3AD3"/>
    <w:rsid w:val="00EC7265"/>
    <w:rsid w:val="00ED275B"/>
    <w:rsid w:val="00F06134"/>
    <w:rsid w:val="00F16297"/>
    <w:rsid w:val="00F338EE"/>
    <w:rsid w:val="00F503CC"/>
    <w:rsid w:val="00F71684"/>
    <w:rsid w:val="00F718C7"/>
    <w:rsid w:val="00F72DD1"/>
    <w:rsid w:val="00F8002C"/>
    <w:rsid w:val="00FA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1550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62F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FC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962F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62FCA"/>
    <w:rPr>
      <w:rFonts w:ascii="Times New Roman" w:eastAsiaTheme="minorEastAsia" w:hAnsi="Times New Roman" w:cs="Times New Roman"/>
      <w:sz w:val="24"/>
      <w:szCs w:val="24"/>
      <w:lang w:val="x-none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E766EC"/>
    <w:pPr>
      <w:spacing w:after="120"/>
      <w:ind w:left="283"/>
    </w:pPr>
    <w:rPr>
      <w:rFonts w:eastAsia="Times New Roman"/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766EC"/>
    <w:rPr>
      <w:rFonts w:ascii="Times New Roman" w:hAnsi="Times New Roman" w:cs="Times New Roman"/>
      <w:sz w:val="16"/>
      <w:szCs w:val="16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0E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00EC5"/>
    <w:rPr>
      <w:rFonts w:ascii="Segoe UI" w:eastAsiaTheme="minorEastAsia" w:hAnsi="Segoe UI" w:cs="Segoe UI"/>
      <w:sz w:val="18"/>
      <w:szCs w:val="18"/>
      <w:lang w:val="x-none" w:eastAsia="sk-SK"/>
    </w:rPr>
  </w:style>
  <w:style w:type="character" w:styleId="Odkaznakomentr">
    <w:name w:val="annotation reference"/>
    <w:basedOn w:val="Predvolenpsmoodseku"/>
    <w:uiPriority w:val="99"/>
    <w:rsid w:val="000320D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320D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320DA"/>
    <w:rPr>
      <w:rFonts w:ascii="Times New Roman" w:eastAsiaTheme="minorEastAsia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320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320DA"/>
    <w:rPr>
      <w:rFonts w:ascii="Times New Roman" w:eastAsiaTheme="minorEastAsia" w:hAnsi="Times New Roman" w:cs="Times New Roman"/>
      <w:b/>
      <w:bCs/>
      <w:sz w:val="20"/>
      <w:szCs w:val="20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A1E9-DBDB-4AE8-AC9E-E93298D5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2018-09-26T19:02:00Z</dcterms:created>
  <dcterms:modified xsi:type="dcterms:W3CDTF">2018-09-26T19:09:00Z</dcterms:modified>
</cp:coreProperties>
</file>