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E66" w:rsidRPr="004E1E66" w:rsidRDefault="004E1E66" w:rsidP="004E1E66">
      <w:pPr>
        <w:widowControl/>
        <w:autoSpaceDE/>
        <w:autoSpaceDN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:rsidR="004E1E66" w:rsidRPr="004E1E66" w:rsidRDefault="004E1E66" w:rsidP="004E1E66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70" w:hanging="18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:rsidR="004E1E66" w:rsidRPr="004E1E66" w:rsidRDefault="00CD49BD" w:rsidP="004E1E66">
      <w:pPr>
        <w:widowControl/>
        <w:autoSpaceDE/>
        <w:autoSpaceDN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2" name="Rovná spojovacia šípk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092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2" o:spid="_x0000_s1026" type="#_x0000_t32" style="position:absolute;margin-left:-.35pt;margin-top:2.75pt;width:45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B5nBB03AgAASwQAAA4AAAAAAAAAAAAAAAAA&#10;LgIAAGRycy9lMm9Eb2MueG1sUEsBAi0AFAAGAAgAAAAhADrvqMnaAAAABQEAAA8AAAAAAAAAAAAA&#10;AAAAkQQAAGRycy9kb3ducmV2LnhtbFBLBQYAAAAABAAEAPMAAACYBQAAAAA=&#10;"/>
            </w:pict>
          </mc:Fallback>
        </mc:AlternateContent>
      </w:r>
    </w:p>
    <w:p w:rsidR="004E1E66" w:rsidRPr="004E1E66" w:rsidRDefault="004E1E66" w:rsidP="004E1E66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Návrh zákona, ktorým sa mení </w:t>
      </w:r>
      <w:r w:rsidR="000E26FA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a dopĺňa </w:t>
      </w:r>
      <w:r w:rsidRPr="004E1E66">
        <w:rPr>
          <w:rFonts w:ascii="Book Antiqua" w:hAnsi="Book Antiqua"/>
          <w:color w:val="000000"/>
          <w:kern w:val="0"/>
          <w:sz w:val="22"/>
          <w:szCs w:val="22"/>
          <w:lang w:bidi="ar-SA"/>
        </w:rPr>
        <w:t xml:space="preserve">zákon č. 301/2005 Z. z. Trestný poriadok </w:t>
      </w:r>
      <w:r w:rsidRPr="004E1E66">
        <w:rPr>
          <w:rFonts w:ascii="Book Antiqua" w:hAnsi="Book Antiqua"/>
          <w:color w:val="000000"/>
          <w:kern w:val="0"/>
          <w:sz w:val="22"/>
          <w:szCs w:val="22"/>
          <w:lang w:bidi="ar-SA"/>
        </w:rPr>
        <w:br/>
        <w:t xml:space="preserve">v znení neskorších predpisov </w:t>
      </w:r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predkladajú do Národnej rady Slovenskej republiky poslanci Národnej rady Slovenskej republiky za politickú stranu </w:t>
      </w:r>
      <w:proofErr w:type="spellStart"/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Kotleba</w:t>
      </w:r>
      <w:proofErr w:type="spellEnd"/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– Ľudová strana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Naše Slovensko </w:t>
      </w:r>
      <w:proofErr w:type="spellStart"/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Marian</w:t>
      </w:r>
      <w:proofErr w:type="spellEnd"/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proofErr w:type="spellStart"/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Kotleba</w:t>
      </w:r>
      <w:proofErr w:type="spellEnd"/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Rastislav </w:t>
      </w:r>
      <w:proofErr w:type="spellStart"/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Schlosár</w:t>
      </w:r>
      <w:proofErr w:type="spellEnd"/>
      <w:r w:rsid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, </w:t>
      </w: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Stanislav Drobný</w:t>
      </w:r>
      <w:r w:rsid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a Ján Mora</w:t>
      </w:r>
      <w:r w:rsidRPr="004E1E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. </w:t>
      </w:r>
    </w:p>
    <w:p w:rsidR="004E1E66" w:rsidRDefault="004E1E66" w:rsidP="00C63DA0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Cieľom legislatívneho návrhu je 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posilnenie postavenia poškodeného v trestnom konaní tak, aby bol zabezpečený objektívnejší a spravodlivejší proces. To v konečnom dôsledku povedie k nižšej miere kri</w:t>
      </w:r>
      <w:r w:rsidR="00C63DA0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minality, väčšej vymožiteľnosti práva a 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vyššej</w:t>
      </w:r>
      <w:r w:rsidR="00C63DA0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bezpečnosti obyvateľov Slovenskej republiky.</w:t>
      </w:r>
    </w:p>
    <w:p w:rsidR="007374A8" w:rsidRDefault="00D458E1" w:rsidP="007374A8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val="ar-SA"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V súčasnom právnom poriadku sú záujmy obetí trestných činov, t. j. </w:t>
      </w:r>
      <w:r w:rsidR="009F6924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p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oškodených</w:t>
      </w:r>
      <w:r w:rsidR="009F6924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,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 nedostatočne chránené. A to aj napriek tomu, že </w:t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zmyslom a hlavným cieľom trestného práva je práve ochra</w:t>
      </w:r>
      <w:r w:rsidR="009F6924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na ľudí pred nebezpečnou krimina</w:t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litou, ktorá predstavuje významný zásah </w:t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  <w:t xml:space="preserve">do života poškodených a ich blízkych. Dokonca </w:t>
      </w:r>
      <w:r w:rsidR="00C63DA0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platí</w:t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, že súčasné zákony </w:t>
      </w:r>
      <w:r w:rsidR="00C63DA0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častokrát </w:t>
      </w:r>
      <w:r w:rsidR="00C63DA0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r w:rsidR="0044580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viac ochraňujú páchateľov trestných činov, ako ich obete.</w:t>
      </w:r>
    </w:p>
    <w:p w:rsidR="007374A8" w:rsidRPr="007374A8" w:rsidRDefault="007374A8" w:rsidP="007374A8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val="ar-SA" w:eastAsia="en-US" w:bidi="ar-SA"/>
        </w:rPr>
      </w:pPr>
      <w:r w:rsidRPr="007374A8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Akokoľvek by bola vysoká dôvera k  súdom a  orgánom činným v  trestnom konaní, vždy je riziko nesprávneho posúdenia veci a  tým aj riziko vynesenia nespravodlivého </w:t>
      </w:r>
      <w:r w:rsidRPr="007374A8">
        <w:rPr>
          <w:rFonts w:ascii="Book Antiqua" w:hAnsi="Book Antiqua"/>
          <w:color w:val="000000"/>
          <w:sz w:val="22"/>
          <w:szCs w:val="22"/>
          <w:lang w:eastAsia="en-US" w:bidi="ar-SA"/>
        </w:rPr>
        <w:t>rozhodnutia súdu</w:t>
      </w:r>
      <w:r w:rsidRPr="007374A8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. Z tohto dôvodu je mimoriadne dôležité, aby mali všetky strany </w:t>
      </w:r>
      <w:r w:rsidRPr="007374A8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  <w:t>v trestnom konaní rovnocenné postavenie, resp. také postavenie, ktoré im umožní účinne obraňovať svoje práva.</w:t>
      </w:r>
    </w:p>
    <w:p w:rsidR="00D46245" w:rsidRDefault="00445805" w:rsidP="00D46245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val="ar-SA"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Trestný poriadok dnes dáva </w:t>
      </w:r>
      <w:r w:rsidR="009F6924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prokurátorovi 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aj obžalovanému široké práva vo veci podávania opravných prostriedkov, ako aj v konaní o dohode o vine a treste.</w:t>
      </w:r>
      <w:r w:rsidR="00D4624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 </w:t>
      </w:r>
      <w:r w:rsidR="00D4624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  <w:t xml:space="preserve">Naproti tomu poškodený má právo podávať len niektoré opravné prostriedky a aj to len </w:t>
      </w:r>
      <w:r w:rsidR="00C63DA0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  <w:t xml:space="preserve">proti </w:t>
      </w:r>
      <w:r w:rsidR="00D4624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výrokom o náhrade škody, ak si včas uplatnil nárok na náhradu škody.</w:t>
      </w:r>
    </w:p>
    <w:p w:rsidR="00D46245" w:rsidRDefault="00D46245" w:rsidP="00D46245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val="ar-SA"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Poškodený môže v súčasnosti </w:t>
      </w:r>
      <w:r w:rsidR="00C07276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v trestnom konaní 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podávať len riadne opravné prostriedky, a to:</w:t>
      </w:r>
    </w:p>
    <w:p w:rsidR="00C07276" w:rsidRPr="00C07276" w:rsidRDefault="00C07276" w:rsidP="00C07276">
      <w:pPr>
        <w:pStyle w:val="Standard"/>
        <w:numPr>
          <w:ilvl w:val="0"/>
          <w:numId w:val="2"/>
        </w:numPr>
        <w:rPr>
          <w:rFonts w:ascii="Book Antiqua" w:hAnsi="Book Antiqua"/>
          <w:color w:val="000000"/>
          <w:sz w:val="22"/>
          <w:szCs w:val="22"/>
          <w:lang w:eastAsia="en-US" w:bidi="ar-SA"/>
        </w:rPr>
      </w:pPr>
      <w:r w:rsidRPr="00C07276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sťažnosť proti uzneseniu v zmysle 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§ 186 ods. 1 Trestného poriadku, </w:t>
      </w:r>
    </w:p>
    <w:p w:rsidR="00C07276" w:rsidRDefault="00D46245" w:rsidP="00D46245">
      <w:pPr>
        <w:pStyle w:val="Standard"/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odvolanie proti rozsudku súdu prvého stupňa</w:t>
      </w:r>
      <w:r w:rsidR="00C07276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, ale len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 </w:t>
      </w:r>
      <w:r w:rsidRPr="00D46245">
        <w:rPr>
          <w:rFonts w:ascii="Book Antiqua" w:hAnsi="Book Antiqua"/>
          <w:color w:val="000000"/>
          <w:sz w:val="22"/>
          <w:szCs w:val="22"/>
          <w:lang w:eastAsia="en-US" w:bidi="ar-SA"/>
        </w:rPr>
        <w:t>pre nesprávnosť výroku o náhrade škody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v zmysle </w:t>
      </w:r>
      <w:r w:rsidRPr="00D46245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§ 307 ods. 1 písm. c) Trestného poriadku</w:t>
      </w:r>
      <w:r w:rsidR="00C07276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a</w:t>
      </w:r>
    </w:p>
    <w:p w:rsidR="00C07276" w:rsidRDefault="00D46245" w:rsidP="00D46245">
      <w:pPr>
        <w:pStyle w:val="Standard"/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 w:rsidRPr="00C07276">
        <w:rPr>
          <w:rFonts w:ascii="Book Antiqua" w:hAnsi="Book Antiqua"/>
          <w:color w:val="000000"/>
          <w:sz w:val="22"/>
          <w:szCs w:val="22"/>
          <w:lang w:eastAsia="en-US" w:bidi="ar-SA"/>
        </w:rPr>
        <w:t>odpor proti trestnému rozkazu</w:t>
      </w:r>
      <w:r w:rsidR="00C07276">
        <w:rPr>
          <w:rFonts w:ascii="Book Antiqua" w:hAnsi="Book Antiqua"/>
          <w:color w:val="000000"/>
          <w:sz w:val="22"/>
          <w:szCs w:val="22"/>
          <w:lang w:eastAsia="en-US" w:bidi="ar-SA"/>
        </w:rPr>
        <w:t>, ale len</w:t>
      </w:r>
      <w:r w:rsidRPr="00C07276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proti výroku o náhrade škody, ktorým bola priznaná náhrada škody v zmysle </w:t>
      </w:r>
      <w:r w:rsidR="00C07276" w:rsidRPr="00C07276">
        <w:rPr>
          <w:rFonts w:ascii="Book Antiqua" w:hAnsi="Book Antiqua"/>
          <w:color w:val="000000"/>
          <w:sz w:val="22"/>
          <w:szCs w:val="22"/>
          <w:lang w:eastAsia="en-US" w:bidi="ar-SA"/>
        </w:rPr>
        <w:t>§</w:t>
      </w:r>
      <w:r w:rsidR="00C07276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355 ods. 2 Trestného poriadku.</w:t>
      </w:r>
    </w:p>
    <w:p w:rsidR="00C07276" w:rsidRDefault="00C07276" w:rsidP="00C63DA0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eastAsia="en-US" w:bidi="ar-SA"/>
        </w:rPr>
        <w:t>Mimoriadn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t>e opravné prostriedky –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t. j. dovolanie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</w:t>
      </w:r>
      <w:r w:rsidR="00C63DA0" w:rsidRPr="00C63DA0">
        <w:rPr>
          <w:rFonts w:ascii="Book Antiqua" w:hAnsi="Book Antiqua"/>
          <w:color w:val="000000"/>
          <w:sz w:val="22"/>
          <w:szCs w:val="22"/>
          <w:lang w:eastAsia="en-US" w:bidi="ar-SA"/>
        </w:rPr>
        <w:t>proti právoplatnému rozhodnutiu súdu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a návrh na obnovu konania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t>,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poškodený nie je oprávnený podávať vôbec.</w:t>
      </w:r>
    </w:p>
    <w:p w:rsidR="007374A8" w:rsidRDefault="00C07276" w:rsidP="007374A8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eastAsia="en-US" w:bidi="ar-SA"/>
        </w:rPr>
        <w:t>Slabšie postavenie oproti páchateľovi trestného činu má poškodený aj v konaní o dohode o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vine a treste. Zatiaľ čo bez súhlasu obvineného nie je možné uzavrieť 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túto dohodu, súhlas poškodeného sa vyžaduje len </w:t>
      </w:r>
      <w:r w:rsidR="007374A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vo veci náhrady škody. </w:t>
      </w:r>
      <w:r w:rsidR="007374A8" w:rsidRPr="007374A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Ak nedošlo 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 w:rsidR="007374A8" w:rsidRPr="007374A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k dohode o náhrade škody, prokurátor navrhne, aby súd poškodeného odkázal s nárokom </w:t>
      </w:r>
      <w:r w:rsidR="009F2433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 w:rsidR="007374A8" w:rsidRPr="007374A8">
        <w:rPr>
          <w:rFonts w:ascii="Book Antiqua" w:hAnsi="Book Antiqua"/>
          <w:color w:val="000000"/>
          <w:sz w:val="22"/>
          <w:szCs w:val="22"/>
          <w:lang w:eastAsia="en-US" w:bidi="ar-SA"/>
        </w:rPr>
        <w:t>na náhradu škody alebo jej časti na civilný proces alebo iné konanie.</w:t>
      </w:r>
    </w:p>
    <w:p w:rsidR="007374A8" w:rsidRDefault="007374A8" w:rsidP="007374A8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 w:rsidRPr="007374A8">
        <w:rPr>
          <w:rFonts w:ascii="Book Antiqua" w:hAnsi="Book Antiqua"/>
          <w:color w:val="000000"/>
          <w:sz w:val="22"/>
          <w:szCs w:val="22"/>
          <w:lang w:val="ar-SA" w:eastAsia="en-US" w:bidi="ar-SA"/>
        </w:rPr>
        <w:lastRenderedPageBreak/>
        <w:t xml:space="preserve">Z  </w:t>
      </w:r>
      <w:r w:rsidRPr="007374A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uvedeného vyplýva, že poškodený je v  najslabšej pozícii spomedzi </w:t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všetkých strán trestného konania, pritom je to práve jeho život, zdravie, majetok alebo česť, </w:t>
      </w:r>
      <w:r w:rsidR="00C63DA0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ktoré sú objektami chránenými zákonmi. </w:t>
      </w:r>
    </w:p>
    <w:p w:rsidR="00AC4D1E" w:rsidRDefault="007374A8" w:rsidP="007374A8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eastAsia="en-US" w:bidi="ar-SA"/>
        </w:rPr>
        <w:t>Skutočnosť, že poškodený má len veľmi obmedzené možnosti podávania</w:t>
      </w:r>
      <w:r w:rsidR="00AC4D1E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opravných prostriedkov a z konania o dohode o vine a treste je takmer vylúčený, vedie k veľkej miere korupcie. Pre obvineného je omnoho jednoduchšie dosiahnuť vhodnými úplatkami </w:t>
      </w:r>
      <w:r w:rsidR="006329D9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 w:rsidR="00AC4D1E">
        <w:rPr>
          <w:rFonts w:ascii="Book Antiqua" w:hAnsi="Book Antiqua"/>
          <w:color w:val="000000"/>
          <w:sz w:val="22"/>
          <w:szCs w:val="22"/>
          <w:lang w:eastAsia="en-US" w:bidi="ar-SA"/>
        </w:rPr>
        <w:t>pre neho priaznivú dohodu o vine a treste, ak túto dohodu nemôže zablokovať poškodený. Tak isto obžalovaný má väčšie možnosti korupcie vo vzťahu k</w:t>
      </w:r>
      <w:r w:rsidR="002E3CB8">
        <w:rPr>
          <w:rFonts w:ascii="Book Antiqua" w:hAnsi="Book Antiqua"/>
          <w:color w:val="000000"/>
          <w:sz w:val="22"/>
          <w:szCs w:val="22"/>
          <w:lang w:eastAsia="en-US" w:bidi="ar-SA"/>
        </w:rPr>
        <w:t> </w:t>
      </w:r>
      <w:r w:rsidR="00AC4D1E">
        <w:rPr>
          <w:rFonts w:ascii="Book Antiqua" w:hAnsi="Book Antiqua"/>
          <w:color w:val="000000"/>
          <w:sz w:val="22"/>
          <w:szCs w:val="22"/>
          <w:lang w:eastAsia="en-US" w:bidi="ar-SA"/>
        </w:rPr>
        <w:t>prokurátorovi,</w:t>
      </w:r>
      <w:r w:rsidR="002E3CB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 </w:t>
      </w:r>
      <w:r w:rsidR="006329D9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 w:rsidR="002E3CB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ak opravné prostriedky proti rozhodnutiam súdu môže v celom rozsahu podávať </w:t>
      </w:r>
      <w:r w:rsidR="006329D9">
        <w:rPr>
          <w:rFonts w:ascii="Book Antiqua" w:hAnsi="Book Antiqua"/>
          <w:color w:val="000000"/>
          <w:sz w:val="22"/>
          <w:szCs w:val="22"/>
          <w:lang w:eastAsia="en-US" w:bidi="ar-SA"/>
        </w:rPr>
        <w:br/>
      </w:r>
      <w:r w:rsidR="002E3CB8">
        <w:rPr>
          <w:rFonts w:ascii="Book Antiqua" w:hAnsi="Book Antiqua"/>
          <w:color w:val="000000"/>
          <w:sz w:val="22"/>
          <w:szCs w:val="22"/>
          <w:lang w:eastAsia="en-US" w:bidi="ar-SA"/>
        </w:rPr>
        <w:t xml:space="preserve">len prokurátor. </w:t>
      </w:r>
    </w:p>
    <w:p w:rsidR="008D50B9" w:rsidRDefault="006329D9" w:rsidP="008D50B9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  <w:lang w:val="ar-SA" w:eastAsia="en-US" w:bidi="ar-SA"/>
        </w:rPr>
      </w:pP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Nedostatočná možnosť uplatnenia</w:t>
      </w:r>
      <w:r w:rsidR="00ED6347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 práv poškodených vedie v konečnom dôsledku 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r w:rsidR="00ED6347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k neobjektívnym a nespravodlivým súdnym rozhodnutiam. Páchatelia trestných činov dostávajú neprimerane nízke tresty, ktoré im nijako nebránia pokračovať v trestnej činnosti – častokrát aj voči ich pôvodným obetiam. </w:t>
      </w:r>
      <w:r w:rsidR="008D50B9" w:rsidRPr="00CF1C12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V takom prípade </w:t>
      </w:r>
      <w:r w:rsidR="008D50B9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možno hovoriť o sekundárnej viktimácii obetí, ktorá môže prevýšiť aj ich primárnu ujmu. Navyše tieto tresty nepôsobia 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r w:rsidR="008D50B9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ani preventívne voči tretím osobám, čím ďalej napomáhajú k zvyšovaniu kriminality. </w:t>
      </w:r>
      <w:r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r w:rsidR="008D50B9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 xml:space="preserve">V neposlednom rade tiež prispievajú k nižšej vymožiteľnosti práva, strate dôvery verejnosti </w:t>
      </w:r>
      <w:r w:rsidR="009F2433">
        <w:rPr>
          <w:rFonts w:ascii="Book Antiqua" w:hAnsi="Book Antiqua"/>
          <w:color w:val="000000"/>
          <w:sz w:val="22"/>
          <w:szCs w:val="22"/>
          <w:lang w:val="ar-SA" w:eastAsia="en-US" w:bidi="ar-SA"/>
        </w:rPr>
        <w:br/>
      </w:r>
      <w:bookmarkStart w:id="0" w:name="_GoBack"/>
      <w:bookmarkEnd w:id="0"/>
      <w:r w:rsidR="008D50B9">
        <w:rPr>
          <w:rFonts w:ascii="Book Antiqua" w:hAnsi="Book Antiqua"/>
          <w:color w:val="000000"/>
          <w:sz w:val="22"/>
          <w:szCs w:val="22"/>
          <w:lang w:val="ar-SA" w:eastAsia="en-US" w:bidi="ar-SA"/>
        </w:rPr>
        <w:t>k súdnictvu a celkovému úpadku princípov právneho štátu na Slovensku.</w:t>
      </w:r>
    </w:p>
    <w:p w:rsidR="008D50B9" w:rsidRPr="00C63DA0" w:rsidRDefault="00ED6347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b/>
          <w:color w:val="000000"/>
          <w:sz w:val="22"/>
          <w:szCs w:val="22"/>
          <w:lang w:eastAsia="en-US" w:bidi="ar-SA"/>
        </w:rPr>
      </w:pPr>
      <w:r w:rsidRPr="00C63DA0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t xml:space="preserve">Z tohto dôvodu </w:t>
      </w:r>
      <w:r w:rsidR="008D50B9" w:rsidRPr="00C63DA0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t xml:space="preserve">je potrebné posilniť postavenie poškodeného v trestnom konaní </w:t>
      </w:r>
      <w:r w:rsidR="006329D9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br/>
      </w:r>
      <w:r w:rsidR="008D50B9" w:rsidRPr="00C63DA0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t xml:space="preserve">a zrovnoprávniť ho s obvineným, resp. obžalovaným. To možno dosiahnuť jedine tak, </w:t>
      </w:r>
      <w:r w:rsidR="006329D9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br/>
      </w:r>
      <w:r w:rsidR="008D50B9" w:rsidRPr="00C63DA0">
        <w:rPr>
          <w:rFonts w:ascii="Book Antiqua" w:hAnsi="Book Antiqua"/>
          <w:b/>
          <w:color w:val="000000"/>
          <w:sz w:val="22"/>
          <w:szCs w:val="22"/>
          <w:lang w:eastAsia="en-US" w:bidi="ar-SA"/>
        </w:rPr>
        <w:t>že poškodený získa právo podávať všetky opravné prostriedky, a to nielen vo veci náhrady škody, ako aj právo zablokovať dohodu o vine a treste.</w:t>
      </w:r>
    </w:p>
    <w:p w:rsidR="00CB653D" w:rsidRDefault="00CB653D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Pr="009F6924" w:rsidRDefault="009F6924" w:rsidP="009F6924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70" w:hanging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lastRenderedPageBreak/>
        <w:t>Osobitná časť</w:t>
      </w:r>
    </w:p>
    <w:p w:rsidR="009F6924" w:rsidRPr="009F6924" w:rsidRDefault="00CD49BD" w:rsidP="009F6924">
      <w:pPr>
        <w:widowControl/>
        <w:autoSpaceDE/>
        <w:autoSpaceDN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34924</wp:posOffset>
                </wp:positionV>
                <wp:extent cx="5778500" cy="0"/>
                <wp:effectExtent l="0" t="0" r="0" b="0"/>
                <wp:wrapNone/>
                <wp:docPr id="1" name="Rovná spojovacia šíp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F5E89" id="Rovná spojovacia šípka 1" o:spid="_x0000_s1026" type="#_x0000_t32" style="position:absolute;margin-left:-.35pt;margin-top:2.75pt;width:45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"/>
            </w:pict>
          </mc:Fallback>
        </mc:AlternateConten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Rozsudok sa bude doručovať poškodenému aj vtedy, ak si neuplatnil nárok </w:t>
      </w:r>
      <w:r w:rsidR="003F2C2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 náhradu škody, aby mohol proti nemu podať odvolanie.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2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Dohoda o vine a treste sa bude môcť uzavrieť len so súhlasom poškodeného. </w:t>
      </w:r>
      <w:r w:rsidR="003F2C2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Vzhľadom </w:t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na to je potrebná aj jeho prítomnosť na konaní o dohode o</w:t>
      </w:r>
      <w:r w:rsidR="003F2C2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 vine a treste prostredníctvom </w:t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jeho predvolania a upovedomenia jeho splnomocnenca. 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3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Vypúšťa sa nadbytočné ustanovenie, vzhľadom na to, že bez súhlasu poškodeného nebude možné uzatvoriť dohodu o vine a treste.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4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Dohodu o vine a treste bude musieť podpísať poškodený na znak súhlasu </w:t>
      </w:r>
      <w:r w:rsidR="003F2C2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s jej obsahom, pričom sa vypúšťa podmienka úspešného uplatnenia nároku na náhradu škody a zúčastnenia sa konania.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5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Rozširuje sa právo poškodeného podať odvolanie proti rozsudku. Rozsudok bude môcť poškodený napadnúť nielen pre nesprávnosť výroku o náhrade škody, </w:t>
      </w:r>
      <w:r w:rsidR="003F2C29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ale aj pre nesprávnosť ktoréhokoľvek iného výroku.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6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Poškodený bude môcť rozsudok napadnúť odvolaním v neprospech obžalovaného nielen čo do povinnosti nahradiť škodu, ale aj z dôvodu nesprávnosti ktoréhokoľvek iného výroku. 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7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Odvolací súd bude môcť zmeniť napadnutý rozsudok v neprospech obžalovaného </w:t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>aj na základe odvolania poškodeného, a to nielen vo výroku o náhrade škody.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8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Trestný rozkaz sa bude doručovať poškodenému aj vtedy, ak si neuplatnil nárok </w:t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br/>
        <w:t>na náhradu škody, aby mohol proti nemu podať odpor.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lastRenderedPageBreak/>
        <w:t>K bodu 9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Rozširuje sa právo poškodeného podať odpor proti trestnému rozkazu. Poškodený bude môcť napadnúť nielen výrok o náhrade škody, ale  aj akýkoľvek iný výrok trestného rozkazu.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10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Vypúšťa sa nadbytočné ustanovenie, vzhľadom na to, že poškodený bude môcť podať odpor proti ktorémukoľvek výroku trestného rozkazu.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11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Poškodený získa právo podať dovolanie proti právoplatnému rozhodnutiu súdu druhého stupňa, a to proti ktorémukoľvek výroku.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 </w:t>
      </w: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12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ind w:firstLine="708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Poškodený získa právo podať návrh na obnovu konania v neprospech obvineného.</w:t>
      </w: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</w:p>
    <w:p w:rsidR="009F6924" w:rsidRPr="009F6924" w:rsidRDefault="009F6924" w:rsidP="009F6924">
      <w:pPr>
        <w:widowControl/>
        <w:autoSpaceDE/>
        <w:autoSpaceDN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II</w:t>
      </w:r>
    </w:p>
    <w:p w:rsidR="009F6924" w:rsidRPr="009F6924" w:rsidRDefault="009F6924" w:rsidP="009F6924">
      <w:pPr>
        <w:autoSpaceDN/>
        <w:ind w:firstLine="708"/>
        <w:jc w:val="both"/>
        <w:textAlignment w:val="auto"/>
        <w:rPr>
          <w:rFonts w:ascii="Book Antiqua" w:hAnsi="Book Antiqua" w:cs="Book Antiqua"/>
          <w:color w:val="000000"/>
          <w:kern w:val="1"/>
          <w:sz w:val="22"/>
          <w:szCs w:val="22"/>
        </w:rPr>
      </w:pPr>
      <w:r w:rsidRPr="009F6924">
        <w:rPr>
          <w:rFonts w:ascii="Book Antiqua" w:hAnsi="Book Antiqua" w:cs="Arial"/>
          <w:color w:val="000000"/>
          <w:kern w:val="1"/>
          <w:sz w:val="22"/>
          <w:szCs w:val="22"/>
        </w:rPr>
        <w:t xml:space="preserve">Navrhuje sa účinnosť zákona </w:t>
      </w:r>
      <w:r w:rsidRPr="009F6924">
        <w:rPr>
          <w:rFonts w:ascii="Book Antiqua" w:hAnsi="Book Antiqua" w:cs="Liberation Serif"/>
          <w:color w:val="000000"/>
          <w:kern w:val="1"/>
          <w:sz w:val="22"/>
        </w:rPr>
        <w:t>od 1. januára 201</w:t>
      </w:r>
      <w:r w:rsidR="00AC0B5A">
        <w:rPr>
          <w:rFonts w:ascii="Book Antiqua" w:hAnsi="Book Antiqua" w:cs="Liberation Serif"/>
          <w:color w:val="000000"/>
          <w:kern w:val="1"/>
          <w:sz w:val="22"/>
        </w:rPr>
        <w:t>9</w:t>
      </w:r>
      <w:r w:rsidRPr="009F6924">
        <w:rPr>
          <w:rFonts w:ascii="Book Antiqua" w:hAnsi="Book Antiqua"/>
          <w:color w:val="000000"/>
          <w:kern w:val="1"/>
          <w:sz w:val="22"/>
          <w:szCs w:val="22"/>
          <w:lang w:bidi="ar-SA"/>
        </w:rPr>
        <w:t>.</w:t>
      </w:r>
    </w:p>
    <w:p w:rsidR="009F6924" w:rsidRPr="009F6924" w:rsidRDefault="009F6924" w:rsidP="009F6924">
      <w:pPr>
        <w:autoSpaceDN/>
        <w:jc w:val="both"/>
        <w:textAlignment w:val="auto"/>
        <w:rPr>
          <w:rFonts w:ascii="Book Antiqua" w:hAnsi="Book Antiqua" w:cs="Liberation Serif"/>
          <w:color w:val="000000"/>
          <w:kern w:val="1"/>
          <w:sz w:val="22"/>
        </w:rPr>
      </w:pPr>
    </w:p>
    <w:p w:rsidR="009F6924" w:rsidRPr="009F6924" w:rsidRDefault="009F6924" w:rsidP="009F6924">
      <w:pPr>
        <w:autoSpaceDN/>
        <w:jc w:val="both"/>
        <w:textAlignment w:val="auto"/>
        <w:rPr>
          <w:rFonts w:ascii="Book Antiqua" w:hAnsi="Book Antiqua" w:cs="Liberation Serif"/>
          <w:color w:val="000000"/>
          <w:kern w:val="1"/>
          <w:sz w:val="22"/>
        </w:rPr>
      </w:pPr>
    </w:p>
    <w:p w:rsidR="009F6924" w:rsidRDefault="009F6924" w:rsidP="009F6924">
      <w:pPr>
        <w:pStyle w:val="Default"/>
        <w:jc w:val="both"/>
        <w:rPr>
          <w:rFonts w:ascii="Book Antiqua" w:hAnsi="Book Antiqua"/>
          <w:sz w:val="22"/>
        </w:rPr>
      </w:pPr>
    </w:p>
    <w:p w:rsidR="009F6924" w:rsidRDefault="009F6924" w:rsidP="009F6924">
      <w:pPr>
        <w:pStyle w:val="Default"/>
        <w:jc w:val="both"/>
        <w:rPr>
          <w:rFonts w:ascii="Book Antiqua" w:hAnsi="Book Antiqua"/>
          <w:sz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9F6924" w:rsidRPr="00CF1C12" w:rsidRDefault="009F6924" w:rsidP="00CF1C12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sectPr w:rsidR="009F6924" w:rsidRPr="00CF1C12">
      <w:type w:val="continuous"/>
      <w:pgSz w:w="11906" w:h="16838"/>
      <w:pgMar w:top="1417" w:right="1417" w:bottom="1417" w:left="1417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A7C" w:rsidRDefault="007E1A7C">
      <w:r>
        <w:separator/>
      </w:r>
    </w:p>
  </w:endnote>
  <w:endnote w:type="continuationSeparator" w:id="0">
    <w:p w:rsidR="007E1A7C" w:rsidRDefault="007E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, Symbol">
    <w:panose1 w:val="00000000000000000000"/>
    <w:charset w:val="02"/>
    <w:family w:val="auto"/>
    <w:notTrueType/>
    <w:pitch w:val="variable"/>
  </w:font>
  <w:font w:name="Symbol, 'Times New Roman'">
    <w:panose1 w:val="00000000000000000000"/>
    <w:charset w:val="02"/>
    <w:family w:val="roman"/>
    <w:notTrueType/>
    <w:pitch w:val="variable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A7C" w:rsidRDefault="007E1A7C">
      <w:r>
        <w:rPr>
          <w:color w:val="000000"/>
        </w:rPr>
        <w:separator/>
      </w:r>
    </w:p>
  </w:footnote>
  <w:footnote w:type="continuationSeparator" w:id="0">
    <w:p w:rsidR="007E1A7C" w:rsidRDefault="007E1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4A8D"/>
    <w:multiLevelType w:val="hybridMultilevel"/>
    <w:tmpl w:val="7F3809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3D"/>
    <w:rsid w:val="00075798"/>
    <w:rsid w:val="000E26FA"/>
    <w:rsid w:val="002163D3"/>
    <w:rsid w:val="00297050"/>
    <w:rsid w:val="002E3CB8"/>
    <w:rsid w:val="003C2C20"/>
    <w:rsid w:val="003F2C29"/>
    <w:rsid w:val="00401CEF"/>
    <w:rsid w:val="00445805"/>
    <w:rsid w:val="00470E08"/>
    <w:rsid w:val="004C7C57"/>
    <w:rsid w:val="004E1E66"/>
    <w:rsid w:val="005469A9"/>
    <w:rsid w:val="006329D9"/>
    <w:rsid w:val="006C15F7"/>
    <w:rsid w:val="007374A8"/>
    <w:rsid w:val="00784B25"/>
    <w:rsid w:val="007B25B8"/>
    <w:rsid w:val="007E1102"/>
    <w:rsid w:val="007E1A7C"/>
    <w:rsid w:val="00880065"/>
    <w:rsid w:val="008D50B9"/>
    <w:rsid w:val="009F2433"/>
    <w:rsid w:val="009F6924"/>
    <w:rsid w:val="00AC0B5A"/>
    <w:rsid w:val="00AC4D1E"/>
    <w:rsid w:val="00AE6541"/>
    <w:rsid w:val="00B52ABA"/>
    <w:rsid w:val="00B553D2"/>
    <w:rsid w:val="00C07276"/>
    <w:rsid w:val="00C176E4"/>
    <w:rsid w:val="00C63173"/>
    <w:rsid w:val="00C63DA0"/>
    <w:rsid w:val="00CA3BF2"/>
    <w:rsid w:val="00CB653D"/>
    <w:rsid w:val="00CD49BD"/>
    <w:rsid w:val="00CF1C12"/>
    <w:rsid w:val="00CF3A95"/>
    <w:rsid w:val="00D458E1"/>
    <w:rsid w:val="00D46245"/>
    <w:rsid w:val="00DB39CF"/>
    <w:rsid w:val="00E13DF0"/>
    <w:rsid w:val="00ED6347"/>
    <w:rsid w:val="00F7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334D4"/>
  <w14:defaultImageDpi w14:val="0"/>
  <w15:docId w15:val="{51619208-208D-4971-B0C0-46BE1E61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kern w:val="3"/>
      <w:sz w:val="24"/>
      <w:szCs w:val="24"/>
      <w:lang w:bidi="hi-IN"/>
    </w:rPr>
  </w:style>
  <w:style w:type="paragraph" w:styleId="Nzov">
    <w:name w:val="Title"/>
    <w:basedOn w:val="Standard"/>
    <w:next w:val="Textbody"/>
    <w:link w:val="NzovChar"/>
    <w:uiPriority w:val="99"/>
    <w:qFormat/>
    <w:pPr>
      <w:keepNext/>
      <w:spacing w:before="240" w:after="120"/>
    </w:pPr>
    <w:rPr>
      <w:rFonts w:ascii="Arial" w:hAnsi="Arial" w:cs="Microsoft YaHei"/>
      <w:sz w:val="28"/>
      <w:lang w:eastAsia="zh-CN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Textbody">
    <w:name w:val="Text body"/>
    <w:basedOn w:val="Standard"/>
    <w:uiPriority w:val="99"/>
    <w:pPr>
      <w:spacing w:after="120"/>
    </w:pPr>
    <w:rPr>
      <w:lang w:eastAsia="zh-CN"/>
    </w:rPr>
  </w:style>
  <w:style w:type="paragraph" w:styleId="Zoznam">
    <w:name w:val="List"/>
    <w:basedOn w:val="Textbody"/>
    <w:uiPriority w:val="99"/>
  </w:style>
  <w:style w:type="paragraph" w:styleId="Popis">
    <w:name w:val="caption"/>
    <w:basedOn w:val="Standard"/>
    <w:uiPriority w:val="99"/>
    <w:qFormat/>
    <w:pPr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rPr>
      <w:lang w:eastAsia="zh-C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RTFNum51">
    <w:name w:val="RTF_Num 5 1"/>
    <w:uiPriority w:val="99"/>
    <w:rPr>
      <w:rFonts w:ascii="Times New Roman" w:hAnsi="Times New Roman"/>
    </w:rPr>
  </w:style>
  <w:style w:type="character" w:customStyle="1" w:styleId="RTFNum52">
    <w:name w:val="RTF_Num 5 2"/>
    <w:uiPriority w:val="99"/>
    <w:rPr>
      <w:rFonts w:ascii="Courier New" w:hAnsi="Courier New"/>
    </w:rPr>
  </w:style>
  <w:style w:type="character" w:customStyle="1" w:styleId="RTFNum53">
    <w:name w:val="RTF_Num 5 3"/>
    <w:uiPriority w:val="99"/>
    <w:rPr>
      <w:rFonts w:ascii="Wingdings, Symbol" w:hAnsi="Wingdings, Symbol"/>
    </w:rPr>
  </w:style>
  <w:style w:type="character" w:customStyle="1" w:styleId="RTFNum54">
    <w:name w:val="RTF_Num 5 4"/>
    <w:uiPriority w:val="99"/>
    <w:rPr>
      <w:rFonts w:ascii="Symbol, 'Times New Roman'" w:hAnsi="Symbol, 'Times New Roman'"/>
    </w:rPr>
  </w:style>
  <w:style w:type="character" w:customStyle="1" w:styleId="RTFNum55">
    <w:name w:val="RTF_Num 5 5"/>
    <w:uiPriority w:val="99"/>
    <w:rPr>
      <w:rFonts w:ascii="Courier New" w:hAnsi="Courier New"/>
    </w:rPr>
  </w:style>
  <w:style w:type="character" w:customStyle="1" w:styleId="RTFNum56">
    <w:name w:val="RTF_Num 5 6"/>
    <w:uiPriority w:val="99"/>
    <w:rPr>
      <w:rFonts w:ascii="Wingdings, Symbol" w:hAnsi="Wingdings, Symbol"/>
    </w:rPr>
  </w:style>
  <w:style w:type="character" w:customStyle="1" w:styleId="RTFNum57">
    <w:name w:val="RTF_Num 5 7"/>
    <w:uiPriority w:val="99"/>
    <w:rPr>
      <w:rFonts w:ascii="Symbol, 'Times New Roman'" w:hAnsi="Symbol, 'Times New Roman'"/>
    </w:rPr>
  </w:style>
  <w:style w:type="character" w:customStyle="1" w:styleId="RTFNum58">
    <w:name w:val="RTF_Num 5 8"/>
    <w:uiPriority w:val="99"/>
    <w:rPr>
      <w:rFonts w:ascii="Courier New" w:hAnsi="Courier New"/>
    </w:rPr>
  </w:style>
  <w:style w:type="character" w:customStyle="1" w:styleId="RTFNum59">
    <w:name w:val="RTF_Num 5 9"/>
    <w:uiPriority w:val="99"/>
    <w:rPr>
      <w:rFonts w:ascii="Wingdings, Symbol" w:hAnsi="Wingdings, Symbol"/>
    </w:rPr>
  </w:style>
  <w:style w:type="paragraph" w:customStyle="1" w:styleId="Default">
    <w:name w:val="Default"/>
    <w:uiPriority w:val="99"/>
    <w:rsid w:val="009F6924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subject/>
  <dc:creator>cibula</dc:creator>
  <cp:keywords/>
  <dc:description/>
  <cp:lastModifiedBy>NašeSlovensko</cp:lastModifiedBy>
  <cp:revision>3</cp:revision>
  <cp:lastPrinted>2017-04-03T09:34:00Z</cp:lastPrinted>
  <dcterms:created xsi:type="dcterms:W3CDTF">2018-09-26T09:59:00Z</dcterms:created>
  <dcterms:modified xsi:type="dcterms:W3CDTF">2018-09-26T09:59:00Z</dcterms:modified>
</cp:coreProperties>
</file>