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222C8">
        <w:rPr>
          <w:sz w:val="22"/>
          <w:szCs w:val="22"/>
        </w:rPr>
        <w:t>1592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222C8">
        <w:t>1154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0222C8" w:rsidP="000222C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0222C8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0222C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222C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222C8">
        <w:rPr>
          <w:rFonts w:cs="Arial"/>
          <w:szCs w:val="22"/>
        </w:rPr>
        <w:t>zákon č. 90/2016 Z. z. o úveroch na bývanie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222C8">
        <w:rPr>
          <w:rFonts w:cs="Arial"/>
          <w:szCs w:val="22"/>
        </w:rPr>
        <w:t>1101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222C8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95E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95E20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95E20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222C8"/>
    <w:rsid w:val="00093512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3F5A"/>
    <w:rsid w:val="00B1506F"/>
    <w:rsid w:val="00B20ACA"/>
    <w:rsid w:val="00B95E2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2018-08-27T13:13:00Z</cp:lastPrinted>
  <dcterms:created xsi:type="dcterms:W3CDTF">2018-08-30T06:41:00Z</dcterms:created>
  <dcterms:modified xsi:type="dcterms:W3CDTF">2018-08-30T06:41:00Z</dcterms:modified>
</cp:coreProperties>
</file>