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180885">
        <w:rPr>
          <w:sz w:val="22"/>
          <w:szCs w:val="22"/>
        </w:rPr>
        <w:t>1578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180885">
        <w:t>1149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180885" w:rsidP="00180885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27. augusta 2018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18088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180885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18088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180885">
        <w:rPr>
          <w:rFonts w:cs="Arial"/>
          <w:szCs w:val="22"/>
        </w:rPr>
        <w:t>zákon č. 222/2004 Z. z. o dani z pridanej hodnoty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0885">
        <w:rPr>
          <w:rFonts w:cs="Arial"/>
          <w:szCs w:val="22"/>
        </w:rPr>
        <w:t>1096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80885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573D1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573D1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573D1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573D1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573D1"/>
    <w:rsid w:val="000C251F"/>
    <w:rsid w:val="000E308C"/>
    <w:rsid w:val="001010A5"/>
    <w:rsid w:val="00106234"/>
    <w:rsid w:val="00170CC8"/>
    <w:rsid w:val="00173C80"/>
    <w:rsid w:val="00177F9B"/>
    <w:rsid w:val="00180885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573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CA605C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932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2018-08-27T11:21:00Z</cp:lastPrinted>
  <dcterms:created xsi:type="dcterms:W3CDTF">2018-08-30T06:40:00Z</dcterms:created>
  <dcterms:modified xsi:type="dcterms:W3CDTF">2018-08-30T06:40:00Z</dcterms:modified>
</cp:coreProperties>
</file>