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14B99" w:rsidRPr="00B22CEC">
      <w:pPr>
        <w:bidi w:val="0"/>
        <w:jc w:val="center"/>
        <w:rPr>
          <w:rFonts w:ascii="Times New Roman" w:hAnsi="Times New Roman"/>
          <w:b/>
          <w:caps/>
          <w:spacing w:val="30"/>
          <w:sz w:val="25"/>
          <w:szCs w:val="25"/>
        </w:rPr>
      </w:pPr>
      <w:r w:rsidRPr="00B22CEC" w:rsidR="00B326AA">
        <w:rPr>
          <w:rFonts w:ascii="Times New Roman" w:hAnsi="Times New Roman"/>
          <w:b/>
          <w:caps/>
          <w:spacing w:val="30"/>
          <w:sz w:val="25"/>
          <w:szCs w:val="25"/>
        </w:rPr>
        <w:t>Doložka zlučiteľnosti</w:t>
      </w:r>
    </w:p>
    <w:p w:rsidR="001F0AA3" w:rsidRPr="00B22CEC" w:rsidP="00DC377E">
      <w:pPr>
        <w:bidi w:val="0"/>
        <w:jc w:val="center"/>
        <w:rPr>
          <w:rFonts w:ascii="Times New Roman" w:hAnsi="Times New Roman"/>
          <w:b/>
          <w:sz w:val="25"/>
          <w:szCs w:val="25"/>
        </w:rPr>
      </w:pPr>
      <w:r w:rsidRPr="00B22CEC" w:rsidR="00C12975">
        <w:rPr>
          <w:rFonts w:ascii="Times New Roman" w:hAnsi="Times New Roman"/>
          <w:b/>
          <w:sz w:val="25"/>
          <w:szCs w:val="25"/>
        </w:rPr>
        <w:t xml:space="preserve">návrhu </w:t>
      </w:r>
      <w:r w:rsidRPr="00B22CEC" w:rsidR="003B6E94">
        <w:rPr>
          <w:rFonts w:ascii="Times New Roman" w:hAnsi="Times New Roman"/>
          <w:b/>
          <w:sz w:val="25"/>
          <w:szCs w:val="25"/>
        </w:rPr>
        <w:t>zákona</w:t>
      </w:r>
      <w:r w:rsidRPr="00B22CEC" w:rsidR="00DC377E">
        <w:rPr>
          <w:rFonts w:ascii="Times New Roman" w:hAnsi="Times New Roman"/>
          <w:b/>
          <w:sz w:val="25"/>
          <w:szCs w:val="25"/>
        </w:rPr>
        <w:t xml:space="preserve"> s právom Európskej únie</w:t>
      </w:r>
    </w:p>
    <w:p w:rsidR="00DC377E" w:rsidRPr="00B22CEC" w:rsidP="00DC377E">
      <w:pPr>
        <w:bidi w:val="0"/>
        <w:jc w:val="center"/>
        <w:rPr>
          <w:rFonts w:ascii="Times New Roman" w:hAnsi="Times New Roman"/>
          <w:b/>
          <w:sz w:val="25"/>
          <w:szCs w:val="25"/>
        </w:rPr>
      </w:pPr>
    </w:p>
    <w:p w:rsidR="00DC377E" w:rsidRPr="00B22CEC" w:rsidP="00DC377E">
      <w:pPr>
        <w:bidi w:val="0"/>
        <w:jc w:val="center"/>
        <w:rPr>
          <w:rFonts w:ascii="Times New Roman" w:hAnsi="Times New Roman"/>
          <w:b/>
          <w:sz w:val="25"/>
          <w:szCs w:val="25"/>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4"/>
        <w:gridCol w:w="9627"/>
      </w:tblGrid>
      <w:tr>
        <w:tblPrEx>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b/>
                <w:sz w:val="25"/>
                <w:szCs w:val="25"/>
              </w:rPr>
            </w:pPr>
            <w:r w:rsidRPr="00B22CEC">
              <w:rPr>
                <w:rFonts w:ascii="Times New Roman" w:hAnsi="Times New Roman"/>
                <w:b/>
                <w:sz w:val="25"/>
                <w:szCs w:val="25"/>
              </w:rPr>
              <w:t>1.</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sz w:val="25"/>
                <w:szCs w:val="25"/>
              </w:rPr>
            </w:pPr>
            <w:r w:rsidRPr="00B22CEC" w:rsidR="00AA4B96">
              <w:rPr>
                <w:rFonts w:ascii="Times New Roman" w:hAnsi="Times New Roman"/>
                <w:b/>
                <w:sz w:val="25"/>
                <w:szCs w:val="25"/>
              </w:rPr>
              <w:t>Navrhovateľ zákona</w:t>
            </w:r>
            <w:r w:rsidRPr="00B22CEC">
              <w:rPr>
                <w:rFonts w:ascii="Times New Roman" w:hAnsi="Times New Roman"/>
                <w:b/>
                <w:sz w:val="25"/>
                <w:szCs w:val="25"/>
              </w:rPr>
              <w:t>:</w:t>
            </w:r>
            <w:r w:rsidRPr="00B22CEC" w:rsidR="00632C56">
              <w:rPr>
                <w:rFonts w:ascii="Times New Roman" w:hAnsi="Times New Roman"/>
                <w:sz w:val="25"/>
                <w:szCs w:val="25"/>
              </w:rPr>
              <w:t xml:space="preserve"> </w:t>
            </w:r>
            <w:r w:rsidRPr="00B22CEC" w:rsidR="00D7275F">
              <w:rPr>
                <w:rFonts w:ascii="Times New Roman" w:hAnsi="Times New Roman"/>
                <w:sz w:val="25"/>
                <w:szCs w:val="25"/>
              </w:rPr>
              <w:fldChar w:fldCharType="begin"/>
            </w:r>
            <w:r w:rsidRPr="00B22CEC" w:rsidR="00D7275F">
              <w:rPr>
                <w:rFonts w:ascii="Times New Roman" w:hAnsi="Times New Roman"/>
                <w:sz w:val="25"/>
                <w:szCs w:val="25"/>
              </w:rPr>
              <w:instrText xml:space="preserve"> DOCPROPERTY  FSC#SKEDITIONSLOVLEX@103.510:zodpinstitucia  \* MERGEFORMAT </w:instrText>
            </w:r>
            <w:r w:rsidRPr="00B22CEC" w:rsidR="00D7275F">
              <w:rPr>
                <w:rFonts w:ascii="Times New Roman" w:hAnsi="Times New Roman"/>
                <w:sz w:val="25"/>
                <w:szCs w:val="25"/>
              </w:rPr>
              <w:fldChar w:fldCharType="separate"/>
            </w:r>
            <w:r w:rsidRPr="00B22CEC" w:rsidR="003B6E94">
              <w:rPr>
                <w:rFonts w:ascii="Times New Roman" w:hAnsi="Times New Roman"/>
                <w:sz w:val="25"/>
                <w:szCs w:val="25"/>
              </w:rPr>
              <w:t>Úrad pre verejné obstarávanie</w:t>
            </w:r>
            <w:r w:rsidRPr="00B22CEC" w:rsidR="00D7275F">
              <w:rPr>
                <w:rFonts w:ascii="Times New Roman" w:hAnsi="Times New Roman"/>
                <w:sz w:val="25"/>
                <w:szCs w:val="25"/>
              </w:rPr>
              <w:fldChar w:fldCharType="end"/>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B22CEC" w:rsidP="00632C56">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b/>
                <w:sz w:val="25"/>
                <w:szCs w:val="25"/>
              </w:rPr>
            </w:pPr>
            <w:r w:rsidRPr="00B22CEC">
              <w:rPr>
                <w:rFonts w:ascii="Times New Roman" w:hAnsi="Times New Roman"/>
                <w:b/>
                <w:sz w:val="25"/>
                <w:szCs w:val="25"/>
              </w:rPr>
              <w:t>2.</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B22CEC" w:rsidP="00AA4B96">
            <w:pPr>
              <w:tabs>
                <w:tab w:val="left" w:pos="360"/>
              </w:tabs>
              <w:bidi w:val="0"/>
              <w:rPr>
                <w:rFonts w:ascii="Times New Roman" w:hAnsi="Times New Roman"/>
                <w:sz w:val="25"/>
                <w:szCs w:val="25"/>
              </w:rPr>
            </w:pPr>
            <w:r w:rsidRPr="00B22CEC">
              <w:rPr>
                <w:rFonts w:ascii="Times New Roman" w:hAnsi="Times New Roman"/>
                <w:b/>
                <w:sz w:val="25"/>
                <w:szCs w:val="25"/>
              </w:rPr>
              <w:t xml:space="preserve">Názov návrhu </w:t>
            </w:r>
            <w:r w:rsidRPr="00B22CEC" w:rsidR="00AA4B96">
              <w:rPr>
                <w:rFonts w:ascii="Times New Roman" w:hAnsi="Times New Roman"/>
                <w:b/>
                <w:sz w:val="25"/>
                <w:szCs w:val="25"/>
              </w:rPr>
              <w:t>zákona</w:t>
            </w:r>
            <w:r w:rsidRPr="00B22CEC">
              <w:rPr>
                <w:rFonts w:ascii="Times New Roman" w:hAnsi="Times New Roman"/>
                <w:b/>
                <w:sz w:val="25"/>
                <w:szCs w:val="25"/>
              </w:rPr>
              <w:t>:</w:t>
            </w:r>
            <w:r w:rsidRPr="00B22CEC" w:rsidR="00632C56">
              <w:rPr>
                <w:rFonts w:ascii="Times New Roman" w:hAnsi="Times New Roman"/>
                <w:sz w:val="25"/>
                <w:szCs w:val="25"/>
              </w:rPr>
              <w:t xml:space="preserve"> </w:t>
            </w:r>
            <w:r w:rsidRPr="00B22CEC" w:rsidR="00632C56">
              <w:rPr>
                <w:rFonts w:ascii="Times New Roman" w:hAnsi="Times New Roman"/>
                <w:sz w:val="25"/>
                <w:szCs w:val="25"/>
              </w:rPr>
              <w:fldChar w:fldCharType="begin"/>
            </w:r>
            <w:r w:rsidRPr="00B22CEC" w:rsidR="00632C56">
              <w:rPr>
                <w:rFonts w:ascii="Times New Roman" w:hAnsi="Times New Roman"/>
                <w:sz w:val="25"/>
                <w:szCs w:val="25"/>
              </w:rPr>
              <w:instrText xml:space="preserve"> DOCPROPERTY  FSC#SKEDITIONSLOVLEX@103.510:plnynazovpredpis  \* MERGEFORMAT </w:instrText>
            </w:r>
            <w:r w:rsidRPr="00B22CEC" w:rsidR="00632C56">
              <w:rPr>
                <w:rFonts w:ascii="Times New Roman" w:hAnsi="Times New Roman"/>
                <w:sz w:val="25"/>
                <w:szCs w:val="25"/>
              </w:rPr>
              <w:fldChar w:fldCharType="separate"/>
            </w:r>
            <w:r w:rsidRPr="00B22CEC" w:rsidR="003B6E94">
              <w:rPr>
                <w:rFonts w:ascii="Times New Roman" w:hAnsi="Times New Roman"/>
                <w:sz w:val="25"/>
                <w:szCs w:val="25"/>
              </w:rPr>
              <w:t xml:space="preserve"> Zákon, ktorým sa mení a dopĺňa zákon č. 343/2015 Z. z. o verejnom obstarávaní a o zmene a doplnení niektorých zákonov v znení neskorších predpisov a ktorým sa menia a dopĺňajú niektoré zákony</w:t>
            </w:r>
            <w:r w:rsidRPr="00B22CEC" w:rsidR="00632C56">
              <w:rPr>
                <w:rFonts w:ascii="Times New Roman" w:hAnsi="Times New Roman"/>
                <w:sz w:val="25"/>
                <w:szCs w:val="25"/>
              </w:rPr>
              <w:fldChar w:fldCharType="end"/>
            </w:r>
            <w:r w:rsidRPr="00B22CEC" w:rsidR="00DB3DB1">
              <w:rPr>
                <w:rFonts w:ascii="Times New Roman" w:hAnsi="Times New Roman"/>
                <w:sz w:val="25"/>
                <w:szCs w:val="25"/>
              </w:rPr>
              <w:fldChar w:fldCharType="begin"/>
            </w:r>
            <w:r w:rsidRPr="00B22CEC" w:rsidR="00DB3DB1">
              <w:rPr>
                <w:rFonts w:ascii="Times New Roman" w:hAnsi="Times New Roman"/>
                <w:sz w:val="25"/>
                <w:szCs w:val="25"/>
              </w:rPr>
              <w:instrText xml:space="preserve"> DOCPROPERTY  FSC#SKEDITIONSLOVLEX@103.510:plnynazovpredpis1  \* MERGEFORMAT </w:instrText>
            </w:r>
            <w:r w:rsidRPr="00B22CEC" w:rsidR="00DB3DB1">
              <w:rPr>
                <w:rFonts w:ascii="Times New Roman" w:hAnsi="Times New Roman"/>
                <w:sz w:val="25"/>
                <w:szCs w:val="25"/>
              </w:rPr>
              <w:fldChar w:fldCharType="separate"/>
            </w:r>
            <w:r w:rsidRPr="00B22CEC" w:rsidR="00DB3DB1">
              <w:rPr>
                <w:rFonts w:ascii="Times New Roman" w:hAnsi="Times New Roman"/>
                <w:sz w:val="25"/>
                <w:szCs w:val="25"/>
              </w:rPr>
              <w:fldChar w:fldCharType="end"/>
            </w:r>
            <w:r w:rsidRPr="00B22CEC" w:rsidR="00DB3DB1">
              <w:rPr>
                <w:rFonts w:ascii="Times New Roman" w:hAnsi="Times New Roman"/>
                <w:sz w:val="25"/>
                <w:szCs w:val="25"/>
              </w:rPr>
              <w:fldChar w:fldCharType="begin"/>
            </w:r>
            <w:r w:rsidRPr="00B22CEC" w:rsidR="00DB3DB1">
              <w:rPr>
                <w:rFonts w:ascii="Times New Roman" w:hAnsi="Times New Roman"/>
                <w:sz w:val="25"/>
                <w:szCs w:val="25"/>
              </w:rPr>
              <w:instrText xml:space="preserve"> DOCPROPERTY  FSC#SKEDITIONSLOVLEX@103.510:plnynazovpredpis2  \* MERGEFORMAT </w:instrText>
            </w:r>
            <w:r w:rsidRPr="00B22CEC" w:rsidR="00DB3DB1">
              <w:rPr>
                <w:rFonts w:ascii="Times New Roman" w:hAnsi="Times New Roman"/>
                <w:sz w:val="25"/>
                <w:szCs w:val="25"/>
              </w:rPr>
              <w:fldChar w:fldCharType="separate"/>
            </w:r>
            <w:r w:rsidRPr="00B22CEC" w:rsidR="00DB3DB1">
              <w:rPr>
                <w:rFonts w:ascii="Times New Roman" w:hAnsi="Times New Roman"/>
                <w:sz w:val="25"/>
                <w:szCs w:val="25"/>
              </w:rPr>
              <w:fldChar w:fldCharType="end"/>
            </w:r>
            <w:r w:rsidRPr="00B22CEC" w:rsidR="00DB3DB1">
              <w:rPr>
                <w:rFonts w:ascii="Times New Roman" w:hAnsi="Times New Roman"/>
                <w:sz w:val="25"/>
                <w:szCs w:val="25"/>
              </w:rPr>
              <w:fldChar w:fldCharType="begin"/>
            </w:r>
            <w:r w:rsidRPr="00B22CEC" w:rsidR="00DB3DB1">
              <w:rPr>
                <w:rFonts w:ascii="Times New Roman" w:hAnsi="Times New Roman"/>
                <w:sz w:val="25"/>
                <w:szCs w:val="25"/>
              </w:rPr>
              <w:instrText xml:space="preserve"> DOCPROPERTY  FSC#SKEDITIONSLOVLEX@103.510:plnynazovpredpis3  \* MERGEFORMAT </w:instrText>
            </w:r>
            <w:r w:rsidRPr="00B22CEC" w:rsidR="00DB3DB1">
              <w:rPr>
                <w:rFonts w:ascii="Times New Roman" w:hAnsi="Times New Roman"/>
                <w:sz w:val="25"/>
                <w:szCs w:val="25"/>
              </w:rPr>
              <w:fldChar w:fldCharType="separate"/>
            </w:r>
            <w:r w:rsidRPr="00B22CEC" w:rsidR="00DB3DB1">
              <w:rPr>
                <w:rFonts w:ascii="Times New Roman" w:hAnsi="Times New Roman"/>
                <w:sz w:val="25"/>
                <w:szCs w:val="25"/>
              </w:rPr>
              <w:fldChar w:fldCharType="end"/>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B22CEC" w:rsidP="001F0AA3">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b/>
                <w:sz w:val="25"/>
                <w:szCs w:val="25"/>
              </w:rPr>
            </w:pPr>
            <w:r w:rsidRPr="00B22CEC">
              <w:rPr>
                <w:rFonts w:ascii="Times New Roman" w:hAnsi="Times New Roman"/>
                <w:b/>
                <w:sz w:val="25"/>
                <w:szCs w:val="25"/>
              </w:rPr>
              <w:t>3.</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b/>
                <w:sz w:val="25"/>
                <w:szCs w:val="25"/>
              </w:rPr>
            </w:pPr>
            <w:r w:rsidRPr="00B22CEC" w:rsidR="00AA4B96">
              <w:rPr>
                <w:rFonts w:ascii="Times New Roman" w:hAnsi="Times New Roman"/>
                <w:b/>
                <w:sz w:val="25"/>
                <w:szCs w:val="25"/>
              </w:rPr>
              <w:t>Predmet návrhu zákona je upravený v práve Európskej únie</w:t>
            </w:r>
            <w:r w:rsidRPr="00B22CEC">
              <w:rPr>
                <w:rFonts w:ascii="Times New Roman" w:hAnsi="Times New Roman"/>
                <w:b/>
                <w:sz w:val="25"/>
                <w:szCs w:val="25"/>
              </w:rPr>
              <w:t>:</w:t>
            </w:r>
          </w:p>
          <w:p w:rsidR="003841E0" w:rsidRPr="00B22CEC" w:rsidP="001F0AA3">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AA4B96" w:rsidRPr="00B22CEC" w:rsidP="00AA4B96">
            <w:pPr>
              <w:pStyle w:val="ListParagraph"/>
              <w:divId w:val="3"/>
              <w:numPr>
                <w:numId w:val="8"/>
              </w:numPr>
              <w:bidi w:val="0"/>
              <w:rPr>
                <w:rFonts w:ascii="Times New Roman" w:hAnsi="Times New Roman"/>
                <w:sz w:val="25"/>
                <w:szCs w:val="25"/>
              </w:rPr>
            </w:pPr>
            <w:r w:rsidRPr="00B22CEC">
              <w:rPr>
                <w:rFonts w:ascii="Times New Roman" w:hAnsi="Times New Roman"/>
                <w:sz w:val="25"/>
                <w:szCs w:val="25"/>
              </w:rPr>
              <w:t>v primárnom práve (uviesť názov zmluvy a číslo článku)</w:t>
            </w:r>
          </w:p>
          <w:p w:rsidR="00250307" w:rsidRPr="00B22CEC">
            <w:pPr>
              <w:divId w:val="3"/>
              <w:bidi w:val="0"/>
              <w:rPr>
                <w:rFonts w:ascii="Times New Roman" w:hAnsi="Times New Roman"/>
                <w:sz w:val="25"/>
                <w:szCs w:val="25"/>
              </w:rPr>
            </w:pPr>
            <w:r w:rsidRPr="00B22CEC">
              <w:rPr>
                <w:rFonts w:ascii="Times New Roman" w:hAnsi="Times New Roman"/>
                <w:sz w:val="25"/>
                <w:szCs w:val="25"/>
              </w:rPr>
              <w:br/>
              <w:t>čl. 26 a 114 Zmluvy o fungovaní Európskej únie</w:t>
            </w:r>
          </w:p>
          <w:p w:rsidR="00054456" w:rsidRPr="00B22CEC" w:rsidP="00054456">
            <w:pPr>
              <w:pStyle w:val="ListParagraph"/>
              <w:tabs>
                <w:tab w:val="left" w:pos="360"/>
              </w:tabs>
              <w:bidi w:val="0"/>
              <w:ind w:left="360"/>
              <w:rPr>
                <w:rFonts w:ascii="Times New Roman" w:hAnsi="Times New Roman"/>
                <w:sz w:val="25"/>
                <w:szCs w:val="25"/>
              </w:rPr>
            </w:pPr>
          </w:p>
          <w:p w:rsidR="00AA4B96" w:rsidRPr="00B22CEC" w:rsidP="00B22CEC">
            <w:pPr>
              <w:pStyle w:val="ListParagraph"/>
              <w:divId w:val="19"/>
              <w:numPr>
                <w:numId w:val="8"/>
              </w:numPr>
              <w:bidi w:val="0"/>
              <w:rPr>
                <w:rFonts w:ascii="Times New Roman" w:hAnsi="Times New Roman"/>
                <w:sz w:val="25"/>
                <w:szCs w:val="25"/>
              </w:rPr>
            </w:pPr>
            <w:r w:rsidRPr="00B22CEC">
              <w:rPr>
                <w:rFonts w:ascii="Times New Roman" w:hAnsi="Times New Roman"/>
                <w:sz w:val="25"/>
                <w:szCs w:val="25"/>
              </w:rPr>
              <w:t>v sekundárnom práve (uviesť druh, inštitúciu, číslo, názov a dátum vydania právneho aktu vzťahujúceho sa na upravovanú prob</w:t>
            </w:r>
            <w:r w:rsidRPr="00B22CEC" w:rsidR="00B01778">
              <w:rPr>
                <w:rFonts w:ascii="Times New Roman" w:hAnsi="Times New Roman"/>
                <w:sz w:val="25"/>
                <w:szCs w:val="25"/>
              </w:rPr>
              <w:t>lematiku, vrátane jeho gestora)</w:t>
            </w:r>
          </w:p>
          <w:p w:rsidR="00B01778" w:rsidRPr="00B22CEC" w:rsidP="00AA4B96">
            <w:pPr>
              <w:divId w:val="19"/>
              <w:tabs>
                <w:tab w:val="left" w:pos="1068"/>
              </w:tabs>
              <w:bidi w:val="0"/>
              <w:rPr>
                <w:rFonts w:ascii="Times New Roman" w:hAnsi="Times New Roman"/>
                <w:sz w:val="25"/>
                <w:szCs w:val="25"/>
              </w:rPr>
            </w:pPr>
          </w:p>
          <w:p w:rsidR="00AC5862" w:rsidRPr="00B22CEC" w:rsidP="00B01778">
            <w:pPr>
              <w:pStyle w:val="ListParagraph"/>
              <w:divId w:val="19"/>
              <w:numPr>
                <w:numId w:val="9"/>
              </w:numPr>
              <w:bidi w:val="0"/>
              <w:ind w:left="339" w:hanging="339"/>
              <w:jc w:val="both"/>
              <w:rPr>
                <w:rFonts w:ascii="Times New Roman" w:hAnsi="Times New Roman"/>
                <w:sz w:val="25"/>
                <w:szCs w:val="25"/>
              </w:rPr>
            </w:pPr>
            <w:r w:rsidRPr="00B22CEC" w:rsidR="00B22CEC">
              <w:rPr>
                <w:rFonts w:ascii="Times New Roman" w:hAnsi="Times New Roman"/>
                <w:sz w:val="25"/>
                <w:szCs w:val="25"/>
                <w:lang w:eastAsia="cs-CZ"/>
              </w:rPr>
              <w:t xml:space="preserve">Smernica Európskeho parlamentu a Rady </w:t>
            </w:r>
            <w:r w:rsidRPr="00B22CEC" w:rsidR="00250307">
              <w:rPr>
                <w:rFonts w:ascii="Times New Roman" w:hAnsi="Times New Roman"/>
                <w:sz w:val="25"/>
                <w:szCs w:val="25"/>
              </w:rPr>
              <w:t>2014/24/EÚ o verejnom obstarávaní a</w:t>
            </w:r>
            <w:r w:rsidRPr="00B22CEC" w:rsidR="00931C06">
              <w:rPr>
                <w:rFonts w:ascii="Times New Roman" w:hAnsi="Times New Roman"/>
                <w:sz w:val="25"/>
                <w:szCs w:val="25"/>
              </w:rPr>
              <w:t xml:space="preserve"> o </w:t>
            </w:r>
            <w:r w:rsidRPr="00B22CEC" w:rsidR="00250307">
              <w:rPr>
                <w:rFonts w:ascii="Times New Roman" w:hAnsi="Times New Roman"/>
                <w:sz w:val="25"/>
                <w:szCs w:val="25"/>
              </w:rPr>
              <w:t>zrušení smernice 2004/18/ES</w:t>
            </w:r>
            <w:r w:rsidRPr="00B22CEC" w:rsidR="005D6FE1">
              <w:rPr>
                <w:rFonts w:ascii="Times New Roman" w:hAnsi="Times New Roman"/>
                <w:sz w:val="25"/>
                <w:szCs w:val="25"/>
              </w:rPr>
              <w:t xml:space="preserve"> (Ú. v. EÚ L 94</w:t>
            </w:r>
            <w:r w:rsidRPr="00B22CEC" w:rsidR="00E65492">
              <w:rPr>
                <w:rFonts w:ascii="Times New Roman" w:hAnsi="Times New Roman"/>
                <w:sz w:val="25"/>
                <w:szCs w:val="25"/>
                <w:lang w:val="en-US"/>
              </w:rPr>
              <w:t>;</w:t>
            </w:r>
            <w:r w:rsidRPr="00B22CEC" w:rsidR="005D6FE1">
              <w:rPr>
                <w:rFonts w:ascii="Times New Roman" w:hAnsi="Times New Roman"/>
                <w:sz w:val="25"/>
                <w:szCs w:val="25"/>
              </w:rPr>
              <w:t xml:space="preserve"> </w:t>
            </w:r>
            <w:r w:rsidR="00CA5460">
              <w:rPr>
                <w:rFonts w:ascii="Times New Roman" w:hAnsi="Times New Roman"/>
                <w:iCs/>
                <w:sz w:val="25"/>
                <w:szCs w:val="25"/>
              </w:rPr>
              <w:t>28.3.</w:t>
            </w:r>
            <w:r w:rsidRPr="00B22CEC" w:rsidR="005D6FE1">
              <w:rPr>
                <w:rFonts w:ascii="Times New Roman" w:hAnsi="Times New Roman"/>
                <w:iCs/>
                <w:sz w:val="25"/>
                <w:szCs w:val="25"/>
              </w:rPr>
              <w:t>2014</w:t>
            </w:r>
            <w:r w:rsidRPr="00B22CEC" w:rsidR="005D6FE1">
              <w:rPr>
                <w:rFonts w:ascii="Times New Roman" w:hAnsi="Times New Roman"/>
                <w:sz w:val="25"/>
                <w:szCs w:val="25"/>
              </w:rPr>
              <w:t>)</w:t>
            </w:r>
            <w:r w:rsidRPr="00B22CEC" w:rsidR="00A014A5">
              <w:rPr>
                <w:rFonts w:ascii="Times New Roman" w:hAnsi="Times New Roman"/>
                <w:sz w:val="25"/>
                <w:szCs w:val="25"/>
              </w:rPr>
              <w:t xml:space="preserve"> v platnom znení</w:t>
            </w:r>
            <w:r w:rsidRPr="00B22CEC" w:rsidR="00931C06">
              <w:rPr>
                <w:rFonts w:ascii="Times New Roman" w:hAnsi="Times New Roman"/>
                <w:sz w:val="25"/>
                <w:szCs w:val="25"/>
              </w:rPr>
              <w:t>,</w:t>
            </w:r>
          </w:p>
          <w:p w:rsidR="00931C06" w:rsidP="00AA4B96">
            <w:pPr>
              <w:divId w:val="19"/>
              <w:bidi w:val="0"/>
              <w:rPr>
                <w:rFonts w:ascii="Times New Roman" w:hAnsi="Times New Roman"/>
                <w:sz w:val="25"/>
                <w:szCs w:val="25"/>
              </w:rPr>
            </w:pPr>
          </w:p>
          <w:p w:rsidR="00E8322D" w:rsidRPr="00B22CEC" w:rsidP="00E8322D">
            <w:pPr>
              <w:divId w:val="19"/>
              <w:bidi w:val="0"/>
              <w:spacing w:after="250"/>
              <w:rPr>
                <w:rFonts w:ascii="Times New Roman" w:hAnsi="Times New Roman"/>
                <w:b/>
                <w:bCs/>
                <w:sz w:val="25"/>
                <w:szCs w:val="25"/>
              </w:rPr>
            </w:pPr>
            <w:r w:rsidRPr="00B22CEC">
              <w:rPr>
                <w:rFonts w:ascii="Times New Roman" w:hAnsi="Times New Roman"/>
                <w:b/>
                <w:bCs/>
                <w:sz w:val="25"/>
                <w:szCs w:val="25"/>
              </w:rPr>
              <w:t>Gestor a spolupracujúce rezorty:</w:t>
            </w:r>
          </w:p>
          <w:p w:rsidR="00E8322D" w:rsidP="00E8322D">
            <w:pPr>
              <w:divId w:val="19"/>
              <w:bidi w:val="0"/>
              <w:rPr>
                <w:rFonts w:ascii="Times New Roman" w:hAnsi="Times New Roman"/>
                <w:bCs/>
                <w:sz w:val="25"/>
                <w:szCs w:val="25"/>
              </w:rPr>
            </w:pPr>
            <w:r w:rsidRPr="00B22CEC">
              <w:rPr>
                <w:rFonts w:ascii="Times New Roman" w:hAnsi="Times New Roman"/>
                <w:bCs/>
                <w:sz w:val="25"/>
                <w:szCs w:val="25"/>
              </w:rPr>
              <w:t>Úrad pre verejné obstarávanie</w:t>
            </w:r>
          </w:p>
          <w:p w:rsidR="00E8322D" w:rsidRPr="00B22CEC" w:rsidP="00E8322D">
            <w:pPr>
              <w:divId w:val="19"/>
              <w:bidi w:val="0"/>
              <w:rPr>
                <w:rFonts w:ascii="Times New Roman" w:hAnsi="Times New Roman"/>
                <w:sz w:val="25"/>
                <w:szCs w:val="25"/>
              </w:rPr>
            </w:pPr>
          </w:p>
          <w:p w:rsidR="00AC5862" w:rsidP="00B01778">
            <w:pPr>
              <w:pStyle w:val="ListParagraph"/>
              <w:divId w:val="19"/>
              <w:numPr>
                <w:numId w:val="9"/>
              </w:numPr>
              <w:bidi w:val="0"/>
              <w:ind w:left="339" w:hanging="339"/>
              <w:jc w:val="both"/>
              <w:rPr>
                <w:rFonts w:ascii="Times New Roman" w:hAnsi="Times New Roman"/>
                <w:sz w:val="25"/>
                <w:szCs w:val="25"/>
              </w:rPr>
            </w:pPr>
            <w:r w:rsidRPr="00B22CEC" w:rsidR="00B22CEC">
              <w:rPr>
                <w:rFonts w:ascii="Times New Roman" w:hAnsi="Times New Roman"/>
                <w:sz w:val="25"/>
                <w:szCs w:val="25"/>
                <w:lang w:eastAsia="cs-CZ"/>
              </w:rPr>
              <w:t xml:space="preserve">Smernica Európskeho parlamentu a Rady </w:t>
            </w:r>
            <w:r w:rsidRPr="00B22CEC" w:rsidR="00250307">
              <w:rPr>
                <w:rFonts w:ascii="Times New Roman" w:hAnsi="Times New Roman"/>
                <w:sz w:val="25"/>
                <w:szCs w:val="25"/>
              </w:rPr>
              <w:t>2014/23/EÚ o udeľovaní koncesií</w:t>
            </w:r>
            <w:r w:rsidRPr="00B22CEC" w:rsidR="005D6FE1">
              <w:rPr>
                <w:rFonts w:ascii="Times New Roman" w:hAnsi="Times New Roman"/>
                <w:sz w:val="25"/>
                <w:szCs w:val="25"/>
              </w:rPr>
              <w:t xml:space="preserve"> </w:t>
            </w:r>
            <w:r w:rsidR="00DD3B34">
              <w:rPr>
                <w:rFonts w:ascii="Times New Roman" w:hAnsi="Times New Roman"/>
                <w:sz w:val="25"/>
                <w:szCs w:val="25"/>
              </w:rPr>
              <w:t>(Ú. v. EÚ L 94</w:t>
            </w:r>
            <w:r w:rsidRPr="00B22CEC" w:rsidR="00DD3B34">
              <w:rPr>
                <w:rFonts w:ascii="Times New Roman" w:hAnsi="Times New Roman"/>
                <w:sz w:val="25"/>
                <w:szCs w:val="25"/>
                <w:lang w:val="en-US"/>
              </w:rPr>
              <w:t>;</w:t>
            </w:r>
            <w:r w:rsidRPr="00B22CEC" w:rsidR="005D6FE1">
              <w:rPr>
                <w:rFonts w:ascii="Times New Roman" w:hAnsi="Times New Roman"/>
                <w:sz w:val="25"/>
                <w:szCs w:val="25"/>
              </w:rPr>
              <w:t xml:space="preserve"> </w:t>
            </w:r>
            <w:r w:rsidR="00CA5460">
              <w:rPr>
                <w:rFonts w:ascii="Times New Roman" w:hAnsi="Times New Roman"/>
                <w:iCs/>
                <w:sz w:val="25"/>
                <w:szCs w:val="25"/>
              </w:rPr>
              <w:t>28.3.</w:t>
            </w:r>
            <w:r w:rsidRPr="00B22CEC" w:rsidR="005D6FE1">
              <w:rPr>
                <w:rFonts w:ascii="Times New Roman" w:hAnsi="Times New Roman"/>
                <w:iCs/>
                <w:sz w:val="25"/>
                <w:szCs w:val="25"/>
              </w:rPr>
              <w:t>2014</w:t>
            </w:r>
            <w:r w:rsidRPr="00B22CEC" w:rsidR="005D6FE1">
              <w:rPr>
                <w:rFonts w:ascii="Times New Roman" w:hAnsi="Times New Roman"/>
                <w:sz w:val="25"/>
                <w:szCs w:val="25"/>
              </w:rPr>
              <w:t>)</w:t>
            </w:r>
            <w:r w:rsidRPr="00B22CEC" w:rsidR="00A014A5">
              <w:rPr>
                <w:rFonts w:ascii="Times New Roman" w:hAnsi="Times New Roman"/>
                <w:sz w:val="25"/>
                <w:szCs w:val="25"/>
              </w:rPr>
              <w:t xml:space="preserve"> v platnom znení,</w:t>
            </w:r>
          </w:p>
          <w:p w:rsidR="00E8322D" w:rsidRPr="00B22CEC" w:rsidP="00E8322D">
            <w:pPr>
              <w:pStyle w:val="ListParagraph"/>
              <w:divId w:val="19"/>
              <w:bidi w:val="0"/>
              <w:ind w:left="339"/>
              <w:jc w:val="both"/>
              <w:rPr>
                <w:rFonts w:ascii="Times New Roman" w:hAnsi="Times New Roman"/>
                <w:sz w:val="25"/>
                <w:szCs w:val="25"/>
              </w:rPr>
            </w:pPr>
          </w:p>
          <w:p w:rsidR="00E8322D" w:rsidRPr="00B22CEC" w:rsidP="00E8322D">
            <w:pPr>
              <w:divId w:val="19"/>
              <w:bidi w:val="0"/>
              <w:spacing w:after="250"/>
              <w:rPr>
                <w:rFonts w:ascii="Times New Roman" w:hAnsi="Times New Roman"/>
                <w:b/>
                <w:bCs/>
                <w:sz w:val="25"/>
                <w:szCs w:val="25"/>
              </w:rPr>
            </w:pPr>
            <w:r w:rsidRPr="00B22CEC">
              <w:rPr>
                <w:rFonts w:ascii="Times New Roman" w:hAnsi="Times New Roman"/>
                <w:b/>
                <w:bCs/>
                <w:sz w:val="25"/>
                <w:szCs w:val="25"/>
              </w:rPr>
              <w:t>Gestor a spolupracujúce rezorty:</w:t>
            </w:r>
          </w:p>
          <w:p w:rsidR="00931C06" w:rsidP="00E8322D">
            <w:pPr>
              <w:divId w:val="19"/>
              <w:bidi w:val="0"/>
              <w:rPr>
                <w:rFonts w:ascii="Times New Roman" w:hAnsi="Times New Roman"/>
                <w:bCs/>
                <w:sz w:val="25"/>
                <w:szCs w:val="25"/>
              </w:rPr>
            </w:pPr>
            <w:r w:rsidRPr="00B22CEC" w:rsidR="00E8322D">
              <w:rPr>
                <w:rFonts w:ascii="Times New Roman" w:hAnsi="Times New Roman"/>
                <w:bCs/>
                <w:sz w:val="25"/>
                <w:szCs w:val="25"/>
              </w:rPr>
              <w:t>Úrad pre verejné obstarávanie</w:t>
            </w:r>
          </w:p>
          <w:p w:rsidR="00E8322D" w:rsidRPr="00B22CEC" w:rsidP="00E8322D">
            <w:pPr>
              <w:divId w:val="19"/>
              <w:bidi w:val="0"/>
              <w:rPr>
                <w:rFonts w:ascii="Times New Roman" w:hAnsi="Times New Roman"/>
                <w:sz w:val="25"/>
                <w:szCs w:val="25"/>
              </w:rPr>
            </w:pPr>
          </w:p>
          <w:p w:rsidR="00D2141B" w:rsidRPr="00B22CEC" w:rsidP="00B01778">
            <w:pPr>
              <w:pStyle w:val="ListParagraph"/>
              <w:divId w:val="19"/>
              <w:numPr>
                <w:numId w:val="9"/>
              </w:numPr>
              <w:bidi w:val="0"/>
              <w:ind w:left="339" w:hanging="339"/>
              <w:jc w:val="both"/>
              <w:rPr>
                <w:rFonts w:ascii="Times New Roman" w:hAnsi="Times New Roman"/>
                <w:sz w:val="25"/>
                <w:szCs w:val="25"/>
              </w:rPr>
            </w:pPr>
            <w:r w:rsidRPr="00B22CEC" w:rsidR="00B22CEC">
              <w:rPr>
                <w:rFonts w:ascii="Times New Roman" w:hAnsi="Times New Roman"/>
                <w:sz w:val="25"/>
                <w:szCs w:val="25"/>
                <w:lang w:eastAsia="cs-CZ"/>
              </w:rPr>
              <w:t xml:space="preserve">Smernica Európskeho parlamentu a Rady </w:t>
            </w:r>
            <w:r w:rsidRPr="00B22CEC" w:rsidR="00250307">
              <w:rPr>
                <w:rFonts w:ascii="Times New Roman" w:hAnsi="Times New Roman"/>
                <w:sz w:val="25"/>
                <w:szCs w:val="25"/>
              </w:rPr>
              <w:t>2014/25/EÚ o obstarávaní vykonávanom subjektmi pôsobiacimi v odvetviach vodného hospodárstva, energetiky, dopravy a poštových služieb a o zrušení smernice 2004/17/ES</w:t>
            </w:r>
            <w:r w:rsidRPr="00B22CEC" w:rsidR="005D6FE1">
              <w:rPr>
                <w:rFonts w:ascii="Times New Roman" w:hAnsi="Times New Roman"/>
                <w:sz w:val="25"/>
                <w:szCs w:val="25"/>
              </w:rPr>
              <w:t xml:space="preserve"> (Ú. v. EÚ L 94</w:t>
            </w:r>
            <w:r w:rsidRPr="00B22CEC" w:rsidR="00DD3B34">
              <w:rPr>
                <w:rFonts w:ascii="Times New Roman" w:hAnsi="Times New Roman"/>
                <w:sz w:val="25"/>
                <w:szCs w:val="25"/>
                <w:lang w:val="en-US"/>
              </w:rPr>
              <w:t>;</w:t>
            </w:r>
            <w:r w:rsidRPr="00B22CEC" w:rsidR="005D6FE1">
              <w:rPr>
                <w:rFonts w:ascii="Times New Roman" w:hAnsi="Times New Roman"/>
                <w:sz w:val="25"/>
                <w:szCs w:val="25"/>
              </w:rPr>
              <w:t xml:space="preserve"> </w:t>
            </w:r>
            <w:r w:rsidR="00CA5460">
              <w:rPr>
                <w:rFonts w:ascii="Times New Roman" w:hAnsi="Times New Roman"/>
                <w:iCs/>
                <w:sz w:val="25"/>
                <w:szCs w:val="25"/>
              </w:rPr>
              <w:t>28.3.</w:t>
            </w:r>
            <w:r w:rsidRPr="00B22CEC" w:rsidR="005D6FE1">
              <w:rPr>
                <w:rFonts w:ascii="Times New Roman" w:hAnsi="Times New Roman"/>
                <w:iCs/>
                <w:sz w:val="25"/>
                <w:szCs w:val="25"/>
              </w:rPr>
              <w:t>2014</w:t>
            </w:r>
            <w:r w:rsidRPr="00B22CEC" w:rsidR="005D6FE1">
              <w:rPr>
                <w:rFonts w:ascii="Times New Roman" w:hAnsi="Times New Roman"/>
                <w:sz w:val="25"/>
                <w:szCs w:val="25"/>
              </w:rPr>
              <w:t>)</w:t>
            </w:r>
            <w:r w:rsidRPr="00B22CEC" w:rsidR="00A014A5">
              <w:rPr>
                <w:rFonts w:ascii="Times New Roman" w:hAnsi="Times New Roman"/>
                <w:sz w:val="25"/>
                <w:szCs w:val="25"/>
              </w:rPr>
              <w:t xml:space="preserve"> v platnom znení,</w:t>
            </w:r>
          </w:p>
          <w:p w:rsidR="00931C06">
            <w:pPr>
              <w:divId w:val="19"/>
              <w:bidi w:val="0"/>
              <w:rPr>
                <w:rFonts w:ascii="Times New Roman" w:hAnsi="Times New Roman"/>
                <w:sz w:val="25"/>
                <w:szCs w:val="25"/>
              </w:rPr>
            </w:pPr>
          </w:p>
          <w:p w:rsidR="00E8322D" w:rsidRPr="00B22CEC" w:rsidP="00E8322D">
            <w:pPr>
              <w:divId w:val="19"/>
              <w:bidi w:val="0"/>
              <w:spacing w:after="250"/>
              <w:rPr>
                <w:rFonts w:ascii="Times New Roman" w:hAnsi="Times New Roman"/>
                <w:b/>
                <w:bCs/>
                <w:sz w:val="25"/>
                <w:szCs w:val="25"/>
              </w:rPr>
            </w:pPr>
            <w:r w:rsidRPr="00B22CEC">
              <w:rPr>
                <w:rFonts w:ascii="Times New Roman" w:hAnsi="Times New Roman"/>
                <w:b/>
                <w:bCs/>
                <w:sz w:val="25"/>
                <w:szCs w:val="25"/>
              </w:rPr>
              <w:t>Gestor a spolupracujúce rezorty:</w:t>
            </w:r>
          </w:p>
          <w:p w:rsidR="00E8322D" w:rsidP="00E8322D">
            <w:pPr>
              <w:divId w:val="19"/>
              <w:bidi w:val="0"/>
              <w:rPr>
                <w:rFonts w:ascii="Times New Roman" w:hAnsi="Times New Roman"/>
                <w:bCs/>
                <w:sz w:val="25"/>
                <w:szCs w:val="25"/>
              </w:rPr>
            </w:pPr>
            <w:r w:rsidRPr="00B22CEC">
              <w:rPr>
                <w:rFonts w:ascii="Times New Roman" w:hAnsi="Times New Roman"/>
                <w:bCs/>
                <w:sz w:val="25"/>
                <w:szCs w:val="25"/>
              </w:rPr>
              <w:t>Úrad pre verejné obstarávanie</w:t>
            </w:r>
          </w:p>
          <w:p w:rsidR="00E8322D" w:rsidRPr="00B22CEC" w:rsidP="00E8322D">
            <w:pPr>
              <w:divId w:val="19"/>
              <w:bidi w:val="0"/>
              <w:rPr>
                <w:rFonts w:ascii="Times New Roman" w:hAnsi="Times New Roman"/>
                <w:sz w:val="25"/>
                <w:szCs w:val="25"/>
              </w:rPr>
            </w:pPr>
          </w:p>
          <w:p w:rsidR="00B01778" w:rsidP="00B01778">
            <w:pPr>
              <w:pStyle w:val="ListParagraph"/>
              <w:divId w:val="19"/>
              <w:numPr>
                <w:numId w:val="9"/>
              </w:numPr>
              <w:bidi w:val="0"/>
              <w:ind w:left="339" w:hanging="339"/>
              <w:jc w:val="both"/>
              <w:rPr>
                <w:rFonts w:ascii="Times New Roman" w:hAnsi="Times New Roman"/>
                <w:sz w:val="25"/>
                <w:szCs w:val="25"/>
              </w:rPr>
            </w:pPr>
            <w:r w:rsidRPr="00B22CEC" w:rsidR="00B22CEC">
              <w:rPr>
                <w:rFonts w:ascii="Times New Roman" w:hAnsi="Times New Roman"/>
                <w:sz w:val="25"/>
                <w:szCs w:val="25"/>
                <w:lang w:eastAsia="cs-CZ"/>
              </w:rPr>
              <w:t>Smernica</w:t>
            </w:r>
            <w:r w:rsidRPr="00B22CEC">
              <w:rPr>
                <w:rFonts w:ascii="Times New Roman" w:hAnsi="Times New Roman"/>
                <w:sz w:val="25"/>
                <w:szCs w:val="25"/>
              </w:rPr>
              <w:t xml:space="preserve"> </w:t>
            </w:r>
            <w:r w:rsidRPr="00B22CEC" w:rsidR="00B22CEC">
              <w:rPr>
                <w:rFonts w:ascii="Times New Roman" w:hAnsi="Times New Roman"/>
                <w:sz w:val="25"/>
                <w:szCs w:val="25"/>
                <w:lang w:eastAsia="cs-CZ"/>
              </w:rPr>
              <w:t>Rady</w:t>
            </w:r>
            <w:r w:rsidRPr="00B22CEC">
              <w:rPr>
                <w:rFonts w:ascii="Times New Roman" w:hAnsi="Times New Roman"/>
                <w:sz w:val="25"/>
                <w:szCs w:val="25"/>
              </w:rPr>
              <w:t xml:space="preserve"> </w:t>
            </w:r>
            <w:r w:rsidRPr="00B22CEC" w:rsidR="00250307">
              <w:rPr>
                <w:rFonts w:ascii="Times New Roman" w:hAnsi="Times New Roman"/>
                <w:sz w:val="25"/>
                <w:szCs w:val="25"/>
              </w:rPr>
              <w:t>o koordinácii zákonov, iných právnych predpisov a správnych opatrení týkajúcich sa uplatňovania postupov preskúmavania v rámci verejného obstarávania tovarov a</w:t>
            </w:r>
            <w:r w:rsidRPr="00B22CEC" w:rsidR="00931C06">
              <w:rPr>
                <w:rFonts w:ascii="Times New Roman" w:hAnsi="Times New Roman"/>
                <w:sz w:val="25"/>
                <w:szCs w:val="25"/>
              </w:rPr>
              <w:t> </w:t>
            </w:r>
            <w:r w:rsidRPr="00B22CEC" w:rsidR="00250307">
              <w:rPr>
                <w:rFonts w:ascii="Times New Roman" w:hAnsi="Times New Roman"/>
                <w:sz w:val="25"/>
                <w:szCs w:val="25"/>
              </w:rPr>
              <w:t>prác</w:t>
            </w:r>
            <w:r w:rsidRPr="00B22CEC" w:rsidR="00931C06">
              <w:rPr>
                <w:rFonts w:ascii="Times New Roman" w:hAnsi="Times New Roman"/>
                <w:sz w:val="25"/>
                <w:szCs w:val="25"/>
              </w:rPr>
              <w:t xml:space="preserve"> (89/665/EHS)</w:t>
            </w:r>
            <w:r w:rsidRPr="00B22CEC" w:rsidR="005D6FE1">
              <w:rPr>
                <w:rFonts w:ascii="Times New Roman" w:hAnsi="Times New Roman"/>
                <w:sz w:val="25"/>
                <w:szCs w:val="25"/>
              </w:rPr>
              <w:t xml:space="preserve"> (Ú. v. EÚ L 395</w:t>
            </w:r>
            <w:r w:rsidRPr="00B22CEC" w:rsidR="00DD3B34">
              <w:rPr>
                <w:rFonts w:ascii="Times New Roman" w:hAnsi="Times New Roman"/>
                <w:sz w:val="25"/>
                <w:szCs w:val="25"/>
                <w:lang w:val="en-US"/>
              </w:rPr>
              <w:t>;</w:t>
            </w:r>
            <w:r w:rsidRPr="00B22CEC" w:rsidR="005D6FE1">
              <w:rPr>
                <w:rFonts w:ascii="Times New Roman" w:hAnsi="Times New Roman"/>
                <w:sz w:val="25"/>
                <w:szCs w:val="25"/>
              </w:rPr>
              <w:t xml:space="preserve"> </w:t>
            </w:r>
            <w:r w:rsidR="00CA5460">
              <w:rPr>
                <w:rFonts w:ascii="Times New Roman" w:hAnsi="Times New Roman"/>
                <w:iCs/>
                <w:sz w:val="25"/>
                <w:szCs w:val="25"/>
              </w:rPr>
              <w:t>30.12.</w:t>
            </w:r>
            <w:r w:rsidRPr="00B22CEC" w:rsidR="005D6FE1">
              <w:rPr>
                <w:rFonts w:ascii="Times New Roman" w:hAnsi="Times New Roman"/>
                <w:iCs/>
                <w:sz w:val="25"/>
                <w:szCs w:val="25"/>
              </w:rPr>
              <w:t>1989</w:t>
            </w:r>
            <w:r w:rsidRPr="00B22CEC" w:rsidR="005D6FE1">
              <w:rPr>
                <w:rFonts w:ascii="Times New Roman" w:hAnsi="Times New Roman"/>
                <w:sz w:val="25"/>
                <w:szCs w:val="25"/>
              </w:rPr>
              <w:t>)</w:t>
            </w:r>
            <w:r w:rsidRPr="00B22CEC" w:rsidR="00A014A5">
              <w:rPr>
                <w:rFonts w:ascii="Times New Roman" w:hAnsi="Times New Roman"/>
                <w:sz w:val="25"/>
                <w:szCs w:val="25"/>
              </w:rPr>
              <w:t xml:space="preserve"> v platnom znení,</w:t>
            </w:r>
          </w:p>
          <w:p w:rsidR="00E8322D" w:rsidRPr="00B22CEC" w:rsidP="00E8322D">
            <w:pPr>
              <w:divId w:val="19"/>
              <w:bidi w:val="0"/>
              <w:spacing w:after="250"/>
              <w:rPr>
                <w:rFonts w:ascii="Times New Roman" w:hAnsi="Times New Roman"/>
                <w:b/>
                <w:bCs/>
                <w:sz w:val="25"/>
                <w:szCs w:val="25"/>
              </w:rPr>
            </w:pPr>
            <w:r w:rsidRPr="00B22CEC">
              <w:rPr>
                <w:rFonts w:ascii="Times New Roman" w:hAnsi="Times New Roman"/>
                <w:b/>
                <w:bCs/>
                <w:sz w:val="25"/>
                <w:szCs w:val="25"/>
              </w:rPr>
              <w:t>Gestor a spolupracujúce rezorty:</w:t>
            </w:r>
          </w:p>
          <w:p w:rsidR="00E8322D" w:rsidRPr="00E8322D" w:rsidP="00E8322D">
            <w:pPr>
              <w:divId w:val="19"/>
              <w:bidi w:val="0"/>
              <w:jc w:val="both"/>
              <w:rPr>
                <w:rFonts w:ascii="Times New Roman" w:hAnsi="Times New Roman"/>
                <w:sz w:val="25"/>
                <w:szCs w:val="25"/>
              </w:rPr>
            </w:pPr>
            <w:r w:rsidRPr="00E8322D">
              <w:rPr>
                <w:rFonts w:ascii="Times New Roman" w:hAnsi="Times New Roman"/>
                <w:bCs/>
                <w:sz w:val="25"/>
                <w:szCs w:val="25"/>
              </w:rPr>
              <w:t>Úrad pre verejné obstarávanie</w:t>
            </w:r>
          </w:p>
          <w:p w:rsidR="00B01778" w:rsidRPr="00B22CEC" w:rsidP="00B01778">
            <w:pPr>
              <w:divId w:val="19"/>
              <w:bidi w:val="0"/>
              <w:rPr>
                <w:rFonts w:ascii="Times New Roman" w:hAnsi="Times New Roman"/>
                <w:sz w:val="25"/>
                <w:szCs w:val="25"/>
              </w:rPr>
            </w:pPr>
          </w:p>
          <w:p w:rsidR="006F3E6F" w:rsidP="00B01778">
            <w:pPr>
              <w:pStyle w:val="ListParagraph"/>
              <w:divId w:val="19"/>
              <w:numPr>
                <w:numId w:val="9"/>
              </w:numPr>
              <w:bidi w:val="0"/>
              <w:ind w:left="339" w:hanging="339"/>
              <w:jc w:val="both"/>
              <w:rPr>
                <w:rFonts w:ascii="Times New Roman" w:hAnsi="Times New Roman"/>
                <w:sz w:val="25"/>
                <w:szCs w:val="25"/>
              </w:rPr>
            </w:pPr>
            <w:r w:rsidRPr="00B22CEC" w:rsidR="00B22CEC">
              <w:rPr>
                <w:rFonts w:ascii="Times New Roman" w:hAnsi="Times New Roman"/>
                <w:sz w:val="25"/>
                <w:szCs w:val="25"/>
                <w:lang w:eastAsia="cs-CZ"/>
              </w:rPr>
              <w:t>Smernica</w:t>
            </w:r>
            <w:r w:rsidRPr="00B22CEC" w:rsidR="00B22CEC">
              <w:rPr>
                <w:rFonts w:ascii="Times New Roman" w:hAnsi="Times New Roman"/>
                <w:sz w:val="25"/>
                <w:szCs w:val="25"/>
              </w:rPr>
              <w:t xml:space="preserve"> </w:t>
            </w:r>
            <w:r w:rsidRPr="00B22CEC" w:rsidR="00B22CEC">
              <w:rPr>
                <w:rFonts w:ascii="Times New Roman" w:hAnsi="Times New Roman"/>
                <w:sz w:val="25"/>
                <w:szCs w:val="25"/>
                <w:lang w:eastAsia="cs-CZ"/>
              </w:rPr>
              <w:t>Rady</w:t>
            </w:r>
            <w:r w:rsidRPr="00B22CEC" w:rsidR="00B22CEC">
              <w:rPr>
                <w:rFonts w:ascii="Times New Roman" w:hAnsi="Times New Roman"/>
                <w:sz w:val="25"/>
                <w:szCs w:val="25"/>
              </w:rPr>
              <w:t xml:space="preserve"> </w:t>
            </w:r>
            <w:r w:rsidRPr="00B22CEC" w:rsidR="00250307">
              <w:rPr>
                <w:rFonts w:ascii="Times New Roman" w:hAnsi="Times New Roman"/>
                <w:sz w:val="25"/>
                <w:szCs w:val="25"/>
              </w:rPr>
              <w:t xml:space="preserve">92/13/EHS, </w:t>
            </w:r>
            <w:r w:rsidRPr="00B22CEC" w:rsidR="00B01778">
              <w:rPr>
                <w:rFonts w:ascii="Times New Roman" w:hAnsi="Times New Roman"/>
                <w:sz w:val="25"/>
                <w:szCs w:val="25"/>
              </w:rPr>
              <w:t>ktorou sa koordinujú zákony, iné právne predpisy a správne opatrenia o uplatňovaní právnych predpisov spoločenstva, o postupoch verejného obstarávania subjektov pôsobiacich vo vodnom, energetickom, dopravnom a telekomunikačnom sektore</w:t>
            </w:r>
            <w:r w:rsidRPr="00B22CEC" w:rsidR="005D6FE1">
              <w:rPr>
                <w:rFonts w:ascii="Times New Roman" w:hAnsi="Times New Roman"/>
                <w:sz w:val="25"/>
                <w:szCs w:val="25"/>
              </w:rPr>
              <w:t xml:space="preserve"> (Ú. v. EÚ L 76</w:t>
            </w:r>
            <w:r w:rsidRPr="00B22CEC" w:rsidR="00DD3B34">
              <w:rPr>
                <w:rFonts w:ascii="Times New Roman" w:hAnsi="Times New Roman"/>
                <w:sz w:val="25"/>
                <w:szCs w:val="25"/>
                <w:lang w:val="en-US"/>
              </w:rPr>
              <w:t>;</w:t>
            </w:r>
            <w:r w:rsidRPr="00B22CEC" w:rsidR="005D6FE1">
              <w:rPr>
                <w:rFonts w:ascii="Times New Roman" w:hAnsi="Times New Roman"/>
                <w:sz w:val="25"/>
                <w:szCs w:val="25"/>
              </w:rPr>
              <w:t xml:space="preserve"> </w:t>
            </w:r>
            <w:r w:rsidR="00CA5460">
              <w:rPr>
                <w:rFonts w:ascii="Times New Roman" w:hAnsi="Times New Roman"/>
                <w:iCs/>
                <w:sz w:val="25"/>
                <w:szCs w:val="25"/>
              </w:rPr>
              <w:t>23.3.</w:t>
            </w:r>
            <w:r w:rsidRPr="00B22CEC" w:rsidR="005D6FE1">
              <w:rPr>
                <w:rFonts w:ascii="Times New Roman" w:hAnsi="Times New Roman"/>
                <w:iCs/>
                <w:sz w:val="25"/>
                <w:szCs w:val="25"/>
              </w:rPr>
              <w:t>1992</w:t>
            </w:r>
            <w:r w:rsidRPr="00B22CEC" w:rsidR="005D6FE1">
              <w:rPr>
                <w:rFonts w:ascii="Times New Roman" w:hAnsi="Times New Roman"/>
                <w:sz w:val="25"/>
                <w:szCs w:val="25"/>
              </w:rPr>
              <w:t>)</w:t>
            </w:r>
            <w:r w:rsidRPr="00B22CEC" w:rsidR="00A014A5">
              <w:rPr>
                <w:rFonts w:ascii="Times New Roman" w:hAnsi="Times New Roman"/>
                <w:sz w:val="25"/>
                <w:szCs w:val="25"/>
              </w:rPr>
              <w:t xml:space="preserve"> v platnom znení,</w:t>
            </w:r>
          </w:p>
          <w:p w:rsidR="00E8322D" w:rsidRPr="00B22CEC" w:rsidP="00E8322D">
            <w:pPr>
              <w:pStyle w:val="ListParagraph"/>
              <w:divId w:val="19"/>
              <w:bidi w:val="0"/>
              <w:ind w:left="339"/>
              <w:jc w:val="both"/>
              <w:rPr>
                <w:rFonts w:ascii="Times New Roman" w:hAnsi="Times New Roman"/>
                <w:sz w:val="25"/>
                <w:szCs w:val="25"/>
              </w:rPr>
            </w:pPr>
          </w:p>
          <w:p w:rsidR="00E8322D" w:rsidRPr="00B22CEC" w:rsidP="00E8322D">
            <w:pPr>
              <w:bidi w:val="0"/>
              <w:spacing w:after="250"/>
              <w:rPr>
                <w:rFonts w:ascii="Times New Roman" w:hAnsi="Times New Roman"/>
                <w:b/>
                <w:bCs/>
                <w:sz w:val="25"/>
                <w:szCs w:val="25"/>
              </w:rPr>
            </w:pPr>
            <w:r w:rsidRPr="00B22CEC">
              <w:rPr>
                <w:rFonts w:ascii="Times New Roman" w:hAnsi="Times New Roman"/>
                <w:b/>
                <w:bCs/>
                <w:sz w:val="25"/>
                <w:szCs w:val="25"/>
              </w:rPr>
              <w:t>Gestor a spolupracujúce rezorty:</w:t>
            </w:r>
          </w:p>
          <w:p w:rsidR="00B01778" w:rsidP="00E8322D">
            <w:pPr>
              <w:tabs>
                <w:tab w:val="left" w:pos="360"/>
              </w:tabs>
              <w:bidi w:val="0"/>
              <w:jc w:val="both"/>
              <w:rPr>
                <w:rFonts w:ascii="Times New Roman" w:hAnsi="Times New Roman"/>
                <w:bCs/>
                <w:sz w:val="25"/>
                <w:szCs w:val="25"/>
              </w:rPr>
            </w:pPr>
            <w:r w:rsidRPr="00E8322D" w:rsidR="00E8322D">
              <w:rPr>
                <w:rFonts w:ascii="Times New Roman" w:hAnsi="Times New Roman"/>
                <w:bCs/>
                <w:sz w:val="25"/>
                <w:szCs w:val="25"/>
              </w:rPr>
              <w:t>Úrad pre verejné obstarávanie</w:t>
            </w:r>
          </w:p>
          <w:p w:rsidR="00E8322D" w:rsidRPr="00E8322D" w:rsidP="00E8322D">
            <w:pPr>
              <w:tabs>
                <w:tab w:val="left" w:pos="360"/>
              </w:tabs>
              <w:bidi w:val="0"/>
              <w:jc w:val="both"/>
              <w:rPr>
                <w:rFonts w:ascii="Times New Roman" w:hAnsi="Times New Roman"/>
                <w:sz w:val="25"/>
                <w:szCs w:val="25"/>
              </w:rPr>
            </w:pPr>
          </w:p>
          <w:p w:rsidR="00CE5643" w:rsidRPr="00B22CEC" w:rsidP="00CE5643">
            <w:pPr>
              <w:pStyle w:val="ListParagraph"/>
              <w:numPr>
                <w:numId w:val="8"/>
              </w:numPr>
              <w:bidi w:val="0"/>
              <w:rPr>
                <w:rFonts w:ascii="Times New Roman" w:hAnsi="Times New Roman"/>
                <w:sz w:val="25"/>
                <w:szCs w:val="25"/>
              </w:rPr>
            </w:pPr>
            <w:r w:rsidRPr="00B22CEC">
              <w:rPr>
                <w:rFonts w:ascii="Times New Roman" w:hAnsi="Times New Roman"/>
                <w:sz w:val="25"/>
                <w:szCs w:val="25"/>
              </w:rPr>
              <w:t xml:space="preserve">v judikatúre Súdneho dvora Európskej únie (uviesť číslo a označenie relevantného   </w:t>
            </w:r>
          </w:p>
          <w:p w:rsidR="00CE5643" w:rsidRPr="00B22CEC" w:rsidP="00CE5643">
            <w:pPr>
              <w:pStyle w:val="Default"/>
              <w:bidi w:val="0"/>
              <w:jc w:val="both"/>
              <w:rPr>
                <w:rFonts w:ascii="Times New Roman" w:hAnsi="Times New Roman"/>
                <w:sz w:val="25"/>
                <w:szCs w:val="25"/>
              </w:rPr>
            </w:pPr>
            <w:r w:rsidRPr="00B22CEC">
              <w:rPr>
                <w:rFonts w:ascii="Times New Roman" w:hAnsi="Times New Roman"/>
                <w:sz w:val="25"/>
                <w:szCs w:val="25"/>
              </w:rPr>
              <w:t xml:space="preserve">           rozhodnutia a stručne jeho výrok alebo relevantné právne vety). </w:t>
            </w:r>
          </w:p>
          <w:p w:rsidR="00354CEA" w:rsidRPr="00B22CEC" w:rsidP="00CE5643">
            <w:pPr>
              <w:pStyle w:val="Default"/>
              <w:bidi w:val="0"/>
              <w:jc w:val="both"/>
              <w:rPr>
                <w:rFonts w:ascii="Times New Roman" w:hAnsi="Times New Roman"/>
                <w:sz w:val="25"/>
                <w:szCs w:val="25"/>
              </w:rPr>
            </w:pPr>
          </w:p>
          <w:p w:rsidR="0023485C" w:rsidRPr="00B22CEC" w:rsidP="006F3E6F">
            <w:pPr>
              <w:pStyle w:val="ListParagraph"/>
              <w:tabs>
                <w:tab w:val="left" w:pos="360"/>
              </w:tabs>
              <w:bidi w:val="0"/>
              <w:ind w:left="36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23485C" w:rsidRPr="00B22CEC" w:rsidP="00250307">
            <w:pPr>
              <w:pStyle w:val="ListParagraph"/>
              <w:tabs>
                <w:tab w:val="left" w:pos="360"/>
              </w:tabs>
              <w:bidi w:val="0"/>
              <w:ind w:left="360"/>
              <w:rPr>
                <w:rFonts w:ascii="Times New Roman" w:hAnsi="Times New Roman"/>
                <w:sz w:val="25"/>
                <w:szCs w:val="25"/>
              </w:rPr>
            </w:pPr>
            <w:r w:rsidRPr="00B22CEC" w:rsidR="000D7239">
              <w:rPr>
                <w:rFonts w:ascii="Times New Roman" w:hAnsi="Times New Roman"/>
                <w:sz w:val="25"/>
                <w:szCs w:val="25"/>
              </w:rPr>
              <w:t>-</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B22CEC" w:rsidP="001F0AA3">
            <w:pPr>
              <w:tabs>
                <w:tab w:val="left" w:pos="360"/>
              </w:tabs>
              <w:bidi w:val="0"/>
              <w:rPr>
                <w:rFonts w:ascii="Times New Roman" w:hAnsi="Times New Roman"/>
                <w:b/>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B22CEC" w:rsidP="0023485C">
            <w:pPr>
              <w:tabs>
                <w:tab w:val="left" w:pos="360"/>
              </w:tabs>
              <w:bidi w:val="0"/>
              <w:rPr>
                <w:rFonts w:ascii="Times New Roman" w:hAnsi="Times New Roman"/>
                <w:sz w:val="25"/>
                <w:szCs w:val="25"/>
              </w:rPr>
            </w:pPr>
          </w:p>
        </w:tc>
      </w:tr>
    </w:tbl>
    <w:p w:rsidR="001F0AA3" w:rsidRPr="00B22CEC" w:rsidP="001F0AA3">
      <w:pPr>
        <w:tabs>
          <w:tab w:val="left" w:pos="360"/>
        </w:tabs>
        <w:bidi w:val="0"/>
        <w:rPr>
          <w:rFonts w:ascii="Times New Roman" w:hAnsi="Times New Roman"/>
          <w:sz w:val="25"/>
          <w:szCs w:val="25"/>
        </w:rPr>
      </w:pPr>
    </w:p>
    <w:tbl>
      <w:tblPr>
        <w:tblStyle w:val="TableNormal"/>
        <w:tblW w:w="5000" w:type="pct"/>
        <w:jc w:val="center"/>
        <w:tblCellMar>
          <w:left w:w="0" w:type="dxa"/>
          <w:right w:w="0" w:type="dxa"/>
        </w:tblCellMar>
        <w:tblLook w:val="04A0"/>
      </w:tblPr>
      <w:tblGrid>
        <w:gridCol w:w="470"/>
        <w:gridCol w:w="282"/>
        <w:gridCol w:w="8654"/>
      </w:tblGrid>
      <w:tr>
        <w:tblPrEx>
          <w:tblW w:w="5000" w:type="pct"/>
          <w:jc w:val="center"/>
          <w:tblCellMar>
            <w:left w:w="0" w:type="dxa"/>
            <w:right w:w="0" w:type="dxa"/>
          </w:tblCellMar>
          <w:tblLook w:val="04A0"/>
        </w:tblPrEx>
        <w:trPr>
          <w:divId w:val="6"/>
          <w:jc w:val="center"/>
        </w:trPr>
        <w:tc>
          <w:tcPr>
            <w:tcW w:w="250" w:type="pct"/>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b/>
                <w:bCs/>
                <w:sz w:val="25"/>
                <w:szCs w:val="25"/>
              </w:rPr>
            </w:pPr>
            <w:r w:rsidRPr="00B22CEC">
              <w:rPr>
                <w:rFonts w:ascii="Times New Roman" w:hAnsi="Times New Roman"/>
                <w:b/>
                <w:bCs/>
                <w:sz w:val="25"/>
                <w:szCs w:val="25"/>
              </w:rPr>
              <w:t>4.</w:t>
            </w:r>
          </w:p>
        </w:tc>
        <w:tc>
          <w:tcPr>
            <w:tcW w:w="4750" w:type="pct"/>
            <w:gridSpan w:val="2"/>
            <w:tcBorders>
              <w:top w:val="nil"/>
              <w:left w:val="nil"/>
              <w:bottom w:val="nil"/>
              <w:right w:val="nil"/>
            </w:tcBorders>
            <w:textDirection w:val="lrTb"/>
            <w:vAlign w:val="center"/>
            <w:hideMark/>
          </w:tcPr>
          <w:p w:rsidR="00250307" w:rsidRPr="00B22CEC">
            <w:pPr>
              <w:bidi w:val="0"/>
              <w:spacing w:after="250" w:line="240" w:lineRule="auto"/>
              <w:rPr>
                <w:rFonts w:ascii="Times New Roman" w:hAnsi="Times New Roman"/>
                <w:b/>
                <w:bCs/>
                <w:sz w:val="25"/>
                <w:szCs w:val="25"/>
              </w:rPr>
            </w:pPr>
            <w:r w:rsidRPr="00B22CEC">
              <w:rPr>
                <w:rFonts w:ascii="Times New Roman" w:hAnsi="Times New Roman"/>
                <w:b/>
                <w:bCs/>
                <w:sz w:val="25"/>
                <w:szCs w:val="25"/>
              </w:rPr>
              <w:t>Záväzky Slovenskej republiky vo vzťahu k Európskej únii:</w:t>
            </w: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b/>
                <w:bCs/>
                <w:sz w:val="25"/>
                <w:szCs w:val="25"/>
              </w:rPr>
            </w:pPr>
          </w:p>
        </w:tc>
        <w:tc>
          <w:tcPr>
            <w:tcW w:w="150" w:type="pct"/>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sz w:val="25"/>
                <w:szCs w:val="25"/>
              </w:rPr>
            </w:pPr>
            <w:r w:rsidRPr="00B22CEC">
              <w:rPr>
                <w:rFonts w:ascii="Times New Roman" w:hAnsi="Times New Roman"/>
                <w:sz w:val="25"/>
                <w:szCs w:val="25"/>
              </w:rPr>
              <w:t>a)</w:t>
            </w:r>
          </w:p>
        </w:tc>
        <w:tc>
          <w:tcPr>
            <w:tcW w:w="0" w:type="auto"/>
            <w:tcBorders>
              <w:top w:val="nil"/>
              <w:left w:val="nil"/>
              <w:bottom w:val="nil"/>
              <w:right w:val="nil"/>
            </w:tcBorders>
            <w:textDirection w:val="lrTb"/>
            <w:vAlign w:val="center"/>
            <w:hideMark/>
          </w:tcPr>
          <w:p w:rsidR="00250307" w:rsidRPr="00B22CEC">
            <w:pPr>
              <w:bidi w:val="0"/>
              <w:spacing w:after="250" w:line="240" w:lineRule="auto"/>
              <w:rPr>
                <w:rFonts w:ascii="Times New Roman" w:hAnsi="Times New Roman"/>
                <w:sz w:val="25"/>
                <w:szCs w:val="25"/>
              </w:rPr>
            </w:pPr>
            <w:r w:rsidRPr="00B22CEC" w:rsidR="009D1DB6">
              <w:rPr>
                <w:rFonts w:ascii="Times New Roman" w:hAnsi="Times New Roman"/>
                <w:sz w:val="25"/>
                <w:szCs w:val="25"/>
              </w:rPr>
              <w:t>uviesť lehotu</w:t>
            </w:r>
            <w:r w:rsidRPr="00B22CEC">
              <w:rPr>
                <w:rFonts w:ascii="Times New Roman" w:hAnsi="Times New Roman"/>
                <w:sz w:val="25"/>
                <w:szCs w:val="25"/>
              </w:rPr>
              <w:t xml:space="preserve"> na prebratie</w:t>
            </w:r>
            <w:r w:rsidRPr="00B22CEC" w:rsidR="009D1DB6">
              <w:rPr>
                <w:rFonts w:ascii="Times New Roman" w:hAnsi="Times New Roman"/>
                <w:sz w:val="25"/>
                <w:szCs w:val="25"/>
              </w:rPr>
              <w:t xml:space="preserve"> príslušného právneho aktu Európskej únie,</w:t>
            </w:r>
            <w:r w:rsidRPr="00B22CEC">
              <w:rPr>
                <w:rFonts w:ascii="Times New Roman" w:hAnsi="Times New Roman"/>
                <w:sz w:val="25"/>
                <w:szCs w:val="25"/>
              </w:rPr>
              <w:t xml:space="preserve"> </w:t>
            </w:r>
            <w:r w:rsidRPr="00B22CEC" w:rsidR="009D1DB6">
              <w:rPr>
                <w:rFonts w:ascii="Times New Roman" w:hAnsi="Times New Roman"/>
                <w:sz w:val="25"/>
                <w:szCs w:val="25"/>
              </w:rPr>
              <w:t>príp. aj osobitnú lehotu účinnosti jeho ustanovení</w:t>
            </w:r>
          </w:p>
          <w:p w:rsidR="009D1DB6" w:rsidRPr="00B22CEC" w:rsidP="009D1DB6">
            <w:pPr>
              <w:bidi w:val="0"/>
              <w:spacing w:after="0" w:line="240" w:lineRule="auto"/>
              <w:rPr>
                <w:rFonts w:ascii="Times New Roman" w:hAnsi="Times New Roman"/>
                <w:sz w:val="25"/>
                <w:szCs w:val="25"/>
              </w:rPr>
            </w:pPr>
            <w:r w:rsidRPr="00B22CEC">
              <w:rPr>
                <w:rFonts w:ascii="Times New Roman" w:hAnsi="Times New Roman"/>
                <w:sz w:val="25"/>
                <w:szCs w:val="25"/>
              </w:rPr>
              <w:t>nie je </w:t>
            </w:r>
          </w:p>
          <w:p w:rsidR="009D1DB6" w:rsidRPr="00B22CEC">
            <w:pPr>
              <w:bidi w:val="0"/>
              <w:spacing w:after="250" w:line="240" w:lineRule="auto"/>
              <w:rPr>
                <w:rFonts w:ascii="Times New Roman" w:hAnsi="Times New Roman"/>
                <w:sz w:val="25"/>
                <w:szCs w:val="25"/>
              </w:rPr>
            </w:pP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sz w:val="25"/>
                <w:szCs w:val="25"/>
              </w:rPr>
            </w:pPr>
          </w:p>
        </w:tc>
        <w:tc>
          <w:tcPr>
            <w:tcW w:w="0" w:type="auto"/>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sz w:val="25"/>
                <w:szCs w:val="25"/>
              </w:rPr>
            </w:pPr>
            <w:r w:rsidRPr="00B22CEC">
              <w:rPr>
                <w:rFonts w:ascii="Times New Roman" w:hAnsi="Times New Roman"/>
                <w:sz w:val="25"/>
                <w:szCs w:val="25"/>
              </w:rPr>
              <w:t>b)</w:t>
            </w:r>
          </w:p>
        </w:tc>
        <w:tc>
          <w:tcPr>
            <w:tcW w:w="0" w:type="auto"/>
            <w:tcBorders>
              <w:top w:val="nil"/>
              <w:left w:val="nil"/>
              <w:bottom w:val="nil"/>
              <w:right w:val="nil"/>
            </w:tcBorders>
            <w:textDirection w:val="lrTb"/>
            <w:vAlign w:val="center"/>
            <w:hideMark/>
          </w:tcPr>
          <w:p w:rsidR="00250307" w:rsidRPr="00B22CEC" w:rsidP="009D1DB6">
            <w:pPr>
              <w:bidi w:val="0"/>
              <w:spacing w:after="250" w:line="240" w:lineRule="auto"/>
              <w:jc w:val="both"/>
              <w:rPr>
                <w:rFonts w:ascii="Times New Roman" w:hAnsi="Times New Roman"/>
                <w:color w:val="000000"/>
                <w:sz w:val="25"/>
                <w:szCs w:val="25"/>
              </w:rPr>
            </w:pPr>
            <w:r w:rsidRPr="00B22CEC" w:rsidR="009D1DB6">
              <w:rPr>
                <w:rFonts w:ascii="Times New Roman" w:hAnsi="Times New Roman"/>
                <w:sz w:val="25"/>
                <w:szCs w:val="25"/>
              </w:rPr>
              <w:t xml:space="preserve">uviesť </w:t>
            </w:r>
            <w:r w:rsidRPr="00B22CEC" w:rsidR="009D1DB6">
              <w:rPr>
                <w:rFonts w:ascii="Times New Roman" w:hAnsi="Times New Roman"/>
                <w:color w:val="000000"/>
                <w:sz w:val="25"/>
                <w:szCs w:val="25"/>
              </w:rPr>
              <w:t>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rsidR="009D1DB6" w:rsidRPr="00B22CEC" w:rsidP="009D1DB6">
            <w:pPr>
              <w:bidi w:val="0"/>
              <w:spacing w:after="0" w:line="240" w:lineRule="auto"/>
              <w:rPr>
                <w:rFonts w:ascii="Times New Roman" w:hAnsi="Times New Roman"/>
                <w:sz w:val="25"/>
                <w:szCs w:val="25"/>
              </w:rPr>
            </w:pPr>
            <w:r w:rsidRPr="00B22CEC">
              <w:rPr>
                <w:rFonts w:ascii="Times New Roman" w:hAnsi="Times New Roman"/>
                <w:sz w:val="25"/>
                <w:szCs w:val="25"/>
              </w:rPr>
              <w:t>nie je </w:t>
            </w:r>
          </w:p>
          <w:p w:rsidR="009D1DB6" w:rsidRPr="00B22CEC" w:rsidP="009D1DB6">
            <w:pPr>
              <w:bidi w:val="0"/>
              <w:spacing w:after="250" w:line="240" w:lineRule="auto"/>
              <w:jc w:val="both"/>
              <w:rPr>
                <w:rFonts w:ascii="Times New Roman" w:hAnsi="Times New Roman"/>
                <w:sz w:val="25"/>
                <w:szCs w:val="25"/>
              </w:rPr>
            </w:pP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sz w:val="25"/>
                <w:szCs w:val="25"/>
              </w:rPr>
            </w:pPr>
          </w:p>
        </w:tc>
        <w:tc>
          <w:tcPr>
            <w:tcW w:w="0" w:type="auto"/>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sz w:val="25"/>
                <w:szCs w:val="25"/>
              </w:rPr>
            </w:pPr>
          </w:p>
        </w:tc>
        <w:tc>
          <w:tcPr>
            <w:tcW w:w="0" w:type="auto"/>
            <w:tcBorders>
              <w:top w:val="nil"/>
              <w:left w:val="nil"/>
              <w:bottom w:val="nil"/>
              <w:right w:val="nil"/>
            </w:tcBorders>
            <w:textDirection w:val="lrTb"/>
            <w:vAlign w:val="center"/>
            <w:hideMark/>
          </w:tcPr>
          <w:p w:rsidR="00250307" w:rsidRPr="00B22CEC">
            <w:pPr>
              <w:bidi w:val="0"/>
              <w:spacing w:after="250" w:line="240" w:lineRule="auto"/>
              <w:rPr>
                <w:rFonts w:ascii="Times New Roman" w:hAnsi="Times New Roman"/>
                <w:sz w:val="25"/>
                <w:szCs w:val="25"/>
              </w:rPr>
            </w:pP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sz w:val="25"/>
                <w:szCs w:val="25"/>
              </w:rPr>
            </w:pPr>
          </w:p>
        </w:tc>
        <w:tc>
          <w:tcPr>
            <w:tcW w:w="0" w:type="auto"/>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sz w:val="25"/>
                <w:szCs w:val="25"/>
              </w:rPr>
            </w:pPr>
            <w:r w:rsidRPr="00B22CEC">
              <w:rPr>
                <w:rFonts w:ascii="Times New Roman" w:hAnsi="Times New Roman"/>
                <w:sz w:val="25"/>
                <w:szCs w:val="25"/>
              </w:rPr>
              <w:t>c)</w:t>
            </w:r>
          </w:p>
        </w:tc>
        <w:tc>
          <w:tcPr>
            <w:tcW w:w="0" w:type="auto"/>
            <w:tcBorders>
              <w:top w:val="nil"/>
              <w:left w:val="nil"/>
              <w:bottom w:val="nil"/>
              <w:right w:val="nil"/>
            </w:tcBorders>
            <w:textDirection w:val="lrTb"/>
            <w:vAlign w:val="center"/>
            <w:hideMark/>
          </w:tcPr>
          <w:p w:rsidR="00250307" w:rsidRPr="00B22CEC">
            <w:pPr>
              <w:bidi w:val="0"/>
              <w:spacing w:after="250" w:line="240" w:lineRule="auto"/>
              <w:rPr>
                <w:rFonts w:ascii="Times New Roman" w:hAnsi="Times New Roman"/>
                <w:sz w:val="25"/>
                <w:szCs w:val="25"/>
              </w:rPr>
            </w:pPr>
            <w:r w:rsidRPr="00B22CEC" w:rsidR="009D1DB6">
              <w:rPr>
                <w:rFonts w:ascii="Times New Roman" w:hAnsi="Times New Roman"/>
                <w:sz w:val="25"/>
                <w:szCs w:val="25"/>
              </w:rPr>
              <w:t>uviesť informáciu o právnych predpisoch, v ktorých sú uvádzané právne akty Európskej únie už prebrané, spolu s uvedením rozsahu ich prebrania, príp. potreby prijatia ďalších úprav</w:t>
            </w:r>
          </w:p>
          <w:p w:rsidR="00DA2282" w:rsidRPr="00B22CEC" w:rsidP="00DA2282">
            <w:pPr>
              <w:bidi w:val="0"/>
              <w:spacing w:after="250" w:line="240" w:lineRule="auto"/>
              <w:rPr>
                <w:rFonts w:ascii="Times New Roman" w:hAnsi="Times New Roman"/>
                <w:sz w:val="25"/>
                <w:szCs w:val="25"/>
              </w:rPr>
            </w:pPr>
            <w:r w:rsidRPr="00B22CEC">
              <w:rPr>
                <w:rFonts w:ascii="Times New Roman" w:hAnsi="Times New Roman"/>
                <w:sz w:val="25"/>
                <w:szCs w:val="25"/>
              </w:rPr>
              <w:t>Zákon č. 343/2015 Z. z. o verejnom obstarávaní a o zmene a doplnení niektorých zákonov v znení neskorších predpisov</w:t>
            </w:r>
            <w:r w:rsidRPr="00B22CEC" w:rsidR="000D7239">
              <w:rPr>
                <w:rFonts w:ascii="Times New Roman" w:hAnsi="Times New Roman"/>
                <w:sz w:val="25"/>
                <w:szCs w:val="25"/>
              </w:rPr>
              <w:t xml:space="preserve"> - úplný</w:t>
            </w: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sz w:val="25"/>
                <w:szCs w:val="25"/>
              </w:rPr>
            </w:pPr>
          </w:p>
        </w:tc>
        <w:tc>
          <w:tcPr>
            <w:tcW w:w="0" w:type="auto"/>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sz w:val="25"/>
                <w:szCs w:val="25"/>
              </w:rPr>
            </w:pPr>
          </w:p>
        </w:tc>
        <w:tc>
          <w:tcPr>
            <w:tcW w:w="0" w:type="auto"/>
            <w:tcBorders>
              <w:top w:val="nil"/>
              <w:left w:val="nil"/>
              <w:bottom w:val="nil"/>
              <w:right w:val="nil"/>
            </w:tcBorders>
            <w:textDirection w:val="lrTb"/>
            <w:vAlign w:val="center"/>
            <w:hideMark/>
          </w:tcPr>
          <w:p w:rsidR="00250307" w:rsidRPr="00B22CEC">
            <w:pPr>
              <w:bidi w:val="0"/>
              <w:spacing w:after="250" w:line="240" w:lineRule="auto"/>
              <w:rPr>
                <w:rFonts w:ascii="Times New Roman" w:hAnsi="Times New Roman"/>
                <w:sz w:val="25"/>
                <w:szCs w:val="25"/>
              </w:rPr>
            </w:pP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b/>
                <w:bCs/>
                <w:sz w:val="25"/>
                <w:szCs w:val="25"/>
              </w:rPr>
            </w:pPr>
            <w:r w:rsidRPr="00B22CEC">
              <w:rPr>
                <w:rFonts w:ascii="Times New Roman" w:hAnsi="Times New Roman"/>
                <w:b/>
                <w:bCs/>
                <w:sz w:val="25"/>
                <w:szCs w:val="25"/>
              </w:rPr>
              <w:t>5.</w:t>
            </w:r>
          </w:p>
        </w:tc>
        <w:tc>
          <w:tcPr>
            <w:tcW w:w="0" w:type="auto"/>
            <w:gridSpan w:val="2"/>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b/>
                <w:bCs/>
                <w:sz w:val="25"/>
                <w:szCs w:val="25"/>
              </w:rPr>
            </w:pPr>
            <w:r w:rsidRPr="00B22CEC">
              <w:rPr>
                <w:rFonts w:ascii="Times New Roman" w:hAnsi="Times New Roman"/>
                <w:b/>
                <w:bCs/>
                <w:sz w:val="25"/>
                <w:szCs w:val="25"/>
              </w:rPr>
              <w:t>Stupeň zlučiteľnosti návrhu právneho predpisu s právom Európskej únie:</w:t>
            </w: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hideMark/>
          </w:tcPr>
          <w:p w:rsidR="00250307" w:rsidRPr="00B22CEC">
            <w:pPr>
              <w:bidi w:val="0"/>
              <w:spacing w:after="250" w:line="240" w:lineRule="auto"/>
              <w:rPr>
                <w:rFonts w:ascii="Times New Roman" w:hAnsi="Times New Roman"/>
                <w:b/>
                <w:bCs/>
                <w:sz w:val="25"/>
                <w:szCs w:val="25"/>
              </w:rPr>
            </w:pPr>
          </w:p>
        </w:tc>
        <w:tc>
          <w:tcPr>
            <w:tcW w:w="0" w:type="auto"/>
            <w:tcBorders>
              <w:top w:val="nil"/>
              <w:left w:val="nil"/>
              <w:bottom w:val="nil"/>
              <w:right w:val="nil"/>
            </w:tcBorders>
            <w:textDirection w:val="lrTb"/>
            <w:vAlign w:val="top"/>
            <w:hideMark/>
          </w:tcPr>
          <w:p w:rsidR="00250307" w:rsidRPr="00B22CEC">
            <w:pPr>
              <w:bidi w:val="0"/>
              <w:spacing w:after="0" w:line="240" w:lineRule="auto"/>
              <w:rPr>
                <w:rFonts w:ascii="Times New Roman" w:hAnsi="Times New Roman"/>
                <w:sz w:val="25"/>
                <w:szCs w:val="25"/>
              </w:rPr>
            </w:pPr>
          </w:p>
        </w:tc>
        <w:tc>
          <w:tcPr>
            <w:tcW w:w="0" w:type="auto"/>
            <w:tcBorders>
              <w:top w:val="nil"/>
              <w:left w:val="nil"/>
              <w:bottom w:val="nil"/>
              <w:right w:val="nil"/>
            </w:tcBorders>
            <w:textDirection w:val="lrTb"/>
            <w:vAlign w:val="center"/>
            <w:hideMark/>
          </w:tcPr>
          <w:p w:rsidR="00250307" w:rsidRPr="00B22CEC">
            <w:pPr>
              <w:bidi w:val="0"/>
              <w:spacing w:after="250" w:line="240" w:lineRule="auto"/>
              <w:rPr>
                <w:rFonts w:ascii="Times New Roman" w:hAnsi="Times New Roman"/>
                <w:sz w:val="25"/>
                <w:szCs w:val="25"/>
              </w:rPr>
            </w:pPr>
            <w:r w:rsidRPr="00B22CEC">
              <w:rPr>
                <w:rFonts w:ascii="Times New Roman" w:hAnsi="Times New Roman"/>
                <w:sz w:val="25"/>
                <w:szCs w:val="25"/>
              </w:rPr>
              <w:t>úplný</w:t>
            </w: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tcPr>
          <w:p w:rsidR="00250307" w:rsidRPr="00B22CEC">
            <w:pPr>
              <w:bidi w:val="0"/>
              <w:spacing w:after="0" w:line="240" w:lineRule="auto"/>
              <w:rPr>
                <w:rFonts w:ascii="Times New Roman" w:hAnsi="Times New Roman"/>
                <w:b/>
                <w:bCs/>
                <w:sz w:val="25"/>
                <w:szCs w:val="25"/>
              </w:rPr>
            </w:pPr>
            <w:r w:rsidRPr="00B22CEC" w:rsidR="00A014A5">
              <w:rPr>
                <w:rFonts w:ascii="Times New Roman" w:hAnsi="Times New Roman"/>
                <w:b/>
                <w:bCs/>
                <w:sz w:val="25"/>
                <w:szCs w:val="25"/>
              </w:rPr>
              <w:t xml:space="preserve"> </w:t>
            </w:r>
          </w:p>
        </w:tc>
        <w:tc>
          <w:tcPr>
            <w:tcW w:w="0" w:type="auto"/>
            <w:gridSpan w:val="2"/>
            <w:tcBorders>
              <w:top w:val="nil"/>
              <w:left w:val="nil"/>
              <w:bottom w:val="nil"/>
              <w:right w:val="nil"/>
            </w:tcBorders>
            <w:textDirection w:val="lrTb"/>
            <w:vAlign w:val="top"/>
          </w:tcPr>
          <w:p w:rsidR="00A014A5" w:rsidRPr="00B22CEC">
            <w:pPr>
              <w:bidi w:val="0"/>
              <w:spacing w:after="250" w:line="240" w:lineRule="auto"/>
              <w:rPr>
                <w:rFonts w:ascii="Times New Roman" w:hAnsi="Times New Roman"/>
                <w:bCs/>
                <w:sz w:val="25"/>
                <w:szCs w:val="25"/>
              </w:rPr>
            </w:pPr>
          </w:p>
        </w:tc>
      </w:tr>
      <w:tr>
        <w:tblPrEx>
          <w:tblW w:w="5000" w:type="pct"/>
          <w:jc w:val="center"/>
          <w:tblCellMar>
            <w:left w:w="0" w:type="dxa"/>
            <w:right w:w="0" w:type="dxa"/>
          </w:tblCellMar>
          <w:tblLook w:val="04A0"/>
        </w:tblPrEx>
        <w:trPr>
          <w:divId w:val="6"/>
          <w:jc w:val="center"/>
        </w:trPr>
        <w:tc>
          <w:tcPr>
            <w:tcW w:w="0" w:type="auto"/>
            <w:tcBorders>
              <w:top w:val="nil"/>
              <w:left w:val="nil"/>
              <w:bottom w:val="nil"/>
              <w:right w:val="nil"/>
            </w:tcBorders>
            <w:textDirection w:val="lrTb"/>
            <w:vAlign w:val="top"/>
          </w:tcPr>
          <w:p w:rsidR="00250307" w:rsidRPr="00B22CEC">
            <w:pPr>
              <w:bidi w:val="0"/>
              <w:spacing w:after="250" w:line="240" w:lineRule="auto"/>
              <w:rPr>
                <w:rFonts w:ascii="Times New Roman" w:hAnsi="Times New Roman"/>
                <w:b/>
                <w:bCs/>
                <w:sz w:val="25"/>
                <w:szCs w:val="25"/>
              </w:rPr>
            </w:pPr>
          </w:p>
        </w:tc>
        <w:tc>
          <w:tcPr>
            <w:tcW w:w="0" w:type="auto"/>
            <w:tcBorders>
              <w:top w:val="nil"/>
              <w:left w:val="nil"/>
              <w:bottom w:val="nil"/>
              <w:right w:val="nil"/>
            </w:tcBorders>
            <w:textDirection w:val="lrTb"/>
            <w:vAlign w:val="top"/>
          </w:tcPr>
          <w:p w:rsidR="00250307" w:rsidRPr="00B22CEC">
            <w:pPr>
              <w:bidi w:val="0"/>
              <w:spacing w:after="0" w:line="240" w:lineRule="auto"/>
              <w:rPr>
                <w:rFonts w:ascii="Times New Roman" w:hAnsi="Times New Roman"/>
                <w:sz w:val="25"/>
                <w:szCs w:val="25"/>
              </w:rPr>
            </w:pPr>
          </w:p>
        </w:tc>
        <w:tc>
          <w:tcPr>
            <w:tcW w:w="0" w:type="auto"/>
            <w:tcBorders>
              <w:top w:val="nil"/>
              <w:left w:val="nil"/>
              <w:bottom w:val="nil"/>
              <w:right w:val="nil"/>
            </w:tcBorders>
            <w:textDirection w:val="lrTb"/>
            <w:vAlign w:val="center"/>
          </w:tcPr>
          <w:p w:rsidR="00250307" w:rsidRPr="00B22CEC">
            <w:pPr>
              <w:bidi w:val="0"/>
              <w:spacing w:after="250" w:line="240" w:lineRule="auto"/>
              <w:rPr>
                <w:rFonts w:ascii="Times New Roman" w:hAnsi="Times New Roman"/>
                <w:sz w:val="25"/>
                <w:szCs w:val="25"/>
              </w:rPr>
            </w:pPr>
          </w:p>
        </w:tc>
      </w:tr>
    </w:tbl>
    <w:p w:rsidR="003D0DA4" w:rsidRPr="00B22CEC" w:rsidP="00814DF5">
      <w:pPr>
        <w:tabs>
          <w:tab w:val="left" w:pos="360"/>
        </w:tabs>
        <w:bidi w:val="0"/>
        <w:jc w:val="both"/>
        <w:rPr>
          <w:rFonts w:ascii="Times New Roman" w:hAnsi="Times New Roman"/>
          <w:sz w:val="25"/>
          <w:szCs w:val="25"/>
        </w:rPr>
      </w:pPr>
    </w:p>
    <w:sectPr>
      <w:pgSz w:w="12240" w:h="15840"/>
      <w:pgMar w:top="1417" w:right="1417" w:bottom="1417" w:left="1417"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imes">
    <w:panose1 w:val="00000000000000000000"/>
    <w:charset w:val="EE"/>
    <w:family w:val="roman"/>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 w:name="Cambria">
    <w:panose1 w:val="00000000000000000000"/>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95DAC"/>
    <w:multiLevelType w:val="hybridMultilevel"/>
    <w:tmpl w:val="9D961286"/>
    <w:lvl w:ilvl="0">
      <w:start w:val="1"/>
      <w:numFmt w:val="bullet"/>
      <w:lvlText w:val="-"/>
      <w:lvlJc w:val="left"/>
      <w:pPr>
        <w:ind w:left="720" w:hanging="360"/>
      </w:pPr>
      <w:rPr>
        <w:rFonts w:ascii="Times" w:eastAsia="Times New Roman" w:hAnsi="Time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9C1484D"/>
    <w:multiLevelType w:val="hybridMultilevel"/>
    <w:tmpl w:val="81A87962"/>
    <w:lvl w:ilvl="0">
      <w:start w:val="3"/>
      <w:numFmt w:val="bullet"/>
      <w:lvlText w:val="-"/>
      <w:lvlJc w:val="left"/>
      <w:pPr>
        <w:ind w:left="1080" w:hanging="360"/>
      </w:pPr>
      <w:rPr>
        <w:rFonts w:ascii="Times New Roman" w:eastAsia="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nsid w:val="1E01323C"/>
    <w:multiLevelType w:val="hybridMultilevel"/>
    <w:tmpl w:val="F5C89F76"/>
    <w:lvl w:ilvl="0">
      <w:start w:val="1"/>
      <w:numFmt w:val="decimal"/>
      <w:lvlText w:val="%1."/>
      <w:lvlJc w:val="left"/>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4613B58"/>
    <w:multiLevelType w:val="hybridMultilevel"/>
    <w:tmpl w:val="1EF280DA"/>
    <w:lvl w:ilvl="0">
      <w:start w:val="1"/>
      <w:numFmt w:val="low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525B21DE"/>
    <w:multiLevelType w:val="hybridMultilevel"/>
    <w:tmpl w:val="2078F9F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C393A1A"/>
    <w:multiLevelType w:val="hybridMultilevel"/>
    <w:tmpl w:val="6730229C"/>
    <w:lvl w:ilvl="0">
      <w:start w:val="1"/>
      <w:numFmt w:val="lowerLetter"/>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6">
    <w:nsid w:val="5E5642E0"/>
    <w:multiLevelType w:val="hybridMultilevel"/>
    <w:tmpl w:val="0E729AC6"/>
    <w:lvl w:ilvl="0">
      <w:start w:val="1"/>
      <w:numFmt w:val="lowerLetter"/>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6E8B16FD"/>
    <w:multiLevelType w:val="hybridMultilevel"/>
    <w:tmpl w:val="A0F68696"/>
    <w:lvl w:ilvl="0">
      <w:start w:val="2"/>
      <w:numFmt w:val="bullet"/>
      <w:lvlText w:val="-"/>
      <w:lvlJc w:val="left"/>
      <w:pPr>
        <w:ind w:left="1080" w:hanging="360"/>
      </w:pPr>
      <w:rPr>
        <w:rFonts w:ascii="Times New Roman" w:eastAsia="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nsid w:val="7E6A6D74"/>
    <w:multiLevelType w:val="hybridMultilevel"/>
    <w:tmpl w:val="EB42C24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4"/>
  </w:num>
  <w:num w:numId="2">
    <w:abstractNumId w:val="2"/>
  </w:num>
  <w:num w:numId="3">
    <w:abstractNumId w:val="7"/>
  </w:num>
  <w:num w:numId="4">
    <w:abstractNumId w:val="3"/>
  </w:num>
  <w:num w:numId="5">
    <w:abstractNumId w:val="1"/>
  </w:num>
  <w:num w:numId="6">
    <w:abstractNumId w:val="6"/>
  </w:num>
  <w:num w:numId="7">
    <w:abstractNumId w:val="8"/>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oNotShadeFormData/>
  <w:characterSpacingControl w:val="doNotCompress"/>
  <w:doNotValidateAgainstSchema/>
  <w:compat>
    <w:spaceForUL/>
    <w:balanceSingleByteDoubleByteWidth/>
    <w:doNotLeaveBackslashAlone/>
    <w:ulTrailSpace/>
    <w:doNotExpandShiftReturn/>
    <w:adjustLineHeightInTable/>
  </w:compat>
  <w:rsids>
    <w:rsidRoot w:val="00824CCF"/>
    <w:rsid w:val="00010D7F"/>
    <w:rsid w:val="00034514"/>
    <w:rsid w:val="00054456"/>
    <w:rsid w:val="000C03E4"/>
    <w:rsid w:val="000C5887"/>
    <w:rsid w:val="000D7239"/>
    <w:rsid w:val="00117A7E"/>
    <w:rsid w:val="001D60ED"/>
    <w:rsid w:val="001F0AA3"/>
    <w:rsid w:val="0020025E"/>
    <w:rsid w:val="0023485C"/>
    <w:rsid w:val="002450A1"/>
    <w:rsid w:val="00250307"/>
    <w:rsid w:val="002B14DD"/>
    <w:rsid w:val="002E6AC0"/>
    <w:rsid w:val="00354CEA"/>
    <w:rsid w:val="003841E0"/>
    <w:rsid w:val="003B6E94"/>
    <w:rsid w:val="003D0DA4"/>
    <w:rsid w:val="00482868"/>
    <w:rsid w:val="004A3CCB"/>
    <w:rsid w:val="004B1E6E"/>
    <w:rsid w:val="004E7F23"/>
    <w:rsid w:val="004F5280"/>
    <w:rsid w:val="00502921"/>
    <w:rsid w:val="00596545"/>
    <w:rsid w:val="005D6FE1"/>
    <w:rsid w:val="00632C56"/>
    <w:rsid w:val="00677E23"/>
    <w:rsid w:val="006C0FA0"/>
    <w:rsid w:val="006E1D9C"/>
    <w:rsid w:val="006F3E6F"/>
    <w:rsid w:val="00785F65"/>
    <w:rsid w:val="007F5B72"/>
    <w:rsid w:val="00814DF5"/>
    <w:rsid w:val="00824CCF"/>
    <w:rsid w:val="00847169"/>
    <w:rsid w:val="008570D4"/>
    <w:rsid w:val="008655C8"/>
    <w:rsid w:val="008E2891"/>
    <w:rsid w:val="00931C06"/>
    <w:rsid w:val="00970F68"/>
    <w:rsid w:val="009C63EB"/>
    <w:rsid w:val="009D1DB6"/>
    <w:rsid w:val="00A014A5"/>
    <w:rsid w:val="00AA4B96"/>
    <w:rsid w:val="00AC2BEF"/>
    <w:rsid w:val="00AC5862"/>
    <w:rsid w:val="00AD7E8C"/>
    <w:rsid w:val="00B01778"/>
    <w:rsid w:val="00B03EDD"/>
    <w:rsid w:val="00B128CD"/>
    <w:rsid w:val="00B22CEC"/>
    <w:rsid w:val="00B326AA"/>
    <w:rsid w:val="00B64FAD"/>
    <w:rsid w:val="00C12975"/>
    <w:rsid w:val="00C375FC"/>
    <w:rsid w:val="00C90146"/>
    <w:rsid w:val="00CA5460"/>
    <w:rsid w:val="00CA5D08"/>
    <w:rsid w:val="00CE5643"/>
    <w:rsid w:val="00D14B99"/>
    <w:rsid w:val="00D2141B"/>
    <w:rsid w:val="00D465F6"/>
    <w:rsid w:val="00D5344B"/>
    <w:rsid w:val="00D7275F"/>
    <w:rsid w:val="00D75FDD"/>
    <w:rsid w:val="00DA2282"/>
    <w:rsid w:val="00DB3DB1"/>
    <w:rsid w:val="00DC377E"/>
    <w:rsid w:val="00DC3BFE"/>
    <w:rsid w:val="00DD3B34"/>
    <w:rsid w:val="00E63491"/>
    <w:rsid w:val="00E65492"/>
    <w:rsid w:val="00E8322D"/>
    <w:rsid w:val="00E85F6B"/>
    <w:rsid w:val="00EC5BF8"/>
    <w:rsid w:val="00F43CCB"/>
    <w:rsid w:val="00FA32F7"/>
    <w:rsid w:val="00FC6049"/>
    <w:rsid w:val="00FD64B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val="0"/>
      <w:autoSpaceDE w:val="0"/>
      <w:autoSpaceDN w:val="0"/>
      <w:adjustRightInd w:val="0"/>
      <w:ind w:left="0" w:right="0"/>
      <w:jc w:val="left"/>
      <w:textAlignment w:val="auto"/>
    </w:pPr>
    <w:rPr>
      <w:rFonts w:cs="Times New Roman"/>
      <w:sz w:val="24"/>
      <w:szCs w:val="24"/>
      <w:rtl w:val="0"/>
      <w:cs w:val="0"/>
      <w:lang w:val="sk-SK" w:eastAsia="sk-SK" w:bidi="ar-SA"/>
    </w:rPr>
  </w:style>
  <w:style w:type="paragraph" w:styleId="Heading5">
    <w:name w:val="heading 5"/>
    <w:basedOn w:val="Normal"/>
    <w:link w:val="Nadpis5Char"/>
    <w:uiPriority w:val="9"/>
    <w:qFormat/>
    <w:rsid w:val="009C63EB"/>
    <w:pPr>
      <w:widowControl/>
      <w:autoSpaceDE/>
      <w:autoSpaceDN/>
      <w:adjustRightInd/>
      <w:spacing w:before="100" w:beforeAutospacing="1" w:after="100" w:afterAutospacing="1"/>
      <w:jc w:val="left"/>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C5BF8"/>
    <w:rPr>
      <w:rFonts w:cs="Times New Roman"/>
      <w:sz w:val="16"/>
      <w:szCs w:val="16"/>
      <w:rtl w:val="0"/>
      <w:cs w:val="0"/>
    </w:rPr>
  </w:style>
  <w:style w:type="paragraph" w:styleId="CommentText">
    <w:name w:val="annotation text"/>
    <w:basedOn w:val="Normal"/>
    <w:link w:val="TextkomentraChar"/>
    <w:uiPriority w:val="99"/>
    <w:semiHidden/>
    <w:unhideWhenUsed/>
    <w:rsid w:val="00EC5BF8"/>
    <w:pPr>
      <w:jc w:val="left"/>
    </w:pPr>
    <w:rPr>
      <w:sz w:val="20"/>
      <w:szCs w:val="20"/>
    </w:rPr>
  </w:style>
  <w:style w:type="character" w:customStyle="1" w:styleId="TextkomentraChar">
    <w:name w:val="Text komentára Char"/>
    <w:basedOn w:val="DefaultParagraphFont"/>
    <w:link w:val="CommentText"/>
    <w:uiPriority w:val="99"/>
    <w:semiHidden/>
    <w:locked/>
    <w:rsid w:val="00EC5BF8"/>
    <w:rPr>
      <w:rFonts w:cs="Times New Roman"/>
      <w:sz w:val="20"/>
      <w:szCs w:val="20"/>
      <w:rtl w:val="0"/>
      <w:cs w:val="0"/>
      <w:lang w:val="ru-RU" w:eastAsia="x-none"/>
    </w:rPr>
  </w:style>
  <w:style w:type="paragraph" w:styleId="CommentSubject">
    <w:name w:val="annotation subject"/>
    <w:basedOn w:val="CommentText"/>
    <w:next w:val="CommentText"/>
    <w:link w:val="PredmetkomentraChar"/>
    <w:uiPriority w:val="99"/>
    <w:semiHidden/>
    <w:unhideWhenUsed/>
    <w:rsid w:val="00EC5BF8"/>
    <w:pPr>
      <w:jc w:val="left"/>
    </w:pPr>
    <w:rPr>
      <w:b/>
      <w:bCs/>
    </w:rPr>
  </w:style>
  <w:style w:type="character" w:customStyle="1" w:styleId="PredmetkomentraChar">
    <w:name w:val="Predmet komentára Char"/>
    <w:basedOn w:val="TextkomentraChar"/>
    <w:link w:val="CommentSubject"/>
    <w:uiPriority w:val="99"/>
    <w:semiHidden/>
    <w:locked/>
    <w:rsid w:val="00EC5BF8"/>
    <w:rPr>
      <w:b/>
      <w:bCs/>
    </w:rPr>
  </w:style>
  <w:style w:type="paragraph" w:styleId="BalloonText">
    <w:name w:val="Balloon Text"/>
    <w:basedOn w:val="Normal"/>
    <w:link w:val="TextbublinyChar"/>
    <w:uiPriority w:val="99"/>
    <w:semiHidden/>
    <w:unhideWhenUsed/>
    <w:rsid w:val="00EC5BF8"/>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C5BF8"/>
    <w:rPr>
      <w:rFonts w:ascii="Tahoma" w:hAnsi="Tahoma" w:cs="Tahoma"/>
      <w:sz w:val="16"/>
      <w:szCs w:val="16"/>
      <w:rtl w:val="0"/>
      <w:cs w:val="0"/>
      <w:lang w:val="ru-RU" w:eastAsia="x-none"/>
    </w:rPr>
  </w:style>
  <w:style w:type="paragraph" w:styleId="ListParagraph">
    <w:name w:val="List Paragraph"/>
    <w:basedOn w:val="Normal"/>
    <w:uiPriority w:val="99"/>
    <w:qFormat/>
    <w:rsid w:val="00E85F6B"/>
    <w:pPr>
      <w:ind w:left="720"/>
      <w:contextualSpacing/>
      <w:jc w:val="left"/>
    </w:pPr>
  </w:style>
  <w:style w:type="character" w:customStyle="1" w:styleId="Nadpis5Char">
    <w:name w:val="Nadpis 5 Char"/>
    <w:basedOn w:val="DefaultParagraphFont"/>
    <w:link w:val="Heading5"/>
    <w:uiPriority w:val="9"/>
    <w:locked/>
    <w:rsid w:val="009C63EB"/>
    <w:rPr>
      <w:rFonts w:cs="Times New Roman"/>
      <w:b/>
      <w:bCs/>
      <w:sz w:val="20"/>
      <w:szCs w:val="20"/>
      <w:rtl w:val="0"/>
      <w:cs w:val="0"/>
    </w:rPr>
  </w:style>
  <w:style w:type="table" w:styleId="TableGrid">
    <w:name w:val="Table Grid"/>
    <w:basedOn w:val="TableNormal"/>
    <w:uiPriority w:val="99"/>
    <w:unhideWhenUsed/>
    <w:rsid w:val="001F0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5643"/>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Doložka zlučiteľnosti"/>
    <f:field ref="objsubject" par="" edit="true" text="Doložka zlučiteľnosti"/>
    <f:field ref="objcreatedby" par="" text="Administrator, System"/>
    <f:field ref="objcreatedat" par="" text="14.5.2018 17:09:04"/>
    <f:field ref="objchangedby" par="" text="Administrator, System"/>
    <f:field ref="objmodifiedat" par="" text="14.5.2018 17:09:04"/>
    <f:field ref="doc_FSCFOLIO_1_1001_FieldDocumentNumber" par="" text=""/>
    <f:field ref="doc_FSCFOLIO_1_1001_FieldSubject" par="" edit="true" text="Doložka zlučiteľnosti"/>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149086C-2511-43C4-961B-E23DF6C6A48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1</TotalTime>
  <Pages>3</Pages>
  <Words>554</Words>
  <Characters>3163</Characters>
  <Application>Microsoft Office Word</Application>
  <DocSecurity>0</DocSecurity>
  <Lines>0</Lines>
  <Paragraphs>0</Paragraphs>
  <ScaleCrop>false</ScaleCrop>
  <Company>Hewlett-Packard Company</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Gibala</dc:creator>
  <cp:lastModifiedBy>Holic Ivan</cp:lastModifiedBy>
  <cp:revision>2</cp:revision>
  <dcterms:created xsi:type="dcterms:W3CDTF">2018-08-24T18:54:00Z</dcterms:created>
  <dcterms:modified xsi:type="dcterms:W3CDTF">2018-08-24T18:54:00Z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COO.2145.1000.3.2576483</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
  </property>
  <property fmtid="{D5CDD505-2E9C-101B-9397-08002B2CF9AE}" pid="6" name="FSC#SKEDITIONSLOVLEX@103.510:AttrDateDocPropZaciatokPKK">
    <vt:lpwstr/>
  </property>
  <property fmtid="{D5CDD505-2E9C-101B-9397-08002B2CF9AE}" pid="7" name="FSC#SKEDITIONSLOVLEX@103.510:AttrStrDocPropVplyvNaInformatizaciu">
    <vt:lpwstr/>
  </property>
  <property fmtid="{D5CDD505-2E9C-101B-9397-08002B2CF9AE}" pid="8" name="FSC#SKEDITIONSLOVLEX@103.510:AttrStrDocPropVplyvNaZivotProstr">
    <vt:lpwstr/>
  </property>
  <property fmtid="{D5CDD505-2E9C-101B-9397-08002B2CF9AE}" pid="9" name="FSC#SKEDITIONSLOVLEX@103.510:AttrStrDocPropVplyvPodnikatelskeProstr">
    <vt:lpwstr/>
  </property>
  <property fmtid="{D5CDD505-2E9C-101B-9397-08002B2CF9AE}" pid="10" name="FSC#SKEDITIONSLOVLEX@103.510:AttrStrDocPropVplyvRozpocetVS">
    <vt:lpwstr/>
  </property>
  <property fmtid="{D5CDD505-2E9C-101B-9397-08002B2CF9AE}" pid="11" name="FSC#SKEDITIONSLOVLEX@103.510:AttrStrDocPropVplyvSocialny">
    <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Úrad pre verejné obstarávanie</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čl. 26 a 114 Zmluvy o fungovaní Európskej únie</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Smernica Európskeho parlamentu a Rady 2014/24/EÚ z 26. 02. 2014 o verejnom obstarávaní a zrušení smernice 2004/18/ES 
Smernica Európskeho parlamentu a Rady 2014/23/EÚ z 26. 02. 2014 o udeľovaní koncesií
Smernica Európskeho parlamentu a Rady 2014/25/EÚ z</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343/2015 Z. z. o verejnom obstarávaní a o zmene a doplnení niektorých zákonov v znení neskorších predpisov a k</vt:lpwstr>
  </property>
  <property fmtid="{D5CDD505-2E9C-101B-9397-08002B2CF9AE}" pid="32" name="FSC#SKEDITIONSLOVLEX@103.510:AttrStrListDocPropTextPredklSpravy">
    <vt:lpwstr>&lt;p&gt;Návrh novely zákona č. 343/2015 Z. z. o&amp;nbsp;verejnom obstarávaní a&amp;nbsp;o&amp;nbsp;zmene a&amp;nbsp;doplnení niektorých zákonov v&amp;nbsp;znení neskorších predpisov (ďalej len „zákon o verejnom obstarávaní“) bol&lt;br /&gt;do legislatívneho procesu predložený na zákla</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predseda Úradu pre verejné obstarávanie</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LP/2018/284</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referent</vt:lpwstr>
  </property>
  <property fmtid="{D5CDD505-2E9C-101B-9397-08002B2CF9AE}" pid="119" name="FSC#SKEDITIONSLOVLEX@103.510:funkciaPredAkuzativ">
    <vt:lpwstr>refrentovi</vt:lpwstr>
  </property>
  <property fmtid="{D5CDD505-2E9C-101B-9397-08002B2CF9AE}" pid="120" name="FSC#SKEDITIONSLOVLEX@103.510:funkciaPredDativ">
    <vt:lpwstr>referenta</vt:lpwstr>
  </property>
  <property fmtid="{D5CDD505-2E9C-101B-9397-08002B2CF9AE}" pid="121" name="FSC#SKEDITIONSLOVLEX@103.510:funkciaZodpPred">
    <vt:lpwstr>predseda</vt:lpwstr>
  </property>
  <property fmtid="{D5CDD505-2E9C-101B-9397-08002B2CF9AE}" pid="122" name="FSC#SKEDITIONSLOVLEX@103.510:funkciaZodpPredAkuzativ">
    <vt:lpwstr>predsedu</vt:lpwstr>
  </property>
  <property fmtid="{D5CDD505-2E9C-101B-9397-08002B2CF9AE}" pid="123" name="FSC#SKEDITIONSLOVLEX@103.510:funkciaZodpPredDativ">
    <vt:lpwstr>predsedovi</vt:lpwstr>
  </property>
  <property fmtid="{D5CDD505-2E9C-101B-9397-08002B2CF9AE}" pid="124" name="FSC#SKEDITIONSLOVLEX@103.510:legoblast">
    <vt:lpwstr>Správne právo</vt:lpwstr>
  </property>
  <property fmtid="{D5CDD505-2E9C-101B-9397-08002B2CF9AE}" pid="125" name="FSC#SKEDITIONSLOVLEX@103.510:nazovpredpis">
    <vt:lpwstr>, ktorým sa mení a dopĺňa zákon č. 343/2015 Z. z. o verejnom obstarávaní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343/2015 Z. z. o verejnom obstarávaní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SR na rok 2018</vt:lpwstr>
  </property>
  <property fmtid="{D5CDD505-2E9C-101B-9397-08002B2CF9AE}" pid="136" name="FSC#SKEDITIONSLOVLEX@103.510:povodpredpis">
    <vt:lpwstr>Slovlex (eLeg)</vt:lpwstr>
  </property>
  <property fmtid="{D5CDD505-2E9C-101B-9397-08002B2CF9AE}" pid="137" name="FSC#SKEDITIONSLOVLEX@103.510:predkladatel">
    <vt:lpwstr>JUDr. Ivan Holič</vt:lpwstr>
  </property>
  <property fmtid="{D5CDD505-2E9C-101B-9397-08002B2CF9AE}" pid="138" name="FSC#SKEDITIONSLOVLEX@103.510:predkladateliaObalSD">
    <vt:lpwstr>JUDr. Miroslav Hlivák
predseda</vt:lpwstr>
  </property>
  <property fmtid="{D5CDD505-2E9C-101B-9397-08002B2CF9AE}" pid="139" name="FSC#SKEDITIONSLOVLEX@103.510:pripomienkovatelia">
    <vt:lpwstr>Úrad pre verejné obstarávanie, Úrad pre verejné obstarávanie, Úrad pre verejné obstarávanie, Úrad pre verejné obstarávanie, Úrad pre verejné obstarávanie, Úrad pre verejné obstarávanie, Úrad pre verejné obstarávanie, Úrad pre verejné obstarávanie, Úrad pr</vt:lpwstr>
  </property>
  <property fmtid="{D5CDD505-2E9C-101B-9397-08002B2CF9AE}" pid="140" name="FSC#SKEDITIONSLOVLEX@103.510:rezortcislopredpis">
    <vt:lpwstr>7149-P/2018</vt:lpwstr>
  </property>
  <property fmtid="{D5CDD505-2E9C-101B-9397-08002B2CF9AE}" pid="141" name="FSC#SKEDITIONSLOVLEX@103.510:spiscislouv">
    <vt:lpwstr/>
  </property>
  <property fmtid="{D5CDD505-2E9C-101B-9397-08002B2CF9AE}" pid="142" name="FSC#SKEDITIONSLOVLEX@103.510:spravaucastverej">
    <vt:lpwstr>&lt;p&gt;Verejnosť bola o&amp;nbsp;príprave návrhu zákona, ktorým sa mení a dopĺňa zákon č. 343/2015 Z. z. o verejnom obstarávaní a o zmene a doplnení niektorých zákonov v znení neskorších predpisov a ktorým sa menia a dopĺňajú niektoré zákony informovaná prostredn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Doložka zlučiteľnosti</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14. 5. 2018</vt:lpwstr>
  </property>
  <property fmtid="{D5CDD505-2E9C-101B-9397-08002B2CF9AE}" pid="150" name="FSC#SKEDITIONSLOVLEX@103.510:vztahypredpis">
    <vt:lpwstr/>
  </property>
  <property fmtid="{D5CDD505-2E9C-101B-9397-08002B2CF9AE}" pid="151" name="FSC#SKEDITIONSLOVLEX@103.510:zodpinstitucia">
    <vt:lpwstr>Úrad pre verejné obstarávanie</vt:lpwstr>
  </property>
  <property fmtid="{D5CDD505-2E9C-101B-9397-08002B2CF9AE}" pid="152" name="FSC#SKEDITIONSLOVLEX@103.510:zodppredkladatel">
    <vt:lpwstr>JUDr. Miroslav Hlivák</vt:lpwstr>
  </property>
</Properties>
</file>