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3D4D" w:rsidP="00F23D4D">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F23D4D" w:rsidP="00F23D4D">
      <w:pPr>
        <w:bidi w:val="0"/>
        <w:jc w:val="center"/>
        <w:rPr>
          <w:rFonts w:ascii="Times New Roman" w:hAnsi="Times New Roman"/>
          <w:b/>
          <w:bCs/>
          <w:u w:val="single"/>
        </w:rPr>
      </w:pPr>
    </w:p>
    <w:p w:rsidR="00F23D4D" w:rsidP="00F23D4D">
      <w:pPr>
        <w:bidi w:val="0"/>
        <w:jc w:val="center"/>
        <w:rPr>
          <w:rFonts w:ascii="Times New Roman" w:hAnsi="Times New Roman"/>
          <w:b/>
          <w:bCs/>
          <w:sz w:val="26"/>
          <w:szCs w:val="26"/>
        </w:rPr>
      </w:pPr>
      <w:r>
        <w:rPr>
          <w:rFonts w:ascii="Times New Roman" w:hAnsi="Times New Roman"/>
          <w:b/>
          <w:bCs/>
          <w:sz w:val="26"/>
          <w:szCs w:val="26"/>
        </w:rPr>
        <w:t>VII. volebné obdobie</w:t>
      </w:r>
    </w:p>
    <w:p w:rsidR="00F23D4D" w:rsidP="00F23D4D">
      <w:pPr>
        <w:tabs>
          <w:tab w:val="left" w:pos="3615"/>
        </w:tabs>
        <w:bidi w:val="0"/>
        <w:jc w:val="center"/>
        <w:rPr>
          <w:rFonts w:ascii="Times New Roman" w:hAnsi="Times New Roman"/>
        </w:rPr>
      </w:pPr>
    </w:p>
    <w:p w:rsidR="00F23D4D" w:rsidP="00F23D4D">
      <w:pPr>
        <w:tabs>
          <w:tab w:val="left" w:pos="3615"/>
        </w:tabs>
        <w:bidi w:val="0"/>
        <w:jc w:val="center"/>
        <w:rPr>
          <w:rFonts w:ascii="Times New Roman" w:hAnsi="Times New Roman"/>
        </w:rPr>
      </w:pPr>
    </w:p>
    <w:p w:rsidR="00F23D4D" w:rsidRPr="00AF48FE" w:rsidP="00F23D4D">
      <w:pPr>
        <w:tabs>
          <w:tab w:val="left" w:pos="3615"/>
        </w:tabs>
        <w:bidi w:val="0"/>
        <w:jc w:val="center"/>
        <w:rPr>
          <w:rFonts w:ascii="Times New Roman" w:hAnsi="Times New Roman"/>
        </w:rPr>
      </w:pPr>
    </w:p>
    <w:p w:rsidR="00F23D4D" w:rsidRPr="00AF48FE" w:rsidP="00F23D4D">
      <w:pPr>
        <w:bidi w:val="0"/>
        <w:jc w:val="center"/>
        <w:rPr>
          <w:rFonts w:ascii="Times New Roman" w:hAnsi="Times New Roman"/>
          <w:b/>
          <w:bCs/>
        </w:rPr>
      </w:pPr>
      <w:r w:rsidRPr="00AF48FE">
        <w:rPr>
          <w:rFonts w:ascii="Times New Roman" w:hAnsi="Times New Roman"/>
          <w:b/>
          <w:bCs/>
        </w:rPr>
        <w:t xml:space="preserve">Návrh </w:t>
      </w:r>
    </w:p>
    <w:p w:rsidR="00F23D4D" w:rsidRPr="00AF48FE" w:rsidP="00F23D4D">
      <w:pPr>
        <w:bidi w:val="0"/>
        <w:jc w:val="center"/>
        <w:rPr>
          <w:rFonts w:ascii="Times New Roman" w:hAnsi="Times New Roman"/>
          <w:b/>
          <w:bCs/>
        </w:rPr>
      </w:pPr>
    </w:p>
    <w:p w:rsidR="00F23D4D" w:rsidRPr="00AF48FE" w:rsidP="00F23D4D">
      <w:pPr>
        <w:bidi w:val="0"/>
        <w:jc w:val="center"/>
        <w:rPr>
          <w:rFonts w:ascii="Times New Roman" w:hAnsi="Times New Roman"/>
          <w:b/>
          <w:bCs/>
        </w:rPr>
      </w:pPr>
      <w:r w:rsidRPr="00AF48FE">
        <w:rPr>
          <w:rFonts w:ascii="Times New Roman" w:hAnsi="Times New Roman"/>
          <w:b/>
          <w:bCs/>
        </w:rPr>
        <w:t>Zákon</w:t>
      </w:r>
    </w:p>
    <w:p w:rsidR="00F23D4D" w:rsidRPr="00AF48FE" w:rsidP="00F23D4D">
      <w:pPr>
        <w:bidi w:val="0"/>
        <w:jc w:val="center"/>
        <w:rPr>
          <w:rFonts w:ascii="Times New Roman" w:hAnsi="Times New Roman"/>
          <w:b/>
          <w:bCs/>
        </w:rPr>
      </w:pPr>
    </w:p>
    <w:p w:rsidR="00F23D4D" w:rsidRPr="00F23D4D" w:rsidP="00F23D4D">
      <w:pPr>
        <w:bidi w:val="0"/>
        <w:jc w:val="center"/>
        <w:rPr>
          <w:rFonts w:ascii="Times New Roman" w:hAnsi="Times New Roman"/>
          <w:b/>
          <w:bCs/>
        </w:rPr>
      </w:pPr>
      <w:r w:rsidRPr="00F23D4D">
        <w:rPr>
          <w:rFonts w:ascii="Times New Roman" w:hAnsi="Times New Roman"/>
          <w:b/>
          <w:bCs/>
        </w:rPr>
        <w:t>z ................. 2018,</w:t>
      </w:r>
    </w:p>
    <w:p w:rsidR="00F23D4D" w:rsidRPr="00F23D4D" w:rsidP="00F23D4D">
      <w:pPr>
        <w:bidi w:val="0"/>
        <w:jc w:val="center"/>
        <w:rPr>
          <w:rFonts w:ascii="Times New Roman" w:hAnsi="Times New Roman"/>
          <w:b/>
          <w:bCs/>
        </w:rPr>
      </w:pPr>
      <w:r w:rsidRPr="00F23D4D">
        <w:rPr>
          <w:rFonts w:ascii="Times New Roman" w:hAnsi="Times New Roman"/>
          <w:b/>
          <w:bCs/>
        </w:rPr>
        <w:t>ktorým sa mení a dopĺňa zákon Slovenskej národnej rady č. 96/1991 Zb. o verejných kultúrnych podujatiach v znení neskorších predpisov</w:t>
      </w:r>
    </w:p>
    <w:p w:rsidR="00F23D4D" w:rsidRPr="00B12C46" w:rsidP="00F23D4D">
      <w:pPr>
        <w:bidi w:val="0"/>
        <w:jc w:val="center"/>
        <w:rPr>
          <w:rFonts w:ascii="Times New Roman" w:hAnsi="Times New Roman"/>
        </w:rPr>
      </w:pPr>
    </w:p>
    <w:p w:rsidR="00F23D4D" w:rsidRPr="00B12C46" w:rsidP="00F23D4D">
      <w:pPr>
        <w:bidi w:val="0"/>
        <w:jc w:val="center"/>
        <w:rPr>
          <w:rFonts w:ascii="Times New Roman" w:hAnsi="Times New Roman"/>
        </w:rPr>
      </w:pPr>
      <w:r w:rsidRPr="00B12C46">
        <w:rPr>
          <w:rFonts w:ascii="Times New Roman" w:hAnsi="Times New Roman"/>
        </w:rPr>
        <w:t>Národná rada Slovenskej republiky sa uzniesla na tomto zákone:</w:t>
      </w:r>
    </w:p>
    <w:p w:rsidR="00F23D4D" w:rsidRPr="00B12C46" w:rsidP="00F23D4D">
      <w:pPr>
        <w:bidi w:val="0"/>
        <w:jc w:val="both"/>
        <w:rPr>
          <w:rFonts w:ascii="Times New Roman" w:hAnsi="Times New Roman"/>
        </w:rPr>
      </w:pPr>
    </w:p>
    <w:p w:rsidR="00F23D4D" w:rsidRPr="00FB29FB" w:rsidP="00F23D4D">
      <w:pPr>
        <w:bidi w:val="0"/>
        <w:jc w:val="center"/>
        <w:rPr>
          <w:rFonts w:ascii="Times New Roman" w:hAnsi="Times New Roman"/>
          <w:b/>
          <w:bCs/>
        </w:rPr>
      </w:pPr>
      <w:r w:rsidRPr="00FB29FB">
        <w:rPr>
          <w:rFonts w:ascii="Times New Roman" w:hAnsi="Times New Roman"/>
          <w:b/>
          <w:bCs/>
        </w:rPr>
        <w:t>Čl. I</w:t>
      </w:r>
    </w:p>
    <w:p w:rsidR="00F23D4D" w:rsidRPr="00FB29FB" w:rsidP="00F23D4D">
      <w:pPr>
        <w:bidi w:val="0"/>
        <w:rPr>
          <w:rFonts w:ascii="Times New Roman" w:hAnsi="Times New Roman"/>
        </w:rPr>
      </w:pPr>
    </w:p>
    <w:p w:rsidR="00F23D4D" w:rsidP="00F23D4D">
      <w:pPr>
        <w:bidi w:val="0"/>
        <w:jc w:val="both"/>
        <w:rPr>
          <w:rFonts w:ascii="Times New Roman" w:hAnsi="Times New Roman"/>
        </w:rPr>
      </w:pPr>
      <w:r w:rsidRPr="00FB29FB">
        <w:rPr>
          <w:rFonts w:ascii="Times New Roman" w:hAnsi="Times New Roman"/>
        </w:rPr>
        <w:t xml:space="preserve">Zákon </w:t>
      </w:r>
      <w:r w:rsidRPr="00E842C4">
        <w:rPr>
          <w:rFonts w:ascii="Times New Roman" w:hAnsi="Times New Roman"/>
        </w:rPr>
        <w:t>Slovenskej národnej rady č. 96/1991 Zb. o verejných kultúrnych podujatiach v znení</w:t>
      </w:r>
      <w:r>
        <w:rPr>
          <w:rFonts w:ascii="Times New Roman" w:hAnsi="Times New Roman"/>
        </w:rPr>
        <w:t xml:space="preserve"> zákona č. 374/2013 Z. z. </w:t>
      </w:r>
      <w:r w:rsidRPr="00FB29FB">
        <w:rPr>
          <w:rFonts w:ascii="Times New Roman" w:hAnsi="Times New Roman"/>
        </w:rPr>
        <w:t>sa mení a dopĺňa takto:</w:t>
      </w:r>
    </w:p>
    <w:p w:rsidR="00F23D4D" w:rsidRPr="00FB29FB" w:rsidP="00F23D4D">
      <w:pPr>
        <w:bidi w:val="0"/>
        <w:ind w:left="360"/>
        <w:jc w:val="both"/>
        <w:rPr>
          <w:rFonts w:ascii="Times New Roman" w:hAnsi="Times New Roman"/>
        </w:rPr>
      </w:pPr>
    </w:p>
    <w:p w:rsidR="00F23D4D" w:rsidP="00F23D4D">
      <w:pPr>
        <w:numPr>
          <w:numId w:val="1"/>
        </w:numPr>
        <w:bidi w:val="0"/>
        <w:jc w:val="both"/>
        <w:rPr>
          <w:rFonts w:ascii="Times New Roman" w:hAnsi="Times New Roman"/>
        </w:rPr>
      </w:pPr>
      <w:r>
        <w:rPr>
          <w:rFonts w:ascii="Times New Roman" w:hAnsi="Times New Roman"/>
        </w:rPr>
        <w:t xml:space="preserve">§ 4 znie: </w:t>
      </w:r>
    </w:p>
    <w:p w:rsidR="00F23D4D" w:rsidP="00F23D4D">
      <w:pPr>
        <w:bidi w:val="0"/>
        <w:ind w:left="360"/>
        <w:jc w:val="both"/>
        <w:rPr>
          <w:rFonts w:ascii="Times New Roman" w:hAnsi="Times New Roman"/>
        </w:rPr>
      </w:pPr>
    </w:p>
    <w:p w:rsidR="00F23D4D" w:rsidP="00F23D4D">
      <w:pPr>
        <w:bidi w:val="0"/>
        <w:ind w:left="360"/>
        <w:jc w:val="center"/>
        <w:rPr>
          <w:rFonts w:ascii="Times New Roman" w:hAnsi="Times New Roman"/>
        </w:rPr>
      </w:pPr>
      <w:r>
        <w:rPr>
          <w:rFonts w:ascii="Times New Roman" w:hAnsi="Times New Roman"/>
        </w:rPr>
        <w:t>„§ 4</w:t>
      </w:r>
    </w:p>
    <w:p w:rsidR="00F23D4D" w:rsidP="00F23D4D">
      <w:pPr>
        <w:bidi w:val="0"/>
        <w:ind w:left="360"/>
        <w:jc w:val="both"/>
        <w:rPr>
          <w:rFonts w:ascii="Times New Roman" w:hAnsi="Times New Roman"/>
        </w:rPr>
      </w:pPr>
      <w:r>
        <w:rPr>
          <w:rFonts w:ascii="Times New Roman" w:hAnsi="Times New Roman"/>
        </w:rPr>
        <w:t>(1) Ak sa má konať podujatie mimo priestorov alebo priestranstiev, ktoré sa na takýto účel obvykle používajú, obec môže navrhnúť usporiadateľovi iné miesto na jeho konanie, než sa uvádza v oznámení.</w:t>
      </w:r>
    </w:p>
    <w:p w:rsidR="00F23D4D" w:rsidP="00F23D4D">
      <w:pPr>
        <w:bidi w:val="0"/>
        <w:ind w:left="360"/>
        <w:jc w:val="both"/>
        <w:rPr>
          <w:rFonts w:ascii="Times New Roman" w:hAnsi="Times New Roman"/>
        </w:rPr>
      </w:pPr>
      <w:r>
        <w:rPr>
          <w:rFonts w:ascii="Times New Roman" w:hAnsi="Times New Roman"/>
        </w:rPr>
        <w:t>(2) Obec zakáže podujatie, ak sa má konať na rovnakom mieste a v rovnakom čase, kde sa má podľa skôr doručeného oznámenia konať iné podujatie podľa tohto zákona, zhromaždenie,</w:t>
      </w:r>
      <w:r w:rsidRPr="00013DB8">
        <w:rPr>
          <w:rFonts w:ascii="Times New Roman" w:hAnsi="Times New Roman"/>
          <w:vertAlign w:val="superscript"/>
        </w:rPr>
        <w:t>1a)</w:t>
      </w:r>
      <w:r>
        <w:rPr>
          <w:rFonts w:ascii="Times New Roman" w:hAnsi="Times New Roman"/>
        </w:rPr>
        <w:t xml:space="preserve"> alebo verejné športové podujatie.</w:t>
      </w:r>
      <w:r w:rsidRPr="00013DB8">
        <w:rPr>
          <w:rFonts w:ascii="Times New Roman" w:hAnsi="Times New Roman"/>
          <w:vertAlign w:val="superscript"/>
        </w:rPr>
        <w:t>1b)</w:t>
      </w:r>
    </w:p>
    <w:p w:rsidR="00F23D4D" w:rsidP="00F23D4D">
      <w:pPr>
        <w:bidi w:val="0"/>
        <w:ind w:left="360"/>
        <w:jc w:val="both"/>
        <w:rPr>
          <w:rFonts w:ascii="Times New Roman" w:hAnsi="Times New Roman"/>
        </w:rPr>
      </w:pPr>
      <w:r>
        <w:rPr>
          <w:rFonts w:ascii="Times New Roman" w:hAnsi="Times New Roman"/>
        </w:rPr>
        <w:t>(3) Obec môže zakázať podujatie, ak sa má konať na mieste, kde by jeho účastníkom hrozilo závažné nebezpečenstvo pre ich zdravie alebo kde by konanie podujatia neprimerane obmedzovalo verejnú dopravu alebo zásobovanie obyvateľstva.</w:t>
      </w:r>
    </w:p>
    <w:p w:rsidR="00F23D4D" w:rsidP="00F23D4D">
      <w:pPr>
        <w:bidi w:val="0"/>
        <w:ind w:left="360"/>
        <w:jc w:val="both"/>
        <w:rPr>
          <w:rFonts w:ascii="Times New Roman" w:hAnsi="Times New Roman"/>
        </w:rPr>
      </w:pPr>
      <w:r>
        <w:rPr>
          <w:rFonts w:ascii="Times New Roman" w:hAnsi="Times New Roman"/>
        </w:rPr>
        <w:t>(4) Obec nemôže podujatie zakázať z dôvodov podľa odseku 3, ak usporiadateľ prijal návrh obce podľa odseku 1.</w:t>
      </w:r>
    </w:p>
    <w:p w:rsidR="00F23D4D" w:rsidP="00F23D4D">
      <w:pPr>
        <w:bidi w:val="0"/>
        <w:ind w:left="360"/>
        <w:jc w:val="both"/>
        <w:rPr>
          <w:rFonts w:ascii="Times New Roman" w:hAnsi="Times New Roman"/>
        </w:rPr>
      </w:pPr>
      <w:r>
        <w:rPr>
          <w:rFonts w:ascii="Times New Roman" w:hAnsi="Times New Roman"/>
        </w:rPr>
        <w:t xml:space="preserve">(5) O zákaze podujatia podľa odsekov 2 a 3 rozhodne obec </w:t>
      </w:r>
      <w:r w:rsidRPr="005E7D70">
        <w:rPr>
          <w:rFonts w:ascii="Times New Roman" w:hAnsi="Times New Roman"/>
        </w:rPr>
        <w:t>bezodkladne, najneskôr však do troch dní od okamihu, keď dostala platné oznámenie podľa § 3.</w:t>
      </w:r>
    </w:p>
    <w:p w:rsidR="00F23D4D" w:rsidP="00F23D4D">
      <w:pPr>
        <w:bidi w:val="0"/>
        <w:ind w:left="360"/>
        <w:jc w:val="both"/>
        <w:rPr>
          <w:rFonts w:ascii="Times New Roman" w:hAnsi="Times New Roman"/>
        </w:rPr>
      </w:pPr>
      <w:r>
        <w:rPr>
          <w:rFonts w:ascii="Times New Roman" w:hAnsi="Times New Roman"/>
        </w:rPr>
        <w:t xml:space="preserve">(6) Obec v deň vydania rozhodnutia vyvesí písomné vyhotovenie rozhodnutia na svojej úradnej tabuli a na svojom webovom sídle až do dňa, v ktorom sa má podujatie konať. Ak obec v lehote uvedenej v odseku 5 nevyvesí písomné vyhotovenie rozhodnutia na svojej úradnej tabuli a na svojom webovom sídle, môže usporiadateľ podujatie usporiadať. Obec zároveň bezodkladne, najneskôr nasledujúci deň po vyvesení na úradnej tabuli zašle písomné vyhotovenie rozhodnutia usporiadateľovi. </w:t>
      </w:r>
    </w:p>
    <w:p w:rsidR="00F23D4D" w:rsidP="00F23D4D">
      <w:pPr>
        <w:bidi w:val="0"/>
        <w:ind w:left="360"/>
        <w:jc w:val="both"/>
        <w:rPr>
          <w:rFonts w:ascii="Times New Roman" w:hAnsi="Times New Roman"/>
        </w:rPr>
      </w:pPr>
      <w:r>
        <w:rPr>
          <w:rFonts w:ascii="Times New Roman" w:hAnsi="Times New Roman"/>
        </w:rPr>
        <w:t xml:space="preserve">(7) Proti rozhodnutiu obce podľa odsekov 2 a 3 môže usporiadateľ do 15 dní od jeho doručenia podať žalobu na súde, ku ktorému priloží písomné vyhotovenie rozhodnutia. </w:t>
      </w:r>
      <w:r w:rsidRPr="005E7D70">
        <w:rPr>
          <w:rFonts w:ascii="Times New Roman" w:hAnsi="Times New Roman"/>
        </w:rPr>
        <w:t>Pre konanie platia ustanovenia Správneho poriadku o konaní vo veciach zhromažďovania občanov.</w:t>
      </w:r>
      <w:r w:rsidRPr="005E7D70">
        <w:rPr>
          <w:rFonts w:ascii="Times New Roman" w:hAnsi="Times New Roman"/>
          <w:vertAlign w:val="superscript"/>
        </w:rPr>
        <w:t>1c)</w:t>
      </w:r>
      <w:r w:rsidRPr="005E7D70">
        <w:rPr>
          <w:rFonts w:ascii="Times New Roman" w:hAnsi="Times New Roman"/>
        </w:rPr>
        <w:t xml:space="preserve"> </w:t>
      </w:r>
      <w:r>
        <w:rPr>
          <w:rFonts w:ascii="Times New Roman" w:hAnsi="Times New Roman"/>
        </w:rPr>
        <w:t xml:space="preserve">Žaloba nemá odkladný účinok. </w:t>
      </w:r>
      <w:r w:rsidRPr="005E7D70">
        <w:rPr>
          <w:rFonts w:ascii="Times New Roman" w:hAnsi="Times New Roman"/>
        </w:rPr>
        <w:t>Súd rozhodne do troch dní.</w:t>
      </w:r>
      <w:r>
        <w:rPr>
          <w:rFonts w:ascii="Times New Roman" w:hAnsi="Times New Roman"/>
        </w:rPr>
        <w:t xml:space="preserve"> Rozhodnutie zruší, ak neboli dané dôvody k zákazu podujatia. Usporiadateľ je potom oprávnený podujatie usporiadať podľa pôvodného oznámenia alebo neskôr tak, aby sa podujatie uskutočnilo do 30 dní od právoplatnosti rozhodnutia súdu. Ak podujatie usporiada v neskoršej dobe, upovedomí o tom obec najneskôr 1 deň pred konaním podujatia.“.</w:t>
      </w:r>
    </w:p>
    <w:p w:rsidR="00F23D4D" w:rsidP="00F23D4D">
      <w:pPr>
        <w:bidi w:val="0"/>
        <w:ind w:left="360"/>
        <w:jc w:val="both"/>
        <w:rPr>
          <w:rFonts w:ascii="Times New Roman" w:hAnsi="Times New Roman"/>
        </w:rPr>
      </w:pPr>
    </w:p>
    <w:p w:rsidR="00F23D4D" w:rsidP="00F23D4D">
      <w:pPr>
        <w:bidi w:val="0"/>
        <w:ind w:left="360"/>
        <w:jc w:val="both"/>
        <w:rPr>
          <w:rFonts w:ascii="Times New Roman" w:hAnsi="Times New Roman"/>
        </w:rPr>
      </w:pPr>
      <w:r>
        <w:rPr>
          <w:rFonts w:ascii="Times New Roman" w:hAnsi="Times New Roman"/>
        </w:rPr>
        <w:t>Poznámky pod čiarou k odkazom 1a) až 1c) znejú:</w:t>
      </w:r>
    </w:p>
    <w:p w:rsidR="00F23D4D" w:rsidP="00F23D4D">
      <w:pPr>
        <w:bidi w:val="0"/>
        <w:ind w:left="360"/>
        <w:jc w:val="both"/>
        <w:rPr>
          <w:rFonts w:ascii="Times New Roman" w:hAnsi="Times New Roman"/>
        </w:rPr>
      </w:pPr>
      <w:r>
        <w:rPr>
          <w:rFonts w:ascii="Times New Roman" w:hAnsi="Times New Roman"/>
        </w:rPr>
        <w:t>„1a) Zákon č. 84/1990 Zb. o zhromažďovacom práve v znení neskorších predpisov.</w:t>
      </w:r>
    </w:p>
    <w:p w:rsidR="00F23D4D" w:rsidP="00F23D4D">
      <w:pPr>
        <w:bidi w:val="0"/>
        <w:ind w:left="360"/>
        <w:jc w:val="both"/>
        <w:rPr>
          <w:rFonts w:ascii="Times New Roman" w:hAnsi="Times New Roman"/>
        </w:rPr>
      </w:pPr>
      <w:r>
        <w:rPr>
          <w:rFonts w:ascii="Times New Roman" w:hAnsi="Times New Roman"/>
        </w:rPr>
        <w:t xml:space="preserve">1b) Zákon č. 1/2014 Z. z. o organizovaní verejných športových podujatí a o zmene a doplnení niektorých zákonov v znení zákona č. 440/2015 Z. z. </w:t>
      </w:r>
    </w:p>
    <w:p w:rsidR="00F23D4D" w:rsidRPr="005E7D70" w:rsidP="00F23D4D">
      <w:pPr>
        <w:bidi w:val="0"/>
        <w:ind w:left="360"/>
        <w:jc w:val="both"/>
        <w:rPr>
          <w:rFonts w:ascii="Times New Roman" w:hAnsi="Times New Roman"/>
        </w:rPr>
      </w:pPr>
      <w:r w:rsidRPr="005E7D70">
        <w:rPr>
          <w:rFonts w:ascii="Times New Roman" w:hAnsi="Times New Roman"/>
        </w:rPr>
        <w:t xml:space="preserve">1c) </w:t>
      </w:r>
      <w:r>
        <w:rPr>
          <w:rFonts w:ascii="Times New Roman" w:hAnsi="Times New Roman"/>
        </w:rPr>
        <w:t xml:space="preserve">§ 402 až </w:t>
      </w:r>
      <w:r w:rsidRPr="005E7D70">
        <w:rPr>
          <w:rFonts w:ascii="Times New Roman" w:hAnsi="Times New Roman"/>
        </w:rPr>
        <w:t>411</w:t>
      </w:r>
      <w:r>
        <w:rPr>
          <w:rFonts w:ascii="Times New Roman" w:hAnsi="Times New Roman"/>
        </w:rPr>
        <w:t xml:space="preserve"> z</w:t>
      </w:r>
      <w:r w:rsidRPr="005E7D70">
        <w:rPr>
          <w:rFonts w:ascii="Times New Roman" w:hAnsi="Times New Roman"/>
        </w:rPr>
        <w:t>ákon</w:t>
      </w:r>
      <w:r>
        <w:rPr>
          <w:rFonts w:ascii="Times New Roman" w:hAnsi="Times New Roman"/>
        </w:rPr>
        <w:t>a</w:t>
      </w:r>
      <w:r w:rsidRPr="005E7D70">
        <w:rPr>
          <w:rFonts w:ascii="Times New Roman" w:hAnsi="Times New Roman"/>
        </w:rPr>
        <w:t xml:space="preserve"> č. 162/2015 Z. z. Správny súdny poriadok</w:t>
      </w:r>
      <w:r>
        <w:rPr>
          <w:rFonts w:ascii="Times New Roman" w:hAnsi="Times New Roman"/>
        </w:rPr>
        <w:t>.“.</w:t>
      </w:r>
    </w:p>
    <w:p w:rsidR="00F23D4D" w:rsidP="00F23D4D">
      <w:pPr>
        <w:bidi w:val="0"/>
        <w:jc w:val="both"/>
        <w:rPr>
          <w:rFonts w:ascii="Times New Roman" w:hAnsi="Times New Roman"/>
        </w:rPr>
      </w:pPr>
    </w:p>
    <w:p w:rsidR="00F23D4D" w:rsidRPr="00FB29FB" w:rsidP="00F23D4D">
      <w:pPr>
        <w:tabs>
          <w:tab w:val="left" w:pos="900"/>
          <w:tab w:val="left" w:pos="1080"/>
        </w:tabs>
        <w:bidi w:val="0"/>
        <w:ind w:left="720" w:hanging="360"/>
        <w:jc w:val="both"/>
        <w:rPr>
          <w:rFonts w:ascii="Times New Roman" w:hAnsi="Times New Roman"/>
        </w:rPr>
      </w:pPr>
    </w:p>
    <w:p w:rsidR="00F23D4D" w:rsidP="00F23D4D">
      <w:pPr>
        <w:numPr>
          <w:numId w:val="1"/>
        </w:numPr>
        <w:bidi w:val="0"/>
        <w:rPr>
          <w:rFonts w:ascii="Times New Roman" w:hAnsi="Times New Roman"/>
        </w:rPr>
      </w:pPr>
      <w:r>
        <w:rPr>
          <w:rFonts w:ascii="Times New Roman" w:hAnsi="Times New Roman"/>
        </w:rPr>
        <w:t>§ 6 znie:</w:t>
      </w:r>
    </w:p>
    <w:p w:rsidR="00F23D4D" w:rsidP="00F23D4D">
      <w:pPr>
        <w:bidi w:val="0"/>
        <w:ind w:left="360"/>
        <w:rPr>
          <w:rFonts w:ascii="Times New Roman" w:hAnsi="Times New Roman"/>
        </w:rPr>
      </w:pPr>
      <w:r>
        <w:rPr>
          <w:rFonts w:ascii="Times New Roman" w:hAnsi="Times New Roman"/>
        </w:rPr>
        <w:t>„</w:t>
      </w:r>
      <w:r w:rsidRPr="00530713">
        <w:rPr>
          <w:rFonts w:ascii="Times New Roman" w:hAnsi="Times New Roman"/>
        </w:rPr>
        <w:t>(1) Obec je oprávnená dozerať, či sa podujatie koná v súlade s oznámením podľa § 3.</w:t>
      </w:r>
    </w:p>
    <w:p w:rsidR="00F23D4D" w:rsidP="00F23D4D">
      <w:pPr>
        <w:bidi w:val="0"/>
        <w:ind w:left="360"/>
        <w:jc w:val="both"/>
        <w:rPr>
          <w:rFonts w:ascii="Times New Roman" w:hAnsi="Times New Roman"/>
        </w:rPr>
      </w:pPr>
      <w:r>
        <w:rPr>
          <w:rFonts w:ascii="Times New Roman" w:hAnsi="Times New Roman"/>
        </w:rPr>
        <w:t xml:space="preserve">(2) Osoba, ktorú obec výkonom dozoru písomne poverila (ďalej len „dozorný orgán“), upozorní usporiadateľa na zistené nedostatky a upovedomí ho o tom, aké následky podľa tohto zákona môže mať ich neodstránenie. Ak sa na podujatí porušujú ľudské práva a slobody, dozorný orgán podujatie rozpustí, resp. ho preruší. Podujatie možno rozpustiť aj z toho dôvodu, že sa jeho konanie neoznámilo obci alebo ak nastali okolnosti, ktoré by odôvodnili jeho zákaz podľa § 4. </w:t>
      </w:r>
    </w:p>
    <w:p w:rsidR="00F23D4D" w:rsidP="00F23D4D">
      <w:pPr>
        <w:bidi w:val="0"/>
        <w:ind w:left="360"/>
        <w:jc w:val="both"/>
        <w:rPr>
          <w:rFonts w:ascii="Times New Roman" w:hAnsi="Times New Roman"/>
        </w:rPr>
      </w:pPr>
      <w:r>
        <w:rPr>
          <w:rFonts w:ascii="Times New Roman" w:hAnsi="Times New Roman"/>
        </w:rPr>
        <w:t xml:space="preserve">(3) Dozorný orgán oznámi rozhodnutie o rozpustení podujatia alebo o jeho prerušení usporiadateľovi ústnym vyhlásením. Písomné vyhotovenie tohto rozhodnutia treba doručiť usporiadateľovi do troch dní. </w:t>
      </w:r>
    </w:p>
    <w:p w:rsidR="00F23D4D" w:rsidP="00F23D4D">
      <w:pPr>
        <w:bidi w:val="0"/>
        <w:ind w:left="360"/>
        <w:jc w:val="both"/>
        <w:rPr>
          <w:rFonts w:ascii="Times New Roman" w:hAnsi="Times New Roman"/>
        </w:rPr>
      </w:pPr>
      <w:r>
        <w:rPr>
          <w:rFonts w:ascii="Times New Roman" w:hAnsi="Times New Roman"/>
        </w:rPr>
        <w:t xml:space="preserve">(4) </w:t>
      </w:r>
      <w:r w:rsidRPr="00C05EF4">
        <w:rPr>
          <w:rFonts w:ascii="Times New Roman" w:hAnsi="Times New Roman"/>
        </w:rPr>
        <w:t>Proti rozpusteniu</w:t>
      </w:r>
      <w:r>
        <w:rPr>
          <w:rFonts w:ascii="Times New Roman" w:hAnsi="Times New Roman"/>
        </w:rPr>
        <w:t xml:space="preserve"> alebo prerušeniu</w:t>
      </w:r>
      <w:r w:rsidRPr="00C05EF4">
        <w:rPr>
          <w:rFonts w:ascii="Times New Roman" w:hAnsi="Times New Roman"/>
        </w:rPr>
        <w:t xml:space="preserve"> </w:t>
      </w:r>
      <w:r>
        <w:rPr>
          <w:rFonts w:ascii="Times New Roman" w:hAnsi="Times New Roman"/>
        </w:rPr>
        <w:t>podujatia</w:t>
      </w:r>
      <w:r w:rsidRPr="00C05EF4">
        <w:rPr>
          <w:rFonts w:ascii="Times New Roman" w:hAnsi="Times New Roman"/>
        </w:rPr>
        <w:t xml:space="preserve"> môže </w:t>
      </w:r>
      <w:r>
        <w:rPr>
          <w:rFonts w:ascii="Times New Roman" w:hAnsi="Times New Roman"/>
        </w:rPr>
        <w:t>usporiadateľ</w:t>
      </w:r>
      <w:r w:rsidRPr="00C05EF4">
        <w:rPr>
          <w:rFonts w:ascii="Times New Roman" w:hAnsi="Times New Roman"/>
        </w:rPr>
        <w:t xml:space="preserve"> do 15 dní</w:t>
      </w:r>
      <w:r>
        <w:rPr>
          <w:rFonts w:ascii="Times New Roman" w:hAnsi="Times New Roman"/>
        </w:rPr>
        <w:t xml:space="preserve"> od jeho doručenia</w:t>
      </w:r>
      <w:r w:rsidRPr="00C05EF4">
        <w:rPr>
          <w:rFonts w:ascii="Times New Roman" w:hAnsi="Times New Roman"/>
        </w:rPr>
        <w:t xml:space="preserve"> podať námietky na súde. Súd rozhodne, či </w:t>
      </w:r>
      <w:r>
        <w:rPr>
          <w:rFonts w:ascii="Times New Roman" w:hAnsi="Times New Roman"/>
        </w:rPr>
        <w:t>podujatie</w:t>
      </w:r>
      <w:r w:rsidRPr="00C05EF4">
        <w:rPr>
          <w:rFonts w:ascii="Times New Roman" w:hAnsi="Times New Roman"/>
        </w:rPr>
        <w:t xml:space="preserve"> bolo alebo nebolo rozpustené v súlade so zákonom. </w:t>
      </w:r>
      <w:r w:rsidRPr="005E7D70">
        <w:rPr>
          <w:rFonts w:ascii="Times New Roman" w:hAnsi="Times New Roman"/>
        </w:rPr>
        <w:t>Pre konanie platia ustanovenia Správneho poriadku o konaní vo veciach zhromažďovania občanov.</w:t>
      </w:r>
      <w:r w:rsidRPr="005E7D70">
        <w:rPr>
          <w:rFonts w:ascii="Times New Roman" w:hAnsi="Times New Roman"/>
          <w:vertAlign w:val="superscript"/>
        </w:rPr>
        <w:t>1c)</w:t>
      </w:r>
      <w:r w:rsidRPr="005E7D70">
        <w:rPr>
          <w:rFonts w:ascii="Times New Roman" w:hAnsi="Times New Roman"/>
        </w:rPr>
        <w:t>“</w:t>
      </w:r>
      <w:r>
        <w:rPr>
          <w:rFonts w:ascii="Times New Roman" w:hAnsi="Times New Roman"/>
        </w:rPr>
        <w:t>.</w:t>
      </w:r>
    </w:p>
    <w:p w:rsidR="00F23D4D" w:rsidP="00F23D4D">
      <w:pPr>
        <w:bidi w:val="0"/>
        <w:ind w:left="360"/>
        <w:jc w:val="both"/>
        <w:rPr>
          <w:rFonts w:ascii="Times New Roman" w:hAnsi="Times New Roman"/>
        </w:rPr>
      </w:pPr>
    </w:p>
    <w:p w:rsidR="00F23D4D" w:rsidP="00F23D4D">
      <w:pPr>
        <w:pStyle w:val="ListParagraph"/>
        <w:bidi w:val="0"/>
        <w:ind w:left="0"/>
        <w:jc w:val="both"/>
        <w:rPr>
          <w:rFonts w:ascii="Times New Roman" w:hAnsi="Times New Roman"/>
        </w:rPr>
      </w:pPr>
    </w:p>
    <w:p w:rsidR="00F23D4D" w:rsidP="00F23D4D">
      <w:pPr>
        <w:numPr>
          <w:numId w:val="1"/>
        </w:numPr>
        <w:bidi w:val="0"/>
        <w:rPr>
          <w:rFonts w:ascii="Times New Roman" w:hAnsi="Times New Roman"/>
        </w:rPr>
      </w:pPr>
      <w:r>
        <w:rPr>
          <w:rFonts w:ascii="Times New Roman" w:hAnsi="Times New Roman"/>
        </w:rPr>
        <w:t>Za § 9 sa vkladá nový § 9a, ktorý vrátane nadpisu znie:</w:t>
      </w:r>
    </w:p>
    <w:p w:rsidR="00F23D4D" w:rsidP="00F23D4D">
      <w:pPr>
        <w:bidi w:val="0"/>
        <w:ind w:left="360"/>
        <w:jc w:val="center"/>
        <w:rPr>
          <w:rFonts w:ascii="Times New Roman" w:hAnsi="Times New Roman"/>
        </w:rPr>
      </w:pPr>
      <w:r>
        <w:rPr>
          <w:rFonts w:ascii="Times New Roman" w:hAnsi="Times New Roman"/>
        </w:rPr>
        <w:t>„§ 9a</w:t>
      </w:r>
    </w:p>
    <w:p w:rsidR="00F23D4D" w:rsidP="00F23D4D">
      <w:pPr>
        <w:pStyle w:val="ListParagraph"/>
        <w:bidi w:val="0"/>
        <w:ind w:firstLine="360"/>
        <w:jc w:val="center"/>
        <w:rPr>
          <w:rFonts w:ascii="Times New Roman" w:hAnsi="Times New Roman"/>
        </w:rPr>
      </w:pPr>
      <w:r>
        <w:rPr>
          <w:rFonts w:ascii="Times New Roman" w:hAnsi="Times New Roman"/>
        </w:rPr>
        <w:t>Prechodné ustanovenie k úpravám účinným od 1. januára 2019</w:t>
      </w:r>
    </w:p>
    <w:p w:rsidR="00F23D4D" w:rsidP="00F23D4D">
      <w:pPr>
        <w:pStyle w:val="ListParagraph"/>
        <w:bidi w:val="0"/>
        <w:ind w:left="0" w:firstLine="360"/>
        <w:jc w:val="center"/>
        <w:rPr>
          <w:rFonts w:ascii="Times New Roman" w:hAnsi="Times New Roman"/>
        </w:rPr>
      </w:pPr>
    </w:p>
    <w:p w:rsidR="00F23D4D" w:rsidP="00F23D4D">
      <w:pPr>
        <w:bidi w:val="0"/>
        <w:ind w:left="360"/>
        <w:jc w:val="both"/>
        <w:rPr>
          <w:rFonts w:ascii="Times New Roman" w:hAnsi="Times New Roman"/>
        </w:rPr>
      </w:pPr>
      <w:r>
        <w:rPr>
          <w:rFonts w:ascii="Times New Roman" w:hAnsi="Times New Roman"/>
        </w:rPr>
        <w:t>Na zákaz podujatia oznámeného obci podľa § 3 do 31. decembra 2018 sa vzťahujú ustanovenia tohto zákona v znení účinnom do 31. decembra 2018.“.</w:t>
      </w:r>
    </w:p>
    <w:p w:rsidR="00F23D4D" w:rsidP="00F23D4D">
      <w:pPr>
        <w:pStyle w:val="ListParagraph"/>
        <w:bidi w:val="0"/>
        <w:ind w:left="0"/>
        <w:jc w:val="both"/>
        <w:rPr>
          <w:rFonts w:ascii="Times New Roman" w:hAnsi="Times New Roman"/>
        </w:rPr>
      </w:pPr>
    </w:p>
    <w:p w:rsidR="00F23D4D" w:rsidRPr="00FB29FB" w:rsidP="00F23D4D">
      <w:pPr>
        <w:bidi w:val="0"/>
        <w:jc w:val="center"/>
        <w:rPr>
          <w:rFonts w:ascii="Times New Roman" w:hAnsi="Times New Roman"/>
          <w:b/>
        </w:rPr>
      </w:pPr>
      <w:r w:rsidRPr="0046454D">
        <w:rPr>
          <w:rFonts w:ascii="Times New Roman" w:hAnsi="Times New Roman"/>
          <w:b/>
        </w:rPr>
        <w:t>Čl. II</w:t>
      </w:r>
    </w:p>
    <w:p w:rsidR="00F23D4D" w:rsidP="00F23D4D">
      <w:pPr>
        <w:bidi w:val="0"/>
        <w:ind w:firstLine="426"/>
        <w:jc w:val="both"/>
        <w:rPr>
          <w:rFonts w:ascii="Times New Roman" w:hAnsi="Times New Roman"/>
        </w:rPr>
      </w:pPr>
    </w:p>
    <w:p w:rsidR="00F23D4D" w:rsidRPr="00FB29FB" w:rsidP="00F23D4D">
      <w:pPr>
        <w:bidi w:val="0"/>
        <w:jc w:val="center"/>
        <w:rPr>
          <w:rFonts w:ascii="Times New Roman" w:hAnsi="Times New Roman"/>
        </w:rPr>
      </w:pPr>
      <w:r w:rsidRPr="00FB29FB">
        <w:rPr>
          <w:rFonts w:ascii="Times New Roman" w:hAnsi="Times New Roman"/>
        </w:rPr>
        <w:t xml:space="preserve">Tento zákon nadobúda účinnosť 1. </w:t>
      </w:r>
      <w:r>
        <w:rPr>
          <w:rFonts w:ascii="Times New Roman" w:hAnsi="Times New Roman"/>
        </w:rPr>
        <w:t>januára 2019</w:t>
      </w:r>
      <w:r w:rsidRPr="00FB29FB">
        <w:rPr>
          <w:rFonts w:ascii="Times New Roman" w:hAnsi="Times New Roman"/>
        </w:rPr>
        <w:t>.</w:t>
      </w:r>
    </w:p>
    <w:p w:rsidR="00F23D4D" w:rsidP="00F23D4D">
      <w:pPr>
        <w:bidi w:val="0"/>
        <w:jc w:val="center"/>
        <w:rPr>
          <w:rFonts w:ascii="Times New Roman" w:hAnsi="Times New Roman"/>
        </w:rPr>
      </w:pPr>
    </w:p>
    <w:p w:rsidR="00EC01A0">
      <w:pPr>
        <w:bidi w:val="0"/>
        <w:rPr>
          <w:rFonts w:ascii="Times New Roman" w:hAnsi="Times New Roman"/>
        </w:rPr>
      </w:pPr>
    </w:p>
    <w:sectPr w:rsidSect="00F23D4D">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F23D4D"/>
    <w:rsid w:val="00013DB8"/>
    <w:rsid w:val="0046454D"/>
    <w:rsid w:val="00530713"/>
    <w:rsid w:val="005E7D70"/>
    <w:rsid w:val="00AF48FE"/>
    <w:rsid w:val="00B12C46"/>
    <w:rsid w:val="00C05EF4"/>
    <w:rsid w:val="00E842C4"/>
    <w:rsid w:val="00EC01A0"/>
    <w:rsid w:val="00F23D4D"/>
    <w:rsid w:val="00FB29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D4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zovChar1">
    <w:name w:val="Názov Char1"/>
    <w:basedOn w:val="DefaultParagraphFont"/>
    <w:link w:val="Title"/>
    <w:uiPriority w:val="99"/>
    <w:locked/>
    <w:rsid w:val="00F23D4D"/>
    <w:rPr>
      <w:rFonts w:ascii="Arial Narrow" w:hAnsi="Arial Narrow" w:cs="Arial Narrow"/>
      <w:b/>
      <w:bCs/>
      <w:sz w:val="24"/>
      <w:szCs w:val="24"/>
      <w:u w:val="single"/>
      <w:rtl w:val="0"/>
      <w:cs w:val="0"/>
      <w:lang w:val="x-none" w:eastAsia="cs-CZ"/>
    </w:rPr>
  </w:style>
  <w:style w:type="paragraph" w:styleId="Title">
    <w:name w:val="Title"/>
    <w:basedOn w:val="Normal"/>
    <w:link w:val="NzovChar1"/>
    <w:uiPriority w:val="99"/>
    <w:qFormat/>
    <w:rsid w:val="00F23D4D"/>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99"/>
    <w:locked/>
    <w:rsid w:val="00F23D4D"/>
    <w:rPr>
      <w:rFonts w:asciiTheme="majorHAnsi" w:eastAsiaTheme="majorEastAsia" w:hAnsiTheme="majorHAnsi" w:cstheme="majorBidi"/>
      <w:color w:val="17365D" w:themeColor="tx2" w:themeShade="BF"/>
      <w:spacing w:val="5"/>
      <w:kern w:val="28"/>
      <w:sz w:val="52"/>
      <w:szCs w:val="52"/>
      <w:rtl w:val="0"/>
      <w:cs w:val="0"/>
      <w:lang w:val="x-none" w:eastAsia="sk-SK"/>
    </w:rPr>
  </w:style>
  <w:style w:type="paragraph" w:styleId="ListParagraph">
    <w:name w:val="List Paragraph"/>
    <w:basedOn w:val="Normal"/>
    <w:uiPriority w:val="34"/>
    <w:qFormat/>
    <w:rsid w:val="00F23D4D"/>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635</Words>
  <Characters>3621</Characters>
  <Application>Microsoft Office Word</Application>
  <DocSecurity>0</DocSecurity>
  <Lines>0</Lines>
  <Paragraphs>0</Paragraphs>
  <ScaleCrop>false</ScaleCrop>
  <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1984</dc:creator>
  <cp:lastModifiedBy>1984</cp:lastModifiedBy>
  <cp:revision>1</cp:revision>
  <dcterms:created xsi:type="dcterms:W3CDTF">2018-08-24T13:58:00Z</dcterms:created>
  <dcterms:modified xsi:type="dcterms:W3CDTF">2018-08-24T13:59:00Z</dcterms:modified>
</cp:coreProperties>
</file>