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16DD" w:rsidRPr="00D64B63" w:rsidP="00F516DD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D64B63">
        <w:rPr>
          <w:rFonts w:ascii="Times New Roman" w:hAnsi="Times New Roman"/>
          <w:b/>
        </w:rPr>
        <w:t>N Á R O D N Á      R A D A    S L O V E N S K E J      R E P U B L I K Y</w:t>
      </w:r>
    </w:p>
    <w:p w:rsidR="00F516DD" w:rsidP="00F516DD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F516DD" w:rsidRPr="003B6939" w:rsidP="00F516DD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  <w:r w:rsidRPr="003B6939">
        <w:rPr>
          <w:rFonts w:ascii="Times New Roman" w:hAnsi="Times New Roman"/>
        </w:rPr>
        <w:t>VI</w:t>
      </w:r>
      <w:r>
        <w:rPr>
          <w:rFonts w:ascii="Times New Roman" w:hAnsi="Times New Roman"/>
        </w:rPr>
        <w:t>I</w:t>
      </w:r>
      <w:r w:rsidRPr="003B6939">
        <w:rPr>
          <w:rFonts w:ascii="Times New Roman" w:hAnsi="Times New Roman"/>
        </w:rPr>
        <w:t>. volebné obdobie</w:t>
      </w:r>
    </w:p>
    <w:p w:rsidR="00017ECF" w:rsidRPr="00017ECF" w:rsidP="00E97B4E">
      <w:pPr>
        <w:pBdr>
          <w:bottom w:val="single" w:sz="8" w:space="1" w:color="000000"/>
        </w:pBdr>
        <w:bidi w:val="0"/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C14AE" w:rsidP="00E97B4E">
      <w:pPr>
        <w:tabs>
          <w:tab w:val="left" w:pos="3615"/>
        </w:tabs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F516DD" w:rsidP="00E97B4E">
      <w:pPr>
        <w:tabs>
          <w:tab w:val="left" w:pos="3615"/>
        </w:tabs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F516DD" w:rsidRPr="003B6939" w:rsidP="00F516DD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3B6939">
        <w:rPr>
          <w:rFonts w:ascii="Times New Roman" w:hAnsi="Times New Roman"/>
          <w:b/>
          <w:bCs/>
        </w:rPr>
        <w:t>NÁVRH</w:t>
      </w:r>
    </w:p>
    <w:p w:rsidR="00F516DD" w:rsidP="00F516DD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:rsidR="00F516DD" w:rsidRPr="003B6939" w:rsidP="00F516DD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:rsidR="00F516DD" w:rsidRPr="003B6939" w:rsidP="00F516DD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3B6939">
        <w:rPr>
          <w:rFonts w:ascii="Times New Roman" w:hAnsi="Times New Roman"/>
          <w:b/>
          <w:bCs/>
        </w:rPr>
        <w:t>Z á k o n</w:t>
      </w:r>
    </w:p>
    <w:p w:rsidR="00F516DD" w:rsidRPr="003B6939" w:rsidP="00F516DD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:rsidR="00F516DD" w:rsidRPr="003B6939" w:rsidP="00F516DD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3B6939">
        <w:rPr>
          <w:rFonts w:ascii="Times New Roman" w:hAnsi="Times New Roman"/>
          <w:b/>
          <w:bCs/>
        </w:rPr>
        <w:t xml:space="preserve">z  </w:t>
      </w:r>
      <w:r w:rsidRPr="003B6939">
        <w:rPr>
          <w:rFonts w:ascii="Times New Roman" w:hAnsi="Times New Roman"/>
        </w:rPr>
        <w:t>........................,</w:t>
      </w:r>
      <w:r w:rsidRPr="003B6939">
        <w:rPr>
          <w:rFonts w:ascii="Times New Roman" w:hAnsi="Times New Roman"/>
          <w:b/>
          <w:bCs/>
        </w:rPr>
        <w:t xml:space="preserve"> </w:t>
      </w:r>
    </w:p>
    <w:p w:rsidR="00F06C20" w:rsidRPr="002C760C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7ECF" w:rsidP="00E97B4E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0242DD">
        <w:rPr>
          <w:rFonts w:ascii="Times New Roman" w:hAnsi="Times New Roman"/>
          <w:b/>
        </w:rPr>
        <w:t xml:space="preserve">ktorým sa </w:t>
      </w:r>
      <w:r w:rsidR="00451D72">
        <w:rPr>
          <w:rFonts w:ascii="Times New Roman" w:hAnsi="Times New Roman"/>
          <w:b/>
        </w:rPr>
        <w:t>dopĺňa</w:t>
      </w:r>
      <w:r w:rsidRPr="000242DD">
        <w:rPr>
          <w:rFonts w:ascii="Times New Roman" w:hAnsi="Times New Roman"/>
          <w:b/>
        </w:rPr>
        <w:t xml:space="preserve"> zákon č. </w:t>
      </w:r>
      <w:r w:rsidR="00451D72">
        <w:rPr>
          <w:rFonts w:ascii="Times New Roman" w:hAnsi="Times New Roman"/>
          <w:b/>
        </w:rPr>
        <w:t>91/2010</w:t>
      </w:r>
      <w:r w:rsidRPr="000242DD">
        <w:rPr>
          <w:rFonts w:ascii="Times New Roman" w:hAnsi="Times New Roman"/>
          <w:b/>
        </w:rPr>
        <w:t xml:space="preserve"> Z. z. </w:t>
      </w:r>
      <w:r w:rsidR="00451D72">
        <w:rPr>
          <w:rFonts w:ascii="Times New Roman" w:hAnsi="Times New Roman"/>
          <w:b/>
        </w:rPr>
        <w:t>o podpore cestovného ruchu</w:t>
      </w:r>
      <w:r>
        <w:rPr>
          <w:rFonts w:ascii="Times New Roman" w:hAnsi="Times New Roman"/>
          <w:b/>
        </w:rPr>
        <w:t xml:space="preserve"> v znení neskorších predpisov </w:t>
      </w:r>
      <w:r w:rsidR="00A16B63">
        <w:rPr>
          <w:rFonts w:ascii="Times New Roman" w:hAnsi="Times New Roman"/>
          <w:b/>
        </w:rPr>
        <w:t>a ktorým sa menia a dopĺňajú niektoré zákony</w:t>
      </w:r>
    </w:p>
    <w:p w:rsidR="00017ECF" w:rsidP="00E97B4E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FC14AE" w:rsidRPr="002C760C" w:rsidP="00E97B4E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FC14AE" w:rsidRPr="002C760C" w:rsidP="00E97B4E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2C760C">
        <w:rPr>
          <w:rFonts w:ascii="Times New Roman" w:hAnsi="Times New Roman"/>
        </w:rPr>
        <w:t>Národná rada Slovenskej republiky sa uzniesla na tomto zákone:</w:t>
      </w:r>
    </w:p>
    <w:p w:rsidR="005E76F1" w:rsidRPr="002C760C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1528E4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1528E4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:rsidR="001528E4" w:rsidRPr="003B0218" w:rsidP="00E97B4E">
      <w:pPr>
        <w:autoSpaceDE w:val="0"/>
        <w:autoSpaceDN w:val="0"/>
        <w:bidi w:val="0"/>
        <w:adjustRightInd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3B0218">
        <w:rPr>
          <w:rFonts w:ascii="Times New Roman" w:hAnsi="Times New Roman"/>
        </w:rPr>
        <w:t xml:space="preserve">Zákon č. </w:t>
      </w:r>
      <w:r>
        <w:rPr>
          <w:rFonts w:ascii="Times New Roman" w:hAnsi="Times New Roman"/>
        </w:rPr>
        <w:t>91/2010</w:t>
      </w:r>
      <w:r w:rsidRPr="003B0218">
        <w:rPr>
          <w:rFonts w:ascii="Times New Roman" w:hAnsi="Times New Roman"/>
        </w:rPr>
        <w:t xml:space="preserve"> Z. z. o</w:t>
      </w:r>
      <w:r>
        <w:rPr>
          <w:rFonts w:ascii="Times New Roman" w:hAnsi="Times New Roman"/>
        </w:rPr>
        <w:t> podpore cestovného ruchu</w:t>
      </w:r>
      <w:r w:rsidRPr="003B0218">
        <w:rPr>
          <w:rFonts w:ascii="Times New Roman" w:hAnsi="Times New Roman"/>
        </w:rPr>
        <w:t xml:space="preserve"> v znení </w:t>
      </w:r>
      <w:r w:rsidRPr="003B0218">
        <w:rPr>
          <w:rFonts w:ascii="Times New Roman" w:hAnsi="Times New Roman"/>
          <w:shd w:val="clear" w:color="auto" w:fill="FFFFFF"/>
        </w:rPr>
        <w:t xml:space="preserve">zákona č. </w:t>
      </w:r>
      <w:r>
        <w:rPr>
          <w:rFonts w:ascii="Times New Roman" w:hAnsi="Times New Roman"/>
          <w:shd w:val="clear" w:color="auto" w:fill="FFFFFF"/>
        </w:rPr>
        <w:t xml:space="preserve">556/2010 Z. z., zákona </w:t>
      </w:r>
      <w:r w:rsidRPr="003B0218">
        <w:rPr>
          <w:rFonts w:ascii="Times New Roman" w:hAnsi="Times New Roman"/>
          <w:shd w:val="clear" w:color="auto" w:fill="FFFFFF"/>
        </w:rPr>
        <w:t xml:space="preserve">č. </w:t>
      </w:r>
      <w:r>
        <w:rPr>
          <w:rFonts w:ascii="Times New Roman" w:hAnsi="Times New Roman"/>
          <w:shd w:val="clear" w:color="auto" w:fill="FFFFFF"/>
        </w:rPr>
        <w:t>386/2011</w:t>
      </w:r>
      <w:r w:rsidRPr="003B0218">
        <w:rPr>
          <w:rFonts w:ascii="Times New Roman" w:hAnsi="Times New Roman"/>
          <w:shd w:val="clear" w:color="auto" w:fill="FFFFFF"/>
        </w:rPr>
        <w:t xml:space="preserve"> Z. z., zákona č. </w:t>
      </w:r>
      <w:r>
        <w:rPr>
          <w:rFonts w:ascii="Times New Roman" w:hAnsi="Times New Roman"/>
          <w:shd w:val="clear" w:color="auto" w:fill="FFFFFF"/>
        </w:rPr>
        <w:t>352/2013</w:t>
      </w:r>
      <w:r w:rsidRPr="003B0218">
        <w:rPr>
          <w:rFonts w:ascii="Times New Roman" w:hAnsi="Times New Roman"/>
          <w:shd w:val="clear" w:color="auto" w:fill="FFFFFF"/>
        </w:rPr>
        <w:t xml:space="preserve"> Z. z., zákona č. </w:t>
      </w:r>
      <w:r>
        <w:rPr>
          <w:rFonts w:ascii="Times New Roman" w:hAnsi="Times New Roman"/>
          <w:shd w:val="clear" w:color="auto" w:fill="FFFFFF"/>
        </w:rPr>
        <w:t>415/2013 Z. z.</w:t>
      </w:r>
      <w:r w:rsidRPr="003B0218">
        <w:rPr>
          <w:rFonts w:ascii="Times New Roman" w:hAnsi="Times New Roman"/>
          <w:shd w:val="clear" w:color="auto" w:fill="FFFFFF"/>
        </w:rPr>
        <w:t xml:space="preserve"> a zákona č. </w:t>
      </w:r>
      <w:r>
        <w:rPr>
          <w:rFonts w:ascii="Times New Roman" w:hAnsi="Times New Roman"/>
          <w:shd w:val="clear" w:color="auto" w:fill="FFFFFF"/>
        </w:rPr>
        <w:t>125/2016</w:t>
      </w:r>
      <w:r w:rsidRPr="003B0218">
        <w:rPr>
          <w:rFonts w:ascii="Times New Roman" w:hAnsi="Times New Roman"/>
          <w:shd w:val="clear" w:color="auto" w:fill="FFFFFF"/>
        </w:rPr>
        <w:t xml:space="preserve"> Z. z. sa </w:t>
      </w:r>
      <w:r w:rsidR="00451D72">
        <w:rPr>
          <w:rFonts w:ascii="Times New Roman" w:hAnsi="Times New Roman"/>
          <w:shd w:val="clear" w:color="auto" w:fill="FFFFFF"/>
        </w:rPr>
        <w:t>dopĺňa</w:t>
      </w:r>
      <w:r w:rsidRPr="003B0218">
        <w:rPr>
          <w:rFonts w:ascii="Times New Roman" w:hAnsi="Times New Roman"/>
          <w:shd w:val="clear" w:color="auto" w:fill="FFFFFF"/>
        </w:rPr>
        <w:t xml:space="preserve"> takto:</w:t>
      </w:r>
    </w:p>
    <w:p w:rsidR="001528E4" w:rsidRPr="000242DD" w:rsidP="00E97B4E">
      <w:pPr>
        <w:widowControl w:val="0"/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1528E4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16B63">
        <w:rPr>
          <w:rFonts w:ascii="Times New Roman" w:hAnsi="Times New Roman"/>
        </w:rPr>
        <w:t>Za § 27 sa vkladá § 27a, ktorý vrátane nadpisu znie:</w:t>
      </w:r>
    </w:p>
    <w:p w:rsidR="001528E4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</w:p>
    <w:p w:rsidR="001528E4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16B63">
        <w:rPr>
          <w:rFonts w:ascii="Times New Roman" w:hAnsi="Times New Roman"/>
        </w:rPr>
        <w:t>„</w:t>
      </w:r>
      <w:r w:rsidRPr="00A16B63">
        <w:rPr>
          <w:rFonts w:ascii="Times New Roman" w:hAnsi="Times New Roman"/>
          <w:b/>
        </w:rPr>
        <w:t>§27a</w:t>
      </w:r>
    </w:p>
    <w:p w:rsidR="001528E4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16B63">
        <w:rPr>
          <w:rFonts w:ascii="Times New Roman" w:hAnsi="Times New Roman"/>
          <w:b/>
        </w:rPr>
        <w:t>Nástroje financovania rozvoja cestovného ruchu</w:t>
      </w:r>
    </w:p>
    <w:p w:rsidR="001528E4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1528E4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16B63">
        <w:rPr>
          <w:rFonts w:ascii="Times New Roman" w:hAnsi="Times New Roman"/>
        </w:rPr>
        <w:t>Medzi nástroje financovania rozvoja cestovného ruchu patria</w:t>
      </w:r>
    </w:p>
    <w:p w:rsidR="001528E4" w:rsidRPr="00A16B63" w:rsidP="0032750C">
      <w:pPr>
        <w:pStyle w:val="ListParagraph0"/>
        <w:numPr>
          <w:numId w:val="15"/>
        </w:num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>rekreačný poukaz</w:t>
      </w:r>
      <w:r w:rsidR="002B27B9">
        <w:rPr>
          <w:rFonts w:ascii="Times New Roman" w:hAnsi="Times New Roman"/>
          <w:bCs/>
        </w:rPr>
        <w:t xml:space="preserve"> vo forme elektronickej platobnej karty</w:t>
      </w:r>
      <w:r w:rsidR="00633B79">
        <w:rPr>
          <w:rFonts w:ascii="Times New Roman" w:hAnsi="Times New Roman"/>
          <w:bCs/>
        </w:rPr>
        <w:t>,</w:t>
      </w:r>
      <w:r w:rsidRPr="00A16B63">
        <w:rPr>
          <w:rFonts w:ascii="Times New Roman" w:hAnsi="Times New Roman"/>
          <w:bCs/>
        </w:rPr>
        <w:t xml:space="preserve"> </w:t>
      </w:r>
      <w:r w:rsidRPr="0032750C" w:rsidR="0032750C">
        <w:rPr>
          <w:rFonts w:ascii="Times New Roman" w:hAnsi="Times New Roman"/>
          <w:bCs/>
        </w:rPr>
        <w:t>ktorý môže použiť výlučne osoba, ktorej je určený, na území Slovenskej republiky do konca kalendárneho roka, v ktorom bol rekreačný poukaz vydaný</w:t>
      </w:r>
      <w:r w:rsidRPr="00A16B63">
        <w:rPr>
          <w:rFonts w:ascii="Times New Roman" w:hAnsi="Times New Roman"/>
          <w:bCs/>
        </w:rPr>
        <w:t>,</w:t>
      </w:r>
    </w:p>
    <w:p w:rsidR="001528E4" w:rsidP="00E97B4E">
      <w:pPr>
        <w:pStyle w:val="ListParagraph0"/>
        <w:numPr>
          <w:numId w:val="15"/>
        </w:num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>podpora rozvoja cykloturistiky</w:t>
      </w:r>
      <w:r w:rsidR="0091101E">
        <w:rPr>
          <w:rFonts w:ascii="Times New Roman" w:hAnsi="Times New Roman"/>
          <w:bCs/>
        </w:rPr>
        <w:t>,</w:t>
      </w:r>
      <w:r w:rsidRPr="00A16B63">
        <w:rPr>
          <w:rFonts w:ascii="Times New Roman" w:hAnsi="Times New Roman"/>
          <w:bCs/>
        </w:rPr>
        <w:t xml:space="preserve"> a to najmä infraštruktúry líniového typu, cykloturistického značenia, objektov doplnkovej infraštruktúry, mapových podkladov a propagácie,</w:t>
      </w:r>
    </w:p>
    <w:p w:rsidR="001528E4" w:rsidRPr="001528E4" w:rsidP="00E97B4E">
      <w:pPr>
        <w:pStyle w:val="ListParagraph0"/>
        <w:numPr>
          <w:numId w:val="15"/>
        </w:num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1528E4">
        <w:rPr>
          <w:rFonts w:ascii="Times New Roman" w:hAnsi="Times New Roman"/>
          <w:bCs/>
        </w:rPr>
        <w:t>poskytovanie investičnej pomoci pre oblasť cestovného ruchu</w:t>
      </w:r>
      <w:r w:rsidR="001D7DFE">
        <w:rPr>
          <w:rFonts w:ascii="Times New Roman" w:hAnsi="Times New Roman"/>
          <w:bCs/>
        </w:rPr>
        <w:t>.</w:t>
      </w:r>
      <w:r w:rsidRPr="001528E4">
        <w:rPr>
          <w:rFonts w:ascii="Times New Roman" w:hAnsi="Times New Roman"/>
          <w:bCs/>
        </w:rPr>
        <w:t>“.</w:t>
      </w:r>
    </w:p>
    <w:p w:rsidR="00E375E9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:rsidR="00675E8E" w:rsidRPr="002C760C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2C760C">
        <w:rPr>
          <w:rFonts w:ascii="Times New Roman" w:hAnsi="Times New Roman"/>
          <w:b/>
          <w:bCs/>
        </w:rPr>
        <w:t>Čl. I</w:t>
      </w:r>
      <w:r w:rsidR="001528E4">
        <w:rPr>
          <w:rFonts w:ascii="Times New Roman" w:hAnsi="Times New Roman"/>
          <w:b/>
          <w:bCs/>
        </w:rPr>
        <w:t>I</w:t>
      </w:r>
    </w:p>
    <w:p w:rsidR="00675E8E" w:rsidRPr="002C760C" w:rsidP="00E97B4E">
      <w:pPr>
        <w:bidi w:val="0"/>
        <w:spacing w:line="276" w:lineRule="auto"/>
        <w:contextualSpacing/>
        <w:rPr>
          <w:rFonts w:ascii="Times New Roman" w:hAnsi="Times New Roman"/>
        </w:rPr>
      </w:pPr>
    </w:p>
    <w:p w:rsidR="00827A42" w:rsidP="00E97B4E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D9767E" w:rsidR="00D9767E">
        <w:rPr>
          <w:rFonts w:ascii="Times New Roman" w:hAnsi="Times New Roman"/>
        </w:rPr>
        <w:t xml:space="preserve">Zákon č. 311/2001 Z. z. Zákonník práce v znení zákona č. 165/2002 Z. z., zákona </w:t>
      </w:r>
      <w:r w:rsidR="004572C0">
        <w:rPr>
          <w:rFonts w:ascii="Times New Roman" w:hAnsi="Times New Roman"/>
        </w:rPr>
        <w:t xml:space="preserve">                       </w:t>
      </w:r>
      <w:r w:rsidRPr="00D9767E" w:rsidR="00D9767E">
        <w:rPr>
          <w:rFonts w:ascii="Times New Roman" w:hAnsi="Times New Roman"/>
        </w:rPr>
        <w:t xml:space="preserve">č. 408/2002 Z. z., zákona č. 210/2003 Z. z., zákona č. 461/2003 Z. z., zákona č. 5/2004 Z. z., zákona č. 365/2004 Z. z., zákona č. 82/2005 Z. z., zákona č. 131/2005 Z. z., zákona </w:t>
      </w:r>
      <w:r w:rsidR="004572C0">
        <w:rPr>
          <w:rFonts w:ascii="Times New Roman" w:hAnsi="Times New Roman"/>
        </w:rPr>
        <w:t xml:space="preserve">                    </w:t>
      </w:r>
      <w:r w:rsidRPr="00D9767E" w:rsidR="00D9767E">
        <w:rPr>
          <w:rFonts w:ascii="Times New Roman" w:hAnsi="Times New Roman"/>
        </w:rPr>
        <w:t xml:space="preserve">č. 244/2005 Z. z., zákona č. 570/2005 Z. z., zákona č. 124/2006 Z. z., zákona </w:t>
      </w:r>
      <w:r w:rsidR="004572C0">
        <w:rPr>
          <w:rFonts w:ascii="Times New Roman" w:hAnsi="Times New Roman"/>
        </w:rPr>
        <w:t xml:space="preserve">                                </w:t>
      </w:r>
      <w:r w:rsidRPr="00D9767E" w:rsidR="00D9767E">
        <w:rPr>
          <w:rFonts w:ascii="Times New Roman" w:hAnsi="Times New Roman"/>
        </w:rPr>
        <w:t xml:space="preserve">č. 231/2006 Z. z., zákona č. 348/2007 Z. z., zákona č. 200/2008 Z. z., zákona č. 460/2008 Z. z., zákona č. 49/2009 Z. z., zákona č. 184/2009 Z. z., zákona č. 574/2009 Z. z., zákona </w:t>
      </w:r>
      <w:r w:rsidR="004572C0">
        <w:rPr>
          <w:rFonts w:ascii="Times New Roman" w:hAnsi="Times New Roman"/>
        </w:rPr>
        <w:t xml:space="preserve">                   </w:t>
      </w:r>
      <w:r w:rsidRPr="00D9767E" w:rsidR="00D9767E">
        <w:rPr>
          <w:rFonts w:ascii="Times New Roman" w:hAnsi="Times New Roman"/>
        </w:rPr>
        <w:t xml:space="preserve">č. 543/2010 Z. z., zákona č. 48/2011 Z. z., zákona č. 257/2011 Z. z., zákona č. 406/2011 Z. z., zákona č. 512/2011 Z. z., zákona č. 251/2012 Z. z., zákona č. 252/2012 Z. z., zákona </w:t>
      </w:r>
      <w:r w:rsidR="004572C0">
        <w:rPr>
          <w:rFonts w:ascii="Times New Roman" w:hAnsi="Times New Roman"/>
        </w:rPr>
        <w:t xml:space="preserve">                  </w:t>
      </w:r>
      <w:r w:rsidRPr="00D9767E" w:rsidR="00D9767E">
        <w:rPr>
          <w:rFonts w:ascii="Times New Roman" w:hAnsi="Times New Roman"/>
        </w:rPr>
        <w:t xml:space="preserve">č. 345/2012 Z. z., zákona č. 361/2012 Z. z., nálezu Ústavného súdu Slovenskej republiky </w:t>
      </w:r>
      <w:r w:rsidR="004572C0">
        <w:rPr>
          <w:rFonts w:ascii="Times New Roman" w:hAnsi="Times New Roman"/>
        </w:rPr>
        <w:t xml:space="preserve">            </w:t>
      </w:r>
      <w:r w:rsidRPr="00D9767E" w:rsidR="00D9767E">
        <w:rPr>
          <w:rFonts w:ascii="Times New Roman" w:hAnsi="Times New Roman"/>
        </w:rPr>
        <w:t xml:space="preserve">č. 233/2013 Z. z., zákona č. 58/2014 Z. z., zákona č. 103/2014 Z. z., zákona č. 183/2014 Z. z., zákona č. 307/2014 Z. z., zákona č. 14/2015 Z. z., zákona č. 61/2015 Z. z., zákona </w:t>
      </w:r>
      <w:r w:rsidR="004572C0">
        <w:rPr>
          <w:rFonts w:ascii="Times New Roman" w:hAnsi="Times New Roman"/>
        </w:rPr>
        <w:t xml:space="preserve">                      </w:t>
      </w:r>
      <w:r w:rsidRPr="00D9767E" w:rsidR="00D9767E">
        <w:rPr>
          <w:rFonts w:ascii="Times New Roman" w:hAnsi="Times New Roman"/>
        </w:rPr>
        <w:t>č. 351/2015 Z. z., zákona č. 378/2015 Z. z., zákona č. 440/2015 Z. z., zákona č. 82/2017 Z. z.</w:t>
      </w:r>
      <w:r w:rsidR="004572C0">
        <w:rPr>
          <w:rFonts w:ascii="Times New Roman" w:hAnsi="Times New Roman"/>
        </w:rPr>
        <w:t>,</w:t>
      </w:r>
      <w:r w:rsidRPr="00D9767E" w:rsidR="00D9767E">
        <w:rPr>
          <w:rFonts w:ascii="Times New Roman" w:hAnsi="Times New Roman"/>
        </w:rPr>
        <w:t xml:space="preserve"> zákona č. 95/2017 Z. z.</w:t>
      </w:r>
      <w:r w:rsidR="00C93771">
        <w:rPr>
          <w:rFonts w:ascii="Times New Roman" w:hAnsi="Times New Roman"/>
        </w:rPr>
        <w:t xml:space="preserve">, </w:t>
      </w:r>
      <w:r w:rsidR="004572C0">
        <w:rPr>
          <w:rFonts w:ascii="Times New Roman" w:hAnsi="Times New Roman"/>
        </w:rPr>
        <w:t xml:space="preserve">zákona č. 335/2017 Z. z. </w:t>
      </w:r>
      <w:r w:rsidR="00C93771">
        <w:rPr>
          <w:rFonts w:ascii="Times New Roman" w:hAnsi="Times New Roman"/>
        </w:rPr>
        <w:t xml:space="preserve">a zákona č. 63/2018 Z. z. </w:t>
      </w:r>
      <w:r w:rsidRPr="00D9767E" w:rsidR="00D9767E">
        <w:rPr>
          <w:rFonts w:ascii="Times New Roman" w:hAnsi="Times New Roman"/>
        </w:rPr>
        <w:t xml:space="preserve">sa </w:t>
      </w:r>
      <w:r w:rsidR="00451D72">
        <w:rPr>
          <w:rFonts w:ascii="Times New Roman" w:hAnsi="Times New Roman"/>
        </w:rPr>
        <w:t>dopĺňa</w:t>
      </w:r>
      <w:r w:rsidRPr="00D9767E" w:rsidR="00D9767E">
        <w:rPr>
          <w:rFonts w:ascii="Times New Roman" w:hAnsi="Times New Roman"/>
        </w:rPr>
        <w:t xml:space="preserve"> takto:</w:t>
      </w:r>
    </w:p>
    <w:p w:rsidR="00827A42" w:rsidP="00E97B4E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D9767E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 w:rsidR="00F06C20">
        <w:rPr>
          <w:rFonts w:ascii="Times New Roman" w:hAnsi="Times New Roman"/>
        </w:rPr>
        <w:t>Za § 152 sa vkladá § 152a, ktorý vrátane nadpisu znie:</w:t>
      </w:r>
    </w:p>
    <w:p w:rsidR="00D9767E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F06C20" w:rsidRPr="00A16B63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  <w:b/>
        </w:rPr>
      </w:pPr>
      <w:r w:rsidRPr="00F06C20">
        <w:rPr>
          <w:rFonts w:ascii="Times New Roman" w:hAnsi="Times New Roman"/>
        </w:rPr>
        <w:t>„</w:t>
      </w:r>
      <w:r w:rsidRPr="00A16B63">
        <w:rPr>
          <w:rFonts w:ascii="Times New Roman" w:hAnsi="Times New Roman"/>
          <w:b/>
        </w:rPr>
        <w:t xml:space="preserve">§ 152a </w:t>
      </w:r>
    </w:p>
    <w:p w:rsidR="00F06C20" w:rsidRPr="00A16B63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  <w:b/>
        </w:rPr>
      </w:pPr>
      <w:r w:rsidRPr="00A16B63">
        <w:rPr>
          <w:rFonts w:ascii="Times New Roman" w:hAnsi="Times New Roman"/>
          <w:b/>
        </w:rPr>
        <w:t>Rekreácia zamestnancov</w:t>
      </w:r>
    </w:p>
    <w:p w:rsidR="00F06C20" w:rsidRPr="00F06C20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</w:rPr>
      </w:pPr>
    </w:p>
    <w:p w:rsidR="001528E4" w:rsidP="00591487">
      <w:pPr>
        <w:pStyle w:val="ListParagraph0"/>
        <w:numPr>
          <w:numId w:val="14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 w:rsidRPr="00734F20" w:rsidR="00394052">
        <w:rPr>
          <w:rFonts w:ascii="Times New Roman" w:hAnsi="Times New Roman"/>
        </w:rPr>
        <w:t>Zamestnávateľ</w:t>
      </w:r>
      <w:r w:rsidRPr="00734F20" w:rsidR="00F06C20">
        <w:rPr>
          <w:rFonts w:ascii="Times New Roman" w:hAnsi="Times New Roman"/>
        </w:rPr>
        <w:t xml:space="preserve"> posk</w:t>
      </w:r>
      <w:r w:rsidRPr="00734F20" w:rsidR="00394052">
        <w:rPr>
          <w:rFonts w:ascii="Times New Roman" w:hAnsi="Times New Roman"/>
        </w:rPr>
        <w:t>ytne</w:t>
      </w:r>
      <w:r w:rsidRPr="00734F20" w:rsidR="00E567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zamestnancovi</w:t>
      </w:r>
      <w:r w:rsidR="00501D3A">
        <w:rPr>
          <w:rFonts w:ascii="Times New Roman" w:hAnsi="Times New Roman"/>
        </w:rPr>
        <w:t>, ktorého pracovný pomer u zamestnávateľa trvá nepretržite najmenej</w:t>
      </w:r>
      <w:r w:rsidRPr="00734F20" w:rsidR="00501D3A">
        <w:rPr>
          <w:rFonts w:ascii="Times New Roman" w:hAnsi="Times New Roman"/>
        </w:rPr>
        <w:t xml:space="preserve"> </w:t>
      </w:r>
      <w:r w:rsidR="00501D3A">
        <w:rPr>
          <w:rFonts w:ascii="Times New Roman" w:hAnsi="Times New Roman"/>
        </w:rPr>
        <w:t xml:space="preserve">12 mesiacov a ktorý </w:t>
      </w:r>
      <w:r w:rsidR="00FD5287">
        <w:rPr>
          <w:rFonts w:ascii="Times New Roman" w:hAnsi="Times New Roman"/>
        </w:rPr>
        <w:t>má dohodnutý pracovný pomer na ustanovený týždenný pracovný čas</w:t>
      </w:r>
      <w:r>
        <w:rPr>
          <w:rFonts w:ascii="Times New Roman" w:hAnsi="Times New Roman"/>
        </w:rPr>
        <w:t xml:space="preserve">, na jeho žiadosť </w:t>
      </w:r>
      <w:r w:rsidRPr="00734F20" w:rsidR="00E5677A">
        <w:rPr>
          <w:rFonts w:ascii="Times New Roman" w:hAnsi="Times New Roman"/>
        </w:rPr>
        <w:t xml:space="preserve">príspevok na rekreáciu vo </w:t>
      </w:r>
      <w:r w:rsidRPr="00734F20" w:rsidR="00F06C20">
        <w:rPr>
          <w:rFonts w:ascii="Times New Roman" w:hAnsi="Times New Roman"/>
        </w:rPr>
        <w:t xml:space="preserve">výške 55% </w:t>
      </w:r>
      <w:r>
        <w:rPr>
          <w:rFonts w:ascii="Times New Roman" w:hAnsi="Times New Roman"/>
        </w:rPr>
        <w:t xml:space="preserve">oprávnených </w:t>
      </w:r>
      <w:r w:rsidRPr="00734F20" w:rsidR="00F06C20">
        <w:rPr>
          <w:rFonts w:ascii="Times New Roman" w:hAnsi="Times New Roman"/>
        </w:rPr>
        <w:t>v</w:t>
      </w:r>
      <w:r>
        <w:rPr>
          <w:rFonts w:ascii="Times New Roman" w:hAnsi="Times New Roman"/>
        </w:rPr>
        <w:t>ýdavkov</w:t>
      </w:r>
      <w:r w:rsidRPr="00734F20" w:rsidR="00F06C20">
        <w:rPr>
          <w:rFonts w:ascii="Times New Roman" w:hAnsi="Times New Roman"/>
        </w:rPr>
        <w:t xml:space="preserve">, najviac </w:t>
      </w:r>
      <w:r w:rsidR="00C409FB">
        <w:rPr>
          <w:rFonts w:ascii="Times New Roman" w:hAnsi="Times New Roman"/>
        </w:rPr>
        <w:t xml:space="preserve">však </w:t>
      </w:r>
      <w:r w:rsidR="00C65769">
        <w:rPr>
          <w:rFonts w:ascii="Times New Roman" w:hAnsi="Times New Roman"/>
        </w:rPr>
        <w:t>v</w:t>
      </w:r>
      <w:r w:rsidR="00C409FB">
        <w:rPr>
          <w:rFonts w:ascii="Times New Roman" w:hAnsi="Times New Roman"/>
        </w:rPr>
        <w:t> </w:t>
      </w:r>
      <w:r w:rsidR="00C65769">
        <w:rPr>
          <w:rFonts w:ascii="Times New Roman" w:hAnsi="Times New Roman"/>
        </w:rPr>
        <w:t>sum</w:t>
      </w:r>
      <w:r w:rsidR="005C1F3F">
        <w:rPr>
          <w:rFonts w:ascii="Times New Roman" w:hAnsi="Times New Roman"/>
        </w:rPr>
        <w:t>e</w:t>
      </w:r>
      <w:r w:rsidR="00C409FB">
        <w:rPr>
          <w:rFonts w:ascii="Times New Roman" w:hAnsi="Times New Roman"/>
        </w:rPr>
        <w:t xml:space="preserve"> </w:t>
      </w:r>
      <w:r w:rsidR="005C1F3F">
        <w:rPr>
          <w:rFonts w:ascii="Times New Roman" w:hAnsi="Times New Roman"/>
        </w:rPr>
        <w:t>275 eur ročne</w:t>
      </w:r>
      <w:r w:rsidR="00C65769">
        <w:rPr>
          <w:rFonts w:ascii="Times New Roman" w:hAnsi="Times New Roman"/>
        </w:rPr>
        <w:t>.</w:t>
      </w:r>
      <w:r w:rsidR="00A92A7C">
        <w:rPr>
          <w:rFonts w:ascii="Times New Roman" w:hAnsi="Times New Roman"/>
        </w:rPr>
        <w:t xml:space="preserve"> </w:t>
      </w:r>
      <w:r w:rsidR="0021368F">
        <w:rPr>
          <w:rFonts w:ascii="Times New Roman" w:hAnsi="Times New Roman"/>
        </w:rPr>
        <w:t xml:space="preserve">Na žiadosť zamestnanca, ktorého </w:t>
      </w:r>
      <w:r w:rsidR="0021368F">
        <w:rPr>
          <w:rFonts w:ascii="Times New Roman" w:hAnsi="Times New Roman"/>
        </w:rPr>
        <w:t>pracovný pomer u zamestnávateľa trvá nepretržite najmenej</w:t>
      </w:r>
      <w:r w:rsidRPr="00734F20" w:rsidR="0021368F">
        <w:rPr>
          <w:rFonts w:ascii="Times New Roman" w:hAnsi="Times New Roman"/>
        </w:rPr>
        <w:t xml:space="preserve"> </w:t>
      </w:r>
      <w:r w:rsidR="0021368F">
        <w:rPr>
          <w:rFonts w:ascii="Times New Roman" w:hAnsi="Times New Roman"/>
        </w:rPr>
        <w:t xml:space="preserve">12 mesiacov a ktorý má dohodnutý pracovný pomer na </w:t>
      </w:r>
      <w:r w:rsidR="0021368F">
        <w:rPr>
          <w:rFonts w:ascii="Times New Roman" w:hAnsi="Times New Roman"/>
        </w:rPr>
        <w:t xml:space="preserve">kratší pracovný čas, zamestnávateľ poskytne tomuto zamestnancovi pomernú časť sumy príspevku na rekreáciu zodpovedajúcu dohodnutému kratšiemu pracovnému času. </w:t>
      </w:r>
      <w:r w:rsidRPr="00AE160D" w:rsidR="00AE160D">
        <w:rPr>
          <w:rFonts w:ascii="Times New Roman" w:hAnsi="Times New Roman"/>
        </w:rPr>
        <w:t>Rozhodujúcim n</w:t>
      </w:r>
      <w:r w:rsidRPr="00AE160D" w:rsidR="00A13427">
        <w:rPr>
          <w:rFonts w:ascii="Times New Roman" w:hAnsi="Times New Roman"/>
        </w:rPr>
        <w:t>a</w:t>
      </w:r>
      <w:r w:rsidRPr="00AE160D" w:rsidR="006D1656">
        <w:rPr>
          <w:rFonts w:ascii="Times New Roman" w:hAnsi="Times New Roman"/>
        </w:rPr>
        <w:t xml:space="preserve"> určenie </w:t>
      </w:r>
      <w:r w:rsidRPr="00AE160D" w:rsidR="00FB3598">
        <w:rPr>
          <w:rFonts w:ascii="Times New Roman" w:hAnsi="Times New Roman"/>
        </w:rPr>
        <w:t>rozsah</w:t>
      </w:r>
      <w:r w:rsidRPr="00AE160D" w:rsidR="006D1656">
        <w:rPr>
          <w:rFonts w:ascii="Times New Roman" w:hAnsi="Times New Roman"/>
        </w:rPr>
        <w:t>u</w:t>
      </w:r>
      <w:r w:rsidRPr="00AE160D" w:rsidR="00FB3598">
        <w:rPr>
          <w:rFonts w:ascii="Times New Roman" w:hAnsi="Times New Roman"/>
        </w:rPr>
        <w:t xml:space="preserve"> </w:t>
      </w:r>
      <w:r w:rsidRPr="00AE160D" w:rsidR="006D1656">
        <w:rPr>
          <w:rFonts w:ascii="Times New Roman" w:hAnsi="Times New Roman"/>
        </w:rPr>
        <w:t xml:space="preserve">sumy </w:t>
      </w:r>
      <w:r w:rsidRPr="00AE160D" w:rsidR="00D03A8B">
        <w:rPr>
          <w:rFonts w:ascii="Times New Roman" w:hAnsi="Times New Roman"/>
        </w:rPr>
        <w:t>príspevku na rekreáciu</w:t>
      </w:r>
      <w:r w:rsidRPr="00AE160D" w:rsidR="00FB3598">
        <w:rPr>
          <w:rFonts w:ascii="Times New Roman" w:hAnsi="Times New Roman"/>
        </w:rPr>
        <w:t xml:space="preserve"> </w:t>
      </w:r>
      <w:r w:rsidRPr="00AE160D" w:rsidR="00B37DA7">
        <w:rPr>
          <w:rFonts w:ascii="Times New Roman" w:hAnsi="Times New Roman"/>
        </w:rPr>
        <w:t>je dohodnutý pracovný</w:t>
      </w:r>
      <w:r w:rsidRPr="00AE160D" w:rsidR="006D1656">
        <w:rPr>
          <w:rFonts w:ascii="Times New Roman" w:hAnsi="Times New Roman"/>
        </w:rPr>
        <w:t xml:space="preserve"> </w:t>
      </w:r>
      <w:r w:rsidRPr="00AE160D" w:rsidR="00B37DA7">
        <w:rPr>
          <w:rFonts w:ascii="Times New Roman" w:hAnsi="Times New Roman"/>
        </w:rPr>
        <w:t>čas</w:t>
      </w:r>
      <w:r w:rsidRPr="00AE160D" w:rsidR="006D1656">
        <w:rPr>
          <w:rFonts w:ascii="Times New Roman" w:hAnsi="Times New Roman"/>
        </w:rPr>
        <w:t xml:space="preserve"> zamestnanca</w:t>
      </w:r>
      <w:r w:rsidRPr="00AE160D" w:rsidR="00FB3598">
        <w:rPr>
          <w:rFonts w:ascii="Times New Roman" w:hAnsi="Times New Roman"/>
        </w:rPr>
        <w:t xml:space="preserve"> v čase podania žiadosti o</w:t>
      </w:r>
      <w:r w:rsidRPr="00AE160D" w:rsidR="00D03A8B">
        <w:rPr>
          <w:rFonts w:ascii="Times New Roman" w:hAnsi="Times New Roman"/>
        </w:rPr>
        <w:t xml:space="preserve"> tento </w:t>
      </w:r>
      <w:r w:rsidRPr="00AE160D" w:rsidR="00FB3598">
        <w:rPr>
          <w:rFonts w:ascii="Times New Roman" w:hAnsi="Times New Roman"/>
        </w:rPr>
        <w:t>príspevok.</w:t>
      </w:r>
      <w:r w:rsidR="00FB3598">
        <w:rPr>
          <w:rFonts w:ascii="Times New Roman" w:hAnsi="Times New Roman"/>
        </w:rPr>
        <w:t xml:space="preserve"> </w:t>
      </w:r>
      <w:r w:rsidR="00C65769">
        <w:rPr>
          <w:rFonts w:ascii="Times New Roman" w:hAnsi="Times New Roman"/>
        </w:rPr>
        <w:t xml:space="preserve">Príspevok </w:t>
      </w:r>
      <w:r w:rsidR="00515B3B">
        <w:rPr>
          <w:rFonts w:ascii="Times New Roman" w:hAnsi="Times New Roman"/>
        </w:rPr>
        <w:t xml:space="preserve">na rekreáciu sa </w:t>
      </w:r>
      <w:r w:rsidR="00C65769">
        <w:rPr>
          <w:rFonts w:ascii="Times New Roman" w:hAnsi="Times New Roman"/>
        </w:rPr>
        <w:t>zaokrúhľuje na najbližší eurocent nahor.</w:t>
      </w:r>
      <w:r w:rsidR="001D00FD">
        <w:rPr>
          <w:rFonts w:ascii="Times New Roman" w:hAnsi="Times New Roman"/>
        </w:rPr>
        <w:t xml:space="preserve"> </w:t>
      </w:r>
    </w:p>
    <w:p w:rsidR="0091101E" w:rsidP="00815D53">
      <w:pPr>
        <w:pStyle w:val="ListParagraph0"/>
        <w:numPr>
          <w:numId w:val="14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Zamestnávateľ môže príspevok na rekreáciu poskytnúť </w:t>
      </w:r>
      <w:r w:rsidR="00FD6DAC">
        <w:rPr>
          <w:rFonts w:ascii="Times New Roman" w:hAnsi="Times New Roman"/>
        </w:rPr>
        <w:t xml:space="preserve">aj </w:t>
      </w:r>
      <w:r>
        <w:rPr>
          <w:rFonts w:ascii="Times New Roman" w:hAnsi="Times New Roman"/>
        </w:rPr>
        <w:t xml:space="preserve">prostredníctvom rekreačného poukazu podľa </w:t>
      </w:r>
      <w:r w:rsidRPr="00B66914">
        <w:rPr>
          <w:rFonts w:ascii="Times New Roman" w:hAnsi="Times New Roman"/>
        </w:rPr>
        <w:t>osobitného predpisu, za ktorého sprostredkovanie</w:t>
      </w:r>
      <w:r>
        <w:rPr>
          <w:rFonts w:ascii="Times New Roman" w:hAnsi="Times New Roman"/>
        </w:rPr>
        <w:t xml:space="preserve"> je výška poplatku maximálne 3 % z hodnoty rekreačného poukazu.</w:t>
      </w:r>
    </w:p>
    <w:p w:rsidR="00F76723" w:rsidP="00815D53">
      <w:pPr>
        <w:pStyle w:val="ListParagraph0"/>
        <w:numPr>
          <w:numId w:val="14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 w:rsidRPr="00734F20">
        <w:rPr>
          <w:rFonts w:ascii="Times New Roman" w:hAnsi="Times New Roman"/>
        </w:rPr>
        <w:t xml:space="preserve">Zamestnanec môže </w:t>
      </w:r>
      <w:r>
        <w:rPr>
          <w:rFonts w:ascii="Times New Roman" w:hAnsi="Times New Roman"/>
        </w:rPr>
        <w:t xml:space="preserve">za </w:t>
      </w:r>
      <w:r w:rsidRPr="00734F20">
        <w:rPr>
          <w:rFonts w:ascii="Times New Roman" w:hAnsi="Times New Roman"/>
        </w:rPr>
        <w:t>kalendárn</w:t>
      </w:r>
      <w:r>
        <w:rPr>
          <w:rFonts w:ascii="Times New Roman" w:hAnsi="Times New Roman"/>
        </w:rPr>
        <w:t>y</w:t>
      </w:r>
      <w:r w:rsidRPr="00734F20">
        <w:rPr>
          <w:rFonts w:ascii="Times New Roman" w:hAnsi="Times New Roman"/>
        </w:rPr>
        <w:t xml:space="preserve"> rok požiadať o príspevok na rekreáciu len u jedného zamestnávateľa</w:t>
      </w:r>
      <w:r w:rsidR="006078FF">
        <w:rPr>
          <w:rFonts w:ascii="Times New Roman" w:hAnsi="Times New Roman"/>
        </w:rPr>
        <w:t>.</w:t>
      </w:r>
      <w:r w:rsidR="006F42BA">
        <w:rPr>
          <w:rFonts w:ascii="Times New Roman" w:hAnsi="Times New Roman"/>
        </w:rPr>
        <w:t xml:space="preserve"> Zamestnanca, ktorý požiada o príspevok na rekreáciu nemožno žiadnym spôsobom znevýhodniť v porovnaní s porovnateľným zamestnancom, ktorý o tento príspevok nepožiada.</w:t>
      </w:r>
    </w:p>
    <w:p w:rsidR="00F06C20" w:rsidRPr="00F06C20" w:rsidP="00815D53">
      <w:pPr>
        <w:pStyle w:val="ListParagraph0"/>
        <w:numPr>
          <w:numId w:val="14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 w:rsidRPr="00F06C20">
        <w:rPr>
          <w:rFonts w:ascii="Times New Roman" w:hAnsi="Times New Roman"/>
        </w:rPr>
        <w:t>Oprávnen</w:t>
      </w:r>
      <w:r w:rsidR="00704355">
        <w:rPr>
          <w:rFonts w:ascii="Times New Roman" w:hAnsi="Times New Roman"/>
        </w:rPr>
        <w:t>ými</w:t>
      </w:r>
      <w:r w:rsidR="001528E4">
        <w:rPr>
          <w:rFonts w:ascii="Times New Roman" w:hAnsi="Times New Roman"/>
        </w:rPr>
        <w:t xml:space="preserve"> výdavk</w:t>
      </w:r>
      <w:r w:rsidR="00704355">
        <w:rPr>
          <w:rFonts w:ascii="Times New Roman" w:hAnsi="Times New Roman"/>
        </w:rPr>
        <w:t>ami</w:t>
      </w:r>
      <w:r w:rsidR="001528E4">
        <w:rPr>
          <w:rFonts w:ascii="Times New Roman" w:hAnsi="Times New Roman"/>
        </w:rPr>
        <w:t xml:space="preserve"> podľa odseku 1 sú preukázané výdavky zamestnanca na</w:t>
      </w:r>
      <w:r w:rsidRPr="00F06C20">
        <w:rPr>
          <w:rFonts w:ascii="Times New Roman" w:hAnsi="Times New Roman"/>
        </w:rPr>
        <w:t xml:space="preserve">: </w:t>
      </w:r>
    </w:p>
    <w:p w:rsidR="00F06C20" w:rsidRPr="00F06C20" w:rsidP="00815D53">
      <w:pPr>
        <w:pStyle w:val="ListParagraph0"/>
        <w:numPr>
          <w:ilvl w:val="1"/>
          <w:numId w:val="12"/>
        </w:numPr>
        <w:bidi w:val="0"/>
        <w:spacing w:line="276" w:lineRule="auto"/>
        <w:ind w:left="851" w:hanging="425"/>
        <w:contextualSpacing/>
        <w:jc w:val="both"/>
        <w:rPr>
          <w:rFonts w:ascii="Times New Roman" w:hAnsi="Times New Roman"/>
        </w:rPr>
      </w:pPr>
      <w:r w:rsidR="0072736F">
        <w:rPr>
          <w:rFonts w:ascii="Times New Roman" w:hAnsi="Times New Roman"/>
        </w:rPr>
        <w:t xml:space="preserve">  </w:t>
      </w:r>
      <w:r w:rsidR="001528E4">
        <w:rPr>
          <w:rFonts w:ascii="Times New Roman" w:hAnsi="Times New Roman"/>
        </w:rPr>
        <w:t xml:space="preserve">služby cestovného ruchu spojené s ubytovaním </w:t>
      </w:r>
      <w:r w:rsidR="004E0A3C">
        <w:rPr>
          <w:rFonts w:ascii="Times New Roman" w:hAnsi="Times New Roman"/>
        </w:rPr>
        <w:t>najmenej na dve prenocovania n</w:t>
      </w:r>
      <w:r w:rsidR="001528E4">
        <w:rPr>
          <w:rFonts w:ascii="Times New Roman" w:hAnsi="Times New Roman"/>
        </w:rPr>
        <w:t>a území Slovenskej republiky</w:t>
      </w:r>
      <w:r w:rsidR="00FD243C">
        <w:rPr>
          <w:rFonts w:ascii="Times New Roman" w:hAnsi="Times New Roman"/>
        </w:rPr>
        <w:t>,</w:t>
      </w:r>
    </w:p>
    <w:p w:rsidR="008E02C3" w:rsidP="00815D53">
      <w:pPr>
        <w:pStyle w:val="ListParagraph0"/>
        <w:numPr>
          <w:ilvl w:val="1"/>
          <w:numId w:val="12"/>
        </w:numPr>
        <w:bidi w:val="0"/>
        <w:spacing w:line="276" w:lineRule="auto"/>
        <w:ind w:left="851" w:hanging="425"/>
        <w:contextualSpacing/>
        <w:jc w:val="both"/>
        <w:rPr>
          <w:rFonts w:ascii="Times New Roman" w:hAnsi="Times New Roman"/>
        </w:rPr>
      </w:pPr>
      <w:r w:rsidR="0072736F">
        <w:rPr>
          <w:rFonts w:ascii="Times New Roman" w:hAnsi="Times New Roman"/>
        </w:rPr>
        <w:t xml:space="preserve">   </w:t>
      </w:r>
      <w:r w:rsidRPr="00F06C20" w:rsidR="00F06C20">
        <w:rPr>
          <w:rFonts w:ascii="Times New Roman" w:hAnsi="Times New Roman"/>
        </w:rPr>
        <w:t xml:space="preserve">pobytové balíčky obsahujúce </w:t>
      </w:r>
      <w:r w:rsidR="004E0A3C">
        <w:rPr>
          <w:rFonts w:ascii="Times New Roman" w:hAnsi="Times New Roman"/>
        </w:rPr>
        <w:t xml:space="preserve">ubytovanie najmenej na dve prenocovania, </w:t>
      </w:r>
      <w:r w:rsidRPr="00F06C20" w:rsidR="00F06C20">
        <w:rPr>
          <w:rFonts w:ascii="Times New Roman" w:hAnsi="Times New Roman"/>
        </w:rPr>
        <w:t>stravovacie a iné služby súvisiace s dovolenkovým a rekreačným pobytom</w:t>
      </w:r>
      <w:r w:rsidR="000C11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území Slovenskej republiky</w:t>
      </w:r>
      <w:r w:rsidR="000C11D6">
        <w:rPr>
          <w:rFonts w:ascii="Times New Roman" w:hAnsi="Times New Roman"/>
        </w:rPr>
        <w:t>.</w:t>
      </w:r>
    </w:p>
    <w:p w:rsidR="008E02C3" w:rsidRPr="00F06C20" w:rsidP="00815D53">
      <w:pPr>
        <w:pStyle w:val="ListParagraph0"/>
        <w:numPr>
          <w:numId w:val="14"/>
        </w:numPr>
        <w:bidi w:val="0"/>
        <w:spacing w:line="276" w:lineRule="auto"/>
        <w:ind w:left="426" w:hanging="42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Oprávnenými výdavkami podľa odseku</w:t>
      </w:r>
      <w:r w:rsidRPr="00F06C20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 xml:space="preserve">sú aj </w:t>
      </w:r>
      <w:r w:rsidR="007A5C39">
        <w:rPr>
          <w:rFonts w:ascii="Times New Roman" w:hAnsi="Times New Roman"/>
        </w:rPr>
        <w:t xml:space="preserve">preukázané </w:t>
      </w:r>
      <w:r>
        <w:rPr>
          <w:rFonts w:ascii="Times New Roman" w:hAnsi="Times New Roman"/>
        </w:rPr>
        <w:t xml:space="preserve">výdavky </w:t>
      </w:r>
      <w:r w:rsidR="00BB0D28">
        <w:rPr>
          <w:rFonts w:ascii="Times New Roman" w:hAnsi="Times New Roman"/>
        </w:rPr>
        <w:t xml:space="preserve">zamestnanca </w:t>
      </w:r>
      <w:r w:rsidR="003A3790">
        <w:rPr>
          <w:rFonts w:ascii="Times New Roman" w:hAnsi="Times New Roman"/>
        </w:rPr>
        <w:t xml:space="preserve">podľa odseku </w:t>
      </w:r>
      <w:r w:rsidR="005952E5">
        <w:rPr>
          <w:rFonts w:ascii="Times New Roman" w:hAnsi="Times New Roman"/>
        </w:rPr>
        <w:t>4</w:t>
      </w:r>
      <w:r w:rsidR="00BB0D28">
        <w:rPr>
          <w:rFonts w:ascii="Times New Roman" w:hAnsi="Times New Roman"/>
        </w:rPr>
        <w:t xml:space="preserve"> na</w:t>
      </w:r>
      <w:r w:rsidR="00604E1C">
        <w:rPr>
          <w:rFonts w:ascii="Times New Roman" w:hAnsi="Times New Roman"/>
        </w:rPr>
        <w:t xml:space="preserve"> manžela, vlastné dieťa, dieťa zverené zamestnancovi do náhradnej starostlivosti na základe rozhodnutia súdu alebo dieťa zverené zamestnancovi do starostlivosti pred rozhodnutím súdu o osvojení, ktorí sa so zamestnancom zúčastňujú na rekreácii.</w:t>
      </w:r>
    </w:p>
    <w:p w:rsidR="00F06C20" w:rsidRPr="004D084A" w:rsidP="00815D53">
      <w:pPr>
        <w:pStyle w:val="ListParagraph0"/>
        <w:numPr>
          <w:numId w:val="14"/>
        </w:numPr>
        <w:bidi w:val="0"/>
        <w:spacing w:line="276" w:lineRule="auto"/>
        <w:ind w:left="426" w:hanging="426"/>
        <w:contextualSpacing/>
        <w:jc w:val="both"/>
        <w:rPr>
          <w:rStyle w:val="st"/>
          <w:rFonts w:ascii="Times New Roman" w:hAnsi="Times New Roman"/>
        </w:rPr>
      </w:pPr>
      <w:r w:rsidR="003A3790">
        <w:rPr>
          <w:rFonts w:ascii="Times New Roman" w:hAnsi="Times New Roman"/>
        </w:rPr>
        <w:t xml:space="preserve">Zamestnanec </w:t>
      </w:r>
      <w:r w:rsidR="00AD156C">
        <w:rPr>
          <w:rFonts w:ascii="Times New Roman" w:hAnsi="Times New Roman"/>
        </w:rPr>
        <w:t>preukáže</w:t>
      </w:r>
      <w:r w:rsidR="003A3790">
        <w:rPr>
          <w:rFonts w:ascii="Times New Roman" w:hAnsi="Times New Roman"/>
        </w:rPr>
        <w:t xml:space="preserve"> zamestnávateľovi oprávnené výdavky podľa </w:t>
      </w:r>
      <w:r w:rsidR="00F76723">
        <w:rPr>
          <w:rFonts w:ascii="Times New Roman" w:hAnsi="Times New Roman"/>
        </w:rPr>
        <w:t>odsekov</w:t>
      </w:r>
      <w:r w:rsidR="003A3790">
        <w:rPr>
          <w:rFonts w:ascii="Times New Roman" w:hAnsi="Times New Roman"/>
        </w:rPr>
        <w:t xml:space="preserve"> </w:t>
      </w:r>
      <w:r w:rsidR="005952E5">
        <w:rPr>
          <w:rFonts w:ascii="Times New Roman" w:hAnsi="Times New Roman"/>
        </w:rPr>
        <w:t>4</w:t>
      </w:r>
      <w:r w:rsidR="00F76723">
        <w:rPr>
          <w:rFonts w:ascii="Times New Roman" w:hAnsi="Times New Roman"/>
        </w:rPr>
        <w:t xml:space="preserve"> a </w:t>
      </w:r>
      <w:r w:rsidR="005952E5">
        <w:rPr>
          <w:rFonts w:ascii="Times New Roman" w:hAnsi="Times New Roman"/>
        </w:rPr>
        <w:t>5</w:t>
      </w:r>
      <w:r w:rsidR="003A3790">
        <w:rPr>
          <w:rFonts w:ascii="Times New Roman" w:hAnsi="Times New Roman"/>
        </w:rPr>
        <w:t xml:space="preserve"> </w:t>
      </w:r>
      <w:r w:rsidR="00AD156C">
        <w:rPr>
          <w:rFonts w:ascii="Times New Roman" w:hAnsi="Times New Roman"/>
        </w:rPr>
        <w:t xml:space="preserve">najneskôr do 30 dní odo dňa skončenia rekreácie </w:t>
      </w:r>
      <w:r w:rsidR="007C313A">
        <w:rPr>
          <w:rFonts w:ascii="Times New Roman" w:hAnsi="Times New Roman"/>
        </w:rPr>
        <w:t xml:space="preserve">predložením </w:t>
      </w:r>
      <w:r w:rsidR="00544C32">
        <w:rPr>
          <w:rFonts w:ascii="Times New Roman" w:hAnsi="Times New Roman"/>
        </w:rPr>
        <w:t xml:space="preserve">účtovných </w:t>
      </w:r>
      <w:r w:rsidRPr="00F06C20">
        <w:rPr>
          <w:rFonts w:ascii="Times New Roman" w:hAnsi="Times New Roman"/>
        </w:rPr>
        <w:t>dokladov, ktorých súčasťou musí byť označen</w:t>
      </w:r>
      <w:r w:rsidR="00F76723">
        <w:rPr>
          <w:rFonts w:ascii="Times New Roman" w:hAnsi="Times New Roman"/>
        </w:rPr>
        <w:t>ie</w:t>
      </w:r>
      <w:r w:rsidRPr="00F06C20">
        <w:rPr>
          <w:rFonts w:ascii="Times New Roman" w:hAnsi="Times New Roman"/>
        </w:rPr>
        <w:t xml:space="preserve"> zamestnanca, alebo prostredníctvom rekreačn</w:t>
      </w:r>
      <w:r w:rsidR="00E82744">
        <w:rPr>
          <w:rFonts w:ascii="Times New Roman" w:hAnsi="Times New Roman"/>
        </w:rPr>
        <w:t>ého</w:t>
      </w:r>
      <w:r w:rsidRPr="00F06C20">
        <w:rPr>
          <w:rFonts w:ascii="Times New Roman" w:hAnsi="Times New Roman"/>
        </w:rPr>
        <w:t xml:space="preserve"> poukaz</w:t>
      </w:r>
      <w:r w:rsidR="00E82744">
        <w:rPr>
          <w:rFonts w:ascii="Times New Roman" w:hAnsi="Times New Roman"/>
        </w:rPr>
        <w:t>u</w:t>
      </w:r>
      <w:r w:rsidRPr="00F06C20">
        <w:rPr>
          <w:rFonts w:ascii="Times New Roman" w:hAnsi="Times New Roman"/>
        </w:rPr>
        <w:t xml:space="preserve">, </w:t>
      </w:r>
      <w:r w:rsidR="00206D97">
        <w:rPr>
          <w:rFonts w:ascii="Times New Roman" w:hAnsi="Times New Roman"/>
          <w:bCs/>
        </w:rPr>
        <w:t>ktor</w:t>
      </w:r>
      <w:r w:rsidR="00E82744">
        <w:rPr>
          <w:rFonts w:ascii="Times New Roman" w:hAnsi="Times New Roman"/>
          <w:bCs/>
        </w:rPr>
        <w:t>ý</w:t>
      </w:r>
      <w:r w:rsidR="005E634B">
        <w:rPr>
          <w:rFonts w:ascii="Times New Roman" w:hAnsi="Times New Roman"/>
          <w:bCs/>
        </w:rPr>
        <w:t xml:space="preserve"> slúži výlučne na úhradu oprávnených výdavkov podľa odsek</w:t>
      </w:r>
      <w:r w:rsidR="000E3A62">
        <w:rPr>
          <w:rFonts w:ascii="Times New Roman" w:hAnsi="Times New Roman"/>
          <w:bCs/>
        </w:rPr>
        <w:t>ov</w:t>
      </w:r>
      <w:r w:rsidR="005E634B">
        <w:rPr>
          <w:rFonts w:ascii="Times New Roman" w:hAnsi="Times New Roman"/>
          <w:bCs/>
        </w:rPr>
        <w:t xml:space="preserve"> </w:t>
      </w:r>
      <w:r w:rsidR="005952E5">
        <w:rPr>
          <w:rFonts w:ascii="Times New Roman" w:hAnsi="Times New Roman"/>
          <w:bCs/>
        </w:rPr>
        <w:t>4</w:t>
      </w:r>
      <w:r w:rsidR="000E3A62">
        <w:rPr>
          <w:rFonts w:ascii="Times New Roman" w:hAnsi="Times New Roman"/>
          <w:bCs/>
        </w:rPr>
        <w:t xml:space="preserve"> a</w:t>
      </w:r>
      <w:r w:rsidR="006078FF">
        <w:rPr>
          <w:rFonts w:ascii="Times New Roman" w:hAnsi="Times New Roman"/>
          <w:bCs/>
        </w:rPr>
        <w:t> </w:t>
      </w:r>
      <w:r w:rsidR="005952E5">
        <w:rPr>
          <w:rFonts w:ascii="Times New Roman" w:hAnsi="Times New Roman"/>
          <w:bCs/>
        </w:rPr>
        <w:t>5</w:t>
      </w:r>
      <w:r w:rsidR="006078FF">
        <w:rPr>
          <w:rStyle w:val="st"/>
          <w:rFonts w:ascii="Times New Roman" w:hAnsi="Times New Roman"/>
        </w:rPr>
        <w:t>;</w:t>
      </w:r>
      <w:r w:rsidR="00604E1C">
        <w:rPr>
          <w:rStyle w:val="st"/>
          <w:rFonts w:ascii="Times New Roman" w:hAnsi="Times New Roman"/>
        </w:rPr>
        <w:t xml:space="preserve"> </w:t>
      </w:r>
      <w:r w:rsidR="006078FF">
        <w:rPr>
          <w:rStyle w:val="st"/>
          <w:rFonts w:ascii="Times New Roman" w:hAnsi="Times New Roman"/>
        </w:rPr>
        <w:t>príspevok na rekreáciu musí byť zároveň vyúčtovaný najneskôr do konca príslušného kalendárneho roka.“.</w:t>
      </w:r>
    </w:p>
    <w:p w:rsidR="00F516DD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F516DD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  <w:r w:rsidRPr="0046454D">
        <w:rPr>
          <w:rFonts w:ascii="Times New Roman" w:hAnsi="Times New Roman"/>
          <w:b/>
        </w:rPr>
        <w:t>I</w:t>
      </w:r>
    </w:p>
    <w:p w:rsidR="00F516DD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5E76F1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 w:rsidR="00F516DD">
        <w:rPr>
          <w:rFonts w:ascii="Times New Roman" w:hAnsi="Times New Roman"/>
        </w:rPr>
        <w:tab/>
      </w:r>
      <w:r w:rsidRPr="00F516DD" w:rsidR="00F516DD">
        <w:rPr>
          <w:rFonts w:ascii="Times New Roman" w:hAnsi="Times New Roman"/>
        </w:rPr>
        <w:t>Zákon Národnej rady Slovenskej republiky č. 152/1994 Z. z. o sociálnom fonde a o zmene a doplnení zákona č. 286/1992 Zb. o daniach z príjmov v znení neskorších predpisov v znení zákona Národnej rady Slovenskej republiky č. 280/1995 Z. z., zákona Národnej rady Slovenskej republiky č. 375/1996 Z. z., zákona č. 313/2005 Z. z., zákona č. 591/2007 Z. z.</w:t>
      </w:r>
      <w:r w:rsidR="00F516DD">
        <w:rPr>
          <w:rFonts w:ascii="Times New Roman" w:hAnsi="Times New Roman"/>
        </w:rPr>
        <w:t xml:space="preserve">, </w:t>
      </w:r>
      <w:r w:rsidRPr="00F516DD" w:rsidR="00F516DD">
        <w:rPr>
          <w:rFonts w:ascii="Times New Roman" w:hAnsi="Times New Roman"/>
        </w:rPr>
        <w:t xml:space="preserve">zákona č. 474/2008 Z. z. </w:t>
      </w:r>
      <w:r w:rsidR="00F516DD">
        <w:rPr>
          <w:rFonts w:ascii="Times New Roman" w:hAnsi="Times New Roman"/>
        </w:rPr>
        <w:t xml:space="preserve">a zákona č. 112/2018 Z. z. </w:t>
      </w:r>
      <w:r w:rsidRPr="00F516DD" w:rsidR="00F516DD">
        <w:rPr>
          <w:rFonts w:ascii="Times New Roman" w:hAnsi="Times New Roman"/>
        </w:rPr>
        <w:t>sa dopĺňa takto:</w:t>
      </w:r>
    </w:p>
    <w:p w:rsidR="00F516DD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F516DD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 w:rsidR="00332487">
        <w:rPr>
          <w:rFonts w:ascii="Times New Roman" w:hAnsi="Times New Roman"/>
        </w:rPr>
        <w:t>V § 7 ods. 1 sa za písmeno d) vkladá nové písmeno e)</w:t>
      </w:r>
      <w:r w:rsidR="00E97B4E">
        <w:rPr>
          <w:rFonts w:ascii="Times New Roman" w:hAnsi="Times New Roman"/>
        </w:rPr>
        <w:t>, ktoré znie:</w:t>
      </w:r>
    </w:p>
    <w:p w:rsidR="00E97B4E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E97B4E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„e) rekreácie zamestnancov nad rozsah ustanovený osobitnými predpismi,“.</w:t>
      </w:r>
    </w:p>
    <w:p w:rsidR="00E97B4E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E97B4E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e) až i) sa označujú ako písmená f) až j).</w:t>
      </w:r>
    </w:p>
    <w:p w:rsidR="00E97B4E" w:rsidRPr="00F06C20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675E8E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</w:t>
      </w:r>
      <w:r w:rsidR="00F8447B">
        <w:rPr>
          <w:rFonts w:ascii="Times New Roman" w:hAnsi="Times New Roman"/>
          <w:b/>
        </w:rPr>
        <w:t>V</w:t>
      </w:r>
    </w:p>
    <w:p w:rsidR="00A16B63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A16B63" w:rsidRPr="003B0218" w:rsidP="00E97B4E">
      <w:pPr>
        <w:autoSpaceDE w:val="0"/>
        <w:autoSpaceDN w:val="0"/>
        <w:bidi w:val="0"/>
        <w:adjustRightInd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3B0218">
        <w:rPr>
          <w:rFonts w:ascii="Times New Roman" w:hAnsi="Times New Roman"/>
        </w:rPr>
        <w:t xml:space="preserve">Zákon č. 595/2003 Z. z. o dani z príjmov v znení </w:t>
      </w:r>
      <w:r w:rsidRPr="003B0218">
        <w:rPr>
          <w:rFonts w:ascii="Times New Roman" w:hAnsi="Times New Roman"/>
          <w:shd w:val="clear" w:color="auto" w:fill="FFFFFF"/>
        </w:rPr>
        <w:t xml:space="preserve">zákona č. 43/2004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177/2004 Z. z., zákona č. 191/2004 Z. z., zákona č. 391/2004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538/2004 Z. z., zákona č. 539/2004 Z. z., zákona č. 659/2004 Z. z., zákona č. 68/2005 Z. z., zákona č. 314/2005 Z. z., zákona č. 534/2005 Z. z., zákona č. 660/2005 Z. z., zákona </w:t>
      </w:r>
      <w:r>
        <w:rPr>
          <w:rFonts w:ascii="Times New Roman" w:hAnsi="Times New Roman"/>
          <w:shd w:val="clear" w:color="auto" w:fill="FFFFFF"/>
        </w:rPr>
        <w:t xml:space="preserve">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688/2006 Z. z., zákona č. 76/2007 Z. z., zákona č. 209/2007 Z. z., zákona č. 519/2007 Z. z., zákona č. 530/2007 Z. z., zákona č. 561/2007 Z. z., zákona č. 621/2007 Z. z., zákona </w:t>
      </w:r>
      <w:r>
        <w:rPr>
          <w:rFonts w:ascii="Times New Roman" w:hAnsi="Times New Roman"/>
          <w:shd w:val="clear" w:color="auto" w:fill="FFFFFF"/>
        </w:rPr>
        <w:t xml:space="preserve">             </w:t>
      </w:r>
      <w:r w:rsidRPr="003B0218">
        <w:rPr>
          <w:rFonts w:ascii="Times New Roman" w:hAnsi="Times New Roman"/>
          <w:shd w:val="clear" w:color="auto" w:fill="FFFFFF"/>
        </w:rPr>
        <w:t xml:space="preserve">č. 653/2007 Z. z., zákona č. 168/2008 Z. z., zákona č. 465/2008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514/2008 Z. z., zákona č. 563/2008 Z. z., zákona č. 567/2008 Z. z., zákona č. 60/2009 Z. z., zákona č. 184/2009 Z. z., zákona č. 185/2009 Z. z., zákona č. 504/2009 Z. z., zákona </w:t>
      </w:r>
      <w:r>
        <w:rPr>
          <w:rFonts w:ascii="Times New Roman" w:hAnsi="Times New Roman"/>
          <w:shd w:val="clear" w:color="auto" w:fill="FFFFFF"/>
        </w:rPr>
        <w:t xml:space="preserve">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563/2009 Z. z., zákona č. 374/2010 Z. z., zákona č. 548/2010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129/2011 Z. z., zákona č. 231/2011 Z. z., zákona č. 250/2011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331/2011 Z. z., zákona č. 362/2011 Z. z., zákona č. 406/2011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547/2011 Z. z., zákona č. 548/2011 Z. z., zákona č. 69/2012 Z. z., uznesenia Ústavného súdu Slovenskej republiky č. 188/2012 Z. z., zákona č. 189/2012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252/2012 Z. z., zákona č. 288/2012 Z. z., zákona č. 395/2012 Z. z., zákona č. 70/2013 Z. z., zákona č. 135/2013 Z. z., zákona č. 318/2013 Z. z., zákona č. 463/2013 Z. z., zákona </w:t>
      </w:r>
      <w:r>
        <w:rPr>
          <w:rFonts w:ascii="Times New Roman" w:hAnsi="Times New Roman"/>
          <w:shd w:val="clear" w:color="auto" w:fill="FFFFFF"/>
        </w:rPr>
        <w:t xml:space="preserve">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180/2014 Z. z., zákona č. 183/2014 Z. z., zákona č. 333/2014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364/2014 Z. z., zákona č. 371/2014 Z. z., zákona č. 25/2015 Z. z., zákona č. 61/2015 Z. z., zákona č. 62/2015 Z. z., zákona č. 79/2015 Z. z., zákona č. 140/2015 Z. z., zákona </w:t>
      </w:r>
      <w:r>
        <w:rPr>
          <w:rFonts w:ascii="Times New Roman" w:hAnsi="Times New Roman"/>
          <w:shd w:val="clear" w:color="auto" w:fill="FFFFFF"/>
        </w:rPr>
        <w:t xml:space="preserve">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176/2015 Z. z., zákona č. 253/2015 Z. z., zákona č. 361/2015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375/2015 Z. z., zákona č. 378/2015 Z. z., zákona č. 389/2015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437/2015 Z. z., zákona č. 440/2015 Z. z., zákona č. 341/2016 Z. z., zákona </w:t>
      </w:r>
      <w:r>
        <w:rPr>
          <w:rFonts w:ascii="Times New Roman" w:hAnsi="Times New Roman"/>
          <w:shd w:val="clear" w:color="auto" w:fill="FFFFFF"/>
        </w:rPr>
        <w:t xml:space="preserve">                                     </w:t>
      </w:r>
      <w:r w:rsidRPr="003B0218">
        <w:rPr>
          <w:rFonts w:ascii="Times New Roman" w:hAnsi="Times New Roman"/>
          <w:shd w:val="clear" w:color="auto" w:fill="FFFFFF"/>
        </w:rPr>
        <w:t xml:space="preserve">č. 264/2017 Z. z., zákona č. 279/2017 Z. z., zákona č. 344/2017 Z. z., zákona č. 57/2018 Z. z., zákona č. 63/2018 Z. z. a zákona č. 112/2018 Z. z. sa mení </w:t>
      </w:r>
      <w:r w:rsidR="00451D72">
        <w:rPr>
          <w:rFonts w:ascii="Times New Roman" w:hAnsi="Times New Roman"/>
          <w:shd w:val="clear" w:color="auto" w:fill="FFFFFF"/>
        </w:rPr>
        <w:t xml:space="preserve">a dopĺňa </w:t>
      </w:r>
      <w:r w:rsidRPr="003B0218">
        <w:rPr>
          <w:rFonts w:ascii="Times New Roman" w:hAnsi="Times New Roman"/>
          <w:shd w:val="clear" w:color="auto" w:fill="FFFFFF"/>
        </w:rPr>
        <w:t>takto:</w:t>
      </w:r>
    </w:p>
    <w:p w:rsidR="00A16B63" w:rsidRPr="000242DD" w:rsidP="00E97B4E">
      <w:pPr>
        <w:widowControl w:val="0"/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C55E5B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C55E5B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 § 5 ods. 7 písm. b)</w:t>
      </w:r>
      <w:r w:rsidR="00F231CA">
        <w:rPr>
          <w:rFonts w:ascii="Times New Roman" w:hAnsi="Times New Roman"/>
        </w:rPr>
        <w:t xml:space="preserve"> sa na konci čiarka nahrádza slovom „a“ a pripájajú </w:t>
      </w:r>
      <w:r w:rsidR="0032750C">
        <w:rPr>
          <w:rFonts w:ascii="Times New Roman" w:hAnsi="Times New Roman"/>
        </w:rPr>
        <w:t xml:space="preserve">sa </w:t>
      </w:r>
      <w:r w:rsidR="00F231CA">
        <w:rPr>
          <w:rFonts w:ascii="Times New Roman" w:hAnsi="Times New Roman"/>
        </w:rPr>
        <w:t>tieto slová:</w:t>
      </w:r>
    </w:p>
    <w:p w:rsidR="00F231CA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</w:p>
    <w:p w:rsidR="00F231CA" w:rsidRPr="00F231CA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„suma príspevku na rekreáciu poskytnutého zamestnávateľom zamestnancovi podľa osobitného predpisu,</w:t>
      </w:r>
      <w:r w:rsidRPr="00F231CA">
        <w:rPr>
          <w:rFonts w:ascii="Times New Roman" w:hAnsi="Times New Roman"/>
          <w:vertAlign w:val="superscript"/>
        </w:rPr>
        <w:t>17a)</w:t>
      </w:r>
      <w:r>
        <w:rPr>
          <w:rFonts w:ascii="Times New Roman" w:hAnsi="Times New Roman"/>
        </w:rPr>
        <w:t>“.</w:t>
      </w:r>
    </w:p>
    <w:p w:rsidR="00F231CA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</w:p>
    <w:p w:rsidR="00F231CA" w:rsidRPr="00A16B63" w:rsidP="00E97B4E">
      <w:pPr>
        <w:tabs>
          <w:tab w:val="left" w:pos="567"/>
        </w:tabs>
        <w:bidi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 xml:space="preserve">Poznámka pod čiarou k odkazu </w:t>
      </w:r>
      <w:r>
        <w:rPr>
          <w:rFonts w:ascii="Times New Roman" w:hAnsi="Times New Roman"/>
          <w:bCs/>
        </w:rPr>
        <w:t>17</w:t>
      </w:r>
      <w:r w:rsidRPr="00A16B63">
        <w:rPr>
          <w:rFonts w:ascii="Times New Roman" w:hAnsi="Times New Roman"/>
          <w:bCs/>
        </w:rPr>
        <w:t>a znie:</w:t>
      </w:r>
    </w:p>
    <w:p w:rsidR="00F231CA" w:rsidRPr="00C55E5B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Pr="00A16B63">
        <w:rPr>
          <w:rFonts w:ascii="Times New Roman" w:hAnsi="Times New Roman"/>
          <w:bCs/>
        </w:rPr>
        <w:t>„</w:t>
      </w:r>
      <w:r w:rsidRPr="003E6B0D">
        <w:rPr>
          <w:rFonts w:ascii="Times New Roman" w:hAnsi="Times New Roman"/>
          <w:bCs/>
          <w:vertAlign w:val="superscript"/>
        </w:rPr>
        <w:t>17a)</w:t>
      </w:r>
      <w:r w:rsidRPr="00A16B63">
        <w:rPr>
          <w:rFonts w:ascii="Times New Roman" w:hAnsi="Times New Roman"/>
          <w:bCs/>
        </w:rPr>
        <w:t xml:space="preserve"> § 152 a 152a Zákonníka práce.“.</w:t>
      </w:r>
    </w:p>
    <w:p w:rsidR="00C55E5B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A16B63" w:rsidRPr="00AB3060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</w:rPr>
      </w:pPr>
      <w:r w:rsidR="00C55E5B">
        <w:rPr>
          <w:rFonts w:ascii="Times New Roman" w:hAnsi="Times New Roman"/>
          <w:b/>
        </w:rPr>
        <w:t>2</w:t>
      </w:r>
      <w:r w:rsidRPr="00AB3060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AB3060">
        <w:rPr>
          <w:rFonts w:ascii="Times New Roman" w:hAnsi="Times New Roman"/>
        </w:rPr>
        <w:t>V § 19  ods</w:t>
      </w:r>
      <w:r>
        <w:rPr>
          <w:rFonts w:ascii="Times New Roman" w:hAnsi="Times New Roman"/>
        </w:rPr>
        <w:t>.</w:t>
      </w:r>
      <w:r w:rsidRPr="00AB3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 písm.</w:t>
      </w:r>
      <w:r w:rsidRPr="00AB3060">
        <w:rPr>
          <w:rFonts w:ascii="Times New Roman" w:hAnsi="Times New Roman"/>
        </w:rPr>
        <w:t xml:space="preserve"> c) </w:t>
      </w:r>
      <w:r w:rsidR="00A5409A">
        <w:rPr>
          <w:rFonts w:ascii="Times New Roman" w:hAnsi="Times New Roman"/>
        </w:rPr>
        <w:t xml:space="preserve">piaty </w:t>
      </w:r>
      <w:r w:rsidRPr="00AB3060">
        <w:rPr>
          <w:rFonts w:ascii="Times New Roman" w:hAnsi="Times New Roman"/>
        </w:rPr>
        <w:t>bod znie:</w:t>
      </w:r>
    </w:p>
    <w:p w:rsidR="00A16B63" w:rsidP="00E97B4E">
      <w:pPr>
        <w:autoSpaceDE w:val="0"/>
        <w:autoSpaceDN w:val="0"/>
        <w:bidi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</w:rPr>
      </w:pPr>
    </w:p>
    <w:p w:rsidR="00A16B63" w:rsidRPr="00AB3060" w:rsidP="00E97B4E">
      <w:pPr>
        <w:pStyle w:val="Heading3"/>
        <w:shd w:val="clear" w:color="auto" w:fill="FFFFFF"/>
        <w:bidi w:val="0"/>
        <w:spacing w:before="0"/>
        <w:contextualSpacing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</w:rPr>
        <w:t>„5.</w:t>
      </w:r>
      <w:r w:rsidRPr="003B0218"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príspevky na stravovanie zamestnancov a príspevky na rekreáciu zamestnancov poskytované za podmienok ustanovených osobitným predpisom,</w:t>
      </w:r>
      <w:r>
        <w:rPr>
          <w:rFonts w:ascii="Times New Roman" w:hAnsi="Times New Roman"/>
          <w:bCs/>
          <w:color w:val="auto"/>
          <w:vertAlign w:val="superscript"/>
        </w:rPr>
        <w:t>86a)</w:t>
      </w:r>
      <w:r>
        <w:rPr>
          <w:rFonts w:ascii="Times New Roman" w:hAnsi="Times New Roman"/>
          <w:bCs/>
          <w:color w:val="auto"/>
        </w:rPr>
        <w:t>“.</w:t>
      </w:r>
    </w:p>
    <w:p w:rsidR="00A16B63" w:rsidP="00E97B4E">
      <w:pPr>
        <w:autoSpaceDE w:val="0"/>
        <w:autoSpaceDN w:val="0"/>
        <w:bidi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/>
        </w:rPr>
      </w:pPr>
    </w:p>
    <w:p w:rsidR="00A16B63" w:rsidRPr="00A16B63" w:rsidP="00E97B4E">
      <w:pPr>
        <w:tabs>
          <w:tab w:val="left" w:pos="567"/>
        </w:tabs>
        <w:bidi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>Poznámka pod čiarou k odkazu 86a znie:</w:t>
      </w:r>
    </w:p>
    <w:p w:rsidR="00A16B63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>„</w:t>
      </w:r>
      <w:r w:rsidRPr="003E6B0D">
        <w:rPr>
          <w:rFonts w:ascii="Times New Roman" w:hAnsi="Times New Roman"/>
          <w:bCs/>
          <w:vertAlign w:val="superscript"/>
        </w:rPr>
        <w:t>86a)</w:t>
      </w:r>
      <w:r w:rsidRPr="00A16B63">
        <w:rPr>
          <w:rFonts w:ascii="Times New Roman" w:hAnsi="Times New Roman"/>
          <w:bCs/>
        </w:rPr>
        <w:t xml:space="preserve"> Napríklad § 152 a 152a Zákonníka práce.“.</w:t>
      </w:r>
    </w:p>
    <w:p w:rsidR="00A16B63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</w:p>
    <w:p w:rsidR="00A16B63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="00C55E5B">
        <w:rPr>
          <w:rFonts w:ascii="Times New Roman" w:hAnsi="Times New Roman"/>
          <w:b/>
          <w:bCs/>
        </w:rPr>
        <w:t>3</w:t>
      </w:r>
      <w:r w:rsidRPr="00A16B63">
        <w:rPr>
          <w:rFonts w:ascii="Times New Roman" w:hAnsi="Times New Roman"/>
          <w:b/>
          <w:bCs/>
        </w:rPr>
        <w:t>.</w:t>
      </w:r>
      <w:r w:rsidRPr="00A16B63">
        <w:rPr>
          <w:rFonts w:ascii="Times New Roman" w:hAnsi="Times New Roman"/>
          <w:bCs/>
        </w:rPr>
        <w:t xml:space="preserve"> V § 19 </w:t>
      </w:r>
      <w:r w:rsidR="00A5409A">
        <w:rPr>
          <w:rFonts w:ascii="Times New Roman" w:hAnsi="Times New Roman"/>
          <w:bCs/>
        </w:rPr>
        <w:t xml:space="preserve">sa odsek 2 dopĺňa písmenom </w:t>
      </w:r>
      <w:r w:rsidRPr="00A16B63">
        <w:rPr>
          <w:rFonts w:ascii="Times New Roman" w:hAnsi="Times New Roman"/>
          <w:bCs/>
        </w:rPr>
        <w:t>v), ktoré znie:</w:t>
      </w:r>
    </w:p>
    <w:p w:rsidR="00A16B63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</w:p>
    <w:p w:rsidR="00A16B63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>„v) výdavky (náklady) daňovníka s príjmami podľa § 6 ods. 1 a</w:t>
      </w:r>
      <w:r w:rsidR="001E512E">
        <w:rPr>
          <w:rFonts w:ascii="Times New Roman" w:hAnsi="Times New Roman"/>
          <w:bCs/>
        </w:rPr>
        <w:t> </w:t>
      </w:r>
      <w:r w:rsidRPr="00A16B63">
        <w:rPr>
          <w:rFonts w:ascii="Times New Roman" w:hAnsi="Times New Roman"/>
          <w:bCs/>
        </w:rPr>
        <w:t>2</w:t>
      </w:r>
      <w:r w:rsidR="001E512E">
        <w:rPr>
          <w:rFonts w:ascii="Times New Roman" w:hAnsi="Times New Roman"/>
          <w:bCs/>
        </w:rPr>
        <w:t>, ktorý vykonáva podnikateľskú činnosť nepretržite najmenej 12 mesiacov,</w:t>
      </w:r>
      <w:r w:rsidRPr="00A16B63">
        <w:rPr>
          <w:rFonts w:ascii="Times New Roman" w:hAnsi="Times New Roman"/>
          <w:bCs/>
        </w:rPr>
        <w:t xml:space="preserve"> </w:t>
      </w:r>
      <w:r w:rsidRPr="00A16B63" w:rsidR="005A1C7A">
        <w:rPr>
          <w:rFonts w:ascii="Times New Roman" w:hAnsi="Times New Roman"/>
          <w:bCs/>
        </w:rPr>
        <w:t xml:space="preserve">v rozsahu </w:t>
      </w:r>
      <w:r w:rsidR="005A1C7A">
        <w:rPr>
          <w:rFonts w:ascii="Times New Roman" w:hAnsi="Times New Roman"/>
          <w:bCs/>
        </w:rPr>
        <w:t xml:space="preserve">a </w:t>
      </w:r>
      <w:r w:rsidRPr="00A16B63">
        <w:rPr>
          <w:rFonts w:ascii="Times New Roman" w:hAnsi="Times New Roman"/>
          <w:bCs/>
        </w:rPr>
        <w:t xml:space="preserve">za </w:t>
      </w:r>
      <w:r w:rsidRPr="002C3DDF">
        <w:rPr>
          <w:rFonts w:ascii="Times New Roman" w:hAnsi="Times New Roman"/>
          <w:bCs/>
        </w:rPr>
        <w:t>podmienok</w:t>
      </w:r>
      <w:r w:rsidRPr="00A16B63">
        <w:rPr>
          <w:rFonts w:ascii="Times New Roman" w:hAnsi="Times New Roman"/>
          <w:bCs/>
        </w:rPr>
        <w:t xml:space="preserve"> ako zamestnávateľ </w:t>
      </w:r>
      <w:r w:rsidR="005A1C7A">
        <w:rPr>
          <w:rFonts w:ascii="Times New Roman" w:hAnsi="Times New Roman"/>
          <w:bCs/>
        </w:rPr>
        <w:t>poskytuje</w:t>
      </w:r>
      <w:r w:rsidRPr="00A16B63">
        <w:rPr>
          <w:rFonts w:ascii="Times New Roman" w:hAnsi="Times New Roman"/>
          <w:bCs/>
        </w:rPr>
        <w:t xml:space="preserve"> zamestnancovi príspevok na rekreáciu podľa osobitného predpisu</w:t>
      </w:r>
      <w:r w:rsidR="00A5409A">
        <w:rPr>
          <w:rFonts w:ascii="Times New Roman" w:hAnsi="Times New Roman"/>
          <w:bCs/>
        </w:rPr>
        <w:t>,</w:t>
      </w:r>
      <w:r w:rsidRPr="00A16B63">
        <w:rPr>
          <w:rFonts w:ascii="Times New Roman" w:hAnsi="Times New Roman"/>
          <w:bCs/>
          <w:vertAlign w:val="superscript"/>
        </w:rPr>
        <w:t>8</w:t>
      </w:r>
      <w:r w:rsidR="006E45F8">
        <w:rPr>
          <w:rFonts w:ascii="Times New Roman" w:hAnsi="Times New Roman"/>
          <w:bCs/>
          <w:vertAlign w:val="superscript"/>
        </w:rPr>
        <w:t>9</w:t>
      </w:r>
      <w:r w:rsidRPr="00A16B63">
        <w:rPr>
          <w:rFonts w:ascii="Times New Roman" w:hAnsi="Times New Roman"/>
          <w:bCs/>
          <w:vertAlign w:val="superscript"/>
        </w:rPr>
        <w:t>a)</w:t>
      </w:r>
      <w:r w:rsidRPr="00A16B63">
        <w:rPr>
          <w:rFonts w:ascii="Times New Roman" w:hAnsi="Times New Roman"/>
          <w:bCs/>
        </w:rPr>
        <w:t xml:space="preserve"> pokiaľ </w:t>
      </w:r>
      <w:r w:rsidR="00C46EA9">
        <w:rPr>
          <w:rFonts w:ascii="Times New Roman" w:hAnsi="Times New Roman"/>
          <w:bCs/>
        </w:rPr>
        <w:t xml:space="preserve">daňovníkovi súčasne nebol </w:t>
      </w:r>
      <w:r w:rsidR="005A1C7A">
        <w:rPr>
          <w:rFonts w:ascii="Times New Roman" w:hAnsi="Times New Roman"/>
          <w:bCs/>
        </w:rPr>
        <w:t xml:space="preserve">poskytnutý </w:t>
      </w:r>
      <w:r w:rsidR="00C46EA9">
        <w:rPr>
          <w:rFonts w:ascii="Times New Roman" w:hAnsi="Times New Roman"/>
          <w:bCs/>
        </w:rPr>
        <w:t>príspevok na rekreáciu podľa osobitného predpisu</w:t>
      </w:r>
      <w:r w:rsidR="00A5409A">
        <w:rPr>
          <w:rFonts w:ascii="Times New Roman" w:hAnsi="Times New Roman"/>
          <w:bCs/>
        </w:rPr>
        <w:t>.</w:t>
      </w:r>
      <w:r w:rsidRPr="00C46EA9" w:rsidR="00C46EA9">
        <w:rPr>
          <w:rFonts w:ascii="Times New Roman" w:hAnsi="Times New Roman"/>
          <w:bCs/>
          <w:vertAlign w:val="superscript"/>
        </w:rPr>
        <w:t>8</w:t>
      </w:r>
      <w:r w:rsidR="006E45F8">
        <w:rPr>
          <w:rFonts w:ascii="Times New Roman" w:hAnsi="Times New Roman"/>
          <w:bCs/>
          <w:vertAlign w:val="superscript"/>
        </w:rPr>
        <w:t>9</w:t>
      </w:r>
      <w:r w:rsidRPr="00C46EA9" w:rsidR="00C46EA9">
        <w:rPr>
          <w:rFonts w:ascii="Times New Roman" w:hAnsi="Times New Roman"/>
          <w:bCs/>
          <w:vertAlign w:val="superscript"/>
        </w:rPr>
        <w:t>a)</w:t>
      </w:r>
      <w:r w:rsidRPr="00A16B63">
        <w:rPr>
          <w:rFonts w:ascii="Times New Roman" w:hAnsi="Times New Roman"/>
          <w:bCs/>
        </w:rPr>
        <w:t>“.</w:t>
      </w:r>
    </w:p>
    <w:p w:rsidR="00A16B63" w:rsidRPr="00A16B63" w:rsidP="00E97B4E">
      <w:pPr>
        <w:autoSpaceDE w:val="0"/>
        <w:autoSpaceDN w:val="0"/>
        <w:bidi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</w:rPr>
      </w:pPr>
    </w:p>
    <w:p w:rsidR="00A16B63" w:rsidRPr="00A16B63" w:rsidP="00E97B4E">
      <w:pPr>
        <w:tabs>
          <w:tab w:val="left" w:pos="567"/>
        </w:tabs>
        <w:bidi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>Poznámka pod čiarou k odkazu 8</w:t>
      </w:r>
      <w:r w:rsidR="006E45F8">
        <w:rPr>
          <w:rFonts w:ascii="Times New Roman" w:hAnsi="Times New Roman"/>
          <w:bCs/>
        </w:rPr>
        <w:t>9</w:t>
      </w:r>
      <w:r w:rsidRPr="00A16B63">
        <w:rPr>
          <w:rFonts w:ascii="Times New Roman" w:hAnsi="Times New Roman"/>
          <w:bCs/>
        </w:rPr>
        <w:t>a znie:</w:t>
      </w:r>
    </w:p>
    <w:p w:rsidR="00A16B63" w:rsidP="00E97B4E">
      <w:pPr>
        <w:bidi w:val="0"/>
        <w:spacing w:line="276" w:lineRule="auto"/>
        <w:contextualSpacing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>„</w:t>
      </w:r>
      <w:r w:rsidRPr="003E6B0D">
        <w:rPr>
          <w:rFonts w:ascii="Times New Roman" w:hAnsi="Times New Roman"/>
          <w:bCs/>
          <w:vertAlign w:val="superscript"/>
        </w:rPr>
        <w:t>8</w:t>
      </w:r>
      <w:r w:rsidRPr="003E6B0D" w:rsidR="006E45F8">
        <w:rPr>
          <w:rFonts w:ascii="Times New Roman" w:hAnsi="Times New Roman"/>
          <w:bCs/>
          <w:vertAlign w:val="superscript"/>
        </w:rPr>
        <w:t>9</w:t>
      </w:r>
      <w:r w:rsidRPr="003E6B0D">
        <w:rPr>
          <w:rFonts w:ascii="Times New Roman" w:hAnsi="Times New Roman"/>
          <w:bCs/>
          <w:vertAlign w:val="superscript"/>
        </w:rPr>
        <w:t>a)</w:t>
      </w:r>
      <w:r w:rsidRPr="00A16B63">
        <w:rPr>
          <w:rFonts w:ascii="Times New Roman" w:hAnsi="Times New Roman"/>
          <w:bCs/>
        </w:rPr>
        <w:t xml:space="preserve"> § 152a Zákonníka práce.“.</w:t>
      </w:r>
    </w:p>
    <w:p w:rsidR="00441DD1" w:rsidP="00E97B4E">
      <w:pPr>
        <w:bidi w:val="0"/>
        <w:spacing w:line="276" w:lineRule="auto"/>
        <w:contextualSpacing/>
        <w:rPr>
          <w:rFonts w:ascii="Times New Roman" w:hAnsi="Times New Roman"/>
          <w:bCs/>
        </w:rPr>
      </w:pPr>
    </w:p>
    <w:p w:rsidR="00441DD1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 w:rsidR="00AB0ACE">
        <w:rPr>
          <w:rFonts w:ascii="Times New Roman" w:hAnsi="Times New Roman"/>
          <w:b/>
          <w:bCs/>
        </w:rPr>
        <w:t>4</w:t>
      </w:r>
      <w:r w:rsidRPr="00441DD1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Za § 52zr sa vkladá § 52zs, ktorý vrátane nadpisu znie:</w:t>
      </w:r>
    </w:p>
    <w:p w:rsidR="00441DD1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441DD1" w:rsidRPr="00A16B63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  <w:b/>
        </w:rPr>
      </w:pPr>
      <w:r w:rsidRPr="00F06C20"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 xml:space="preserve">§ </w:t>
      </w:r>
      <w:r w:rsidRPr="00A16B63">
        <w:rPr>
          <w:rFonts w:ascii="Times New Roman" w:hAnsi="Times New Roman"/>
          <w:b/>
        </w:rPr>
        <w:t>52</w:t>
      </w:r>
      <w:r>
        <w:rPr>
          <w:rFonts w:ascii="Times New Roman" w:hAnsi="Times New Roman"/>
          <w:b/>
        </w:rPr>
        <w:t>zs</w:t>
      </w:r>
      <w:r w:rsidRPr="00A16B63">
        <w:rPr>
          <w:rFonts w:ascii="Times New Roman" w:hAnsi="Times New Roman"/>
          <w:b/>
        </w:rPr>
        <w:t xml:space="preserve"> </w:t>
      </w:r>
    </w:p>
    <w:p w:rsidR="00441DD1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Prechodné ustanovenie k úpravám účinným od 1. januára 2019</w:t>
      </w:r>
    </w:p>
    <w:p w:rsidR="00441DD1" w:rsidP="00E97B4E">
      <w:pPr>
        <w:pStyle w:val="ListParagraph0"/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441DD1" w:rsidRPr="00441DD1" w:rsidP="00E97B4E">
      <w:pPr>
        <w:pStyle w:val="ListParagraph0"/>
        <w:bidi w:val="0"/>
        <w:spacing w:line="276" w:lineRule="auto"/>
        <w:ind w:left="0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Ustanovenia </w:t>
      </w:r>
      <w:r w:rsidR="00911EF7">
        <w:rPr>
          <w:rFonts w:ascii="Times New Roman" w:hAnsi="Times New Roman"/>
        </w:rPr>
        <w:t xml:space="preserve">§ 5 ods. 7 písm. b), </w:t>
      </w:r>
      <w:r>
        <w:rPr>
          <w:rFonts w:ascii="Times New Roman" w:hAnsi="Times New Roman"/>
        </w:rPr>
        <w:t xml:space="preserve">§ 19 ods. 2 písm. c) </w:t>
      </w:r>
      <w:r w:rsidR="00A5409A">
        <w:rPr>
          <w:rFonts w:ascii="Times New Roman" w:hAnsi="Times New Roman"/>
        </w:rPr>
        <w:t>piateho bodu</w:t>
      </w:r>
      <w:r>
        <w:rPr>
          <w:rFonts w:ascii="Times New Roman" w:hAnsi="Times New Roman"/>
        </w:rPr>
        <w:t xml:space="preserve"> a § 19 ods. 2 písm. v) v znení účinnom</w:t>
      </w:r>
      <w:r w:rsidR="008237BF">
        <w:rPr>
          <w:rFonts w:ascii="Times New Roman" w:hAnsi="Times New Roman"/>
        </w:rPr>
        <w:t xml:space="preserve"> od 1. januára 2019 sa použijú</w:t>
      </w:r>
      <w:r>
        <w:rPr>
          <w:rFonts w:ascii="Times New Roman" w:hAnsi="Times New Roman"/>
        </w:rPr>
        <w:t xml:space="preserve"> </w:t>
      </w:r>
      <w:r w:rsidR="009F5730">
        <w:rPr>
          <w:rFonts w:ascii="Times New Roman" w:hAnsi="Times New Roman"/>
        </w:rPr>
        <w:t>na rekreácie</w:t>
      </w:r>
      <w:r w:rsidR="008237BF">
        <w:rPr>
          <w:rFonts w:ascii="Times New Roman" w:hAnsi="Times New Roman"/>
        </w:rPr>
        <w:t xml:space="preserve"> zamestnancov podľa osobitného predpisu</w:t>
      </w:r>
      <w:r w:rsidRPr="008237BF" w:rsidR="008237BF">
        <w:rPr>
          <w:rFonts w:ascii="Times New Roman" w:hAnsi="Times New Roman"/>
          <w:vertAlign w:val="superscript"/>
        </w:rPr>
        <w:t>86aaa)</w:t>
      </w:r>
      <w:r w:rsidR="009F5730">
        <w:rPr>
          <w:rFonts w:ascii="Times New Roman" w:hAnsi="Times New Roman"/>
        </w:rPr>
        <w:t>, ktoré začínajú po 31. decembri 2018.“.</w:t>
      </w:r>
    </w:p>
    <w:p w:rsidR="006F42BA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8237BF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</w:t>
      </w:r>
    </w:p>
    <w:p w:rsidR="008237BF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813E97" w:rsidP="00E97B4E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4F16BA" w:rsidR="006005D5">
        <w:rPr>
          <w:rFonts w:ascii="Times New Roman" w:hAnsi="Times New Roman"/>
          <w:lang w:eastAsia="en-US"/>
        </w:rPr>
        <w:t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</w:t>
      </w:r>
      <w:r w:rsidR="006005D5">
        <w:rPr>
          <w:rFonts w:ascii="Times New Roman" w:hAnsi="Times New Roman"/>
          <w:lang w:eastAsia="en-US"/>
        </w:rPr>
        <w:t xml:space="preserve">, </w:t>
      </w:r>
      <w:r w:rsidRPr="004F16BA" w:rsidR="006005D5">
        <w:rPr>
          <w:rFonts w:ascii="Times New Roman" w:hAnsi="Times New Roman"/>
          <w:lang w:eastAsia="en-US"/>
        </w:rPr>
        <w:t>zákona</w:t>
      </w:r>
      <w:r w:rsidR="00F03BEF">
        <w:rPr>
          <w:rFonts w:ascii="Times New Roman" w:hAnsi="Times New Roman"/>
          <w:lang w:eastAsia="en-US"/>
        </w:rPr>
        <w:t xml:space="preserve"> č. 125/2016 Z. z., </w:t>
      </w:r>
      <w:r w:rsidR="006005D5">
        <w:rPr>
          <w:rFonts w:ascii="Times New Roman" w:hAnsi="Times New Roman"/>
          <w:lang w:eastAsia="en-US"/>
        </w:rPr>
        <w:t>zákona č. 69/2018 Z. z.</w:t>
      </w:r>
      <w:r w:rsidR="00F03BEF">
        <w:rPr>
          <w:rFonts w:ascii="Times New Roman" w:hAnsi="Times New Roman"/>
          <w:lang w:eastAsia="en-US"/>
        </w:rPr>
        <w:t xml:space="preserve"> a zákona č. 177/2018</w:t>
      </w:r>
      <w:r w:rsidR="006005D5">
        <w:rPr>
          <w:rFonts w:ascii="Times New Roman" w:hAnsi="Times New Roman"/>
          <w:lang w:eastAsia="en-US"/>
        </w:rPr>
        <w:t xml:space="preserve"> </w:t>
      </w:r>
      <w:r w:rsidR="00F03BEF">
        <w:rPr>
          <w:rFonts w:ascii="Times New Roman" w:hAnsi="Times New Roman"/>
          <w:lang w:eastAsia="en-US"/>
        </w:rPr>
        <w:t xml:space="preserve">sa </w:t>
      </w:r>
      <w:r w:rsidRPr="004F16BA" w:rsidR="006005D5">
        <w:rPr>
          <w:rFonts w:ascii="Times New Roman" w:hAnsi="Times New Roman"/>
          <w:lang w:eastAsia="en-US"/>
        </w:rPr>
        <w:t>dopĺňa takto:</w:t>
      </w:r>
    </w:p>
    <w:p w:rsidR="00813E97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813E97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1</w:t>
      </w:r>
      <w:r w:rsidR="006005D5">
        <w:rPr>
          <w:rFonts w:ascii="Times New Roman" w:hAnsi="Times New Roman"/>
        </w:rPr>
        <w:t>41a</w:t>
      </w:r>
      <w:r>
        <w:rPr>
          <w:rFonts w:ascii="Times New Roman" w:hAnsi="Times New Roman"/>
        </w:rPr>
        <w:t xml:space="preserve"> sa vkladá § 1</w:t>
      </w:r>
      <w:r w:rsidR="006005D5">
        <w:rPr>
          <w:rFonts w:ascii="Times New Roman" w:hAnsi="Times New Roman"/>
        </w:rPr>
        <w:t>41b</w:t>
      </w:r>
      <w:r>
        <w:rPr>
          <w:rFonts w:ascii="Times New Roman" w:hAnsi="Times New Roman"/>
        </w:rPr>
        <w:t>, ktorý vrátane nadpisu znie:</w:t>
      </w:r>
    </w:p>
    <w:p w:rsidR="00813E97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6005D5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  <w:b/>
        </w:rPr>
      </w:pPr>
      <w:r w:rsidRPr="00F06C20" w:rsidR="00813E97"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§ 141b</w:t>
      </w:r>
    </w:p>
    <w:p w:rsidR="00813E97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  <w:b/>
        </w:rPr>
      </w:pPr>
      <w:r w:rsidR="006005D5">
        <w:rPr>
          <w:rFonts w:ascii="Times New Roman" w:hAnsi="Times New Roman"/>
          <w:b/>
        </w:rPr>
        <w:t>Príspevok na rekreáciu</w:t>
      </w:r>
    </w:p>
    <w:p w:rsidR="006005D5" w:rsidP="00E97B4E">
      <w:pPr>
        <w:bidi w:val="0"/>
        <w:spacing w:line="276" w:lineRule="auto"/>
        <w:contextualSpacing/>
        <w:rPr>
          <w:rFonts w:ascii="Times New Roman" w:hAnsi="Times New Roman"/>
        </w:rPr>
      </w:pPr>
    </w:p>
    <w:p w:rsidR="006005D5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Policajtovi patrí príspevok na rekreáciu v rozsahu a za podmienok ustanovených osobitným predpisom</w:t>
      </w:r>
      <w:r w:rsidR="00A5409A">
        <w:rPr>
          <w:rFonts w:ascii="Times New Roman" w:hAnsi="Times New Roman"/>
        </w:rPr>
        <w:t>.</w:t>
      </w:r>
      <w:r w:rsidRPr="00F03BEF">
        <w:rPr>
          <w:rFonts w:ascii="Times New Roman" w:hAnsi="Times New Roman"/>
          <w:vertAlign w:val="superscript"/>
        </w:rPr>
        <w:t>32b)</w:t>
      </w:r>
      <w:r>
        <w:rPr>
          <w:rFonts w:ascii="Times New Roman" w:hAnsi="Times New Roman"/>
        </w:rPr>
        <w:t>“.</w:t>
      </w:r>
    </w:p>
    <w:p w:rsidR="00813E97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F03BEF" w:rsidRPr="00A16B63" w:rsidP="00E97B4E">
      <w:pPr>
        <w:tabs>
          <w:tab w:val="left" w:pos="567"/>
        </w:tabs>
        <w:bidi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 xml:space="preserve">Poznámka pod čiarou k odkazu </w:t>
      </w:r>
      <w:r>
        <w:rPr>
          <w:rFonts w:ascii="Times New Roman" w:hAnsi="Times New Roman"/>
          <w:bCs/>
        </w:rPr>
        <w:t>32b</w:t>
      </w:r>
      <w:r w:rsidRPr="00A16B63">
        <w:rPr>
          <w:rFonts w:ascii="Times New Roman" w:hAnsi="Times New Roman"/>
          <w:bCs/>
        </w:rPr>
        <w:t xml:space="preserve"> znie:</w:t>
      </w:r>
    </w:p>
    <w:p w:rsidR="00813E97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 w:rsidRPr="00A16B63" w:rsidR="00F03BEF">
        <w:rPr>
          <w:rFonts w:ascii="Times New Roman" w:hAnsi="Times New Roman"/>
          <w:bCs/>
        </w:rPr>
        <w:t>„</w:t>
      </w:r>
      <w:r w:rsidRPr="003E6B0D" w:rsidR="00F03BEF">
        <w:rPr>
          <w:rFonts w:ascii="Times New Roman" w:hAnsi="Times New Roman"/>
          <w:bCs/>
          <w:vertAlign w:val="superscript"/>
        </w:rPr>
        <w:t>32b)</w:t>
      </w:r>
      <w:r w:rsidRPr="00A16B63" w:rsidR="00F03BEF">
        <w:rPr>
          <w:rFonts w:ascii="Times New Roman" w:hAnsi="Times New Roman"/>
          <w:bCs/>
        </w:rPr>
        <w:t xml:space="preserve"> § 152a Zákonníka práce.“.</w:t>
      </w:r>
    </w:p>
    <w:p w:rsidR="00E97B4E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F03BEF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</w:t>
      </w:r>
      <w:r w:rsidR="00792D42">
        <w:rPr>
          <w:rFonts w:ascii="Times New Roman" w:hAnsi="Times New Roman"/>
          <w:b/>
        </w:rPr>
        <w:t xml:space="preserve"> V</w:t>
      </w:r>
      <w:r w:rsidR="00E97B4E">
        <w:rPr>
          <w:rFonts w:ascii="Times New Roman" w:hAnsi="Times New Roman"/>
          <w:b/>
        </w:rPr>
        <w:t>I</w:t>
      </w:r>
    </w:p>
    <w:p w:rsidR="00792D42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792D42" w:rsidP="00E97B4E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200/1998 </w:t>
      </w:r>
      <w:r w:rsidR="005A1C7A">
        <w:rPr>
          <w:rFonts w:ascii="Times New Roman" w:hAnsi="Times New Roman"/>
        </w:rPr>
        <w:t>Z</w:t>
      </w:r>
      <w:r>
        <w:rPr>
          <w:rFonts w:ascii="Times New Roman" w:hAnsi="Times New Roman"/>
        </w:rPr>
        <w:t>. z. o štátnej službe colníkov a o zmene a doplnení niektorých ďalších zákonov v znení zákona č. 54/1999 Z. z., zákona č. 337/1999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417/2000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238/2001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575/2001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328/2002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664/2002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251/2003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464/2003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365/2004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382/2004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732/2004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652/2004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258/2005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623/2005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199/2004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č., 537/2007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330/2007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166/2008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465/2008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583/2008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305/2009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465/2009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151/2010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543/2010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48/2011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389/2011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546/2011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69/2012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441/2012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462/2013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307/2014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440/2015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125/2016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257/2017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z., zákona č. 272/2017</w:t>
      </w:r>
      <w:r w:rsidRPr="00792D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Z. z. a zákona č. 177/2018 sa dopĺňa takto:</w:t>
      </w:r>
    </w:p>
    <w:p w:rsidR="00792D42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792D42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133 sa vkladá § 133a, ktorý vrátane nadpisu znie:</w:t>
      </w:r>
    </w:p>
    <w:p w:rsidR="00345407" w:rsidP="00E97B4E">
      <w:pPr>
        <w:pStyle w:val="ListParagraph0"/>
        <w:bidi w:val="0"/>
        <w:spacing w:line="276" w:lineRule="auto"/>
        <w:ind w:left="0"/>
        <w:contextualSpacing/>
        <w:jc w:val="both"/>
        <w:rPr>
          <w:rFonts w:ascii="Times New Roman" w:hAnsi="Times New Roman"/>
        </w:rPr>
      </w:pPr>
    </w:p>
    <w:p w:rsidR="00792D42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  <w:b/>
        </w:rPr>
      </w:pPr>
      <w:r w:rsidRPr="00F06C20">
        <w:rPr>
          <w:rFonts w:ascii="Times New Roman" w:hAnsi="Times New Roman"/>
        </w:rPr>
        <w:t>„</w:t>
      </w:r>
      <w:r>
        <w:rPr>
          <w:rFonts w:ascii="Times New Roman" w:hAnsi="Times New Roman"/>
          <w:b/>
        </w:rPr>
        <w:t>§ 133a</w:t>
      </w:r>
    </w:p>
    <w:p w:rsidR="00792D42" w:rsidP="00E97B4E">
      <w:pPr>
        <w:pStyle w:val="ListParagraph0"/>
        <w:bidi w:val="0"/>
        <w:spacing w:line="276" w:lineRule="auto"/>
        <w:ind w:left="72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Príspevok na rekreáciu</w:t>
      </w:r>
    </w:p>
    <w:p w:rsidR="00792D42" w:rsidP="00E97B4E">
      <w:pPr>
        <w:bidi w:val="0"/>
        <w:spacing w:line="276" w:lineRule="auto"/>
        <w:contextualSpacing/>
        <w:rPr>
          <w:rFonts w:ascii="Times New Roman" w:hAnsi="Times New Roman"/>
        </w:rPr>
      </w:pPr>
    </w:p>
    <w:p w:rsidR="00792D42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Colníkovi patrí príspevok na rekreáciu v rozsahu a za podmienok ustanovených osobitným predpisom</w:t>
      </w:r>
      <w:r w:rsidR="00A5409A">
        <w:rPr>
          <w:rFonts w:ascii="Times New Roman" w:hAnsi="Times New Roman"/>
        </w:rPr>
        <w:t>.</w:t>
      </w:r>
      <w:r w:rsidR="00A5409A">
        <w:rPr>
          <w:rFonts w:ascii="Times New Roman" w:hAnsi="Times New Roman"/>
          <w:vertAlign w:val="superscript"/>
        </w:rPr>
        <w:t>29aa</w:t>
      </w:r>
      <w:r w:rsidRPr="00F03BEF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“.</w:t>
      </w:r>
    </w:p>
    <w:p w:rsidR="00792D42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792D42" w:rsidRPr="00A16B63" w:rsidP="00E97B4E">
      <w:pPr>
        <w:tabs>
          <w:tab w:val="left" w:pos="567"/>
        </w:tabs>
        <w:bidi w:val="0"/>
        <w:spacing w:line="276" w:lineRule="auto"/>
        <w:contextualSpacing/>
        <w:jc w:val="both"/>
        <w:rPr>
          <w:rFonts w:ascii="Times New Roman" w:hAnsi="Times New Roman"/>
          <w:bCs/>
        </w:rPr>
      </w:pPr>
      <w:r w:rsidRPr="00A16B63">
        <w:rPr>
          <w:rFonts w:ascii="Times New Roman" w:hAnsi="Times New Roman"/>
          <w:bCs/>
        </w:rPr>
        <w:t xml:space="preserve">Poznámka pod čiarou k odkazu </w:t>
      </w:r>
      <w:r w:rsidR="00A5409A">
        <w:rPr>
          <w:rFonts w:ascii="Times New Roman" w:hAnsi="Times New Roman"/>
          <w:bCs/>
        </w:rPr>
        <w:t>29aa</w:t>
      </w:r>
      <w:r w:rsidRPr="00A16B63">
        <w:rPr>
          <w:rFonts w:ascii="Times New Roman" w:hAnsi="Times New Roman"/>
          <w:bCs/>
        </w:rPr>
        <w:t xml:space="preserve"> znie:</w:t>
      </w:r>
    </w:p>
    <w:p w:rsidR="00792D42" w:rsidRPr="00792D42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 w:rsidRPr="00A16B63">
        <w:rPr>
          <w:rFonts w:ascii="Times New Roman" w:hAnsi="Times New Roman"/>
          <w:bCs/>
        </w:rPr>
        <w:t>„</w:t>
      </w:r>
      <w:r w:rsidRPr="003E6B0D" w:rsidR="00A5409A">
        <w:rPr>
          <w:rFonts w:ascii="Times New Roman" w:hAnsi="Times New Roman"/>
          <w:bCs/>
          <w:vertAlign w:val="superscript"/>
        </w:rPr>
        <w:t>29aa</w:t>
      </w:r>
      <w:r w:rsidRPr="003E6B0D">
        <w:rPr>
          <w:rFonts w:ascii="Times New Roman" w:hAnsi="Times New Roman"/>
          <w:bCs/>
          <w:vertAlign w:val="superscript"/>
        </w:rPr>
        <w:t>)</w:t>
      </w:r>
      <w:r w:rsidRPr="00A16B63">
        <w:rPr>
          <w:rFonts w:ascii="Times New Roman" w:hAnsi="Times New Roman"/>
          <w:bCs/>
        </w:rPr>
        <w:t xml:space="preserve"> § 152a Zákonníka práce.“.</w:t>
      </w:r>
    </w:p>
    <w:p w:rsidR="00E97B4E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C20DC2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VI</w:t>
      </w:r>
      <w:r w:rsidR="00E97B4E">
        <w:rPr>
          <w:rFonts w:ascii="Times New Roman" w:hAnsi="Times New Roman"/>
          <w:b/>
        </w:rPr>
        <w:t>I</w:t>
      </w:r>
    </w:p>
    <w:p w:rsidR="00C20DC2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C20DC2" w:rsidP="00E97B4E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  <w:lang w:eastAsia="en-US"/>
        </w:rPr>
      </w:pPr>
      <w:r w:rsidRPr="00C20DC2">
        <w:rPr>
          <w:rFonts w:ascii="Times New Roman" w:hAnsi="Times New Roman"/>
          <w:lang w:eastAsia="en-US"/>
        </w:rPr>
        <w:t>Zákon č. </w:t>
      </w:r>
      <w:hyperlink r:id="rId5" w:tooltip="Odkaz na predpis alebo ustanovenie" w:history="1">
        <w:r w:rsidRPr="00C20DC2">
          <w:rPr>
            <w:rFonts w:ascii="Times New Roman" w:hAnsi="Times New Roman"/>
            <w:lang w:eastAsia="en-US"/>
          </w:rPr>
          <w:t>315/2001</w:t>
        </w:r>
      </w:hyperlink>
      <w:r w:rsidRPr="00C20DC2">
        <w:rPr>
          <w:rFonts w:ascii="Times New Roman" w:hAnsi="Times New Roman"/>
          <w:lang w:eastAsia="en-US"/>
        </w:rPr>
        <w:t> Z. z.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</w:t>
      </w:r>
      <w:r>
        <w:rPr>
          <w:rFonts w:ascii="Times New Roman" w:hAnsi="Times New Roman"/>
          <w:lang w:eastAsia="en-US"/>
        </w:rPr>
        <w:t>. z., zákona č. 375/2015 Z. z.,</w:t>
      </w:r>
      <w:r w:rsidRPr="00C20DC2">
        <w:rPr>
          <w:rFonts w:ascii="Times New Roman" w:hAnsi="Times New Roman"/>
          <w:lang w:eastAsia="en-US"/>
        </w:rPr>
        <w:t xml:space="preserve"> zákona č. 125/2016 Z. z.</w:t>
      </w:r>
      <w:r>
        <w:rPr>
          <w:rFonts w:ascii="Times New Roman" w:hAnsi="Times New Roman"/>
          <w:lang w:eastAsia="en-US"/>
        </w:rPr>
        <w:t xml:space="preserve"> a zákona č. 177/2018 Z. z. sa </w:t>
      </w:r>
      <w:r w:rsidRPr="00C20DC2">
        <w:rPr>
          <w:rFonts w:ascii="Times New Roman" w:hAnsi="Times New Roman"/>
          <w:lang w:eastAsia="en-US"/>
        </w:rPr>
        <w:t>dopĺňa takto:</w:t>
      </w:r>
    </w:p>
    <w:p w:rsidR="00C20DC2" w:rsidP="00E97B4E">
      <w:pPr>
        <w:bidi w:val="0"/>
        <w:spacing w:line="276" w:lineRule="auto"/>
        <w:contextualSpacing/>
        <w:jc w:val="both"/>
        <w:rPr>
          <w:rFonts w:ascii="Times New Roman" w:hAnsi="Times New Roman"/>
          <w:lang w:eastAsia="en-US"/>
        </w:rPr>
      </w:pPr>
    </w:p>
    <w:p w:rsidR="00C20DC2" w:rsidRPr="00C20DC2" w:rsidP="00E97B4E">
      <w:pPr>
        <w:bidi w:val="0"/>
        <w:spacing w:line="276" w:lineRule="auto"/>
        <w:contextualSpacing/>
        <w:jc w:val="both"/>
        <w:rPr>
          <w:rFonts w:ascii="Times New Roman" w:hAnsi="Times New Roman"/>
          <w:lang w:eastAsia="en-US"/>
        </w:rPr>
      </w:pPr>
      <w:r w:rsidR="00D97D47">
        <w:rPr>
          <w:rFonts w:ascii="Times New Roman" w:hAnsi="Times New Roman"/>
        </w:rPr>
        <w:t>V § 193 sa za slová „§ 145 až 152 ods. 1 a 2“ vklad</w:t>
      </w:r>
      <w:r w:rsidR="005A1C7A">
        <w:rPr>
          <w:rFonts w:ascii="Times New Roman" w:hAnsi="Times New Roman"/>
        </w:rPr>
        <w:t>á čiarka a</w:t>
      </w:r>
      <w:r w:rsidR="00D97D47">
        <w:rPr>
          <w:rFonts w:ascii="Times New Roman" w:hAnsi="Times New Roman"/>
        </w:rPr>
        <w:t xml:space="preserve"> slová „§ 152a“.</w:t>
      </w:r>
    </w:p>
    <w:p w:rsidR="00E97B4E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792D42" w:rsidRPr="00F03BEF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</w:t>
      </w:r>
      <w:r w:rsidR="00870028">
        <w:rPr>
          <w:rFonts w:ascii="Times New Roman" w:hAnsi="Times New Roman"/>
          <w:b/>
        </w:rPr>
        <w:t xml:space="preserve"> VI</w:t>
      </w:r>
      <w:r w:rsidR="00D97D47">
        <w:rPr>
          <w:rFonts w:ascii="Times New Roman" w:hAnsi="Times New Roman"/>
          <w:b/>
        </w:rPr>
        <w:t>I</w:t>
      </w:r>
      <w:r w:rsidR="00E97B4E">
        <w:rPr>
          <w:rFonts w:ascii="Times New Roman" w:hAnsi="Times New Roman"/>
          <w:b/>
        </w:rPr>
        <w:t>I</w:t>
      </w:r>
    </w:p>
    <w:p w:rsidR="00F03BEF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8237BF" w:rsidP="00E97B4E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281/2015 Z. z. o štátnej službe profesionálnych vojakov a o zmene a doplnení niektorých zákonov v znení zákona č. 378/2015 Z. z., zákona č. 125/2016 Z. z., zákona č. 69/2018 Z. z., zákona č. 107/2018 Z. z. a zákona č. 177/2018 Z. z. sa dopĺňa takto:</w:t>
      </w:r>
    </w:p>
    <w:p w:rsidR="008237BF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8237BF" w:rsidRPr="008237BF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217 ods. 1 sa za slová „§ 152 ods. 4 a 5“ vklad</w:t>
      </w:r>
      <w:r w:rsidR="005A1C7A">
        <w:rPr>
          <w:rFonts w:ascii="Times New Roman" w:hAnsi="Times New Roman"/>
        </w:rPr>
        <w:t xml:space="preserve">á čiarka a </w:t>
      </w:r>
      <w:r>
        <w:rPr>
          <w:rFonts w:ascii="Times New Roman" w:hAnsi="Times New Roman"/>
        </w:rPr>
        <w:t>slová „§ 152a“.</w:t>
      </w:r>
    </w:p>
    <w:p w:rsidR="008237BF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A16B63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="008237BF">
        <w:rPr>
          <w:rFonts w:ascii="Times New Roman" w:hAnsi="Times New Roman"/>
          <w:b/>
        </w:rPr>
        <w:t xml:space="preserve">Čl. </w:t>
      </w:r>
      <w:r w:rsidR="00E97B4E">
        <w:rPr>
          <w:rFonts w:ascii="Times New Roman" w:hAnsi="Times New Roman"/>
          <w:b/>
        </w:rPr>
        <w:t>IX</w:t>
      </w:r>
    </w:p>
    <w:p w:rsidR="006654EC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6654EC" w:rsidRPr="006654EC" w:rsidP="00E97B4E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55/2017 Z. z. o štátnej službe a o zmene a doplnení niektorých zákonov v znení zákona č. 334/2017 Z. z., zákona č. 63/2018 Z. z., zákona č. 112/2018 Z. z. a zákona č 177/2018 Z. z. sa dopĺňa takto:</w:t>
      </w:r>
    </w:p>
    <w:p w:rsidR="006654EC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6654EC" w:rsidRPr="006654EC" w:rsidP="00E97B4E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  <w:r w:rsidRPr="006654EC">
        <w:rPr>
          <w:rFonts w:ascii="Times New Roman" w:hAnsi="Times New Roman"/>
        </w:rPr>
        <w:t>V §</w:t>
      </w:r>
      <w:r>
        <w:rPr>
          <w:rFonts w:ascii="Times New Roman" w:hAnsi="Times New Roman"/>
        </w:rPr>
        <w:t xml:space="preserve"> 171 sa za slová „§ 152 ods. 1, 2, 4 až 8“ vklad</w:t>
      </w:r>
      <w:r w:rsidR="005A1C7A">
        <w:rPr>
          <w:rFonts w:ascii="Times New Roman" w:hAnsi="Times New Roman"/>
        </w:rPr>
        <w:t>á čiarka a</w:t>
      </w:r>
      <w:r>
        <w:rPr>
          <w:rFonts w:ascii="Times New Roman" w:hAnsi="Times New Roman"/>
        </w:rPr>
        <w:t xml:space="preserve"> slová „§ 152a“.</w:t>
      </w:r>
    </w:p>
    <w:p w:rsidR="00345407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A16B63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 w:rsidRPr="006654EC" w:rsidR="006654EC">
        <w:rPr>
          <w:rFonts w:ascii="Times New Roman" w:hAnsi="Times New Roman"/>
          <w:b/>
        </w:rPr>
        <w:t xml:space="preserve">Čl. </w:t>
      </w:r>
      <w:r w:rsidR="00D97D47">
        <w:rPr>
          <w:rFonts w:ascii="Times New Roman" w:hAnsi="Times New Roman"/>
          <w:b/>
        </w:rPr>
        <w:t>X</w:t>
      </w:r>
    </w:p>
    <w:p w:rsidR="006654EC" w:rsidRPr="006654EC" w:rsidP="00E97B4E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</w:p>
    <w:p w:rsidR="00223F81" w:rsidP="00E97B4E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  <w:r w:rsidR="00B4101F">
        <w:rPr>
          <w:rFonts w:ascii="Times New Roman" w:hAnsi="Times New Roman"/>
        </w:rPr>
        <w:t xml:space="preserve">Tento zákon nadobúda účinnosť </w:t>
      </w:r>
      <w:r w:rsidRPr="00734F20" w:rsidR="00F06C20">
        <w:rPr>
          <w:rFonts w:ascii="Times New Roman" w:hAnsi="Times New Roman"/>
        </w:rPr>
        <w:t>1. januára 2019</w:t>
      </w:r>
      <w:r w:rsidRPr="00734F20" w:rsidR="00675E8E">
        <w:rPr>
          <w:rFonts w:ascii="Times New Roman" w:hAnsi="Times New Roman"/>
        </w:rPr>
        <w:t>.</w:t>
      </w:r>
    </w:p>
    <w:sectPr w:rsidSect="00345407">
      <w:footerReference w:type="default" r:id="rId6"/>
      <w:type w:val="continuous"/>
      <w:pgSz w:w="11906" w:h="16838"/>
      <w:pgMar w:top="1276" w:right="1417" w:bottom="1418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0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1368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8274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760D73"/>
    <w:multiLevelType w:val="hybridMultilevel"/>
    <w:tmpl w:val="582858E6"/>
    <w:lvl w:ilvl="0">
      <w:start w:val="1"/>
      <w:numFmt w:val="decimal"/>
      <w:lvlText w:val="(%1)"/>
      <w:lvlJc w:val="left"/>
      <w:pPr>
        <w:ind w:left="780" w:hanging="42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4A2D83"/>
    <w:multiLevelType w:val="hybridMultilevel"/>
    <w:tmpl w:val="E9CE00C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B3759F"/>
    <w:multiLevelType w:val="hybridMultilevel"/>
    <w:tmpl w:val="2320ECBA"/>
    <w:lvl w:ilvl="0">
      <w:start w:val="1"/>
      <w:numFmt w:val="decimal"/>
      <w:lvlText w:val="(%1)"/>
      <w:lvlJc w:val="left"/>
      <w:pPr>
        <w:ind w:left="780" w:hanging="42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C9A556D"/>
    <w:multiLevelType w:val="hybridMultilevel"/>
    <w:tmpl w:val="5DFE5036"/>
    <w:lvl w:ilvl="0">
      <w:start w:val="1"/>
      <w:numFmt w:val="decimal"/>
      <w:lvlText w:val="(%1)"/>
      <w:lvlJc w:val="left"/>
      <w:pPr>
        <w:ind w:left="780" w:hanging="42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15A18"/>
    <w:rsid w:val="00017ECF"/>
    <w:rsid w:val="000242DD"/>
    <w:rsid w:val="0002744C"/>
    <w:rsid w:val="0003327B"/>
    <w:rsid w:val="00050159"/>
    <w:rsid w:val="00072B24"/>
    <w:rsid w:val="00097D9D"/>
    <w:rsid w:val="000A39A0"/>
    <w:rsid w:val="000B1E04"/>
    <w:rsid w:val="000B3E0C"/>
    <w:rsid w:val="000C066C"/>
    <w:rsid w:val="000C0F5B"/>
    <w:rsid w:val="000C11D6"/>
    <w:rsid w:val="000D6E93"/>
    <w:rsid w:val="000E05C2"/>
    <w:rsid w:val="000E0C19"/>
    <w:rsid w:val="000E2389"/>
    <w:rsid w:val="000E3A62"/>
    <w:rsid w:val="000E4231"/>
    <w:rsid w:val="0010376D"/>
    <w:rsid w:val="0010488C"/>
    <w:rsid w:val="00107BD6"/>
    <w:rsid w:val="001102A2"/>
    <w:rsid w:val="0013799B"/>
    <w:rsid w:val="001413AB"/>
    <w:rsid w:val="001528E4"/>
    <w:rsid w:val="00153CC8"/>
    <w:rsid w:val="00161291"/>
    <w:rsid w:val="00171B6F"/>
    <w:rsid w:val="00174637"/>
    <w:rsid w:val="001746A4"/>
    <w:rsid w:val="001747F3"/>
    <w:rsid w:val="00174D48"/>
    <w:rsid w:val="00177F33"/>
    <w:rsid w:val="001930A0"/>
    <w:rsid w:val="00195C3C"/>
    <w:rsid w:val="001B357F"/>
    <w:rsid w:val="001B39DD"/>
    <w:rsid w:val="001B7FEC"/>
    <w:rsid w:val="001C49F7"/>
    <w:rsid w:val="001C4C3D"/>
    <w:rsid w:val="001C6F18"/>
    <w:rsid w:val="001D00FD"/>
    <w:rsid w:val="001D2D9F"/>
    <w:rsid w:val="001D6D8E"/>
    <w:rsid w:val="001D7DFE"/>
    <w:rsid w:val="001E0B9E"/>
    <w:rsid w:val="001E1570"/>
    <w:rsid w:val="001E1F77"/>
    <w:rsid w:val="001E20C0"/>
    <w:rsid w:val="001E512E"/>
    <w:rsid w:val="001F3091"/>
    <w:rsid w:val="00204851"/>
    <w:rsid w:val="00206D97"/>
    <w:rsid w:val="0021368F"/>
    <w:rsid w:val="00223F81"/>
    <w:rsid w:val="00244D16"/>
    <w:rsid w:val="0025324D"/>
    <w:rsid w:val="00257609"/>
    <w:rsid w:val="002708BA"/>
    <w:rsid w:val="00272305"/>
    <w:rsid w:val="00282069"/>
    <w:rsid w:val="0028264C"/>
    <w:rsid w:val="00284D5A"/>
    <w:rsid w:val="002A640E"/>
    <w:rsid w:val="002B1E4B"/>
    <w:rsid w:val="002B27B9"/>
    <w:rsid w:val="002B6F82"/>
    <w:rsid w:val="002C3DDF"/>
    <w:rsid w:val="002C760C"/>
    <w:rsid w:val="002F1A94"/>
    <w:rsid w:val="002F5824"/>
    <w:rsid w:val="002F7036"/>
    <w:rsid w:val="00302500"/>
    <w:rsid w:val="0030411D"/>
    <w:rsid w:val="0031218B"/>
    <w:rsid w:val="003149DF"/>
    <w:rsid w:val="00322BD2"/>
    <w:rsid w:val="0032750C"/>
    <w:rsid w:val="00332487"/>
    <w:rsid w:val="00334BB1"/>
    <w:rsid w:val="003356D0"/>
    <w:rsid w:val="0033615D"/>
    <w:rsid w:val="0033626C"/>
    <w:rsid w:val="00345407"/>
    <w:rsid w:val="0035787A"/>
    <w:rsid w:val="00361ACA"/>
    <w:rsid w:val="003707CE"/>
    <w:rsid w:val="003738EB"/>
    <w:rsid w:val="00376E6E"/>
    <w:rsid w:val="00382101"/>
    <w:rsid w:val="00382545"/>
    <w:rsid w:val="003879A9"/>
    <w:rsid w:val="0039219C"/>
    <w:rsid w:val="00394052"/>
    <w:rsid w:val="003A23E9"/>
    <w:rsid w:val="003A3790"/>
    <w:rsid w:val="003A56D4"/>
    <w:rsid w:val="003A7793"/>
    <w:rsid w:val="003B0218"/>
    <w:rsid w:val="003B18D0"/>
    <w:rsid w:val="003B6939"/>
    <w:rsid w:val="003E60EF"/>
    <w:rsid w:val="003E6B0D"/>
    <w:rsid w:val="003F5985"/>
    <w:rsid w:val="003F61DE"/>
    <w:rsid w:val="00402495"/>
    <w:rsid w:val="00421122"/>
    <w:rsid w:val="00422EA7"/>
    <w:rsid w:val="00425D90"/>
    <w:rsid w:val="00434ED7"/>
    <w:rsid w:val="00440459"/>
    <w:rsid w:val="00441DD1"/>
    <w:rsid w:val="00451D72"/>
    <w:rsid w:val="00452013"/>
    <w:rsid w:val="004572C0"/>
    <w:rsid w:val="004572CA"/>
    <w:rsid w:val="004626A1"/>
    <w:rsid w:val="00463DFE"/>
    <w:rsid w:val="0046454D"/>
    <w:rsid w:val="00465B0A"/>
    <w:rsid w:val="004733B3"/>
    <w:rsid w:val="004C34AB"/>
    <w:rsid w:val="004C4131"/>
    <w:rsid w:val="004D084A"/>
    <w:rsid w:val="004E0A3C"/>
    <w:rsid w:val="004E1646"/>
    <w:rsid w:val="004E5969"/>
    <w:rsid w:val="004F16BA"/>
    <w:rsid w:val="004F333E"/>
    <w:rsid w:val="004F3431"/>
    <w:rsid w:val="004F43AC"/>
    <w:rsid w:val="00501D3A"/>
    <w:rsid w:val="00502AF4"/>
    <w:rsid w:val="00502CC4"/>
    <w:rsid w:val="00514004"/>
    <w:rsid w:val="00515B3B"/>
    <w:rsid w:val="00531AEB"/>
    <w:rsid w:val="00532ABB"/>
    <w:rsid w:val="00535336"/>
    <w:rsid w:val="00536B07"/>
    <w:rsid w:val="00544C32"/>
    <w:rsid w:val="005515C6"/>
    <w:rsid w:val="00556416"/>
    <w:rsid w:val="00560F42"/>
    <w:rsid w:val="00584B3E"/>
    <w:rsid w:val="00591487"/>
    <w:rsid w:val="005952E5"/>
    <w:rsid w:val="005A08E7"/>
    <w:rsid w:val="005A189A"/>
    <w:rsid w:val="005A1C7A"/>
    <w:rsid w:val="005B00AA"/>
    <w:rsid w:val="005B3560"/>
    <w:rsid w:val="005C1F3F"/>
    <w:rsid w:val="005D118D"/>
    <w:rsid w:val="005D7F39"/>
    <w:rsid w:val="005E634B"/>
    <w:rsid w:val="005E76F1"/>
    <w:rsid w:val="005F36B4"/>
    <w:rsid w:val="006005D5"/>
    <w:rsid w:val="00601431"/>
    <w:rsid w:val="00601AB7"/>
    <w:rsid w:val="00604E1C"/>
    <w:rsid w:val="006078FF"/>
    <w:rsid w:val="006229DA"/>
    <w:rsid w:val="006249AD"/>
    <w:rsid w:val="006305B2"/>
    <w:rsid w:val="00632F87"/>
    <w:rsid w:val="0063324B"/>
    <w:rsid w:val="00633B79"/>
    <w:rsid w:val="00635FE4"/>
    <w:rsid w:val="00637C74"/>
    <w:rsid w:val="00641EDB"/>
    <w:rsid w:val="0064352F"/>
    <w:rsid w:val="00653DF4"/>
    <w:rsid w:val="006618A7"/>
    <w:rsid w:val="006654EC"/>
    <w:rsid w:val="0067473E"/>
    <w:rsid w:val="00675E8E"/>
    <w:rsid w:val="006A2E7D"/>
    <w:rsid w:val="006B4E97"/>
    <w:rsid w:val="006D0CBF"/>
    <w:rsid w:val="006D1656"/>
    <w:rsid w:val="006E45F8"/>
    <w:rsid w:val="006F42BA"/>
    <w:rsid w:val="006F487A"/>
    <w:rsid w:val="00704016"/>
    <w:rsid w:val="00704355"/>
    <w:rsid w:val="007066A3"/>
    <w:rsid w:val="00713113"/>
    <w:rsid w:val="0072736F"/>
    <w:rsid w:val="00731A90"/>
    <w:rsid w:val="0073247C"/>
    <w:rsid w:val="00733517"/>
    <w:rsid w:val="00734F20"/>
    <w:rsid w:val="00735686"/>
    <w:rsid w:val="00736076"/>
    <w:rsid w:val="007370C7"/>
    <w:rsid w:val="007512DC"/>
    <w:rsid w:val="00752892"/>
    <w:rsid w:val="00761F24"/>
    <w:rsid w:val="0077001C"/>
    <w:rsid w:val="00771511"/>
    <w:rsid w:val="00780E14"/>
    <w:rsid w:val="007811B9"/>
    <w:rsid w:val="007819BF"/>
    <w:rsid w:val="00792D42"/>
    <w:rsid w:val="00795CDC"/>
    <w:rsid w:val="007A5C39"/>
    <w:rsid w:val="007B1205"/>
    <w:rsid w:val="007B12D9"/>
    <w:rsid w:val="007C313A"/>
    <w:rsid w:val="007F44D9"/>
    <w:rsid w:val="00804477"/>
    <w:rsid w:val="008134C3"/>
    <w:rsid w:val="00813E97"/>
    <w:rsid w:val="00815D53"/>
    <w:rsid w:val="008202B4"/>
    <w:rsid w:val="00821F2D"/>
    <w:rsid w:val="008237BF"/>
    <w:rsid w:val="0082721E"/>
    <w:rsid w:val="00827A42"/>
    <w:rsid w:val="008321A4"/>
    <w:rsid w:val="0084334D"/>
    <w:rsid w:val="00845736"/>
    <w:rsid w:val="008509CB"/>
    <w:rsid w:val="0086237D"/>
    <w:rsid w:val="0086697F"/>
    <w:rsid w:val="00870028"/>
    <w:rsid w:val="0087334F"/>
    <w:rsid w:val="00876096"/>
    <w:rsid w:val="008830E4"/>
    <w:rsid w:val="008845B4"/>
    <w:rsid w:val="00893864"/>
    <w:rsid w:val="008B2753"/>
    <w:rsid w:val="008B3F88"/>
    <w:rsid w:val="008D1D09"/>
    <w:rsid w:val="008D56DC"/>
    <w:rsid w:val="008D6060"/>
    <w:rsid w:val="008E02C3"/>
    <w:rsid w:val="008E29BD"/>
    <w:rsid w:val="008E73FD"/>
    <w:rsid w:val="008F0428"/>
    <w:rsid w:val="0091101E"/>
    <w:rsid w:val="00911EF7"/>
    <w:rsid w:val="00914917"/>
    <w:rsid w:val="00917848"/>
    <w:rsid w:val="00925897"/>
    <w:rsid w:val="00925ACD"/>
    <w:rsid w:val="009322D1"/>
    <w:rsid w:val="00932CED"/>
    <w:rsid w:val="009375D3"/>
    <w:rsid w:val="00937AFC"/>
    <w:rsid w:val="00937E68"/>
    <w:rsid w:val="00944C11"/>
    <w:rsid w:val="0095221D"/>
    <w:rsid w:val="009526CF"/>
    <w:rsid w:val="00966E88"/>
    <w:rsid w:val="00971342"/>
    <w:rsid w:val="009874E5"/>
    <w:rsid w:val="00992B5D"/>
    <w:rsid w:val="009B268A"/>
    <w:rsid w:val="009B4837"/>
    <w:rsid w:val="009B5319"/>
    <w:rsid w:val="009B7793"/>
    <w:rsid w:val="009E1B58"/>
    <w:rsid w:val="009E2601"/>
    <w:rsid w:val="009F5730"/>
    <w:rsid w:val="009F74D5"/>
    <w:rsid w:val="00A1133B"/>
    <w:rsid w:val="00A13427"/>
    <w:rsid w:val="00A16B63"/>
    <w:rsid w:val="00A2005B"/>
    <w:rsid w:val="00A20E8D"/>
    <w:rsid w:val="00A228F6"/>
    <w:rsid w:val="00A25349"/>
    <w:rsid w:val="00A5409A"/>
    <w:rsid w:val="00A62FEA"/>
    <w:rsid w:val="00A633AA"/>
    <w:rsid w:val="00A65256"/>
    <w:rsid w:val="00A710A4"/>
    <w:rsid w:val="00A7722C"/>
    <w:rsid w:val="00A92A7C"/>
    <w:rsid w:val="00AA510A"/>
    <w:rsid w:val="00AB0751"/>
    <w:rsid w:val="00AB0ACE"/>
    <w:rsid w:val="00AB17B2"/>
    <w:rsid w:val="00AB3060"/>
    <w:rsid w:val="00AD156C"/>
    <w:rsid w:val="00AE160D"/>
    <w:rsid w:val="00AE344C"/>
    <w:rsid w:val="00AE5EC3"/>
    <w:rsid w:val="00AF3891"/>
    <w:rsid w:val="00B01B6B"/>
    <w:rsid w:val="00B12C46"/>
    <w:rsid w:val="00B16597"/>
    <w:rsid w:val="00B22B0C"/>
    <w:rsid w:val="00B25A3C"/>
    <w:rsid w:val="00B31CF4"/>
    <w:rsid w:val="00B3281A"/>
    <w:rsid w:val="00B37DA7"/>
    <w:rsid w:val="00B4101F"/>
    <w:rsid w:val="00B445B2"/>
    <w:rsid w:val="00B45510"/>
    <w:rsid w:val="00B47F3F"/>
    <w:rsid w:val="00B61F61"/>
    <w:rsid w:val="00B66914"/>
    <w:rsid w:val="00B709FB"/>
    <w:rsid w:val="00B73BE5"/>
    <w:rsid w:val="00B749D6"/>
    <w:rsid w:val="00B7635E"/>
    <w:rsid w:val="00B80A26"/>
    <w:rsid w:val="00B95024"/>
    <w:rsid w:val="00BB0D28"/>
    <w:rsid w:val="00BB5497"/>
    <w:rsid w:val="00BC083E"/>
    <w:rsid w:val="00BC44F3"/>
    <w:rsid w:val="00BD26C0"/>
    <w:rsid w:val="00BE0F27"/>
    <w:rsid w:val="00BF38CD"/>
    <w:rsid w:val="00BF78F1"/>
    <w:rsid w:val="00C0770B"/>
    <w:rsid w:val="00C16FE5"/>
    <w:rsid w:val="00C20DC2"/>
    <w:rsid w:val="00C24E49"/>
    <w:rsid w:val="00C3166B"/>
    <w:rsid w:val="00C409FB"/>
    <w:rsid w:val="00C46EA9"/>
    <w:rsid w:val="00C50F71"/>
    <w:rsid w:val="00C55E5B"/>
    <w:rsid w:val="00C65769"/>
    <w:rsid w:val="00C806A3"/>
    <w:rsid w:val="00C87070"/>
    <w:rsid w:val="00C900AE"/>
    <w:rsid w:val="00C90166"/>
    <w:rsid w:val="00C93771"/>
    <w:rsid w:val="00C9465D"/>
    <w:rsid w:val="00CA0126"/>
    <w:rsid w:val="00CB752C"/>
    <w:rsid w:val="00CC59DE"/>
    <w:rsid w:val="00CC5D64"/>
    <w:rsid w:val="00CE179B"/>
    <w:rsid w:val="00CF2D28"/>
    <w:rsid w:val="00D03A8B"/>
    <w:rsid w:val="00D24B86"/>
    <w:rsid w:val="00D27840"/>
    <w:rsid w:val="00D37C1B"/>
    <w:rsid w:val="00D44256"/>
    <w:rsid w:val="00D4445F"/>
    <w:rsid w:val="00D61D72"/>
    <w:rsid w:val="00D64B63"/>
    <w:rsid w:val="00D74EE2"/>
    <w:rsid w:val="00D76639"/>
    <w:rsid w:val="00D8401D"/>
    <w:rsid w:val="00D855ED"/>
    <w:rsid w:val="00D8564C"/>
    <w:rsid w:val="00D879D1"/>
    <w:rsid w:val="00D9767E"/>
    <w:rsid w:val="00D97D47"/>
    <w:rsid w:val="00DB35A8"/>
    <w:rsid w:val="00DB6F79"/>
    <w:rsid w:val="00E017CD"/>
    <w:rsid w:val="00E0274C"/>
    <w:rsid w:val="00E04A0D"/>
    <w:rsid w:val="00E10CA4"/>
    <w:rsid w:val="00E375E9"/>
    <w:rsid w:val="00E50534"/>
    <w:rsid w:val="00E50C78"/>
    <w:rsid w:val="00E5677A"/>
    <w:rsid w:val="00E629FA"/>
    <w:rsid w:val="00E66F57"/>
    <w:rsid w:val="00E70252"/>
    <w:rsid w:val="00E7037B"/>
    <w:rsid w:val="00E74A58"/>
    <w:rsid w:val="00E82744"/>
    <w:rsid w:val="00E9152F"/>
    <w:rsid w:val="00E926C5"/>
    <w:rsid w:val="00E97946"/>
    <w:rsid w:val="00E97B16"/>
    <w:rsid w:val="00E97B4E"/>
    <w:rsid w:val="00EB1B2C"/>
    <w:rsid w:val="00EC6B40"/>
    <w:rsid w:val="00ED63BE"/>
    <w:rsid w:val="00EE18C5"/>
    <w:rsid w:val="00EF42B6"/>
    <w:rsid w:val="00F0175C"/>
    <w:rsid w:val="00F03BEF"/>
    <w:rsid w:val="00F06C20"/>
    <w:rsid w:val="00F118BB"/>
    <w:rsid w:val="00F12022"/>
    <w:rsid w:val="00F231CA"/>
    <w:rsid w:val="00F272A0"/>
    <w:rsid w:val="00F516DD"/>
    <w:rsid w:val="00F671D2"/>
    <w:rsid w:val="00F76723"/>
    <w:rsid w:val="00F801D0"/>
    <w:rsid w:val="00F8447B"/>
    <w:rsid w:val="00F91342"/>
    <w:rsid w:val="00FB29FB"/>
    <w:rsid w:val="00FB3598"/>
    <w:rsid w:val="00FB5617"/>
    <w:rsid w:val="00FC14AE"/>
    <w:rsid w:val="00FC5A1D"/>
    <w:rsid w:val="00FC7C43"/>
    <w:rsid w:val="00FD0B43"/>
    <w:rsid w:val="00FD243C"/>
    <w:rsid w:val="00FD5287"/>
    <w:rsid w:val="00FD6DAC"/>
    <w:rsid w:val="00FE0F18"/>
    <w:rsid w:val="00FF0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516DD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16B63"/>
    <w:pPr>
      <w:keepNext/>
      <w:keepLines/>
      <w:spacing w:before="40" w:line="276" w:lineRule="auto"/>
      <w:jc w:val="left"/>
      <w:outlineLvl w:val="2"/>
    </w:pPr>
    <w:rPr>
      <w:rFonts w:ascii="Calibri Light" w:hAnsi="Calibri Light"/>
      <w:color w:val="1F4D7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516DD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16B63"/>
    <w:rPr>
      <w:rFonts w:ascii="Calibri Light" w:hAnsi="Calibri Light" w:cs="Times New Roman"/>
      <w:color w:val="1F4D78"/>
      <w:sz w:val="24"/>
      <w:szCs w:val="24"/>
      <w:rtl w:val="0"/>
      <w:cs w:val="0"/>
      <w:lang w:val="x-none" w:eastAsia="en-US"/>
    </w:r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aliases w:val="Conclusion de partie,List Paragraph (Czech Tourism),Nad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E66F57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4572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572C0"/>
    <w:rPr>
      <w:rFonts w:ascii="Segoe UI" w:hAnsi="Segoe UI" w:cs="Segoe UI"/>
      <w:sz w:val="18"/>
      <w:szCs w:val="18"/>
      <w:rtl w:val="0"/>
      <w:cs w:val="0"/>
    </w:rPr>
  </w:style>
  <w:style w:type="character" w:customStyle="1" w:styleId="OdsekzoznamuChar">
    <w:name w:val="Odsek zoznamu Char"/>
    <w:aliases w:val="Conclusion de partie Char,List Paragraph (Czech Tourism) Char,Nad Char,Odsek zoznamu2 Char,Odstavec cíl se seznamem Char,Odstavec se seznamem5 Char,Odstavec_muj Char,Seznam - odrážky Char,_Odstavec se seznamem Char,body Char"/>
    <w:link w:val="ListParagraph0"/>
    <w:uiPriority w:val="34"/>
    <w:locked/>
    <w:rsid w:val="00F06C20"/>
    <w:rPr>
      <w:sz w:val="24"/>
    </w:rPr>
  </w:style>
  <w:style w:type="paragraph" w:styleId="FootnoteText">
    <w:name w:val="footnote text"/>
    <w:aliases w:val="Footnote Text Char1 Char,Footnote Text Char2,Footnote Text Char2 Char Char,Schriftart: 10 pt,Schriftart: 8 pt,Schriftart: 9 pt,Text poznámky pod čiarou 007,Text poznámky pod čiarou 007 Char,_Poznámka pod čiarou"/>
    <w:basedOn w:val="Normal"/>
    <w:link w:val="TextpoznmkypodiarouChar"/>
    <w:uiPriority w:val="99"/>
    <w:rsid w:val="00F06C20"/>
    <w:pPr>
      <w:spacing w:before="200"/>
      <w:jc w:val="both"/>
    </w:pPr>
    <w:rPr>
      <w:rFonts w:ascii="Calibri" w:hAnsi="Calibri"/>
      <w:sz w:val="28"/>
      <w:szCs w:val="20"/>
      <w:lang w:eastAsia="en-US"/>
    </w:rPr>
  </w:style>
  <w:style w:type="character" w:customStyle="1" w:styleId="TextpoznmkypodiarouChar">
    <w:name w:val="Text poznámky pod čiarou Char"/>
    <w:aliases w:val="Footnote Text Char1 Char Char,Footnote Text Char2 Char,Schriftart: 10 pt Char,Schriftart: 8 pt Char,Schriftart: 9 pt Char,Text poznámky pod čiarou 007 Char Char,Text poznámky pod čiarou 007 Char1,_Poznámka pod čiarou Char"/>
    <w:basedOn w:val="DefaultParagraphFont"/>
    <w:link w:val="FootnoteText"/>
    <w:uiPriority w:val="99"/>
    <w:locked/>
    <w:rsid w:val="00F06C20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F06C20"/>
    <w:rPr>
      <w:rFonts w:cs="Times New Roman"/>
      <w:vertAlign w:val="superscript"/>
      <w:rtl w:val="0"/>
      <w:cs w:val="0"/>
    </w:rPr>
  </w:style>
  <w:style w:type="character" w:customStyle="1" w:styleId="st">
    <w:name w:val="st"/>
    <w:rsid w:val="00F06C20"/>
  </w:style>
  <w:style w:type="paragraph" w:styleId="BodyText">
    <w:name w:val="Body Text"/>
    <w:basedOn w:val="Normal"/>
    <w:link w:val="ZkladntextChar"/>
    <w:uiPriority w:val="99"/>
    <w:rsid w:val="004D084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D084A"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2B1E4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2B1E4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B1E4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2B1E4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2B1E4B"/>
    <w:rPr>
      <w:b/>
      <w:bCs/>
    </w:rPr>
  </w:style>
  <w:style w:type="paragraph" w:styleId="Header">
    <w:name w:val="header"/>
    <w:basedOn w:val="Normal"/>
    <w:link w:val="HlavikaChar"/>
    <w:uiPriority w:val="99"/>
    <w:rsid w:val="0028206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82069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28206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82069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C20DC2"/>
    <w:rPr>
      <w:rFonts w:cs="Times New Roman"/>
      <w:color w:val="0000FF"/>
      <w:u w:val="single"/>
      <w:rtl w:val="0"/>
      <w:cs w:val="0"/>
    </w:rPr>
  </w:style>
  <w:style w:type="paragraph" w:styleId="Revision">
    <w:name w:val="Revision"/>
    <w:hidden/>
    <w:uiPriority w:val="99"/>
    <w:semiHidden/>
    <w:rsid w:val="002576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1/315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7C42-7C70-4DAE-B1F1-AD81DA33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6</Pages>
  <Words>2140</Words>
  <Characters>12202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Bernaťák, Tibor (asistent)</cp:lastModifiedBy>
  <cp:revision>15</cp:revision>
  <cp:lastPrinted>2018-08-24T11:21:00Z</cp:lastPrinted>
  <dcterms:created xsi:type="dcterms:W3CDTF">2018-08-24T10:00:00Z</dcterms:created>
  <dcterms:modified xsi:type="dcterms:W3CDTF">2018-08-24T15:05:00Z</dcterms:modified>
</cp:coreProperties>
</file>