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7F43" w:rsidRPr="0017622F" w:rsidP="005F7F43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5F7F43" w:rsidRPr="0017622F" w:rsidP="005F7F43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5F7F43" w:rsidRPr="0017622F" w:rsidP="005F7F43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5F7F43" w:rsidRPr="0017622F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 a Jozef Mihál</w:t>
      </w:r>
    </w:p>
    <w:p w:rsidR="005F7F43" w:rsidRPr="0017622F" w:rsidP="005F7F43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5F7F43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6638B1">
        <w:rPr>
          <w:rFonts w:eastAsia="Times New Roman" w:cs="Times New Roman"/>
          <w:lang w:eastAsia="en-US" w:bidi="ar-SA"/>
        </w:rPr>
        <w:t>ktorým sa mení a dopĺňa zákon č. 523/2004 Z. z. o rozpočtových pravidlách verejnej správy a o zmene a doplnení niektorých zákonov v znení neskorších predpisov</w:t>
      </w:r>
    </w:p>
    <w:p w:rsidR="005F7F43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F7F43" w:rsidRPr="008D47D8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5F7F43" w:rsidRPr="00977F5D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F7F43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5F7F43" w:rsidRPr="00977F5D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F7F43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5F7F43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F7F43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5F7F43" w:rsidP="005F7F43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5F7F43" w:rsidP="005F7F43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</w:t>
      </w:r>
      <w:r w:rsidRPr="008D47D8">
        <w:rPr>
          <w:rFonts w:cs="Times New Roman" w:hint="default"/>
        </w:rPr>
        <w:t>k bodom 4. a 5.</w:t>
      </w:r>
    </w:p>
    <w:p w:rsidR="005F7F43" w:rsidP="005F7F43">
      <w:pPr>
        <w:bidi w:val="0"/>
        <w:jc w:val="both"/>
        <w:rPr>
          <w:rFonts w:cs="Times New Roman"/>
        </w:rPr>
      </w:pPr>
    </w:p>
    <w:p w:rsidR="005F7F43" w:rsidRPr="00BF6BBA" w:rsidP="005F7F43">
      <w:pPr>
        <w:bidi w:val="0"/>
      </w:pPr>
    </w:p>
    <w:p w:rsidR="005F7F43">
      <w:pPr>
        <w:widowControl/>
        <w:suppressAutoHyphens w:val="0"/>
        <w:bidi w:val="0"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0C4783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6638B1" w:rsidR="006638B1">
        <w:rPr>
          <w:rFonts w:eastAsiaTheme="minorEastAsia" w:cs="Times New Roman" w:hint="default"/>
          <w:lang w:eastAsia="en-US" w:bidi="ar-SA"/>
        </w:rPr>
        <w:t>ktorý</w:t>
      </w:r>
      <w:r w:rsidRPr="006638B1" w:rsidR="006638B1">
        <w:rPr>
          <w:rFonts w:eastAsiaTheme="minorEastAsia" w:cs="Times New Roman" w:hint="default"/>
          <w:lang w:eastAsia="en-US" w:bidi="ar-SA"/>
        </w:rPr>
        <w:t>m sa mení</w:t>
      </w:r>
      <w:r w:rsidRPr="006638B1" w:rsidR="006638B1">
        <w:rPr>
          <w:rFonts w:eastAsiaTheme="minorEastAsia" w:cs="Times New Roman" w:hint="default"/>
          <w:lang w:eastAsia="en-US" w:bidi="ar-SA"/>
        </w:rPr>
        <w:t xml:space="preserve"> a dopĺň</w:t>
      </w:r>
      <w:r w:rsidRPr="006638B1" w:rsidR="006638B1">
        <w:rPr>
          <w:rFonts w:eastAsiaTheme="minorEastAsia" w:cs="Times New Roman" w:hint="default"/>
          <w:lang w:eastAsia="en-US" w:bidi="ar-SA"/>
        </w:rPr>
        <w:t>a zá</w:t>
      </w:r>
      <w:r w:rsidRPr="006638B1" w:rsidR="006638B1">
        <w:rPr>
          <w:rFonts w:eastAsiaTheme="minorEastAsia" w:cs="Times New Roman" w:hint="default"/>
          <w:lang w:eastAsia="en-US" w:bidi="ar-SA"/>
        </w:rPr>
        <w:t>kon č</w:t>
      </w:r>
      <w:r w:rsidRPr="006638B1" w:rsidR="006638B1">
        <w:rPr>
          <w:rFonts w:eastAsiaTheme="minorEastAsia" w:cs="Times New Roman" w:hint="default"/>
          <w:lang w:eastAsia="en-US" w:bidi="ar-SA"/>
        </w:rPr>
        <w:t>. 523/2004 Z. z. o rozpoč</w:t>
      </w:r>
      <w:r w:rsidRPr="006638B1" w:rsidR="006638B1">
        <w:rPr>
          <w:rFonts w:eastAsiaTheme="minorEastAsia" w:cs="Times New Roman" w:hint="default"/>
          <w:lang w:eastAsia="en-US" w:bidi="ar-SA"/>
        </w:rPr>
        <w:t>tový</w:t>
      </w:r>
      <w:r w:rsidRPr="006638B1" w:rsidR="006638B1">
        <w:rPr>
          <w:rFonts w:eastAsiaTheme="minorEastAsia" w:cs="Times New Roman" w:hint="default"/>
          <w:lang w:eastAsia="en-US" w:bidi="ar-SA"/>
        </w:rPr>
        <w:t>ch pravidlá</w:t>
      </w:r>
      <w:r w:rsidRPr="006638B1" w:rsidR="006638B1">
        <w:rPr>
          <w:rFonts w:eastAsiaTheme="minorEastAsia" w:cs="Times New Roman" w:hint="default"/>
          <w:lang w:eastAsia="en-US" w:bidi="ar-SA"/>
        </w:rPr>
        <w:t>ch verejnej sprá</w:t>
      </w:r>
      <w:r w:rsidRPr="006638B1" w:rsidR="006638B1">
        <w:rPr>
          <w:rFonts w:eastAsiaTheme="minorEastAsia" w:cs="Times New Roman" w:hint="default"/>
          <w:lang w:eastAsia="en-US" w:bidi="ar-SA"/>
        </w:rPr>
        <w:t>vy a o zmene a doplnení</w:t>
      </w:r>
      <w:r w:rsidRPr="006638B1" w:rsidR="006638B1">
        <w:rPr>
          <w:rFonts w:eastAsiaTheme="minorEastAsia" w:cs="Times New Roman" w:hint="default"/>
          <w:lang w:eastAsia="en-US" w:bidi="ar-SA"/>
        </w:rPr>
        <w:t xml:space="preserve"> niektorý</w:t>
      </w:r>
      <w:r w:rsidRPr="006638B1" w:rsidR="006638B1">
        <w:rPr>
          <w:rFonts w:eastAsiaTheme="minorEastAsia" w:cs="Times New Roman" w:hint="default"/>
          <w:lang w:eastAsia="en-US" w:bidi="ar-SA"/>
        </w:rPr>
        <w:t>ch zá</w:t>
      </w:r>
      <w:r w:rsidRPr="006638B1" w:rsidR="006638B1">
        <w:rPr>
          <w:rFonts w:eastAsiaTheme="minorEastAsia" w:cs="Times New Roman" w:hint="default"/>
          <w:lang w:eastAsia="en-US" w:bidi="ar-SA"/>
        </w:rPr>
        <w:t>konov v znení</w:t>
      </w:r>
      <w:r w:rsidRPr="006638B1" w:rsidR="006638B1">
        <w:rPr>
          <w:rFonts w:eastAsiaTheme="minorEastAsia" w:cs="Times New Roman" w:hint="default"/>
          <w:lang w:eastAsia="en-US" w:bidi="ar-SA"/>
        </w:rPr>
        <w:t xml:space="preserve"> neskorší</w:t>
      </w:r>
      <w:r w:rsidRPr="006638B1" w:rsidR="006638B1">
        <w:rPr>
          <w:rFonts w:eastAsiaTheme="minorEastAsia" w:cs="Times New Roman" w:hint="default"/>
          <w:lang w:eastAsia="en-US" w:bidi="ar-SA"/>
        </w:rPr>
        <w:t>ch predpisov</w:t>
      </w:r>
    </w:p>
    <w:p w:rsidR="00BC6676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9446B5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AE0C40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5F46CA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C7AF3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B828EE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Na naplnenie cieľ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vrhu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sa nevyž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aduje vynalož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dodatoč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prostriedkov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. Vš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etky prí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jmy z 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pokú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t, o 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ktorý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to ustanovujú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osobitné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kony, ostá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vajú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naď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alej prí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jmom 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tneho rozpoč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tu. Na druhej strane mož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 predpokladať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, ž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pokiaľ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odpadne motivá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cia pre ukladanie vysoký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pokú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t, prí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sluš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sprá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orgá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ny budú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využí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vať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zá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vymedzenú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diskré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ciu smerom k 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miernejší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postihom obč</w:t>
      </w:r>
      <w:r w:rsidR="001126F7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anov.</w:t>
      </w:r>
    </w:p>
    <w:p w:rsidR="00660EC6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9446B5" w:rsidRPr="005F7F43" w:rsidP="005F7F43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ˇ¦||||||||ˇ¦||||||ˇ¦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4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691E4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009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C4783"/>
    <w:rsid w:val="000C77FF"/>
    <w:rsid w:val="000C7AF3"/>
    <w:rsid w:val="000E2096"/>
    <w:rsid w:val="000E5723"/>
    <w:rsid w:val="0011019F"/>
    <w:rsid w:val="00111AE5"/>
    <w:rsid w:val="001126F7"/>
    <w:rsid w:val="001128E2"/>
    <w:rsid w:val="0011374E"/>
    <w:rsid w:val="00117E4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1D4"/>
    <w:rsid w:val="0028495A"/>
    <w:rsid w:val="002877D7"/>
    <w:rsid w:val="00291A60"/>
    <w:rsid w:val="00295F61"/>
    <w:rsid w:val="002A00BF"/>
    <w:rsid w:val="002A3607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4463"/>
    <w:rsid w:val="005F46CA"/>
    <w:rsid w:val="005F5FD5"/>
    <w:rsid w:val="005F7F43"/>
    <w:rsid w:val="006013BC"/>
    <w:rsid w:val="00604C09"/>
    <w:rsid w:val="0060672C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14C4D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866"/>
    <w:rsid w:val="007C49E3"/>
    <w:rsid w:val="007D14D5"/>
    <w:rsid w:val="007D6F6A"/>
    <w:rsid w:val="007E17C6"/>
    <w:rsid w:val="007E3D61"/>
    <w:rsid w:val="007E4594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31C9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4B47"/>
    <w:rsid w:val="00CC5B65"/>
    <w:rsid w:val="00CC691F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636F4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7C17B-761F-44DD-A0C8-8DDEF7E1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286</Words>
  <Characters>1631</Characters>
  <Application>Microsoft Office Word</Application>
  <DocSecurity>0</DocSecurity>
  <Lines>0</Lines>
  <Paragraphs>0</Paragraphs>
  <ScaleCrop>false</ScaleCrop>
  <Company>HP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2018-08-24T12:22:00Z</cp:lastPrinted>
  <dcterms:created xsi:type="dcterms:W3CDTF">2018-08-24T14:46:00Z</dcterms:created>
  <dcterms:modified xsi:type="dcterms:W3CDTF">2018-08-24T14:46:00Z</dcterms:modified>
</cp:coreProperties>
</file>