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062D" w:rsidRPr="0017622F" w:rsidP="005A062D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č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iteľ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nosti</w:t>
      </w:r>
    </w:p>
    <w:p w:rsidR="005A062D" w:rsidRPr="0017622F" w:rsidP="005A062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5A062D" w:rsidRPr="0017622F" w:rsidP="005A062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5A062D" w:rsidRPr="0017622F" w:rsidP="005A062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 w:hint="default"/>
          <w:b/>
          <w:lang w:eastAsia="en-US" w:bidi="ar-SA"/>
        </w:rPr>
        <w:t>1. Predkladateľ</w:t>
      </w:r>
      <w:r w:rsidRPr="0017622F">
        <w:rPr>
          <w:rFonts w:cs="Times New Roman" w:hint="default"/>
          <w:b/>
          <w:lang w:eastAsia="en-US" w:bidi="ar-SA"/>
        </w:rPr>
        <w:t xml:space="preserve"> prá</w:t>
      </w:r>
      <w:r w:rsidRPr="0017622F">
        <w:rPr>
          <w:rFonts w:cs="Times New Roman" w:hint="default"/>
          <w:b/>
          <w:lang w:eastAsia="en-US" w:bidi="ar-SA"/>
        </w:rPr>
        <w:t>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Petrík, Jozef Mihál a Miroslav Beblavý</w:t>
      </w:r>
    </w:p>
    <w:p w:rsidR="005A062D" w:rsidRPr="0017622F" w:rsidP="005A062D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5A062D" w:rsidP="005A062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BC6676">
        <w:rPr>
          <w:rFonts w:cs="Times New Roman" w:hint="default"/>
          <w:lang w:eastAsia="en-US" w:bidi="ar-SA"/>
        </w:rPr>
        <w:t>ktorý</w:t>
      </w:r>
      <w:r w:rsidRPr="00BC6676">
        <w:rPr>
          <w:rFonts w:cs="Times New Roman" w:hint="default"/>
          <w:lang w:eastAsia="en-US" w:bidi="ar-SA"/>
        </w:rPr>
        <w:t>m sa mení</w:t>
      </w:r>
      <w:r w:rsidRPr="00BC6676">
        <w:rPr>
          <w:rFonts w:cs="Times New Roman" w:hint="default"/>
          <w:lang w:eastAsia="en-US" w:bidi="ar-SA"/>
        </w:rPr>
        <w:t xml:space="preserve"> a dopĺň</w:t>
      </w:r>
      <w:r w:rsidRPr="00BC6676">
        <w:rPr>
          <w:rFonts w:cs="Times New Roman" w:hint="default"/>
          <w:lang w:eastAsia="en-US" w:bidi="ar-SA"/>
        </w:rPr>
        <w:t>a zá</w:t>
      </w:r>
      <w:r w:rsidRPr="00BC6676">
        <w:rPr>
          <w:rFonts w:cs="Times New Roman" w:hint="default"/>
          <w:lang w:eastAsia="en-US" w:bidi="ar-SA"/>
        </w:rPr>
        <w:t>kon č</w:t>
      </w:r>
      <w:r w:rsidRPr="00BC6676">
        <w:rPr>
          <w:rFonts w:cs="Times New Roman" w:hint="default"/>
          <w:lang w:eastAsia="en-US" w:bidi="ar-SA"/>
        </w:rPr>
        <w:t>. 365/2004 Z. z. o rovnakom zaobchá</w:t>
      </w:r>
      <w:r w:rsidRPr="00BC6676">
        <w:rPr>
          <w:rFonts w:cs="Times New Roman" w:hint="default"/>
          <w:lang w:eastAsia="en-US" w:bidi="ar-SA"/>
        </w:rPr>
        <w:t>dzaní</w:t>
      </w:r>
      <w:r w:rsidRPr="00BC6676">
        <w:rPr>
          <w:rFonts w:cs="Times New Roman" w:hint="default"/>
          <w:lang w:eastAsia="en-US" w:bidi="ar-SA"/>
        </w:rPr>
        <w:t xml:space="preserve"> v niektorý</w:t>
      </w:r>
      <w:r w:rsidRPr="00BC6676">
        <w:rPr>
          <w:rFonts w:cs="Times New Roman" w:hint="default"/>
          <w:lang w:eastAsia="en-US" w:bidi="ar-SA"/>
        </w:rPr>
        <w:t>ch oblastiach a o ochrane pred diskriminá</w:t>
      </w:r>
      <w:r w:rsidRPr="00BC6676">
        <w:rPr>
          <w:rFonts w:cs="Times New Roman" w:hint="default"/>
          <w:lang w:eastAsia="en-US" w:bidi="ar-SA"/>
        </w:rPr>
        <w:t>ciou a o zmene a doplnení</w:t>
      </w:r>
      <w:r w:rsidRPr="00BC6676">
        <w:rPr>
          <w:rFonts w:cs="Times New Roman" w:hint="default"/>
          <w:lang w:eastAsia="en-US" w:bidi="ar-SA"/>
        </w:rPr>
        <w:t xml:space="preserve"> niektorý</w:t>
      </w:r>
      <w:r w:rsidRPr="00BC6676">
        <w:rPr>
          <w:rFonts w:cs="Times New Roman" w:hint="default"/>
          <w:lang w:eastAsia="en-US" w:bidi="ar-SA"/>
        </w:rPr>
        <w:t>ch zá</w:t>
      </w:r>
      <w:r w:rsidRPr="00BC6676">
        <w:rPr>
          <w:rFonts w:cs="Times New Roman" w:hint="default"/>
          <w:lang w:eastAsia="en-US" w:bidi="ar-SA"/>
        </w:rPr>
        <w:t>konov (antidiskriminač</w:t>
      </w:r>
      <w:r w:rsidRPr="00BC6676">
        <w:rPr>
          <w:rFonts w:cs="Times New Roman" w:hint="default"/>
          <w:lang w:eastAsia="en-US" w:bidi="ar-SA"/>
        </w:rPr>
        <w:t>ný</w:t>
      </w:r>
      <w:r w:rsidRPr="00BC6676">
        <w:rPr>
          <w:rFonts w:cs="Times New Roman" w:hint="default"/>
          <w:lang w:eastAsia="en-US" w:bidi="ar-SA"/>
        </w:rPr>
        <w:t xml:space="preserve"> zá</w:t>
      </w:r>
      <w:r w:rsidRPr="00BC6676">
        <w:rPr>
          <w:rFonts w:cs="Times New Roman" w:hint="default"/>
          <w:lang w:eastAsia="en-US" w:bidi="ar-SA"/>
        </w:rPr>
        <w:t>kon) v znení</w:t>
      </w:r>
      <w:r w:rsidRPr="00BC6676">
        <w:rPr>
          <w:rFonts w:cs="Times New Roman" w:hint="default"/>
          <w:lang w:eastAsia="en-US" w:bidi="ar-SA"/>
        </w:rPr>
        <w:t xml:space="preserve"> neskorší</w:t>
      </w:r>
      <w:r w:rsidRPr="00BC6676">
        <w:rPr>
          <w:rFonts w:cs="Times New Roman" w:hint="default"/>
          <w:lang w:eastAsia="en-US" w:bidi="ar-SA"/>
        </w:rPr>
        <w:t>ch predpisov a ktorý</w:t>
      </w:r>
      <w:r w:rsidRPr="00BC6676">
        <w:rPr>
          <w:rFonts w:cs="Times New Roman" w:hint="default"/>
          <w:lang w:eastAsia="en-US" w:bidi="ar-SA"/>
        </w:rPr>
        <w:t>m sa menia a dopĺň</w:t>
      </w:r>
      <w:r w:rsidRPr="00BC6676">
        <w:rPr>
          <w:rFonts w:cs="Times New Roman" w:hint="default"/>
          <w:lang w:eastAsia="en-US" w:bidi="ar-SA"/>
        </w:rPr>
        <w:t>ajú</w:t>
      </w:r>
      <w:r w:rsidRPr="00BC6676">
        <w:rPr>
          <w:rFonts w:cs="Times New Roman" w:hint="default"/>
          <w:lang w:eastAsia="en-US" w:bidi="ar-SA"/>
        </w:rPr>
        <w:t xml:space="preserve"> niektoré</w:t>
      </w:r>
      <w:r w:rsidRPr="00BC6676">
        <w:rPr>
          <w:rFonts w:cs="Times New Roman" w:hint="default"/>
          <w:lang w:eastAsia="en-US" w:bidi="ar-SA"/>
        </w:rPr>
        <w:t xml:space="preserve"> zá</w:t>
      </w:r>
      <w:r w:rsidRPr="00BC6676">
        <w:rPr>
          <w:rFonts w:cs="Times New Roman" w:hint="default"/>
          <w:lang w:eastAsia="en-US" w:bidi="ar-SA"/>
        </w:rPr>
        <w:t>kony.</w:t>
      </w:r>
    </w:p>
    <w:p w:rsidR="005A062D" w:rsidP="005A062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5A062D" w:rsidRPr="00BF6BBA" w:rsidP="005A062D">
      <w:pPr>
        <w:bidi w:val="0"/>
        <w:ind w:left="360" w:hanging="360"/>
        <w:rPr>
          <w:rFonts w:hint="default"/>
          <w:b/>
        </w:rPr>
      </w:pPr>
      <w:r w:rsidRPr="00BF6BBA">
        <w:rPr>
          <w:b/>
        </w:rPr>
        <w:t>3.</w:t>
        <w:tab/>
      </w:r>
      <w:r w:rsidRPr="00BF6BBA">
        <w:rPr>
          <w:rFonts w:hint="default"/>
          <w:b/>
        </w:rPr>
        <w:t>Problematika ná</w:t>
      </w:r>
      <w:r w:rsidRPr="00BF6BBA">
        <w:rPr>
          <w:rFonts w:hint="default"/>
          <w:b/>
        </w:rPr>
        <w:t>vrhu prá</w:t>
      </w:r>
      <w:r w:rsidRPr="00BF6BBA">
        <w:rPr>
          <w:rFonts w:hint="default"/>
          <w:b/>
        </w:rPr>
        <w:t>vneho predpisu:</w:t>
      </w:r>
    </w:p>
    <w:p w:rsidR="005A062D" w:rsidRPr="00BF6BBA" w:rsidP="005A062D">
      <w:pPr>
        <w:bidi w:val="0"/>
        <w:ind w:firstLine="360"/>
      </w:pPr>
    </w:p>
    <w:p w:rsidR="005A062D" w:rsidRPr="00BF6BBA" w:rsidP="005A062D">
      <w:pPr>
        <w:bidi w:val="0"/>
        <w:rPr>
          <w:rFonts w:hint="default"/>
        </w:rPr>
      </w:pPr>
      <w:r w:rsidRPr="00BF6BBA">
        <w:t>a)</w:t>
      </w:r>
      <w:r>
        <w:t xml:space="preserve"> </w:t>
      </w:r>
      <w:r w:rsidRPr="00BF6BBA">
        <w:rPr>
          <w:rFonts w:hint="default"/>
        </w:rPr>
        <w:t>je upravená</w:t>
      </w:r>
      <w:r w:rsidRPr="00BF6BBA">
        <w:rPr>
          <w:rFonts w:hint="default"/>
        </w:rPr>
        <w:t xml:space="preserve"> v</w:t>
      </w:r>
      <w:r>
        <w:t> </w:t>
      </w:r>
      <w:r>
        <w:rPr>
          <w:rFonts w:hint="default"/>
        </w:rPr>
        <w:t>primá</w:t>
      </w:r>
      <w:r>
        <w:rPr>
          <w:rFonts w:hint="default"/>
        </w:rPr>
        <w:t>rnom prá</w:t>
      </w:r>
      <w:r>
        <w:rPr>
          <w:rFonts w:hint="default"/>
        </w:rPr>
        <w:t xml:space="preserve">ve </w:t>
      </w:r>
      <w:r w:rsidRPr="00BF6BBA">
        <w:rPr>
          <w:rFonts w:hint="default"/>
        </w:rPr>
        <w:t>Euró</w:t>
      </w:r>
      <w:r w:rsidRPr="00BF6BBA">
        <w:rPr>
          <w:rFonts w:hint="default"/>
        </w:rPr>
        <w:t>pskej ú</w:t>
      </w:r>
      <w:r w:rsidRPr="00BF6BBA">
        <w:rPr>
          <w:rFonts w:hint="default"/>
        </w:rPr>
        <w:t>nie</w:t>
      </w:r>
    </w:p>
    <w:p w:rsidR="005A062D" w:rsidRPr="00BF6BBA" w:rsidP="005A062D">
      <w:pPr>
        <w:bidi w:val="0"/>
        <w:ind w:left="360"/>
      </w:pPr>
    </w:p>
    <w:p w:rsidR="005A062D" w:rsidP="005A062D">
      <w:pPr>
        <w:bidi w:val="0"/>
      </w:pPr>
      <w:r w:rsidRPr="00BF6BBA">
        <w:rPr>
          <w:rFonts w:hint="default"/>
        </w:rPr>
        <w:t>Č</w:t>
      </w:r>
      <w:r w:rsidRPr="00BF6BBA">
        <w:rPr>
          <w:rFonts w:hint="default"/>
        </w:rPr>
        <w:t>lá</w:t>
      </w:r>
      <w:r w:rsidRPr="00BF6BBA">
        <w:rPr>
          <w:rFonts w:hint="default"/>
        </w:rPr>
        <w:t>nok 114 Zm</w:t>
      </w:r>
      <w:r>
        <w:rPr>
          <w:rFonts w:hint="default"/>
        </w:rPr>
        <w:t>luvy o 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 xml:space="preserve">nie, </w:t>
      </w:r>
      <w:r w:rsidRPr="00BF6BBA">
        <w:rPr>
          <w:rFonts w:hint="default"/>
        </w:rPr>
        <w:t>Č</w:t>
      </w:r>
      <w:r w:rsidRPr="00BF6BBA">
        <w:rPr>
          <w:rFonts w:hint="default"/>
        </w:rPr>
        <w:t>lá</w:t>
      </w:r>
      <w:r w:rsidRPr="00BF6BBA">
        <w:rPr>
          <w:rFonts w:hint="default"/>
        </w:rPr>
        <w:t>nky 20 až</w:t>
      </w:r>
      <w:r w:rsidRPr="00BF6BBA">
        <w:rPr>
          <w:rFonts w:hint="default"/>
        </w:rPr>
        <w:t xml:space="preserve"> 23 Charty zá</w:t>
      </w:r>
      <w:r w:rsidRPr="00BF6BBA">
        <w:rPr>
          <w:rFonts w:hint="default"/>
        </w:rPr>
        <w:t>kladný</w:t>
      </w:r>
      <w:r w:rsidRPr="00BF6BBA">
        <w:rPr>
          <w:rFonts w:hint="default"/>
        </w:rPr>
        <w:t>ch prá</w:t>
      </w:r>
      <w:r w:rsidRPr="00BF6BBA">
        <w:rPr>
          <w:rFonts w:hint="default"/>
        </w:rPr>
        <w:t>v Euró</w:t>
      </w:r>
      <w:r w:rsidRPr="00BF6BBA">
        <w:rPr>
          <w:rFonts w:hint="default"/>
        </w:rPr>
        <w:t>pskej ú</w:t>
      </w:r>
      <w:r w:rsidRPr="00BF6BBA">
        <w:rPr>
          <w:rFonts w:hint="default"/>
        </w:rPr>
        <w:t>nie</w:t>
      </w:r>
      <w:r>
        <w:t>.</w:t>
      </w:r>
    </w:p>
    <w:p w:rsidR="005A062D" w:rsidP="005A062D">
      <w:pPr>
        <w:bidi w:val="0"/>
      </w:pPr>
    </w:p>
    <w:p w:rsidR="005A062D" w:rsidRPr="00BF6BBA" w:rsidP="005A062D">
      <w:pPr>
        <w:bidi w:val="0"/>
      </w:pPr>
      <w:r>
        <w:rPr>
          <w:rFonts w:hint="default"/>
        </w:rPr>
        <w:t>b) je upravená</w:t>
      </w:r>
      <w:r>
        <w:rPr>
          <w:rFonts w:hint="default"/>
        </w:rPr>
        <w:t xml:space="preserve"> v </w:t>
      </w:r>
      <w:r>
        <w:rPr>
          <w:rFonts w:hint="default"/>
        </w:rPr>
        <w:t>sekundá</w:t>
      </w:r>
      <w:r>
        <w:rPr>
          <w:rFonts w:hint="default"/>
        </w:rPr>
        <w:t>rnom 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nie,</w:t>
      </w:r>
      <w:r w:rsidRPr="00BF6BBA">
        <w:br/>
        <w:t> </w:t>
      </w:r>
    </w:p>
    <w:p w:rsidR="005A062D" w:rsidRPr="00BF6BBA" w:rsidP="005A062D">
      <w:pPr>
        <w:tabs>
          <w:tab w:val="left" w:pos="1068"/>
        </w:tabs>
        <w:bidi w:val="0"/>
        <w:rPr>
          <w:i/>
        </w:rPr>
      </w:pPr>
      <w:r>
        <w:t>- p</w:t>
      </w:r>
      <w:r w:rsidRPr="00BF6BBA">
        <w:rPr>
          <w:rFonts w:hint="default"/>
          <w:i/>
        </w:rPr>
        <w:t>rijatom po nadobudnutí</w:t>
      </w:r>
      <w:r w:rsidRPr="00BF6BBA">
        <w:rPr>
          <w:rFonts w:hint="default"/>
          <w:i/>
        </w:rPr>
        <w:t>m platnosti Lisabonskej zmluvy, ktorou sa</w:t>
      </w:r>
      <w:r w:rsidRPr="00BF6BBA">
        <w:rPr>
          <w:rFonts w:hint="default"/>
          <w:i/>
        </w:rPr>
        <w:t xml:space="preserve"> mení</w:t>
      </w:r>
      <w:r w:rsidRPr="00BF6BBA">
        <w:rPr>
          <w:rFonts w:hint="default"/>
          <w:i/>
        </w:rPr>
        <w:t xml:space="preserve"> a dopĺň</w:t>
      </w:r>
      <w:r w:rsidRPr="00BF6BBA">
        <w:rPr>
          <w:rFonts w:hint="default"/>
          <w:i/>
        </w:rPr>
        <w:t>a Zmluva o Euró</w:t>
      </w:r>
      <w:r w:rsidRPr="00BF6BBA">
        <w:rPr>
          <w:rFonts w:hint="default"/>
          <w:i/>
        </w:rPr>
        <w:t>pskej ú</w:t>
      </w:r>
      <w:r w:rsidRPr="00BF6BBA">
        <w:rPr>
          <w:rFonts w:hint="default"/>
          <w:i/>
        </w:rPr>
        <w:t>nii a Zmluva o Euró</w:t>
      </w:r>
      <w:r w:rsidRPr="00BF6BBA">
        <w:rPr>
          <w:rFonts w:hint="default"/>
          <w:i/>
        </w:rPr>
        <w:t>pskom spolo</w:t>
      </w:r>
      <w:r>
        <w:rPr>
          <w:rFonts w:hint="default"/>
          <w:i/>
        </w:rPr>
        <w:t>č</w:t>
      </w:r>
      <w:r>
        <w:rPr>
          <w:rFonts w:hint="default"/>
          <w:i/>
        </w:rPr>
        <w:t xml:space="preserve">enstve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po 30. novembri 2009</w:t>
      </w:r>
    </w:p>
    <w:p w:rsidR="005A062D" w:rsidRPr="00BF6BBA" w:rsidP="005A062D">
      <w:pPr>
        <w:tabs>
          <w:tab w:val="left" w:pos="1068"/>
        </w:tabs>
        <w:bidi w:val="0"/>
        <w:ind w:left="879" w:hanging="171"/>
        <w:rPr>
          <w:i/>
        </w:rPr>
      </w:pPr>
    </w:p>
    <w:p w:rsidR="005A062D" w:rsidRPr="00BF6BBA" w:rsidP="005A062D">
      <w:pPr>
        <w:bidi w:val="0"/>
      </w:pPr>
      <w:r>
        <w:rPr>
          <w:rFonts w:hint="default"/>
        </w:rPr>
        <w:t>1. legislatí</w:t>
      </w:r>
      <w:r>
        <w:rPr>
          <w:rFonts w:hint="default"/>
        </w:rPr>
        <w:t>vne akty</w:t>
      </w:r>
      <w:r w:rsidRPr="00BF6BBA">
        <w:t> </w:t>
      </w:r>
    </w:p>
    <w:p w:rsidR="005A062D" w:rsidRPr="00BF6BBA" w:rsidP="005A062D">
      <w:pPr>
        <w:bidi w:val="0"/>
        <w:ind w:left="851"/>
      </w:pPr>
    </w:p>
    <w:p w:rsidR="005A062D" w:rsidRPr="00BF6BBA" w:rsidP="005A062D">
      <w:pPr>
        <w:bidi w:val="0"/>
        <w:jc w:val="both"/>
        <w:rPr>
          <w:i/>
        </w:rPr>
      </w:pPr>
      <w:r>
        <w:t xml:space="preserve">2. </w:t>
      </w:r>
      <w:r w:rsidRPr="00BF6BBA">
        <w:rPr>
          <w:rFonts w:hint="default"/>
        </w:rPr>
        <w:t>nelegislatí</w:t>
      </w:r>
      <w:r w:rsidRPr="00BF6BBA">
        <w:rPr>
          <w:rFonts w:hint="default"/>
        </w:rPr>
        <w:t>vne akty</w:t>
      </w:r>
    </w:p>
    <w:tbl>
      <w:tblPr>
        <w:tblStyle w:val="TableNormal"/>
        <w:tblW w:w="8658" w:type="dxa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8658" w:type="dxa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A062D" w:rsidRPr="00BF6BBA" w:rsidP="005C3E41">
            <w:pPr>
              <w:bidi w:val="0"/>
              <w:spacing w:after="0" w:line="240" w:lineRule="auto"/>
              <w:jc w:val="both"/>
            </w:pPr>
          </w:p>
        </w:tc>
      </w:tr>
    </w:tbl>
    <w:p w:rsidR="005A062D" w:rsidP="005A062D">
      <w:pPr>
        <w:bidi w:val="0"/>
        <w:jc w:val="both"/>
        <w:rPr>
          <w:i/>
        </w:rPr>
      </w:pPr>
      <w:r w:rsidRPr="00BF6BBA">
        <w:t>-</w:t>
      </w:r>
      <w:r>
        <w:t xml:space="preserve"> </w:t>
      </w:r>
      <w:r w:rsidRPr="00BF6BBA">
        <w:rPr>
          <w:rFonts w:hint="default"/>
          <w:i/>
        </w:rPr>
        <w:t>sekundá</w:t>
      </w:r>
      <w:r w:rsidRPr="00BF6BBA">
        <w:rPr>
          <w:rFonts w:hint="default"/>
          <w:i/>
        </w:rPr>
        <w:t>rnom (prijatom pred nadobudnutí</w:t>
      </w:r>
      <w:r w:rsidRPr="00BF6BBA">
        <w:rPr>
          <w:rFonts w:hint="default"/>
          <w:i/>
        </w:rPr>
        <w:t>m platnosti Lisabonskej zmluvy, ktorou sa mení</w:t>
      </w:r>
      <w:r w:rsidRPr="00BF6BBA">
        <w:rPr>
          <w:rFonts w:hint="default"/>
          <w:i/>
        </w:rPr>
        <w:t xml:space="preserve"> a dopĺň</w:t>
      </w:r>
      <w:r w:rsidRPr="00BF6BBA">
        <w:rPr>
          <w:rFonts w:hint="default"/>
          <w:i/>
        </w:rPr>
        <w:t>a Zmluva o Euró</w:t>
      </w:r>
      <w:r w:rsidRPr="00BF6BBA">
        <w:rPr>
          <w:rFonts w:hint="default"/>
          <w:i/>
        </w:rPr>
        <w:t>pskom spoloč</w:t>
      </w:r>
      <w:r w:rsidRPr="00BF6BBA">
        <w:rPr>
          <w:rFonts w:hint="default"/>
          <w:i/>
        </w:rPr>
        <w:t>enstve a Zmluva o Euró</w:t>
      </w:r>
      <w:r w:rsidRPr="00BF6BBA">
        <w:rPr>
          <w:rFonts w:hint="default"/>
          <w:i/>
        </w:rPr>
        <w:t>pskej ú</w:t>
      </w:r>
      <w:r w:rsidRPr="00BF6BBA">
        <w:rPr>
          <w:rFonts w:hint="default"/>
          <w:i/>
        </w:rPr>
        <w:t xml:space="preserve">nii </w:t>
      </w:r>
      <w:r w:rsidRPr="00BF6BBA">
        <w:rPr>
          <w:rFonts w:hint="default"/>
          <w:i/>
        </w:rPr>
        <w:t>–</w:t>
      </w:r>
      <w:r w:rsidRPr="00BF6BBA">
        <w:rPr>
          <w:rFonts w:hint="default"/>
          <w:i/>
        </w:rPr>
        <w:t xml:space="preserve"> do 30. novembra 2009)</w:t>
      </w:r>
    </w:p>
    <w:p w:rsidR="005A062D" w:rsidRPr="00BF6BBA" w:rsidP="005A062D">
      <w:pPr>
        <w:bidi w:val="0"/>
        <w:jc w:val="both"/>
        <w:rPr>
          <w:i/>
        </w:rPr>
      </w:pPr>
    </w:p>
    <w:tbl>
      <w:tblPr>
        <w:tblStyle w:val="TableNormal"/>
        <w:tblW w:w="9610" w:type="dxa"/>
        <w:tblInd w:w="-34" w:type="dxa"/>
        <w:tblLayout w:type="fixed"/>
        <w:tblCellMar>
          <w:top w:w="0" w:type="dxa"/>
          <w:bottom w:w="0" w:type="dxa"/>
        </w:tblCellMar>
      </w:tblPr>
      <w:tblGrid>
        <w:gridCol w:w="9610"/>
      </w:tblGrid>
      <w:tr>
        <w:tblPrEx>
          <w:tblW w:w="9610" w:type="dxa"/>
          <w:tblInd w:w="-34" w:type="dxa"/>
          <w:tblLayout w:type="fixed"/>
          <w:tblCellMar>
            <w:top w:w="0" w:type="dxa"/>
            <w:bottom w:w="0" w:type="dxa"/>
          </w:tblCellMar>
        </w:tblPrEx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A062D" w:rsidRPr="00BF6BBA" w:rsidP="005C3E41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BF6BBA">
              <w:rPr>
                <w:rFonts w:hint="default"/>
              </w:rPr>
              <w:t>Smernica Rady 2004/113/ES z 13. decembra 2004 (Ú</w:t>
            </w:r>
            <w:r w:rsidRPr="00BF6BBA">
              <w:rPr>
                <w:rFonts w:hint="default"/>
              </w:rPr>
              <w:t>. v. EÚ</w:t>
            </w:r>
            <w:r w:rsidRPr="00BF6BBA">
              <w:rPr>
                <w:rFonts w:hint="default"/>
              </w:rPr>
              <w:t xml:space="preserve"> L 373, 21.12.2004) o vykoná</w:t>
            </w:r>
            <w:r w:rsidRPr="00BF6BBA">
              <w:rPr>
                <w:rFonts w:hint="default"/>
              </w:rPr>
              <w:t>vaní</w:t>
            </w:r>
            <w:r w:rsidRPr="00BF6BBA">
              <w:rPr>
                <w:rFonts w:hint="default"/>
              </w:rPr>
              <w:t xml:space="preserve"> zá</w:t>
            </w:r>
            <w:r w:rsidRPr="00BF6BBA">
              <w:rPr>
                <w:rFonts w:hint="default"/>
              </w:rPr>
              <w:t>sady rovnaké</w:t>
            </w:r>
            <w:r w:rsidRPr="00BF6BBA">
              <w:rPr>
                <w:rFonts w:hint="default"/>
              </w:rPr>
              <w:t>ho zaobchá</w:t>
            </w:r>
            <w:r w:rsidRPr="00BF6BBA">
              <w:rPr>
                <w:rFonts w:hint="default"/>
              </w:rPr>
              <w:t>dzania medzi muž</w:t>
            </w:r>
            <w:r w:rsidRPr="00BF6BBA">
              <w:rPr>
                <w:rFonts w:hint="default"/>
              </w:rPr>
              <w:t>mi a ž</w:t>
            </w:r>
            <w:r w:rsidRPr="00BF6BBA">
              <w:rPr>
                <w:rFonts w:hint="default"/>
              </w:rPr>
              <w:t>enami v prí</w:t>
            </w:r>
            <w:r w:rsidRPr="00BF6BBA">
              <w:rPr>
                <w:rFonts w:hint="default"/>
              </w:rPr>
              <w:t>stupe k tovaru a služ</w:t>
            </w:r>
            <w:r w:rsidRPr="00BF6BBA">
              <w:rPr>
                <w:rFonts w:hint="default"/>
              </w:rPr>
              <w:t>bá</w:t>
            </w:r>
            <w:r w:rsidRPr="00BF6BBA">
              <w:rPr>
                <w:rFonts w:hint="default"/>
              </w:rPr>
              <w:t>m a k ich poskytov</w:t>
            </w:r>
            <w:r w:rsidRPr="00BF6BBA">
              <w:rPr>
                <w:rFonts w:hint="default"/>
              </w:rPr>
              <w:t>aniu  </w:t>
            </w:r>
          </w:p>
        </w:tc>
      </w:tr>
    </w:tbl>
    <w:p w:rsidR="005A062D" w:rsidP="005A062D">
      <w:pPr>
        <w:bidi w:val="0"/>
        <w:jc w:val="both"/>
      </w:pPr>
    </w:p>
    <w:p w:rsidR="005A062D" w:rsidRPr="00BF6BBA" w:rsidP="005A062D">
      <w:pPr>
        <w:bidi w:val="0"/>
        <w:jc w:val="both"/>
        <w:rPr>
          <w:rFonts w:hint="default"/>
        </w:rPr>
      </w:pPr>
      <w:r w:rsidRPr="00BF6BBA">
        <w:rPr>
          <w:rFonts w:hint="default"/>
        </w:rPr>
        <w:t>Smernica Rady 2000/43/ES z 29. jú</w:t>
      </w:r>
      <w:r w:rsidRPr="00BF6BBA">
        <w:rPr>
          <w:rFonts w:hint="default"/>
        </w:rPr>
        <w:t>na 2000 (Ú</w:t>
      </w:r>
      <w:r w:rsidRPr="00BF6BBA">
        <w:rPr>
          <w:rFonts w:hint="default"/>
        </w:rPr>
        <w:t>. v. ES L 180, 19.7.2000) ktorou sa zavá</w:t>
      </w:r>
      <w:r w:rsidRPr="00BF6BBA">
        <w:rPr>
          <w:rFonts w:hint="default"/>
        </w:rPr>
        <w:t>dza zá</w:t>
      </w:r>
      <w:r w:rsidRPr="00BF6BBA">
        <w:rPr>
          <w:rFonts w:hint="default"/>
        </w:rPr>
        <w:t>sada rovnaké</w:t>
      </w:r>
      <w:r w:rsidRPr="00BF6BBA">
        <w:rPr>
          <w:rFonts w:hint="default"/>
        </w:rPr>
        <w:t>ho zaobchá</w:t>
      </w:r>
      <w:r w:rsidRPr="00BF6BBA">
        <w:rPr>
          <w:rFonts w:hint="default"/>
        </w:rPr>
        <w:t>dzania s osobami bez ohľ</w:t>
      </w:r>
      <w:r w:rsidRPr="00BF6BBA">
        <w:rPr>
          <w:rFonts w:hint="default"/>
        </w:rPr>
        <w:t>adu na rasový</w:t>
      </w:r>
      <w:r w:rsidRPr="00BF6BBA">
        <w:rPr>
          <w:rFonts w:hint="default"/>
        </w:rPr>
        <w:t xml:space="preserve"> alebo etnický</w:t>
      </w:r>
      <w:r w:rsidRPr="00BF6BBA">
        <w:rPr>
          <w:rFonts w:hint="default"/>
        </w:rPr>
        <w:t xml:space="preserve"> pô</w:t>
      </w:r>
      <w:r w:rsidRPr="00BF6BBA">
        <w:rPr>
          <w:rFonts w:hint="default"/>
        </w:rPr>
        <w:t>vod</w:t>
      </w:r>
    </w:p>
    <w:p w:rsidR="005A062D" w:rsidP="005A062D">
      <w:pPr>
        <w:bidi w:val="0"/>
        <w:jc w:val="both"/>
      </w:pPr>
    </w:p>
    <w:p w:rsidR="005A062D" w:rsidRPr="00BF6BBA" w:rsidP="005A062D">
      <w:pPr>
        <w:bidi w:val="0"/>
        <w:jc w:val="both"/>
        <w:rPr>
          <w:rFonts w:hint="default"/>
        </w:rPr>
      </w:pPr>
      <w:r w:rsidRPr="00BF6BBA">
        <w:rPr>
          <w:rFonts w:hint="default"/>
        </w:rPr>
        <w:t>Smernica Rady 2000/78/ES z 27. novembra 2000 (Ú</w:t>
      </w:r>
      <w:r w:rsidRPr="00BF6BBA">
        <w:rPr>
          <w:rFonts w:hint="default"/>
        </w:rPr>
        <w:t>. v. ES L 303, 2.12.2000) ktor</w:t>
      </w:r>
      <w:r w:rsidRPr="00BF6BBA">
        <w:rPr>
          <w:rFonts w:hint="default"/>
        </w:rPr>
        <w:t>á</w:t>
      </w:r>
      <w:r w:rsidRPr="00BF6BBA">
        <w:rPr>
          <w:rFonts w:hint="default"/>
        </w:rPr>
        <w:t xml:space="preserve"> ustanovuje vš</w:t>
      </w:r>
      <w:r w:rsidRPr="00BF6BBA">
        <w:rPr>
          <w:rFonts w:hint="default"/>
        </w:rPr>
        <w:t>eobecný</w:t>
      </w:r>
      <w:r w:rsidRPr="00BF6BBA">
        <w:rPr>
          <w:rFonts w:hint="default"/>
        </w:rPr>
        <w:t xml:space="preserve"> rá</w:t>
      </w:r>
      <w:r w:rsidRPr="00BF6BBA">
        <w:rPr>
          <w:rFonts w:hint="default"/>
        </w:rPr>
        <w:t>mec pre rovnaké</w:t>
      </w:r>
      <w:r w:rsidRPr="00BF6BBA">
        <w:rPr>
          <w:rFonts w:hint="default"/>
        </w:rPr>
        <w:t xml:space="preserve"> zaobchá</w:t>
      </w:r>
      <w:r w:rsidRPr="00BF6BBA">
        <w:rPr>
          <w:rFonts w:hint="default"/>
        </w:rPr>
        <w:t>dzanie v zamestnaní</w:t>
      </w:r>
      <w:r w:rsidRPr="00BF6BBA">
        <w:rPr>
          <w:rFonts w:hint="default"/>
        </w:rPr>
        <w:t xml:space="preserve"> a povolaní</w:t>
      </w:r>
    </w:p>
    <w:p w:rsidR="005A062D" w:rsidP="005A062D">
      <w:pPr>
        <w:bidi w:val="0"/>
        <w:jc w:val="both"/>
      </w:pPr>
    </w:p>
    <w:p w:rsidR="005A062D" w:rsidRPr="00BF6BBA" w:rsidP="005A062D">
      <w:pPr>
        <w:bidi w:val="0"/>
        <w:jc w:val="both"/>
        <w:rPr>
          <w:rFonts w:hint="default"/>
        </w:rPr>
      </w:pPr>
      <w:r w:rsidRPr="00BF6BBA">
        <w:rPr>
          <w:rFonts w:hint="default"/>
        </w:rPr>
        <w:t>Smernica Euró</w:t>
      </w:r>
      <w:r w:rsidRPr="00BF6BBA">
        <w:rPr>
          <w:rFonts w:hint="default"/>
        </w:rPr>
        <w:t>pskeho parlamentu a Rady 2006/54/ES z 5. jú</w:t>
      </w:r>
      <w:r w:rsidRPr="00BF6BBA">
        <w:rPr>
          <w:rFonts w:hint="default"/>
        </w:rPr>
        <w:t>la 2006 (Ú</w:t>
      </w:r>
      <w:r w:rsidRPr="00BF6BBA">
        <w:rPr>
          <w:rFonts w:hint="default"/>
        </w:rPr>
        <w:t>. v. EÚ</w:t>
      </w:r>
      <w:r w:rsidRPr="00BF6BBA">
        <w:rPr>
          <w:rFonts w:hint="default"/>
        </w:rPr>
        <w:t xml:space="preserve"> L 204, 26.7.2006) o vykoná</w:t>
      </w:r>
      <w:r w:rsidRPr="00BF6BBA">
        <w:rPr>
          <w:rFonts w:hint="default"/>
        </w:rPr>
        <w:t>vaní</w:t>
      </w:r>
      <w:r w:rsidRPr="00BF6BBA">
        <w:rPr>
          <w:rFonts w:hint="default"/>
        </w:rPr>
        <w:t xml:space="preserve"> zá</w:t>
      </w:r>
      <w:r w:rsidRPr="00BF6BBA">
        <w:rPr>
          <w:rFonts w:hint="default"/>
        </w:rPr>
        <w:t>sady rovnosti prí</w:t>
      </w:r>
      <w:r w:rsidRPr="00BF6BBA">
        <w:rPr>
          <w:rFonts w:hint="default"/>
        </w:rPr>
        <w:t>lež</w:t>
      </w:r>
      <w:r w:rsidRPr="00BF6BBA">
        <w:rPr>
          <w:rFonts w:hint="default"/>
        </w:rPr>
        <w:t>itostí</w:t>
      </w:r>
      <w:r w:rsidRPr="00BF6BBA">
        <w:rPr>
          <w:rFonts w:hint="default"/>
        </w:rPr>
        <w:t xml:space="preserve"> a rovnaké</w:t>
      </w:r>
      <w:r w:rsidRPr="00BF6BBA">
        <w:rPr>
          <w:rFonts w:hint="default"/>
        </w:rPr>
        <w:t>ho zaobchá</w:t>
      </w:r>
      <w:r w:rsidRPr="00BF6BBA">
        <w:rPr>
          <w:rFonts w:hint="default"/>
        </w:rPr>
        <w:t>dzania s muž</w:t>
      </w:r>
      <w:r w:rsidRPr="00BF6BBA">
        <w:rPr>
          <w:rFonts w:hint="default"/>
        </w:rPr>
        <w:t>mi a ž</w:t>
      </w:r>
      <w:r w:rsidRPr="00BF6BBA">
        <w:rPr>
          <w:rFonts w:hint="default"/>
        </w:rPr>
        <w:t>enami</w:t>
      </w:r>
      <w:r w:rsidRPr="00BF6BBA">
        <w:rPr>
          <w:rFonts w:hint="default"/>
        </w:rPr>
        <w:t xml:space="preserve"> vo veciach zamestnanosti a povolania</w:t>
      </w:r>
    </w:p>
    <w:p w:rsidR="005A062D" w:rsidP="005A062D">
      <w:pPr>
        <w:bidi w:val="0"/>
        <w:ind w:left="360"/>
      </w:pPr>
    </w:p>
    <w:p w:rsidR="005A062D" w:rsidRPr="00BF6BBA" w:rsidP="005A062D">
      <w:pPr>
        <w:bidi w:val="0"/>
        <w:jc w:val="both"/>
      </w:pPr>
      <w:r>
        <w:t>c</w:t>
      </w:r>
      <w:r w:rsidRPr="00BF6BBA">
        <w:t>)</w:t>
      </w:r>
      <w:r>
        <w:t xml:space="preserve"> j</w:t>
      </w:r>
      <w:r w:rsidRPr="00BF6BBA">
        <w:rPr>
          <w:rFonts w:hint="default"/>
        </w:rPr>
        <w:t>e obsiahnutá</w:t>
      </w:r>
      <w:r w:rsidRPr="00BF6BBA"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nie, naprí</w:t>
      </w:r>
      <w:r>
        <w:rPr>
          <w:rFonts w:hint="default"/>
        </w:rPr>
        <w:t xml:space="preserve">klad </w:t>
      </w:r>
      <w:r w:rsidRPr="009446B5">
        <w:rPr>
          <w:rFonts w:hint="default"/>
        </w:rPr>
        <w:t>rozsudok vo veci Defrenne v. Sabena č</w:t>
      </w:r>
      <w:r w:rsidRPr="009446B5">
        <w:rPr>
          <w:rFonts w:hint="default"/>
        </w:rPr>
        <w:t>. 2 (43/75), Marshal č</w:t>
      </w:r>
      <w:r w:rsidRPr="009446B5">
        <w:rPr>
          <w:rFonts w:hint="default"/>
        </w:rPr>
        <w:t>. 1 (152/84) alebo Danfoss (109/88), Cadman (C-17/05) alebo Mango</w:t>
      </w:r>
      <w:r>
        <w:t>ld (C-144/04).</w:t>
      </w:r>
    </w:p>
    <w:p w:rsidR="005A062D" w:rsidRPr="00BF6BBA" w:rsidP="005A062D">
      <w:pPr>
        <w:bidi w:val="0"/>
      </w:pPr>
    </w:p>
    <w:p w:rsidR="005A062D" w:rsidRPr="00BF6BBA" w:rsidP="005A062D">
      <w:pPr>
        <w:bidi w:val="0"/>
        <w:ind w:left="360" w:hanging="360"/>
        <w:rPr>
          <w:rFonts w:hint="default"/>
          <w:b/>
        </w:rPr>
      </w:pPr>
      <w:r w:rsidRPr="00BF6BBA">
        <w:rPr>
          <w:b/>
        </w:rPr>
        <w:t>4.</w:t>
        <w:tab/>
      </w:r>
      <w:r w:rsidRPr="00BF6BBA">
        <w:rPr>
          <w:rFonts w:hint="default"/>
          <w:b/>
        </w:rPr>
        <w:t>Zá</w:t>
      </w:r>
      <w:r w:rsidRPr="00BF6BBA">
        <w:rPr>
          <w:rFonts w:hint="default"/>
          <w:b/>
        </w:rPr>
        <w:t>vä</w:t>
      </w:r>
      <w:r w:rsidRPr="00BF6BBA">
        <w:rPr>
          <w:rFonts w:hint="default"/>
          <w:b/>
        </w:rPr>
        <w:t>zky Slovenskej republiky vo vzť</w:t>
      </w:r>
      <w:r w:rsidRPr="00BF6BBA">
        <w:rPr>
          <w:rFonts w:hint="default"/>
          <w:b/>
        </w:rPr>
        <w:t>ahu k </w:t>
      </w:r>
      <w:r w:rsidRPr="00BF6BBA">
        <w:rPr>
          <w:rFonts w:hint="default"/>
          <w:b/>
        </w:rPr>
        <w:t>Euró</w:t>
      </w:r>
      <w:r w:rsidRPr="00BF6BBA">
        <w:rPr>
          <w:rFonts w:hint="default"/>
          <w:b/>
        </w:rPr>
        <w:t>pskej ú</w:t>
      </w:r>
      <w:r w:rsidRPr="00BF6BBA">
        <w:rPr>
          <w:rFonts w:hint="default"/>
          <w:b/>
        </w:rPr>
        <w:t xml:space="preserve">nii: </w:t>
      </w:r>
    </w:p>
    <w:p w:rsidR="005A062D" w:rsidRPr="00BF6BBA" w:rsidP="005A062D">
      <w:pPr>
        <w:bidi w:val="0"/>
      </w:pPr>
    </w:p>
    <w:p w:rsidR="005A062D" w:rsidRPr="00BF6BBA" w:rsidP="005A062D">
      <w:pPr>
        <w:bidi w:val="0"/>
        <w:rPr>
          <w:rFonts w:hint="default"/>
        </w:rPr>
      </w:pPr>
      <w:r>
        <w:t xml:space="preserve">a) </w:t>
      </w:r>
      <w:r w:rsidRPr="00BF6BBA">
        <w:rPr>
          <w:rFonts w:hint="default"/>
        </w:rPr>
        <w:t>lehota na prebratie smernice alebo lehota na implementá</w:t>
      </w:r>
      <w:r w:rsidRPr="00BF6BBA">
        <w:rPr>
          <w:rFonts w:hint="default"/>
        </w:rPr>
        <w:t>ciu nariadenia alebo rozhodnutia</w:t>
      </w:r>
    </w:p>
    <w:p w:rsidR="005A062D" w:rsidRPr="00BF6BBA" w:rsidP="005A062D">
      <w:pPr>
        <w:bidi w:val="0"/>
        <w:ind w:left="720"/>
      </w:pPr>
    </w:p>
    <w:p w:rsidR="005A062D" w:rsidRPr="00BF6BBA" w:rsidP="005A062D">
      <w:pPr>
        <w:bidi w:val="0"/>
      </w:pPr>
      <w:r w:rsidRPr="00BF6BBA">
        <w:t>do 21. decembra 2007  </w:t>
      </w:r>
    </w:p>
    <w:p w:rsidR="005A062D" w:rsidRPr="00BF6BBA" w:rsidP="005A062D">
      <w:pPr>
        <w:bidi w:val="0"/>
        <w:jc w:val="both"/>
      </w:pPr>
    </w:p>
    <w:p w:rsidR="005A062D" w:rsidRPr="00BF6BBA" w:rsidP="005A062D">
      <w:pPr>
        <w:bidi w:val="0"/>
        <w:jc w:val="both"/>
      </w:pPr>
      <w:r w:rsidRPr="00BF6BBA">
        <w:t>b)</w:t>
      </w:r>
      <w:r>
        <w:t xml:space="preserve"> </w:t>
      </w:r>
      <w:r w:rsidRPr="00BF6BBA">
        <w:rPr>
          <w:rFonts w:hint="default"/>
          <w:color w:val="000000"/>
        </w:rPr>
        <w:t>lehota urč</w:t>
      </w:r>
      <w:r w:rsidRPr="00BF6BBA">
        <w:rPr>
          <w:rFonts w:hint="default"/>
          <w:color w:val="000000"/>
        </w:rPr>
        <w:t>ená</w:t>
      </w:r>
      <w:r w:rsidRPr="00BF6BBA">
        <w:rPr>
          <w:rFonts w:hint="default"/>
          <w:color w:val="000000"/>
        </w:rPr>
        <w:t xml:space="preserve"> na predlož</w:t>
      </w:r>
      <w:r w:rsidRPr="00BF6BBA">
        <w:rPr>
          <w:rFonts w:hint="default"/>
          <w:color w:val="000000"/>
        </w:rPr>
        <w:t>enie ná</w:t>
      </w:r>
      <w:r w:rsidRPr="00BF6BBA">
        <w:rPr>
          <w:rFonts w:hint="default"/>
          <w:color w:val="000000"/>
        </w:rPr>
        <w:t>vrhu prá</w:t>
      </w:r>
      <w:r w:rsidRPr="00BF6BBA">
        <w:rPr>
          <w:rFonts w:hint="default"/>
          <w:color w:val="000000"/>
        </w:rPr>
        <w:t>vneho predpisu na rokovanie vlá</w:t>
      </w:r>
      <w:r w:rsidRPr="00BF6BBA">
        <w:rPr>
          <w:rFonts w:hint="default"/>
          <w:color w:val="000000"/>
        </w:rPr>
        <w:t>dy podľ</w:t>
      </w:r>
      <w:r w:rsidRPr="00BF6BBA">
        <w:rPr>
          <w:rFonts w:hint="default"/>
          <w:color w:val="000000"/>
        </w:rPr>
        <w:t>a urč</w:t>
      </w:r>
      <w:r w:rsidRPr="00BF6BBA">
        <w:rPr>
          <w:rFonts w:hint="default"/>
          <w:color w:val="000000"/>
        </w:rPr>
        <w:t>enia gestorský</w:t>
      </w:r>
      <w:r w:rsidRPr="00BF6BBA">
        <w:rPr>
          <w:rFonts w:hint="default"/>
          <w:color w:val="000000"/>
        </w:rPr>
        <w:t>ch ú</w:t>
      </w:r>
      <w:r w:rsidRPr="00BF6BBA">
        <w:rPr>
          <w:rFonts w:hint="default"/>
          <w:color w:val="000000"/>
        </w:rPr>
        <w:t>stredný</w:t>
      </w:r>
      <w:r w:rsidRPr="00BF6BBA">
        <w:rPr>
          <w:rFonts w:hint="default"/>
          <w:color w:val="000000"/>
        </w:rPr>
        <w:t>ch orgá</w:t>
      </w:r>
      <w:r w:rsidRPr="00BF6BBA">
        <w:rPr>
          <w:rFonts w:hint="default"/>
          <w:color w:val="000000"/>
        </w:rPr>
        <w:t>nov š</w:t>
      </w:r>
      <w:r w:rsidRPr="00BF6BBA">
        <w:rPr>
          <w:rFonts w:hint="default"/>
          <w:color w:val="000000"/>
        </w:rPr>
        <w:t>tá</w:t>
      </w:r>
      <w:r w:rsidRPr="00BF6BBA">
        <w:rPr>
          <w:rFonts w:hint="default"/>
          <w:color w:val="000000"/>
        </w:rPr>
        <w:t>tnej sprá</w:t>
      </w:r>
      <w:r w:rsidRPr="00BF6BBA">
        <w:rPr>
          <w:rFonts w:hint="default"/>
          <w:color w:val="000000"/>
        </w:rPr>
        <w:t>vy zodpovedný</w:t>
      </w:r>
      <w:r w:rsidRPr="00BF6BBA">
        <w:rPr>
          <w:rFonts w:hint="default"/>
          <w:color w:val="000000"/>
        </w:rPr>
        <w:t>ch za transpozí</w:t>
      </w:r>
      <w:r w:rsidRPr="00BF6BBA">
        <w:rPr>
          <w:rFonts w:hint="default"/>
          <w:color w:val="000000"/>
        </w:rPr>
        <w:t>ciu smerní</w:t>
      </w:r>
      <w:r w:rsidRPr="00BF6BBA">
        <w:rPr>
          <w:rFonts w:hint="default"/>
          <w:color w:val="000000"/>
        </w:rPr>
        <w:t>c a vypracovanie tabuliek zhody k ná</w:t>
      </w:r>
      <w:r w:rsidRPr="00BF6BBA">
        <w:rPr>
          <w:rFonts w:hint="default"/>
          <w:color w:val="000000"/>
        </w:rPr>
        <w:t>vrhom vš</w:t>
      </w:r>
      <w:r w:rsidRPr="00BF6BBA">
        <w:rPr>
          <w:rFonts w:hint="default"/>
          <w:color w:val="000000"/>
        </w:rPr>
        <w:t>eobecne zá</w:t>
      </w:r>
      <w:r w:rsidRPr="00BF6BBA">
        <w:rPr>
          <w:rFonts w:hint="default"/>
          <w:color w:val="000000"/>
        </w:rPr>
        <w:t>vä</w:t>
      </w:r>
      <w:r w:rsidRPr="00BF6BBA">
        <w:rPr>
          <w:rFonts w:hint="default"/>
          <w:color w:val="000000"/>
        </w:rPr>
        <w:t>zný</w:t>
      </w:r>
      <w:r w:rsidRPr="00BF6BBA">
        <w:rPr>
          <w:rFonts w:hint="default"/>
          <w:color w:val="000000"/>
        </w:rPr>
        <w:t>ch prá</w:t>
      </w:r>
      <w:r w:rsidRPr="00BF6BBA">
        <w:rPr>
          <w:rFonts w:hint="default"/>
          <w:color w:val="000000"/>
        </w:rPr>
        <w:t>vnych predpisov</w:t>
      </w:r>
    </w:p>
    <w:p w:rsidR="005A062D" w:rsidRPr="00BF6BBA" w:rsidP="005A062D">
      <w:pPr>
        <w:bidi w:val="0"/>
        <w:ind w:left="709" w:hanging="349"/>
        <w:jc w:val="both"/>
      </w:pPr>
      <w:r w:rsidRPr="00BF6BBA">
        <w:tab/>
      </w:r>
    </w:p>
    <w:p w:rsidR="005A062D" w:rsidRPr="00BF6BBA" w:rsidP="005A062D">
      <w:pPr>
        <w:bidi w:val="0"/>
        <w:jc w:val="both"/>
        <w:rPr>
          <w:rFonts w:hint="default"/>
        </w:rPr>
      </w:pPr>
      <w:r w:rsidRPr="00BF6BBA">
        <w:t>c)</w:t>
      </w:r>
      <w:r>
        <w:t xml:space="preserve"> </w:t>
      </w:r>
      <w:r w:rsidRPr="00BF6BBA">
        <w:rPr>
          <w:rFonts w:hint="default"/>
        </w:rPr>
        <w:t>informá</w:t>
      </w:r>
      <w:r w:rsidRPr="00BF6BBA">
        <w:rPr>
          <w:rFonts w:hint="default"/>
        </w:rPr>
        <w:t>cia o konaní</w:t>
      </w:r>
      <w:r w:rsidRPr="00BF6BBA">
        <w:rPr>
          <w:rFonts w:hint="default"/>
        </w:rPr>
        <w:t xml:space="preserve"> zač</w:t>
      </w:r>
      <w:r w:rsidRPr="00BF6BBA">
        <w:rPr>
          <w:rFonts w:hint="default"/>
        </w:rPr>
        <w:t>atom proti Slovenskej republike o poruš</w:t>
      </w:r>
      <w:r w:rsidRPr="00BF6BBA">
        <w:rPr>
          <w:rFonts w:hint="default"/>
        </w:rPr>
        <w:t>ení</w:t>
      </w:r>
      <w:r w:rsidRPr="00BF6BBA">
        <w:rPr>
          <w:rFonts w:hint="default"/>
        </w:rPr>
        <w:t xml:space="preserve"> podľ</w:t>
      </w:r>
      <w:r w:rsidRPr="00BF6BBA">
        <w:rPr>
          <w:rFonts w:hint="default"/>
        </w:rPr>
        <w:t>a č</w:t>
      </w:r>
      <w:r w:rsidRPr="00BF6BBA">
        <w:rPr>
          <w:rFonts w:hint="default"/>
        </w:rPr>
        <w:t>l. 258 až</w:t>
      </w:r>
      <w:r w:rsidRPr="00BF6BBA">
        <w:rPr>
          <w:rFonts w:hint="default"/>
        </w:rPr>
        <w:t xml:space="preserve"> 2</w:t>
      </w:r>
      <w:r w:rsidRPr="00BF6BBA">
        <w:rPr>
          <w:rFonts w:hint="default"/>
        </w:rPr>
        <w:t>60 Zmluvy o fungovaní</w:t>
      </w:r>
      <w:r w:rsidRPr="00BF6BBA">
        <w:rPr>
          <w:rFonts w:hint="default"/>
        </w:rPr>
        <w:t xml:space="preserve"> Euró</w:t>
      </w:r>
      <w:r w:rsidRPr="00BF6BBA">
        <w:rPr>
          <w:rFonts w:hint="default"/>
        </w:rPr>
        <w:t>pskej ú</w:t>
      </w:r>
      <w:r w:rsidRPr="00BF6BBA">
        <w:rPr>
          <w:rFonts w:hint="default"/>
        </w:rPr>
        <w:t>nie</w:t>
      </w:r>
    </w:p>
    <w:p w:rsidR="005A062D" w:rsidRPr="00BF6BBA" w:rsidP="005A062D">
      <w:pPr>
        <w:bidi w:val="0"/>
        <w:ind w:left="720"/>
        <w:jc w:val="both"/>
      </w:pPr>
    </w:p>
    <w:p w:rsidR="005A062D" w:rsidRPr="00BF6BBA" w:rsidP="005A062D">
      <w:pPr>
        <w:bidi w:val="0"/>
        <w:jc w:val="both"/>
        <w:rPr>
          <w:rFonts w:hint="default"/>
        </w:rPr>
      </w:pPr>
      <w:r w:rsidRPr="00BF6BBA">
        <w:t>d)</w:t>
      </w:r>
      <w:r>
        <w:t xml:space="preserve"> </w:t>
      </w:r>
      <w:r w:rsidRPr="00BF6BBA">
        <w:rPr>
          <w:rFonts w:hint="default"/>
        </w:rPr>
        <w:t>informá</w:t>
      </w:r>
      <w:r w:rsidRPr="00BF6BBA">
        <w:rPr>
          <w:rFonts w:hint="default"/>
        </w:rPr>
        <w:t>cia o prá</w:t>
      </w:r>
      <w:r w:rsidRPr="00BF6BBA">
        <w:rPr>
          <w:rFonts w:hint="default"/>
        </w:rPr>
        <w:t>vnych predpisoch, v ktorý</w:t>
      </w:r>
      <w:r w:rsidRPr="00BF6BBA">
        <w:rPr>
          <w:rFonts w:hint="default"/>
        </w:rPr>
        <w:t>ch sú</w:t>
      </w:r>
      <w:r w:rsidRPr="00BF6BBA">
        <w:rPr>
          <w:rFonts w:hint="default"/>
        </w:rPr>
        <w:t xml:space="preserve"> preberané</w:t>
      </w:r>
      <w:r w:rsidRPr="00BF6BBA">
        <w:rPr>
          <w:rFonts w:hint="default"/>
        </w:rPr>
        <w:t xml:space="preserve"> smernice už</w:t>
      </w:r>
      <w:r w:rsidRPr="00BF6BBA">
        <w:rPr>
          <w:rFonts w:hint="default"/>
        </w:rPr>
        <w:t xml:space="preserve"> prebraté</w:t>
      </w:r>
      <w:r w:rsidRPr="00BF6BBA">
        <w:rPr>
          <w:rFonts w:hint="default"/>
        </w:rPr>
        <w:t xml:space="preserve"> spolu s uvedení</w:t>
      </w:r>
      <w:r w:rsidRPr="00BF6BBA">
        <w:rPr>
          <w:rFonts w:hint="default"/>
        </w:rPr>
        <w:t>m rozsahu tohto prebratia</w:t>
      </w:r>
    </w:p>
    <w:p w:rsidR="005A062D" w:rsidRPr="00BF6BBA" w:rsidP="005A062D">
      <w:pPr>
        <w:bidi w:val="0"/>
        <w:ind w:left="720"/>
      </w:pPr>
    </w:p>
    <w:p w:rsidR="005A062D" w:rsidP="005A062D">
      <w:pPr>
        <w:bidi w:val="0"/>
        <w:jc w:val="both"/>
      </w:pPr>
      <w:r w:rsidRPr="00BF6BBA">
        <w:rPr>
          <w:rFonts w:hint="default"/>
        </w:rPr>
        <w:t>Zá</w:t>
      </w:r>
      <w:r w:rsidRPr="00BF6BBA">
        <w:rPr>
          <w:rFonts w:hint="default"/>
        </w:rPr>
        <w:t>kon, ktorý</w:t>
      </w:r>
      <w:r w:rsidRPr="00BF6BBA">
        <w:rPr>
          <w:rFonts w:hint="default"/>
        </w:rPr>
        <w:t>m sa mení</w:t>
      </w:r>
      <w:r w:rsidRPr="00BF6BBA">
        <w:rPr>
          <w:rFonts w:hint="default"/>
        </w:rPr>
        <w:t xml:space="preserve"> a dopĺň</w:t>
      </w:r>
      <w:r w:rsidRPr="00BF6BBA">
        <w:rPr>
          <w:rFonts w:hint="default"/>
        </w:rPr>
        <w:t>a zá</w:t>
      </w:r>
      <w:r w:rsidRPr="00BF6BBA">
        <w:rPr>
          <w:rFonts w:hint="default"/>
        </w:rPr>
        <w:t>kon č</w:t>
      </w:r>
      <w:r w:rsidRPr="00BF6BBA">
        <w:rPr>
          <w:rFonts w:hint="default"/>
        </w:rPr>
        <w:t>. 365/2004 Z. z. o rovnakom zaobchá</w:t>
      </w:r>
      <w:r w:rsidRPr="00BF6BBA">
        <w:rPr>
          <w:rFonts w:hint="default"/>
        </w:rPr>
        <w:t>dzaní</w:t>
      </w:r>
      <w:r w:rsidRPr="00BF6BBA">
        <w:rPr>
          <w:rFonts w:hint="default"/>
        </w:rPr>
        <w:t xml:space="preserve"> v niektorý</w:t>
      </w:r>
      <w:r w:rsidRPr="00BF6BBA">
        <w:rPr>
          <w:rFonts w:hint="default"/>
        </w:rPr>
        <w:t>ch obl</w:t>
      </w:r>
      <w:r w:rsidRPr="00BF6BBA">
        <w:rPr>
          <w:rFonts w:hint="default"/>
        </w:rPr>
        <w:t>astiach a o ochrane pred diskriminá</w:t>
      </w:r>
      <w:r w:rsidRPr="00BF6BBA">
        <w:rPr>
          <w:rFonts w:hint="default"/>
        </w:rPr>
        <w:t>ciou a o zmene a doplnení</w:t>
      </w:r>
      <w:r w:rsidRPr="00BF6BBA">
        <w:rPr>
          <w:rFonts w:hint="default"/>
        </w:rPr>
        <w:t xml:space="preserve"> niektorý</w:t>
      </w:r>
      <w:r w:rsidRPr="00BF6BBA">
        <w:rPr>
          <w:rFonts w:hint="default"/>
        </w:rPr>
        <w:t>ch zá</w:t>
      </w:r>
      <w:r w:rsidRPr="00BF6BBA">
        <w:rPr>
          <w:rFonts w:hint="default"/>
        </w:rPr>
        <w:t>konov (antidiskriminač</w:t>
      </w:r>
      <w:r w:rsidRPr="00BF6BBA">
        <w:rPr>
          <w:rFonts w:hint="default"/>
        </w:rPr>
        <w:t>ný</w:t>
      </w:r>
      <w:r w:rsidRPr="00BF6BBA">
        <w:rPr>
          <w:rFonts w:hint="default"/>
        </w:rPr>
        <w:t xml:space="preserve"> zá</w:t>
      </w:r>
      <w:r w:rsidRPr="00BF6BBA">
        <w:rPr>
          <w:rFonts w:hint="default"/>
        </w:rPr>
        <w:t>kon) v znení</w:t>
      </w:r>
      <w:r w:rsidRPr="00BF6BBA">
        <w:rPr>
          <w:rFonts w:hint="default"/>
        </w:rPr>
        <w:t xml:space="preserve"> neskorší</w:t>
      </w:r>
      <w:r w:rsidRPr="00BF6BBA">
        <w:rPr>
          <w:rFonts w:hint="default"/>
        </w:rPr>
        <w:t xml:space="preserve">ch predpisov </w:t>
      </w:r>
    </w:p>
    <w:p w:rsidR="005A062D" w:rsidRPr="00BF6BBA" w:rsidP="005A062D">
      <w:pPr>
        <w:bidi w:val="0"/>
        <w:jc w:val="both"/>
        <w:rPr>
          <w:rFonts w:hint="default"/>
        </w:rPr>
      </w:pPr>
      <w:r w:rsidRPr="00BF6BBA">
        <w:br/>
      </w:r>
      <w:r w:rsidRPr="00BF6BBA">
        <w:rPr>
          <w:rFonts w:hint="default"/>
        </w:rPr>
        <w:t>Zá</w:t>
      </w:r>
      <w:r w:rsidRPr="00BF6BBA">
        <w:rPr>
          <w:rFonts w:hint="default"/>
        </w:rPr>
        <w:t>kon č</w:t>
      </w:r>
      <w:r w:rsidRPr="00BF6BBA">
        <w:rPr>
          <w:rFonts w:hint="default"/>
        </w:rPr>
        <w:t>. 8/2008 Z. z. o poisť</w:t>
      </w:r>
      <w:r w:rsidRPr="00BF6BBA">
        <w:rPr>
          <w:rFonts w:hint="default"/>
        </w:rPr>
        <w:t>ovní</w:t>
      </w:r>
      <w:r w:rsidRPr="00BF6BBA">
        <w:rPr>
          <w:rFonts w:hint="default"/>
        </w:rPr>
        <w:t>ctve a o zmene a doplnení</w:t>
      </w:r>
      <w:r w:rsidRPr="00BF6BBA">
        <w:rPr>
          <w:rFonts w:hint="default"/>
        </w:rPr>
        <w:t xml:space="preserve"> niektorý</w:t>
      </w:r>
      <w:r w:rsidRPr="00BF6BBA">
        <w:rPr>
          <w:rFonts w:hint="default"/>
        </w:rPr>
        <w:t>ch zá</w:t>
      </w:r>
      <w:r w:rsidRPr="00BF6BBA">
        <w:rPr>
          <w:rFonts w:hint="default"/>
        </w:rPr>
        <w:t>konov v znení</w:t>
      </w:r>
      <w:r w:rsidRPr="00BF6BBA">
        <w:rPr>
          <w:rFonts w:hint="default"/>
        </w:rPr>
        <w:t xml:space="preserve"> neskorší</w:t>
      </w:r>
      <w:r w:rsidRPr="00BF6BBA">
        <w:rPr>
          <w:rFonts w:hint="default"/>
        </w:rPr>
        <w:t>ch predpisov  </w:t>
      </w:r>
    </w:p>
    <w:p w:rsidR="005A062D" w:rsidRPr="00BF6BBA" w:rsidP="005A062D">
      <w:pPr>
        <w:bidi w:val="0"/>
        <w:ind w:firstLine="708"/>
      </w:pPr>
    </w:p>
    <w:p w:rsidR="005A062D" w:rsidRPr="00BF6BBA" w:rsidP="005A062D">
      <w:pPr>
        <w:bidi w:val="0"/>
        <w:ind w:left="360" w:hanging="360"/>
        <w:rPr>
          <w:rFonts w:hint="default"/>
          <w:b/>
        </w:rPr>
      </w:pPr>
      <w:r w:rsidRPr="00BF6BBA">
        <w:rPr>
          <w:b/>
        </w:rPr>
        <w:t>5.</w:t>
        <w:tab/>
      </w:r>
      <w:r w:rsidRPr="00BF6BBA">
        <w:rPr>
          <w:rFonts w:hint="default"/>
          <w:b/>
        </w:rPr>
        <w:t>Stupeň</w:t>
      </w:r>
      <w:r w:rsidRPr="00BF6BBA">
        <w:rPr>
          <w:rFonts w:hint="default"/>
          <w:b/>
        </w:rPr>
        <w:t xml:space="preserve"> zluč</w:t>
      </w:r>
      <w:r w:rsidRPr="00BF6BBA">
        <w:rPr>
          <w:rFonts w:hint="default"/>
          <w:b/>
        </w:rPr>
        <w:t>iteľ</w:t>
      </w:r>
      <w:r w:rsidRPr="00BF6BBA">
        <w:rPr>
          <w:rFonts w:hint="default"/>
          <w:b/>
        </w:rPr>
        <w:t>nosti ná</w:t>
      </w:r>
      <w:r w:rsidRPr="00BF6BBA">
        <w:rPr>
          <w:rFonts w:hint="default"/>
          <w:b/>
        </w:rPr>
        <w:t>vrhu prá</w:t>
      </w:r>
      <w:r w:rsidRPr="00BF6BBA">
        <w:rPr>
          <w:rFonts w:hint="default"/>
          <w:b/>
        </w:rPr>
        <w:t>vneho predpisu s </w:t>
      </w:r>
      <w:r w:rsidRPr="00BF6BBA">
        <w:rPr>
          <w:rFonts w:hint="default"/>
          <w:b/>
        </w:rPr>
        <w:t>prá</w:t>
      </w:r>
      <w:r w:rsidRPr="00BF6BBA">
        <w:rPr>
          <w:rFonts w:hint="default"/>
          <w:b/>
        </w:rPr>
        <w:t>vom Euró</w:t>
      </w:r>
      <w:r w:rsidRPr="00BF6BBA">
        <w:rPr>
          <w:rFonts w:hint="default"/>
          <w:b/>
        </w:rPr>
        <w:t>pskej ú</w:t>
      </w:r>
      <w:r w:rsidRPr="00BF6BBA">
        <w:rPr>
          <w:rFonts w:hint="default"/>
          <w:b/>
        </w:rPr>
        <w:t>nie:</w:t>
      </w:r>
    </w:p>
    <w:p w:rsidR="005A062D" w:rsidRPr="00BF6BBA" w:rsidP="005A062D">
      <w:pPr>
        <w:bidi w:val="0"/>
      </w:pPr>
    </w:p>
    <w:p w:rsidR="005A062D" w:rsidRPr="00BF6BBA" w:rsidP="005A062D">
      <w:pPr>
        <w:bidi w:val="0"/>
        <w:ind w:firstLine="360"/>
        <w:rPr>
          <w:rFonts w:hint="default"/>
        </w:rPr>
      </w:pPr>
      <w:r w:rsidRPr="00BF6BBA">
        <w:rPr>
          <w:rFonts w:hint="default"/>
        </w:rPr>
        <w:t>Stupeň</w:t>
      </w:r>
      <w:r w:rsidRPr="00BF6BBA">
        <w:rPr>
          <w:rFonts w:hint="default"/>
        </w:rPr>
        <w:t xml:space="preserve"> zluč</w:t>
      </w:r>
      <w:r w:rsidRPr="00BF6BBA">
        <w:rPr>
          <w:rFonts w:hint="default"/>
        </w:rPr>
        <w:t>iteľ</w:t>
      </w:r>
      <w:r w:rsidRPr="00BF6BBA">
        <w:rPr>
          <w:rFonts w:hint="default"/>
        </w:rPr>
        <w:t>nosti - ú</w:t>
      </w:r>
      <w:r w:rsidRPr="00BF6BBA">
        <w:rPr>
          <w:rFonts w:hint="default"/>
        </w:rPr>
        <w:t>plný </w:t>
      </w:r>
    </w:p>
    <w:p w:rsidR="005A062D" w:rsidRPr="00BF6BBA" w:rsidP="005A062D">
      <w:pPr>
        <w:bidi w:val="0"/>
      </w:pPr>
    </w:p>
    <w:p w:rsidR="005A062D" w:rsidP="005A062D">
      <w:pPr>
        <w:bidi w:val="0"/>
        <w:jc w:val="both"/>
        <w:rPr>
          <w:rFonts w:cs="Times New Roman"/>
        </w:rPr>
      </w:pPr>
    </w:p>
    <w:p w:rsidR="005A062D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BC6676" w:rsidR="00BC6676">
        <w:rPr>
          <w:rFonts w:eastAsiaTheme="minorEastAsia" w:cs="Times New Roman" w:hint="default"/>
          <w:lang w:eastAsia="en-US" w:bidi="ar-SA"/>
        </w:rPr>
        <w:t>ktorý</w:t>
      </w:r>
      <w:r w:rsidRPr="00BC6676" w:rsidR="00BC6676">
        <w:rPr>
          <w:rFonts w:eastAsiaTheme="minorEastAsia" w:cs="Times New Roman" w:hint="default"/>
          <w:lang w:eastAsia="en-US" w:bidi="ar-SA"/>
        </w:rPr>
        <w:t>m sa mení</w:t>
      </w:r>
      <w:r w:rsidRPr="00BC6676" w:rsidR="00BC6676">
        <w:rPr>
          <w:rFonts w:eastAsiaTheme="minorEastAsia" w:cs="Times New Roman" w:hint="default"/>
          <w:lang w:eastAsia="en-US" w:bidi="ar-SA"/>
        </w:rPr>
        <w:t xml:space="preserve"> a dopĺň</w:t>
      </w:r>
      <w:r w:rsidRPr="00BC6676" w:rsidR="00BC6676">
        <w:rPr>
          <w:rFonts w:eastAsiaTheme="minorEastAsia" w:cs="Times New Roman" w:hint="default"/>
          <w:lang w:eastAsia="en-US" w:bidi="ar-SA"/>
        </w:rPr>
        <w:t>a zá</w:t>
      </w:r>
      <w:r w:rsidRPr="00BC6676" w:rsidR="00BC6676">
        <w:rPr>
          <w:rFonts w:eastAsiaTheme="minorEastAsia" w:cs="Times New Roman" w:hint="default"/>
          <w:lang w:eastAsia="en-US" w:bidi="ar-SA"/>
        </w:rPr>
        <w:t>kon č</w:t>
      </w:r>
      <w:r w:rsidRPr="00BC6676" w:rsidR="00BC6676">
        <w:rPr>
          <w:rFonts w:eastAsiaTheme="minorEastAsia" w:cs="Times New Roman" w:hint="default"/>
          <w:lang w:eastAsia="en-US" w:bidi="ar-SA"/>
        </w:rPr>
        <w:t>. 365/2004 Z. z. o rovnakom zaobchá</w:t>
      </w:r>
      <w:r w:rsidRPr="00BC6676" w:rsidR="00BC6676">
        <w:rPr>
          <w:rFonts w:eastAsiaTheme="minorEastAsia" w:cs="Times New Roman" w:hint="default"/>
          <w:lang w:eastAsia="en-US" w:bidi="ar-SA"/>
        </w:rPr>
        <w:t>dzaní</w:t>
      </w:r>
      <w:r w:rsidRPr="00BC6676" w:rsidR="00BC6676">
        <w:rPr>
          <w:rFonts w:eastAsiaTheme="minorEastAsia" w:cs="Times New Roman" w:hint="default"/>
          <w:lang w:eastAsia="en-US" w:bidi="ar-SA"/>
        </w:rPr>
        <w:t xml:space="preserve"> v niektorý</w:t>
      </w:r>
      <w:r w:rsidRPr="00BC6676" w:rsidR="00BC6676">
        <w:rPr>
          <w:rFonts w:eastAsiaTheme="minorEastAsia" w:cs="Times New Roman" w:hint="default"/>
          <w:lang w:eastAsia="en-US" w:bidi="ar-SA"/>
        </w:rPr>
        <w:t>ch oblastiach a o ochrane pred diskriminá</w:t>
      </w:r>
      <w:r w:rsidRPr="00BC6676" w:rsidR="00BC6676">
        <w:rPr>
          <w:rFonts w:eastAsiaTheme="minorEastAsia" w:cs="Times New Roman" w:hint="default"/>
          <w:lang w:eastAsia="en-US" w:bidi="ar-SA"/>
        </w:rPr>
        <w:t>ciou a o zmene a doplnení</w:t>
      </w:r>
      <w:r w:rsidRPr="00BC6676" w:rsidR="00BC6676">
        <w:rPr>
          <w:rFonts w:eastAsiaTheme="minorEastAsia" w:cs="Times New Roman" w:hint="default"/>
          <w:lang w:eastAsia="en-US" w:bidi="ar-SA"/>
        </w:rPr>
        <w:t xml:space="preserve"> niektorý</w:t>
      </w:r>
      <w:r w:rsidRPr="00BC6676" w:rsidR="00BC6676">
        <w:rPr>
          <w:rFonts w:eastAsiaTheme="minorEastAsia" w:cs="Times New Roman" w:hint="default"/>
          <w:lang w:eastAsia="en-US" w:bidi="ar-SA"/>
        </w:rPr>
        <w:t>ch zá</w:t>
      </w:r>
      <w:r w:rsidRPr="00BC6676" w:rsidR="00BC6676">
        <w:rPr>
          <w:rFonts w:eastAsiaTheme="minorEastAsia" w:cs="Times New Roman" w:hint="default"/>
          <w:lang w:eastAsia="en-US" w:bidi="ar-SA"/>
        </w:rPr>
        <w:t>konov (antidiskriminač</w:t>
      </w:r>
      <w:r w:rsidRPr="00BC6676" w:rsidR="00BC6676">
        <w:rPr>
          <w:rFonts w:eastAsiaTheme="minorEastAsia" w:cs="Times New Roman" w:hint="default"/>
          <w:lang w:eastAsia="en-US" w:bidi="ar-SA"/>
        </w:rPr>
        <w:t>ný</w:t>
      </w:r>
      <w:r w:rsidRPr="00BC6676" w:rsidR="00BC6676">
        <w:rPr>
          <w:rFonts w:eastAsiaTheme="minorEastAsia" w:cs="Times New Roman" w:hint="default"/>
          <w:lang w:eastAsia="en-US" w:bidi="ar-SA"/>
        </w:rPr>
        <w:t xml:space="preserve"> zá</w:t>
      </w:r>
      <w:r w:rsidRPr="00BC6676" w:rsidR="00BC6676">
        <w:rPr>
          <w:rFonts w:eastAsiaTheme="minorEastAsia" w:cs="Times New Roman" w:hint="default"/>
          <w:lang w:eastAsia="en-US" w:bidi="ar-SA"/>
        </w:rPr>
        <w:t>kon) v znení</w:t>
      </w:r>
      <w:r w:rsidRPr="00BC6676" w:rsidR="00BC6676">
        <w:rPr>
          <w:rFonts w:eastAsiaTheme="minorEastAsia" w:cs="Times New Roman" w:hint="default"/>
          <w:lang w:eastAsia="en-US" w:bidi="ar-SA"/>
        </w:rPr>
        <w:t xml:space="preserve"> neskorší</w:t>
      </w:r>
      <w:r w:rsidRPr="00BC6676" w:rsidR="00BC6676">
        <w:rPr>
          <w:rFonts w:eastAsiaTheme="minorEastAsia" w:cs="Times New Roman" w:hint="default"/>
          <w:lang w:eastAsia="en-US" w:bidi="ar-SA"/>
        </w:rPr>
        <w:t>ch predpisov a kt</w:t>
      </w:r>
      <w:r w:rsidRPr="00BC6676" w:rsidR="00BC6676">
        <w:rPr>
          <w:rFonts w:eastAsiaTheme="minorEastAsia" w:cs="Times New Roman" w:hint="default"/>
          <w:lang w:eastAsia="en-US" w:bidi="ar-SA"/>
        </w:rPr>
        <w:t>orý</w:t>
      </w:r>
      <w:r w:rsidRPr="00BC6676" w:rsidR="00BC6676">
        <w:rPr>
          <w:rFonts w:eastAsiaTheme="minorEastAsia" w:cs="Times New Roman" w:hint="default"/>
          <w:lang w:eastAsia="en-US" w:bidi="ar-SA"/>
        </w:rPr>
        <w:t>m sa menia a dopĺň</w:t>
      </w:r>
      <w:r w:rsidRPr="00BC6676" w:rsidR="00BC6676">
        <w:rPr>
          <w:rFonts w:eastAsiaTheme="minorEastAsia" w:cs="Times New Roman" w:hint="default"/>
          <w:lang w:eastAsia="en-US" w:bidi="ar-SA"/>
        </w:rPr>
        <w:t>ajú</w:t>
      </w:r>
      <w:r w:rsidRPr="00BC6676" w:rsidR="00BC6676">
        <w:rPr>
          <w:rFonts w:eastAsiaTheme="minorEastAsia" w:cs="Times New Roman" w:hint="default"/>
          <w:lang w:eastAsia="en-US" w:bidi="ar-SA"/>
        </w:rPr>
        <w:t xml:space="preserve"> niektoré</w:t>
      </w:r>
      <w:r w:rsidRPr="00BC6676" w:rsidR="00BC6676">
        <w:rPr>
          <w:rFonts w:eastAsiaTheme="minorEastAsia" w:cs="Times New Roman" w:hint="default"/>
          <w:lang w:eastAsia="en-US" w:bidi="ar-SA"/>
        </w:rPr>
        <w:t xml:space="preserve"> zá</w:t>
      </w:r>
      <w:r w:rsidRPr="00BC6676" w:rsidR="00BC6676">
        <w:rPr>
          <w:rFonts w:eastAsiaTheme="minorEastAsia" w:cs="Times New Roman" w:hint="default"/>
          <w:lang w:eastAsia="en-US" w:bidi="ar-SA"/>
        </w:rPr>
        <w:t>kony.</w:t>
      </w:r>
    </w:p>
    <w:p w:rsidR="00BC6676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64CB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9446B5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264CBF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5F46CA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E0C40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5F46CA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F46C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AE0C40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5F46CA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F46C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5F46CA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F46C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264CBF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zanedbateľ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ktoré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môž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 vzniknúť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plnení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novo ulož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povinností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Na druhej strane,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 ustanovuje 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ukladania pokú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t, ktoré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jmom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tneho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tu. Nemož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tiež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opomenúť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skuto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pokiaľ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by sa prostrední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ctvom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podarilo zniž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rozdiely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odmeň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medzi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enami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muž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tak,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by priemerné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odmeny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ien stú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pali smerom 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priemerný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odmená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muž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ov,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také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hoto zniž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ovania platový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rozdielov by mal úž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itok aj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(v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y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ber daní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odvodov).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chto dô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vodov predkladatelia 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ako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vne, tak aj 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vy; ich povaha ale neumožň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presnú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5F38F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kvantifiká</w:t>
      </w:r>
      <w:r w:rsidR="005F38F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ciu.</w:t>
      </w:r>
    </w:p>
    <w:p w:rsidR="005F38F6" w:rsidRPr="00264CBF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Vď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aka dodrž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iavaniu princí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pu „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one in, one out“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aj neg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podnikateľ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prostredie. Sociá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vplyvy i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vplyvy na informatizá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ciu spoloč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 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vne.</w:t>
      </w:r>
    </w:p>
    <w:p w:rsidR="00660EC6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5A062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ˇ¦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8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F361D8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A5DBF"/>
    <w:rsid w:val="000B14B8"/>
    <w:rsid w:val="000B2B2D"/>
    <w:rsid w:val="000B3BCB"/>
    <w:rsid w:val="000B4E2E"/>
    <w:rsid w:val="000C4783"/>
    <w:rsid w:val="000C77FF"/>
    <w:rsid w:val="000D259A"/>
    <w:rsid w:val="000E2096"/>
    <w:rsid w:val="000E5723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2021"/>
    <w:rsid w:val="00254990"/>
    <w:rsid w:val="002562F1"/>
    <w:rsid w:val="00263D30"/>
    <w:rsid w:val="00264023"/>
    <w:rsid w:val="00264CBF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4003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1185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1F6F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062D"/>
    <w:rsid w:val="005A5F10"/>
    <w:rsid w:val="005A62F6"/>
    <w:rsid w:val="005B3438"/>
    <w:rsid w:val="005B3517"/>
    <w:rsid w:val="005B70F2"/>
    <w:rsid w:val="005C15AB"/>
    <w:rsid w:val="005C3E41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38F6"/>
    <w:rsid w:val="005F4463"/>
    <w:rsid w:val="005F46CA"/>
    <w:rsid w:val="005F5FD5"/>
    <w:rsid w:val="006013BC"/>
    <w:rsid w:val="00604C09"/>
    <w:rsid w:val="00617BDA"/>
    <w:rsid w:val="006263C3"/>
    <w:rsid w:val="00631565"/>
    <w:rsid w:val="00632296"/>
    <w:rsid w:val="00645EA6"/>
    <w:rsid w:val="00646694"/>
    <w:rsid w:val="0065651A"/>
    <w:rsid w:val="00660EC6"/>
    <w:rsid w:val="0066573B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C9C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679"/>
    <w:rsid w:val="007C1866"/>
    <w:rsid w:val="007C49E3"/>
    <w:rsid w:val="007D14D5"/>
    <w:rsid w:val="007D6F6A"/>
    <w:rsid w:val="007E17C6"/>
    <w:rsid w:val="007E3D61"/>
    <w:rsid w:val="007E4594"/>
    <w:rsid w:val="007E71A4"/>
    <w:rsid w:val="007F3D73"/>
    <w:rsid w:val="008055E0"/>
    <w:rsid w:val="00810216"/>
    <w:rsid w:val="008138C2"/>
    <w:rsid w:val="0082006F"/>
    <w:rsid w:val="008207C5"/>
    <w:rsid w:val="00822246"/>
    <w:rsid w:val="008271C9"/>
    <w:rsid w:val="0083467F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E17A2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06C7"/>
    <w:rsid w:val="00937B77"/>
    <w:rsid w:val="009446B5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735FB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2D9B"/>
    <w:rsid w:val="00AC3D7D"/>
    <w:rsid w:val="00AC4AC4"/>
    <w:rsid w:val="00AC743E"/>
    <w:rsid w:val="00AD7DC9"/>
    <w:rsid w:val="00AE0A25"/>
    <w:rsid w:val="00AE0C40"/>
    <w:rsid w:val="00B02805"/>
    <w:rsid w:val="00B030C4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42D7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939E7"/>
    <w:rsid w:val="00BA1124"/>
    <w:rsid w:val="00BB200C"/>
    <w:rsid w:val="00BB30C7"/>
    <w:rsid w:val="00BC6676"/>
    <w:rsid w:val="00BC6D0D"/>
    <w:rsid w:val="00BD24F9"/>
    <w:rsid w:val="00BD277A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13E4"/>
    <w:rsid w:val="00C13BDA"/>
    <w:rsid w:val="00C155FD"/>
    <w:rsid w:val="00C16709"/>
    <w:rsid w:val="00C17ECC"/>
    <w:rsid w:val="00C31244"/>
    <w:rsid w:val="00C354E6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38B6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37F3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1F4C"/>
    <w:rsid w:val="00F33DCC"/>
    <w:rsid w:val="00F361D8"/>
    <w:rsid w:val="00F36984"/>
    <w:rsid w:val="00F52A81"/>
    <w:rsid w:val="00F53720"/>
    <w:rsid w:val="00F56B4E"/>
    <w:rsid w:val="00F6061C"/>
    <w:rsid w:val="00F60E00"/>
    <w:rsid w:val="00F65A5A"/>
    <w:rsid w:val="00F74DDA"/>
    <w:rsid w:val="00F81414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EC947-7DC4-4365-A8D2-03FC3E82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742</Words>
  <Characters>4236</Characters>
  <Application>Microsoft Office Word</Application>
  <DocSecurity>0</DocSecurity>
  <Lines>0</Lines>
  <Paragraphs>0</Paragraphs>
  <ScaleCrop>false</ScaleCrop>
  <Company>HP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2018-08-24T11:45:00Z</cp:lastPrinted>
  <dcterms:created xsi:type="dcterms:W3CDTF">2018-08-24T14:36:00Z</dcterms:created>
  <dcterms:modified xsi:type="dcterms:W3CDTF">2018-08-24T14:36:00Z</dcterms:modified>
</cp:coreProperties>
</file>