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1142D" w:rsidP="00A3748D">
      <w:pPr>
        <w:bidi w:val="0"/>
        <w:spacing w:before="120" w:line="276" w:lineRule="auto"/>
        <w:jc w:val="center"/>
        <w:rPr>
          <w:rStyle w:val="apple-style-span"/>
          <w:rFonts w:ascii="Book Antiqua" w:hAnsi="Book Antiqua"/>
          <w:b/>
          <w:sz w:val="22"/>
          <w:szCs w:val="22"/>
        </w:rPr>
      </w:pPr>
      <w:r w:rsidRPr="00A3748D">
        <w:rPr>
          <w:rStyle w:val="apple-style-span"/>
          <w:rFonts w:ascii="Book Antiqua" w:hAnsi="Book Antiqua"/>
          <w:b/>
          <w:sz w:val="22"/>
          <w:szCs w:val="22"/>
        </w:rPr>
        <w:t>DÔVODOVÁ SPRÁVA</w:t>
      </w:r>
    </w:p>
    <w:p w:rsidR="00DD7F03" w:rsidRPr="00A3748D" w:rsidP="00A3748D">
      <w:pPr>
        <w:bidi w:val="0"/>
        <w:spacing w:before="120" w:line="276" w:lineRule="auto"/>
        <w:jc w:val="center"/>
        <w:rPr>
          <w:rStyle w:val="apple-style-span"/>
          <w:rFonts w:ascii="Book Antiqua" w:hAnsi="Book Antiqua"/>
          <w:b/>
          <w:sz w:val="22"/>
          <w:szCs w:val="22"/>
        </w:rPr>
      </w:pPr>
    </w:p>
    <w:p w:rsidR="0021142D" w:rsidRPr="00A3748D" w:rsidP="00A3748D">
      <w:pPr>
        <w:pStyle w:val="NoSpacing"/>
        <w:bidi w:val="0"/>
        <w:spacing w:before="120" w:line="276" w:lineRule="auto"/>
        <w:jc w:val="both"/>
        <w:rPr>
          <w:rStyle w:val="apple-style-span"/>
          <w:rFonts w:ascii="Book Antiqua" w:hAnsi="Book Antiqua" w:hint="default"/>
          <w:b/>
          <w:sz w:val="22"/>
          <w:szCs w:val="22"/>
        </w:rPr>
      </w:pPr>
      <w:r w:rsidRPr="00A3748D">
        <w:rPr>
          <w:rStyle w:val="apple-style-span"/>
          <w:rFonts w:ascii="Book Antiqua" w:hAnsi="Book Antiqua" w:hint="default"/>
          <w:b/>
          <w:sz w:val="22"/>
          <w:szCs w:val="22"/>
        </w:rPr>
        <w:t>A. Vš</w:t>
      </w:r>
      <w:r w:rsidRPr="00A3748D">
        <w:rPr>
          <w:rStyle w:val="apple-style-span"/>
          <w:rFonts w:ascii="Book Antiqua" w:hAnsi="Book Antiqua" w:hint="default"/>
          <w:b/>
          <w:sz w:val="22"/>
          <w:szCs w:val="22"/>
        </w:rPr>
        <w:t>eobecná</w:t>
      </w:r>
      <w:r w:rsidRPr="00A3748D">
        <w:rPr>
          <w:rStyle w:val="apple-style-span"/>
          <w:rFonts w:ascii="Book Antiqua" w:hAnsi="Book Antiqua" w:hint="default"/>
          <w:b/>
          <w:sz w:val="22"/>
          <w:szCs w:val="22"/>
        </w:rPr>
        <w:t xml:space="preserve"> č</w:t>
      </w:r>
      <w:r w:rsidRPr="00A3748D">
        <w:rPr>
          <w:rStyle w:val="apple-style-span"/>
          <w:rFonts w:ascii="Book Antiqua" w:hAnsi="Book Antiqua" w:hint="default"/>
          <w:b/>
          <w:sz w:val="22"/>
          <w:szCs w:val="22"/>
        </w:rPr>
        <w:t>asť</w:t>
      </w:r>
    </w:p>
    <w:p w:rsidR="00E1027E" w:rsidRPr="00A3748D" w:rsidP="00A3748D">
      <w:pPr>
        <w:bidi w:val="0"/>
        <w:spacing w:before="120" w:line="276" w:lineRule="auto"/>
        <w:ind w:firstLine="709"/>
        <w:jc w:val="both"/>
        <w:rPr>
          <w:rFonts w:ascii="Book Antiqua" w:hAnsi="Book Antiqua" w:cs="Arial"/>
          <w:sz w:val="22"/>
          <w:szCs w:val="22"/>
        </w:rPr>
      </w:pPr>
      <w:r w:rsidRPr="00A3748D">
        <w:rPr>
          <w:rFonts w:ascii="Book Antiqua" w:hAnsi="Book Antiqua" w:cs="Book Antiqua"/>
          <w:sz w:val="22"/>
          <w:szCs w:val="22"/>
        </w:rPr>
        <w:t xml:space="preserve">Návrh zákona, ktorým </w:t>
      </w:r>
      <w:r w:rsidRPr="00A3748D">
        <w:rPr>
          <w:rFonts w:ascii="Book Antiqua" w:hAnsi="Book Antiqua" w:cs="Book Antiqua"/>
          <w:bCs/>
          <w:sz w:val="22"/>
          <w:szCs w:val="22"/>
        </w:rPr>
        <w:t xml:space="preserve">sa mení a dopĺňa zákon </w:t>
      </w:r>
      <w:r w:rsidRPr="00A3748D">
        <w:rPr>
          <w:rFonts w:ascii="Book Antiqua" w:hAnsi="Book Antiqua"/>
          <w:sz w:val="22"/>
          <w:szCs w:val="22"/>
        </w:rPr>
        <w:t>č. 90/2016 Z. z. o úveroch na bývanie a o zmene a doplnení niektorých zákonov</w:t>
      </w:r>
      <w:r w:rsidRPr="00A3748D">
        <w:rPr>
          <w:rFonts w:ascii="Book Antiqua" w:hAnsi="Book Antiqua"/>
          <w:b/>
          <w:sz w:val="22"/>
          <w:szCs w:val="22"/>
        </w:rPr>
        <w:t xml:space="preserve"> </w:t>
      </w:r>
      <w:r w:rsidRPr="00A3748D">
        <w:rPr>
          <w:rFonts w:ascii="Book Antiqua" w:hAnsi="Book Antiqua"/>
          <w:sz w:val="22"/>
          <w:szCs w:val="22"/>
        </w:rPr>
        <w:t xml:space="preserve">v znení neskorších predpisov </w:t>
      </w:r>
      <w:r w:rsidRPr="00A3748D">
        <w:rPr>
          <w:rFonts w:ascii="Book Antiqua" w:hAnsi="Book Antiqua" w:cs="Book Antiqua"/>
          <w:sz w:val="22"/>
          <w:szCs w:val="22"/>
        </w:rPr>
        <w:t>(ďalej len „návrh zákona“) predkladá do legislatívneho procesu skupina poslancov Národnej rady Slovenskej</w:t>
      </w:r>
      <w:r w:rsidR="00A3748D">
        <w:rPr>
          <w:rFonts w:ascii="Book Antiqua" w:hAnsi="Book Antiqua" w:cs="Book Antiqua"/>
          <w:sz w:val="22"/>
          <w:szCs w:val="22"/>
        </w:rPr>
        <w:t xml:space="preserve"> republiky</w:t>
      </w:r>
      <w:r w:rsidRPr="00A3748D">
        <w:rPr>
          <w:rFonts w:ascii="Book Antiqua" w:hAnsi="Book Antiqua"/>
          <w:sz w:val="22"/>
          <w:szCs w:val="22"/>
        </w:rPr>
        <w:t>.</w:t>
      </w:r>
    </w:p>
    <w:p w:rsidR="00C00F93" w:rsidRPr="00A3748D" w:rsidP="00A3748D">
      <w:pPr>
        <w:bidi w:val="0"/>
        <w:spacing w:before="120" w:line="276" w:lineRule="auto"/>
        <w:ind w:firstLine="720"/>
        <w:jc w:val="both"/>
        <w:rPr>
          <w:rFonts w:ascii="Book Antiqua" w:hAnsi="Book Antiqua"/>
          <w:sz w:val="22"/>
          <w:szCs w:val="22"/>
        </w:rPr>
      </w:pPr>
      <w:r w:rsidRPr="00A3748D">
        <w:rPr>
          <w:rFonts w:ascii="Book Antiqua" w:hAnsi="Book Antiqua"/>
          <w:sz w:val="22"/>
          <w:szCs w:val="22"/>
        </w:rPr>
        <w:t xml:space="preserve">Rozhodovanie sa budúcich rodičov o splodení </w:t>
      </w:r>
      <w:r w:rsidRPr="00A3748D" w:rsidR="00F449FC">
        <w:rPr>
          <w:rFonts w:ascii="Book Antiqua" w:hAnsi="Book Antiqua"/>
          <w:sz w:val="22"/>
          <w:szCs w:val="22"/>
        </w:rPr>
        <w:t>potomkov</w:t>
      </w:r>
      <w:r w:rsidRPr="00A3748D" w:rsidR="00E1027E">
        <w:rPr>
          <w:rFonts w:ascii="Book Antiqua" w:hAnsi="Book Antiqua"/>
          <w:sz w:val="22"/>
          <w:szCs w:val="22"/>
        </w:rPr>
        <w:t>, prípadne o osvojení si dieťaťa</w:t>
      </w:r>
      <w:r w:rsidRPr="00A3748D" w:rsidR="00F449FC">
        <w:rPr>
          <w:rFonts w:ascii="Book Antiqua" w:hAnsi="Book Antiqua"/>
          <w:sz w:val="22"/>
          <w:szCs w:val="22"/>
        </w:rPr>
        <w:t xml:space="preserve"> sa </w:t>
      </w:r>
      <w:r w:rsidRPr="00A3748D" w:rsidR="00E1027E">
        <w:rPr>
          <w:rFonts w:ascii="Book Antiqua" w:hAnsi="Book Antiqua"/>
          <w:sz w:val="22"/>
          <w:szCs w:val="22"/>
        </w:rPr>
        <w:t xml:space="preserve">neraz </w:t>
      </w:r>
      <w:r w:rsidRPr="00A3748D" w:rsidR="00F449FC">
        <w:rPr>
          <w:rFonts w:ascii="Book Antiqua" w:hAnsi="Book Antiqua"/>
          <w:sz w:val="22"/>
          <w:szCs w:val="22"/>
        </w:rPr>
        <w:t>odvíja najmä</w:t>
      </w:r>
      <w:r w:rsidRPr="00A3748D">
        <w:rPr>
          <w:rFonts w:ascii="Book Antiqua" w:hAnsi="Book Antiqua"/>
          <w:sz w:val="22"/>
          <w:szCs w:val="22"/>
        </w:rPr>
        <w:t xml:space="preserve"> od ich finančne</w:t>
      </w:r>
      <w:r w:rsidRPr="00A3748D" w:rsidR="00972E0D">
        <w:rPr>
          <w:rFonts w:ascii="Book Antiqua" w:hAnsi="Book Antiqua"/>
          <w:sz w:val="22"/>
          <w:szCs w:val="22"/>
        </w:rPr>
        <w:t>j situácie, ktorá je ovplyvňovaná mnohými faktormi. Z toho dôvodu splodenie dieťaťa</w:t>
      </w:r>
      <w:r w:rsidRPr="00A3748D" w:rsidR="00E1027E">
        <w:rPr>
          <w:rFonts w:ascii="Book Antiqua" w:hAnsi="Book Antiqua"/>
          <w:sz w:val="22"/>
          <w:szCs w:val="22"/>
        </w:rPr>
        <w:t>, resp. osvojenie dieťaťa</w:t>
      </w:r>
      <w:r w:rsidRPr="00A3748D" w:rsidR="00972E0D">
        <w:rPr>
          <w:rFonts w:ascii="Book Antiqua" w:hAnsi="Book Antiqua"/>
          <w:sz w:val="22"/>
          <w:szCs w:val="22"/>
        </w:rPr>
        <w:t xml:space="preserve"> odkladajú, kým je ich finančná situácia na </w:t>
      </w:r>
      <w:r w:rsidRPr="00A3748D" w:rsidR="00E1027E">
        <w:rPr>
          <w:rFonts w:ascii="Book Antiqua" w:hAnsi="Book Antiqua"/>
          <w:sz w:val="22"/>
          <w:szCs w:val="22"/>
        </w:rPr>
        <w:t xml:space="preserve">hmotné </w:t>
      </w:r>
      <w:r w:rsidRPr="00A3748D" w:rsidR="00972E0D">
        <w:rPr>
          <w:rFonts w:ascii="Book Antiqua" w:hAnsi="Book Antiqua"/>
          <w:sz w:val="22"/>
          <w:szCs w:val="22"/>
        </w:rPr>
        <w:t>zabezpečenie dieťaťa dostatočn</w:t>
      </w:r>
      <w:r w:rsidRPr="00A3748D" w:rsidR="00E1027E">
        <w:rPr>
          <w:rFonts w:ascii="Book Antiqua" w:hAnsi="Book Antiqua"/>
          <w:sz w:val="22"/>
          <w:szCs w:val="22"/>
        </w:rPr>
        <w:t>á.</w:t>
      </w:r>
      <w:r w:rsidRPr="00A3748D" w:rsidR="00972E0D">
        <w:rPr>
          <w:rFonts w:ascii="Book Antiqua" w:hAnsi="Book Antiqua"/>
          <w:sz w:val="22"/>
          <w:szCs w:val="22"/>
        </w:rPr>
        <w:t xml:space="preserve"> </w:t>
      </w:r>
      <w:r w:rsidRPr="00A3748D" w:rsidR="00E1027E">
        <w:rPr>
          <w:rFonts w:ascii="Book Antiqua" w:hAnsi="Book Antiqua"/>
          <w:sz w:val="22"/>
          <w:szCs w:val="22"/>
        </w:rPr>
        <w:t>V horšom prípade</w:t>
      </w:r>
      <w:r w:rsidRPr="00A3748D" w:rsidR="00972E0D">
        <w:rPr>
          <w:rFonts w:ascii="Book Antiqua" w:hAnsi="Book Antiqua"/>
          <w:sz w:val="22"/>
          <w:szCs w:val="22"/>
        </w:rPr>
        <w:t xml:space="preserve"> sa rozhodnú dieťaťa z dôvodu možn</w:t>
      </w:r>
      <w:r w:rsidRPr="00A3748D" w:rsidR="00E1027E">
        <w:rPr>
          <w:rFonts w:ascii="Book Antiqua" w:hAnsi="Book Antiqua"/>
          <w:sz w:val="22"/>
          <w:szCs w:val="22"/>
        </w:rPr>
        <w:t>ej insolventnosti vôbec nemať. Schopnosť finančného zabezpečenia</w:t>
      </w:r>
      <w:r w:rsidRPr="00A3748D" w:rsidR="00B16968">
        <w:rPr>
          <w:rFonts w:ascii="Book Antiqua" w:hAnsi="Book Antiqua"/>
          <w:sz w:val="22"/>
          <w:szCs w:val="22"/>
        </w:rPr>
        <w:t>, špeciálne však zabezpečenia bývania</w:t>
      </w:r>
      <w:r w:rsidR="00A3748D">
        <w:rPr>
          <w:rFonts w:ascii="Book Antiqua" w:hAnsi="Book Antiqua"/>
          <w:sz w:val="22"/>
          <w:szCs w:val="22"/>
        </w:rPr>
        <w:t xml:space="preserve"> je neraz</w:t>
      </w:r>
      <w:r w:rsidRPr="00A3748D" w:rsidR="00972E0D">
        <w:rPr>
          <w:rFonts w:ascii="Book Antiqua" w:hAnsi="Book Antiqua"/>
          <w:sz w:val="22"/>
          <w:szCs w:val="22"/>
        </w:rPr>
        <w:t xml:space="preserve"> dôvodom, prečo </w:t>
      </w:r>
      <w:r w:rsidRPr="00A3748D" w:rsidR="00E1027E">
        <w:rPr>
          <w:rFonts w:ascii="Book Antiqua" w:hAnsi="Book Antiqua"/>
          <w:sz w:val="22"/>
          <w:szCs w:val="22"/>
        </w:rPr>
        <w:t xml:space="preserve">majú </w:t>
      </w:r>
      <w:r w:rsidRPr="00A3748D" w:rsidR="00972E0D">
        <w:rPr>
          <w:rFonts w:ascii="Book Antiqua" w:hAnsi="Book Antiqua"/>
          <w:sz w:val="22"/>
          <w:szCs w:val="22"/>
        </w:rPr>
        <w:t xml:space="preserve">rodičia </w:t>
      </w:r>
      <w:r w:rsidRPr="00A3748D" w:rsidR="00E1027E">
        <w:rPr>
          <w:rFonts w:ascii="Book Antiqua" w:hAnsi="Book Antiqua"/>
          <w:sz w:val="22"/>
          <w:szCs w:val="22"/>
        </w:rPr>
        <w:t>menej detí</w:t>
      </w:r>
      <w:r w:rsidR="00A3748D">
        <w:rPr>
          <w:rFonts w:ascii="Book Antiqua" w:hAnsi="Book Antiqua"/>
          <w:sz w:val="22"/>
          <w:szCs w:val="22"/>
        </w:rPr>
        <w:t>,</w:t>
      </w:r>
      <w:r w:rsidRPr="00A3748D" w:rsidR="00E1027E">
        <w:rPr>
          <w:rFonts w:ascii="Book Antiqua" w:hAnsi="Book Antiqua"/>
          <w:sz w:val="22"/>
          <w:szCs w:val="22"/>
        </w:rPr>
        <w:t xml:space="preserve"> ako by chceli mať</w:t>
      </w:r>
      <w:r w:rsidRPr="00A3748D" w:rsidR="00972E0D">
        <w:rPr>
          <w:rFonts w:ascii="Book Antiqua" w:hAnsi="Book Antiqua"/>
          <w:sz w:val="22"/>
          <w:szCs w:val="22"/>
        </w:rPr>
        <w:t>.</w:t>
      </w:r>
    </w:p>
    <w:p w:rsidR="00B16968" w:rsidRPr="00A3748D" w:rsidP="00A3748D">
      <w:pPr>
        <w:bidi w:val="0"/>
        <w:spacing w:before="120" w:line="276" w:lineRule="auto"/>
        <w:ind w:firstLine="720"/>
        <w:jc w:val="both"/>
        <w:rPr>
          <w:rFonts w:ascii="Book Antiqua" w:hAnsi="Book Antiqua"/>
          <w:kern w:val="1"/>
          <w:sz w:val="22"/>
          <w:szCs w:val="22"/>
        </w:rPr>
      </w:pPr>
      <w:r w:rsidRPr="00A3748D">
        <w:rPr>
          <w:rFonts w:ascii="Book Antiqua" w:hAnsi="Book Antiqua"/>
          <w:kern w:val="1"/>
          <w:sz w:val="22"/>
          <w:szCs w:val="22"/>
        </w:rPr>
        <w:t xml:space="preserve">Najčastejším zdrojom financovania bývania sú úvery na bývanie. Ich splátky v značnej miere znižujú rozpočet manželov, respektíve partnerov, ktorí uvažujú nad počatím potomka, resp. osvojením si dieťaťa. Povinnosťou štátu je všemožne chrániť a podporovať rodinu, ktorej neodmysliteľnou súčasťou sú deti. Jedným z nástrojov nepriamej štátnej pomoci rodičom sú tzv. hypotekárne prázdniny, ktoré sa však v dnešnej legislatívnej podobe ukazujú ako nedostatočné a v praxi </w:t>
      </w:r>
      <w:r w:rsidR="0032257B">
        <w:rPr>
          <w:rFonts w:ascii="Book Antiqua" w:hAnsi="Book Antiqua"/>
          <w:kern w:val="1"/>
          <w:sz w:val="22"/>
          <w:szCs w:val="22"/>
        </w:rPr>
        <w:t xml:space="preserve">neraz </w:t>
      </w:r>
      <w:r w:rsidRPr="00A3748D">
        <w:rPr>
          <w:rFonts w:ascii="Book Antiqua" w:hAnsi="Book Antiqua"/>
          <w:kern w:val="1"/>
          <w:sz w:val="22"/>
          <w:szCs w:val="22"/>
        </w:rPr>
        <w:t>nepoužiteľné.</w:t>
      </w:r>
    </w:p>
    <w:p w:rsidR="00B16968" w:rsidRPr="00A3748D" w:rsidP="00A3748D">
      <w:pPr>
        <w:bidi w:val="0"/>
        <w:spacing w:before="120" w:line="276" w:lineRule="auto"/>
        <w:jc w:val="both"/>
        <w:rPr>
          <w:rFonts w:ascii="Book Antiqua" w:hAnsi="Book Antiqua"/>
          <w:b/>
          <w:kern w:val="1"/>
          <w:sz w:val="22"/>
          <w:szCs w:val="22"/>
        </w:rPr>
      </w:pPr>
      <w:r w:rsidRPr="00A3748D">
        <w:rPr>
          <w:rFonts w:ascii="Book Antiqua" w:hAnsi="Book Antiqua"/>
          <w:kern w:val="1"/>
          <w:sz w:val="22"/>
          <w:szCs w:val="22"/>
        </w:rPr>
        <w:tab/>
      </w:r>
      <w:r w:rsidRPr="00A3748D">
        <w:rPr>
          <w:rFonts w:ascii="Book Antiqua" w:hAnsi="Book Antiqua"/>
          <w:b/>
          <w:kern w:val="1"/>
          <w:sz w:val="22"/>
          <w:szCs w:val="22"/>
        </w:rPr>
        <w:t>Cieľom predloženého návrhu zákona je zatraktívnenie tzv. hypotekárnych prázdnin pomocou nasledovných opatrení:</w:t>
      </w:r>
    </w:p>
    <w:p w:rsidR="00B16968" w:rsidRPr="00A3748D" w:rsidP="00A3748D">
      <w:pPr>
        <w:pStyle w:val="ListParagraph"/>
        <w:numPr>
          <w:numId w:val="4"/>
        </w:numPr>
        <w:bidi w:val="0"/>
        <w:spacing w:before="120" w:line="276" w:lineRule="auto"/>
        <w:jc w:val="both"/>
        <w:rPr>
          <w:rFonts w:ascii="Book Antiqua" w:hAnsi="Book Antiqua"/>
          <w:b/>
          <w:kern w:val="1"/>
          <w:sz w:val="22"/>
          <w:szCs w:val="22"/>
        </w:rPr>
      </w:pPr>
      <w:r w:rsidRPr="00A3748D">
        <w:rPr>
          <w:rFonts w:ascii="Book Antiqua" w:hAnsi="Book Antiqua"/>
          <w:b/>
          <w:kern w:val="1"/>
          <w:sz w:val="22"/>
          <w:szCs w:val="22"/>
        </w:rPr>
        <w:t>možnosť podania žiadosti o odklad splátok pre širšiu skupinu spotrebiteľov,</w:t>
      </w:r>
    </w:p>
    <w:p w:rsidR="00B16968" w:rsidRPr="00A3748D" w:rsidP="00A3748D">
      <w:pPr>
        <w:pStyle w:val="ListParagraph"/>
        <w:numPr>
          <w:numId w:val="4"/>
        </w:numPr>
        <w:bidi w:val="0"/>
        <w:spacing w:before="120" w:line="276" w:lineRule="auto"/>
        <w:jc w:val="both"/>
        <w:rPr>
          <w:rFonts w:ascii="Book Antiqua" w:hAnsi="Book Antiqua"/>
          <w:b/>
          <w:kern w:val="1"/>
          <w:sz w:val="22"/>
          <w:szCs w:val="22"/>
        </w:rPr>
      </w:pPr>
      <w:r w:rsidRPr="00A3748D">
        <w:rPr>
          <w:rFonts w:ascii="Book Antiqua" w:hAnsi="Book Antiqua"/>
          <w:b/>
          <w:kern w:val="1"/>
          <w:sz w:val="22"/>
          <w:szCs w:val="22"/>
        </w:rPr>
        <w:t>predĺženie lehoty na podanie žiadosti o odklad splátok,</w:t>
      </w:r>
    </w:p>
    <w:p w:rsidR="00972E0D" w:rsidRPr="00DD7F03" w:rsidP="00DD7F03">
      <w:pPr>
        <w:pStyle w:val="ListParagraph"/>
        <w:numPr>
          <w:numId w:val="4"/>
        </w:numPr>
        <w:bidi w:val="0"/>
        <w:spacing w:before="120" w:line="276" w:lineRule="auto"/>
        <w:jc w:val="both"/>
        <w:rPr>
          <w:rFonts w:ascii="Book Antiqua" w:hAnsi="Book Antiqua"/>
          <w:b/>
          <w:kern w:val="1"/>
          <w:sz w:val="22"/>
          <w:szCs w:val="22"/>
        </w:rPr>
      </w:pPr>
      <w:r w:rsidRPr="00A3748D" w:rsidR="00B16968">
        <w:rPr>
          <w:rFonts w:ascii="Book Antiqua" w:hAnsi="Book Antiqua"/>
          <w:b/>
          <w:kern w:val="1"/>
          <w:sz w:val="22"/>
          <w:szCs w:val="22"/>
        </w:rPr>
        <w:t>predĺženie doby, počas ktorej j</w:t>
      </w:r>
      <w:r w:rsidR="0032257B">
        <w:rPr>
          <w:rFonts w:ascii="Book Antiqua" w:hAnsi="Book Antiqua"/>
          <w:b/>
          <w:kern w:val="1"/>
          <w:sz w:val="22"/>
          <w:szCs w:val="22"/>
        </w:rPr>
        <w:t>e možné využívať odklad splátok</w:t>
      </w:r>
      <w:r w:rsidR="00DD7F03">
        <w:rPr>
          <w:rFonts w:ascii="Book Antiqua" w:hAnsi="Book Antiqua"/>
          <w:b/>
          <w:kern w:val="1"/>
          <w:sz w:val="22"/>
          <w:szCs w:val="22"/>
        </w:rPr>
        <w:t>.</w:t>
      </w:r>
      <w:r w:rsidRPr="00DD7F03" w:rsidR="00B16968">
        <w:rPr>
          <w:rFonts w:ascii="Book Antiqua" w:hAnsi="Book Antiqua"/>
          <w:b/>
          <w:kern w:val="1"/>
          <w:sz w:val="22"/>
          <w:szCs w:val="22"/>
        </w:rPr>
        <w:tab/>
      </w:r>
    </w:p>
    <w:p w:rsidR="00775967" w:rsidRPr="00A3748D" w:rsidP="00A3748D">
      <w:pPr>
        <w:bidi w:val="0"/>
        <w:spacing w:before="120" w:line="276" w:lineRule="auto"/>
        <w:jc w:val="both"/>
        <w:rPr>
          <w:rFonts w:ascii="Book Antiqua" w:hAnsi="Book Antiqua"/>
          <w:sz w:val="22"/>
          <w:szCs w:val="22"/>
        </w:rPr>
      </w:pPr>
      <w:r w:rsidRPr="00A3748D">
        <w:rPr>
          <w:rFonts w:ascii="Book Antiqua" w:hAnsi="Book Antiqua"/>
          <w:sz w:val="22"/>
          <w:szCs w:val="22"/>
        </w:rPr>
        <w:tab/>
      </w:r>
      <w:r w:rsidRPr="00A3748D" w:rsidR="004736D6">
        <w:rPr>
          <w:rFonts w:ascii="Book Antiqua" w:hAnsi="Book Antiqua"/>
          <w:sz w:val="22"/>
          <w:szCs w:val="22"/>
        </w:rPr>
        <w:t>Od návrhu zákona sa očakávajú výrazne pozitívne sociálne vplyvy, najmä v oblasti vplyvov na hospodárenie obyvateľstva</w:t>
      </w:r>
      <w:r w:rsidR="0032257B">
        <w:rPr>
          <w:rFonts w:ascii="Book Antiqua" w:hAnsi="Book Antiqua"/>
          <w:sz w:val="22"/>
          <w:szCs w:val="22"/>
        </w:rPr>
        <w:t>,</w:t>
      </w:r>
      <w:r w:rsidRPr="00A3748D" w:rsidR="004736D6">
        <w:rPr>
          <w:rFonts w:ascii="Book Antiqua" w:hAnsi="Book Antiqua"/>
          <w:sz w:val="22"/>
          <w:szCs w:val="22"/>
        </w:rPr>
        <w:t xml:space="preserve"> ako aj na sociálnu inklúziu. </w:t>
      </w:r>
      <w:r w:rsidRPr="00A3748D">
        <w:rPr>
          <w:rFonts w:ascii="Book Antiqua" w:hAnsi="Book Antiqua"/>
          <w:sz w:val="22"/>
          <w:szCs w:val="22"/>
        </w:rPr>
        <w:t xml:space="preserve">Návrh zákona </w:t>
      </w:r>
      <w:r w:rsidRPr="00A3748D" w:rsidR="004736D6">
        <w:rPr>
          <w:rFonts w:ascii="Book Antiqua" w:hAnsi="Book Antiqua"/>
          <w:sz w:val="22"/>
          <w:szCs w:val="22"/>
        </w:rPr>
        <w:t xml:space="preserve">pritom </w:t>
      </w:r>
      <w:r w:rsidRPr="00A3748D">
        <w:rPr>
          <w:rFonts w:ascii="Book Antiqua" w:hAnsi="Book Antiqua"/>
          <w:sz w:val="22"/>
          <w:szCs w:val="22"/>
        </w:rPr>
        <w:t xml:space="preserve">nemá </w:t>
      </w:r>
      <w:r w:rsidRPr="00A3748D" w:rsidR="004736D6">
        <w:rPr>
          <w:rFonts w:ascii="Book Antiqua" w:hAnsi="Book Antiqua"/>
          <w:sz w:val="22"/>
          <w:szCs w:val="22"/>
        </w:rPr>
        <w:t xml:space="preserve">žiaden </w:t>
      </w:r>
      <w:r w:rsidRPr="00A3748D">
        <w:rPr>
          <w:rFonts w:ascii="Book Antiqua" w:hAnsi="Book Antiqua"/>
          <w:sz w:val="22"/>
          <w:szCs w:val="22"/>
        </w:rPr>
        <w:t>vplyv na rozpočet verejnej správy, keďže sa týka úverov na bývanie poskytovaných bankami</w:t>
      </w:r>
      <w:r w:rsidRPr="00A3748D" w:rsidR="00E1027E">
        <w:rPr>
          <w:rFonts w:ascii="Book Antiqua" w:hAnsi="Book Antiqua"/>
          <w:sz w:val="22"/>
          <w:szCs w:val="22"/>
        </w:rPr>
        <w:t xml:space="preserve"> alebo fyzickými osobami. </w:t>
      </w:r>
      <w:r w:rsidRPr="00A3748D" w:rsidR="004736D6">
        <w:rPr>
          <w:rFonts w:ascii="Book Antiqua" w:hAnsi="Book Antiqua"/>
          <w:sz w:val="22"/>
          <w:szCs w:val="22"/>
        </w:rPr>
        <w:t>N</w:t>
      </w:r>
      <w:r w:rsidRPr="00A3748D">
        <w:rPr>
          <w:rFonts w:ascii="Book Antiqua" w:hAnsi="Book Antiqua"/>
          <w:sz w:val="22"/>
          <w:szCs w:val="22"/>
        </w:rPr>
        <w:t xml:space="preserve">ávrh zákona </w:t>
      </w:r>
      <w:r w:rsidRPr="00A3748D" w:rsidR="004736D6">
        <w:rPr>
          <w:rFonts w:ascii="Book Antiqua" w:hAnsi="Book Antiqua"/>
          <w:sz w:val="22"/>
          <w:szCs w:val="22"/>
        </w:rPr>
        <w:t xml:space="preserve">taktiež </w:t>
      </w:r>
      <w:r w:rsidRPr="00A3748D">
        <w:rPr>
          <w:rFonts w:ascii="Book Antiqua" w:hAnsi="Book Antiqua"/>
          <w:sz w:val="22"/>
          <w:szCs w:val="22"/>
        </w:rPr>
        <w:t xml:space="preserve">nemá žiadny vplyv na </w:t>
      </w:r>
      <w:r w:rsidRPr="00A3748D" w:rsidR="004736D6">
        <w:rPr>
          <w:rFonts w:ascii="Book Antiqua" w:hAnsi="Book Antiqua"/>
          <w:sz w:val="22"/>
          <w:szCs w:val="22"/>
        </w:rPr>
        <w:t xml:space="preserve">životné prostredie ani na </w:t>
      </w:r>
      <w:r w:rsidR="00A3748D">
        <w:rPr>
          <w:rFonts w:ascii="Book Antiqua" w:hAnsi="Book Antiqua"/>
          <w:sz w:val="22"/>
          <w:szCs w:val="22"/>
        </w:rPr>
        <w:t xml:space="preserve">informatizáciu spoločnosti. </w:t>
      </w:r>
    </w:p>
    <w:p w:rsidR="00775967" w:rsidRPr="00A3748D" w:rsidP="00A3748D">
      <w:pPr>
        <w:pStyle w:val="Standard"/>
        <w:bidi w:val="0"/>
        <w:spacing w:before="120" w:line="276" w:lineRule="auto"/>
        <w:ind w:firstLine="709"/>
        <w:jc w:val="both"/>
        <w:rPr>
          <w:rFonts w:ascii="Book Antiqua" w:hAnsi="Book Antiqua"/>
          <w:sz w:val="22"/>
          <w:szCs w:val="22"/>
        </w:rPr>
      </w:pPr>
      <w:r w:rsidRPr="00A3748D">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A3748D" w:rsidP="00A3748D">
      <w:pPr>
        <w:pStyle w:val="Standard"/>
        <w:bidi w:val="0"/>
        <w:spacing w:before="120" w:line="276" w:lineRule="auto"/>
        <w:jc w:val="both"/>
        <w:rPr>
          <w:rFonts w:ascii="Book Antiqua" w:hAnsi="Book Antiqua"/>
          <w:b/>
          <w:sz w:val="22"/>
          <w:szCs w:val="22"/>
        </w:rPr>
      </w:pPr>
    </w:p>
    <w:p w:rsidR="00A3748D" w:rsidP="00A3748D">
      <w:pPr>
        <w:pStyle w:val="Standard"/>
        <w:bidi w:val="0"/>
        <w:spacing w:before="120" w:line="276" w:lineRule="auto"/>
        <w:jc w:val="both"/>
        <w:rPr>
          <w:rFonts w:ascii="Book Antiqua" w:hAnsi="Book Antiqua"/>
          <w:b/>
          <w:sz w:val="22"/>
          <w:szCs w:val="22"/>
        </w:rPr>
      </w:pPr>
    </w:p>
    <w:p w:rsidR="00A3748D" w:rsidP="00A3748D">
      <w:pPr>
        <w:pStyle w:val="Standard"/>
        <w:bidi w:val="0"/>
        <w:spacing w:before="120" w:line="276" w:lineRule="auto"/>
        <w:jc w:val="both"/>
        <w:rPr>
          <w:rFonts w:ascii="Book Antiqua" w:hAnsi="Book Antiqua"/>
          <w:b/>
          <w:sz w:val="22"/>
          <w:szCs w:val="22"/>
        </w:rPr>
      </w:pPr>
    </w:p>
    <w:p w:rsidR="00E74AE0" w:rsidRPr="00A3748D" w:rsidP="00A3748D">
      <w:pPr>
        <w:pStyle w:val="Standard"/>
        <w:bidi w:val="0"/>
        <w:spacing w:before="120" w:line="276" w:lineRule="auto"/>
        <w:jc w:val="both"/>
        <w:rPr>
          <w:rFonts w:ascii="Book Antiqua" w:hAnsi="Book Antiqua"/>
          <w:sz w:val="22"/>
          <w:szCs w:val="22"/>
        </w:rPr>
      </w:pPr>
      <w:r w:rsidRPr="00A3748D">
        <w:rPr>
          <w:rFonts w:ascii="Book Antiqua" w:hAnsi="Book Antiqua"/>
          <w:b/>
          <w:sz w:val="22"/>
          <w:szCs w:val="22"/>
        </w:rPr>
        <w:t>B. Osobitná časť</w:t>
      </w:r>
    </w:p>
    <w:p w:rsidR="00E74AE0" w:rsidRPr="00A3748D" w:rsidP="00A3748D">
      <w:pPr>
        <w:pStyle w:val="Standard"/>
        <w:bidi w:val="0"/>
        <w:spacing w:before="120" w:line="276" w:lineRule="auto"/>
        <w:jc w:val="both"/>
        <w:rPr>
          <w:rFonts w:ascii="Book Antiqua" w:hAnsi="Book Antiqua"/>
          <w:sz w:val="22"/>
          <w:szCs w:val="22"/>
        </w:rPr>
      </w:pPr>
    </w:p>
    <w:p w:rsidR="00E74AE0" w:rsidRPr="00A3748D" w:rsidP="00A3748D">
      <w:pPr>
        <w:pStyle w:val="Standard"/>
        <w:bidi w:val="0"/>
        <w:spacing w:before="120" w:line="276" w:lineRule="auto"/>
        <w:jc w:val="both"/>
        <w:rPr>
          <w:rFonts w:ascii="Book Antiqua" w:hAnsi="Book Antiqua"/>
          <w:sz w:val="22"/>
          <w:szCs w:val="22"/>
        </w:rPr>
      </w:pPr>
      <w:r w:rsidRPr="00A3748D">
        <w:rPr>
          <w:rFonts w:ascii="Book Antiqua" w:hAnsi="Book Antiqua"/>
          <w:b/>
          <w:sz w:val="22"/>
          <w:szCs w:val="22"/>
        </w:rPr>
        <w:t>K  Čl. I</w:t>
      </w:r>
    </w:p>
    <w:p w:rsidR="002E1276" w:rsidRPr="00A3748D" w:rsidP="00A3748D">
      <w:pPr>
        <w:pStyle w:val="Standard"/>
        <w:bidi w:val="0"/>
        <w:spacing w:before="120" w:line="276" w:lineRule="auto"/>
        <w:jc w:val="both"/>
        <w:rPr>
          <w:rFonts w:ascii="Book Antiqua" w:hAnsi="Book Antiqua"/>
          <w:sz w:val="22"/>
          <w:szCs w:val="22"/>
        </w:rPr>
      </w:pPr>
      <w:r w:rsidRPr="00A3748D">
        <w:rPr>
          <w:rFonts w:ascii="Book Antiqua" w:hAnsi="Book Antiqua"/>
          <w:sz w:val="22"/>
          <w:szCs w:val="22"/>
          <w:u w:val="single"/>
        </w:rPr>
        <w:t>K bodu 1</w:t>
      </w:r>
    </w:p>
    <w:p w:rsidR="00A759F0" w:rsidRPr="00DD7F03" w:rsidP="00A3748D">
      <w:pPr>
        <w:bidi w:val="0"/>
        <w:spacing w:before="120" w:line="276" w:lineRule="auto"/>
        <w:jc w:val="both"/>
        <w:rPr>
          <w:rFonts w:ascii="Book Antiqua" w:hAnsi="Book Antiqua"/>
          <w:b/>
          <w:sz w:val="22"/>
          <w:szCs w:val="22"/>
        </w:rPr>
      </w:pPr>
      <w:r w:rsidRPr="00A3748D" w:rsidR="002E1276">
        <w:rPr>
          <w:rFonts w:ascii="Book Antiqua" w:hAnsi="Book Antiqua"/>
          <w:sz w:val="22"/>
          <w:szCs w:val="22"/>
        </w:rPr>
        <w:tab/>
      </w:r>
      <w:r w:rsidRPr="00DD7F03" w:rsidR="002E1276">
        <w:rPr>
          <w:rFonts w:ascii="Book Antiqua" w:hAnsi="Book Antiqua"/>
          <w:sz w:val="22"/>
          <w:szCs w:val="22"/>
        </w:rPr>
        <w:t>Cieľom predmetného ustanovenia je ochrana spotrebiteľa, ktorý požiadal o tzv. hypotekárne prázdniny, pred možnými negatívnymi dô</w:t>
      </w:r>
      <w:r w:rsidRPr="00DD7F03" w:rsidR="0032257B">
        <w:rPr>
          <w:rFonts w:ascii="Book Antiqua" w:hAnsi="Book Antiqua"/>
          <w:sz w:val="22"/>
          <w:szCs w:val="22"/>
        </w:rPr>
        <w:t>sledkami spočívajúcimi najmä v</w:t>
      </w:r>
      <w:r w:rsidRPr="00DD7F03" w:rsidR="002E1276">
        <w:rPr>
          <w:rFonts w:ascii="Book Antiqua" w:hAnsi="Book Antiqua"/>
          <w:sz w:val="22"/>
          <w:szCs w:val="22"/>
        </w:rPr>
        <w:t xml:space="preserve"> určovaní limitu pre ukazovateľ schopnosti spotrebiteľa splácať úver. Inými slovami, </w:t>
      </w:r>
      <w:r w:rsidRPr="00DD7F03" w:rsidR="002E1276">
        <w:rPr>
          <w:rFonts w:ascii="Book Antiqua" w:hAnsi="Book Antiqua"/>
          <w:b/>
          <w:sz w:val="22"/>
          <w:szCs w:val="22"/>
        </w:rPr>
        <w:t>aktívne využívanie odkladu splát</w:t>
      </w:r>
      <w:r w:rsidRPr="00DD7F03" w:rsidR="00DD7F03">
        <w:rPr>
          <w:rFonts w:ascii="Book Antiqua" w:hAnsi="Book Antiqua"/>
          <w:b/>
          <w:sz w:val="22"/>
          <w:szCs w:val="22"/>
        </w:rPr>
        <w:t xml:space="preserve">ok úveru, sa nesmie pretaviť do </w:t>
      </w:r>
      <w:r w:rsidRPr="00DD7F03" w:rsidR="002E1276">
        <w:rPr>
          <w:rFonts w:ascii="Book Antiqua" w:hAnsi="Book Antiqua"/>
          <w:b/>
          <w:sz w:val="22"/>
          <w:szCs w:val="22"/>
        </w:rPr>
        <w:t xml:space="preserve">zhoršeného „ratingu“ </w:t>
      </w:r>
      <w:r w:rsidRPr="00DD7F03" w:rsidR="0032257B">
        <w:rPr>
          <w:rFonts w:ascii="Book Antiqua" w:hAnsi="Book Antiqua"/>
          <w:b/>
          <w:sz w:val="22"/>
          <w:szCs w:val="22"/>
        </w:rPr>
        <w:t xml:space="preserve">spotrebiteľa </w:t>
      </w:r>
      <w:r w:rsidRPr="00DD7F03" w:rsidR="002E1276">
        <w:rPr>
          <w:rFonts w:ascii="Book Antiqua" w:hAnsi="Book Antiqua"/>
          <w:b/>
          <w:sz w:val="22"/>
          <w:szCs w:val="22"/>
        </w:rPr>
        <w:t>pri posudzovaní jeho schopnosti splácať úver</w:t>
      </w:r>
      <w:r w:rsidRPr="00DD7F03" w:rsidR="002E1276">
        <w:rPr>
          <w:rFonts w:ascii="Book Antiqua" w:hAnsi="Book Antiqua"/>
          <w:sz w:val="22"/>
          <w:szCs w:val="22"/>
        </w:rPr>
        <w:t>.</w:t>
      </w:r>
      <w:r w:rsidRPr="00A3748D" w:rsidR="002E1276">
        <w:rPr>
          <w:rFonts w:ascii="Book Antiqua" w:hAnsi="Book Antiqua"/>
          <w:sz w:val="22"/>
          <w:szCs w:val="22"/>
        </w:rPr>
        <w:t xml:space="preserve">  </w:t>
      </w:r>
    </w:p>
    <w:p w:rsidR="00FA56D1" w:rsidRPr="00A3748D" w:rsidP="00A3748D">
      <w:pPr>
        <w:pStyle w:val="Standard"/>
        <w:bidi w:val="0"/>
        <w:spacing w:before="120" w:line="276" w:lineRule="auto"/>
        <w:jc w:val="both"/>
        <w:rPr>
          <w:rFonts w:ascii="Book Antiqua" w:hAnsi="Book Antiqua"/>
          <w:sz w:val="22"/>
          <w:szCs w:val="22"/>
        </w:rPr>
      </w:pPr>
      <w:r w:rsidR="00C64FB6">
        <w:rPr>
          <w:rFonts w:ascii="Book Antiqua" w:hAnsi="Book Antiqua"/>
          <w:sz w:val="22"/>
          <w:szCs w:val="22"/>
          <w:u w:val="single"/>
        </w:rPr>
        <w:t>K bodu 2</w:t>
      </w:r>
    </w:p>
    <w:p w:rsidR="00FA56D1" w:rsidRPr="00A3748D" w:rsidP="00A3748D">
      <w:pPr>
        <w:bidi w:val="0"/>
        <w:spacing w:before="120" w:line="276" w:lineRule="auto"/>
        <w:jc w:val="both"/>
        <w:rPr>
          <w:rFonts w:ascii="Book Antiqua" w:hAnsi="Book Antiqua"/>
          <w:sz w:val="22"/>
          <w:szCs w:val="22"/>
        </w:rPr>
      </w:pPr>
      <w:r w:rsidRPr="00A3748D">
        <w:rPr>
          <w:rFonts w:ascii="Book Antiqua" w:hAnsi="Book Antiqua"/>
          <w:sz w:val="22"/>
          <w:szCs w:val="22"/>
        </w:rPr>
        <w:tab/>
      </w:r>
      <w:r w:rsidRPr="00DD7F03">
        <w:rPr>
          <w:rFonts w:ascii="Book Antiqua" w:hAnsi="Book Antiqua"/>
          <w:sz w:val="22"/>
          <w:szCs w:val="22"/>
        </w:rPr>
        <w:t xml:space="preserve">Dnešné nastavenie tzv. hypotekárnych prázdnin </w:t>
      </w:r>
      <w:r w:rsidRPr="00DD7F03" w:rsidR="0032257B">
        <w:rPr>
          <w:rFonts w:ascii="Book Antiqua" w:hAnsi="Book Antiqua"/>
          <w:sz w:val="22"/>
          <w:szCs w:val="22"/>
        </w:rPr>
        <w:t xml:space="preserve">nie </w:t>
      </w:r>
      <w:r w:rsidRPr="00DD7F03">
        <w:rPr>
          <w:rFonts w:ascii="Book Antiqua" w:hAnsi="Book Antiqua"/>
          <w:sz w:val="22"/>
          <w:szCs w:val="22"/>
        </w:rPr>
        <w:t xml:space="preserve">je </w:t>
      </w:r>
      <w:r w:rsidRPr="00DD7F03" w:rsidR="00DD7F03">
        <w:rPr>
          <w:rFonts w:ascii="Book Antiqua" w:hAnsi="Book Antiqua"/>
          <w:sz w:val="22"/>
          <w:szCs w:val="22"/>
        </w:rPr>
        <w:t xml:space="preserve">pre spotrebiteľa </w:t>
      </w:r>
      <w:r w:rsidRPr="00DD7F03" w:rsidR="00C64FB6">
        <w:rPr>
          <w:rFonts w:ascii="Book Antiqua" w:hAnsi="Book Antiqua"/>
          <w:sz w:val="22"/>
          <w:szCs w:val="22"/>
        </w:rPr>
        <w:t xml:space="preserve">veľmi </w:t>
      </w:r>
      <w:r w:rsidRPr="00DD7F03" w:rsidR="0032257B">
        <w:rPr>
          <w:rFonts w:ascii="Book Antiqua" w:hAnsi="Book Antiqua"/>
          <w:sz w:val="22"/>
          <w:szCs w:val="22"/>
        </w:rPr>
        <w:t>výhodné</w:t>
      </w:r>
      <w:r w:rsidRPr="00DD7F03">
        <w:rPr>
          <w:rFonts w:ascii="Book Antiqua" w:hAnsi="Book Antiqua"/>
          <w:sz w:val="22"/>
          <w:szCs w:val="22"/>
        </w:rPr>
        <w:t>. Zníženie splátky na polovicu má za následok to, že istina sa znižuje pomalšie, a to spôsobí väčšie preplatenie úveru. Druhou možnosťou je dokonca nulové znižovanie istiny, a teda spotrebiteľ počas doby tzv. hyp</w:t>
      </w:r>
      <w:r w:rsidRPr="00DD7F03" w:rsidR="00B23081">
        <w:rPr>
          <w:rFonts w:ascii="Book Antiqua" w:hAnsi="Book Antiqua"/>
          <w:sz w:val="22"/>
          <w:szCs w:val="22"/>
        </w:rPr>
        <w:t xml:space="preserve">otekárnych prázdnin platí </w:t>
      </w:r>
      <w:r w:rsidRPr="00DD7F03">
        <w:rPr>
          <w:rFonts w:ascii="Book Antiqua" w:hAnsi="Book Antiqua"/>
          <w:sz w:val="22"/>
          <w:szCs w:val="22"/>
        </w:rPr>
        <w:t>len úroky</w:t>
      </w:r>
      <w:r w:rsidRPr="00A3748D">
        <w:rPr>
          <w:rFonts w:ascii="Book Antiqua" w:hAnsi="Book Antiqua"/>
          <w:sz w:val="22"/>
          <w:szCs w:val="22"/>
        </w:rPr>
        <w:t xml:space="preserve">. Tým sa úver preplatí ešte väčšmi ako v prvom načrtnutom prípade. </w:t>
      </w:r>
      <w:r w:rsidRPr="00A3748D">
        <w:rPr>
          <w:rFonts w:ascii="Book Antiqua" w:hAnsi="Book Antiqua"/>
          <w:b/>
          <w:sz w:val="22"/>
          <w:szCs w:val="22"/>
        </w:rPr>
        <w:t>Skut</w:t>
      </w:r>
      <w:r w:rsidRPr="00A3748D" w:rsidR="005B1674">
        <w:rPr>
          <w:rFonts w:ascii="Book Antiqua" w:hAnsi="Book Antiqua"/>
          <w:b/>
          <w:sz w:val="22"/>
          <w:szCs w:val="22"/>
        </w:rPr>
        <w:t>očne proklientským opatrením je</w:t>
      </w:r>
      <w:r w:rsidRPr="00A3748D">
        <w:rPr>
          <w:rFonts w:ascii="Book Antiqua" w:hAnsi="Book Antiqua"/>
          <w:b/>
          <w:sz w:val="22"/>
          <w:szCs w:val="22"/>
        </w:rPr>
        <w:t xml:space="preserve"> umožnenie </w:t>
      </w:r>
      <w:r w:rsidR="00C64FB6">
        <w:rPr>
          <w:rFonts w:ascii="Book Antiqua" w:hAnsi="Book Antiqua"/>
          <w:b/>
          <w:sz w:val="22"/>
          <w:szCs w:val="22"/>
        </w:rPr>
        <w:t xml:space="preserve">úplného </w:t>
      </w:r>
      <w:r w:rsidRPr="00A3748D">
        <w:rPr>
          <w:rFonts w:ascii="Book Antiqua" w:hAnsi="Book Antiqua"/>
          <w:b/>
          <w:sz w:val="22"/>
          <w:szCs w:val="22"/>
        </w:rPr>
        <w:t>odkladu splátok úveru; teda odklad splátok úrokov aj istiny úveru</w:t>
      </w:r>
      <w:r w:rsidRPr="00A3748D">
        <w:rPr>
          <w:rFonts w:ascii="Book Antiqua" w:hAnsi="Book Antiqua"/>
          <w:sz w:val="22"/>
          <w:szCs w:val="22"/>
        </w:rPr>
        <w:t xml:space="preserve">. </w:t>
      </w:r>
    </w:p>
    <w:p w:rsidR="005D7150" w:rsidP="00A3748D">
      <w:pPr>
        <w:bidi w:val="0"/>
        <w:spacing w:before="120" w:line="276" w:lineRule="auto"/>
        <w:jc w:val="both"/>
        <w:rPr>
          <w:rFonts w:ascii="Book Antiqua" w:hAnsi="Book Antiqua"/>
          <w:sz w:val="22"/>
          <w:szCs w:val="22"/>
        </w:rPr>
      </w:pPr>
      <w:r w:rsidR="00C64FB6">
        <w:rPr>
          <w:rFonts w:ascii="Book Antiqua" w:hAnsi="Book Antiqua"/>
          <w:sz w:val="22"/>
          <w:szCs w:val="22"/>
        </w:rPr>
        <w:tab/>
        <w:t xml:space="preserve">Predložený návrh zákona nahrádza obe vyššie popísané a pre spotrebiteľa nevýhodné varianty tzv. hypotekárnych prázdnin, jednoduchším a pre spotrebiteľa omnoho zaujímavejším  variantom. </w:t>
      </w:r>
      <w:r w:rsidRPr="005D7150" w:rsidR="00C64FB6">
        <w:rPr>
          <w:rFonts w:ascii="Book Antiqua" w:hAnsi="Book Antiqua"/>
          <w:b/>
          <w:sz w:val="22"/>
          <w:szCs w:val="22"/>
        </w:rPr>
        <w:t xml:space="preserve">Predkladaný zákon zavádza úplný odklad splátok úveru na bývanie; t.j. odklad </w:t>
      </w:r>
      <w:r w:rsidRPr="005D7150">
        <w:rPr>
          <w:rFonts w:ascii="Book Antiqua" w:hAnsi="Book Antiqua"/>
          <w:b/>
          <w:sz w:val="22"/>
          <w:szCs w:val="22"/>
        </w:rPr>
        <w:t>splátok úrokov aj istiny úveru na bývanie</w:t>
      </w:r>
      <w:r>
        <w:rPr>
          <w:rFonts w:ascii="Book Antiqua" w:hAnsi="Book Antiqua"/>
          <w:sz w:val="22"/>
          <w:szCs w:val="22"/>
        </w:rPr>
        <w:t>.</w:t>
      </w:r>
      <w:r w:rsidR="00C64FB6">
        <w:rPr>
          <w:rFonts w:ascii="Book Antiqua" w:hAnsi="Book Antiqua"/>
          <w:sz w:val="22"/>
          <w:szCs w:val="22"/>
        </w:rPr>
        <w:t xml:space="preserve">  </w:t>
      </w:r>
    </w:p>
    <w:p w:rsidR="00F574B2" w:rsidP="00A3748D">
      <w:pPr>
        <w:bidi w:val="0"/>
        <w:spacing w:before="120" w:line="276" w:lineRule="auto"/>
        <w:jc w:val="both"/>
        <w:rPr>
          <w:rFonts w:ascii="Book Antiqua" w:hAnsi="Book Antiqua"/>
          <w:sz w:val="22"/>
          <w:szCs w:val="22"/>
        </w:rPr>
      </w:pPr>
      <w:r w:rsidR="005D7150">
        <w:rPr>
          <w:rFonts w:ascii="Book Antiqua" w:hAnsi="Book Antiqua"/>
          <w:sz w:val="22"/>
          <w:szCs w:val="22"/>
        </w:rPr>
        <w:tab/>
        <w:t xml:space="preserve">Ďalšou navrhnutou zmenou je predĺženie obdobia, kedy je možné uplatniť si odklad splátok úveru na bývanie.  Doterajšia 6 mesačná lehota na podanie žiadosti o odklad splátok plynúca odo dňa narodenia dieťaťa resp. odo dňa osvojenia si dieťaťa, sa predlžuje až na 6 rokov. </w:t>
      </w:r>
      <w:r>
        <w:rPr>
          <w:rFonts w:ascii="Book Antiqua" w:hAnsi="Book Antiqua"/>
          <w:sz w:val="22"/>
          <w:szCs w:val="22"/>
        </w:rPr>
        <w:t xml:space="preserve">Nie je totiž pravidlom, že by sa finančná situácia mladej rodiny zmenila hneď počas prvých mesiacov od narodenia dieťaťa, resp. osvojenia si dieťaťa. Zložitá finančná situácia veľa krát nastáva až po dlhšom časovom období od narodenia resp. osvojenia si dieťaťa. </w:t>
      </w:r>
    </w:p>
    <w:p w:rsidR="003D6C43" w:rsidP="00A3748D">
      <w:pPr>
        <w:bidi w:val="0"/>
        <w:spacing w:before="120" w:line="276" w:lineRule="auto"/>
        <w:jc w:val="both"/>
        <w:rPr>
          <w:rFonts w:ascii="Book Antiqua" w:hAnsi="Book Antiqua"/>
          <w:sz w:val="22"/>
          <w:szCs w:val="22"/>
        </w:rPr>
      </w:pPr>
      <w:r w:rsidR="00F574B2">
        <w:rPr>
          <w:rFonts w:ascii="Book Antiqua" w:hAnsi="Book Antiqua"/>
          <w:sz w:val="22"/>
          <w:szCs w:val="22"/>
        </w:rPr>
        <w:tab/>
        <w:t xml:space="preserve">Oproti pôvodnej právnej úprave sa mení aj dĺžka tzv. hypotekárnych prázdnin, ktorá už zároveň nie je stanovená fixne. Dĺžka odkladu splátok úveru na bývanie sa odvíja od toho, kedy spotrebiteľ požiada o odklad splátok. Odklad splátok úveru na bývanie totiž automaticky zaniká dosiahnutím šiesteho roku veku dieťaťa. Trvanie tzv. hypotekárnych prázdnin tak môže </w:t>
      </w:r>
      <w:r>
        <w:rPr>
          <w:rFonts w:ascii="Book Antiqua" w:hAnsi="Book Antiqua"/>
          <w:sz w:val="22"/>
          <w:szCs w:val="22"/>
        </w:rPr>
        <w:t>trvať</w:t>
      </w:r>
      <w:r w:rsidR="00F574B2">
        <w:rPr>
          <w:rFonts w:ascii="Book Antiqua" w:hAnsi="Book Antiqua"/>
          <w:sz w:val="22"/>
          <w:szCs w:val="22"/>
        </w:rPr>
        <w:t xml:space="preserve"> rádovo </w:t>
      </w:r>
      <w:r>
        <w:rPr>
          <w:rFonts w:ascii="Book Antiqua" w:hAnsi="Book Antiqua"/>
          <w:sz w:val="22"/>
          <w:szCs w:val="22"/>
        </w:rPr>
        <w:t>niekoľko</w:t>
      </w:r>
      <w:r w:rsidR="00F574B2">
        <w:rPr>
          <w:rFonts w:ascii="Book Antiqua" w:hAnsi="Book Antiqua"/>
          <w:sz w:val="22"/>
          <w:szCs w:val="22"/>
        </w:rPr>
        <w:t xml:space="preserve"> </w:t>
      </w:r>
      <w:r>
        <w:rPr>
          <w:rFonts w:ascii="Book Antiqua" w:hAnsi="Book Antiqua"/>
          <w:sz w:val="22"/>
          <w:szCs w:val="22"/>
        </w:rPr>
        <w:t>rokov, no aj niekoľko mesiacov</w:t>
      </w:r>
      <w:r w:rsidR="00F574B2">
        <w:rPr>
          <w:rFonts w:ascii="Book Antiqua" w:hAnsi="Book Antiqua"/>
          <w:sz w:val="22"/>
          <w:szCs w:val="22"/>
        </w:rPr>
        <w:t xml:space="preserve">. </w:t>
      </w:r>
    </w:p>
    <w:p w:rsidR="00C64FB6" w:rsidP="00A3748D">
      <w:pPr>
        <w:bidi w:val="0"/>
        <w:spacing w:before="120" w:line="276" w:lineRule="auto"/>
        <w:jc w:val="both"/>
        <w:rPr>
          <w:rFonts w:ascii="Book Antiqua" w:hAnsi="Book Antiqua"/>
          <w:sz w:val="22"/>
          <w:szCs w:val="22"/>
        </w:rPr>
      </w:pPr>
      <w:r w:rsidR="003D6C43">
        <w:rPr>
          <w:rFonts w:ascii="Book Antiqua" w:hAnsi="Book Antiqua"/>
          <w:sz w:val="22"/>
          <w:szCs w:val="22"/>
        </w:rPr>
        <w:tab/>
        <w:t>Právo spotrebiteľa na splatenie úveru na bývanie pred lehotou splatnosti podľa § 18, t.j. možnosť platenia tzv. mimoriadnych splátok ostáva zachované.</w:t>
      </w:r>
      <w:r w:rsidRPr="00A3748D" w:rsidR="00FA56D1">
        <w:rPr>
          <w:rFonts w:ascii="Book Antiqua" w:hAnsi="Book Antiqua"/>
          <w:sz w:val="22"/>
          <w:szCs w:val="22"/>
        </w:rPr>
        <w:tab/>
      </w:r>
    </w:p>
    <w:p w:rsidR="00C64FB6" w:rsidRPr="00A3748D" w:rsidP="00C64FB6">
      <w:pPr>
        <w:pStyle w:val="Standard"/>
        <w:bidi w:val="0"/>
        <w:spacing w:before="120" w:line="276" w:lineRule="auto"/>
        <w:jc w:val="both"/>
        <w:rPr>
          <w:rFonts w:ascii="Book Antiqua" w:hAnsi="Book Antiqua"/>
          <w:sz w:val="22"/>
          <w:szCs w:val="22"/>
        </w:rPr>
      </w:pPr>
      <w:r>
        <w:rPr>
          <w:rFonts w:ascii="Book Antiqua" w:hAnsi="Book Antiqua"/>
          <w:sz w:val="22"/>
          <w:szCs w:val="22"/>
          <w:u w:val="single"/>
        </w:rPr>
        <w:t>K bodu 3</w:t>
      </w:r>
    </w:p>
    <w:p w:rsidR="00420DA0" w:rsidRPr="00C64FB6" w:rsidP="00C64FB6">
      <w:pPr>
        <w:bidi w:val="0"/>
        <w:spacing w:before="120" w:line="276" w:lineRule="auto"/>
        <w:jc w:val="both"/>
        <w:rPr>
          <w:rFonts w:ascii="Book Antiqua" w:hAnsi="Book Antiqua"/>
          <w:sz w:val="22"/>
          <w:szCs w:val="22"/>
        </w:rPr>
      </w:pPr>
      <w:r w:rsidRPr="00A3748D" w:rsidR="00C64FB6">
        <w:rPr>
          <w:rFonts w:ascii="Book Antiqua" w:hAnsi="Book Antiqua"/>
          <w:sz w:val="22"/>
          <w:szCs w:val="22"/>
        </w:rPr>
        <w:tab/>
      </w:r>
      <w:r w:rsidRPr="00DD7F03" w:rsidR="00C64FB6">
        <w:rPr>
          <w:rFonts w:ascii="Book Antiqua" w:hAnsi="Book Antiqua"/>
          <w:sz w:val="22"/>
          <w:szCs w:val="22"/>
        </w:rPr>
        <w:t>Ide o legislatívno-technickú úpravu súvisiacu s</w:t>
      </w:r>
      <w:r w:rsidRPr="00DD7F03" w:rsidR="0032257B">
        <w:rPr>
          <w:rFonts w:ascii="Book Antiqua" w:hAnsi="Book Antiqua"/>
          <w:sz w:val="22"/>
          <w:szCs w:val="22"/>
        </w:rPr>
        <w:t xml:space="preserve"> čl. I </w:t>
      </w:r>
      <w:r w:rsidRPr="00DD7F03" w:rsidR="00C64FB6">
        <w:rPr>
          <w:rFonts w:ascii="Book Antiqua" w:hAnsi="Book Antiqua"/>
          <w:sz w:val="22"/>
          <w:szCs w:val="22"/>
        </w:rPr>
        <w:t>bodom 2 tohto návrhu zákona.</w:t>
      </w:r>
    </w:p>
    <w:p w:rsidR="0032257B" w:rsidP="00A3748D">
      <w:pPr>
        <w:pStyle w:val="Standard"/>
        <w:bidi w:val="0"/>
        <w:spacing w:before="120" w:line="276" w:lineRule="auto"/>
        <w:jc w:val="both"/>
        <w:rPr>
          <w:rFonts w:ascii="Book Antiqua" w:hAnsi="Book Antiqua"/>
          <w:sz w:val="22"/>
          <w:szCs w:val="22"/>
          <w:u w:val="single"/>
        </w:rPr>
      </w:pPr>
    </w:p>
    <w:p w:rsidR="00A0657B" w:rsidRPr="00A3748D" w:rsidP="00A3748D">
      <w:pPr>
        <w:pStyle w:val="Standard"/>
        <w:bidi w:val="0"/>
        <w:spacing w:before="120" w:line="276" w:lineRule="auto"/>
        <w:jc w:val="both"/>
        <w:rPr>
          <w:rFonts w:ascii="Book Antiqua" w:hAnsi="Book Antiqua"/>
          <w:sz w:val="22"/>
          <w:szCs w:val="22"/>
        </w:rPr>
      </w:pPr>
      <w:r w:rsidRPr="00A3748D" w:rsidR="00B51CE0">
        <w:rPr>
          <w:rFonts w:ascii="Book Antiqua" w:hAnsi="Book Antiqua"/>
          <w:sz w:val="22"/>
          <w:szCs w:val="22"/>
          <w:u w:val="single"/>
        </w:rPr>
        <w:t>K</w:t>
      </w:r>
      <w:r w:rsidR="00C64FB6">
        <w:rPr>
          <w:rFonts w:ascii="Book Antiqua" w:hAnsi="Book Antiqua"/>
          <w:sz w:val="22"/>
          <w:szCs w:val="22"/>
          <w:u w:val="single"/>
        </w:rPr>
        <w:t> bodu 4</w:t>
      </w:r>
    </w:p>
    <w:p w:rsidR="0013421B" w:rsidRPr="00DD7F03" w:rsidP="00A3748D">
      <w:pPr>
        <w:bidi w:val="0"/>
        <w:spacing w:before="120" w:line="276" w:lineRule="auto"/>
        <w:jc w:val="both"/>
        <w:rPr>
          <w:rFonts w:ascii="Book Antiqua" w:hAnsi="Book Antiqua"/>
          <w:sz w:val="22"/>
          <w:szCs w:val="22"/>
        </w:rPr>
      </w:pPr>
      <w:r w:rsidRPr="00A3748D" w:rsidR="00A0657B">
        <w:rPr>
          <w:rFonts w:ascii="Book Antiqua" w:hAnsi="Book Antiqua"/>
          <w:sz w:val="22"/>
          <w:szCs w:val="22"/>
        </w:rPr>
        <w:tab/>
      </w:r>
      <w:r w:rsidRPr="00DD7F03" w:rsidR="00A0657B">
        <w:rPr>
          <w:rFonts w:ascii="Book Antiqua" w:hAnsi="Book Antiqua"/>
          <w:sz w:val="22"/>
          <w:szCs w:val="22"/>
        </w:rPr>
        <w:t xml:space="preserve">Zavádzajú sa intertemporálne ustanovenia, ktoré ustanovujú, že </w:t>
      </w:r>
      <w:r w:rsidRPr="00DD7F03" w:rsidR="00B51CE0">
        <w:rPr>
          <w:rFonts w:ascii="Book Antiqua" w:hAnsi="Book Antiqua"/>
          <w:sz w:val="22"/>
          <w:szCs w:val="22"/>
        </w:rPr>
        <w:t xml:space="preserve">novo navrhnuté </w:t>
      </w:r>
      <w:r w:rsidRPr="00DD7F03" w:rsidR="00A0657B">
        <w:rPr>
          <w:rFonts w:ascii="Book Antiqua" w:hAnsi="Book Antiqua"/>
          <w:sz w:val="22"/>
          <w:szCs w:val="22"/>
        </w:rPr>
        <w:t xml:space="preserve">ustanovenia </w:t>
      </w:r>
      <w:r w:rsidRPr="00DD7F03" w:rsidR="00DD7F03">
        <w:rPr>
          <w:rFonts w:ascii="Book Antiqua" w:hAnsi="Book Antiqua"/>
          <w:sz w:val="22"/>
          <w:szCs w:val="22"/>
        </w:rPr>
        <w:t xml:space="preserve">týkajúce sa odkladu </w:t>
      </w:r>
      <w:r w:rsidRPr="00DD7F03" w:rsidR="00B51CE0">
        <w:rPr>
          <w:rFonts w:ascii="Book Antiqua" w:hAnsi="Book Antiqua"/>
          <w:sz w:val="22"/>
          <w:szCs w:val="22"/>
        </w:rPr>
        <w:t>splátok úveru na bývanie</w:t>
      </w:r>
      <w:r w:rsidRPr="00DD7F03" w:rsidR="00A0657B">
        <w:rPr>
          <w:rFonts w:ascii="Book Antiqua" w:hAnsi="Book Antiqua"/>
          <w:sz w:val="22"/>
          <w:szCs w:val="22"/>
        </w:rPr>
        <w:t xml:space="preserve"> sa prvýkrát uplatnia na zmluvy uzatvorené od 1. </w:t>
      </w:r>
      <w:r w:rsidRPr="00DD7F03" w:rsidR="0032257B">
        <w:rPr>
          <w:rFonts w:ascii="Book Antiqua" w:hAnsi="Book Antiqua"/>
          <w:sz w:val="22"/>
          <w:szCs w:val="22"/>
        </w:rPr>
        <w:t>januára 2019</w:t>
      </w:r>
      <w:r w:rsidRPr="00DD7F03" w:rsidR="00A0657B">
        <w:rPr>
          <w:rFonts w:ascii="Book Antiqua" w:hAnsi="Book Antiqua"/>
          <w:sz w:val="22"/>
          <w:szCs w:val="22"/>
        </w:rPr>
        <w:t>.</w:t>
      </w:r>
      <w:r w:rsidRPr="00DD7F03" w:rsidR="00420DA0">
        <w:rPr>
          <w:rFonts w:ascii="Book Antiqua" w:hAnsi="Book Antiqua"/>
          <w:sz w:val="22"/>
          <w:szCs w:val="22"/>
        </w:rPr>
        <w:t xml:space="preserve"> Zmluvy o odklade</w:t>
      </w:r>
      <w:r w:rsidRPr="00DD7F03" w:rsidR="00B51CE0">
        <w:rPr>
          <w:rFonts w:ascii="Book Antiqua" w:hAnsi="Book Antiqua"/>
          <w:sz w:val="22"/>
          <w:szCs w:val="22"/>
        </w:rPr>
        <w:t xml:space="preserve"> s</w:t>
      </w:r>
      <w:r w:rsidRPr="00DD7F03" w:rsidR="0032257B">
        <w:rPr>
          <w:rFonts w:ascii="Book Antiqua" w:hAnsi="Book Antiqua"/>
          <w:sz w:val="22"/>
          <w:szCs w:val="22"/>
        </w:rPr>
        <w:t>plátok uzatvorené do 31. decembra</w:t>
      </w:r>
      <w:r w:rsidRPr="00DD7F03" w:rsidR="00B51CE0">
        <w:rPr>
          <w:rFonts w:ascii="Book Antiqua" w:hAnsi="Book Antiqua"/>
          <w:sz w:val="22"/>
          <w:szCs w:val="22"/>
        </w:rPr>
        <w:t xml:space="preserve"> 2018 ostávajú v platnosti a spravujú sa predpismi účinný</w:t>
      </w:r>
      <w:r w:rsidRPr="00DD7F03" w:rsidR="0032257B">
        <w:rPr>
          <w:rFonts w:ascii="Book Antiqua" w:hAnsi="Book Antiqua"/>
          <w:sz w:val="22"/>
          <w:szCs w:val="22"/>
        </w:rPr>
        <w:t>mi do 1. januára 2019</w:t>
      </w:r>
      <w:r w:rsidRPr="00DD7F03" w:rsidR="00B51CE0">
        <w:rPr>
          <w:rFonts w:ascii="Book Antiqua" w:hAnsi="Book Antiqua"/>
          <w:sz w:val="22"/>
          <w:szCs w:val="22"/>
        </w:rPr>
        <w:t>.</w:t>
      </w:r>
    </w:p>
    <w:p w:rsidR="00C82CA6" w:rsidRPr="00DD7F03" w:rsidP="0013421B">
      <w:pPr>
        <w:bidi w:val="0"/>
        <w:spacing w:before="120" w:line="276" w:lineRule="auto"/>
        <w:ind w:firstLine="720"/>
        <w:jc w:val="both"/>
        <w:rPr>
          <w:rFonts w:ascii="Book Antiqua" w:hAnsi="Book Antiqua"/>
          <w:sz w:val="22"/>
          <w:szCs w:val="22"/>
        </w:rPr>
      </w:pPr>
      <w:r w:rsidRPr="00DD7F03" w:rsidR="0013421B">
        <w:rPr>
          <w:rFonts w:ascii="Book Antiqua" w:hAnsi="Book Antiqua"/>
          <w:sz w:val="22"/>
          <w:szCs w:val="22"/>
        </w:rPr>
        <w:t>Spotrebiteľov, ktorí podľa platnej legislatívy využili odloženie splátok istiny úveru na bývanie alebo zníženie mesačnej splátky úveru na bývanie</w:t>
      </w:r>
      <w:r w:rsidR="00DD7F03">
        <w:rPr>
          <w:rFonts w:ascii="Book Antiqua" w:hAnsi="Book Antiqua"/>
          <w:sz w:val="22"/>
          <w:szCs w:val="22"/>
        </w:rPr>
        <w:t>,</w:t>
      </w:r>
      <w:r w:rsidRPr="00DD7F03">
        <w:rPr>
          <w:rFonts w:ascii="Book Antiqua" w:hAnsi="Book Antiqua"/>
          <w:sz w:val="22"/>
          <w:szCs w:val="22"/>
        </w:rPr>
        <w:t xml:space="preserve"> je nevyhnutné informovať </w:t>
      </w:r>
      <w:r w:rsidRPr="00DD7F03">
        <w:rPr>
          <w:rFonts w:ascii="Book Antiqua" w:hAnsi="Book Antiqua"/>
          <w:strike/>
          <w:sz w:val="22"/>
          <w:szCs w:val="22"/>
        </w:rPr>
        <w:t>ich</w:t>
      </w:r>
      <w:r w:rsidRPr="00DD7F03">
        <w:rPr>
          <w:rFonts w:ascii="Book Antiqua" w:hAnsi="Book Antiqua"/>
          <w:sz w:val="22"/>
          <w:szCs w:val="22"/>
        </w:rPr>
        <w:t xml:space="preserve"> o zmenách</w:t>
      </w:r>
      <w:r w:rsidRPr="00DD7F03">
        <w:rPr>
          <w:rFonts w:ascii="Book Antiqua" w:hAnsi="Book Antiqua"/>
          <w:strike/>
          <w:sz w:val="22"/>
          <w:szCs w:val="22"/>
        </w:rPr>
        <w:t>,</w:t>
      </w:r>
      <w:r w:rsidRPr="00DD7F03">
        <w:rPr>
          <w:rFonts w:ascii="Book Antiqua" w:hAnsi="Book Antiqua"/>
          <w:sz w:val="22"/>
          <w:szCs w:val="22"/>
        </w:rPr>
        <w:t xml:space="preserve"> vyplývajúcich z tohto </w:t>
      </w:r>
      <w:r w:rsidRPr="00DD7F03" w:rsidR="00B16968">
        <w:rPr>
          <w:rFonts w:ascii="Book Antiqua" w:hAnsi="Book Antiqua"/>
          <w:sz w:val="22"/>
          <w:szCs w:val="22"/>
        </w:rPr>
        <w:t xml:space="preserve">zákona. Z uvedeného dôvodu sa navrhuje </w:t>
      </w:r>
      <w:r w:rsidRPr="00DD7F03" w:rsidR="00B16968">
        <w:rPr>
          <w:rFonts w:ascii="Book Antiqua" w:hAnsi="Book Antiqua"/>
          <w:b/>
          <w:sz w:val="22"/>
          <w:szCs w:val="22"/>
        </w:rPr>
        <w:t>zaviazať veriteľa povinnosťou informovania tých</w:t>
      </w:r>
      <w:r w:rsidRPr="00DD7F03" w:rsidR="0013421B">
        <w:rPr>
          <w:rFonts w:ascii="Book Antiqua" w:hAnsi="Book Antiqua"/>
          <w:b/>
          <w:sz w:val="22"/>
          <w:szCs w:val="22"/>
        </w:rPr>
        <w:t>to</w:t>
      </w:r>
      <w:r w:rsidR="00DD7F03">
        <w:rPr>
          <w:rFonts w:ascii="Book Antiqua" w:hAnsi="Book Antiqua"/>
          <w:b/>
          <w:sz w:val="22"/>
          <w:szCs w:val="22"/>
        </w:rPr>
        <w:t xml:space="preserve"> spotrebiteľov,</w:t>
      </w:r>
      <w:r w:rsidRPr="00DD7F03" w:rsidR="00B16968">
        <w:rPr>
          <w:rFonts w:ascii="Book Antiqua" w:hAnsi="Book Antiqua"/>
          <w:b/>
          <w:sz w:val="22"/>
          <w:szCs w:val="22"/>
        </w:rPr>
        <w:t xml:space="preserve"> </w:t>
      </w:r>
      <w:r w:rsidRPr="00DD7F03" w:rsidR="0013421B">
        <w:rPr>
          <w:rFonts w:ascii="Book Antiqua" w:hAnsi="Book Antiqua"/>
          <w:b/>
          <w:sz w:val="22"/>
          <w:szCs w:val="22"/>
        </w:rPr>
        <w:t xml:space="preserve">ak tieto možnosti tzv. hypotekárnych prázdnin využívajú </w:t>
      </w:r>
      <w:r w:rsidRPr="00DD7F03" w:rsidR="00B16968">
        <w:rPr>
          <w:rFonts w:ascii="Book Antiqua" w:hAnsi="Book Antiqua"/>
          <w:b/>
          <w:strike/>
          <w:sz w:val="22"/>
          <w:szCs w:val="22"/>
        </w:rPr>
        <w:t>trvá</w:t>
      </w:r>
      <w:r w:rsidRPr="00DD7F03" w:rsidR="00B16968">
        <w:rPr>
          <w:rFonts w:ascii="Book Antiqua" w:hAnsi="Book Antiqua"/>
          <w:b/>
          <w:sz w:val="22"/>
          <w:szCs w:val="22"/>
        </w:rPr>
        <w:t xml:space="preserve"> aj </w:t>
      </w:r>
      <w:r w:rsidRPr="00DD7F03" w:rsidR="0013421B">
        <w:rPr>
          <w:rFonts w:ascii="Book Antiqua" w:hAnsi="Book Antiqua"/>
          <w:b/>
          <w:sz w:val="22"/>
          <w:szCs w:val="22"/>
        </w:rPr>
        <w:t>po 1. januári 2019</w:t>
      </w:r>
      <w:r w:rsidRPr="00DD7F03" w:rsidR="00B16968">
        <w:rPr>
          <w:rFonts w:ascii="Book Antiqua" w:hAnsi="Book Antiqua"/>
          <w:b/>
          <w:sz w:val="22"/>
          <w:szCs w:val="22"/>
        </w:rPr>
        <w:t>, a to buď písomnou formou alebo formou krátkej textovej správy.</w:t>
      </w:r>
    </w:p>
    <w:p w:rsidR="00E74AE0" w:rsidRPr="00DD7F03" w:rsidP="00A3748D">
      <w:pPr>
        <w:pStyle w:val="Standard"/>
        <w:bidi w:val="0"/>
        <w:spacing w:before="120" w:line="276" w:lineRule="auto"/>
        <w:jc w:val="both"/>
        <w:rPr>
          <w:rFonts w:ascii="Book Antiqua" w:hAnsi="Book Antiqua"/>
          <w:b/>
          <w:sz w:val="22"/>
          <w:szCs w:val="22"/>
        </w:rPr>
      </w:pPr>
    </w:p>
    <w:p w:rsidR="00E74AE0" w:rsidRPr="00DD7F03" w:rsidP="00A3748D">
      <w:pPr>
        <w:pStyle w:val="Standard"/>
        <w:bidi w:val="0"/>
        <w:spacing w:before="120" w:line="276" w:lineRule="auto"/>
        <w:jc w:val="both"/>
        <w:rPr>
          <w:rFonts w:ascii="Book Antiqua" w:hAnsi="Book Antiqua"/>
          <w:sz w:val="22"/>
          <w:szCs w:val="22"/>
        </w:rPr>
      </w:pPr>
      <w:r w:rsidRPr="00DD7F03">
        <w:rPr>
          <w:rFonts w:ascii="Book Antiqua" w:hAnsi="Book Antiqua"/>
          <w:b/>
          <w:sz w:val="22"/>
          <w:szCs w:val="22"/>
        </w:rPr>
        <w:t>K  Čl. II</w:t>
      </w:r>
    </w:p>
    <w:p w:rsidR="00E74AE0" w:rsidRPr="00A3748D" w:rsidP="00A3748D">
      <w:pPr>
        <w:pStyle w:val="Norme1lnywebovfd1"/>
        <w:bidi w:val="0"/>
        <w:spacing w:before="120" w:after="0" w:line="276" w:lineRule="auto"/>
        <w:ind w:firstLine="708"/>
        <w:jc w:val="both"/>
        <w:rPr>
          <w:rFonts w:ascii="Book Antiqua" w:hAnsi="Book Antiqua"/>
          <w:sz w:val="22"/>
          <w:szCs w:val="22"/>
        </w:rPr>
      </w:pPr>
      <w:r w:rsidRPr="00DD7F03">
        <w:rPr>
          <w:rFonts w:ascii="Book Antiqua" w:hAnsi="Book Antiqua"/>
          <w:sz w:val="22"/>
          <w:szCs w:val="22"/>
        </w:rPr>
        <w:t xml:space="preserve">Navrhuje sa účinnosť predkladaného návrhu zákona so zohľadnením potrebnej dĺžky legisvakančnej doby na 1. </w:t>
      </w:r>
      <w:r w:rsidRPr="00DD7F03" w:rsidR="0013421B">
        <w:rPr>
          <w:rFonts w:ascii="Book Antiqua" w:hAnsi="Book Antiqua"/>
          <w:sz w:val="22"/>
          <w:szCs w:val="22"/>
        </w:rPr>
        <w:t>januára 2019</w:t>
      </w:r>
      <w:r w:rsidRPr="00DD7F03">
        <w:rPr>
          <w:rFonts w:ascii="Book Antiqua" w:hAnsi="Book Antiqua"/>
          <w:sz w:val="22"/>
          <w:szCs w:val="22"/>
        </w:rPr>
        <w:t>.</w:t>
      </w:r>
    </w:p>
    <w:p w:rsidR="00E74AE0" w:rsidRPr="00A3748D" w:rsidP="00A3748D">
      <w:pPr>
        <w:pageBreakBefore/>
        <w:tabs>
          <w:tab w:val="left" w:pos="6015"/>
        </w:tabs>
        <w:bidi w:val="0"/>
        <w:spacing w:before="120" w:line="276" w:lineRule="auto"/>
        <w:jc w:val="center"/>
        <w:rPr>
          <w:rFonts w:ascii="Book Antiqua" w:hAnsi="Book Antiqua"/>
          <w:sz w:val="22"/>
          <w:szCs w:val="22"/>
        </w:rPr>
      </w:pPr>
      <w:r w:rsidRPr="00A3748D">
        <w:rPr>
          <w:rFonts w:ascii="Book Antiqua" w:hAnsi="Book Antiqua"/>
          <w:b/>
          <w:caps/>
          <w:spacing w:val="30"/>
          <w:sz w:val="22"/>
          <w:szCs w:val="22"/>
        </w:rPr>
        <w:t>DOLOŽKA ZLUČITEĽNOSTI</w:t>
      </w:r>
    </w:p>
    <w:p w:rsidR="00E74AE0" w:rsidRPr="00A3748D" w:rsidP="00A3748D">
      <w:pPr>
        <w:pStyle w:val="Norme1lnywebovfd1"/>
        <w:bidi w:val="0"/>
        <w:spacing w:before="120" w:after="0" w:line="276" w:lineRule="auto"/>
        <w:jc w:val="center"/>
        <w:rPr>
          <w:rFonts w:ascii="Book Antiqua" w:hAnsi="Book Antiqua"/>
          <w:sz w:val="22"/>
          <w:szCs w:val="22"/>
        </w:rPr>
      </w:pPr>
      <w:r w:rsidRPr="00A3748D">
        <w:rPr>
          <w:rFonts w:ascii="Book Antiqua" w:hAnsi="Book Antiqua"/>
          <w:b/>
          <w:sz w:val="22"/>
          <w:szCs w:val="22"/>
        </w:rPr>
        <w:t>návrhu zákona</w:t>
      </w:r>
      <w:r w:rsidRPr="00A3748D">
        <w:rPr>
          <w:rFonts w:ascii="Book Antiqua" w:hAnsi="Book Antiqua"/>
          <w:sz w:val="22"/>
          <w:szCs w:val="22"/>
        </w:rPr>
        <w:t xml:space="preserve"> </w:t>
      </w:r>
      <w:r w:rsidRPr="00A3748D">
        <w:rPr>
          <w:rFonts w:ascii="Book Antiqua" w:hAnsi="Book Antiqua"/>
          <w:b/>
          <w:sz w:val="22"/>
          <w:szCs w:val="22"/>
        </w:rPr>
        <w:t>s právom Európskej únie</w:t>
      </w:r>
    </w:p>
    <w:p w:rsidR="00E74AE0" w:rsidRPr="00A3748D" w:rsidP="00A3748D">
      <w:pPr>
        <w:pStyle w:val="Norme1lnywebovfd1"/>
        <w:bidi w:val="0"/>
        <w:spacing w:before="120" w:after="0" w:line="276" w:lineRule="auto"/>
        <w:jc w:val="both"/>
        <w:rPr>
          <w:rFonts w:ascii="Book Antiqua" w:hAnsi="Book Antiqua"/>
          <w:sz w:val="22"/>
          <w:szCs w:val="22"/>
        </w:rPr>
      </w:pPr>
      <w:r w:rsidRPr="00A3748D">
        <w:rPr>
          <w:rFonts w:ascii="Book Antiqua" w:hAnsi="Book Antiqua"/>
          <w:sz w:val="22"/>
          <w:szCs w:val="22"/>
        </w:rPr>
        <w:t> </w:t>
      </w:r>
    </w:p>
    <w:p w:rsidR="00E74AE0" w:rsidRPr="00A3748D" w:rsidP="00A3748D">
      <w:pPr>
        <w:pStyle w:val="Norme1lnywebovfd1"/>
        <w:bidi w:val="0"/>
        <w:spacing w:before="120" w:after="0" w:line="276" w:lineRule="auto"/>
        <w:jc w:val="both"/>
        <w:rPr>
          <w:rFonts w:ascii="Book Antiqua" w:hAnsi="Book Antiqua"/>
          <w:sz w:val="22"/>
          <w:szCs w:val="22"/>
        </w:rPr>
      </w:pPr>
      <w:r w:rsidRPr="00A3748D">
        <w:rPr>
          <w:rFonts w:ascii="Book Antiqua" w:hAnsi="Book Antiqua"/>
          <w:b/>
          <w:sz w:val="22"/>
          <w:szCs w:val="22"/>
        </w:rPr>
        <w:t>1. Navrhovateľ zákona:</w:t>
      </w:r>
      <w:r w:rsidRPr="00A3748D">
        <w:rPr>
          <w:rFonts w:ascii="Book Antiqua" w:hAnsi="Book Antiqua"/>
          <w:sz w:val="22"/>
          <w:szCs w:val="22"/>
        </w:rPr>
        <w:t xml:space="preserve"> skupina poslancov Národnej rady Slovens</w:t>
      </w:r>
      <w:r w:rsidR="00BE7445">
        <w:rPr>
          <w:rFonts w:ascii="Book Antiqua" w:hAnsi="Book Antiqua"/>
          <w:sz w:val="22"/>
          <w:szCs w:val="22"/>
        </w:rPr>
        <w:t>kej republiky</w:t>
      </w:r>
      <w:r w:rsidRPr="00A3748D">
        <w:rPr>
          <w:rFonts w:ascii="Book Antiqua" w:hAnsi="Book Antiqua"/>
          <w:sz w:val="22"/>
          <w:szCs w:val="22"/>
        </w:rPr>
        <w:t xml:space="preserve"> </w:t>
      </w:r>
    </w:p>
    <w:p w:rsidR="00E74AE0" w:rsidRPr="00A3748D" w:rsidP="00A3748D">
      <w:pPr>
        <w:bidi w:val="0"/>
        <w:spacing w:before="120" w:line="276" w:lineRule="auto"/>
        <w:jc w:val="both"/>
        <w:rPr>
          <w:rFonts w:ascii="Book Antiqua" w:hAnsi="Book Antiqua"/>
          <w:b/>
          <w:sz w:val="22"/>
          <w:szCs w:val="22"/>
        </w:rPr>
      </w:pPr>
    </w:p>
    <w:p w:rsidR="00E74AE0" w:rsidRPr="00A3748D" w:rsidP="00A3748D">
      <w:pPr>
        <w:bidi w:val="0"/>
        <w:spacing w:before="120" w:line="276" w:lineRule="auto"/>
        <w:jc w:val="both"/>
        <w:rPr>
          <w:rFonts w:ascii="Book Antiqua" w:hAnsi="Book Antiqua"/>
          <w:sz w:val="22"/>
          <w:szCs w:val="22"/>
        </w:rPr>
      </w:pPr>
      <w:r w:rsidRPr="00A3748D">
        <w:rPr>
          <w:rFonts w:ascii="Book Antiqua" w:hAnsi="Book Antiqua"/>
          <w:b/>
          <w:sz w:val="22"/>
          <w:szCs w:val="22"/>
        </w:rPr>
        <w:t xml:space="preserve">2. Názov návrhu právneho predpisu: </w:t>
      </w:r>
      <w:r w:rsidRPr="00A3748D">
        <w:rPr>
          <w:rFonts w:ascii="Book Antiqua" w:hAnsi="Book Antiqua"/>
          <w:sz w:val="22"/>
          <w:szCs w:val="22"/>
        </w:rPr>
        <w:t>návrh zákona, ktorým sa </w:t>
      </w:r>
      <w:r w:rsidRPr="00A3748D" w:rsidR="00C46F84">
        <w:rPr>
          <w:rFonts w:ascii="Book Antiqua" w:hAnsi="Book Antiqua"/>
          <w:sz w:val="22"/>
          <w:szCs w:val="22"/>
        </w:rPr>
        <w:t xml:space="preserve">mení a </w:t>
      </w:r>
      <w:r w:rsidRPr="00A3748D">
        <w:rPr>
          <w:rFonts w:ascii="Book Antiqua" w:hAnsi="Book Antiqua"/>
          <w:sz w:val="22"/>
          <w:szCs w:val="22"/>
        </w:rPr>
        <w:t>dopĺňa zákon č. 90/2016 Z. z. o úveroch na bývanie a o zmene a doplnení niektorých zákonov v znení neskorších predpisov</w:t>
      </w:r>
    </w:p>
    <w:p w:rsidR="00E74AE0" w:rsidRPr="00A3748D" w:rsidP="00A3748D">
      <w:pPr>
        <w:bidi w:val="0"/>
        <w:spacing w:before="120" w:line="276" w:lineRule="auto"/>
        <w:jc w:val="both"/>
        <w:rPr>
          <w:rFonts w:ascii="Book Antiqua" w:hAnsi="Book Antiqua"/>
          <w:sz w:val="22"/>
          <w:szCs w:val="22"/>
        </w:rPr>
      </w:pPr>
    </w:p>
    <w:p w:rsidR="00E74AE0" w:rsidRPr="00A3748D" w:rsidP="00A3748D">
      <w:pPr>
        <w:pStyle w:val="NormalWeb"/>
        <w:bidi w:val="0"/>
        <w:spacing w:before="120" w:after="0" w:line="276" w:lineRule="auto"/>
        <w:jc w:val="both"/>
        <w:rPr>
          <w:rFonts w:ascii="Book Antiqua" w:hAnsi="Book Antiqua"/>
          <w:sz w:val="22"/>
          <w:szCs w:val="22"/>
        </w:rPr>
      </w:pPr>
      <w:r w:rsidRPr="00A3748D">
        <w:rPr>
          <w:rFonts w:ascii="Book Antiqua" w:hAnsi="Book Antiqua"/>
          <w:b/>
          <w:sz w:val="22"/>
          <w:szCs w:val="22"/>
        </w:rPr>
        <w:t>3. Predmet návrhu zákona:</w:t>
      </w:r>
    </w:p>
    <w:p w:rsidR="00E74AE0" w:rsidRPr="00A3748D" w:rsidP="00A3748D">
      <w:pPr>
        <w:pStyle w:val="NormalWeb"/>
        <w:numPr>
          <w:numId w:val="3"/>
        </w:numPr>
        <w:bidi w:val="0"/>
        <w:spacing w:before="120" w:after="0" w:line="276" w:lineRule="auto"/>
        <w:ind w:firstLine="0"/>
        <w:jc w:val="both"/>
        <w:rPr>
          <w:rFonts w:ascii="Book Antiqua" w:hAnsi="Book Antiqua"/>
          <w:sz w:val="22"/>
          <w:szCs w:val="22"/>
        </w:rPr>
      </w:pPr>
      <w:r w:rsidRPr="00A3748D">
        <w:rPr>
          <w:rFonts w:ascii="Book Antiqua" w:hAnsi="Book Antiqua"/>
          <w:sz w:val="22"/>
          <w:szCs w:val="22"/>
        </w:rPr>
        <w:t>nie je upravený v primárnom práve Európskej únie,</w:t>
      </w:r>
    </w:p>
    <w:p w:rsidR="00E74AE0" w:rsidRPr="00A3748D" w:rsidP="00A3748D">
      <w:pPr>
        <w:pStyle w:val="NormalWeb"/>
        <w:numPr>
          <w:numId w:val="3"/>
        </w:numPr>
        <w:bidi w:val="0"/>
        <w:spacing w:before="120" w:after="0" w:line="276" w:lineRule="auto"/>
        <w:ind w:firstLine="0"/>
        <w:jc w:val="both"/>
        <w:rPr>
          <w:rFonts w:ascii="Book Antiqua" w:hAnsi="Book Antiqua"/>
          <w:sz w:val="22"/>
          <w:szCs w:val="22"/>
        </w:rPr>
      </w:pPr>
      <w:r w:rsidRPr="00A3748D">
        <w:rPr>
          <w:rFonts w:ascii="Book Antiqua" w:hAnsi="Book Antiqua"/>
          <w:sz w:val="22"/>
          <w:szCs w:val="22"/>
        </w:rPr>
        <w:t>nie je upravený v sekundárnom práve Európskej únie,</w:t>
      </w:r>
    </w:p>
    <w:p w:rsidR="00E74AE0" w:rsidRPr="00A3748D" w:rsidP="00A3748D">
      <w:pPr>
        <w:pStyle w:val="NormalWeb"/>
        <w:numPr>
          <w:numId w:val="3"/>
        </w:numPr>
        <w:bidi w:val="0"/>
        <w:spacing w:before="120" w:after="0" w:line="276" w:lineRule="auto"/>
        <w:ind w:firstLine="0"/>
        <w:jc w:val="both"/>
        <w:rPr>
          <w:rFonts w:ascii="Book Antiqua" w:hAnsi="Book Antiqua"/>
          <w:sz w:val="22"/>
          <w:szCs w:val="22"/>
        </w:rPr>
      </w:pPr>
      <w:r w:rsidRPr="00A3748D">
        <w:rPr>
          <w:rFonts w:ascii="Book Antiqua" w:hAnsi="Book Antiqua"/>
          <w:sz w:val="22"/>
          <w:szCs w:val="22"/>
        </w:rPr>
        <w:t>nie je obsiahnutý v judikatúre Súdneho dvora Európskej únie. </w:t>
      </w:r>
    </w:p>
    <w:p w:rsidR="00E74AE0" w:rsidRPr="00A3748D" w:rsidP="00A3748D">
      <w:pPr>
        <w:pStyle w:val="NormalWeb"/>
        <w:bidi w:val="0"/>
        <w:spacing w:before="120" w:after="0" w:line="276" w:lineRule="auto"/>
        <w:jc w:val="both"/>
        <w:rPr>
          <w:rFonts w:ascii="Book Antiqua" w:hAnsi="Book Antiqua"/>
          <w:b/>
          <w:sz w:val="22"/>
          <w:szCs w:val="22"/>
        </w:rPr>
      </w:pPr>
    </w:p>
    <w:p w:rsidR="00E74AE0" w:rsidRPr="00A3748D" w:rsidP="00A3748D">
      <w:pPr>
        <w:pStyle w:val="NormalWeb"/>
        <w:bidi w:val="0"/>
        <w:spacing w:before="120" w:after="0" w:line="276" w:lineRule="auto"/>
        <w:jc w:val="both"/>
        <w:rPr>
          <w:rFonts w:ascii="Book Antiqua" w:hAnsi="Book Antiqua"/>
          <w:sz w:val="22"/>
          <w:szCs w:val="22"/>
        </w:rPr>
      </w:pPr>
      <w:r w:rsidRPr="00A3748D">
        <w:rPr>
          <w:rFonts w:ascii="Book Antiqua" w:hAnsi="Book Antiqua"/>
          <w:b/>
          <w:sz w:val="22"/>
          <w:szCs w:val="22"/>
        </w:rPr>
        <w:t>Vzhľadom na to, že predmet návrhu zákona nie je upravený v práve Európskej únie, je bezpredmetné vyjadrovať sa k bodom 4. a 5.</w:t>
      </w:r>
    </w:p>
    <w:p w:rsidR="00E74AE0" w:rsidRPr="00A3748D" w:rsidP="00A3748D">
      <w:pPr>
        <w:pStyle w:val="NormalWeb"/>
        <w:bidi w:val="0"/>
        <w:spacing w:before="120" w:after="0" w:line="276" w:lineRule="auto"/>
        <w:rPr>
          <w:rFonts w:ascii="Book Antiqua" w:hAnsi="Book Antiqua"/>
          <w:sz w:val="22"/>
          <w:szCs w:val="22"/>
        </w:rPr>
      </w:pPr>
    </w:p>
    <w:p w:rsidR="00E74AE0" w:rsidRPr="00A3748D" w:rsidP="00A3748D">
      <w:pPr>
        <w:pStyle w:val="NormalWeb"/>
        <w:bidi w:val="0"/>
        <w:spacing w:before="120" w:after="0" w:line="276" w:lineRule="auto"/>
        <w:rPr>
          <w:rFonts w:ascii="Book Antiqua" w:hAnsi="Book Antiqua"/>
          <w:sz w:val="22"/>
          <w:szCs w:val="22"/>
        </w:rPr>
      </w:pPr>
    </w:p>
    <w:p w:rsidR="00E74AE0" w:rsidRPr="00A3748D" w:rsidP="00A3748D">
      <w:pPr>
        <w:pStyle w:val="NormalWeb"/>
        <w:bidi w:val="0"/>
        <w:spacing w:before="120" w:after="0" w:line="276" w:lineRule="auto"/>
        <w:rPr>
          <w:rFonts w:ascii="Book Antiqua" w:hAnsi="Book Antiqua"/>
          <w:sz w:val="22"/>
          <w:szCs w:val="22"/>
        </w:rPr>
      </w:pPr>
    </w:p>
    <w:p w:rsidR="00E74AE0" w:rsidRPr="00A3748D" w:rsidP="00A3748D">
      <w:pPr>
        <w:pStyle w:val="NormalWeb"/>
        <w:bidi w:val="0"/>
        <w:spacing w:before="120" w:after="0" w:line="276" w:lineRule="auto"/>
        <w:rPr>
          <w:rFonts w:ascii="Book Antiqua" w:hAnsi="Book Antiqua"/>
          <w:sz w:val="22"/>
          <w:szCs w:val="22"/>
        </w:rPr>
      </w:pPr>
    </w:p>
    <w:p w:rsidR="00E74AE0" w:rsidRPr="00A3748D" w:rsidP="00A3748D">
      <w:pPr>
        <w:pStyle w:val="NormalWeb"/>
        <w:bidi w:val="0"/>
        <w:spacing w:before="120" w:after="0" w:line="276" w:lineRule="auto"/>
        <w:rPr>
          <w:rFonts w:ascii="Book Antiqua" w:hAnsi="Book Antiqua"/>
          <w:sz w:val="22"/>
          <w:szCs w:val="22"/>
        </w:rPr>
      </w:pPr>
    </w:p>
    <w:p w:rsidR="00E74AE0" w:rsidRPr="00A3748D" w:rsidP="00A3748D">
      <w:pPr>
        <w:pStyle w:val="NormalWeb"/>
        <w:bidi w:val="0"/>
        <w:spacing w:before="120" w:after="0" w:line="276" w:lineRule="auto"/>
        <w:rPr>
          <w:rFonts w:ascii="Book Antiqua" w:hAnsi="Book Antiqua"/>
          <w:sz w:val="22"/>
          <w:szCs w:val="22"/>
        </w:rPr>
      </w:pPr>
    </w:p>
    <w:p w:rsidR="00E74AE0" w:rsidRPr="00A3748D" w:rsidP="00A3748D">
      <w:pPr>
        <w:pStyle w:val="NormalWeb"/>
        <w:bidi w:val="0"/>
        <w:spacing w:before="120" w:after="0" w:line="276" w:lineRule="auto"/>
        <w:jc w:val="both"/>
        <w:rPr>
          <w:rFonts w:ascii="Book Antiqua" w:hAnsi="Book Antiqua"/>
          <w:b/>
          <w:sz w:val="22"/>
          <w:szCs w:val="22"/>
        </w:rPr>
      </w:pPr>
    </w:p>
    <w:p w:rsidR="00E74AE0" w:rsidRPr="00A3748D" w:rsidP="00A3748D">
      <w:pPr>
        <w:pStyle w:val="Standard"/>
        <w:bidi w:val="0"/>
        <w:spacing w:before="120" w:line="276" w:lineRule="auto"/>
        <w:jc w:val="center"/>
        <w:rPr>
          <w:rFonts w:ascii="Book Antiqua" w:hAnsi="Book Antiqua"/>
          <w:b/>
          <w:sz w:val="22"/>
          <w:szCs w:val="22"/>
        </w:rPr>
      </w:pPr>
    </w:p>
    <w:p w:rsidR="00E74AE0" w:rsidRPr="00A3748D" w:rsidP="00A3748D">
      <w:pPr>
        <w:pStyle w:val="Standard"/>
        <w:bidi w:val="0"/>
        <w:spacing w:before="120" w:line="276" w:lineRule="auto"/>
        <w:jc w:val="center"/>
        <w:rPr>
          <w:rFonts w:ascii="Book Antiqua" w:hAnsi="Book Antiqua"/>
          <w:b/>
          <w:sz w:val="22"/>
          <w:szCs w:val="22"/>
        </w:rPr>
      </w:pPr>
    </w:p>
    <w:p w:rsidR="00E74AE0" w:rsidRPr="00A3748D" w:rsidP="00A3748D">
      <w:pPr>
        <w:pStyle w:val="Standard"/>
        <w:bidi w:val="0"/>
        <w:spacing w:before="120" w:line="276" w:lineRule="auto"/>
        <w:jc w:val="center"/>
        <w:rPr>
          <w:rFonts w:ascii="Book Antiqua" w:hAnsi="Book Antiqua"/>
          <w:b/>
          <w:sz w:val="22"/>
          <w:szCs w:val="22"/>
        </w:rPr>
      </w:pPr>
    </w:p>
    <w:p w:rsidR="00E74AE0" w:rsidRPr="00A3748D" w:rsidP="00A3748D">
      <w:pPr>
        <w:pStyle w:val="Standard"/>
        <w:bidi w:val="0"/>
        <w:spacing w:before="120" w:line="276" w:lineRule="auto"/>
        <w:jc w:val="center"/>
        <w:rPr>
          <w:rFonts w:ascii="Book Antiqua" w:hAnsi="Book Antiqua"/>
          <w:b/>
          <w:sz w:val="22"/>
          <w:szCs w:val="22"/>
        </w:rPr>
      </w:pPr>
    </w:p>
    <w:p w:rsidR="00E74AE0" w:rsidRPr="00A3748D" w:rsidP="00A3748D">
      <w:pPr>
        <w:pStyle w:val="Standard"/>
        <w:bidi w:val="0"/>
        <w:spacing w:before="120" w:line="276" w:lineRule="auto"/>
        <w:jc w:val="center"/>
        <w:rPr>
          <w:rFonts w:ascii="Book Antiqua" w:hAnsi="Book Antiqua"/>
          <w:b/>
          <w:sz w:val="22"/>
          <w:szCs w:val="22"/>
        </w:rPr>
      </w:pPr>
    </w:p>
    <w:p w:rsidR="00E74AE0" w:rsidRPr="00A3748D" w:rsidP="00A3748D">
      <w:pPr>
        <w:pStyle w:val="Standard"/>
        <w:bidi w:val="0"/>
        <w:spacing w:before="120" w:line="276" w:lineRule="auto"/>
        <w:jc w:val="center"/>
        <w:rPr>
          <w:rFonts w:ascii="Book Antiqua" w:hAnsi="Book Antiqua"/>
          <w:b/>
          <w:sz w:val="22"/>
          <w:szCs w:val="22"/>
        </w:rPr>
      </w:pPr>
    </w:p>
    <w:p w:rsidR="00F449FC" w:rsidRPr="00A3748D" w:rsidP="00A3748D">
      <w:pPr>
        <w:bidi w:val="0"/>
        <w:spacing w:before="120" w:line="276" w:lineRule="auto"/>
        <w:rPr>
          <w:rFonts w:ascii="Book Antiqua" w:hAnsi="Book Antiqua"/>
          <w:b/>
          <w:kern w:val="1"/>
          <w:sz w:val="22"/>
          <w:szCs w:val="22"/>
        </w:rPr>
      </w:pPr>
    </w:p>
    <w:p w:rsidR="00BE7445" w:rsidP="00A3748D">
      <w:pPr>
        <w:bidi w:val="0"/>
        <w:spacing w:before="120" w:line="276" w:lineRule="auto"/>
        <w:jc w:val="center"/>
        <w:rPr>
          <w:rFonts w:ascii="Book Antiqua" w:hAnsi="Book Antiqua"/>
          <w:b/>
          <w:caps/>
          <w:spacing w:val="30"/>
          <w:sz w:val="22"/>
          <w:szCs w:val="22"/>
        </w:rPr>
      </w:pPr>
    </w:p>
    <w:p w:rsidR="00E74AE0" w:rsidRPr="00A3748D" w:rsidP="00A3748D">
      <w:pPr>
        <w:bidi w:val="0"/>
        <w:spacing w:before="120" w:line="276" w:lineRule="auto"/>
        <w:jc w:val="center"/>
        <w:rPr>
          <w:rFonts w:ascii="Book Antiqua" w:hAnsi="Book Antiqua"/>
          <w:sz w:val="22"/>
          <w:szCs w:val="22"/>
        </w:rPr>
      </w:pPr>
      <w:r w:rsidRPr="00A3748D">
        <w:rPr>
          <w:rFonts w:ascii="Book Antiqua" w:hAnsi="Book Antiqua"/>
          <w:b/>
          <w:caps/>
          <w:spacing w:val="30"/>
          <w:sz w:val="22"/>
          <w:szCs w:val="22"/>
        </w:rPr>
        <w:t>Doložka</w:t>
      </w:r>
    </w:p>
    <w:p w:rsidR="00E74AE0" w:rsidRPr="00A3748D" w:rsidP="00A3748D">
      <w:pPr>
        <w:bidi w:val="0"/>
        <w:spacing w:before="120" w:line="276" w:lineRule="auto"/>
        <w:jc w:val="center"/>
        <w:rPr>
          <w:rFonts w:ascii="Book Antiqua" w:hAnsi="Book Antiqua"/>
          <w:sz w:val="22"/>
          <w:szCs w:val="22"/>
        </w:rPr>
      </w:pPr>
      <w:r w:rsidRPr="00A3748D">
        <w:rPr>
          <w:rFonts w:ascii="Book Antiqua" w:hAnsi="Book Antiqua"/>
          <w:b/>
          <w:sz w:val="22"/>
          <w:szCs w:val="22"/>
        </w:rPr>
        <w:t>vybraných vplyvov</w:t>
      </w:r>
    </w:p>
    <w:p w:rsidR="00E74AE0" w:rsidRPr="00A3748D" w:rsidP="00A3748D">
      <w:pPr>
        <w:bidi w:val="0"/>
        <w:spacing w:before="120" w:line="276" w:lineRule="auto"/>
        <w:jc w:val="both"/>
        <w:rPr>
          <w:rFonts w:ascii="Book Antiqua" w:hAnsi="Book Antiqua"/>
          <w:sz w:val="22"/>
          <w:szCs w:val="22"/>
        </w:rPr>
      </w:pPr>
    </w:p>
    <w:p w:rsidR="00E74AE0" w:rsidRPr="00BE7445" w:rsidP="00A3748D">
      <w:pPr>
        <w:bidi w:val="0"/>
        <w:spacing w:before="120" w:line="276" w:lineRule="auto"/>
        <w:jc w:val="both"/>
        <w:rPr>
          <w:rFonts w:ascii="Book Antiqua" w:hAnsi="Book Antiqua"/>
          <w:sz w:val="22"/>
          <w:szCs w:val="22"/>
        </w:rPr>
      </w:pPr>
      <w:r w:rsidRPr="00A3748D">
        <w:rPr>
          <w:rFonts w:ascii="Book Antiqua" w:hAnsi="Book Antiqua"/>
          <w:b/>
          <w:sz w:val="22"/>
          <w:szCs w:val="22"/>
        </w:rPr>
        <w:t xml:space="preserve">A.1. Názov materiálu: </w:t>
      </w:r>
      <w:r w:rsidRPr="00A3748D">
        <w:rPr>
          <w:rFonts w:ascii="Book Antiqua" w:hAnsi="Book Antiqua"/>
          <w:sz w:val="22"/>
          <w:szCs w:val="22"/>
        </w:rPr>
        <w:t>návrh zákona, ktorým sa</w:t>
      </w:r>
      <w:r w:rsidRPr="00A3748D" w:rsidR="00C46F84">
        <w:rPr>
          <w:rFonts w:ascii="Book Antiqua" w:hAnsi="Book Antiqua"/>
          <w:sz w:val="22"/>
          <w:szCs w:val="22"/>
        </w:rPr>
        <w:t xml:space="preserve"> mení a</w:t>
      </w:r>
      <w:r w:rsidRPr="00A3748D">
        <w:rPr>
          <w:rFonts w:ascii="Book Antiqua" w:hAnsi="Book Antiqua"/>
          <w:sz w:val="22"/>
          <w:szCs w:val="22"/>
        </w:rPr>
        <w:t> dopĺňa zákon č. 90/2016 Z. z. o úveroch na bývanie a o zmene a doplnení niektorých zákonov v znení neskorších predpisov</w:t>
      </w:r>
    </w:p>
    <w:p w:rsidR="00E74AE0" w:rsidRPr="00A3748D" w:rsidP="00A3748D">
      <w:pPr>
        <w:bidi w:val="0"/>
        <w:spacing w:before="120" w:line="276" w:lineRule="auto"/>
        <w:jc w:val="both"/>
        <w:rPr>
          <w:rFonts w:ascii="Book Antiqua" w:hAnsi="Book Antiqua"/>
          <w:sz w:val="22"/>
          <w:szCs w:val="22"/>
        </w:rPr>
      </w:pPr>
      <w:r w:rsidRPr="00A3748D">
        <w:rPr>
          <w:rFonts w:ascii="Book Antiqua" w:hAnsi="Book Antiqua"/>
          <w:b/>
          <w:sz w:val="22"/>
          <w:szCs w:val="22"/>
        </w:rPr>
        <w:t>Termín začatia a ukončenia PPK:</w:t>
      </w:r>
      <w:r w:rsidRPr="00A3748D">
        <w:rPr>
          <w:rFonts w:ascii="Book Antiqua" w:hAnsi="Book Antiqua"/>
          <w:sz w:val="22"/>
          <w:szCs w:val="22"/>
        </w:rPr>
        <w:t xml:space="preserve"> </w:t>
      </w:r>
      <w:r w:rsidRPr="00A3748D">
        <w:rPr>
          <w:rFonts w:ascii="Book Antiqua" w:hAnsi="Book Antiqua"/>
          <w:i/>
          <w:sz w:val="22"/>
          <w:szCs w:val="22"/>
        </w:rPr>
        <w:t>bezpredmetné</w:t>
      </w:r>
    </w:p>
    <w:p w:rsidR="00E74AE0" w:rsidRPr="00A3748D" w:rsidP="00A3748D">
      <w:pPr>
        <w:bidi w:val="0"/>
        <w:spacing w:before="120" w:line="276" w:lineRule="auto"/>
        <w:jc w:val="both"/>
        <w:rPr>
          <w:rFonts w:ascii="Book Antiqua" w:hAnsi="Book Antiqua"/>
          <w:i/>
          <w:sz w:val="22"/>
          <w:szCs w:val="22"/>
        </w:rPr>
      </w:pPr>
    </w:p>
    <w:p w:rsidR="00E74AE0" w:rsidRPr="00A3748D" w:rsidP="00A3748D">
      <w:pPr>
        <w:bidi w:val="0"/>
        <w:spacing w:before="120" w:line="276" w:lineRule="auto"/>
        <w:jc w:val="both"/>
        <w:rPr>
          <w:rFonts w:ascii="Book Antiqua" w:hAnsi="Book Antiqua"/>
          <w:sz w:val="22"/>
          <w:szCs w:val="22"/>
        </w:rPr>
      </w:pPr>
      <w:r w:rsidRPr="00A3748D">
        <w:rPr>
          <w:rFonts w:ascii="Book Antiqua" w:hAnsi="Book Antiqua"/>
          <w:b/>
          <w:sz w:val="22"/>
          <w:szCs w:val="22"/>
        </w:rPr>
        <w:t>A.2. Vplyvy:</w:t>
      </w:r>
    </w:p>
    <w:tbl>
      <w:tblPr>
        <w:tblStyle w:val="TableNormal"/>
        <w:tblW w:w="0" w:type="auto"/>
        <w:tblInd w:w="-8" w:type="dxa"/>
        <w:tblLayout w:type="fixed"/>
        <w:tblCellMar>
          <w:left w:w="0" w:type="dxa"/>
          <w:right w:w="0" w:type="dxa"/>
        </w:tblCellMar>
      </w:tblPr>
      <w:tblGrid>
        <w:gridCol w:w="5516"/>
        <w:gridCol w:w="1288"/>
        <w:gridCol w:w="1134"/>
        <w:gridCol w:w="1418"/>
      </w:tblGrid>
      <w:tr>
        <w:tblPrEx>
          <w:tblW w:w="0" w:type="auto"/>
          <w:tblInd w:w="-8" w:type="dxa"/>
          <w:tblLayout w:type="fixed"/>
          <w:tblCellMar>
            <w:left w:w="0" w:type="dxa"/>
            <w:right w:w="0" w:type="dxa"/>
          </w:tblCellMar>
        </w:tblPrEx>
        <w:tc>
          <w:tcPr>
            <w:tcW w:w="5516"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both"/>
              <w:rPr>
                <w:rFonts w:ascii="Book Antiqua" w:hAnsi="Book Antiqua"/>
                <w:sz w:val="22"/>
                <w:szCs w:val="22"/>
              </w:rPr>
            </w:pPr>
          </w:p>
        </w:tc>
        <w:tc>
          <w:tcPr>
            <w:tcW w:w="1288" w:type="dxa"/>
            <w:tcBorders>
              <w:top w:val="outset" w:sz="6" w:space="0" w:color="000001"/>
              <w:left w:val="outset" w:sz="6" w:space="0" w:color="000001"/>
              <w:bottom w:val="outset" w:sz="6" w:space="0" w:color="000001"/>
              <w:right w:val="outset" w:sz="6" w:space="0" w:color="000001"/>
            </w:tcBorders>
            <w:tcMar>
              <w:left w:w="108" w:type="dxa"/>
              <w:right w:w="108" w:type="dxa"/>
            </w:tcMar>
            <w:textDirection w:val="lrTb"/>
            <w:vAlign w:val="center"/>
          </w:tcPr>
          <w:p w:rsidR="00E74AE0" w:rsidRPr="00A3748D" w:rsidP="00A3748D">
            <w:pPr>
              <w:bidi w:val="0"/>
              <w:spacing w:before="120" w:after="0" w:line="276" w:lineRule="auto"/>
              <w:jc w:val="both"/>
              <w:rPr>
                <w:rFonts w:ascii="Book Antiqua" w:hAnsi="Book Antiqua"/>
                <w:sz w:val="22"/>
                <w:szCs w:val="22"/>
              </w:rPr>
            </w:pPr>
            <w:r w:rsidRPr="00A3748D">
              <w:rPr>
                <w:rFonts w:ascii="Book Antiqua" w:hAnsi="Book Antiqua"/>
                <w:sz w:val="22"/>
                <w:szCs w:val="22"/>
              </w:rPr>
              <w:t> Pozitívne </w:t>
            </w:r>
          </w:p>
        </w:tc>
        <w:tc>
          <w:tcPr>
            <w:tcW w:w="1134" w:type="dxa"/>
            <w:tcBorders>
              <w:top w:val="outset" w:sz="6" w:space="0" w:color="000001"/>
              <w:left w:val="outset" w:sz="6" w:space="0" w:color="000001"/>
              <w:bottom w:val="outset" w:sz="6" w:space="0" w:color="000001"/>
              <w:right w:val="outset" w:sz="6" w:space="0" w:color="000001"/>
            </w:tcBorders>
            <w:tcMar>
              <w:left w:w="108" w:type="dxa"/>
              <w:right w:w="108" w:type="dxa"/>
            </w:tcMar>
            <w:textDirection w:val="lrTb"/>
            <w:vAlign w:val="center"/>
          </w:tcPr>
          <w:p w:rsidR="00E74AE0" w:rsidRPr="00A3748D" w:rsidP="00A3748D">
            <w:pPr>
              <w:bidi w:val="0"/>
              <w:spacing w:before="120" w:after="0" w:line="276" w:lineRule="auto"/>
              <w:jc w:val="both"/>
              <w:rPr>
                <w:rFonts w:ascii="Book Antiqua" w:hAnsi="Book Antiqua"/>
                <w:sz w:val="22"/>
                <w:szCs w:val="22"/>
              </w:rPr>
            </w:pPr>
            <w:r w:rsidRPr="00A3748D">
              <w:rPr>
                <w:rFonts w:ascii="Book Antiqua" w:hAnsi="Book Antiqua"/>
                <w:sz w:val="22"/>
                <w:szCs w:val="22"/>
              </w:rPr>
              <w:t> Žiadne </w:t>
            </w:r>
          </w:p>
        </w:tc>
        <w:tc>
          <w:tcPr>
            <w:tcW w:w="1418" w:type="dxa"/>
            <w:tcBorders>
              <w:top w:val="outset" w:sz="6" w:space="0" w:color="000001"/>
              <w:left w:val="outset" w:sz="6" w:space="0" w:color="000001"/>
              <w:bottom w:val="outset" w:sz="6" w:space="0" w:color="000001"/>
              <w:right w:val="outset" w:sz="6" w:space="0" w:color="000001"/>
            </w:tcBorders>
            <w:tcMar>
              <w:left w:w="108" w:type="dxa"/>
              <w:right w:w="108" w:type="dxa"/>
            </w:tcMar>
            <w:textDirection w:val="lrTb"/>
            <w:vAlign w:val="center"/>
          </w:tcPr>
          <w:p w:rsidR="00E74AE0" w:rsidRPr="00A3748D" w:rsidP="00A3748D">
            <w:pPr>
              <w:bidi w:val="0"/>
              <w:spacing w:before="120" w:after="0" w:line="276" w:lineRule="auto"/>
              <w:jc w:val="both"/>
              <w:rPr>
                <w:rFonts w:ascii="Book Antiqua" w:hAnsi="Book Antiqua"/>
                <w:sz w:val="22"/>
                <w:szCs w:val="22"/>
              </w:rPr>
            </w:pPr>
            <w:r w:rsidRPr="00A3748D">
              <w:rPr>
                <w:rFonts w:ascii="Book Antiqua" w:hAnsi="Book Antiqua"/>
                <w:sz w:val="22"/>
                <w:szCs w:val="22"/>
              </w:rPr>
              <w:t> Negatívne </w:t>
            </w:r>
          </w:p>
        </w:tc>
      </w:tr>
      <w:tr>
        <w:tblPrEx>
          <w:tblW w:w="0" w:type="auto"/>
          <w:tblInd w:w="-8" w:type="dxa"/>
          <w:tblLayout w:type="fixed"/>
          <w:tblCellMar>
            <w:left w:w="0" w:type="dxa"/>
            <w:right w:w="0" w:type="dxa"/>
          </w:tblCellMar>
        </w:tblPrEx>
        <w:tc>
          <w:tcPr>
            <w:tcW w:w="5516" w:type="dxa"/>
            <w:tcBorders>
              <w:top w:val="outset" w:sz="6" w:space="0" w:color="000001"/>
              <w:left w:val="outset" w:sz="6" w:space="0" w:color="000001"/>
              <w:bottom w:val="outset" w:sz="6" w:space="0" w:color="000001"/>
              <w:right w:val="outset" w:sz="6" w:space="0" w:color="000001"/>
            </w:tcBorders>
            <w:tcMar>
              <w:left w:w="108" w:type="dxa"/>
              <w:right w:w="108" w:type="dxa"/>
            </w:tcMar>
            <w:textDirection w:val="lrTb"/>
            <w:vAlign w:val="center"/>
          </w:tcPr>
          <w:p w:rsidR="00E74AE0" w:rsidRPr="00A3748D" w:rsidP="00A3748D">
            <w:pPr>
              <w:bidi w:val="0"/>
              <w:spacing w:before="120" w:after="0" w:line="276" w:lineRule="auto"/>
              <w:jc w:val="both"/>
              <w:rPr>
                <w:rFonts w:ascii="Book Antiqua" w:hAnsi="Book Antiqua"/>
                <w:sz w:val="22"/>
                <w:szCs w:val="22"/>
              </w:rPr>
            </w:pPr>
            <w:r w:rsidRPr="00A3748D">
              <w:rPr>
                <w:rFonts w:ascii="Book Antiqua" w:hAnsi="Book Antiqua"/>
                <w:sz w:val="22"/>
                <w:szCs w:val="22"/>
              </w:rPr>
              <w:t>1. Vplyvy na rozpočet verejnej správy</w:t>
            </w:r>
          </w:p>
        </w:tc>
        <w:tc>
          <w:tcPr>
            <w:tcW w:w="1288"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center"/>
              <w:rPr>
                <w:rFonts w:ascii="Book Antiqua" w:hAnsi="Book Antiqua"/>
                <w:sz w:val="22"/>
                <w:szCs w:val="22"/>
              </w:rPr>
            </w:pPr>
          </w:p>
        </w:tc>
        <w:tc>
          <w:tcPr>
            <w:tcW w:w="1134"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center"/>
              <w:rPr>
                <w:rFonts w:ascii="Book Antiqua" w:hAnsi="Book Antiqua"/>
                <w:sz w:val="22"/>
                <w:szCs w:val="22"/>
              </w:rPr>
            </w:pPr>
            <w:r w:rsidRPr="00A3748D">
              <w:rPr>
                <w:rFonts w:ascii="Book Antiqua" w:hAnsi="Book Antiqua"/>
                <w:sz w:val="22"/>
                <w:szCs w:val="22"/>
              </w:rPr>
              <w:t>x</w:t>
            </w:r>
          </w:p>
        </w:tc>
        <w:tc>
          <w:tcPr>
            <w:tcW w:w="1418"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center"/>
              <w:rPr>
                <w:rFonts w:ascii="Book Antiqua" w:hAnsi="Book Antiqua"/>
                <w:sz w:val="22"/>
                <w:szCs w:val="22"/>
              </w:rPr>
            </w:pPr>
          </w:p>
        </w:tc>
      </w:tr>
      <w:tr>
        <w:tblPrEx>
          <w:tblW w:w="0" w:type="auto"/>
          <w:tblInd w:w="-8" w:type="dxa"/>
          <w:tblLayout w:type="fixed"/>
          <w:tblCellMar>
            <w:left w:w="0" w:type="dxa"/>
            <w:right w:w="0" w:type="dxa"/>
          </w:tblCellMar>
        </w:tblPrEx>
        <w:tc>
          <w:tcPr>
            <w:tcW w:w="5516" w:type="dxa"/>
            <w:tcBorders>
              <w:top w:val="outset" w:sz="6" w:space="0" w:color="000001"/>
              <w:left w:val="outset" w:sz="6" w:space="0" w:color="000001"/>
              <w:bottom w:val="outset" w:sz="6" w:space="0" w:color="000001"/>
              <w:right w:val="outset" w:sz="6" w:space="0" w:color="000001"/>
            </w:tcBorders>
            <w:tcMar>
              <w:left w:w="108" w:type="dxa"/>
              <w:right w:w="108" w:type="dxa"/>
            </w:tcMar>
            <w:textDirection w:val="lrTb"/>
            <w:vAlign w:val="center"/>
          </w:tcPr>
          <w:p w:rsidR="00E74AE0" w:rsidRPr="00A3748D" w:rsidP="00A3748D">
            <w:pPr>
              <w:bidi w:val="0"/>
              <w:spacing w:before="120" w:after="0" w:line="276" w:lineRule="auto"/>
              <w:jc w:val="both"/>
              <w:rPr>
                <w:rFonts w:ascii="Book Antiqua" w:hAnsi="Book Antiqua"/>
                <w:sz w:val="22"/>
                <w:szCs w:val="22"/>
              </w:rPr>
            </w:pPr>
            <w:r w:rsidRPr="00A3748D">
              <w:rPr>
                <w:rFonts w:ascii="Book Antiqua" w:hAnsi="Book Antiqua"/>
                <w:sz w:val="22"/>
                <w:szCs w:val="22"/>
              </w:rPr>
              <w:t>2. Vplyvy na podnikateľské prostredie – dochádza k zvýšeniu regulačného zaťaženia?</w:t>
            </w:r>
          </w:p>
        </w:tc>
        <w:tc>
          <w:tcPr>
            <w:tcW w:w="1288"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center"/>
              <w:rPr>
                <w:rFonts w:ascii="Book Antiqua" w:hAnsi="Book Antiqua"/>
                <w:sz w:val="22"/>
                <w:szCs w:val="22"/>
              </w:rPr>
            </w:pPr>
          </w:p>
        </w:tc>
        <w:tc>
          <w:tcPr>
            <w:tcW w:w="1134"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center"/>
              <w:rPr>
                <w:rFonts w:ascii="Book Antiqua" w:hAnsi="Book Antiqua"/>
                <w:sz w:val="22"/>
                <w:szCs w:val="22"/>
              </w:rPr>
            </w:pPr>
            <w:r w:rsidRPr="00A3748D">
              <w:rPr>
                <w:rFonts w:ascii="Book Antiqua" w:hAnsi="Book Antiqua"/>
                <w:sz w:val="22"/>
                <w:szCs w:val="22"/>
              </w:rPr>
              <w:t>x</w:t>
            </w:r>
          </w:p>
        </w:tc>
        <w:tc>
          <w:tcPr>
            <w:tcW w:w="1418"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center"/>
              <w:rPr>
                <w:rFonts w:ascii="Book Antiqua" w:hAnsi="Book Antiqua"/>
                <w:sz w:val="22"/>
                <w:szCs w:val="22"/>
              </w:rPr>
            </w:pPr>
          </w:p>
        </w:tc>
      </w:tr>
      <w:tr>
        <w:tblPrEx>
          <w:tblW w:w="0" w:type="auto"/>
          <w:tblInd w:w="-8" w:type="dxa"/>
          <w:tblLayout w:type="fixed"/>
          <w:tblCellMar>
            <w:left w:w="0" w:type="dxa"/>
            <w:right w:w="0" w:type="dxa"/>
          </w:tblCellMar>
        </w:tblPrEx>
        <w:tc>
          <w:tcPr>
            <w:tcW w:w="5516" w:type="dxa"/>
            <w:tcBorders>
              <w:top w:val="outset" w:sz="6" w:space="0" w:color="000001"/>
              <w:left w:val="outset" w:sz="6" w:space="0" w:color="000001"/>
              <w:bottom w:val="outset" w:sz="6" w:space="0" w:color="000001"/>
              <w:right w:val="outset" w:sz="6" w:space="0" w:color="000001"/>
            </w:tcBorders>
            <w:tcMar>
              <w:left w:w="108" w:type="dxa"/>
              <w:right w:w="108" w:type="dxa"/>
            </w:tcMar>
            <w:textDirection w:val="lrTb"/>
            <w:vAlign w:val="center"/>
          </w:tcPr>
          <w:p w:rsidR="00E74AE0" w:rsidRPr="00A3748D" w:rsidP="00A3748D">
            <w:pPr>
              <w:bidi w:val="0"/>
              <w:spacing w:before="120" w:after="0" w:line="276" w:lineRule="auto"/>
              <w:jc w:val="both"/>
              <w:rPr>
                <w:rFonts w:ascii="Book Antiqua" w:hAnsi="Book Antiqua"/>
                <w:sz w:val="22"/>
                <w:szCs w:val="22"/>
              </w:rPr>
            </w:pPr>
            <w:r w:rsidRPr="00A3748D">
              <w:rPr>
                <w:rFonts w:ascii="Book Antiqua" w:hAnsi="Book Antiqua"/>
                <w:sz w:val="22"/>
                <w:szCs w:val="22"/>
              </w:rPr>
              <w:t>3. Sociálne vplyvy</w:t>
            </w:r>
          </w:p>
        </w:tc>
        <w:tc>
          <w:tcPr>
            <w:tcW w:w="1288"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center"/>
              <w:rPr>
                <w:rFonts w:ascii="Book Antiqua" w:hAnsi="Book Antiqua"/>
                <w:sz w:val="22"/>
                <w:szCs w:val="22"/>
              </w:rPr>
            </w:pPr>
            <w:r w:rsidRPr="00A3748D">
              <w:rPr>
                <w:rFonts w:ascii="Book Antiqua" w:hAnsi="Book Antiqua"/>
                <w:sz w:val="22"/>
                <w:szCs w:val="22"/>
              </w:rPr>
              <w:t>x</w:t>
            </w:r>
          </w:p>
        </w:tc>
        <w:tc>
          <w:tcPr>
            <w:tcW w:w="1134"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center"/>
              <w:rPr>
                <w:rFonts w:ascii="Book Antiqua" w:hAnsi="Book Antiqua"/>
                <w:sz w:val="22"/>
                <w:szCs w:val="22"/>
              </w:rPr>
            </w:pPr>
          </w:p>
        </w:tc>
        <w:tc>
          <w:tcPr>
            <w:tcW w:w="1418"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center"/>
              <w:rPr>
                <w:rFonts w:ascii="Book Antiqua" w:hAnsi="Book Antiqua"/>
                <w:sz w:val="22"/>
                <w:szCs w:val="22"/>
              </w:rPr>
            </w:pPr>
          </w:p>
        </w:tc>
      </w:tr>
      <w:tr>
        <w:tblPrEx>
          <w:tblW w:w="0" w:type="auto"/>
          <w:tblInd w:w="-8" w:type="dxa"/>
          <w:tblLayout w:type="fixed"/>
          <w:tblCellMar>
            <w:left w:w="0" w:type="dxa"/>
            <w:right w:w="0" w:type="dxa"/>
          </w:tblCellMar>
        </w:tblPrEx>
        <w:tc>
          <w:tcPr>
            <w:tcW w:w="5516" w:type="dxa"/>
            <w:tcBorders>
              <w:top w:val="outset" w:sz="6" w:space="0" w:color="000001"/>
              <w:left w:val="outset" w:sz="6" w:space="0" w:color="000001"/>
              <w:bottom w:val="outset" w:sz="6" w:space="0" w:color="000001"/>
              <w:right w:val="outset" w:sz="6" w:space="0" w:color="000001"/>
            </w:tcBorders>
            <w:tcMar>
              <w:left w:w="108" w:type="dxa"/>
              <w:right w:w="108" w:type="dxa"/>
            </w:tcMar>
            <w:textDirection w:val="lrTb"/>
            <w:vAlign w:val="center"/>
          </w:tcPr>
          <w:p w:rsidR="00E74AE0" w:rsidRPr="00A3748D" w:rsidP="00A3748D">
            <w:pPr>
              <w:bidi w:val="0"/>
              <w:spacing w:before="120" w:after="0" w:line="276" w:lineRule="auto"/>
              <w:jc w:val="both"/>
              <w:rPr>
                <w:rFonts w:ascii="Book Antiqua" w:hAnsi="Book Antiqua"/>
                <w:sz w:val="22"/>
                <w:szCs w:val="22"/>
              </w:rPr>
            </w:pPr>
            <w:r w:rsidRPr="00A3748D">
              <w:rPr>
                <w:rFonts w:ascii="Book Antiqua" w:hAnsi="Book Antiqua"/>
                <w:sz w:val="22"/>
                <w:szCs w:val="22"/>
              </w:rPr>
              <w:t>– vplyvy na hospodárenie obyvateľstva,</w:t>
            </w:r>
          </w:p>
        </w:tc>
        <w:tc>
          <w:tcPr>
            <w:tcW w:w="1288"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center"/>
              <w:rPr>
                <w:rFonts w:ascii="Book Antiqua" w:hAnsi="Book Antiqua"/>
                <w:sz w:val="22"/>
                <w:szCs w:val="22"/>
              </w:rPr>
            </w:pPr>
            <w:r w:rsidRPr="00A3748D">
              <w:rPr>
                <w:rFonts w:ascii="Book Antiqua" w:hAnsi="Book Antiqua"/>
                <w:sz w:val="22"/>
                <w:szCs w:val="22"/>
              </w:rPr>
              <w:t>x</w:t>
            </w:r>
          </w:p>
        </w:tc>
        <w:tc>
          <w:tcPr>
            <w:tcW w:w="1134"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center"/>
              <w:rPr>
                <w:rFonts w:ascii="Book Antiqua" w:hAnsi="Book Antiqua"/>
                <w:sz w:val="22"/>
                <w:szCs w:val="22"/>
              </w:rPr>
            </w:pPr>
          </w:p>
        </w:tc>
        <w:tc>
          <w:tcPr>
            <w:tcW w:w="1418"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center"/>
              <w:rPr>
                <w:rFonts w:ascii="Book Antiqua" w:hAnsi="Book Antiqua"/>
                <w:sz w:val="22"/>
                <w:szCs w:val="22"/>
              </w:rPr>
            </w:pPr>
          </w:p>
        </w:tc>
      </w:tr>
      <w:tr>
        <w:tblPrEx>
          <w:tblW w:w="0" w:type="auto"/>
          <w:tblInd w:w="-8" w:type="dxa"/>
          <w:tblLayout w:type="fixed"/>
          <w:tblCellMar>
            <w:left w:w="0" w:type="dxa"/>
            <w:right w:w="0" w:type="dxa"/>
          </w:tblCellMar>
        </w:tblPrEx>
        <w:tc>
          <w:tcPr>
            <w:tcW w:w="5516"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both"/>
              <w:rPr>
                <w:rFonts w:ascii="Book Antiqua" w:hAnsi="Book Antiqua"/>
                <w:sz w:val="22"/>
                <w:szCs w:val="22"/>
              </w:rPr>
            </w:pPr>
            <w:r w:rsidRPr="00A3748D">
              <w:rPr>
                <w:rFonts w:ascii="Book Antiqua" w:hAnsi="Book Antiqua"/>
                <w:sz w:val="22"/>
                <w:szCs w:val="22"/>
              </w:rPr>
              <w:t>– sociálnu exklúziu,</w:t>
            </w:r>
          </w:p>
        </w:tc>
        <w:tc>
          <w:tcPr>
            <w:tcW w:w="1288"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center"/>
              <w:rPr>
                <w:rFonts w:ascii="Book Antiqua" w:hAnsi="Book Antiqua"/>
                <w:sz w:val="22"/>
                <w:szCs w:val="22"/>
              </w:rPr>
            </w:pPr>
          </w:p>
        </w:tc>
        <w:tc>
          <w:tcPr>
            <w:tcW w:w="1134"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center"/>
              <w:rPr>
                <w:rFonts w:ascii="Book Antiqua" w:hAnsi="Book Antiqua"/>
                <w:sz w:val="22"/>
                <w:szCs w:val="22"/>
              </w:rPr>
            </w:pPr>
          </w:p>
        </w:tc>
        <w:tc>
          <w:tcPr>
            <w:tcW w:w="1418"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center"/>
              <w:rPr>
                <w:rFonts w:ascii="Book Antiqua" w:hAnsi="Book Antiqua"/>
                <w:sz w:val="22"/>
                <w:szCs w:val="22"/>
              </w:rPr>
            </w:pPr>
            <w:r w:rsidRPr="00A3748D" w:rsidR="00E1027E">
              <w:rPr>
                <w:rFonts w:ascii="Book Antiqua" w:hAnsi="Book Antiqua"/>
                <w:sz w:val="22"/>
                <w:szCs w:val="22"/>
              </w:rPr>
              <w:t>x</w:t>
            </w:r>
          </w:p>
        </w:tc>
      </w:tr>
      <w:tr>
        <w:tblPrEx>
          <w:tblW w:w="0" w:type="auto"/>
          <w:tblInd w:w="-8" w:type="dxa"/>
          <w:tblLayout w:type="fixed"/>
          <w:tblCellMar>
            <w:left w:w="0" w:type="dxa"/>
            <w:right w:w="0" w:type="dxa"/>
          </w:tblCellMar>
        </w:tblPrEx>
        <w:tc>
          <w:tcPr>
            <w:tcW w:w="5516"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both"/>
              <w:rPr>
                <w:rFonts w:ascii="Book Antiqua" w:hAnsi="Book Antiqua"/>
                <w:sz w:val="22"/>
                <w:szCs w:val="22"/>
              </w:rPr>
            </w:pPr>
            <w:r w:rsidRPr="00A3748D">
              <w:rPr>
                <w:rFonts w:ascii="Book Antiqua" w:hAnsi="Book Antiqua"/>
                <w:sz w:val="22"/>
                <w:szCs w:val="22"/>
              </w:rPr>
              <w:t>– rovnosť príležitostí a rodovú rovnosť a vplyvy na zamestnanosť</w:t>
            </w:r>
          </w:p>
        </w:tc>
        <w:tc>
          <w:tcPr>
            <w:tcW w:w="1288"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center"/>
              <w:rPr>
                <w:rFonts w:ascii="Book Antiqua" w:hAnsi="Book Antiqua"/>
                <w:sz w:val="22"/>
                <w:szCs w:val="22"/>
              </w:rPr>
            </w:pPr>
          </w:p>
        </w:tc>
        <w:tc>
          <w:tcPr>
            <w:tcW w:w="1134"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center"/>
              <w:rPr>
                <w:rFonts w:ascii="Book Antiqua" w:hAnsi="Book Antiqua"/>
                <w:sz w:val="22"/>
                <w:szCs w:val="22"/>
              </w:rPr>
            </w:pPr>
            <w:r w:rsidRPr="00A3748D">
              <w:rPr>
                <w:rFonts w:ascii="Book Antiqua" w:hAnsi="Book Antiqua"/>
                <w:sz w:val="22"/>
                <w:szCs w:val="22"/>
              </w:rPr>
              <w:t>x</w:t>
            </w:r>
          </w:p>
        </w:tc>
        <w:tc>
          <w:tcPr>
            <w:tcW w:w="1418"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center"/>
              <w:rPr>
                <w:rFonts w:ascii="Book Antiqua" w:hAnsi="Book Antiqua"/>
                <w:sz w:val="22"/>
                <w:szCs w:val="22"/>
              </w:rPr>
            </w:pPr>
          </w:p>
        </w:tc>
      </w:tr>
      <w:tr>
        <w:tblPrEx>
          <w:tblW w:w="0" w:type="auto"/>
          <w:tblInd w:w="-8" w:type="dxa"/>
          <w:tblLayout w:type="fixed"/>
          <w:tblCellMar>
            <w:left w:w="0" w:type="dxa"/>
            <w:right w:w="0" w:type="dxa"/>
          </w:tblCellMar>
        </w:tblPrEx>
        <w:tc>
          <w:tcPr>
            <w:tcW w:w="5516"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both"/>
              <w:rPr>
                <w:rFonts w:ascii="Book Antiqua" w:hAnsi="Book Antiqua"/>
                <w:sz w:val="22"/>
                <w:szCs w:val="22"/>
              </w:rPr>
            </w:pPr>
            <w:r w:rsidRPr="00A3748D">
              <w:rPr>
                <w:rFonts w:ascii="Book Antiqua" w:hAnsi="Book Antiqua"/>
                <w:sz w:val="22"/>
                <w:szCs w:val="22"/>
              </w:rPr>
              <w:t>4. Vplyvy na životné prostredie</w:t>
            </w:r>
          </w:p>
        </w:tc>
        <w:tc>
          <w:tcPr>
            <w:tcW w:w="1288"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center"/>
              <w:rPr>
                <w:rFonts w:ascii="Book Antiqua" w:hAnsi="Book Antiqua"/>
                <w:sz w:val="22"/>
                <w:szCs w:val="22"/>
              </w:rPr>
            </w:pPr>
          </w:p>
        </w:tc>
        <w:tc>
          <w:tcPr>
            <w:tcW w:w="1134"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center"/>
              <w:rPr>
                <w:rFonts w:ascii="Book Antiqua" w:hAnsi="Book Antiqua"/>
                <w:sz w:val="22"/>
                <w:szCs w:val="22"/>
              </w:rPr>
            </w:pPr>
            <w:r w:rsidRPr="00A3748D">
              <w:rPr>
                <w:rFonts w:ascii="Book Antiqua" w:hAnsi="Book Antiqua"/>
                <w:sz w:val="22"/>
                <w:szCs w:val="22"/>
              </w:rPr>
              <w:t>x</w:t>
            </w:r>
          </w:p>
        </w:tc>
        <w:tc>
          <w:tcPr>
            <w:tcW w:w="1418"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center"/>
              <w:rPr>
                <w:rFonts w:ascii="Book Antiqua" w:hAnsi="Book Antiqua"/>
                <w:sz w:val="22"/>
                <w:szCs w:val="22"/>
              </w:rPr>
            </w:pPr>
          </w:p>
        </w:tc>
      </w:tr>
      <w:tr>
        <w:tblPrEx>
          <w:tblW w:w="0" w:type="auto"/>
          <w:tblInd w:w="-8" w:type="dxa"/>
          <w:tblLayout w:type="fixed"/>
          <w:tblCellMar>
            <w:left w:w="0" w:type="dxa"/>
            <w:right w:w="0" w:type="dxa"/>
          </w:tblCellMar>
        </w:tblPrEx>
        <w:tc>
          <w:tcPr>
            <w:tcW w:w="5516"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both"/>
              <w:rPr>
                <w:rFonts w:ascii="Book Antiqua" w:hAnsi="Book Antiqua"/>
                <w:sz w:val="22"/>
                <w:szCs w:val="22"/>
              </w:rPr>
            </w:pPr>
            <w:r w:rsidRPr="00A3748D">
              <w:rPr>
                <w:rFonts w:ascii="Book Antiqua" w:hAnsi="Book Antiqua"/>
                <w:sz w:val="22"/>
                <w:szCs w:val="22"/>
              </w:rPr>
              <w:t>5. Vplyvy na informatizáciu spoločnosti</w:t>
            </w:r>
          </w:p>
        </w:tc>
        <w:tc>
          <w:tcPr>
            <w:tcW w:w="1288"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center"/>
              <w:rPr>
                <w:rFonts w:ascii="Book Antiqua" w:hAnsi="Book Antiqua"/>
                <w:sz w:val="22"/>
                <w:szCs w:val="22"/>
              </w:rPr>
            </w:pPr>
          </w:p>
        </w:tc>
        <w:tc>
          <w:tcPr>
            <w:tcW w:w="1134"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center"/>
              <w:rPr>
                <w:rFonts w:ascii="Book Antiqua" w:hAnsi="Book Antiqua"/>
                <w:sz w:val="22"/>
                <w:szCs w:val="22"/>
              </w:rPr>
            </w:pPr>
            <w:r w:rsidRPr="00A3748D">
              <w:rPr>
                <w:rFonts w:ascii="Book Antiqua" w:hAnsi="Book Antiqua"/>
                <w:sz w:val="22"/>
                <w:szCs w:val="22"/>
              </w:rPr>
              <w:t>x</w:t>
            </w:r>
          </w:p>
        </w:tc>
        <w:tc>
          <w:tcPr>
            <w:tcW w:w="1418" w:type="dxa"/>
            <w:tcBorders>
              <w:top w:val="outset" w:sz="6" w:space="0" w:color="000001"/>
              <w:left w:val="outset" w:sz="6" w:space="0" w:color="000001"/>
              <w:bottom w:val="outset" w:sz="6" w:space="0" w:color="000001"/>
              <w:right w:val="outset" w:sz="6" w:space="0" w:color="000001"/>
            </w:tcBorders>
            <w:textDirection w:val="lrTb"/>
            <w:vAlign w:val="center"/>
          </w:tcPr>
          <w:p w:rsidR="00E74AE0" w:rsidRPr="00A3748D" w:rsidP="00A3748D">
            <w:pPr>
              <w:bidi w:val="0"/>
              <w:spacing w:before="120" w:after="0" w:line="276" w:lineRule="auto"/>
              <w:jc w:val="center"/>
              <w:rPr>
                <w:rFonts w:ascii="Book Antiqua" w:hAnsi="Book Antiqua"/>
                <w:sz w:val="22"/>
                <w:szCs w:val="22"/>
              </w:rPr>
            </w:pPr>
          </w:p>
        </w:tc>
      </w:tr>
    </w:tbl>
    <w:p w:rsidR="00E74AE0" w:rsidRPr="00A3748D" w:rsidP="00A3748D">
      <w:pPr>
        <w:bidi w:val="0"/>
        <w:spacing w:before="120" w:line="276" w:lineRule="auto"/>
        <w:jc w:val="both"/>
        <w:rPr>
          <w:rFonts w:ascii="Book Antiqua" w:hAnsi="Book Antiqua"/>
          <w:sz w:val="22"/>
          <w:szCs w:val="22"/>
        </w:rPr>
      </w:pPr>
      <w:r w:rsidRPr="00A3748D">
        <w:rPr>
          <w:rFonts w:ascii="Book Antiqua" w:hAnsi="Book Antiqua"/>
          <w:sz w:val="22"/>
          <w:szCs w:val="22"/>
        </w:rPr>
        <w:t> </w:t>
      </w:r>
    </w:p>
    <w:p w:rsidR="00E74AE0" w:rsidRPr="00A3748D" w:rsidP="00A3748D">
      <w:pPr>
        <w:bidi w:val="0"/>
        <w:spacing w:before="120" w:line="276" w:lineRule="auto"/>
        <w:jc w:val="both"/>
        <w:rPr>
          <w:rFonts w:ascii="Book Antiqua" w:hAnsi="Book Antiqua"/>
          <w:b/>
          <w:sz w:val="22"/>
          <w:szCs w:val="22"/>
        </w:rPr>
      </w:pPr>
      <w:r w:rsidRPr="00A3748D">
        <w:rPr>
          <w:rFonts w:ascii="Book Antiqua" w:hAnsi="Book Antiqua"/>
          <w:b/>
          <w:sz w:val="22"/>
          <w:szCs w:val="22"/>
        </w:rPr>
        <w:t>A.3. Poznámky</w:t>
      </w:r>
    </w:p>
    <w:p w:rsidR="00E1027E" w:rsidRPr="00A3748D" w:rsidP="00A3748D">
      <w:pPr>
        <w:bidi w:val="0"/>
        <w:spacing w:before="120" w:line="276" w:lineRule="auto"/>
        <w:jc w:val="both"/>
        <w:rPr>
          <w:rFonts w:ascii="Book Antiqua" w:hAnsi="Book Antiqua"/>
          <w:i/>
          <w:sz w:val="22"/>
          <w:szCs w:val="22"/>
        </w:rPr>
      </w:pPr>
      <w:r w:rsidRPr="00DD7F03">
        <w:rPr>
          <w:rFonts w:ascii="Book Antiqua" w:hAnsi="Book Antiqua"/>
          <w:i/>
          <w:sz w:val="22"/>
          <w:szCs w:val="22"/>
        </w:rPr>
        <w:t>Návrh zákona nemá vplyv na rozpočet verejnej správy, keďže sa týka úverov na bývanie poskytovaných bankami alebo fyzickými osobami. Vyššia pôrodnosť a pozitívny demografický vývoj by sa mal pozit</w:t>
      </w:r>
      <w:r w:rsidRPr="00DD7F03" w:rsidR="0013421B">
        <w:rPr>
          <w:rFonts w:ascii="Book Antiqua" w:hAnsi="Book Antiqua"/>
          <w:i/>
          <w:sz w:val="22"/>
          <w:szCs w:val="22"/>
        </w:rPr>
        <w:t>ívne prejaviť</w:t>
      </w:r>
      <w:r w:rsidRPr="00DD7F03">
        <w:rPr>
          <w:rFonts w:ascii="Book Antiqua" w:hAnsi="Book Antiqua"/>
          <w:i/>
          <w:sz w:val="22"/>
          <w:szCs w:val="22"/>
        </w:rPr>
        <w:t xml:space="preserve"> najmä v oblasti sociálnych vplyvov. Návrh zákona nemá žiadny vplyv na informatizáciu spoločnosti a na životné prostredie.</w:t>
      </w:r>
    </w:p>
    <w:p w:rsidR="0049300E" w:rsidRPr="00A3748D" w:rsidP="00A3748D">
      <w:pPr>
        <w:bidi w:val="0"/>
        <w:spacing w:before="120" w:line="276" w:lineRule="auto"/>
        <w:jc w:val="both"/>
        <w:rPr>
          <w:rFonts w:ascii="Book Antiqua" w:hAnsi="Book Antiqua"/>
          <w:i/>
          <w:sz w:val="22"/>
          <w:szCs w:val="22"/>
        </w:rPr>
      </w:pPr>
    </w:p>
    <w:p w:rsidR="00E74AE0" w:rsidRPr="00A3748D" w:rsidP="00A3748D">
      <w:pPr>
        <w:bidi w:val="0"/>
        <w:spacing w:before="120" w:line="276" w:lineRule="auto"/>
        <w:jc w:val="both"/>
        <w:rPr>
          <w:rFonts w:ascii="Book Antiqua" w:hAnsi="Book Antiqua"/>
          <w:b/>
          <w:sz w:val="22"/>
          <w:szCs w:val="22"/>
        </w:rPr>
      </w:pPr>
      <w:r w:rsidRPr="00A3748D">
        <w:rPr>
          <w:rFonts w:ascii="Book Antiqua" w:hAnsi="Book Antiqua"/>
          <w:b/>
          <w:sz w:val="22"/>
          <w:szCs w:val="22"/>
        </w:rPr>
        <w:t>A.4. Alternatívne riešenia</w:t>
      </w:r>
    </w:p>
    <w:p w:rsidR="0049300E" w:rsidP="00A3748D">
      <w:pPr>
        <w:bidi w:val="0"/>
        <w:spacing w:before="120" w:line="276" w:lineRule="auto"/>
        <w:jc w:val="both"/>
        <w:rPr>
          <w:rFonts w:ascii="Book Antiqua" w:hAnsi="Book Antiqua"/>
          <w:i/>
          <w:color w:val="000000"/>
          <w:sz w:val="22"/>
          <w:szCs w:val="22"/>
        </w:rPr>
      </w:pPr>
      <w:r w:rsidRPr="00A3748D">
        <w:rPr>
          <w:rFonts w:ascii="Book Antiqua" w:hAnsi="Book Antiqua"/>
          <w:i/>
          <w:color w:val="000000"/>
          <w:sz w:val="22"/>
          <w:szCs w:val="22"/>
        </w:rPr>
        <w:t>b</w:t>
      </w:r>
      <w:r w:rsidR="00BE7445">
        <w:rPr>
          <w:rFonts w:ascii="Book Antiqua" w:hAnsi="Book Antiqua"/>
          <w:i/>
          <w:color w:val="000000"/>
          <w:sz w:val="22"/>
          <w:szCs w:val="22"/>
        </w:rPr>
        <w:t>ezpredmetné</w:t>
      </w:r>
    </w:p>
    <w:p w:rsidR="00BE7445" w:rsidRPr="00A3748D" w:rsidP="00A3748D">
      <w:pPr>
        <w:bidi w:val="0"/>
        <w:spacing w:before="120" w:line="276" w:lineRule="auto"/>
        <w:jc w:val="both"/>
        <w:rPr>
          <w:rFonts w:ascii="Book Antiqua" w:hAnsi="Book Antiqua"/>
          <w:b/>
          <w:bCs/>
          <w:i/>
          <w:color w:val="000000"/>
          <w:sz w:val="22"/>
          <w:szCs w:val="22"/>
        </w:rPr>
      </w:pPr>
    </w:p>
    <w:p w:rsidR="00E74AE0" w:rsidRPr="00A3748D" w:rsidP="00A3748D">
      <w:pPr>
        <w:pStyle w:val="NormalWeb"/>
        <w:bidi w:val="0"/>
        <w:spacing w:before="120" w:after="0" w:line="276" w:lineRule="auto"/>
        <w:ind w:left="567" w:hanging="567"/>
        <w:jc w:val="both"/>
        <w:rPr>
          <w:rFonts w:ascii="Book Antiqua" w:hAnsi="Book Antiqua"/>
          <w:b/>
          <w:sz w:val="22"/>
          <w:szCs w:val="22"/>
        </w:rPr>
      </w:pPr>
      <w:r w:rsidRPr="00A3748D">
        <w:rPr>
          <w:rFonts w:ascii="Book Antiqua" w:hAnsi="Book Antiqua"/>
          <w:b/>
          <w:sz w:val="22"/>
          <w:szCs w:val="22"/>
        </w:rPr>
        <w:t xml:space="preserve">A.5. </w:t>
        <w:tab/>
        <w:t>Stanovisko gestorov</w:t>
      </w:r>
    </w:p>
    <w:p w:rsidR="0049300E" w:rsidRPr="00A3748D" w:rsidP="00A3748D">
      <w:pPr>
        <w:pStyle w:val="NormalWeb"/>
        <w:bidi w:val="0"/>
        <w:spacing w:before="120" w:after="0" w:line="276" w:lineRule="auto"/>
        <w:jc w:val="both"/>
        <w:rPr>
          <w:rFonts w:ascii="Book Antiqua" w:hAnsi="Book Antiqua"/>
          <w:sz w:val="22"/>
          <w:szCs w:val="22"/>
        </w:rPr>
      </w:pPr>
      <w:r w:rsidRPr="00A3748D">
        <w:rPr>
          <w:rFonts w:ascii="Book Antiqua" w:hAnsi="Book Antiqua"/>
          <w:i/>
          <w:iCs/>
          <w:color w:val="000000"/>
          <w:sz w:val="22"/>
          <w:szCs w:val="22"/>
        </w:rPr>
        <w:t>Návrh zákona bol zaslaný na vyjadrenie Ministerstvu financií SR a stanovisko tohto ministerstva tvorí súčasť predkladaného materiálu.</w:t>
      </w:r>
    </w:p>
    <w:sectPr>
      <w:pgSz w:w="12240" w:h="15840"/>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ˇ¦||||||||ˇ¦||||||ˇ¦||"/>
    <w:panose1 w:val="02010600030101010101"/>
    <w:charset w:val="86"/>
    <w:family w:val="auto"/>
    <w:pitch w:val="variable"/>
    <w:sig w:usb0="00000000" w:usb1="00000000" w:usb2="00000000" w:usb3="00000000" w:csb0="00040001" w:csb1="00000000"/>
  </w:font>
  <w:font w:name="Mangal">
    <w:altName w:val="MS Gothic"/>
    <w:panose1 w:val="00000400000000000000"/>
    <w:charset w:val="01"/>
    <w:family w:val="roman"/>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Book Antiqua">
    <w:altName w:val="Palatino"/>
    <w:panose1 w:val="00000000000000000000"/>
    <w:charset w:val="EE"/>
    <w:family w:val="roman"/>
    <w:pitch w:val="variable"/>
    <w:sig w:usb0="00000000" w:usb1="00000000" w:usb2="00000000" w:usb3="00000000" w:csb0="0000009F" w:csb1="00000000"/>
  </w:font>
  <w:font w:name="Liberation Serif">
    <w:altName w:val="Times New Roman"/>
    <w:charset w:val="EE"/>
    <w:family w:val="swiss"/>
    <w:pitch w:val="variable"/>
    <w:sig w:usb0="00000000" w:usb1="00000000" w:usb2="00000000" w:usb3="00000000" w:csb0="00000003" w:csb1="00000000"/>
  </w:font>
  <w:font w:name="@SimSun">
    <w:panose1 w:val="02010600030101010101"/>
    <w:charset w:val="86"/>
    <w:family w:val="auto"/>
    <w:pitch w:val="variable"/>
    <w:sig w:usb0="00000000" w:usb1="00000000" w:usb2="00000000" w:usb3="00000000" w:csb0="00040001" w:csb1="00000000"/>
  </w:font>
  <w:font w:name="Calibri Light">
    <w:panose1 w:val="020F0302020204030204"/>
    <w:charset w:val="EE"/>
    <w:family w:val="swiss"/>
    <w:pitch w:val="variable"/>
    <w:sig w:usb0="00000000" w:usb1="00000000" w:usb2="00000000" w:usb3="00000000" w:csb0="000001FF" w:csb1="00000000"/>
  </w:font>
  <w:font w:name="Calibri">
    <w:altName w:val="Futura Bk"/>
    <w:panose1 w:val="020F0502020204030204"/>
    <w:charset w:val="EE"/>
    <w:family w:val="swiss"/>
    <w:pitch w:val="variable"/>
    <w:sig w:usb0="00000000"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lowerLetter"/>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1">
    <w:nsid w:val="138D4E87"/>
    <w:multiLevelType w:val="hybridMultilevel"/>
    <w:tmpl w:val="1FC8B4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C117E5B"/>
    <w:multiLevelType w:val="singleLevel"/>
    <w:tmpl w:val="5756D63E"/>
    <w:lvl w:ilvl="0">
      <w:start w:val="1"/>
      <w:numFmt w:val="decimal"/>
      <w:lvlText w:val="%1."/>
      <w:lvlJc w:val="left"/>
      <w:pPr>
        <w:tabs>
          <w:tab w:val="num" w:pos="360"/>
        </w:tabs>
        <w:ind w:left="360" w:hanging="360"/>
      </w:pPr>
      <w:rPr>
        <w:rFonts w:cs="Times New Roman" w:hint="default"/>
        <w:b/>
        <w:bCs/>
        <w:rtl w:val="0"/>
        <w:cs w:val="0"/>
      </w:rPr>
    </w:lvl>
  </w:abstractNum>
  <w:abstractNum w:abstractNumId="3">
    <w:nsid w:val="51FE34AB"/>
    <w:multiLevelType w:val="singleLevel"/>
    <w:tmpl w:val="A9BC30E2"/>
    <w:lvl w:ilvl="0">
      <w:start w:val="1"/>
      <w:numFmt w:val="lowerLetter"/>
      <w:lvlText w:val="%1)"/>
      <w:lvlJc w:val="left"/>
      <w:pPr>
        <w:tabs>
          <w:tab w:val="num" w:pos="861"/>
        </w:tabs>
        <w:ind w:left="861" w:hanging="435"/>
      </w:pPr>
      <w:rPr>
        <w:rFonts w:cs="Times New Roman" w:hint="default"/>
        <w:rtl w:val="0"/>
        <w:cs w:val="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characterSpacingControl w:val="doNotCompress"/>
  <w:compat/>
  <w:rsids>
    <w:rsidRoot w:val="0021142D"/>
    <w:rsid w:val="0013421B"/>
    <w:rsid w:val="001B41BD"/>
    <w:rsid w:val="0021142D"/>
    <w:rsid w:val="002E0AF5"/>
    <w:rsid w:val="002E1276"/>
    <w:rsid w:val="0032257B"/>
    <w:rsid w:val="003D6C43"/>
    <w:rsid w:val="00420DA0"/>
    <w:rsid w:val="004736D6"/>
    <w:rsid w:val="0049300E"/>
    <w:rsid w:val="005B1674"/>
    <w:rsid w:val="005C59FE"/>
    <w:rsid w:val="005D7150"/>
    <w:rsid w:val="00623ACA"/>
    <w:rsid w:val="006C2F3B"/>
    <w:rsid w:val="00775967"/>
    <w:rsid w:val="007D49E2"/>
    <w:rsid w:val="007F4581"/>
    <w:rsid w:val="00843CDC"/>
    <w:rsid w:val="00972E0D"/>
    <w:rsid w:val="00A0657B"/>
    <w:rsid w:val="00A3748D"/>
    <w:rsid w:val="00A759F0"/>
    <w:rsid w:val="00B16968"/>
    <w:rsid w:val="00B23081"/>
    <w:rsid w:val="00B51CE0"/>
    <w:rsid w:val="00BE7445"/>
    <w:rsid w:val="00C00F93"/>
    <w:rsid w:val="00C46F84"/>
    <w:rsid w:val="00C64FB6"/>
    <w:rsid w:val="00C82CA6"/>
    <w:rsid w:val="00C907DF"/>
    <w:rsid w:val="00DD7F03"/>
    <w:rsid w:val="00E00CAD"/>
    <w:rsid w:val="00E1027E"/>
    <w:rsid w:val="00E728AC"/>
    <w:rsid w:val="00E74AE0"/>
    <w:rsid w:val="00E90EE5"/>
    <w:rsid w:val="00F449FC"/>
    <w:rsid w:val="00F529C4"/>
    <w:rsid w:val="00F574B2"/>
    <w:rsid w:val="00FA56D1"/>
    <w:rsid w:val="00FD59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42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apple-style-span">
    <w:name w:val="apple-style-span"/>
    <w:rsid w:val="0021142D"/>
  </w:style>
  <w:style w:type="paragraph" w:styleId="NoSpacing">
    <w:name w:val="No Spacing"/>
    <w:uiPriority w:val="1"/>
    <w:qFormat/>
    <w:rsid w:val="0021142D"/>
    <w:pPr>
      <w:framePr w:wrap="auto"/>
      <w:widowControl w:val="0"/>
      <w:suppressAutoHyphens/>
      <w:autoSpaceDE/>
      <w:autoSpaceDN/>
      <w:adjustRightInd/>
      <w:ind w:left="0" w:right="0"/>
      <w:jc w:val="left"/>
      <w:textAlignment w:val="auto"/>
    </w:pPr>
    <w:rPr>
      <w:rFonts w:ascii="Times New Roman" w:eastAsia="SimSun" w:hAnsi="Times New Roman" w:cs="Mangal"/>
      <w:kern w:val="2"/>
      <w:sz w:val="24"/>
      <w:szCs w:val="21"/>
      <w:rtl w:val="0"/>
      <w:cs w:val="0"/>
      <w:lang w:val="sk-SK" w:eastAsia="hi-IN" w:bidi="hi-IN"/>
    </w:rPr>
  </w:style>
  <w:style w:type="paragraph" w:styleId="BodyTextIndent3">
    <w:name w:val="Body Text Indent 3"/>
    <w:basedOn w:val="Normal"/>
    <w:link w:val="Zarkazkladnhotextu3Char"/>
    <w:uiPriority w:val="99"/>
    <w:rsid w:val="00972E0D"/>
    <w:pPr>
      <w:spacing w:after="120"/>
      <w:ind w:left="283"/>
      <w:jc w:val="left"/>
    </w:pPr>
    <w:rPr>
      <w:sz w:val="16"/>
      <w:szCs w:val="16"/>
      <w:lang w:val="cs-CZ" w:eastAsia="cs-CZ"/>
    </w:rPr>
  </w:style>
  <w:style w:type="character" w:customStyle="1" w:styleId="Zarkazkladnhotextu3Char">
    <w:name w:val="Zarážka základného textu 3 Char"/>
    <w:basedOn w:val="DefaultParagraphFont"/>
    <w:link w:val="BodyTextIndent3"/>
    <w:uiPriority w:val="99"/>
    <w:locked/>
    <w:rsid w:val="00972E0D"/>
    <w:rPr>
      <w:rFonts w:ascii="Times New Roman" w:hAnsi="Times New Roman" w:cs="Times New Roman"/>
      <w:sz w:val="16"/>
      <w:szCs w:val="16"/>
      <w:rtl w:val="0"/>
      <w:cs w:val="0"/>
      <w:lang w:val="cs-CZ" w:eastAsia="cs-CZ"/>
    </w:rPr>
  </w:style>
  <w:style w:type="paragraph" w:customStyle="1" w:styleId="Standard">
    <w:name w:val="Standard"/>
    <w:uiPriority w:val="99"/>
    <w:rsid w:val="00775967"/>
    <w:pPr>
      <w:framePr w:wrap="auto"/>
      <w:widowControl w:val="0"/>
      <w:suppressAutoHyphens/>
      <w:autoSpaceDE w:val="0"/>
      <w:autoSpaceDN w:val="0"/>
      <w:adjustRightInd w:val="0"/>
      <w:ind w:left="0" w:right="0"/>
      <w:jc w:val="left"/>
      <w:textAlignment w:val="auto"/>
    </w:pPr>
    <w:rPr>
      <w:rFonts w:ascii="Times New Roman" w:eastAsia="Times New Roman" w:hAnsi="Liberation Serif" w:cs="Times New Roman"/>
      <w:kern w:val="1"/>
      <w:sz w:val="24"/>
      <w:szCs w:val="24"/>
      <w:rtl w:val="0"/>
      <w:cs w:val="0"/>
      <w:lang w:val="sk-SK" w:eastAsia="sk-SK" w:bidi="ar-SA"/>
    </w:rPr>
  </w:style>
  <w:style w:type="paragraph" w:customStyle="1" w:styleId="Norme1lnywebovfd1">
    <w:name w:val="Normáe1lny (webovýfd)1"/>
    <w:basedOn w:val="Normal"/>
    <w:uiPriority w:val="99"/>
    <w:rsid w:val="00E74AE0"/>
    <w:pPr>
      <w:suppressAutoHyphens/>
      <w:autoSpaceDE w:val="0"/>
      <w:autoSpaceDN w:val="0"/>
      <w:adjustRightInd w:val="0"/>
      <w:spacing w:before="280" w:after="280"/>
      <w:jc w:val="left"/>
    </w:pPr>
    <w:rPr>
      <w:rFonts w:ascii="Times New Roman" w:eastAsia="Times New Roman" w:hAnsi="Liberation Serif"/>
      <w:kern w:val="1"/>
      <w:lang w:eastAsia="en-US"/>
    </w:rPr>
  </w:style>
  <w:style w:type="paragraph" w:styleId="NormalWeb">
    <w:name w:val="Normal (Web)"/>
    <w:basedOn w:val="Normal"/>
    <w:uiPriority w:val="99"/>
    <w:rsid w:val="00E74AE0"/>
    <w:pPr>
      <w:suppressAutoHyphens/>
      <w:autoSpaceDE w:val="0"/>
      <w:autoSpaceDN w:val="0"/>
      <w:adjustRightInd w:val="0"/>
      <w:spacing w:before="280" w:after="280"/>
      <w:jc w:val="left"/>
    </w:pPr>
    <w:rPr>
      <w:rFonts w:ascii="Times New Roman" w:eastAsia="Times New Roman" w:hAnsi="Liberation Serif"/>
      <w:kern w:val="1"/>
    </w:rPr>
  </w:style>
  <w:style w:type="paragraph" w:styleId="ListParagraph">
    <w:name w:val="List Paragraph"/>
    <w:basedOn w:val="Normal"/>
    <w:uiPriority w:val="34"/>
    <w:qFormat/>
    <w:rsid w:val="00E90EE5"/>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5</Pages>
  <Words>1130</Words>
  <Characters>6442</Characters>
  <Application>Microsoft Office Word</Application>
  <DocSecurity>0</DocSecurity>
  <Lines>0</Lines>
  <Paragraphs>0</Paragraphs>
  <ScaleCrop>false</ScaleCrop>
  <Company>Hewlett-Packard</Company>
  <LinksUpToDate>false</LinksUpToDate>
  <CharactersWithSpaces>7557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Kristína Nagyová</dc:creator>
  <cp:lastModifiedBy>Lukáč, Jozef (asistent)</cp:lastModifiedBy>
  <cp:revision>2</cp:revision>
  <dcterms:created xsi:type="dcterms:W3CDTF">2018-08-24T14:25:00Z</dcterms:created>
  <dcterms:modified xsi:type="dcterms:W3CDTF">2018-08-24T14:25:00Z</dcterms:modified>
</cp:coreProperties>
</file>