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827" w:rsidRPr="00B0199F" w:rsidP="00D54B5D">
      <w:pPr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D43827" w:rsidRPr="00B0199F" w:rsidP="00D54B5D">
      <w:pPr>
        <w:pStyle w:val="ListParagraph"/>
        <w:numPr>
          <w:numId w:val="1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:rsidR="00D43827" w:rsidRPr="00D05292" w:rsidP="00D54B5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7046A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7295" w:rsidR="00D43827">
        <w:rPr>
          <w:rFonts w:ascii="Times New Roman" w:hAnsi="Times New Roman"/>
          <w:sz w:val="24"/>
          <w:szCs w:val="24"/>
        </w:rPr>
        <w:tab/>
      </w:r>
      <w:r w:rsidRPr="00C450C7" w:rsidR="00D43827">
        <w:rPr>
          <w:rFonts w:ascii="Times New Roman" w:hAnsi="Times New Roman"/>
          <w:sz w:val="24"/>
          <w:szCs w:val="24"/>
        </w:rPr>
        <w:t>Na rokovanie Národnej rady Slo</w:t>
      </w:r>
      <w:r w:rsidR="00AA7094">
        <w:rPr>
          <w:rFonts w:ascii="Times New Roman" w:hAnsi="Times New Roman"/>
          <w:sz w:val="24"/>
          <w:szCs w:val="24"/>
        </w:rPr>
        <w:t>venskej republiky sa predkladá</w:t>
      </w:r>
      <w:r w:rsidR="00C1015D">
        <w:rPr>
          <w:rFonts w:ascii="Times New Roman" w:hAnsi="Times New Roman"/>
          <w:sz w:val="24"/>
          <w:szCs w:val="24"/>
        </w:rPr>
        <w:t xml:space="preserve"> </w:t>
      </w:r>
      <w:r w:rsidR="00AA7094">
        <w:rPr>
          <w:rFonts w:ascii="Times New Roman" w:hAnsi="Times New Roman"/>
          <w:sz w:val="24"/>
          <w:szCs w:val="24"/>
        </w:rPr>
        <w:t>návrh</w:t>
      </w:r>
      <w:r w:rsidR="001F57E3">
        <w:rPr>
          <w:rFonts w:ascii="Times New Roman" w:hAnsi="Times New Roman"/>
          <w:sz w:val="24"/>
          <w:szCs w:val="24"/>
        </w:rPr>
        <w:t xml:space="preserve"> </w:t>
      </w:r>
      <w:r w:rsidR="00D70B63">
        <w:rPr>
          <w:rFonts w:ascii="Times New Roman" w:hAnsi="Times New Roman"/>
          <w:sz w:val="24"/>
          <w:szCs w:val="24"/>
        </w:rPr>
        <w:t xml:space="preserve">skupiny </w:t>
      </w:r>
      <w:r w:rsidR="001F57E3">
        <w:rPr>
          <w:rFonts w:ascii="Times New Roman" w:hAnsi="Times New Roman"/>
          <w:sz w:val="24"/>
          <w:szCs w:val="24"/>
        </w:rPr>
        <w:t xml:space="preserve">poslancov Národnej rady Slovenskej republiky na vydanie </w:t>
      </w:r>
      <w:r w:rsidR="00C1015D">
        <w:rPr>
          <w:rFonts w:ascii="Times New Roman" w:hAnsi="Times New Roman"/>
          <w:sz w:val="24"/>
          <w:szCs w:val="24"/>
        </w:rPr>
        <w:t xml:space="preserve">zákona, </w:t>
      </w:r>
      <w:r w:rsidRPr="00C1015D" w:rsidR="00C1015D">
        <w:rPr>
          <w:rFonts w:ascii="Times New Roman" w:hAnsi="Times New Roman"/>
          <w:sz w:val="24"/>
          <w:szCs w:val="24"/>
        </w:rPr>
        <w:t xml:space="preserve">ktorým sa dopĺňa zákon č. </w:t>
      </w:r>
      <w:r w:rsidRPr="00C7046A">
        <w:rPr>
          <w:rFonts w:ascii="Times New Roman" w:hAnsi="Times New Roman"/>
          <w:sz w:val="24"/>
          <w:szCs w:val="24"/>
        </w:rPr>
        <w:t>301/2005 Z. z. Trestný poriadok v znení neskorších predpisov</w:t>
      </w:r>
      <w:r w:rsidRPr="00C450C7" w:rsidR="00D43827">
        <w:rPr>
          <w:rFonts w:ascii="Times New Roman" w:hAnsi="Times New Roman"/>
          <w:sz w:val="24"/>
          <w:szCs w:val="24"/>
        </w:rPr>
        <w:t>.</w:t>
      </w:r>
    </w:p>
    <w:p w:rsidR="003D1C69" w:rsidP="00AC500E">
      <w:pPr>
        <w:bidi w:val="0"/>
        <w:spacing w:after="6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 xml:space="preserve">Podľa § 2 ods. </w:t>
      </w:r>
      <w:r>
        <w:rPr>
          <w:rFonts w:ascii="Times New Roman" w:hAnsi="Times New Roman"/>
          <w:sz w:val="24"/>
          <w:szCs w:val="24"/>
        </w:rPr>
        <w:t>5</w:t>
      </w:r>
      <w:r w:rsidRPr="00AC500E">
        <w:rPr>
          <w:rFonts w:ascii="Times New Roman" w:hAnsi="Times New Roman"/>
          <w:sz w:val="24"/>
          <w:szCs w:val="24"/>
        </w:rPr>
        <w:t xml:space="preserve"> Trestného poriadku, ktorý ustanovuje základné zásady trestného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C69">
        <w:rPr>
          <w:rFonts w:ascii="Times New Roman" w:hAnsi="Times New Roman"/>
          <w:sz w:val="24"/>
          <w:szCs w:val="24"/>
        </w:rPr>
        <w:t>konania, prokurátor j</w:t>
      </w:r>
      <w:r>
        <w:rPr>
          <w:rFonts w:ascii="Times New Roman" w:hAnsi="Times New Roman"/>
          <w:sz w:val="24"/>
          <w:szCs w:val="24"/>
        </w:rPr>
        <w:t>e povinný stíhať všetky trestné</w:t>
      </w:r>
      <w:r w:rsidRPr="003D1C69">
        <w:rPr>
          <w:rFonts w:ascii="Times New Roman" w:hAnsi="Times New Roman"/>
          <w:sz w:val="24"/>
          <w:szCs w:val="24"/>
        </w:rPr>
        <w:t xml:space="preserve"> činy, o ktorých sa dozvedel, ak tento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C69">
        <w:rPr>
          <w:rFonts w:ascii="Times New Roman" w:hAnsi="Times New Roman"/>
          <w:sz w:val="24"/>
          <w:szCs w:val="24"/>
        </w:rPr>
        <w:t>zákon, medzinárodná zmluva vyhlásená spôsobom ustanoveným zákonom alebo rozhodnutie</w:t>
      </w:r>
      <w:r>
        <w:rPr>
          <w:rFonts w:ascii="Times New Roman" w:hAnsi="Times New Roman"/>
          <w:sz w:val="24"/>
          <w:szCs w:val="24"/>
        </w:rPr>
        <w:t xml:space="preserve"> medzinárodnej organizá</w:t>
      </w:r>
      <w:r w:rsidRPr="003D1C69">
        <w:rPr>
          <w:rFonts w:ascii="Times New Roman" w:hAnsi="Times New Roman"/>
          <w:sz w:val="24"/>
          <w:szCs w:val="24"/>
        </w:rPr>
        <w:t>cie, ktorým je Slovenská republika viazaná, neustanovuje inak.</w:t>
      </w:r>
    </w:p>
    <w:p w:rsidR="003D1C69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="00D05292">
        <w:rPr>
          <w:rFonts w:ascii="Times New Roman" w:hAnsi="Times New Roman"/>
          <w:sz w:val="24"/>
          <w:szCs w:val="24"/>
        </w:rPr>
        <w:t>Účelom</w:t>
      </w:r>
      <w:r w:rsidR="00324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tejto </w:t>
      </w:r>
      <w:r w:rsidR="00324EE2">
        <w:rPr>
          <w:rFonts w:ascii="Times New Roman" w:hAnsi="Times New Roman"/>
          <w:sz w:val="24"/>
          <w:szCs w:val="24"/>
        </w:rPr>
        <w:t xml:space="preserve">novely </w:t>
      </w:r>
      <w:r>
        <w:rPr>
          <w:rFonts w:ascii="Times New Roman" w:hAnsi="Times New Roman"/>
          <w:sz w:val="24"/>
          <w:szCs w:val="24"/>
        </w:rPr>
        <w:t xml:space="preserve">Trestného poriadku je </w:t>
      </w:r>
      <w:r w:rsidRPr="003D1C69">
        <w:rPr>
          <w:rFonts w:ascii="Times New Roman" w:hAnsi="Times New Roman"/>
          <w:sz w:val="24"/>
          <w:szCs w:val="24"/>
        </w:rPr>
        <w:t>posilniť vlastnú rozhodovaciu činnosť orgánov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C69">
        <w:rPr>
          <w:rFonts w:ascii="Times New Roman" w:hAnsi="Times New Roman"/>
          <w:sz w:val="24"/>
          <w:szCs w:val="24"/>
        </w:rPr>
        <w:t xml:space="preserve">činných v trestnom konaní a súdov pri rozhodovaní o anonymných podaniach. </w:t>
      </w:r>
    </w:p>
    <w:p w:rsidR="00AA7904" w:rsidP="00AC500E">
      <w:pPr>
        <w:bidi w:val="0"/>
        <w:spacing w:after="6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1C69" w:rsidR="003D1C69">
        <w:rPr>
          <w:rFonts w:ascii="Times New Roman" w:hAnsi="Times New Roman"/>
          <w:sz w:val="24"/>
          <w:szCs w:val="24"/>
        </w:rPr>
        <w:t>Zrušenie</w:t>
      </w:r>
      <w:r w:rsidR="003D1C69">
        <w:rPr>
          <w:rFonts w:ascii="Times New Roman" w:hAnsi="Times New Roman"/>
          <w:sz w:val="24"/>
          <w:szCs w:val="24"/>
        </w:rPr>
        <w:t xml:space="preserve"> </w:t>
      </w:r>
      <w:r w:rsidRPr="003D1C69" w:rsidR="003D1C69">
        <w:rPr>
          <w:rFonts w:ascii="Times New Roman" w:hAnsi="Times New Roman"/>
          <w:sz w:val="24"/>
          <w:szCs w:val="24"/>
        </w:rPr>
        <w:t>doterajšej povinnosti orgánov činných v trestnom konaní a súdov vybavovať aj anonymné</w:t>
      </w:r>
      <w:r w:rsidR="003D1C69">
        <w:rPr>
          <w:rFonts w:ascii="Times New Roman" w:hAnsi="Times New Roman"/>
          <w:sz w:val="24"/>
          <w:szCs w:val="24"/>
        </w:rPr>
        <w:t xml:space="preserve"> </w:t>
      </w:r>
      <w:r w:rsidRPr="003D1C69" w:rsidR="003D1C69">
        <w:rPr>
          <w:rFonts w:ascii="Times New Roman" w:hAnsi="Times New Roman"/>
          <w:sz w:val="24"/>
          <w:szCs w:val="24"/>
        </w:rPr>
        <w:t>podania a podania, ktoré sú označené nepravdivými, neúplnými alebo neoveriteľnými údajmi</w:t>
      </w:r>
      <w:r w:rsidR="003D1C69">
        <w:rPr>
          <w:rFonts w:ascii="Times New Roman" w:hAnsi="Times New Roman"/>
          <w:sz w:val="24"/>
          <w:szCs w:val="24"/>
        </w:rPr>
        <w:t xml:space="preserve"> </w:t>
      </w:r>
      <w:r w:rsidRPr="003D1C69" w:rsidR="003D1C69">
        <w:rPr>
          <w:rFonts w:ascii="Times New Roman" w:hAnsi="Times New Roman"/>
          <w:sz w:val="24"/>
          <w:szCs w:val="24"/>
        </w:rPr>
        <w:t>o totožnosti odosielateľa, prispeje na jednej strane k zefektívneniu činnosti orgánov činných</w:t>
      </w:r>
      <w:r w:rsidR="003D1C69">
        <w:rPr>
          <w:rFonts w:ascii="Times New Roman" w:hAnsi="Times New Roman"/>
          <w:sz w:val="24"/>
          <w:szCs w:val="24"/>
        </w:rPr>
        <w:t xml:space="preserve"> </w:t>
      </w:r>
      <w:r w:rsidRPr="003D1C69" w:rsidR="003D1C69">
        <w:rPr>
          <w:rFonts w:ascii="Times New Roman" w:hAnsi="Times New Roman"/>
          <w:sz w:val="24"/>
          <w:szCs w:val="24"/>
        </w:rPr>
        <w:t>v trestnom konaní a súdov a na strane druhej k ochrane práv a zákonom chránených záujmov</w:t>
      </w:r>
      <w:r w:rsidR="003D1C69">
        <w:rPr>
          <w:rFonts w:ascii="Times New Roman" w:hAnsi="Times New Roman"/>
          <w:sz w:val="24"/>
          <w:szCs w:val="24"/>
        </w:rPr>
        <w:t xml:space="preserve"> </w:t>
      </w:r>
      <w:r w:rsidRPr="003D1C69" w:rsidR="003D1C69">
        <w:rPr>
          <w:rFonts w:ascii="Times New Roman" w:hAnsi="Times New Roman"/>
          <w:sz w:val="24"/>
          <w:szCs w:val="24"/>
        </w:rPr>
        <w:t xml:space="preserve">dotknutých osôb pred šikanóznymi anonymnými podaniami. </w:t>
      </w:r>
      <w:r w:rsidRPr="003D1C69" w:rsidR="00C412CE">
        <w:rPr>
          <w:rFonts w:ascii="Times New Roman" w:hAnsi="Times New Roman"/>
          <w:sz w:val="24"/>
          <w:szCs w:val="24"/>
        </w:rPr>
        <w:t>Uvedené sa týka aj anonymných</w:t>
      </w:r>
      <w:r w:rsidR="00C412CE">
        <w:rPr>
          <w:rFonts w:ascii="Times New Roman" w:hAnsi="Times New Roman"/>
          <w:sz w:val="24"/>
          <w:szCs w:val="24"/>
        </w:rPr>
        <w:t xml:space="preserve"> </w:t>
      </w:r>
      <w:r w:rsidRPr="003D1C69" w:rsidR="00C412CE">
        <w:rPr>
          <w:rFonts w:ascii="Times New Roman" w:hAnsi="Times New Roman"/>
          <w:sz w:val="24"/>
          <w:szCs w:val="24"/>
        </w:rPr>
        <w:t xml:space="preserve">trestných oznámení. </w:t>
      </w:r>
      <w:r w:rsidR="00D05292">
        <w:rPr>
          <w:rFonts w:ascii="Times New Roman" w:hAnsi="Times New Roman"/>
          <w:sz w:val="24"/>
          <w:szCs w:val="24"/>
        </w:rPr>
        <w:t>V súčasnosti a</w:t>
      </w:r>
      <w:r w:rsidRPr="003D1C69" w:rsidR="00D05292">
        <w:rPr>
          <w:rFonts w:ascii="Times New Roman" w:hAnsi="Times New Roman"/>
          <w:sz w:val="24"/>
          <w:szCs w:val="24"/>
        </w:rPr>
        <w:t>k je podané anonymné trestné oznámenie a</w:t>
      </w:r>
      <w:r w:rsidR="00D05292">
        <w:rPr>
          <w:rFonts w:ascii="Times New Roman" w:hAnsi="Times New Roman"/>
          <w:sz w:val="24"/>
          <w:szCs w:val="24"/>
        </w:rPr>
        <w:t xml:space="preserve"> </w:t>
      </w:r>
      <w:r w:rsidRPr="003D1C69" w:rsidR="00D05292">
        <w:rPr>
          <w:rFonts w:ascii="Times New Roman" w:hAnsi="Times New Roman"/>
          <w:sz w:val="24"/>
          <w:szCs w:val="24"/>
        </w:rPr>
        <w:t>orgán činný v</w:t>
      </w:r>
      <w:r w:rsidR="00D05292">
        <w:rPr>
          <w:rFonts w:ascii="Times New Roman" w:hAnsi="Times New Roman"/>
          <w:sz w:val="24"/>
          <w:szCs w:val="24"/>
        </w:rPr>
        <w:t> </w:t>
      </w:r>
      <w:r w:rsidRPr="003D1C69" w:rsidR="00D05292">
        <w:rPr>
          <w:rFonts w:ascii="Times New Roman" w:hAnsi="Times New Roman"/>
          <w:sz w:val="24"/>
          <w:szCs w:val="24"/>
        </w:rPr>
        <w:t>trestnom</w:t>
      </w:r>
      <w:r w:rsidR="00D05292">
        <w:rPr>
          <w:rFonts w:ascii="Times New Roman" w:hAnsi="Times New Roman"/>
          <w:sz w:val="24"/>
          <w:szCs w:val="24"/>
        </w:rPr>
        <w:t xml:space="preserve"> </w:t>
      </w:r>
      <w:r w:rsidRPr="003D1C69" w:rsidR="00D05292">
        <w:rPr>
          <w:rFonts w:ascii="Times New Roman" w:hAnsi="Times New Roman"/>
          <w:sz w:val="24"/>
          <w:szCs w:val="24"/>
        </w:rPr>
        <w:t>konaní zistí, že je potrebné ho doplniť, nemôže postupovať' zákonom ustanoveným spôsobom</w:t>
      </w:r>
      <w:r w:rsidR="00D05292">
        <w:rPr>
          <w:rFonts w:ascii="Times New Roman" w:hAnsi="Times New Roman"/>
          <w:sz w:val="24"/>
          <w:szCs w:val="24"/>
        </w:rPr>
        <w:t>, t. j.</w:t>
      </w:r>
      <w:r w:rsidRPr="003D1C69" w:rsidR="00D05292">
        <w:rPr>
          <w:rFonts w:ascii="Times New Roman" w:hAnsi="Times New Roman"/>
          <w:sz w:val="24"/>
          <w:szCs w:val="24"/>
        </w:rPr>
        <w:t xml:space="preserve"> oznamovateľa nemôže predvolať na doplnenie alebo spresnenie trestného oznámenia,</w:t>
      </w:r>
      <w:r w:rsidR="00D05292">
        <w:rPr>
          <w:rFonts w:ascii="Times New Roman" w:hAnsi="Times New Roman"/>
          <w:sz w:val="24"/>
          <w:szCs w:val="24"/>
        </w:rPr>
        <w:t xml:space="preserve"> </w:t>
      </w:r>
      <w:r w:rsidRPr="003D1C69" w:rsidR="00D05292">
        <w:rPr>
          <w:rFonts w:ascii="Times New Roman" w:hAnsi="Times New Roman"/>
          <w:sz w:val="24"/>
          <w:szCs w:val="24"/>
        </w:rPr>
        <w:t>nemôže si od neho vyžiadať potrebné písomné podklady, ani ho v zákonom ustanovenej</w:t>
      </w:r>
      <w:r w:rsidR="00D05292">
        <w:rPr>
          <w:rFonts w:ascii="Times New Roman" w:hAnsi="Times New Roman"/>
          <w:sz w:val="24"/>
          <w:szCs w:val="24"/>
        </w:rPr>
        <w:t xml:space="preserve"> </w:t>
      </w:r>
      <w:r w:rsidRPr="00077EAB" w:rsidR="00D05292">
        <w:rPr>
          <w:rFonts w:ascii="Times New Roman" w:hAnsi="Times New Roman"/>
          <w:sz w:val="24"/>
          <w:szCs w:val="24"/>
        </w:rPr>
        <w:t>lehote informovať, akým spôsobom bola vec ukončená.</w:t>
      </w:r>
      <w:r w:rsidR="00D05292">
        <w:rPr>
          <w:rFonts w:ascii="Times New Roman" w:hAnsi="Times New Roman"/>
          <w:sz w:val="24"/>
          <w:szCs w:val="24"/>
        </w:rPr>
        <w:t xml:space="preserve"> </w:t>
      </w:r>
      <w:r w:rsidR="00C412CE">
        <w:rPr>
          <w:rFonts w:ascii="Times New Roman" w:hAnsi="Times New Roman"/>
          <w:sz w:val="24"/>
          <w:szCs w:val="24"/>
        </w:rPr>
        <w:t>P</w:t>
      </w:r>
      <w:r w:rsidRPr="004962C2" w:rsidR="00C412CE">
        <w:rPr>
          <w:rFonts w:ascii="Times New Roman" w:hAnsi="Times New Roman"/>
          <w:sz w:val="24"/>
          <w:szCs w:val="24"/>
        </w:rPr>
        <w:t>rijatím navrhovanej právnej úpravy sa eliminuje zbytočné zaťaženosť orgánov</w:t>
      </w:r>
      <w:r w:rsidR="00C412CE">
        <w:rPr>
          <w:rFonts w:ascii="Times New Roman" w:hAnsi="Times New Roman"/>
          <w:sz w:val="24"/>
          <w:szCs w:val="24"/>
        </w:rPr>
        <w:t xml:space="preserve"> </w:t>
      </w:r>
      <w:r w:rsidRPr="003D1C69" w:rsidR="00C412CE">
        <w:rPr>
          <w:rFonts w:ascii="Times New Roman" w:hAnsi="Times New Roman"/>
          <w:sz w:val="24"/>
          <w:szCs w:val="24"/>
        </w:rPr>
        <w:t>činných v trestnom konaní a súdov vybavovaním rôznych ne</w:t>
      </w:r>
      <w:r w:rsidR="00C412CE">
        <w:rPr>
          <w:rFonts w:ascii="Times New Roman" w:hAnsi="Times New Roman"/>
          <w:sz w:val="24"/>
          <w:szCs w:val="24"/>
        </w:rPr>
        <w:t>opodstatnených anonymných podaní.</w:t>
      </w:r>
    </w:p>
    <w:p w:rsidR="00C4038D" w:rsidP="00AC500E">
      <w:pPr>
        <w:pStyle w:val="ListParagraph"/>
        <w:bidi w:val="0"/>
        <w:spacing w:after="6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="00C412CE">
        <w:rPr>
          <w:rFonts w:ascii="Times New Roman" w:hAnsi="Times New Roman"/>
          <w:sz w:val="24"/>
          <w:szCs w:val="24"/>
        </w:rPr>
        <w:tab/>
      </w:r>
      <w:r w:rsidRPr="00C450C7" w:rsidR="000D65E5">
        <w:rPr>
          <w:rFonts w:ascii="Times New Roman" w:hAnsi="Times New Roman"/>
          <w:sz w:val="24"/>
          <w:szCs w:val="24"/>
        </w:rPr>
        <w:t xml:space="preserve">Predkladaný návrh zákona nemá </w:t>
      </w:r>
      <w:r w:rsidR="00FA4055">
        <w:rPr>
          <w:rFonts w:ascii="Times New Roman" w:hAnsi="Times New Roman"/>
          <w:sz w:val="24"/>
          <w:szCs w:val="24"/>
        </w:rPr>
        <w:t xml:space="preserve">žiadne </w:t>
      </w:r>
      <w:r w:rsidRPr="00C450C7" w:rsidR="000D65E5">
        <w:rPr>
          <w:rFonts w:ascii="Times New Roman" w:hAnsi="Times New Roman"/>
          <w:sz w:val="24"/>
          <w:szCs w:val="24"/>
        </w:rPr>
        <w:t>vplyv</w:t>
      </w:r>
      <w:r w:rsidR="00FA4055">
        <w:rPr>
          <w:rFonts w:ascii="Times New Roman" w:hAnsi="Times New Roman"/>
          <w:sz w:val="24"/>
          <w:szCs w:val="24"/>
        </w:rPr>
        <w:t>y</w:t>
      </w:r>
      <w:r w:rsidRPr="00C450C7" w:rsidR="000D65E5">
        <w:rPr>
          <w:rFonts w:ascii="Times New Roman" w:hAnsi="Times New Roman"/>
          <w:sz w:val="24"/>
          <w:szCs w:val="24"/>
        </w:rPr>
        <w:t xml:space="preserve"> na rozpočet verejnej správy, </w:t>
      </w:r>
      <w:r w:rsidR="00FA4055">
        <w:rPr>
          <w:rFonts w:ascii="Times New Roman" w:hAnsi="Times New Roman"/>
          <w:sz w:val="24"/>
          <w:szCs w:val="24"/>
        </w:rPr>
        <w:t xml:space="preserve">vplyvy na </w:t>
      </w:r>
      <w:r w:rsidRPr="00C450C7" w:rsidR="000D65E5">
        <w:rPr>
          <w:rFonts w:ascii="Times New Roman" w:hAnsi="Times New Roman"/>
          <w:sz w:val="24"/>
          <w:szCs w:val="24"/>
        </w:rPr>
        <w:t>podnikateľské</w:t>
      </w:r>
      <w:r w:rsidR="00FA4055"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 w:rsidR="000D65E5">
        <w:rPr>
          <w:rFonts w:ascii="Times New Roman" w:hAnsi="Times New Roman"/>
          <w:sz w:val="24"/>
          <w:szCs w:val="24"/>
        </w:rPr>
        <w:t>vplyv</w:t>
      </w:r>
      <w:r w:rsidR="00FA4055">
        <w:rPr>
          <w:rFonts w:ascii="Times New Roman" w:hAnsi="Times New Roman"/>
          <w:sz w:val="24"/>
          <w:szCs w:val="24"/>
        </w:rPr>
        <w:t>y</w:t>
      </w:r>
      <w:r w:rsidRPr="00C450C7" w:rsidR="000D65E5">
        <w:rPr>
          <w:rFonts w:ascii="Times New Roman" w:hAnsi="Times New Roman"/>
          <w:sz w:val="24"/>
          <w:szCs w:val="24"/>
        </w:rPr>
        <w:t xml:space="preserve"> na životné prostredie, a ani vplyv</w:t>
      </w:r>
      <w:r w:rsidR="00FA4055">
        <w:rPr>
          <w:rFonts w:ascii="Times New Roman" w:hAnsi="Times New Roman"/>
          <w:sz w:val="24"/>
          <w:szCs w:val="24"/>
        </w:rPr>
        <w:t>y</w:t>
      </w:r>
      <w:r w:rsidRPr="00C450C7" w:rsidR="000D65E5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 w:rsidR="000D65E5">
        <w:rPr>
          <w:rFonts w:ascii="Times New Roman" w:hAnsi="Times New Roman"/>
          <w:sz w:val="24"/>
          <w:szCs w:val="24"/>
        </w:rPr>
        <w:t xml:space="preserve">. </w:t>
      </w:r>
    </w:p>
    <w:p w:rsidR="00F97295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="00D05292">
        <w:rPr>
          <w:rFonts w:ascii="Times New Roman" w:hAnsi="Times New Roman"/>
          <w:sz w:val="24"/>
          <w:szCs w:val="24"/>
        </w:rPr>
        <w:t>Predkladaný n</w:t>
      </w:r>
      <w:r w:rsidRPr="00C450C7" w:rsidR="000D65E5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3A4B7A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D65E5" w:rsidP="00D54B5D">
      <w:pPr>
        <w:pStyle w:val="ListParagraph"/>
        <w:numPr>
          <w:numId w:val="1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Osobitná časť</w:t>
      </w:r>
    </w:p>
    <w:p w:rsidR="00BB49A2" w:rsidRPr="00E87668" w:rsidP="00D54B5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5E5" w:rsidP="00A074BB">
      <w:pPr>
        <w:pStyle w:val="ListParagraph"/>
        <w:bidi w:val="0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="00585193">
        <w:rPr>
          <w:rFonts w:ascii="Times New Roman" w:hAnsi="Times New Roman"/>
          <w:b/>
          <w:sz w:val="24"/>
          <w:szCs w:val="24"/>
        </w:rPr>
        <w:t>K 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:rsidR="00954C75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883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7D66EF" w:rsidP="00A074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0E" w:rsidR="009A0883">
        <w:rPr>
          <w:rFonts w:ascii="Times New Roman" w:hAnsi="Times New Roman"/>
          <w:sz w:val="24"/>
          <w:szCs w:val="24"/>
        </w:rPr>
        <w:tab/>
        <w:t xml:space="preserve">Navrhuje sa </w:t>
      </w:r>
      <w:r w:rsidR="00EB3EB1">
        <w:rPr>
          <w:rFonts w:ascii="Times New Roman" w:hAnsi="Times New Roman"/>
          <w:sz w:val="24"/>
          <w:szCs w:val="24"/>
        </w:rPr>
        <w:t xml:space="preserve">posilnenie vlastnej rozhodovacej činnosti orgánu činného v trestnom konaní a súdu voči anonymnému podaniu zavedením možnosti, že toto </w:t>
      </w:r>
      <w:r>
        <w:rPr>
          <w:rFonts w:ascii="Times New Roman" w:hAnsi="Times New Roman"/>
          <w:sz w:val="24"/>
          <w:szCs w:val="24"/>
        </w:rPr>
        <w:t xml:space="preserve">na základe vlastného rozhodnutia </w:t>
      </w:r>
      <w:r w:rsidR="00EB3EB1">
        <w:rPr>
          <w:rFonts w:ascii="Times New Roman" w:hAnsi="Times New Roman"/>
          <w:sz w:val="24"/>
          <w:szCs w:val="24"/>
        </w:rPr>
        <w:t>nie je povinný orgán činný v trestnom konaní a súd vybavovať. Ďalej sa ustanovuje, že za anonymné podanie sa považuje aj podanie označené nepravdivými, neúplnými alebo neoveriteľnými údajmi o totožnosti odosielate</w:t>
      </w:r>
      <w:r>
        <w:rPr>
          <w:rFonts w:ascii="Times New Roman" w:hAnsi="Times New Roman"/>
          <w:sz w:val="24"/>
          <w:szCs w:val="24"/>
        </w:rPr>
        <w:t xml:space="preserve">ľa. </w:t>
      </w:r>
      <w:r w:rsidR="005238C1">
        <w:rPr>
          <w:rFonts w:ascii="Times New Roman" w:hAnsi="Times New Roman"/>
          <w:sz w:val="24"/>
          <w:szCs w:val="24"/>
        </w:rPr>
        <w:t>Taktiež</w:t>
      </w:r>
      <w:r w:rsidR="00AC5434">
        <w:rPr>
          <w:rFonts w:ascii="Times New Roman" w:hAnsi="Times New Roman"/>
          <w:sz w:val="24"/>
          <w:szCs w:val="24"/>
        </w:rPr>
        <w:t xml:space="preserve"> sa vyslovene uvádzajú</w:t>
      </w:r>
      <w:r>
        <w:rPr>
          <w:rFonts w:ascii="Times New Roman" w:hAnsi="Times New Roman"/>
          <w:sz w:val="24"/>
          <w:szCs w:val="24"/>
        </w:rPr>
        <w:t xml:space="preserve"> jednotlivé možné postupy orgán</w:t>
      </w:r>
      <w:r w:rsidR="00AC5434">
        <w:rPr>
          <w:rFonts w:ascii="Times New Roman" w:hAnsi="Times New Roman"/>
          <w:sz w:val="24"/>
          <w:szCs w:val="24"/>
        </w:rPr>
        <w:t>u činného</w:t>
      </w:r>
      <w:r>
        <w:rPr>
          <w:rFonts w:ascii="Times New Roman" w:hAnsi="Times New Roman"/>
          <w:sz w:val="24"/>
          <w:szCs w:val="24"/>
        </w:rPr>
        <w:t xml:space="preserve"> v trestnom konaní alebo súd</w:t>
      </w:r>
      <w:r w:rsidR="00AC543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AC5434">
        <w:rPr>
          <w:rFonts w:ascii="Times New Roman" w:hAnsi="Times New Roman"/>
          <w:sz w:val="24"/>
          <w:szCs w:val="24"/>
        </w:rPr>
        <w:t xml:space="preserve">pre prípad ak </w:t>
      </w:r>
      <w:r>
        <w:rPr>
          <w:rFonts w:ascii="Times New Roman" w:hAnsi="Times New Roman"/>
          <w:sz w:val="24"/>
          <w:szCs w:val="24"/>
        </w:rPr>
        <w:t xml:space="preserve">sa </w:t>
      </w:r>
      <w:r w:rsidR="00AC5434">
        <w:rPr>
          <w:rFonts w:ascii="Times New Roman" w:hAnsi="Times New Roman"/>
          <w:sz w:val="24"/>
          <w:szCs w:val="24"/>
        </w:rPr>
        <w:t xml:space="preserve">tento </w:t>
      </w:r>
      <w:r>
        <w:rPr>
          <w:rFonts w:ascii="Times New Roman" w:hAnsi="Times New Roman"/>
          <w:sz w:val="24"/>
          <w:szCs w:val="24"/>
        </w:rPr>
        <w:t xml:space="preserve">rozhodne anonymné podanie vybaviť. </w:t>
      </w:r>
    </w:p>
    <w:p w:rsidR="00EB3EB1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883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</w:t>
      </w:r>
    </w:p>
    <w:p w:rsidR="009A0883" w:rsidP="00A074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C500E" w:rsidR="002C5593">
        <w:rPr>
          <w:rFonts w:ascii="Times New Roman" w:hAnsi="Times New Roman"/>
          <w:sz w:val="24"/>
          <w:szCs w:val="24"/>
        </w:rPr>
        <w:t>Navrhované u</w:t>
      </w:r>
      <w:r w:rsidR="005238C1">
        <w:rPr>
          <w:rFonts w:ascii="Times New Roman" w:hAnsi="Times New Roman"/>
          <w:sz w:val="24"/>
          <w:szCs w:val="24"/>
        </w:rPr>
        <w:t xml:space="preserve">stanovenia o </w:t>
      </w:r>
      <w:r w:rsidRPr="00AC500E" w:rsidR="005238C1">
        <w:rPr>
          <w:rFonts w:ascii="Times New Roman" w:hAnsi="Times New Roman"/>
          <w:sz w:val="24"/>
          <w:szCs w:val="24"/>
        </w:rPr>
        <w:t>anonymn</w:t>
      </w:r>
      <w:r w:rsidR="005238C1">
        <w:rPr>
          <w:rFonts w:ascii="Times New Roman" w:hAnsi="Times New Roman"/>
          <w:sz w:val="24"/>
          <w:szCs w:val="24"/>
        </w:rPr>
        <w:t>om</w:t>
      </w:r>
      <w:r w:rsidRPr="00AC500E" w:rsidR="005238C1">
        <w:rPr>
          <w:rFonts w:ascii="Times New Roman" w:hAnsi="Times New Roman"/>
          <w:sz w:val="24"/>
          <w:szCs w:val="24"/>
        </w:rPr>
        <w:t xml:space="preserve"> </w:t>
      </w:r>
      <w:r w:rsidR="005238C1">
        <w:rPr>
          <w:rFonts w:ascii="Times New Roman" w:hAnsi="Times New Roman"/>
          <w:sz w:val="24"/>
          <w:szCs w:val="24"/>
        </w:rPr>
        <w:t xml:space="preserve">podaní </w:t>
      </w:r>
      <w:r w:rsidR="002C5593">
        <w:rPr>
          <w:rFonts w:ascii="Times New Roman" w:hAnsi="Times New Roman"/>
          <w:sz w:val="24"/>
          <w:szCs w:val="24"/>
        </w:rPr>
        <w:t xml:space="preserve">sa </w:t>
      </w:r>
      <w:r w:rsidR="005238C1">
        <w:rPr>
          <w:rFonts w:ascii="Times New Roman" w:hAnsi="Times New Roman"/>
          <w:sz w:val="24"/>
          <w:szCs w:val="24"/>
        </w:rPr>
        <w:t>vzťahujú aj na anonymné podania</w:t>
      </w:r>
      <w:r w:rsidR="002C5593">
        <w:rPr>
          <w:rFonts w:ascii="Times New Roman" w:hAnsi="Times New Roman"/>
          <w:sz w:val="24"/>
          <w:szCs w:val="24"/>
        </w:rPr>
        <w:t xml:space="preserve"> týkajúce</w:t>
      </w:r>
      <w:r w:rsidR="005238C1">
        <w:rPr>
          <w:rFonts w:ascii="Times New Roman" w:hAnsi="Times New Roman"/>
          <w:sz w:val="24"/>
          <w:szCs w:val="24"/>
        </w:rPr>
        <w:t xml:space="preserve"> sa </w:t>
      </w:r>
      <w:r w:rsidRPr="005238C1" w:rsidR="005238C1">
        <w:rPr>
          <w:rFonts w:ascii="Times New Roman" w:hAnsi="Times New Roman"/>
          <w:sz w:val="24"/>
          <w:szCs w:val="24"/>
        </w:rPr>
        <w:t>oznámeni</w:t>
      </w:r>
      <w:r w:rsidR="002C5593">
        <w:rPr>
          <w:rFonts w:ascii="Times New Roman" w:hAnsi="Times New Roman"/>
          <w:sz w:val="24"/>
          <w:szCs w:val="24"/>
        </w:rPr>
        <w:t>a</w:t>
      </w:r>
      <w:r w:rsidRPr="005238C1" w:rsidR="005238C1">
        <w:rPr>
          <w:rFonts w:ascii="Times New Roman" w:hAnsi="Times New Roman"/>
          <w:sz w:val="24"/>
          <w:szCs w:val="24"/>
        </w:rPr>
        <w:t xml:space="preserve"> o skutočnostiach, že bol spáchaný trestný čin</w:t>
      </w:r>
      <w:r w:rsidR="005238C1">
        <w:rPr>
          <w:rFonts w:ascii="Times New Roman" w:hAnsi="Times New Roman"/>
          <w:sz w:val="24"/>
          <w:szCs w:val="24"/>
        </w:rPr>
        <w:t>, t.</w:t>
      </w:r>
      <w:r w:rsidR="000926A1">
        <w:rPr>
          <w:rFonts w:ascii="Times New Roman" w:hAnsi="Times New Roman"/>
          <w:sz w:val="24"/>
          <w:szCs w:val="24"/>
        </w:rPr>
        <w:t xml:space="preserve"> </w:t>
      </w:r>
      <w:r w:rsidR="005238C1">
        <w:rPr>
          <w:rFonts w:ascii="Times New Roman" w:hAnsi="Times New Roman"/>
          <w:sz w:val="24"/>
          <w:szCs w:val="24"/>
        </w:rPr>
        <w:t>j. trestné</w:t>
      </w:r>
      <w:r w:rsidR="002C5593">
        <w:rPr>
          <w:rFonts w:ascii="Times New Roman" w:hAnsi="Times New Roman"/>
          <w:sz w:val="24"/>
          <w:szCs w:val="24"/>
        </w:rPr>
        <w:t xml:space="preserve"> oznámenia. Za účelom predchádzania pochybností o tejto skutočnosti sa</w:t>
      </w:r>
      <w:r w:rsidR="005238C1">
        <w:rPr>
          <w:rFonts w:ascii="Times New Roman" w:hAnsi="Times New Roman"/>
          <w:sz w:val="24"/>
          <w:szCs w:val="24"/>
        </w:rPr>
        <w:t xml:space="preserve"> </w:t>
      </w:r>
      <w:r w:rsidR="002C5593">
        <w:rPr>
          <w:rFonts w:ascii="Times New Roman" w:hAnsi="Times New Roman"/>
          <w:sz w:val="24"/>
          <w:szCs w:val="24"/>
        </w:rPr>
        <w:t xml:space="preserve">navrhuje </w:t>
      </w:r>
      <w:r w:rsidR="005238C1">
        <w:rPr>
          <w:rFonts w:ascii="Times New Roman" w:hAnsi="Times New Roman"/>
          <w:sz w:val="24"/>
          <w:szCs w:val="24"/>
        </w:rPr>
        <w:t xml:space="preserve">vyslovene </w:t>
      </w:r>
      <w:r w:rsidR="002C5593">
        <w:rPr>
          <w:rFonts w:ascii="Times New Roman" w:hAnsi="Times New Roman"/>
          <w:sz w:val="24"/>
          <w:szCs w:val="24"/>
        </w:rPr>
        <w:t>ustanoviť</w:t>
      </w:r>
      <w:r w:rsidR="005238C1">
        <w:rPr>
          <w:rFonts w:ascii="Times New Roman" w:hAnsi="Times New Roman"/>
          <w:sz w:val="24"/>
          <w:szCs w:val="24"/>
        </w:rPr>
        <w:t xml:space="preserve">, že </w:t>
      </w:r>
      <w:r w:rsidR="000926A1">
        <w:rPr>
          <w:rFonts w:ascii="Times New Roman" w:hAnsi="Times New Roman"/>
          <w:sz w:val="24"/>
          <w:szCs w:val="24"/>
        </w:rPr>
        <w:t>za trestné oznámenie</w:t>
      </w:r>
      <w:r w:rsidR="005238C1">
        <w:rPr>
          <w:rFonts w:ascii="Times New Roman" w:hAnsi="Times New Roman"/>
          <w:sz w:val="24"/>
          <w:szCs w:val="24"/>
        </w:rPr>
        <w:t xml:space="preserve"> sa nepovažuje anonymné podanie.</w:t>
      </w:r>
    </w:p>
    <w:p w:rsidR="005238C1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883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</w:p>
    <w:p w:rsidR="00457CE9" w:rsidRPr="00342107" w:rsidP="00D54B5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="002C5593">
        <w:rPr>
          <w:rFonts w:ascii="Times New Roman" w:hAnsi="Times New Roman"/>
          <w:b/>
          <w:sz w:val="24"/>
          <w:szCs w:val="24"/>
        </w:rPr>
        <w:tab/>
      </w:r>
      <w:r w:rsidRPr="00342107">
        <w:rPr>
          <w:rFonts w:ascii="Times New Roman" w:hAnsi="Times New Roman"/>
          <w:sz w:val="24"/>
          <w:szCs w:val="24"/>
          <w:lang w:eastAsia="cs-CZ"/>
        </w:rPr>
        <w:t xml:space="preserve">Navrhuje sa prechodné ustanovenie zákona, ktoré </w:t>
      </w:r>
      <w:r w:rsidR="000926A1">
        <w:rPr>
          <w:rFonts w:ascii="Times New Roman" w:hAnsi="Times New Roman"/>
          <w:sz w:val="24"/>
          <w:szCs w:val="24"/>
          <w:lang w:eastAsia="cs-CZ"/>
        </w:rPr>
        <w:t xml:space="preserve">orgánom činným v trestnom konaní a súdom </w:t>
      </w:r>
      <w:r w:rsidR="00122137">
        <w:rPr>
          <w:rFonts w:ascii="Times New Roman" w:hAnsi="Times New Roman"/>
          <w:sz w:val="24"/>
          <w:szCs w:val="24"/>
          <w:lang w:eastAsia="cs-CZ"/>
        </w:rPr>
        <w:t xml:space="preserve">umožní rovnakým spôsobom postupovať aj voči </w:t>
      </w:r>
      <w:r w:rsidR="002C5593">
        <w:rPr>
          <w:rFonts w:ascii="Times New Roman" w:hAnsi="Times New Roman"/>
          <w:sz w:val="24"/>
          <w:szCs w:val="24"/>
          <w:lang w:eastAsia="cs-CZ"/>
        </w:rPr>
        <w:t>dosia</w:t>
      </w:r>
      <w:r w:rsidR="000926A1">
        <w:rPr>
          <w:rFonts w:ascii="Times New Roman" w:hAnsi="Times New Roman"/>
          <w:sz w:val="24"/>
          <w:szCs w:val="24"/>
          <w:lang w:eastAsia="cs-CZ"/>
        </w:rPr>
        <w:t>ľ nevybaven</w:t>
      </w:r>
      <w:r w:rsidR="00122137">
        <w:rPr>
          <w:rFonts w:ascii="Times New Roman" w:hAnsi="Times New Roman"/>
          <w:sz w:val="24"/>
          <w:szCs w:val="24"/>
          <w:lang w:eastAsia="cs-CZ"/>
        </w:rPr>
        <w:t>ým</w:t>
      </w:r>
      <w:r w:rsidR="002C559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926A1">
        <w:rPr>
          <w:rFonts w:ascii="Times New Roman" w:hAnsi="Times New Roman"/>
          <w:sz w:val="24"/>
          <w:szCs w:val="24"/>
          <w:lang w:eastAsia="cs-CZ"/>
        </w:rPr>
        <w:t>neopodstatnen</w:t>
      </w:r>
      <w:r w:rsidR="00122137">
        <w:rPr>
          <w:rFonts w:ascii="Times New Roman" w:hAnsi="Times New Roman"/>
          <w:sz w:val="24"/>
          <w:szCs w:val="24"/>
          <w:lang w:eastAsia="cs-CZ"/>
        </w:rPr>
        <w:t>ým</w:t>
      </w:r>
      <w:r w:rsidR="000926A1">
        <w:rPr>
          <w:rFonts w:ascii="Times New Roman" w:hAnsi="Times New Roman"/>
          <w:sz w:val="24"/>
          <w:szCs w:val="24"/>
          <w:lang w:eastAsia="cs-CZ"/>
        </w:rPr>
        <w:t xml:space="preserve"> anonymn</w:t>
      </w:r>
      <w:r w:rsidR="00122137">
        <w:rPr>
          <w:rFonts w:ascii="Times New Roman" w:hAnsi="Times New Roman"/>
          <w:sz w:val="24"/>
          <w:szCs w:val="24"/>
          <w:lang w:eastAsia="cs-CZ"/>
        </w:rPr>
        <w:t>ým</w:t>
      </w:r>
      <w:r w:rsidR="000926A1">
        <w:rPr>
          <w:rFonts w:ascii="Times New Roman" w:hAnsi="Times New Roman"/>
          <w:sz w:val="24"/>
          <w:szCs w:val="24"/>
          <w:lang w:eastAsia="cs-CZ"/>
        </w:rPr>
        <w:t xml:space="preserve"> podan</w:t>
      </w:r>
      <w:r w:rsidR="009F0B60">
        <w:rPr>
          <w:rFonts w:ascii="Times New Roman" w:hAnsi="Times New Roman"/>
          <w:sz w:val="24"/>
          <w:szCs w:val="24"/>
          <w:lang w:eastAsia="cs-CZ"/>
        </w:rPr>
        <w:t>ia</w:t>
      </w:r>
      <w:r w:rsidR="00122137">
        <w:rPr>
          <w:rFonts w:ascii="Times New Roman" w:hAnsi="Times New Roman"/>
          <w:sz w:val="24"/>
          <w:szCs w:val="24"/>
          <w:lang w:eastAsia="cs-CZ"/>
        </w:rPr>
        <w:t>m</w:t>
      </w:r>
      <w:r w:rsidR="000926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42107">
        <w:rPr>
          <w:rFonts w:ascii="Times New Roman" w:hAnsi="Times New Roman"/>
          <w:sz w:val="24"/>
          <w:szCs w:val="24"/>
          <w:lang w:eastAsia="cs-CZ"/>
        </w:rPr>
        <w:t xml:space="preserve">pred účinnosťou tohto </w:t>
      </w:r>
      <w:r w:rsidR="002C5593">
        <w:rPr>
          <w:rFonts w:ascii="Times New Roman" w:hAnsi="Times New Roman"/>
          <w:sz w:val="24"/>
          <w:szCs w:val="24"/>
          <w:lang w:eastAsia="cs-CZ"/>
        </w:rPr>
        <w:t xml:space="preserve">zákona </w:t>
      </w:r>
      <w:r w:rsidRPr="00342107">
        <w:rPr>
          <w:rFonts w:ascii="Times New Roman" w:hAnsi="Times New Roman"/>
          <w:sz w:val="24"/>
          <w:szCs w:val="24"/>
          <w:lang w:eastAsia="cs-CZ"/>
        </w:rPr>
        <w:t>.</w:t>
      </w:r>
    </w:p>
    <w:p w:rsidR="007A70CF" w:rsidP="00D54B5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7A70CF" w:rsidP="00D54B5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C500E" w:rsidR="000D65E5">
        <w:rPr>
          <w:rFonts w:ascii="Times New Roman" w:hAnsi="Times New Roman"/>
          <w:b/>
          <w:sz w:val="24"/>
          <w:szCs w:val="24"/>
          <w:lang w:eastAsia="cs-CZ"/>
        </w:rPr>
        <w:t>K</w:t>
      </w:r>
      <w:r w:rsidRPr="00AC500E" w:rsidR="00D466F1">
        <w:rPr>
          <w:rFonts w:ascii="Times New Roman" w:hAnsi="Times New Roman"/>
          <w:b/>
          <w:sz w:val="24"/>
          <w:szCs w:val="24"/>
          <w:lang w:eastAsia="cs-CZ"/>
        </w:rPr>
        <w:t> Čl. II</w:t>
      </w:r>
      <w:r w:rsidRPr="00AC500E">
        <w:rPr>
          <w:rFonts w:ascii="Times New Roman" w:hAnsi="Times New Roman"/>
          <w:b/>
          <w:sz w:val="24"/>
          <w:szCs w:val="24"/>
          <w:lang w:eastAsia="cs-CZ"/>
        </w:rPr>
        <w:tab/>
      </w:r>
    </w:p>
    <w:p w:rsidR="007A70CF" w:rsidRPr="00AC500E" w:rsidP="00D54B5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D65E5" w:rsidRPr="00AC500E" w:rsidP="007A70C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500E" w:rsidR="007A70CF">
        <w:rPr>
          <w:rFonts w:ascii="Times New Roman" w:hAnsi="Times New Roman"/>
          <w:sz w:val="24"/>
          <w:szCs w:val="24"/>
          <w:lang w:eastAsia="cs-CZ"/>
        </w:rPr>
        <w:tab/>
      </w:r>
      <w:r w:rsidRPr="00AC500E">
        <w:rPr>
          <w:rFonts w:ascii="Times New Roman" w:hAnsi="Times New Roman"/>
          <w:sz w:val="24"/>
          <w:szCs w:val="24"/>
        </w:rPr>
        <w:t>S ohľadom na predpokladanú dĺžku legislatívneho procesu sa navrhuje účinnosť zá</w:t>
      </w:r>
      <w:r w:rsidRPr="00AC500E" w:rsidR="00F97295">
        <w:rPr>
          <w:rFonts w:ascii="Times New Roman" w:hAnsi="Times New Roman"/>
          <w:sz w:val="24"/>
          <w:szCs w:val="24"/>
        </w:rPr>
        <w:t xml:space="preserve">kona na 1. </w:t>
      </w:r>
      <w:r w:rsidRPr="00AC500E" w:rsidR="00223A61">
        <w:rPr>
          <w:rFonts w:ascii="Times New Roman" w:hAnsi="Times New Roman"/>
          <w:sz w:val="24"/>
          <w:szCs w:val="24"/>
        </w:rPr>
        <w:t>j</w:t>
      </w:r>
      <w:r w:rsidR="00E0053A">
        <w:rPr>
          <w:rFonts w:ascii="Times New Roman" w:hAnsi="Times New Roman"/>
          <w:sz w:val="24"/>
          <w:szCs w:val="24"/>
        </w:rPr>
        <w:t>anuár</w:t>
      </w:r>
      <w:r w:rsidRPr="00AC500E" w:rsidR="00F97295">
        <w:rPr>
          <w:rFonts w:ascii="Times New Roman" w:hAnsi="Times New Roman"/>
          <w:sz w:val="24"/>
          <w:szCs w:val="24"/>
        </w:rPr>
        <w:t xml:space="preserve"> 201</w:t>
      </w:r>
      <w:r w:rsidR="00E0053A">
        <w:rPr>
          <w:rFonts w:ascii="Times New Roman" w:hAnsi="Times New Roman"/>
          <w:sz w:val="24"/>
          <w:szCs w:val="24"/>
        </w:rPr>
        <w:t>9</w:t>
      </w:r>
      <w:r w:rsidRPr="00AC500E">
        <w:rPr>
          <w:rFonts w:ascii="Times New Roman" w:hAnsi="Times New Roman"/>
          <w:sz w:val="24"/>
          <w:szCs w:val="24"/>
        </w:rPr>
        <w:t>.</w:t>
      </w:r>
    </w:p>
    <w:p w:rsidR="000D65E5" w:rsidRPr="002411FA" w:rsidP="00D54B5D">
      <w:pPr>
        <w:pageBreakBefore/>
        <w:widowControl w:val="0"/>
        <w:suppressAutoHyphens/>
        <w:bidi w:val="0"/>
        <w:spacing w:after="0" w:line="360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="007E4494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D</w:t>
      </w:r>
      <w:r w:rsidRPr="002411FA" w:rsidR="002411FA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OLOŽ</w:t>
      </w:r>
      <w:r w:rsidRPr="002411FA" w:rsidR="002411FA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KA</w:t>
      </w:r>
    </w:p>
    <w:p w:rsidR="000D65E5" w:rsidRPr="002411FA" w:rsidP="00EB58D2">
      <w:pPr>
        <w:widowControl w:val="0"/>
        <w:pBdr>
          <w:bottom w:val="single" w:sz="4" w:space="1" w:color="auto"/>
        </w:pBdr>
        <w:suppressAutoHyphens/>
        <w:bidi w:val="0"/>
        <w:spacing w:after="0" w:line="360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2411FA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vybraný</w:t>
      </w:r>
      <w:r w:rsidRPr="002411FA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ch vplyvov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2411FA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 w:rsidR="000D65E5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A.1. Ná</w:t>
      </w:r>
      <w:r w:rsidRPr="009A0D23" w:rsidR="000D65E5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zov materiá</w:t>
      </w:r>
      <w:r w:rsidRPr="009A0D23" w:rsidR="000D65E5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 xml:space="preserve">lu: </w:t>
      </w:r>
    </w:p>
    <w:p w:rsidR="004957E2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="00B033BA">
        <w:rPr>
          <w:rFonts w:ascii="Times New Roman" w:hAnsi="Times New Roman"/>
          <w:sz w:val="24"/>
          <w:szCs w:val="24"/>
        </w:rPr>
        <w:t xml:space="preserve">Návrh zákona, </w:t>
      </w:r>
      <w:r w:rsidRPr="00C1015D" w:rsidR="00B033BA">
        <w:rPr>
          <w:rFonts w:ascii="Times New Roman" w:hAnsi="Times New Roman"/>
          <w:sz w:val="24"/>
          <w:szCs w:val="24"/>
        </w:rPr>
        <w:t xml:space="preserve">ktorým sa </w:t>
      </w:r>
      <w:r w:rsidRPr="00C1015D" w:rsidR="00D07CF0">
        <w:rPr>
          <w:rFonts w:ascii="Times New Roman" w:hAnsi="Times New Roman"/>
          <w:sz w:val="24"/>
          <w:szCs w:val="24"/>
        </w:rPr>
        <w:t xml:space="preserve">dopĺňa zákon č. </w:t>
      </w:r>
      <w:r w:rsidRPr="00C7046A" w:rsidR="00D07CF0">
        <w:rPr>
          <w:rFonts w:ascii="Times New Roman" w:hAnsi="Times New Roman"/>
          <w:sz w:val="24"/>
          <w:szCs w:val="24"/>
        </w:rPr>
        <w:t>301/2005 Z. z. Trestný poriadok v znení neskorších predpisov</w:t>
      </w:r>
      <w:r w:rsidRPr="00F97295">
        <w:rPr>
          <w:rFonts w:ascii="Times New Roman" w:hAnsi="Times New Roman"/>
          <w:sz w:val="24"/>
          <w:szCs w:val="24"/>
        </w:rPr>
        <w:t>.</w:t>
      </w:r>
    </w:p>
    <w:p w:rsidR="00634248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2168E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začatia a ukončenia PPK: bezpredmetné</w:t>
      </w:r>
    </w:p>
    <w:p w:rsidR="00634248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Style w:val="TableNormal"/>
        <w:tblW w:w="9481" w:type="dxa"/>
        <w:tblInd w:w="-17" w:type="dxa"/>
        <w:tblLayout w:type="fixed"/>
        <w:tblLook w:val="04A0"/>
      </w:tblPr>
      <w:tblGrid>
        <w:gridCol w:w="6079"/>
        <w:gridCol w:w="1134"/>
        <w:gridCol w:w="1134"/>
        <w:gridCol w:w="1134"/>
      </w:tblGrid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Pozití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Negatí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iadne 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1. Vplyvy na rozpoč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et verejnej sprá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2. Vplyvy na podnikateľ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ské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prostredie 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dochá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dza k zvýš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eniu </w:t>
            </w:r>
          </w:p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regulač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né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ho zať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až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3. Sociá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vplyvy na hospodá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renie obyvateľ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sociá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lnu exklú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rovnosť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lež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itostí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a rodovú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rovnosť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4. Vplyvy na 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ivotné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9C3AF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5. Vplyvy na informatizá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ciu spoloč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9C3AF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9C3AF3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6. Vplyvy na služ</w:t>
            </w: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by verejnej sprá</w:t>
            </w: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vy pre obč</w:t>
            </w: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9C3AF3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9C3AF3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</w:tcPr>
          <w:p w:rsidR="009C3AF3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A.3. Pozná</w:t>
      </w: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mky</w:t>
      </w:r>
    </w:p>
    <w:p w:rsidR="00FA4055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</w:t>
      </w:r>
      <w:r w:rsidR="00BC42F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0C7">
        <w:rPr>
          <w:rFonts w:ascii="Times New Roman" w:hAnsi="Times New Roman"/>
          <w:sz w:val="24"/>
          <w:szCs w:val="24"/>
        </w:rPr>
        <w:t xml:space="preserve">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nezakladá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zvýš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ené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roky na vý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davkovú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asť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tá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tneho rozpoč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tu</w:t>
      </w:r>
      <w:r w:rsidRPr="00C450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nemá žiadne 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žiadne sociálne vplyvy, 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životné prostredie,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občana.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A.4. Alternatí</w:t>
      </w: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vne rieš</w:t>
      </w: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enia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D65E5" w:rsidRPr="009A0D23" w:rsidP="00634248">
      <w:pPr>
        <w:widowControl w:val="0"/>
        <w:suppressAutoHyphens/>
        <w:bidi w:val="0"/>
        <w:spacing w:after="0" w:line="312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  <w:tab/>
        <w:t>Stanovisko gestorov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D65E5" w:rsidRPr="009A0D23" w:rsidP="00D54B5D">
      <w:pPr>
        <w:widowControl w:val="0"/>
        <w:suppressAutoHyphens/>
        <w:bidi w:val="0"/>
        <w:spacing w:after="280" w:line="360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0D65E5" w:rsidP="00D54B5D">
      <w:pPr>
        <w:pStyle w:val="ListParagraph"/>
        <w:bidi w:val="0"/>
        <w:spacing w:line="360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D07CF0" w:rsidP="00D54B5D">
      <w:pPr>
        <w:pStyle w:val="ListParagraph"/>
        <w:bidi w:val="0"/>
        <w:spacing w:line="360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D07CF0" w:rsidRPr="009A0D23" w:rsidP="00D54B5D">
      <w:pPr>
        <w:pStyle w:val="ListParagraph"/>
        <w:bidi w:val="0"/>
        <w:spacing w:line="360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4C1FCB" w:rsidRPr="00ED5CC3" w:rsidP="00D54B5D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Cs w:val="24"/>
        </w:rPr>
      </w:pPr>
      <w:r w:rsidRPr="00ED5CC3"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4C1FCB" w:rsidRPr="00ED5CC3" w:rsidP="00D54B5D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ED5CC3"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 w:rsidRPr="00ED5CC3">
        <w:rPr>
          <w:rFonts w:ascii="Times New Roman" w:hAnsi="Times New Roman"/>
          <w:b/>
          <w:sz w:val="24"/>
          <w:szCs w:val="28"/>
        </w:rPr>
        <w:t>právom Európskej únie</w:t>
      </w:r>
    </w:p>
    <w:p w:rsidR="004C1FCB" w:rsidRPr="0062248F" w:rsidP="00D54B5D">
      <w:pPr>
        <w:pBdr>
          <w:bottom w:val="single" w:sz="12" w:space="1" w:color="auto"/>
        </w:pBdr>
        <w:bidi w:val="0"/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4C1FCB" w:rsidRPr="0062248F" w:rsidP="00D54B5D">
      <w:pPr>
        <w:bidi w:val="0"/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C1FCB" w:rsidRPr="003A4B7A" w:rsidP="00D54B5D">
      <w:pPr>
        <w:numPr>
          <w:numId w:val="2"/>
        </w:numPr>
        <w:tabs>
          <w:tab w:val="clear" w:pos="720"/>
        </w:tabs>
        <w:bidi w:val="0"/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 w:rsidRPr="003A4B7A">
        <w:rPr>
          <w:rFonts w:ascii="Times New Roman" w:hAnsi="Times New Roman"/>
          <w:b/>
          <w:sz w:val="24"/>
          <w:szCs w:val="24"/>
        </w:rPr>
        <w:t xml:space="preserve">Navrhovateľ zákona: </w:t>
      </w:r>
      <w:r w:rsidRPr="003A4B7A" w:rsidR="003A4B7A">
        <w:rPr>
          <w:rFonts w:ascii="Times New Roman" w:hAnsi="Times New Roman"/>
          <w:sz w:val="24"/>
          <w:szCs w:val="24"/>
        </w:rPr>
        <w:t xml:space="preserve">skupina </w:t>
      </w:r>
      <w:r w:rsidRPr="003A4B7A" w:rsidR="0081753E">
        <w:rPr>
          <w:rFonts w:ascii="Times New Roman" w:hAnsi="Times New Roman"/>
          <w:sz w:val="24"/>
          <w:szCs w:val="24"/>
        </w:rPr>
        <w:t>poslanc</w:t>
      </w:r>
      <w:r w:rsidRPr="003A4B7A" w:rsidR="003A4B7A">
        <w:rPr>
          <w:rFonts w:ascii="Times New Roman" w:hAnsi="Times New Roman"/>
          <w:sz w:val="24"/>
          <w:szCs w:val="24"/>
        </w:rPr>
        <w:t>ov</w:t>
      </w:r>
      <w:r w:rsidRPr="003A4B7A">
        <w:rPr>
          <w:rFonts w:ascii="Times New Roman" w:hAnsi="Times New Roman"/>
          <w:sz w:val="24"/>
          <w:szCs w:val="24"/>
        </w:rPr>
        <w:t xml:space="preserve"> Národnej rady Slovenskej republik</w:t>
      </w:r>
      <w:r w:rsidR="003A4B7A">
        <w:rPr>
          <w:rFonts w:ascii="Times New Roman" w:hAnsi="Times New Roman"/>
          <w:sz w:val="24"/>
          <w:szCs w:val="24"/>
        </w:rPr>
        <w:t>y.</w:t>
      </w:r>
    </w:p>
    <w:p w:rsidR="004C1FCB" w:rsidRPr="0062248F" w:rsidP="00D54B5D">
      <w:pPr>
        <w:bidi w:val="0"/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4C1FCB" w:rsidRPr="00784655" w:rsidP="00AC500E">
      <w:pPr>
        <w:numPr>
          <w:numId w:val="2"/>
        </w:numPr>
        <w:tabs>
          <w:tab w:val="clear" w:pos="720"/>
        </w:tabs>
        <w:autoSpaceDE w:val="0"/>
        <w:autoSpaceDN w:val="0"/>
        <w:bidi w:val="0"/>
        <w:spacing w:after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84655">
        <w:rPr>
          <w:rFonts w:ascii="Times New Roman" w:hAnsi="Times New Roman"/>
          <w:b/>
          <w:sz w:val="24"/>
          <w:szCs w:val="24"/>
        </w:rPr>
        <w:t xml:space="preserve">Názov návrhu zákona: </w:t>
      </w:r>
      <w:r w:rsidR="00FD550D">
        <w:rPr>
          <w:rFonts w:ascii="Times New Roman" w:hAnsi="Times New Roman"/>
          <w:sz w:val="24"/>
          <w:szCs w:val="24"/>
        </w:rPr>
        <w:t xml:space="preserve">Návrh zákona, </w:t>
      </w:r>
      <w:r w:rsidRPr="00C1015D" w:rsidR="00FD550D">
        <w:rPr>
          <w:rFonts w:ascii="Times New Roman" w:hAnsi="Times New Roman"/>
          <w:sz w:val="24"/>
          <w:szCs w:val="24"/>
        </w:rPr>
        <w:t xml:space="preserve">ktorým sa </w:t>
      </w:r>
      <w:r w:rsidRPr="00C03DAA" w:rsidR="00C03DAA">
        <w:rPr>
          <w:rFonts w:ascii="Times New Roman" w:hAnsi="Times New Roman"/>
          <w:sz w:val="24"/>
          <w:szCs w:val="24"/>
        </w:rPr>
        <w:t>dopĺňa zákon č. 301/2005 Z. z. Trestný poriadok v znení neskorších predpisov.</w:t>
      </w:r>
    </w:p>
    <w:p w:rsidR="004C1FCB" w:rsidRPr="00784655" w:rsidP="00D54B5D">
      <w:pPr>
        <w:autoSpaceDE w:val="0"/>
        <w:autoSpaceDN w:val="0"/>
        <w:bidi w:val="0"/>
        <w:spacing w:after="12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C1FCB" w:rsidP="00D54B5D">
      <w:pPr>
        <w:bidi w:val="0"/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3.   Predmet návrhu </w:t>
      </w:r>
      <w:r>
        <w:rPr>
          <w:rFonts w:ascii="Times New Roman" w:hAnsi="Times New Roman"/>
          <w:b/>
          <w:sz w:val="24"/>
          <w:szCs w:val="24"/>
        </w:rPr>
        <w:t>zákona:</w:t>
      </w:r>
      <w:r w:rsidRPr="0062248F">
        <w:rPr>
          <w:rFonts w:ascii="Times New Roman" w:hAnsi="Times New Roman"/>
          <w:sz w:val="24"/>
          <w:szCs w:val="24"/>
        </w:rPr>
        <w:t xml:space="preserve"> </w:t>
      </w:r>
    </w:p>
    <w:p w:rsidR="004C1FCB" w:rsidRPr="008433A7" w:rsidP="00D54B5D">
      <w:pPr>
        <w:bidi w:val="0"/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 xml:space="preserve">a) nie je upravený v </w:t>
      </w:r>
      <w:r>
        <w:rPr>
          <w:rFonts w:ascii="Times New Roman" w:hAnsi="Times New Roman"/>
          <w:sz w:val="24"/>
          <w:szCs w:val="20"/>
        </w:rPr>
        <w:t>primárnom práve Európskej únie,</w:t>
      </w:r>
    </w:p>
    <w:p w:rsidR="004C1FCB" w:rsidRPr="008433A7" w:rsidP="00D54B5D">
      <w:pPr>
        <w:bidi w:val="0"/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4C1FCB" w:rsidP="00D54B5D">
      <w:pPr>
        <w:bidi w:val="0"/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c) nie je obsiahnutý v judikatú</w:t>
      </w:r>
      <w:r>
        <w:rPr>
          <w:rFonts w:ascii="Times New Roman" w:hAnsi="Times New Roman"/>
          <w:sz w:val="24"/>
          <w:szCs w:val="20"/>
        </w:rPr>
        <w:t>re Súdneho dvora Európskej únie.</w:t>
      </w:r>
    </w:p>
    <w:p w:rsidR="004C1FCB" w:rsidRPr="0062248F" w:rsidP="00D54B5D">
      <w:pPr>
        <w:bidi w:val="0"/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4C1FCB" w:rsidRPr="0062248F" w:rsidP="00D54B5D">
      <w:pPr>
        <w:bidi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sz w:val="24"/>
          <w:szCs w:val="20"/>
        </w:rPr>
        <w:t xml:space="preserve">      </w:t>
      </w:r>
      <w:r w:rsidRPr="008433A7">
        <w:rPr>
          <w:rFonts w:ascii="Times New Roman" w:hAnsi="Times New Roman"/>
          <w:sz w:val="24"/>
          <w:szCs w:val="20"/>
        </w:rPr>
        <w:t>Vzhľadom na to, že predmet návrhu zákona nie je upravený v práve Európskej ún</w:t>
      </w:r>
      <w:r>
        <w:rPr>
          <w:rFonts w:ascii="Times New Roman" w:hAnsi="Times New Roman"/>
          <w:sz w:val="24"/>
          <w:szCs w:val="20"/>
        </w:rPr>
        <w:t xml:space="preserve">ie, je </w:t>
      </w:r>
      <w:r w:rsidRPr="008433A7">
        <w:rPr>
          <w:rFonts w:ascii="Times New Roman" w:hAnsi="Times New Roman"/>
          <w:sz w:val="24"/>
          <w:szCs w:val="20"/>
        </w:rPr>
        <w:t>bezpredmetné v</w:t>
      </w:r>
      <w:r>
        <w:rPr>
          <w:rFonts w:ascii="Times New Roman" w:hAnsi="Times New Roman"/>
          <w:sz w:val="24"/>
          <w:szCs w:val="20"/>
        </w:rPr>
        <w:t>yjadrovať sa k bodom 4. a 5.</w:t>
      </w:r>
      <w:r w:rsidRPr="0062248F">
        <w:rPr>
          <w:rFonts w:ascii="Times New Roman" w:hAnsi="Times New Roman"/>
          <w:sz w:val="24"/>
          <w:szCs w:val="24"/>
        </w:rPr>
        <w:t xml:space="preserve">        </w:t>
      </w:r>
    </w:p>
    <w:p w:rsidR="004C1FCB" w:rsidRPr="0062248F" w:rsidP="00D54B5D">
      <w:pPr>
        <w:pStyle w:val="ListParagraph"/>
        <w:bidi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1FCB" w:rsidRPr="0062248F" w:rsidP="00D54B5D">
      <w:pPr>
        <w:bidi w:val="0"/>
        <w:spacing w:after="120" w:line="360" w:lineRule="auto"/>
        <w:rPr>
          <w:rFonts w:ascii="Times New Roman" w:hAnsi="Times New Roman"/>
        </w:rPr>
      </w:pPr>
    </w:p>
    <w:p w:rsidR="004C1FCB" w:rsidRPr="0062248F" w:rsidP="00D54B5D">
      <w:pPr>
        <w:bidi w:val="0"/>
        <w:spacing w:after="120" w:line="360" w:lineRule="auto"/>
        <w:rPr>
          <w:rFonts w:ascii="Times New Roman" w:hAnsi="Times New Roman"/>
        </w:rPr>
      </w:pPr>
    </w:p>
    <w:p w:rsidR="004C1FCB" w:rsidRPr="0062248F" w:rsidP="00D54B5D">
      <w:pPr>
        <w:bidi w:val="0"/>
        <w:spacing w:after="120" w:line="360" w:lineRule="auto"/>
        <w:rPr>
          <w:rFonts w:ascii="Times New Roman" w:hAnsi="Times New Roman"/>
        </w:rPr>
      </w:pPr>
    </w:p>
    <w:p w:rsidR="00EC1DC7" w:rsidRPr="00260F35" w:rsidP="00D54B5D">
      <w:pPr>
        <w:bidi w:val="0"/>
        <w:spacing w:after="0" w:line="360" w:lineRule="auto"/>
        <w:ind w:left="720"/>
        <w:jc w:val="center"/>
        <w:rPr>
          <w:rFonts w:ascii="Times New Roman" w:hAnsi="Times New Roman"/>
          <w:b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7D" w:rsidRPr="00BB49A2">
    <w:pPr>
      <w:pStyle w:val="Footer"/>
      <w:bidi w:val="0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3A4B7A">
      <w:rPr>
        <w:rFonts w:ascii="Times New Roman" w:hAnsi="Times New Roman"/>
        <w:noProof/>
      </w:rPr>
      <w:t>4</w:t>
    </w:r>
    <w:r w:rsidRPr="00BB49A2">
      <w:rPr>
        <w:rFonts w:ascii="Times New Roman" w:hAnsi="Times New Roman"/>
      </w:rPr>
      <w:fldChar w:fldCharType="end"/>
    </w:r>
  </w:p>
  <w:p w:rsidR="00B6047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85"/>
    <w:multiLevelType w:val="hybridMultilevel"/>
    <w:tmpl w:val="8EFCF878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1936D5"/>
    <w:multiLevelType w:val="hybridMultilevel"/>
    <w:tmpl w:val="8BA49492"/>
    <w:lvl w:ilvl="0">
      <w:start w:val="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FB4922"/>
    <w:multiLevelType w:val="hybridMultilevel"/>
    <w:tmpl w:val="794E3DF0"/>
    <w:lvl w:ilvl="0">
      <w:start w:val="1"/>
      <w:numFmt w:val="lowerLetter"/>
      <w:lvlText w:val="%1)"/>
      <w:lvlJc w:val="left"/>
      <w:pPr>
        <w:ind w:left="2125" w:hanging="141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238D0294"/>
    <w:multiLevelType w:val="hybridMultilevel"/>
    <w:tmpl w:val="3FBC7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A2D4D"/>
    <w:multiLevelType w:val="hybridMultilevel"/>
    <w:tmpl w:val="496E7E1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6">
    <w:nsid w:val="323303C9"/>
    <w:multiLevelType w:val="hybridMultilevel"/>
    <w:tmpl w:val="66A2BDC6"/>
    <w:lvl w:ilvl="0">
      <w:start w:val="0"/>
      <w:numFmt w:val="bullet"/>
      <w:lvlText w:val="-"/>
      <w:lvlJc w:val="left"/>
      <w:pPr>
        <w:ind w:left="1299" w:hanging="732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39D53FD"/>
    <w:multiLevelType w:val="hybridMultilevel"/>
    <w:tmpl w:val="B39AD2F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153C7"/>
    <w:multiLevelType w:val="hybridMultilevel"/>
    <w:tmpl w:val="A2F4E75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C0324"/>
    <w:multiLevelType w:val="hybridMultilevel"/>
    <w:tmpl w:val="35E4FC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E080415"/>
    <w:multiLevelType w:val="hybridMultilevel"/>
    <w:tmpl w:val="B868095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E4835"/>
    <w:multiLevelType w:val="hybridMultilevel"/>
    <w:tmpl w:val="A204247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633FF"/>
    <w:multiLevelType w:val="hybridMultilevel"/>
    <w:tmpl w:val="017E96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CB6537"/>
    <w:multiLevelType w:val="hybridMultilevel"/>
    <w:tmpl w:val="6818D58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7700E"/>
    <w:multiLevelType w:val="hybridMultilevel"/>
    <w:tmpl w:val="53A67D2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D2FAF"/>
    <w:multiLevelType w:val="hybridMultilevel"/>
    <w:tmpl w:val="F3B637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15207"/>
    <w:multiLevelType w:val="hybridMultilevel"/>
    <w:tmpl w:val="AF6C68B0"/>
    <w:lvl w:ilvl="0">
      <w:start w:val="0"/>
      <w:numFmt w:val="bullet"/>
      <w:lvlText w:val="-"/>
      <w:lvlJc w:val="left"/>
      <w:pPr>
        <w:ind w:left="1383" w:hanging="816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DD63EBE"/>
    <w:multiLevelType w:val="hybridMultilevel"/>
    <w:tmpl w:val="7A708D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17"/>
  </w:num>
  <w:num w:numId="8">
    <w:abstractNumId w:val="16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14"/>
  </w:num>
  <w:num w:numId="15">
    <w:abstractNumId w:val="10"/>
  </w:num>
  <w:num w:numId="16">
    <w:abstractNumId w:val="15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oNotTrackMoves/>
  <w:defaultTabStop w:val="708"/>
  <w:hyphenationZone w:val="425"/>
  <w:characterSpacingControl w:val="doNotCompress"/>
  <w:compat/>
  <w:rsids>
    <w:rsidRoot w:val="00DC137D"/>
    <w:rsid w:val="00012C70"/>
    <w:rsid w:val="000173F0"/>
    <w:rsid w:val="00020C46"/>
    <w:rsid w:val="0003246C"/>
    <w:rsid w:val="000450AE"/>
    <w:rsid w:val="00061B11"/>
    <w:rsid w:val="0006663A"/>
    <w:rsid w:val="00070659"/>
    <w:rsid w:val="00077EAB"/>
    <w:rsid w:val="00083A09"/>
    <w:rsid w:val="000926A1"/>
    <w:rsid w:val="00093EFE"/>
    <w:rsid w:val="000B4540"/>
    <w:rsid w:val="000C2F26"/>
    <w:rsid w:val="000D65E5"/>
    <w:rsid w:val="000E18E3"/>
    <w:rsid w:val="000F33FD"/>
    <w:rsid w:val="000F3B6F"/>
    <w:rsid w:val="0010081E"/>
    <w:rsid w:val="0010373F"/>
    <w:rsid w:val="00122137"/>
    <w:rsid w:val="00131541"/>
    <w:rsid w:val="0013359A"/>
    <w:rsid w:val="00136339"/>
    <w:rsid w:val="00151E8C"/>
    <w:rsid w:val="00191813"/>
    <w:rsid w:val="001B551C"/>
    <w:rsid w:val="001C558D"/>
    <w:rsid w:val="001D304A"/>
    <w:rsid w:val="001D56D4"/>
    <w:rsid w:val="001F34EF"/>
    <w:rsid w:val="001F41A6"/>
    <w:rsid w:val="001F57E3"/>
    <w:rsid w:val="001F7008"/>
    <w:rsid w:val="002007BE"/>
    <w:rsid w:val="00216F0C"/>
    <w:rsid w:val="00223853"/>
    <w:rsid w:val="00223A61"/>
    <w:rsid w:val="00234554"/>
    <w:rsid w:val="0024110E"/>
    <w:rsid w:val="002411FA"/>
    <w:rsid w:val="002416C1"/>
    <w:rsid w:val="00252A9B"/>
    <w:rsid w:val="002533A9"/>
    <w:rsid w:val="00260F35"/>
    <w:rsid w:val="00265AE9"/>
    <w:rsid w:val="002719B2"/>
    <w:rsid w:val="002751F7"/>
    <w:rsid w:val="0028272A"/>
    <w:rsid w:val="00283128"/>
    <w:rsid w:val="00292E74"/>
    <w:rsid w:val="002A215C"/>
    <w:rsid w:val="002C478D"/>
    <w:rsid w:val="002C5593"/>
    <w:rsid w:val="002D1EAF"/>
    <w:rsid w:val="002D31BF"/>
    <w:rsid w:val="002D7BB3"/>
    <w:rsid w:val="002F2776"/>
    <w:rsid w:val="002F6DE7"/>
    <w:rsid w:val="00303AD3"/>
    <w:rsid w:val="0030537F"/>
    <w:rsid w:val="0030677A"/>
    <w:rsid w:val="00310BF8"/>
    <w:rsid w:val="00313E6E"/>
    <w:rsid w:val="00321EB1"/>
    <w:rsid w:val="00324EE2"/>
    <w:rsid w:val="00334598"/>
    <w:rsid w:val="00342107"/>
    <w:rsid w:val="00352D19"/>
    <w:rsid w:val="00361D8D"/>
    <w:rsid w:val="00366B06"/>
    <w:rsid w:val="003743C9"/>
    <w:rsid w:val="00383AFB"/>
    <w:rsid w:val="00386DDE"/>
    <w:rsid w:val="00393BE8"/>
    <w:rsid w:val="003A4B7A"/>
    <w:rsid w:val="003B6528"/>
    <w:rsid w:val="003B7F2C"/>
    <w:rsid w:val="003C21BF"/>
    <w:rsid w:val="003C695B"/>
    <w:rsid w:val="003D1C69"/>
    <w:rsid w:val="003E67C8"/>
    <w:rsid w:val="003F2DE8"/>
    <w:rsid w:val="004256E5"/>
    <w:rsid w:val="004411D7"/>
    <w:rsid w:val="00457786"/>
    <w:rsid w:val="00457CE9"/>
    <w:rsid w:val="00462D34"/>
    <w:rsid w:val="00463EBA"/>
    <w:rsid w:val="00466EC3"/>
    <w:rsid w:val="00472A8F"/>
    <w:rsid w:val="00474296"/>
    <w:rsid w:val="00487124"/>
    <w:rsid w:val="0049350E"/>
    <w:rsid w:val="00493CC1"/>
    <w:rsid w:val="004957E2"/>
    <w:rsid w:val="004962C2"/>
    <w:rsid w:val="004B250E"/>
    <w:rsid w:val="004B7C8F"/>
    <w:rsid w:val="004C1FCB"/>
    <w:rsid w:val="004C4B8B"/>
    <w:rsid w:val="004C6E21"/>
    <w:rsid w:val="004D3E15"/>
    <w:rsid w:val="004D6DF8"/>
    <w:rsid w:val="004E2DAB"/>
    <w:rsid w:val="004F0D2D"/>
    <w:rsid w:val="00516912"/>
    <w:rsid w:val="005228EC"/>
    <w:rsid w:val="005238C1"/>
    <w:rsid w:val="00533AF5"/>
    <w:rsid w:val="00533C63"/>
    <w:rsid w:val="005377B0"/>
    <w:rsid w:val="005424F2"/>
    <w:rsid w:val="00547FEB"/>
    <w:rsid w:val="005511F2"/>
    <w:rsid w:val="005600B6"/>
    <w:rsid w:val="00566260"/>
    <w:rsid w:val="005711F4"/>
    <w:rsid w:val="005712A9"/>
    <w:rsid w:val="0057340E"/>
    <w:rsid w:val="005745C1"/>
    <w:rsid w:val="00585193"/>
    <w:rsid w:val="00586B31"/>
    <w:rsid w:val="0059131C"/>
    <w:rsid w:val="00592DC4"/>
    <w:rsid w:val="005A0639"/>
    <w:rsid w:val="005B147A"/>
    <w:rsid w:val="005B4F1D"/>
    <w:rsid w:val="005B7087"/>
    <w:rsid w:val="005C172E"/>
    <w:rsid w:val="005E149E"/>
    <w:rsid w:val="005E17C1"/>
    <w:rsid w:val="005E5BAF"/>
    <w:rsid w:val="005F4400"/>
    <w:rsid w:val="005F4739"/>
    <w:rsid w:val="00602787"/>
    <w:rsid w:val="006027CA"/>
    <w:rsid w:val="00603916"/>
    <w:rsid w:val="00611AB6"/>
    <w:rsid w:val="00614CCE"/>
    <w:rsid w:val="0062248F"/>
    <w:rsid w:val="00626D4B"/>
    <w:rsid w:val="00634248"/>
    <w:rsid w:val="00636925"/>
    <w:rsid w:val="00636C5F"/>
    <w:rsid w:val="00652504"/>
    <w:rsid w:val="00661868"/>
    <w:rsid w:val="0066572A"/>
    <w:rsid w:val="0069367A"/>
    <w:rsid w:val="006A0A4A"/>
    <w:rsid w:val="006A0B3D"/>
    <w:rsid w:val="006A5138"/>
    <w:rsid w:val="006B2F6C"/>
    <w:rsid w:val="006B6401"/>
    <w:rsid w:val="006C0F50"/>
    <w:rsid w:val="0072598D"/>
    <w:rsid w:val="007409EB"/>
    <w:rsid w:val="00742412"/>
    <w:rsid w:val="0076709E"/>
    <w:rsid w:val="007700D3"/>
    <w:rsid w:val="007810ED"/>
    <w:rsid w:val="00784655"/>
    <w:rsid w:val="00791F84"/>
    <w:rsid w:val="007A70CF"/>
    <w:rsid w:val="007B209B"/>
    <w:rsid w:val="007B60A8"/>
    <w:rsid w:val="007C34D2"/>
    <w:rsid w:val="007C3A97"/>
    <w:rsid w:val="007D041A"/>
    <w:rsid w:val="007D27D9"/>
    <w:rsid w:val="007D66EF"/>
    <w:rsid w:val="007D7C72"/>
    <w:rsid w:val="007E4494"/>
    <w:rsid w:val="007F6AC9"/>
    <w:rsid w:val="00802542"/>
    <w:rsid w:val="00804A9C"/>
    <w:rsid w:val="0081106D"/>
    <w:rsid w:val="0081753E"/>
    <w:rsid w:val="00826E82"/>
    <w:rsid w:val="00827302"/>
    <w:rsid w:val="0083428C"/>
    <w:rsid w:val="00841843"/>
    <w:rsid w:val="00842F79"/>
    <w:rsid w:val="008433A7"/>
    <w:rsid w:val="008505F1"/>
    <w:rsid w:val="00853922"/>
    <w:rsid w:val="00861FAC"/>
    <w:rsid w:val="00867E32"/>
    <w:rsid w:val="00890E94"/>
    <w:rsid w:val="00892443"/>
    <w:rsid w:val="008A2E95"/>
    <w:rsid w:val="008B1027"/>
    <w:rsid w:val="008C2975"/>
    <w:rsid w:val="008C54BC"/>
    <w:rsid w:val="008C7E89"/>
    <w:rsid w:val="008F60F7"/>
    <w:rsid w:val="008F6877"/>
    <w:rsid w:val="009015CA"/>
    <w:rsid w:val="009063CE"/>
    <w:rsid w:val="00914610"/>
    <w:rsid w:val="00917D7E"/>
    <w:rsid w:val="009271E1"/>
    <w:rsid w:val="00951E25"/>
    <w:rsid w:val="00954C75"/>
    <w:rsid w:val="009702DE"/>
    <w:rsid w:val="00980AC4"/>
    <w:rsid w:val="0098509F"/>
    <w:rsid w:val="009A0883"/>
    <w:rsid w:val="009A0D23"/>
    <w:rsid w:val="009A1946"/>
    <w:rsid w:val="009B6E65"/>
    <w:rsid w:val="009C3AF3"/>
    <w:rsid w:val="009D3FDD"/>
    <w:rsid w:val="009D795B"/>
    <w:rsid w:val="009E254D"/>
    <w:rsid w:val="009E3F9A"/>
    <w:rsid w:val="009E59A1"/>
    <w:rsid w:val="009E7D5F"/>
    <w:rsid w:val="009F0B60"/>
    <w:rsid w:val="00A074BB"/>
    <w:rsid w:val="00A1308D"/>
    <w:rsid w:val="00A25FCF"/>
    <w:rsid w:val="00A26D74"/>
    <w:rsid w:val="00A30A92"/>
    <w:rsid w:val="00A37BE8"/>
    <w:rsid w:val="00A42F8D"/>
    <w:rsid w:val="00A608FA"/>
    <w:rsid w:val="00A70430"/>
    <w:rsid w:val="00A70B1C"/>
    <w:rsid w:val="00A75332"/>
    <w:rsid w:val="00A80F24"/>
    <w:rsid w:val="00A83BCD"/>
    <w:rsid w:val="00A90F82"/>
    <w:rsid w:val="00A918BF"/>
    <w:rsid w:val="00A954BB"/>
    <w:rsid w:val="00A9784A"/>
    <w:rsid w:val="00AA0FD5"/>
    <w:rsid w:val="00AA3FE1"/>
    <w:rsid w:val="00AA7094"/>
    <w:rsid w:val="00AA7904"/>
    <w:rsid w:val="00AB5249"/>
    <w:rsid w:val="00AC500E"/>
    <w:rsid w:val="00AC5434"/>
    <w:rsid w:val="00AD2447"/>
    <w:rsid w:val="00AD44BE"/>
    <w:rsid w:val="00AD560B"/>
    <w:rsid w:val="00AE1304"/>
    <w:rsid w:val="00B0199F"/>
    <w:rsid w:val="00B033BA"/>
    <w:rsid w:val="00B06893"/>
    <w:rsid w:val="00B268DF"/>
    <w:rsid w:val="00B34BCE"/>
    <w:rsid w:val="00B44A6B"/>
    <w:rsid w:val="00B47EB3"/>
    <w:rsid w:val="00B6047D"/>
    <w:rsid w:val="00B727F4"/>
    <w:rsid w:val="00B74AE7"/>
    <w:rsid w:val="00B801F3"/>
    <w:rsid w:val="00B83A71"/>
    <w:rsid w:val="00B84DD4"/>
    <w:rsid w:val="00BB0FC9"/>
    <w:rsid w:val="00BB1FB7"/>
    <w:rsid w:val="00BB49A2"/>
    <w:rsid w:val="00BC42FE"/>
    <w:rsid w:val="00BE49AF"/>
    <w:rsid w:val="00C03DAA"/>
    <w:rsid w:val="00C1015D"/>
    <w:rsid w:val="00C165C8"/>
    <w:rsid w:val="00C22ED0"/>
    <w:rsid w:val="00C30532"/>
    <w:rsid w:val="00C34B47"/>
    <w:rsid w:val="00C4038D"/>
    <w:rsid w:val="00C412CE"/>
    <w:rsid w:val="00C450C7"/>
    <w:rsid w:val="00C70386"/>
    <w:rsid w:val="00C7046A"/>
    <w:rsid w:val="00C72F60"/>
    <w:rsid w:val="00C77B29"/>
    <w:rsid w:val="00C801C1"/>
    <w:rsid w:val="00C853D4"/>
    <w:rsid w:val="00C85BC4"/>
    <w:rsid w:val="00C956AC"/>
    <w:rsid w:val="00C96FB6"/>
    <w:rsid w:val="00CB4152"/>
    <w:rsid w:val="00CB4D29"/>
    <w:rsid w:val="00CB7432"/>
    <w:rsid w:val="00CB756F"/>
    <w:rsid w:val="00CB7A0D"/>
    <w:rsid w:val="00CC094E"/>
    <w:rsid w:val="00CC2FEC"/>
    <w:rsid w:val="00CD2C79"/>
    <w:rsid w:val="00CD4BE0"/>
    <w:rsid w:val="00CD7407"/>
    <w:rsid w:val="00CE0A2E"/>
    <w:rsid w:val="00CE3382"/>
    <w:rsid w:val="00CE33ED"/>
    <w:rsid w:val="00CE4B25"/>
    <w:rsid w:val="00CE7338"/>
    <w:rsid w:val="00CF00FC"/>
    <w:rsid w:val="00CF053F"/>
    <w:rsid w:val="00CF6B99"/>
    <w:rsid w:val="00D05292"/>
    <w:rsid w:val="00D067E5"/>
    <w:rsid w:val="00D07CF0"/>
    <w:rsid w:val="00D135B3"/>
    <w:rsid w:val="00D2160E"/>
    <w:rsid w:val="00D2168E"/>
    <w:rsid w:val="00D31AC0"/>
    <w:rsid w:val="00D33070"/>
    <w:rsid w:val="00D37A0C"/>
    <w:rsid w:val="00D40A2B"/>
    <w:rsid w:val="00D43827"/>
    <w:rsid w:val="00D466F1"/>
    <w:rsid w:val="00D46D22"/>
    <w:rsid w:val="00D54B5D"/>
    <w:rsid w:val="00D55896"/>
    <w:rsid w:val="00D67F6B"/>
    <w:rsid w:val="00D70B63"/>
    <w:rsid w:val="00D83013"/>
    <w:rsid w:val="00D8358B"/>
    <w:rsid w:val="00D8735A"/>
    <w:rsid w:val="00DC137D"/>
    <w:rsid w:val="00DC7C03"/>
    <w:rsid w:val="00DF5D8B"/>
    <w:rsid w:val="00E0053A"/>
    <w:rsid w:val="00E01ABC"/>
    <w:rsid w:val="00E112E3"/>
    <w:rsid w:val="00E32F66"/>
    <w:rsid w:val="00E4734C"/>
    <w:rsid w:val="00E72549"/>
    <w:rsid w:val="00E87668"/>
    <w:rsid w:val="00E87C37"/>
    <w:rsid w:val="00EB3EB1"/>
    <w:rsid w:val="00EB58D2"/>
    <w:rsid w:val="00EB629C"/>
    <w:rsid w:val="00EC1DC7"/>
    <w:rsid w:val="00ED26F0"/>
    <w:rsid w:val="00ED5CC3"/>
    <w:rsid w:val="00EE2063"/>
    <w:rsid w:val="00EE7F8B"/>
    <w:rsid w:val="00EF5018"/>
    <w:rsid w:val="00F07203"/>
    <w:rsid w:val="00F1646F"/>
    <w:rsid w:val="00F35B79"/>
    <w:rsid w:val="00F401FD"/>
    <w:rsid w:val="00F429C3"/>
    <w:rsid w:val="00F60940"/>
    <w:rsid w:val="00F702A5"/>
    <w:rsid w:val="00F77A8E"/>
    <w:rsid w:val="00F85D1F"/>
    <w:rsid w:val="00F8747D"/>
    <w:rsid w:val="00F97295"/>
    <w:rsid w:val="00FA4055"/>
    <w:rsid w:val="00FC5556"/>
    <w:rsid w:val="00FD550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2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D43827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BB49A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49A2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B49A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B49A2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256E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56E5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link w:val="ListParagraph"/>
    <w:uiPriority w:val="34"/>
    <w:locked/>
    <w:rsid w:val="00F429C3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0933-12DA-426E-A73D-D867FB24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4</Pages>
  <Words>801</Words>
  <Characters>4567</Characters>
  <Application>Microsoft Office Word</Application>
  <DocSecurity>0</DocSecurity>
  <Lines>0</Lines>
  <Paragraphs>0</Paragraphs>
  <ScaleCrop>false</ScaleCrop>
  <Company>Hewlett-Packard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Dedo</cp:lastModifiedBy>
  <cp:revision>32</cp:revision>
  <cp:lastPrinted>2018-02-21T17:00:00Z</cp:lastPrinted>
  <dcterms:created xsi:type="dcterms:W3CDTF">2018-02-22T12:47:00Z</dcterms:created>
  <dcterms:modified xsi:type="dcterms:W3CDTF">2018-08-23T17:47:00Z</dcterms:modified>
</cp:coreProperties>
</file>