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0" w:type="auto"/>
        <w:tblLook w:val="04A0" w:firstRow="1" w:lastRow="0" w:firstColumn="1" w:lastColumn="0" w:noHBand="0" w:noVBand="1"/>
      </w:tblPr>
      <w:tblGrid>
        <w:gridCol w:w="9212"/>
      </w:tblGrid>
      <w:tr w:rsidR="009F2DFA" w:rsidRPr="00F04CCD" w:rsidTr="00347F64">
        <w:trPr>
          <w:trHeight w:val="567"/>
        </w:trPr>
        <w:tc>
          <w:tcPr>
            <w:tcW w:w="9212" w:type="dxa"/>
            <w:shd w:val="clear" w:color="auto" w:fill="D9D9D9" w:themeFill="background1" w:themeFillShade="D9"/>
          </w:tcPr>
          <w:p w:rsidR="009F2DFA" w:rsidRPr="00042C66" w:rsidRDefault="008A1252" w:rsidP="00347F64">
            <w:pPr>
              <w:jc w:val="center"/>
              <w:rPr>
                <w:b/>
                <w:sz w:val="24"/>
              </w:rPr>
            </w:pPr>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rsidTr="00347F64">
        <w:trPr>
          <w:trHeight w:val="567"/>
        </w:trPr>
        <w:tc>
          <w:tcPr>
            <w:tcW w:w="9212" w:type="dxa"/>
            <w:shd w:val="clear" w:color="auto" w:fill="D9D9D9" w:themeFill="background1" w:themeFillShade="D9"/>
          </w:tcPr>
          <w:p w:rsidR="009F2DFA" w:rsidRPr="00042C66" w:rsidRDefault="009F2DFA" w:rsidP="00347F64">
            <w:pPr>
              <w:rPr>
                <w:b/>
                <w:sz w:val="24"/>
              </w:rPr>
            </w:pPr>
            <w:r w:rsidRPr="00042C66">
              <w:rPr>
                <w:b/>
                <w:sz w:val="24"/>
              </w:rPr>
              <w:t>Materiál bude mať vplyv s ohľadom na veľkostnú kategóriu podnikov:</w:t>
            </w:r>
          </w:p>
        </w:tc>
      </w:tr>
      <w:tr w:rsidR="009F2DFA" w:rsidRPr="00F04CCD" w:rsidTr="00347F64">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9F2DFA" w:rsidRPr="00F04CCD" w:rsidTr="00347F64">
              <w:sdt>
                <w:sdtPr>
                  <w:id w:val="43339831"/>
                  <w14:checkbox>
                    <w14:checked w14:val="0"/>
                    <w14:checkedState w14:val="2612" w14:font="MS Gothic"/>
                    <w14:uncheckedState w14:val="2610" w14:font="MS Gothic"/>
                  </w14:checkbox>
                </w:sdtPr>
                <w:sdtEndPr/>
                <w:sdtContent>
                  <w:tc>
                    <w:tcPr>
                      <w:tcW w:w="436" w:type="dxa"/>
                    </w:tcPr>
                    <w:p w:rsidR="009F2DFA" w:rsidRPr="00F04CCD" w:rsidRDefault="009F2DFA" w:rsidP="00347F64">
                      <w:pPr>
                        <w:jc w:val="center"/>
                      </w:pPr>
                      <w:r w:rsidRPr="00F04CCD">
                        <w:rPr>
                          <w:rFonts w:ascii="MS Mincho" w:eastAsia="MS Mincho" w:hAnsi="MS Mincho" w:cs="MS Mincho" w:hint="eastAsia"/>
                        </w:rPr>
                        <w:t>☐</w:t>
                      </w:r>
                    </w:p>
                  </w:tc>
                </w:sdtContent>
              </w:sdt>
              <w:tc>
                <w:tcPr>
                  <w:tcW w:w="8545" w:type="dxa"/>
                </w:tcPr>
                <w:p w:rsidR="009F2DFA" w:rsidRPr="00F04CCD" w:rsidRDefault="009F2DFA" w:rsidP="00347F64">
                  <w:pPr>
                    <w:rPr>
                      <w:b/>
                    </w:rPr>
                  </w:pPr>
                  <w:r w:rsidRPr="00F04CCD">
                    <w:rPr>
                      <w:b/>
                    </w:rPr>
                    <w:t xml:space="preserve">iba na MSP (0 - 249 zamestnancov) </w:t>
                  </w:r>
                </w:p>
              </w:tc>
            </w:tr>
            <w:tr w:rsidR="009F2DFA" w:rsidRPr="00F04CCD" w:rsidTr="00347F64">
              <w:sdt>
                <w:sdtPr>
                  <w:id w:val="-79453833"/>
                  <w14:checkbox>
                    <w14:checked w14:val="0"/>
                    <w14:checkedState w14:val="2612" w14:font="MS Gothic"/>
                    <w14:uncheckedState w14:val="2610" w14:font="MS Gothic"/>
                  </w14:checkbox>
                </w:sdtPr>
                <w:sdtEndPr/>
                <w:sdtContent>
                  <w:tc>
                    <w:tcPr>
                      <w:tcW w:w="436" w:type="dxa"/>
                    </w:tcPr>
                    <w:p w:rsidR="009F2DFA" w:rsidRPr="00F04CCD" w:rsidRDefault="009F2DFA" w:rsidP="00347F64">
                      <w:pPr>
                        <w:jc w:val="center"/>
                      </w:pPr>
                      <w:r w:rsidRPr="00F04CCD">
                        <w:rPr>
                          <w:rFonts w:ascii="MS Mincho" w:eastAsia="MS Mincho" w:hAnsi="MS Mincho" w:cs="MS Mincho" w:hint="eastAsia"/>
                        </w:rPr>
                        <w:t>☐</w:t>
                      </w:r>
                    </w:p>
                  </w:tc>
                </w:sdtContent>
              </w:sdt>
              <w:tc>
                <w:tcPr>
                  <w:tcW w:w="8545" w:type="dxa"/>
                </w:tcPr>
                <w:p w:rsidR="009F2DFA" w:rsidRPr="00F04CCD" w:rsidRDefault="009F2DFA" w:rsidP="00347F64">
                  <w:pPr>
                    <w:rPr>
                      <w:b/>
                    </w:rPr>
                  </w:pPr>
                  <w:r w:rsidRPr="00F04CCD">
                    <w:rPr>
                      <w:b/>
                    </w:rPr>
                    <w:t>iba na veľké podniky (250 a viac zamestnancov)</w:t>
                  </w:r>
                </w:p>
              </w:tc>
            </w:tr>
            <w:tr w:rsidR="009F2DFA" w:rsidRPr="00F04CCD" w:rsidTr="00347F64">
              <w:sdt>
                <w:sdtPr>
                  <w:id w:val="1290634502"/>
                  <w14:checkbox>
                    <w14:checked w14:val="1"/>
                    <w14:checkedState w14:val="2612" w14:font="MS Gothic"/>
                    <w14:uncheckedState w14:val="2610" w14:font="MS Gothic"/>
                  </w14:checkbox>
                </w:sdtPr>
                <w:sdtEndPr/>
                <w:sdtContent>
                  <w:tc>
                    <w:tcPr>
                      <w:tcW w:w="436" w:type="dxa"/>
                    </w:tcPr>
                    <w:p w:rsidR="009F2DFA" w:rsidRPr="00F04CCD" w:rsidRDefault="007F1FBE" w:rsidP="00347F64">
                      <w:pPr>
                        <w:jc w:val="center"/>
                      </w:pPr>
                      <w:r>
                        <w:rPr>
                          <w:rFonts w:ascii="MS Gothic" w:eastAsia="MS Gothic" w:hAnsi="MS Gothic" w:hint="eastAsia"/>
                        </w:rPr>
                        <w:t>☒</w:t>
                      </w:r>
                    </w:p>
                  </w:tc>
                </w:sdtContent>
              </w:sdt>
              <w:tc>
                <w:tcPr>
                  <w:tcW w:w="8545" w:type="dxa"/>
                </w:tcPr>
                <w:p w:rsidR="009F2DFA" w:rsidRPr="00F04CCD" w:rsidRDefault="009F2DFA" w:rsidP="00347F64">
                  <w:r w:rsidRPr="00F04CCD">
                    <w:rPr>
                      <w:b/>
                    </w:rPr>
                    <w:t xml:space="preserve">na všetky </w:t>
                  </w:r>
                  <w:r>
                    <w:rPr>
                      <w:b/>
                    </w:rPr>
                    <w:t>kategórie</w:t>
                  </w:r>
                  <w:r w:rsidRPr="00F04CCD">
                    <w:rPr>
                      <w:b/>
                    </w:rPr>
                    <w:t xml:space="preserve"> podnikov</w:t>
                  </w:r>
                </w:p>
              </w:tc>
            </w:tr>
          </w:tbl>
          <w:p w:rsidR="009F2DFA" w:rsidRPr="00F04CCD" w:rsidRDefault="009F2DFA" w:rsidP="00347F64">
            <w:pPr>
              <w:rPr>
                <w:b/>
              </w:rPr>
            </w:pPr>
          </w:p>
        </w:tc>
      </w:tr>
      <w:tr w:rsidR="009F2DFA" w:rsidRPr="00F04CCD" w:rsidTr="00347F64">
        <w:tc>
          <w:tcPr>
            <w:tcW w:w="9212" w:type="dxa"/>
            <w:shd w:val="clear" w:color="auto" w:fill="D9D9D9" w:themeFill="background1" w:themeFillShade="D9"/>
          </w:tcPr>
          <w:p w:rsidR="009F2DFA" w:rsidRPr="00042C66" w:rsidRDefault="002B1108" w:rsidP="00347F64">
            <w:pPr>
              <w:rPr>
                <w:b/>
                <w:sz w:val="24"/>
              </w:rPr>
            </w:pPr>
            <w:r>
              <w:rPr>
                <w:b/>
                <w:sz w:val="24"/>
              </w:rPr>
              <w:t>3</w:t>
            </w:r>
            <w:r w:rsidR="009F2DFA" w:rsidRPr="00042C66">
              <w:rPr>
                <w:b/>
                <w:sz w:val="24"/>
              </w:rPr>
              <w:t>.1 Dotknuté podnikateľské subjekty</w:t>
            </w:r>
          </w:p>
          <w:p w:rsidR="009F2DFA" w:rsidRPr="00F04CCD" w:rsidRDefault="009F2DFA" w:rsidP="00347F64">
            <w:pPr>
              <w:ind w:left="284"/>
              <w:rPr>
                <w:b/>
              </w:rPr>
            </w:pPr>
            <w:r w:rsidRPr="00042C66">
              <w:rPr>
                <w:sz w:val="24"/>
              </w:rPr>
              <w:t xml:space="preserve"> - </w:t>
            </w:r>
            <w:r w:rsidRPr="00042C66">
              <w:rPr>
                <w:b/>
                <w:sz w:val="24"/>
              </w:rPr>
              <w:t>z toho MSP</w:t>
            </w:r>
          </w:p>
        </w:tc>
      </w:tr>
      <w:tr w:rsidR="009F2DFA" w:rsidRPr="00F04CCD" w:rsidTr="00347F64">
        <w:tc>
          <w:tcPr>
            <w:tcW w:w="9212" w:type="dxa"/>
            <w:tcBorders>
              <w:bottom w:val="single" w:sz="4" w:space="0" w:color="auto"/>
            </w:tcBorders>
          </w:tcPr>
          <w:p w:rsidR="009F2DFA" w:rsidRPr="00F04CCD" w:rsidRDefault="009F2DFA" w:rsidP="00347F64">
            <w:pPr>
              <w:rPr>
                <w:i/>
              </w:rPr>
            </w:pPr>
            <w:r w:rsidRPr="00F04CCD">
              <w:rPr>
                <w:i/>
              </w:rPr>
              <w:t>Uveďte, aké podnikateľské subjekty budú predkladaným návrhom ovplyvnené.</w:t>
            </w:r>
          </w:p>
          <w:p w:rsidR="009F2DFA" w:rsidRPr="00F04CCD" w:rsidRDefault="009F2DFA" w:rsidP="00347F64">
            <w:pPr>
              <w:rPr>
                <w:i/>
              </w:rPr>
            </w:pPr>
            <w:r w:rsidRPr="00F04CCD">
              <w:rPr>
                <w:i/>
              </w:rPr>
              <w:t>Aký je ich počet?</w:t>
            </w:r>
          </w:p>
        </w:tc>
      </w:tr>
      <w:tr w:rsidR="009F2DFA" w:rsidRPr="00F04CCD" w:rsidTr="00347F64">
        <w:trPr>
          <w:trHeight w:val="1440"/>
        </w:trPr>
        <w:tc>
          <w:tcPr>
            <w:tcW w:w="9212" w:type="dxa"/>
            <w:tcBorders>
              <w:bottom w:val="single" w:sz="4" w:space="0" w:color="auto"/>
            </w:tcBorders>
          </w:tcPr>
          <w:p w:rsidR="00BF79E0" w:rsidRDefault="00BF79E0" w:rsidP="007F1FBE">
            <w:r>
              <w:t>Používatelia autorskoprávne chránených obsahov (predmetov ochrany), a to predovšetkým pri použití predmetov ochrany verejným prenosom; z toho:</w:t>
            </w:r>
          </w:p>
          <w:p w:rsidR="00BF79E0" w:rsidRDefault="002F2FBD" w:rsidP="007F1FBE">
            <w:r>
              <w:t>- fyzické osoby – podnikatelia a/alebo právnické osoby – vlastníci prevádzok ako reštauračné zariadenia, bary, kaviarne, ubytovacie zariadenia, zariadenia poskytujúce služby širokej verejnosti (kaderníctva, salóny krásy, posilňovne, fitnescentrá a pod.), podnikatelia poskytujúce špecifické služby ako napr. retransmisia (tzv. kábloví operátori)</w:t>
            </w:r>
          </w:p>
          <w:p w:rsidR="009F2DFA" w:rsidRDefault="002F2FBD" w:rsidP="0096429B">
            <w:r>
              <w:t xml:space="preserve">- </w:t>
            </w:r>
            <w:r w:rsidR="007F1FBE" w:rsidRPr="00332878">
              <w:t>právnické osoby združujúce používateľov</w:t>
            </w:r>
            <w:r>
              <w:t xml:space="preserve"> (napr. Združenie hotelov a</w:t>
            </w:r>
            <w:r w:rsidR="0096429B">
              <w:t> </w:t>
            </w:r>
            <w:r>
              <w:t>reštaurácií</w:t>
            </w:r>
            <w:r w:rsidR="0096429B">
              <w:t xml:space="preserve"> SR</w:t>
            </w:r>
            <w:r>
              <w:t xml:space="preserve">, Asociácia prevádzkovateľov káblových telekomunikácií, Slovenská asociácia </w:t>
            </w:r>
            <w:r w:rsidR="0096429B">
              <w:t xml:space="preserve">pre </w:t>
            </w:r>
            <w:r>
              <w:t>káblov</w:t>
            </w:r>
            <w:r w:rsidR="0096429B">
              <w:t>é</w:t>
            </w:r>
            <w:r>
              <w:t xml:space="preserve"> telekomunikáci</w:t>
            </w:r>
            <w:r w:rsidR="0096429B">
              <w:t>e, IT asociácia Slovenska</w:t>
            </w:r>
            <w:r>
              <w:t>)</w:t>
            </w:r>
            <w:r w:rsidR="0096429B">
              <w:t>, ktoré sú oprávnené v zmysle Autorského zákona uzatvárať v prospech individuálnych používateľov (svojich členov) kolektívne licenčné zmluvy</w:t>
            </w:r>
          </w:p>
          <w:p w:rsidR="0096429B" w:rsidRDefault="0096429B" w:rsidP="0096429B"/>
          <w:p w:rsidR="0096429B" w:rsidRPr="002F2FBD" w:rsidRDefault="0096429B" w:rsidP="0096429B">
            <w:r>
              <w:t xml:space="preserve">Celkový počet individuálnych podnikateľských subjektov možno rádovo určiť v tisícoch. </w:t>
            </w:r>
          </w:p>
        </w:tc>
      </w:tr>
      <w:tr w:rsidR="009F2DFA" w:rsidRPr="00F04CCD" w:rsidTr="00347F64">
        <w:trPr>
          <w:trHeight w:val="339"/>
        </w:trPr>
        <w:tc>
          <w:tcPr>
            <w:tcW w:w="9212" w:type="dxa"/>
            <w:tcBorders>
              <w:bottom w:val="single" w:sz="4" w:space="0" w:color="auto"/>
            </w:tcBorders>
            <w:shd w:val="clear" w:color="auto" w:fill="D9D9D9" w:themeFill="background1" w:themeFillShade="D9"/>
          </w:tcPr>
          <w:p w:rsidR="009F2DFA" w:rsidRPr="00042C66" w:rsidRDefault="002B1108" w:rsidP="00347F64">
            <w:pPr>
              <w:rPr>
                <w:b/>
                <w:sz w:val="24"/>
              </w:rPr>
            </w:pPr>
            <w:r>
              <w:rPr>
                <w:b/>
                <w:sz w:val="24"/>
              </w:rPr>
              <w:t>3</w:t>
            </w:r>
            <w:r w:rsidR="009F2DFA" w:rsidRPr="00042C66">
              <w:rPr>
                <w:b/>
                <w:sz w:val="24"/>
              </w:rPr>
              <w:t>.2 Vyhodnotenie konzultácií</w:t>
            </w:r>
          </w:p>
          <w:p w:rsidR="009F2DFA" w:rsidRPr="00F04CCD" w:rsidRDefault="009F2DFA" w:rsidP="00347F64">
            <w:pPr>
              <w:rPr>
                <w:b/>
              </w:rPr>
            </w:pPr>
            <w:r w:rsidRPr="00042C66">
              <w:rPr>
                <w:sz w:val="24"/>
              </w:rPr>
              <w:t xml:space="preserve">       - </w:t>
            </w:r>
            <w:r w:rsidRPr="00042C66">
              <w:rPr>
                <w:b/>
                <w:sz w:val="24"/>
              </w:rPr>
              <w:t>z toho MSP</w:t>
            </w:r>
          </w:p>
        </w:tc>
      </w:tr>
      <w:tr w:rsidR="009F2DFA" w:rsidRPr="00F04CCD" w:rsidTr="00347F64">
        <w:trPr>
          <w:trHeight w:val="557"/>
        </w:trPr>
        <w:tc>
          <w:tcPr>
            <w:tcW w:w="9212" w:type="dxa"/>
            <w:tcBorders>
              <w:bottom w:val="single" w:sz="4" w:space="0" w:color="auto"/>
            </w:tcBorders>
          </w:tcPr>
          <w:p w:rsidR="009F2DFA" w:rsidRPr="00F04CCD" w:rsidRDefault="009F2DFA" w:rsidP="00347F64">
            <w:pPr>
              <w:rPr>
                <w:i/>
              </w:rPr>
            </w:pPr>
            <w:r w:rsidRPr="00F04CCD">
              <w:rPr>
                <w:i/>
              </w:rPr>
              <w:t>Uveďte, akou formou (verejné alebo cielené konzultácie a prečo)</w:t>
            </w:r>
            <w:r>
              <w:rPr>
                <w:i/>
              </w:rPr>
              <w:t xml:space="preserve"> a </w:t>
            </w:r>
            <w:r w:rsidRPr="00F04CCD">
              <w:rPr>
                <w:i/>
              </w:rPr>
              <w:t>s kým bol návrh konzultovaný.</w:t>
            </w:r>
          </w:p>
          <w:p w:rsidR="009F2DFA" w:rsidRPr="00F04CCD" w:rsidRDefault="009F2DFA" w:rsidP="00347F64">
            <w:pPr>
              <w:rPr>
                <w:i/>
              </w:rPr>
            </w:pPr>
            <w:r w:rsidRPr="00F04CCD">
              <w:rPr>
                <w:i/>
              </w:rPr>
              <w:t>Ako dlho trvali konzultácie?</w:t>
            </w:r>
          </w:p>
          <w:p w:rsidR="009F2DFA" w:rsidRPr="000D2622" w:rsidRDefault="009F2DFA" w:rsidP="00347F64">
            <w:pPr>
              <w:rPr>
                <w:i/>
              </w:rPr>
            </w:pPr>
            <w:r w:rsidRPr="00F04CCD">
              <w:rPr>
                <w:i/>
              </w:rPr>
              <w:t xml:space="preserve">Uveďte hlavné body konzultácií a výsledky konzultácií. </w:t>
            </w:r>
          </w:p>
        </w:tc>
      </w:tr>
      <w:tr w:rsidR="009F2DFA" w:rsidRPr="00F04CCD" w:rsidTr="00347F64">
        <w:trPr>
          <w:trHeight w:val="1440"/>
        </w:trPr>
        <w:tc>
          <w:tcPr>
            <w:tcW w:w="9212" w:type="dxa"/>
            <w:tcBorders>
              <w:bottom w:val="single" w:sz="4" w:space="0" w:color="auto"/>
            </w:tcBorders>
          </w:tcPr>
          <w:p w:rsidR="0096429B" w:rsidRDefault="007F1FBE" w:rsidP="00347F64">
            <w:r w:rsidRPr="007F1FBE">
              <w:t xml:space="preserve">Konzultácie </w:t>
            </w:r>
            <w:r w:rsidR="0096429B">
              <w:t>prebiehali verejne, formou otvorenej neformálnej pracovnej skupiny</w:t>
            </w:r>
            <w:r w:rsidR="00592978">
              <w:t xml:space="preserve"> pod vedením Ministerstva kultúry SR</w:t>
            </w:r>
            <w:r w:rsidR="0096429B">
              <w:t>, ktorá vecne združila zástupcov všetkých relevantných subjektov</w:t>
            </w:r>
            <w:r w:rsidR="00347F64">
              <w:t xml:space="preserve"> a sektorov</w:t>
            </w:r>
            <w:r w:rsidR="0096429B">
              <w:t>. Z tých najrelevantnejších to boli:</w:t>
            </w:r>
          </w:p>
          <w:p w:rsidR="0096429B" w:rsidRDefault="0096429B" w:rsidP="00347F64">
            <w:r>
              <w:t xml:space="preserve">Asociácia vydavateľov tlače, Združenie vydavateľov </w:t>
            </w:r>
            <w:r w:rsidRPr="0096429B">
              <w:t xml:space="preserve">a kníhkupcov SR, SAPIE </w:t>
            </w:r>
            <w:r>
              <w:t>–</w:t>
            </w:r>
            <w:r w:rsidRPr="0096429B">
              <w:t xml:space="preserve"> Slovenská aliancia pre inovatívnu ekonomiku, Slovenská výtvarná únia,</w:t>
            </w:r>
            <w:r>
              <w:t xml:space="preserve"> ITAS, Slovenský filmový ústav</w:t>
            </w:r>
            <w:r w:rsidRPr="0096429B">
              <w:t xml:space="preserve">, Zväz hotelov a reštaurácii SR, </w:t>
            </w:r>
            <w:r w:rsidR="004B158E">
              <w:t xml:space="preserve">ZMOS, </w:t>
            </w:r>
            <w:r w:rsidRPr="0096429B">
              <w:t xml:space="preserve">Centrum vedecko-technických informácií, </w:t>
            </w:r>
            <w:proofErr w:type="spellStart"/>
            <w:r w:rsidRPr="0096429B">
              <w:t>Creative</w:t>
            </w:r>
            <w:proofErr w:type="spellEnd"/>
            <w:r w:rsidRPr="0096429B">
              <w:t xml:space="preserve"> </w:t>
            </w:r>
            <w:proofErr w:type="spellStart"/>
            <w:r w:rsidRPr="0096429B">
              <w:t>Industry</w:t>
            </w:r>
            <w:proofErr w:type="spellEnd"/>
            <w:r w:rsidRPr="0096429B">
              <w:t xml:space="preserve"> </w:t>
            </w:r>
            <w:proofErr w:type="spellStart"/>
            <w:r w:rsidRPr="0096429B">
              <w:t>Forum</w:t>
            </w:r>
            <w:proofErr w:type="spellEnd"/>
            <w:r w:rsidRPr="0096429B">
              <w:t>, Asociácia prevádzkovat</w:t>
            </w:r>
            <w:r>
              <w:t>eľov káblových telekomunikácií</w:t>
            </w:r>
            <w:r w:rsidRPr="0096429B">
              <w:t>, Asociácia nezávislých rozhlasových a televíznych staníc, INESS, JOJ GRO</w:t>
            </w:r>
            <w:r>
              <w:t xml:space="preserve">UP, Slovenská národná galéria, </w:t>
            </w:r>
            <w:r w:rsidRPr="0096429B">
              <w:t xml:space="preserve">Národné osvetové centrum, Univerzitná knižnica v Bratislave, Rozhlas a televízia Slovenska, Slovenská komora architektov, Audiovizuálny fond, Ústav práva duševného vlastníctva PFTU, </w:t>
            </w:r>
            <w:r>
              <w:t>organizácie kolektívnej správy, ktorým je v súčasnosti vydané oprávnenie na výkon kolektívnej správy (</w:t>
            </w:r>
            <w:r w:rsidRPr="0096429B">
              <w:t>LITA, autorská spoločn</w:t>
            </w:r>
            <w:r>
              <w:t>osť,</w:t>
            </w:r>
            <w:r w:rsidRPr="0096429B">
              <w:t xml:space="preserve"> SLOVGRAM</w:t>
            </w:r>
            <w:r>
              <w:t xml:space="preserve">, </w:t>
            </w:r>
            <w:r w:rsidRPr="0096429B">
              <w:t>SOZA, OZIS</w:t>
            </w:r>
            <w:r>
              <w:t xml:space="preserve">, SAPA) a </w:t>
            </w:r>
            <w:r w:rsidRPr="0096429B">
              <w:t>odborná verejnosť.</w:t>
            </w:r>
          </w:p>
          <w:p w:rsidR="0096429B" w:rsidRDefault="0096429B" w:rsidP="00347F64"/>
          <w:p w:rsidR="0096429B" w:rsidRDefault="0096429B" w:rsidP="00347F64">
            <w:r>
              <w:t>Pracovná skupina zasadala</w:t>
            </w:r>
            <w:r w:rsidR="00347F64">
              <w:t xml:space="preserve"> </w:t>
            </w:r>
            <w:r>
              <w:t>dva krát na pôde Ministerstva kultúry SR (14.6.2018, 25.6.2018). Rokovaniam pracovnej skupiny predchádzali individuálne rokovania so Zväzom hotelov a reštaurácií SR</w:t>
            </w:r>
            <w:r w:rsidR="00347F64">
              <w:t xml:space="preserve"> (konzultácie začali už v roku 2017)</w:t>
            </w:r>
            <w:r>
              <w:t>, Ministerstvom hospodárstva SR</w:t>
            </w:r>
            <w:r w:rsidR="00347F64">
              <w:t xml:space="preserve"> a organizáciami kolektívnej správy, ktorým je v súčasnosti vydané oprávnenie na výkon kolektívnej správy.</w:t>
            </w:r>
          </w:p>
          <w:p w:rsidR="00347F64" w:rsidRDefault="00347F64" w:rsidP="00347F64"/>
          <w:p w:rsidR="00347F64" w:rsidRDefault="00347F64" w:rsidP="00347F64">
            <w:r>
              <w:t>Tematicky sa pracovná skupina zaoberala predovšetkým:</w:t>
            </w:r>
          </w:p>
          <w:p w:rsidR="00347F64" w:rsidRPr="00347F64" w:rsidRDefault="00347F64" w:rsidP="00347F64">
            <w:pPr>
              <w:pStyle w:val="Odsekzoznamu"/>
              <w:numPr>
                <w:ilvl w:val="0"/>
                <w:numId w:val="13"/>
              </w:numPr>
              <w:spacing w:line="240" w:lineRule="auto"/>
              <w:rPr>
                <w:rFonts w:ascii="Times New Roman" w:hAnsi="Times New Roman" w:cs="Times New Roman"/>
                <w:sz w:val="20"/>
                <w:szCs w:val="20"/>
              </w:rPr>
            </w:pPr>
            <w:r w:rsidRPr="00347F64">
              <w:rPr>
                <w:rFonts w:ascii="Times New Roman" w:hAnsi="Times New Roman" w:cs="Times New Roman"/>
                <w:sz w:val="20"/>
                <w:szCs w:val="20"/>
              </w:rPr>
              <w:t xml:space="preserve">kritériami na určenie výšky licenčnej odmeny, ktoré majú byť aplikované pri tvorbe tzv. </w:t>
            </w:r>
            <w:proofErr w:type="spellStart"/>
            <w:r w:rsidRPr="00347F64">
              <w:rPr>
                <w:rFonts w:ascii="Times New Roman" w:hAnsi="Times New Roman" w:cs="Times New Roman"/>
                <w:sz w:val="20"/>
                <w:szCs w:val="20"/>
              </w:rPr>
              <w:t>sadzobníkových</w:t>
            </w:r>
            <w:proofErr w:type="spellEnd"/>
            <w:r w:rsidRPr="00347F64">
              <w:rPr>
                <w:rFonts w:ascii="Times New Roman" w:hAnsi="Times New Roman" w:cs="Times New Roman"/>
                <w:sz w:val="20"/>
                <w:szCs w:val="20"/>
              </w:rPr>
              <w:t xml:space="preserve"> cien organizáciami kolektívnej správy</w:t>
            </w:r>
            <w:r>
              <w:rPr>
                <w:rFonts w:ascii="Times New Roman" w:hAnsi="Times New Roman" w:cs="Times New Roman"/>
                <w:sz w:val="20"/>
                <w:szCs w:val="20"/>
              </w:rPr>
              <w:t xml:space="preserve"> a transparentnosťou procesu takejto „cenotvorby“</w:t>
            </w:r>
            <w:r w:rsidRPr="00347F64">
              <w:rPr>
                <w:rFonts w:ascii="Times New Roman" w:hAnsi="Times New Roman" w:cs="Times New Roman"/>
                <w:sz w:val="20"/>
                <w:szCs w:val="20"/>
              </w:rPr>
              <w:t>,</w:t>
            </w:r>
          </w:p>
          <w:p w:rsidR="00347F64" w:rsidRPr="00347F64" w:rsidRDefault="00347F64" w:rsidP="00347F64">
            <w:pPr>
              <w:pStyle w:val="Odsekzoznamu"/>
              <w:numPr>
                <w:ilvl w:val="0"/>
                <w:numId w:val="13"/>
              </w:numPr>
              <w:spacing w:line="240" w:lineRule="auto"/>
              <w:rPr>
                <w:rFonts w:ascii="Times New Roman" w:hAnsi="Times New Roman" w:cs="Times New Roman"/>
                <w:sz w:val="20"/>
                <w:szCs w:val="20"/>
              </w:rPr>
            </w:pPr>
            <w:r w:rsidRPr="00347F64">
              <w:rPr>
                <w:rFonts w:ascii="Times New Roman" w:hAnsi="Times New Roman" w:cs="Times New Roman"/>
                <w:sz w:val="20"/>
                <w:szCs w:val="20"/>
              </w:rPr>
              <w:t xml:space="preserve">nastavením hmotnoprávneho nároku používateľa domáhať sa na súde určenia obsahu licenčnej zmluvy vrátane primeranej výšky licenčnej odmeny v prípade </w:t>
            </w:r>
            <w:proofErr w:type="spellStart"/>
            <w:r w:rsidRPr="00347F64">
              <w:rPr>
                <w:rFonts w:ascii="Times New Roman" w:hAnsi="Times New Roman" w:cs="Times New Roman"/>
                <w:sz w:val="20"/>
                <w:szCs w:val="20"/>
              </w:rPr>
              <w:t>nedohody</w:t>
            </w:r>
            <w:proofErr w:type="spellEnd"/>
            <w:r w:rsidRPr="00347F64">
              <w:rPr>
                <w:rFonts w:ascii="Times New Roman" w:hAnsi="Times New Roman" w:cs="Times New Roman"/>
                <w:sz w:val="20"/>
                <w:szCs w:val="20"/>
              </w:rPr>
              <w:t xml:space="preserve"> s organizáciou kolektívnej správy, a to najmä z hľadiska zvýšenia efektívnosti a preventívneho účinku tohto zákonného nástroja, </w:t>
            </w:r>
          </w:p>
          <w:p w:rsidR="00347F64" w:rsidRPr="00347F64" w:rsidRDefault="00347F64" w:rsidP="00347F64">
            <w:pPr>
              <w:pStyle w:val="Odsekzoznamu"/>
              <w:numPr>
                <w:ilvl w:val="0"/>
                <w:numId w:val="13"/>
              </w:numPr>
              <w:spacing w:after="0" w:line="240" w:lineRule="auto"/>
              <w:rPr>
                <w:rFonts w:ascii="Times New Roman" w:hAnsi="Times New Roman" w:cs="Times New Roman"/>
                <w:sz w:val="20"/>
                <w:szCs w:val="20"/>
              </w:rPr>
            </w:pPr>
            <w:r w:rsidRPr="00347F64">
              <w:rPr>
                <w:rFonts w:ascii="Times New Roman" w:hAnsi="Times New Roman" w:cs="Times New Roman"/>
                <w:sz w:val="20"/>
                <w:szCs w:val="20"/>
              </w:rPr>
              <w:t xml:space="preserve">problematikou spoločného výberu na základe dohody o spoločnej </w:t>
            </w:r>
            <w:r w:rsidR="004B158E">
              <w:rPr>
                <w:rFonts w:ascii="Times New Roman" w:hAnsi="Times New Roman" w:cs="Times New Roman"/>
                <w:sz w:val="20"/>
                <w:szCs w:val="20"/>
              </w:rPr>
              <w:t>s</w:t>
            </w:r>
            <w:r w:rsidRPr="00347F64">
              <w:rPr>
                <w:rFonts w:ascii="Times New Roman" w:hAnsi="Times New Roman" w:cs="Times New Roman"/>
                <w:sz w:val="20"/>
                <w:szCs w:val="20"/>
              </w:rPr>
              <w:t xml:space="preserve">práve (tzv. </w:t>
            </w:r>
            <w:proofErr w:type="spellStart"/>
            <w:r w:rsidRPr="00347F64">
              <w:rPr>
                <w:rFonts w:ascii="Times New Roman" w:hAnsi="Times New Roman" w:cs="Times New Roman"/>
                <w:sz w:val="20"/>
                <w:szCs w:val="20"/>
              </w:rPr>
              <w:t>one-stop-shop</w:t>
            </w:r>
            <w:proofErr w:type="spellEnd"/>
            <w:r w:rsidRPr="00347F64">
              <w:rPr>
                <w:rFonts w:ascii="Times New Roman" w:hAnsi="Times New Roman" w:cs="Times New Roman"/>
                <w:sz w:val="20"/>
                <w:szCs w:val="20"/>
              </w:rPr>
              <w:t>)</w:t>
            </w:r>
            <w:r w:rsidR="00592978">
              <w:rPr>
                <w:rFonts w:ascii="Times New Roman" w:hAnsi="Times New Roman" w:cs="Times New Roman"/>
                <w:sz w:val="20"/>
                <w:szCs w:val="20"/>
              </w:rPr>
              <w:t>.</w:t>
            </w:r>
          </w:p>
          <w:p w:rsidR="00347F64" w:rsidRPr="00347F64" w:rsidRDefault="00347F64" w:rsidP="00347F64"/>
          <w:p w:rsidR="007F1FBE" w:rsidRPr="007F1FBE" w:rsidRDefault="00347F64" w:rsidP="00592978">
            <w:r>
              <w:t>V rámci rokovaní pracovnej skupiny sa podarilo nájsť kompromisné riešeni</w:t>
            </w:r>
            <w:r w:rsidR="00592978">
              <w:t>a</w:t>
            </w:r>
            <w:r>
              <w:t xml:space="preserve"> pre všetky hlavné zadefinované oblasti. Výsledok práce – predkladaný návrh zákona – teda možno hodnotiť ako úspešný a dotknutými podnikateľskými subjektmi akceptovaný ako riešenie, ktoré by malo priniesť pozitívny vývoj.</w:t>
            </w:r>
          </w:p>
        </w:tc>
      </w:tr>
      <w:tr w:rsidR="009F2DFA" w:rsidRPr="00F04CCD" w:rsidTr="00347F64">
        <w:tc>
          <w:tcPr>
            <w:tcW w:w="9212" w:type="dxa"/>
            <w:shd w:val="clear" w:color="auto" w:fill="D9D9D9" w:themeFill="background1" w:themeFillShade="D9"/>
          </w:tcPr>
          <w:p w:rsidR="009F2DFA" w:rsidRPr="00042C66" w:rsidRDefault="002B1108" w:rsidP="00347F64">
            <w:pPr>
              <w:rPr>
                <w:b/>
                <w:sz w:val="24"/>
              </w:rPr>
            </w:pPr>
            <w:r>
              <w:rPr>
                <w:b/>
                <w:sz w:val="24"/>
              </w:rPr>
              <w:t>3</w:t>
            </w:r>
            <w:r w:rsidR="009F2DFA" w:rsidRPr="00042C66">
              <w:rPr>
                <w:b/>
                <w:sz w:val="24"/>
              </w:rPr>
              <w:t>.3 Náklady regulácie</w:t>
            </w:r>
          </w:p>
          <w:p w:rsidR="009F2DFA" w:rsidRPr="00F04CCD" w:rsidRDefault="009F2DFA" w:rsidP="00347F64">
            <w:pPr>
              <w:rPr>
                <w:b/>
              </w:rPr>
            </w:pPr>
            <w:r w:rsidRPr="00042C66">
              <w:rPr>
                <w:sz w:val="24"/>
              </w:rPr>
              <w:lastRenderedPageBreak/>
              <w:t xml:space="preserve">      - </w:t>
            </w:r>
            <w:r w:rsidRPr="00042C66">
              <w:rPr>
                <w:b/>
                <w:sz w:val="24"/>
              </w:rPr>
              <w:t>z toho MSP</w:t>
            </w:r>
          </w:p>
        </w:tc>
      </w:tr>
      <w:tr w:rsidR="009F2DFA" w:rsidRPr="00F04CCD" w:rsidTr="00347F64">
        <w:tc>
          <w:tcPr>
            <w:tcW w:w="9212" w:type="dxa"/>
            <w:tcBorders>
              <w:bottom w:val="single" w:sz="4" w:space="0" w:color="auto"/>
            </w:tcBorders>
          </w:tcPr>
          <w:p w:rsidR="009F2DFA" w:rsidRPr="00F04CCD" w:rsidRDefault="002B1108" w:rsidP="00347F64">
            <w:pPr>
              <w:rPr>
                <w:b/>
                <w:i/>
              </w:rPr>
            </w:pPr>
            <w:r>
              <w:rPr>
                <w:b/>
                <w:i/>
              </w:rPr>
              <w:lastRenderedPageBreak/>
              <w:t>3</w:t>
            </w:r>
            <w:r w:rsidR="009F2DFA" w:rsidRPr="00F04CCD">
              <w:rPr>
                <w:b/>
                <w:i/>
              </w:rPr>
              <w:t>.3.1 Priame finančné náklady</w:t>
            </w:r>
          </w:p>
          <w:p w:rsidR="009F2DFA" w:rsidRPr="00F04CCD" w:rsidRDefault="009F2DFA" w:rsidP="00347F64">
            <w:pPr>
              <w:rPr>
                <w:i/>
              </w:rPr>
            </w:pPr>
            <w:r w:rsidRPr="00F04CCD">
              <w:rPr>
                <w:i/>
              </w:rPr>
              <w:t xml:space="preserve">Dochádza k zvýšeniu/zníženiu priamych finančných nákladov (poplatky, odvody, dane clá...)? Ak áno, popíšte a vyčíslite ich. Uveďte tiež spôsob ich výpočtu. </w:t>
            </w:r>
          </w:p>
        </w:tc>
      </w:tr>
      <w:tr w:rsidR="009F2DFA" w:rsidRPr="00F04CCD" w:rsidTr="00347F64">
        <w:tc>
          <w:tcPr>
            <w:tcW w:w="9212" w:type="dxa"/>
            <w:tcBorders>
              <w:bottom w:val="single" w:sz="4" w:space="0" w:color="auto"/>
            </w:tcBorders>
          </w:tcPr>
          <w:p w:rsidR="00E75AD7" w:rsidRPr="00F04CCD" w:rsidRDefault="00E75AD7" w:rsidP="00E75AD7">
            <w:pPr>
              <w:rPr>
                <w:b/>
                <w:i/>
              </w:rPr>
            </w:pPr>
            <w:r>
              <w:t xml:space="preserve">Predpokladané </w:t>
            </w:r>
            <w:r w:rsidR="004B158E">
              <w:t xml:space="preserve">mierne </w:t>
            </w:r>
            <w:r>
              <w:t>pozitívne vplyvy nie je možné kvantifikovať, nakoľko ide o nepriame finančné vplyvy, pričom potenciálne pozitívne finančné (kvantifikovateľné) vplyvy vyplynú až z aplikačnej praxe, ktorej rôznorodosť a dynamika je daná tým, že vždy ide o súkromnoprávne vzťahy (dohody medzi organizáciami kolektívnej správy a používateľmi).</w:t>
            </w:r>
          </w:p>
          <w:p w:rsidR="009F2DFA" w:rsidRPr="00F04CCD" w:rsidRDefault="009F2DFA" w:rsidP="00347F64">
            <w:pPr>
              <w:rPr>
                <w:b/>
                <w:i/>
              </w:rPr>
            </w:pPr>
          </w:p>
        </w:tc>
      </w:tr>
      <w:tr w:rsidR="009F2DFA" w:rsidRPr="00F04CCD" w:rsidTr="00347F64">
        <w:tc>
          <w:tcPr>
            <w:tcW w:w="9212" w:type="dxa"/>
            <w:tcBorders>
              <w:bottom w:val="single" w:sz="4" w:space="0" w:color="auto"/>
            </w:tcBorders>
          </w:tcPr>
          <w:p w:rsidR="009F2DFA" w:rsidRPr="00F04CCD" w:rsidRDefault="002B1108" w:rsidP="00347F64">
            <w:pPr>
              <w:rPr>
                <w:b/>
                <w:i/>
              </w:rPr>
            </w:pPr>
            <w:r>
              <w:rPr>
                <w:b/>
                <w:i/>
              </w:rPr>
              <w:t>3</w:t>
            </w:r>
            <w:r w:rsidR="009F2DFA" w:rsidRPr="00F04CCD">
              <w:rPr>
                <w:b/>
                <w:i/>
              </w:rPr>
              <w:t>.3.2 Nepriame finančné náklady</w:t>
            </w:r>
          </w:p>
          <w:p w:rsidR="009F2DFA" w:rsidRPr="00F04CCD" w:rsidRDefault="009F2DFA" w:rsidP="00B31A8E">
            <w:pPr>
              <w:rPr>
                <w:i/>
              </w:rPr>
            </w:pPr>
            <w:r w:rsidRPr="00F04CCD">
              <w:rPr>
                <w:i/>
              </w:rPr>
              <w:t xml:space="preserve">Vyžaduje si predkladaný návrh dodatočné náklady na nákup tovarov alebo služieb? </w:t>
            </w:r>
            <w:r w:rsidR="00B31A8E">
              <w:rPr>
                <w:i/>
              </w:rPr>
              <w:t xml:space="preserve">Zvyšuje predkladaný návrh náklady súvisiace so zamestnávaním? </w:t>
            </w:r>
            <w:r w:rsidRPr="00F04CCD">
              <w:rPr>
                <w:i/>
              </w:rPr>
              <w:t>Ak áno, popíšte a vyčíslite ich. Uveďte tiež spôsob ich výpočtu.</w:t>
            </w:r>
          </w:p>
        </w:tc>
      </w:tr>
      <w:tr w:rsidR="009F2DFA" w:rsidRPr="00F04CCD" w:rsidTr="00347F64">
        <w:tc>
          <w:tcPr>
            <w:tcW w:w="9212" w:type="dxa"/>
            <w:tcBorders>
              <w:bottom w:val="single" w:sz="4" w:space="0" w:color="auto"/>
            </w:tcBorders>
          </w:tcPr>
          <w:p w:rsidR="009F2DFA" w:rsidRPr="00F04CCD" w:rsidRDefault="009F2DFA" w:rsidP="00347F64">
            <w:pPr>
              <w:rPr>
                <w:b/>
                <w:i/>
              </w:rPr>
            </w:pPr>
          </w:p>
          <w:p w:rsidR="009F2DFA" w:rsidRPr="00F04CCD" w:rsidRDefault="009F2DFA" w:rsidP="00347F64">
            <w:pPr>
              <w:rPr>
                <w:b/>
                <w:i/>
              </w:rPr>
            </w:pPr>
          </w:p>
        </w:tc>
      </w:tr>
      <w:tr w:rsidR="009F2DFA" w:rsidRPr="00F04CCD" w:rsidTr="00347F64">
        <w:tc>
          <w:tcPr>
            <w:tcW w:w="9212" w:type="dxa"/>
            <w:tcBorders>
              <w:bottom w:val="single" w:sz="4" w:space="0" w:color="auto"/>
            </w:tcBorders>
          </w:tcPr>
          <w:p w:rsidR="009F2DFA" w:rsidRPr="00F04CCD" w:rsidRDefault="002B1108" w:rsidP="00347F64">
            <w:pPr>
              <w:rPr>
                <w:b/>
                <w:i/>
              </w:rPr>
            </w:pPr>
            <w:r>
              <w:rPr>
                <w:b/>
                <w:i/>
              </w:rPr>
              <w:t>3</w:t>
            </w:r>
            <w:r w:rsidR="009F2DFA" w:rsidRPr="00F04CCD">
              <w:rPr>
                <w:b/>
                <w:i/>
              </w:rPr>
              <w:t>.3.3 Administratívne náklady</w:t>
            </w:r>
          </w:p>
          <w:p w:rsidR="009F2DFA" w:rsidRPr="00F04CCD" w:rsidRDefault="009F2DFA" w:rsidP="00347F64">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F04CCD" w:rsidTr="00347F64">
        <w:tc>
          <w:tcPr>
            <w:tcW w:w="9212" w:type="dxa"/>
            <w:tcBorders>
              <w:bottom w:val="single" w:sz="4" w:space="0" w:color="auto"/>
            </w:tcBorders>
          </w:tcPr>
          <w:p w:rsidR="009F2DFA" w:rsidRPr="00F04CCD" w:rsidRDefault="00E75AD7" w:rsidP="00347F64">
            <w:pPr>
              <w:rPr>
                <w:b/>
                <w:i/>
              </w:rPr>
            </w:pPr>
            <w:r>
              <w:t xml:space="preserve">Návrh predpokladá </w:t>
            </w:r>
            <w:r w:rsidR="004B158E">
              <w:t xml:space="preserve">mierne </w:t>
            </w:r>
            <w:r>
              <w:t>pozitívne vplyvy na podnikateľské prostredie, ktoré by sa mali prejaviť jednak v znížení administratívnej záťaže používateľov zefektívnením inštitútu spoločnej správy práv (jeden sadzobník odmien s určeným finančným stropom), a jednak zavedením novej informačnej povinnosti organizácií kolektívnej správy pre prípad prípravy zmeny sadzobníka licenčných odmien (realizácia prostredníctvo webových sídiel) v spojení povinnosťou prerokovať takéto zmeny pred ich účinnosťou s používateľmi (podnikateľskými subjektmi).</w:t>
            </w:r>
          </w:p>
          <w:p w:rsidR="009F2DFA" w:rsidRPr="00F04CCD" w:rsidRDefault="009F2DFA" w:rsidP="00347F64">
            <w:pPr>
              <w:rPr>
                <w:b/>
                <w:i/>
              </w:rPr>
            </w:pPr>
          </w:p>
        </w:tc>
      </w:tr>
      <w:tr w:rsidR="009F2DFA" w:rsidRPr="00F04CCD" w:rsidTr="00347F64">
        <w:trPr>
          <w:trHeight w:val="2318"/>
        </w:trPr>
        <w:tc>
          <w:tcPr>
            <w:tcW w:w="9212" w:type="dxa"/>
            <w:tcBorders>
              <w:bottom w:val="single" w:sz="4" w:space="0" w:color="auto"/>
            </w:tcBorders>
          </w:tcPr>
          <w:p w:rsidR="009F2DFA" w:rsidRPr="00F04CCD" w:rsidRDefault="002B1108" w:rsidP="00347F64">
            <w:pPr>
              <w:rPr>
                <w:i/>
              </w:rPr>
            </w:pPr>
            <w:r>
              <w:rPr>
                <w:b/>
                <w:i/>
              </w:rPr>
              <w:t>3</w:t>
            </w:r>
            <w:r w:rsidR="009F2DFA" w:rsidRPr="00F04CCD">
              <w:rPr>
                <w:b/>
                <w:i/>
              </w:rPr>
              <w:t>.3.4 Súhrnná tabuľka nákladov regulácie</w:t>
            </w:r>
          </w:p>
          <w:p w:rsidR="009F2DFA" w:rsidRPr="00F04CCD" w:rsidRDefault="009F2DFA" w:rsidP="00347F64">
            <w:pPr>
              <w:rPr>
                <w:i/>
              </w:rPr>
            </w:pPr>
          </w:p>
          <w:tbl>
            <w:tblPr>
              <w:tblStyle w:val="Mriekatabuky"/>
              <w:tblW w:w="0" w:type="auto"/>
              <w:tblLook w:val="04A0" w:firstRow="1" w:lastRow="0" w:firstColumn="1" w:lastColumn="0" w:noHBand="0" w:noVBand="1"/>
            </w:tblPr>
            <w:tblGrid>
              <w:gridCol w:w="2993"/>
              <w:gridCol w:w="2994"/>
              <w:gridCol w:w="2994"/>
            </w:tblGrid>
            <w:tr w:rsidR="009F2DFA" w:rsidRPr="00F04CCD" w:rsidTr="00347F64">
              <w:tc>
                <w:tcPr>
                  <w:tcW w:w="2993" w:type="dxa"/>
                </w:tcPr>
                <w:p w:rsidR="009F2DFA" w:rsidRPr="00F04CCD" w:rsidRDefault="009F2DFA" w:rsidP="00347F64">
                  <w:pPr>
                    <w:rPr>
                      <w:i/>
                    </w:rPr>
                  </w:pPr>
                </w:p>
              </w:tc>
              <w:tc>
                <w:tcPr>
                  <w:tcW w:w="2994" w:type="dxa"/>
                </w:tcPr>
                <w:p w:rsidR="009F2DFA" w:rsidRPr="00F04CCD" w:rsidRDefault="009F2DFA" w:rsidP="00347F64">
                  <w:pPr>
                    <w:jc w:val="center"/>
                    <w:rPr>
                      <w:i/>
                    </w:rPr>
                  </w:pPr>
                  <w:r w:rsidRPr="00F04CCD">
                    <w:rPr>
                      <w:i/>
                    </w:rPr>
                    <w:t>Náklady na 1 podnikateľa</w:t>
                  </w:r>
                </w:p>
              </w:tc>
              <w:tc>
                <w:tcPr>
                  <w:tcW w:w="2994" w:type="dxa"/>
                </w:tcPr>
                <w:p w:rsidR="009F2DFA" w:rsidRPr="00F04CCD" w:rsidRDefault="009F2DFA" w:rsidP="00347F64">
                  <w:pPr>
                    <w:jc w:val="center"/>
                    <w:rPr>
                      <w:i/>
                    </w:rPr>
                  </w:pPr>
                  <w:r w:rsidRPr="00F04CCD">
                    <w:rPr>
                      <w:i/>
                    </w:rPr>
                    <w:t>Náklady na celé podnikateľské prostredie</w:t>
                  </w:r>
                </w:p>
              </w:tc>
            </w:tr>
            <w:tr w:rsidR="009F2DFA" w:rsidRPr="00F04CCD" w:rsidTr="00347F64">
              <w:tc>
                <w:tcPr>
                  <w:tcW w:w="2993" w:type="dxa"/>
                </w:tcPr>
                <w:p w:rsidR="009F2DFA" w:rsidRPr="00F04CCD" w:rsidRDefault="009F2DFA" w:rsidP="00347F64">
                  <w:pPr>
                    <w:rPr>
                      <w:i/>
                    </w:rPr>
                  </w:pPr>
                  <w:r w:rsidRPr="00F04CCD">
                    <w:rPr>
                      <w:i/>
                    </w:rPr>
                    <w:t>Priame finančné náklady</w:t>
                  </w:r>
                </w:p>
              </w:tc>
              <w:tc>
                <w:tcPr>
                  <w:tcW w:w="2994" w:type="dxa"/>
                </w:tcPr>
                <w:p w:rsidR="009F2DFA" w:rsidRPr="00F04CCD" w:rsidRDefault="009F2DFA" w:rsidP="00347F64">
                  <w:pPr>
                    <w:jc w:val="center"/>
                    <w:rPr>
                      <w:i/>
                    </w:rPr>
                  </w:pPr>
                  <w:r w:rsidRPr="00F04CCD">
                    <w:rPr>
                      <w:i/>
                    </w:rPr>
                    <w:t>0</w:t>
                  </w:r>
                </w:p>
              </w:tc>
              <w:tc>
                <w:tcPr>
                  <w:tcW w:w="2994" w:type="dxa"/>
                </w:tcPr>
                <w:p w:rsidR="009F2DFA" w:rsidRPr="00F04CCD" w:rsidRDefault="009F2DFA" w:rsidP="00347F64">
                  <w:pPr>
                    <w:jc w:val="center"/>
                    <w:rPr>
                      <w:i/>
                    </w:rPr>
                  </w:pPr>
                  <w:r w:rsidRPr="00F04CCD">
                    <w:rPr>
                      <w:i/>
                    </w:rPr>
                    <w:t>0</w:t>
                  </w:r>
                </w:p>
              </w:tc>
            </w:tr>
            <w:tr w:rsidR="009F2DFA" w:rsidRPr="00F04CCD" w:rsidTr="00347F64">
              <w:tc>
                <w:tcPr>
                  <w:tcW w:w="2993" w:type="dxa"/>
                </w:tcPr>
                <w:p w:rsidR="009F2DFA" w:rsidRPr="00F04CCD" w:rsidRDefault="009F2DFA" w:rsidP="00347F64">
                  <w:pPr>
                    <w:rPr>
                      <w:i/>
                    </w:rPr>
                  </w:pPr>
                  <w:r w:rsidRPr="00F04CCD">
                    <w:rPr>
                      <w:i/>
                    </w:rPr>
                    <w:t>Nepriame finančné náklady</w:t>
                  </w:r>
                </w:p>
              </w:tc>
              <w:tc>
                <w:tcPr>
                  <w:tcW w:w="2994" w:type="dxa"/>
                </w:tcPr>
                <w:p w:rsidR="009F2DFA" w:rsidRPr="00F04CCD" w:rsidRDefault="009F2DFA" w:rsidP="00347F64">
                  <w:pPr>
                    <w:jc w:val="center"/>
                    <w:rPr>
                      <w:i/>
                    </w:rPr>
                  </w:pPr>
                  <w:r w:rsidRPr="00F04CCD">
                    <w:rPr>
                      <w:i/>
                    </w:rPr>
                    <w:t>0</w:t>
                  </w:r>
                </w:p>
              </w:tc>
              <w:tc>
                <w:tcPr>
                  <w:tcW w:w="2994" w:type="dxa"/>
                </w:tcPr>
                <w:p w:rsidR="009F2DFA" w:rsidRPr="00F04CCD" w:rsidRDefault="009F2DFA" w:rsidP="00347F64">
                  <w:pPr>
                    <w:jc w:val="center"/>
                    <w:rPr>
                      <w:i/>
                    </w:rPr>
                  </w:pPr>
                  <w:r w:rsidRPr="00F04CCD">
                    <w:rPr>
                      <w:i/>
                    </w:rPr>
                    <w:t>0</w:t>
                  </w:r>
                </w:p>
              </w:tc>
            </w:tr>
            <w:tr w:rsidR="009F2DFA" w:rsidRPr="00F04CCD" w:rsidTr="00347F64">
              <w:tc>
                <w:tcPr>
                  <w:tcW w:w="2993" w:type="dxa"/>
                </w:tcPr>
                <w:p w:rsidR="009F2DFA" w:rsidRPr="00F04CCD" w:rsidRDefault="009F2DFA" w:rsidP="00347F64">
                  <w:pPr>
                    <w:rPr>
                      <w:i/>
                    </w:rPr>
                  </w:pPr>
                  <w:r w:rsidRPr="00F04CCD">
                    <w:rPr>
                      <w:i/>
                    </w:rPr>
                    <w:t>Administratívne náklady</w:t>
                  </w:r>
                </w:p>
              </w:tc>
              <w:tc>
                <w:tcPr>
                  <w:tcW w:w="2994" w:type="dxa"/>
                </w:tcPr>
                <w:p w:rsidR="009F2DFA" w:rsidRPr="00F04CCD" w:rsidRDefault="009F2DFA" w:rsidP="00347F64">
                  <w:pPr>
                    <w:jc w:val="center"/>
                    <w:rPr>
                      <w:i/>
                    </w:rPr>
                  </w:pPr>
                  <w:r w:rsidRPr="00F04CCD">
                    <w:rPr>
                      <w:i/>
                    </w:rPr>
                    <w:t>0</w:t>
                  </w:r>
                </w:p>
              </w:tc>
              <w:tc>
                <w:tcPr>
                  <w:tcW w:w="2994" w:type="dxa"/>
                </w:tcPr>
                <w:p w:rsidR="009F2DFA" w:rsidRPr="00F04CCD" w:rsidRDefault="009F2DFA" w:rsidP="00347F64">
                  <w:pPr>
                    <w:jc w:val="center"/>
                    <w:rPr>
                      <w:i/>
                    </w:rPr>
                  </w:pPr>
                  <w:r w:rsidRPr="00F04CCD">
                    <w:rPr>
                      <w:i/>
                    </w:rPr>
                    <w:t>0</w:t>
                  </w:r>
                </w:p>
              </w:tc>
            </w:tr>
            <w:tr w:rsidR="009F2DFA" w:rsidRPr="00F04CCD" w:rsidTr="00347F64">
              <w:tc>
                <w:tcPr>
                  <w:tcW w:w="2993" w:type="dxa"/>
                </w:tcPr>
                <w:p w:rsidR="009F2DFA" w:rsidRPr="00F04CCD" w:rsidRDefault="009F2DFA" w:rsidP="00347F64">
                  <w:pPr>
                    <w:rPr>
                      <w:b/>
                      <w:i/>
                    </w:rPr>
                  </w:pPr>
                  <w:r w:rsidRPr="00F04CCD">
                    <w:rPr>
                      <w:b/>
                      <w:i/>
                    </w:rPr>
                    <w:t>Celkové náklady regulácie</w:t>
                  </w:r>
                </w:p>
              </w:tc>
              <w:tc>
                <w:tcPr>
                  <w:tcW w:w="2994" w:type="dxa"/>
                </w:tcPr>
                <w:p w:rsidR="009F2DFA" w:rsidRPr="00F04CCD" w:rsidRDefault="009F2DFA" w:rsidP="00347F64">
                  <w:pPr>
                    <w:jc w:val="center"/>
                    <w:rPr>
                      <w:b/>
                      <w:i/>
                    </w:rPr>
                  </w:pPr>
                  <w:r w:rsidRPr="00F04CCD">
                    <w:rPr>
                      <w:b/>
                      <w:i/>
                    </w:rPr>
                    <w:t>0</w:t>
                  </w:r>
                </w:p>
              </w:tc>
              <w:tc>
                <w:tcPr>
                  <w:tcW w:w="2994" w:type="dxa"/>
                </w:tcPr>
                <w:p w:rsidR="009F2DFA" w:rsidRPr="00F04CCD" w:rsidRDefault="009F2DFA" w:rsidP="00347F64">
                  <w:pPr>
                    <w:jc w:val="center"/>
                    <w:rPr>
                      <w:b/>
                      <w:i/>
                    </w:rPr>
                  </w:pPr>
                  <w:r w:rsidRPr="00F04CCD">
                    <w:rPr>
                      <w:b/>
                      <w:i/>
                    </w:rPr>
                    <w:t>0</w:t>
                  </w:r>
                </w:p>
              </w:tc>
            </w:tr>
          </w:tbl>
          <w:p w:rsidR="009F2DFA" w:rsidRPr="00F04CCD" w:rsidRDefault="009F2DFA" w:rsidP="00347F64">
            <w:pPr>
              <w:rPr>
                <w:i/>
              </w:rPr>
            </w:pPr>
          </w:p>
        </w:tc>
      </w:tr>
      <w:tr w:rsidR="009F2DFA" w:rsidRPr="00F04CCD" w:rsidTr="00347F64">
        <w:tc>
          <w:tcPr>
            <w:tcW w:w="9212" w:type="dxa"/>
            <w:shd w:val="clear" w:color="auto" w:fill="D9D9D9" w:themeFill="background1" w:themeFillShade="D9"/>
          </w:tcPr>
          <w:p w:rsidR="009F2DFA" w:rsidRPr="00042C66" w:rsidRDefault="002B1108" w:rsidP="00347F64">
            <w:pPr>
              <w:rPr>
                <w:b/>
                <w:sz w:val="24"/>
              </w:rPr>
            </w:pPr>
            <w:r>
              <w:rPr>
                <w:b/>
                <w:sz w:val="24"/>
              </w:rPr>
              <w:t>3</w:t>
            </w:r>
            <w:r w:rsidR="009F2DFA" w:rsidRPr="00042C66">
              <w:rPr>
                <w:b/>
                <w:sz w:val="24"/>
              </w:rPr>
              <w:t>.4 Konkurencieschopnosť a správanie sa podnikov na trhu</w:t>
            </w:r>
          </w:p>
          <w:p w:rsidR="009F2DFA" w:rsidRPr="00F04CCD" w:rsidRDefault="009F2DFA" w:rsidP="00347F64">
            <w:r w:rsidRPr="00042C66">
              <w:rPr>
                <w:b/>
                <w:sz w:val="24"/>
              </w:rPr>
              <w:t xml:space="preserve">       </w:t>
            </w:r>
            <w:r w:rsidRPr="00042C66">
              <w:rPr>
                <w:sz w:val="24"/>
              </w:rPr>
              <w:t xml:space="preserve">- </w:t>
            </w:r>
            <w:r w:rsidRPr="00042C66">
              <w:rPr>
                <w:b/>
                <w:sz w:val="24"/>
              </w:rPr>
              <w:t>z toho MSP</w:t>
            </w:r>
          </w:p>
        </w:tc>
      </w:tr>
      <w:tr w:rsidR="009F2DFA" w:rsidRPr="00F04CCD" w:rsidTr="00347F64">
        <w:tc>
          <w:tcPr>
            <w:tcW w:w="9212" w:type="dxa"/>
            <w:tcBorders>
              <w:bottom w:val="single" w:sz="4" w:space="0" w:color="auto"/>
            </w:tcBorders>
          </w:tcPr>
          <w:p w:rsidR="009F2DFA" w:rsidRPr="00F04CCD" w:rsidRDefault="009F2DFA" w:rsidP="00347F64">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 xml:space="preserve">prísnejšiu reguláciu správania sa niektorých podnikov? Bude sa s niektorými podnikmi alebo produktmi zaobchádzať v porovnateľnej situácii rôzne (špeciálne režimy pre </w:t>
            </w:r>
            <w:proofErr w:type="spellStart"/>
            <w:r w:rsidRPr="00F04CCD">
              <w:rPr>
                <w:i/>
              </w:rPr>
              <w:t>mikro</w:t>
            </w:r>
            <w:proofErr w:type="spellEnd"/>
            <w:r w:rsidRPr="00F04CCD">
              <w:rPr>
                <w:i/>
              </w:rPr>
              <w:t>, malé a stredné podniky tzv. MSP)? Ak áno, popíšte.</w:t>
            </w:r>
          </w:p>
          <w:p w:rsidR="009F2DFA" w:rsidRPr="00F04CCD" w:rsidRDefault="009F2DFA" w:rsidP="00347F64">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RDefault="009F2DFA" w:rsidP="00347F64">
            <w:pPr>
              <w:rPr>
                <w:i/>
              </w:rPr>
            </w:pPr>
            <w:r w:rsidRPr="00F04CCD">
              <w:rPr>
                <w:i/>
              </w:rPr>
              <w:t>Ako ovplyvní cenu alebo dostupnosť základných zdrojov (suroviny, mechanizmy, pracovná sila, energie atď.)?</w:t>
            </w:r>
          </w:p>
          <w:p w:rsidR="009F2DFA" w:rsidRPr="00F04CCD" w:rsidRDefault="009F2DFA" w:rsidP="00347F64">
            <w:pPr>
              <w:rPr>
                <w:i/>
              </w:rPr>
            </w:pPr>
            <w:r w:rsidRPr="00F04CCD">
              <w:rPr>
                <w:i/>
              </w:rPr>
              <w:t>Ovplyvňuje prístup k financiám? Ak áno, ako?</w:t>
            </w:r>
          </w:p>
        </w:tc>
      </w:tr>
      <w:tr w:rsidR="009F2DFA" w:rsidRPr="00F04CCD" w:rsidTr="00347F64">
        <w:trPr>
          <w:trHeight w:val="1282"/>
        </w:trPr>
        <w:tc>
          <w:tcPr>
            <w:tcW w:w="9212" w:type="dxa"/>
            <w:tcBorders>
              <w:bottom w:val="single" w:sz="4" w:space="0" w:color="auto"/>
            </w:tcBorders>
          </w:tcPr>
          <w:p w:rsidR="009F2DFA" w:rsidRPr="00F04CCD" w:rsidRDefault="009F2DFA" w:rsidP="00347F64">
            <w:pPr>
              <w:rPr>
                <w:i/>
              </w:rPr>
            </w:pPr>
          </w:p>
        </w:tc>
      </w:tr>
      <w:tr w:rsidR="009F2DFA" w:rsidRPr="00F04CCD" w:rsidTr="00347F64">
        <w:tc>
          <w:tcPr>
            <w:tcW w:w="9212" w:type="dxa"/>
            <w:shd w:val="clear" w:color="auto" w:fill="D9D9D9" w:themeFill="background1" w:themeFillShade="D9"/>
          </w:tcPr>
          <w:p w:rsidR="009F2DFA" w:rsidRPr="00042C66" w:rsidRDefault="002B1108" w:rsidP="00347F64">
            <w:pPr>
              <w:rPr>
                <w:b/>
                <w:sz w:val="24"/>
              </w:rPr>
            </w:pPr>
            <w:r>
              <w:rPr>
                <w:b/>
                <w:sz w:val="24"/>
              </w:rPr>
              <w:t>3</w:t>
            </w:r>
            <w:r w:rsidR="009F2DFA" w:rsidRPr="00042C66">
              <w:rPr>
                <w:b/>
                <w:sz w:val="24"/>
              </w:rPr>
              <w:t xml:space="preserve">.5 Inovácie </w:t>
            </w:r>
          </w:p>
          <w:p w:rsidR="009F2DFA" w:rsidRPr="00F04CCD" w:rsidRDefault="009F2DFA" w:rsidP="00347F64">
            <w:pPr>
              <w:rPr>
                <w:b/>
              </w:rPr>
            </w:pPr>
            <w:r w:rsidRPr="00042C66">
              <w:rPr>
                <w:sz w:val="24"/>
              </w:rPr>
              <w:t xml:space="preserve">       - </w:t>
            </w:r>
            <w:r w:rsidRPr="00042C66">
              <w:rPr>
                <w:b/>
                <w:sz w:val="24"/>
              </w:rPr>
              <w:t>z toho MSP</w:t>
            </w:r>
          </w:p>
        </w:tc>
      </w:tr>
      <w:tr w:rsidR="009F2DFA" w:rsidRPr="00F04CCD" w:rsidTr="00347F64">
        <w:tc>
          <w:tcPr>
            <w:tcW w:w="9212" w:type="dxa"/>
          </w:tcPr>
          <w:p w:rsidR="009F2DFA" w:rsidRPr="00F04CCD" w:rsidRDefault="009F2DFA" w:rsidP="00347F64">
            <w:pPr>
              <w:rPr>
                <w:i/>
              </w:rPr>
            </w:pPr>
            <w:r w:rsidRPr="00F04CCD">
              <w:rPr>
                <w:i/>
              </w:rPr>
              <w:t>Uveďte, ako podporuje navrhovaná zmena inovácie.</w:t>
            </w:r>
          </w:p>
          <w:p w:rsidR="009F2DFA" w:rsidRPr="00F04CCD" w:rsidRDefault="009F2DFA" w:rsidP="00347F64">
            <w:pPr>
              <w:rPr>
                <w:i/>
              </w:rPr>
            </w:pPr>
            <w:r w:rsidRPr="00F04CCD">
              <w:rPr>
                <w:i/>
              </w:rPr>
              <w:t>Zjednodušuje uvedenie alebo rozšírenie nových výrobných metód, technológií a výrobkov na trh?</w:t>
            </w:r>
          </w:p>
          <w:p w:rsidR="009F2DFA" w:rsidRPr="00F04CCD" w:rsidRDefault="009F2DFA" w:rsidP="00347F64">
            <w:pPr>
              <w:rPr>
                <w:i/>
              </w:rPr>
            </w:pPr>
            <w:r w:rsidRPr="00F04CCD">
              <w:rPr>
                <w:i/>
              </w:rPr>
              <w:t xml:space="preserve">Uveďte, ako vplýva navrhovaná zmena na </w:t>
            </w:r>
            <w:r w:rsidR="00904C9B">
              <w:rPr>
                <w:i/>
              </w:rPr>
              <w:t xml:space="preserve">jednotlivé </w:t>
            </w:r>
            <w:r w:rsidRPr="00F04CCD">
              <w:rPr>
                <w:i/>
              </w:rPr>
              <w:t>práva duševného vlastníctva (</w:t>
            </w:r>
            <w:r w:rsidR="00904C9B">
              <w:rPr>
                <w:i/>
              </w:rPr>
              <w:t xml:space="preserve">napr. </w:t>
            </w:r>
            <w:r w:rsidRPr="00F04CCD">
              <w:rPr>
                <w:i/>
              </w:rPr>
              <w:t xml:space="preserve">patenty, ochranné známky, </w:t>
            </w:r>
            <w:r w:rsidR="00904C9B">
              <w:rPr>
                <w:i/>
              </w:rPr>
              <w:t>autorské práva</w:t>
            </w:r>
            <w:r w:rsidRPr="00F04CCD">
              <w:rPr>
                <w:i/>
              </w:rPr>
              <w:t xml:space="preserve">, vlastníctvo </w:t>
            </w:r>
            <w:proofErr w:type="spellStart"/>
            <w:r w:rsidRPr="00F04CCD">
              <w:rPr>
                <w:i/>
              </w:rPr>
              <w:t>know-how</w:t>
            </w:r>
            <w:proofErr w:type="spellEnd"/>
            <w:r w:rsidRPr="00F04CCD">
              <w:rPr>
                <w:i/>
              </w:rPr>
              <w:t>).</w:t>
            </w:r>
          </w:p>
          <w:p w:rsidR="009F2DFA" w:rsidRDefault="009F2DFA" w:rsidP="00347F64">
            <w:pPr>
              <w:rPr>
                <w:i/>
              </w:rPr>
            </w:pPr>
            <w:r w:rsidRPr="00F04CCD">
              <w:rPr>
                <w:i/>
              </w:rPr>
              <w:t>Podporuje vyššiu efektivitu výroby/využívania zdrojov? Ak áno, ako?</w:t>
            </w:r>
          </w:p>
          <w:p w:rsidR="00837639" w:rsidRPr="00F04CCD" w:rsidRDefault="00837639" w:rsidP="00347F64">
            <w:r w:rsidRPr="00154881">
              <w:rPr>
                <w:i/>
              </w:rPr>
              <w:lastRenderedPageBreak/>
              <w:t>Vytvorí zmena nové pracovné miesta pre zamestnancov výskumu a vývoja v</w:t>
            </w:r>
            <w:r>
              <w:rPr>
                <w:i/>
              </w:rPr>
              <w:t> </w:t>
            </w:r>
            <w:r w:rsidRPr="00154881">
              <w:rPr>
                <w:i/>
              </w:rPr>
              <w:t>SR</w:t>
            </w:r>
            <w:r>
              <w:rPr>
                <w:i/>
              </w:rPr>
              <w:t>?</w:t>
            </w:r>
          </w:p>
        </w:tc>
      </w:tr>
      <w:tr w:rsidR="009F2DFA" w:rsidRPr="00F04CCD" w:rsidTr="00347F64">
        <w:trPr>
          <w:trHeight w:val="1747"/>
        </w:trPr>
        <w:tc>
          <w:tcPr>
            <w:tcW w:w="9212" w:type="dxa"/>
          </w:tcPr>
          <w:p w:rsidR="009F2DFA" w:rsidRPr="00F04CCD" w:rsidRDefault="009F2DFA" w:rsidP="00347F64">
            <w:pPr>
              <w:rPr>
                <w:i/>
              </w:rPr>
            </w:pPr>
          </w:p>
        </w:tc>
      </w:tr>
    </w:tbl>
    <w:p w:rsidR="009F2DFA" w:rsidRPr="00F04CCD" w:rsidRDefault="009F2DFA" w:rsidP="009F2DFA"/>
    <w:p w:rsidR="009F2DFA" w:rsidRDefault="009F2DFA" w:rsidP="009F2DFA"/>
    <w:p w:rsidR="009F2DFA" w:rsidRDefault="009F2DFA" w:rsidP="009F2DFA"/>
    <w:p w:rsidR="009F2DFA" w:rsidRDefault="009F2DFA" w:rsidP="009F2DFA"/>
    <w:p w:rsidR="009F2DFA" w:rsidRDefault="009F2DFA" w:rsidP="009F2DFA"/>
    <w:p w:rsidR="009F2DFA" w:rsidRDefault="009F2DFA" w:rsidP="009F2DFA"/>
    <w:p w:rsidR="009F2DFA" w:rsidRDefault="009F2DFA" w:rsidP="009F2DFA"/>
    <w:p w:rsidR="009F2DFA" w:rsidRDefault="009F2DFA" w:rsidP="009F2DFA"/>
    <w:p w:rsidR="009F2DFA" w:rsidRDefault="009F2DFA" w:rsidP="009F2DFA">
      <w:pPr>
        <w:rPr>
          <w:b/>
          <w:sz w:val="24"/>
        </w:rPr>
      </w:pPr>
      <w:bookmarkStart w:id="0" w:name="_GoBack"/>
      <w:bookmarkEnd w:id="0"/>
      <w:r>
        <w:rPr>
          <w:b/>
          <w:sz w:val="24"/>
        </w:rPr>
        <w:br w:type="page"/>
      </w:r>
    </w:p>
    <w:p w:rsidR="009F2DFA" w:rsidRPr="00074919" w:rsidRDefault="009F2DFA" w:rsidP="009F2DFA">
      <w:pPr>
        <w:spacing w:before="240"/>
        <w:jc w:val="center"/>
        <w:rPr>
          <w:b/>
          <w:sz w:val="28"/>
          <w:szCs w:val="24"/>
        </w:rPr>
      </w:pPr>
      <w:r w:rsidRPr="00074919">
        <w:rPr>
          <w:b/>
          <w:sz w:val="28"/>
          <w:szCs w:val="24"/>
        </w:rPr>
        <w:lastRenderedPageBreak/>
        <w:t>Metodický postup pre analýzu vplyvov na podnikateľské prostredie</w:t>
      </w:r>
    </w:p>
    <w:p w:rsidR="009F2DFA" w:rsidRPr="00042C66" w:rsidRDefault="009F2DFA" w:rsidP="009F2DFA">
      <w:pPr>
        <w:spacing w:before="240"/>
        <w:jc w:val="both"/>
        <w:rPr>
          <w:sz w:val="24"/>
          <w:szCs w:val="24"/>
        </w:rPr>
      </w:pPr>
      <w:r w:rsidRPr="00042C66">
        <w:rPr>
          <w:sz w:val="24"/>
          <w:szCs w:val="24"/>
        </w:rPr>
        <w:t>V členských štátoch EÚ sa neprestajne zvyšuje povedomie o nákladoch spojených s</w:t>
      </w:r>
      <w:r>
        <w:rPr>
          <w:sz w:val="24"/>
          <w:szCs w:val="24"/>
        </w:rPr>
        <w:t> </w:t>
      </w:r>
      <w:r w:rsidRPr="00042C66">
        <w:rPr>
          <w:sz w:val="24"/>
          <w:szCs w:val="24"/>
        </w:rPr>
        <w:t xml:space="preserve">regulačnou záťažou a o potrebe maximálne zjednodušiť požiadavky vyplývajúce z regulácie, pričom je potrebné rešpektovať jej ciele. Zásah štátu predstavuje pre podnikateľov zvyčajne istú sumu </w:t>
      </w:r>
      <w:r>
        <w:rPr>
          <w:sz w:val="24"/>
          <w:szCs w:val="24"/>
        </w:rPr>
        <w:t>nákladov, ktorú musia vynaložiť</w:t>
      </w:r>
      <w:r w:rsidRPr="00042C66">
        <w:rPr>
          <w:sz w:val="24"/>
          <w:szCs w:val="24"/>
        </w:rPr>
        <w:t xml:space="preserve"> v snahe naplniť požiadavky implementovaných regulácií, pričom časť z nich predstavujú aj administratívne náklady.</w:t>
      </w:r>
    </w:p>
    <w:p w:rsidR="009F2DFA" w:rsidRPr="00042C66" w:rsidRDefault="009F2DFA" w:rsidP="009F2DFA">
      <w:pPr>
        <w:jc w:val="both"/>
        <w:rPr>
          <w:sz w:val="24"/>
          <w:szCs w:val="24"/>
        </w:rPr>
      </w:pPr>
      <w:r w:rsidRPr="00042C66">
        <w:rPr>
          <w:sz w:val="24"/>
          <w:szCs w:val="24"/>
        </w:rPr>
        <w:t xml:space="preserve">V prvom kroku je potrebné určiť, na ktorú z veľkostných kategórií podnikov bude mať navrhovaný materiál vplyv. V prípade, ak nie je možné určiť, či materiál bude mať vplyv iba na jednu z veľkostných kategórií , treba označiť vplyvy na všetky kategórie. Tento údaj je potrebný pre vypracovanie a vyhodnotenie testu MSP vrátane SZČO. Test MSP tvorí súčasť analýzy vplyvov na podnikateľské prostredie. </w:t>
      </w:r>
    </w:p>
    <w:p w:rsidR="009F2DFA" w:rsidRPr="00042C66" w:rsidRDefault="009F2DFA" w:rsidP="009F2DFA">
      <w:pPr>
        <w:jc w:val="both"/>
        <w:rPr>
          <w:sz w:val="24"/>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.1 Dotknuté podnikateľské subjekty</w:t>
      </w:r>
    </w:p>
    <w:p w:rsidR="009F2DFA" w:rsidRPr="00042C66" w:rsidRDefault="009F2DFA" w:rsidP="009F2DFA">
      <w:pPr>
        <w:jc w:val="both"/>
        <w:rPr>
          <w:sz w:val="24"/>
          <w:szCs w:val="24"/>
        </w:rPr>
      </w:pPr>
      <w:r w:rsidRPr="00042C66">
        <w:rPr>
          <w:sz w:val="24"/>
          <w:szCs w:val="24"/>
        </w:rPr>
        <w:t xml:space="preserve">Pri posudzovaní vplyvov na podnikateľské prostredie je dôležité identifikovať, či sa daný návrh dotýka: </w:t>
      </w:r>
    </w:p>
    <w:p w:rsidR="009F2DFA" w:rsidRPr="00042C66" w:rsidRDefault="009F2DFA" w:rsidP="009F2DFA">
      <w:pPr>
        <w:numPr>
          <w:ilvl w:val="0"/>
          <w:numId w:val="1"/>
        </w:numPr>
        <w:spacing w:after="200" w:line="276" w:lineRule="auto"/>
        <w:ind w:left="714" w:hanging="357"/>
        <w:jc w:val="both"/>
        <w:rPr>
          <w:sz w:val="24"/>
          <w:szCs w:val="24"/>
        </w:rPr>
      </w:pPr>
      <w:r w:rsidRPr="00042C66">
        <w:rPr>
          <w:sz w:val="24"/>
          <w:szCs w:val="24"/>
        </w:rPr>
        <w:t>podnikateľského prostredia vo všeobecnosti</w:t>
      </w:r>
    </w:p>
    <w:p w:rsidR="009F2DFA" w:rsidRPr="00042C66" w:rsidRDefault="009F2DFA" w:rsidP="009F2DFA">
      <w:pPr>
        <w:numPr>
          <w:ilvl w:val="0"/>
          <w:numId w:val="1"/>
        </w:numPr>
        <w:spacing w:after="200" w:line="276" w:lineRule="auto"/>
        <w:ind w:left="714" w:hanging="357"/>
        <w:jc w:val="both"/>
        <w:rPr>
          <w:sz w:val="24"/>
          <w:szCs w:val="24"/>
        </w:rPr>
      </w:pPr>
      <w:r w:rsidRPr="00042C66">
        <w:rPr>
          <w:sz w:val="24"/>
          <w:szCs w:val="24"/>
        </w:rPr>
        <w:t>niektorých právnych foriem podnikania (samostatne zárobkovo činná osoba, slobodné povolanie, samostatne hospodáriaci roľník, spoločnosť s ručením obmedzeným, akciová spoločnosť, družstvo, verejná obchodná spoločnosť a iné)</w:t>
      </w:r>
    </w:p>
    <w:p w:rsidR="009F2DFA" w:rsidRPr="00042C66" w:rsidRDefault="009F2DFA" w:rsidP="009F2DFA">
      <w:pPr>
        <w:numPr>
          <w:ilvl w:val="0"/>
          <w:numId w:val="1"/>
        </w:numPr>
        <w:spacing w:after="200" w:line="276" w:lineRule="auto"/>
        <w:ind w:left="714" w:hanging="357"/>
        <w:jc w:val="both"/>
        <w:rPr>
          <w:sz w:val="24"/>
          <w:szCs w:val="24"/>
        </w:rPr>
      </w:pPr>
      <w:r w:rsidRPr="00042C66">
        <w:rPr>
          <w:sz w:val="24"/>
          <w:szCs w:val="24"/>
        </w:rPr>
        <w:t xml:space="preserve">niektorých odvetví hospodárstva (napr. podľa </w:t>
      </w:r>
      <w:hyperlink r:id="rId8" w:history="1">
        <w:r w:rsidRPr="00042C66">
          <w:rPr>
            <w:sz w:val="24"/>
            <w:szCs w:val="24"/>
          </w:rPr>
          <w:t>SK NACE - klasifikácia ekonomických činností</w:t>
        </w:r>
      </w:hyperlink>
      <w:r w:rsidRPr="00042C66">
        <w:rPr>
          <w:sz w:val="24"/>
          <w:szCs w:val="24"/>
        </w:rPr>
        <w:t xml:space="preserve"> dostupnej na stránke Štatistického úradu SR).</w:t>
      </w:r>
    </w:p>
    <w:p w:rsidR="009F2DFA" w:rsidRPr="00042C66" w:rsidRDefault="009F2DFA" w:rsidP="009F2DFA">
      <w:pPr>
        <w:jc w:val="both"/>
        <w:rPr>
          <w:sz w:val="24"/>
          <w:szCs w:val="24"/>
        </w:rPr>
      </w:pPr>
      <w:r w:rsidRPr="00042C66">
        <w:rPr>
          <w:sz w:val="24"/>
          <w:szCs w:val="24"/>
        </w:rPr>
        <w:t xml:space="preserve">Na základe identifikovania dotknutých subjektov je nutné kvantifikovať približný počet dotknutých podnikateľov s využitím dostupných štatistík a evidencií. V prípade špecifickej povinnosti je možné určiť predpokladaný počet dotknutých podnikateľov na základe priemerného počtu podnikateľov za posledné obdobie plniacich podobnú povinnosť. V prípade vzniku úplne novej povinnosti možno určiť očakávané množstvo plnení. </w:t>
      </w:r>
    </w:p>
    <w:p w:rsidR="009F2DFA" w:rsidRDefault="009F2DFA" w:rsidP="009F2DFA">
      <w:pPr>
        <w:jc w:val="both"/>
        <w:rPr>
          <w:b/>
          <w:sz w:val="24"/>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.2 Vyhodnotenie konzultácií</w:t>
      </w:r>
    </w:p>
    <w:p w:rsidR="009F2DFA" w:rsidRPr="00042C66" w:rsidRDefault="009F2DFA" w:rsidP="009F2DFA">
      <w:pPr>
        <w:jc w:val="both"/>
        <w:rPr>
          <w:sz w:val="24"/>
          <w:szCs w:val="24"/>
        </w:rPr>
      </w:pPr>
      <w:r w:rsidRPr="00042C66">
        <w:rPr>
          <w:sz w:val="24"/>
          <w:szCs w:val="24"/>
        </w:rPr>
        <w:t>Efektívne konzultácie s dotknutými subjektmi zvyšujú transparentnosť prípravy materiálu a tým zvyšujú jeho legitimitu. Pre tento účel je v tejto časti nutné uviesť formu konzultácie, ktorú predkladateľ zvolil spolu s odôvodnením tohto výberu, a</w:t>
      </w:r>
      <w:r>
        <w:rPr>
          <w:sz w:val="24"/>
          <w:szCs w:val="24"/>
        </w:rPr>
        <w:t> </w:t>
      </w:r>
      <w:r w:rsidRPr="00042C66">
        <w:rPr>
          <w:sz w:val="24"/>
          <w:szCs w:val="24"/>
        </w:rPr>
        <w:t>subjekty</w:t>
      </w:r>
      <w:r>
        <w:rPr>
          <w:sz w:val="24"/>
          <w:szCs w:val="24"/>
        </w:rPr>
        <w:t>,</w:t>
      </w:r>
      <w:r w:rsidRPr="00042C66">
        <w:rPr>
          <w:sz w:val="24"/>
          <w:szCs w:val="24"/>
        </w:rPr>
        <w:t xml:space="preserve"> ktoré boli do konzultácie zapojené. V prípade veľkého počtu zúčastnených ich možno iba typovo popísať.</w:t>
      </w:r>
    </w:p>
    <w:p w:rsidR="009F2DFA" w:rsidRPr="00042C66" w:rsidRDefault="009F2DFA" w:rsidP="009F2DFA">
      <w:pPr>
        <w:jc w:val="both"/>
        <w:rPr>
          <w:sz w:val="24"/>
          <w:szCs w:val="24"/>
        </w:rPr>
      </w:pPr>
      <w:r w:rsidRPr="00042C66">
        <w:rPr>
          <w:sz w:val="24"/>
          <w:szCs w:val="24"/>
        </w:rPr>
        <w:t xml:space="preserve">Predkladateľ uvedie dĺžku konzultácií v prípade elektronickej konzultácie. V prípade konzultácií osobnou formou (seminár, verejné prerokovania a pod.) uvedie, koľko dní vopred bolo oznámené uskutočnenie konzultácie. Predkladateľ uvedie </w:t>
      </w:r>
      <w:proofErr w:type="spellStart"/>
      <w:r w:rsidRPr="00042C66">
        <w:rPr>
          <w:sz w:val="24"/>
          <w:szCs w:val="24"/>
        </w:rPr>
        <w:t>link</w:t>
      </w:r>
      <w:proofErr w:type="spellEnd"/>
      <w:r w:rsidRPr="00042C66">
        <w:rPr>
          <w:sz w:val="24"/>
          <w:szCs w:val="24"/>
        </w:rPr>
        <w:t xml:space="preserve"> na webovú stránku, na ktorej boli konzultácie zverejnené.</w:t>
      </w:r>
    </w:p>
    <w:p w:rsidR="009F2DFA" w:rsidRPr="00042C66" w:rsidRDefault="009F2DFA" w:rsidP="009F2DFA">
      <w:pPr>
        <w:jc w:val="both"/>
        <w:rPr>
          <w:sz w:val="24"/>
          <w:szCs w:val="24"/>
        </w:rPr>
      </w:pPr>
      <w:r w:rsidRPr="00042C66">
        <w:rPr>
          <w:sz w:val="24"/>
          <w:szCs w:val="24"/>
        </w:rPr>
        <w:t>Predkladateľ tiež uvedie formulované otázky alebo témy diskusie, ktoré boli predmetom konzultácie a odpovede, prípadne stanoviská zúčastnených strán. Odpovede a názory konzultujúcich je možné uviesť aj v skrátenej forme zo zachovaním hlavnej myšlienky. Podrobnosť tejto časti je potrebné zvoliť s ohľadom na rozsah navrhovaných zmien podľa princípu proporcionality.</w:t>
      </w:r>
    </w:p>
    <w:p w:rsidR="009F2DFA" w:rsidRPr="00042C66" w:rsidRDefault="009F2DFA" w:rsidP="009F2DFA">
      <w:pPr>
        <w:jc w:val="both"/>
        <w:rPr>
          <w:sz w:val="24"/>
          <w:szCs w:val="24"/>
        </w:rPr>
      </w:pPr>
      <w:r w:rsidRPr="00042C66">
        <w:rPr>
          <w:sz w:val="24"/>
          <w:szCs w:val="24"/>
        </w:rPr>
        <w:t>Predkladateľ zhodnotí, či boli splnené ciele, ktoré si stanovil pri príprave konzultácií spolu s odôvodnením, resp. či získal potrebné informácie. Tiež uvedie, ako boli odpovede zúčastnených strán využité pri príprave navrhovaného materiálu. Táto časť slúži ako spätná väzba pre zúčastnených, od ktorej závisí aj ich ochota participovať na ďalších konzultáciách.</w:t>
      </w:r>
    </w:p>
    <w:p w:rsidR="009F2DFA" w:rsidRPr="00042C66" w:rsidRDefault="009F2DFA" w:rsidP="009F2DFA">
      <w:pPr>
        <w:jc w:val="both"/>
        <w:rPr>
          <w:sz w:val="24"/>
          <w:szCs w:val="24"/>
        </w:rPr>
      </w:pPr>
      <w:r w:rsidRPr="00042C66">
        <w:rPr>
          <w:sz w:val="24"/>
          <w:szCs w:val="24"/>
        </w:rPr>
        <w:lastRenderedPageBreak/>
        <w:t>Pre uskutočnenie konzultácií je vhodné využiť odporúčania ku konzultáciám v časti III. Jednotnej metodiky.</w:t>
      </w:r>
    </w:p>
    <w:p w:rsidR="009F2DFA" w:rsidRDefault="009F2DFA" w:rsidP="009F2DFA">
      <w:pPr>
        <w:jc w:val="both"/>
        <w:rPr>
          <w:b/>
          <w:sz w:val="28"/>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.3 Náklady regulácie</w:t>
      </w:r>
    </w:p>
    <w:p w:rsidR="009F2DFA" w:rsidRPr="00042C66" w:rsidRDefault="009F2DFA" w:rsidP="009F2DFA">
      <w:pPr>
        <w:pStyle w:val="BodyText1"/>
        <w:spacing w:line="276" w:lineRule="auto"/>
        <w:jc w:val="both"/>
        <w:rPr>
          <w:rFonts w:ascii="Times New Roman" w:eastAsiaTheme="minorHAnsi" w:hAnsi="Times New Roman"/>
          <w:color w:val="auto"/>
          <w:sz w:val="24"/>
          <w:szCs w:val="24"/>
        </w:rPr>
      </w:pPr>
      <w:r w:rsidRPr="00042C66">
        <w:rPr>
          <w:rFonts w:ascii="Times New Roman" w:eastAsiaTheme="minorHAnsi" w:hAnsi="Times New Roman"/>
          <w:color w:val="auto"/>
          <w:sz w:val="24"/>
          <w:szCs w:val="24"/>
        </w:rPr>
        <w:t xml:space="preserve">S implementáciou novej regulácie ovplyvňujúcej podnikateľské prostredie sú spojené povinnosti, ktoré musia podnikatelia plniť za účelom zabezpečenia súladu s danou reguláciou. Významnú časť z týchto povinností tvoria tzv. </w:t>
      </w:r>
      <w:r w:rsidRPr="00042C66">
        <w:rPr>
          <w:rFonts w:ascii="Times New Roman" w:eastAsiaTheme="minorHAnsi" w:hAnsi="Times New Roman"/>
          <w:b/>
          <w:color w:val="auto"/>
          <w:sz w:val="24"/>
          <w:szCs w:val="24"/>
        </w:rPr>
        <w:t>informačné povinnosti (IP)</w:t>
      </w:r>
      <w:r w:rsidRPr="00042C66">
        <w:rPr>
          <w:rFonts w:ascii="Times New Roman" w:eastAsiaTheme="minorHAnsi" w:hAnsi="Times New Roman"/>
          <w:color w:val="auto"/>
          <w:sz w:val="24"/>
          <w:szCs w:val="24"/>
        </w:rPr>
        <w:t xml:space="preserve"> spojené s  výkonom určitých administratívnych úkonov zo strany podnikateľa na zabezpečenie súladu s reguláciou.  Príkladom IP je</w:t>
      </w:r>
      <w:r>
        <w:rPr>
          <w:rFonts w:ascii="Times New Roman" w:eastAsiaTheme="minorHAnsi" w:hAnsi="Times New Roman"/>
          <w:color w:val="auto"/>
          <w:sz w:val="24"/>
          <w:szCs w:val="24"/>
        </w:rPr>
        <w:t xml:space="preserve"> povinnosť poskytovať informácie</w:t>
      </w:r>
      <w:r w:rsidRPr="00042C66">
        <w:rPr>
          <w:rFonts w:ascii="Times New Roman" w:eastAsiaTheme="minorHAnsi" w:hAnsi="Times New Roman"/>
          <w:color w:val="auto"/>
          <w:sz w:val="24"/>
          <w:szCs w:val="24"/>
        </w:rPr>
        <w:t xml:space="preserve"> a dáta verejnému sektoru a</w:t>
      </w:r>
      <w:r>
        <w:rPr>
          <w:rFonts w:ascii="Times New Roman" w:eastAsiaTheme="minorHAnsi" w:hAnsi="Times New Roman"/>
          <w:color w:val="auto"/>
          <w:sz w:val="24"/>
          <w:szCs w:val="24"/>
        </w:rPr>
        <w:t> </w:t>
      </w:r>
      <w:r w:rsidRPr="00042C66">
        <w:rPr>
          <w:rFonts w:ascii="Times New Roman" w:eastAsiaTheme="minorHAnsi" w:hAnsi="Times New Roman"/>
          <w:color w:val="auto"/>
          <w:sz w:val="24"/>
          <w:szCs w:val="24"/>
        </w:rPr>
        <w:t>tretím stranám, povinnosť mať informácie zverejnené či poskytnúť alebo sprístupniť ich na požiadanie, predkladať dokumenty a hlásenia, viesť dokumentáciu, evidovať a archivovať, podať žiadosť, vypracovať správu a pod.</w:t>
      </w:r>
    </w:p>
    <w:p w:rsidR="009F2DFA" w:rsidRPr="00042C66" w:rsidRDefault="009F2DFA" w:rsidP="009F2DFA">
      <w:pPr>
        <w:pStyle w:val="BodyText1"/>
        <w:jc w:val="both"/>
        <w:rPr>
          <w:rFonts w:ascii="Times New Roman" w:eastAsiaTheme="minorHAnsi" w:hAnsi="Times New Roman"/>
          <w:color w:val="auto"/>
          <w:sz w:val="24"/>
          <w:szCs w:val="24"/>
        </w:rPr>
      </w:pPr>
      <w:r w:rsidRPr="00042C66">
        <w:rPr>
          <w:rFonts w:ascii="Times New Roman" w:eastAsiaTheme="minorHAnsi" w:hAnsi="Times New Roman"/>
          <w:color w:val="auto"/>
          <w:sz w:val="24"/>
          <w:szCs w:val="24"/>
        </w:rPr>
        <w:t xml:space="preserve">Okrem vyššie uvedených informačných povinností vyplývajú podnikateľom z regulácie aj ďalšie, tzv. </w:t>
      </w:r>
      <w:r w:rsidRPr="00042C66">
        <w:rPr>
          <w:rFonts w:ascii="Times New Roman" w:eastAsiaTheme="minorHAnsi" w:hAnsi="Times New Roman"/>
          <w:b/>
          <w:color w:val="auto"/>
          <w:sz w:val="24"/>
          <w:szCs w:val="24"/>
        </w:rPr>
        <w:t>regulačné povinnosti</w:t>
      </w:r>
      <w:r w:rsidRPr="00042C66">
        <w:rPr>
          <w:rFonts w:ascii="Times New Roman" w:eastAsiaTheme="minorHAnsi" w:hAnsi="Times New Roman"/>
          <w:color w:val="auto"/>
          <w:sz w:val="24"/>
          <w:szCs w:val="24"/>
        </w:rPr>
        <w:t xml:space="preserve">, vyvolávajúce na strane podnikateľov priame alebo nepriame finančné náklady. Príkladom je povinnosť absolvovať školenie; používať a teda zakúpiť elektronickú registračnú pokladňu, ochranné odevy, uhradiť registračný poplatok, poistné, daň a iné. </w:t>
      </w:r>
    </w:p>
    <w:p w:rsidR="009F2DFA" w:rsidRPr="00042C66" w:rsidRDefault="009F2DFA" w:rsidP="009F2DFA">
      <w:pPr>
        <w:jc w:val="both"/>
        <w:rPr>
          <w:sz w:val="24"/>
          <w:szCs w:val="24"/>
        </w:rPr>
      </w:pPr>
      <w:r w:rsidRPr="00042C66">
        <w:rPr>
          <w:sz w:val="24"/>
          <w:szCs w:val="24"/>
        </w:rPr>
        <w:t xml:space="preserve">S ohľadom na charakter povinností vyplývajúcich z regulácie členíme náklady spojené s ich plnením do 3 kategórií: </w:t>
      </w:r>
    </w:p>
    <w:p w:rsidR="009F2DFA" w:rsidRPr="00042C66" w:rsidRDefault="009F2DFA" w:rsidP="009F2DFA">
      <w:pPr>
        <w:pStyle w:val="Odsekzoznamu"/>
        <w:numPr>
          <w:ilvl w:val="0"/>
          <w:numId w:val="2"/>
        </w:numPr>
        <w:spacing w:after="120"/>
        <w:ind w:left="714" w:hanging="357"/>
        <w:contextualSpacing w:val="0"/>
        <w:jc w:val="both"/>
        <w:rPr>
          <w:rFonts w:ascii="Times New Roman" w:hAnsi="Times New Roman" w:cs="Times New Roman"/>
          <w:sz w:val="24"/>
          <w:szCs w:val="24"/>
        </w:rPr>
      </w:pPr>
      <w:r w:rsidRPr="00042C66">
        <w:rPr>
          <w:rFonts w:ascii="Times New Roman" w:hAnsi="Times New Roman" w:cs="Times New Roman"/>
          <w:i/>
          <w:sz w:val="24"/>
          <w:szCs w:val="24"/>
        </w:rPr>
        <w:t>Administratívne náklady</w:t>
      </w:r>
      <w:r w:rsidRPr="00042C66">
        <w:rPr>
          <w:rFonts w:ascii="Times New Roman" w:hAnsi="Times New Roman" w:cs="Times New Roman"/>
          <w:sz w:val="24"/>
          <w:szCs w:val="24"/>
        </w:rPr>
        <w:t xml:space="preserve"> – náklady spojené s administratívnymi úkonmi pri plnení informačnej povinnosti, ktoré musí podnikateľ vykonať na zabezpečenie súladu s</w:t>
      </w:r>
      <w:r>
        <w:rPr>
          <w:rFonts w:ascii="Times New Roman" w:hAnsi="Times New Roman" w:cs="Times New Roman"/>
          <w:sz w:val="24"/>
          <w:szCs w:val="24"/>
        </w:rPr>
        <w:t> </w:t>
      </w:r>
      <w:r w:rsidRPr="00042C66">
        <w:rPr>
          <w:rFonts w:ascii="Times New Roman" w:hAnsi="Times New Roman" w:cs="Times New Roman"/>
          <w:sz w:val="24"/>
          <w:szCs w:val="24"/>
        </w:rPr>
        <w:t>reguláciou. Ide o nákladové vyjadrenie času, ktorý strávi podnikateľ realizáciou konkrétnych činností vyžadovaných reguláciou  (napr. vypracovanie dokumentu, vedenie evidencie a archivácia, oznamovanie skutočností, predloženie dokladov, spracovanie žiadosti a iné).</w:t>
      </w:r>
    </w:p>
    <w:p w:rsidR="009F2DFA" w:rsidRPr="00042C66" w:rsidRDefault="009F2DFA" w:rsidP="009F2DFA">
      <w:pPr>
        <w:pStyle w:val="Odsekzoznamu"/>
        <w:numPr>
          <w:ilvl w:val="0"/>
          <w:numId w:val="2"/>
        </w:numPr>
        <w:spacing w:after="120"/>
        <w:ind w:left="714" w:hanging="357"/>
        <w:contextualSpacing w:val="0"/>
        <w:jc w:val="both"/>
        <w:rPr>
          <w:rFonts w:ascii="Times New Roman" w:hAnsi="Times New Roman" w:cs="Times New Roman"/>
          <w:sz w:val="24"/>
          <w:szCs w:val="24"/>
        </w:rPr>
      </w:pPr>
      <w:r w:rsidRPr="00042C66">
        <w:rPr>
          <w:rFonts w:ascii="Times New Roman" w:hAnsi="Times New Roman" w:cs="Times New Roman"/>
          <w:i/>
          <w:sz w:val="24"/>
          <w:szCs w:val="24"/>
        </w:rPr>
        <w:t>Priame finančné náklady</w:t>
      </w:r>
      <w:r w:rsidRPr="00042C66">
        <w:rPr>
          <w:rFonts w:ascii="Times New Roman" w:hAnsi="Times New Roman" w:cs="Times New Roman"/>
          <w:sz w:val="24"/>
          <w:szCs w:val="24"/>
        </w:rPr>
        <w:t xml:space="preserve"> – sú odvodené z konkrétnej priamej povinnosti previesť určitú sumu peňazí štátu alebo príslušnému orgánu verejnej správy (napr. poplatok za vystavenie stavebného povolenia, správne poplatky, registračný poplatok, poistné, dane, clá a iné).</w:t>
      </w:r>
    </w:p>
    <w:p w:rsidR="009F2DFA" w:rsidRPr="00042C66" w:rsidRDefault="009F2DFA" w:rsidP="009F2DFA">
      <w:pPr>
        <w:pStyle w:val="Odsekzoznamu"/>
        <w:numPr>
          <w:ilvl w:val="0"/>
          <w:numId w:val="2"/>
        </w:numPr>
        <w:spacing w:after="120"/>
        <w:ind w:left="714" w:hanging="357"/>
        <w:contextualSpacing w:val="0"/>
        <w:jc w:val="both"/>
        <w:rPr>
          <w:rFonts w:ascii="Times New Roman" w:hAnsi="Times New Roman" w:cs="Times New Roman"/>
          <w:sz w:val="24"/>
          <w:szCs w:val="24"/>
        </w:rPr>
      </w:pPr>
      <w:r w:rsidRPr="00042C66">
        <w:rPr>
          <w:rFonts w:ascii="Times New Roman" w:hAnsi="Times New Roman" w:cs="Times New Roman"/>
          <w:i/>
          <w:sz w:val="24"/>
          <w:szCs w:val="24"/>
        </w:rPr>
        <w:t>Nepriame finančné náklady</w:t>
      </w:r>
      <w:r w:rsidRPr="00042C66">
        <w:rPr>
          <w:rFonts w:ascii="Times New Roman" w:hAnsi="Times New Roman" w:cs="Times New Roman"/>
          <w:sz w:val="24"/>
          <w:szCs w:val="24"/>
        </w:rPr>
        <w:t xml:space="preserve"> – sú náklady, ktoré musí podnikateľ vynaložiť pre účely zabezpečenia súladu výrobku, služieb, interných procesov, vybavenia prevádzky s</w:t>
      </w:r>
      <w:r>
        <w:rPr>
          <w:rFonts w:ascii="Times New Roman" w:hAnsi="Times New Roman" w:cs="Times New Roman"/>
          <w:sz w:val="24"/>
          <w:szCs w:val="24"/>
        </w:rPr>
        <w:t> </w:t>
      </w:r>
      <w:r w:rsidRPr="00042C66">
        <w:rPr>
          <w:rFonts w:ascii="Times New Roman" w:hAnsi="Times New Roman" w:cs="Times New Roman"/>
          <w:sz w:val="24"/>
          <w:szCs w:val="24"/>
        </w:rPr>
        <w:t>požiadavkami regulácie (napr. náklady spojené so zabezpečením ochranných pracovných odevov, náklady na zabezpečenie pitného režimu, náklady na vybavenie prevádzky elektronickou registračnou pokladňou, náklady na získanie potrebných vedomostí nevyhnutných pre získanie osvedčenia a iné)</w:t>
      </w:r>
      <w:r w:rsidR="0052297F">
        <w:rPr>
          <w:rFonts w:ascii="Times New Roman" w:hAnsi="Times New Roman" w:cs="Times New Roman"/>
          <w:sz w:val="24"/>
          <w:szCs w:val="24"/>
        </w:rPr>
        <w:t xml:space="preserve"> a náklady spojené so zamestnávaním</w:t>
      </w:r>
      <w:r w:rsidRPr="00042C66">
        <w:rPr>
          <w:rFonts w:ascii="Times New Roman" w:hAnsi="Times New Roman" w:cs="Times New Roman"/>
          <w:sz w:val="24"/>
          <w:szCs w:val="24"/>
        </w:rPr>
        <w:t>.</w:t>
      </w:r>
    </w:p>
    <w:p w:rsidR="009F2DFA" w:rsidRPr="00D2017D" w:rsidRDefault="009F2DFA" w:rsidP="009F2DFA">
      <w:pPr>
        <w:pStyle w:val="BodyText1"/>
        <w:jc w:val="both"/>
        <w:rPr>
          <w:rFonts w:ascii="Times New Roman" w:eastAsiaTheme="minorHAnsi" w:hAnsi="Times New Roman"/>
          <w:color w:val="auto"/>
          <w:sz w:val="20"/>
          <w:szCs w:val="22"/>
        </w:rPr>
      </w:pPr>
    </w:p>
    <w:p w:rsidR="009F2DFA" w:rsidRDefault="009F2DFA" w:rsidP="009F2DFA">
      <w:pPr>
        <w:pStyle w:val="BodyText1"/>
      </w:pPr>
      <w:r w:rsidRPr="00781353">
        <w:rPr>
          <w:noProof/>
          <w:lang w:eastAsia="sk-SK"/>
        </w:rPr>
        <w:lastRenderedPageBreak/>
        <mc:AlternateContent>
          <mc:Choice Requires="wpg">
            <w:drawing>
              <wp:inline distT="0" distB="0" distL="0" distR="0" wp14:anchorId="13C6321C" wp14:editId="357D0D40">
                <wp:extent cx="4348716" cy="2541181"/>
                <wp:effectExtent l="0" t="0" r="0" b="0"/>
                <wp:docPr id="405" name="Group 4"/>
                <wp:cNvGraphicFramePr/>
                <a:graphic xmlns:a="http://schemas.openxmlformats.org/drawingml/2006/main">
                  <a:graphicData uri="http://schemas.microsoft.com/office/word/2010/wordprocessingGroup">
                    <wpg:wgp>
                      <wpg:cNvGrpSpPr/>
                      <wpg:grpSpPr>
                        <a:xfrm>
                          <a:off x="0" y="0"/>
                          <a:ext cx="4348716" cy="2541181"/>
                          <a:chOff x="0" y="-32276"/>
                          <a:chExt cx="7403620" cy="2469001"/>
                        </a:xfrm>
                      </wpg:grpSpPr>
                      <wps:wsp>
                        <wps:cNvPr id="406" name="Rectangle 14"/>
                        <wps:cNvSpPr>
                          <a:spLocks noChangeArrowheads="1"/>
                        </wps:cNvSpPr>
                        <wps:spPr bwMode="auto">
                          <a:xfrm>
                            <a:off x="0" y="842820"/>
                            <a:ext cx="2003448" cy="710527"/>
                          </a:xfrm>
                          <a:prstGeom prst="rect">
                            <a:avLst/>
                          </a:prstGeom>
                          <a:solidFill>
                            <a:srgbClr val="00A0DE"/>
                          </a:solidFill>
                          <a:ln w="9525">
                            <a:noFill/>
                            <a:miter lim="800000"/>
                            <a:headEnd/>
                            <a:tailEnd/>
                          </a:ln>
                        </wps:spPr>
                        <wps:txbx>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iCs/>
                                  <w:color w:val="FFFFFF"/>
                                  <w:kern w:val="24"/>
                                  <w:sz w:val="16"/>
                                  <w:szCs w:val="16"/>
                                  <w:lang w:val="sk-SK"/>
                                </w:rPr>
                                <w:t xml:space="preserve">Celkové náklady </w:t>
                              </w:r>
                              <w:r w:rsidRPr="00042C66">
                                <w:rPr>
                                  <w:rFonts w:eastAsia="Times New Roman"/>
                                  <w:color w:val="FFFFFF"/>
                                  <w:kern w:val="24"/>
                                  <w:sz w:val="16"/>
                                  <w:szCs w:val="16"/>
                                  <w:lang w:val="sk-SK"/>
                                </w:rPr>
                                <w:t xml:space="preserve">spojené s plnením povinností vyplývajúcich podnikateľom </w:t>
                              </w:r>
                              <w:r w:rsidRPr="00042C66">
                                <w:rPr>
                                  <w:rFonts w:eastAsia="Times New Roman"/>
                                  <w:iCs/>
                                  <w:color w:val="FFFFFF"/>
                                  <w:kern w:val="24"/>
                                  <w:sz w:val="16"/>
                                  <w:szCs w:val="16"/>
                                  <w:lang w:val="sk-SK"/>
                                </w:rPr>
                                <w:t>z regulácie</w:t>
                              </w:r>
                            </w:p>
                          </w:txbxContent>
                        </wps:txbx>
                        <wps:bodyPr wrap="square" lIns="36000" tIns="36000" rIns="36000" bIns="36000" anchor="ctr"/>
                      </wps:wsp>
                      <wps:wsp>
                        <wps:cNvPr id="407" name="Rectangle 16"/>
                        <wps:cNvSpPr>
                          <a:spLocks noChangeArrowheads="1"/>
                        </wps:cNvSpPr>
                        <wps:spPr bwMode="auto">
                          <a:xfrm>
                            <a:off x="2468955" y="98172"/>
                            <a:ext cx="1837171" cy="457380"/>
                          </a:xfrm>
                          <a:prstGeom prst="rect">
                            <a:avLst/>
                          </a:prstGeom>
                          <a:solidFill>
                            <a:srgbClr val="81BC00"/>
                          </a:solidFill>
                          <a:ln w="9525">
                            <a:noFill/>
                            <a:miter lim="800000"/>
                            <a:headEnd/>
                            <a:tailEnd/>
                          </a:ln>
                        </wps:spPr>
                        <wps:txbx>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Administratívne náklady</w:t>
                              </w:r>
                            </w:p>
                          </w:txbxContent>
                        </wps:txbx>
                        <wps:bodyPr wrap="square" lIns="36000" tIns="36000" rIns="36000" bIns="36000" anchor="ctr"/>
                      </wps:wsp>
                      <wps:wsp>
                        <wps:cNvPr id="408" name="Rectangle 21"/>
                        <wps:cNvSpPr>
                          <a:spLocks noChangeArrowheads="1"/>
                        </wps:cNvSpPr>
                        <wps:spPr bwMode="auto">
                          <a:xfrm>
                            <a:off x="2468954" y="969393"/>
                            <a:ext cx="1837172" cy="457380"/>
                          </a:xfrm>
                          <a:prstGeom prst="rect">
                            <a:avLst/>
                          </a:prstGeom>
                          <a:solidFill>
                            <a:srgbClr val="00A0DE"/>
                          </a:solidFill>
                          <a:ln w="9525">
                            <a:noFill/>
                            <a:miter lim="800000"/>
                            <a:headEnd/>
                            <a:tailEnd/>
                          </a:ln>
                        </wps:spPr>
                        <wps:txbx>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Priame finančné náklady</w:t>
                              </w:r>
                            </w:p>
                          </w:txbxContent>
                        </wps:txbx>
                        <wps:bodyPr wrap="square" lIns="36000" tIns="36000" rIns="36000" bIns="36000" anchor="ctr"/>
                      </wps:wsp>
                      <wps:wsp>
                        <wps:cNvPr id="409" name="Rectangle 23"/>
                        <wps:cNvSpPr>
                          <a:spLocks noChangeArrowheads="1"/>
                        </wps:cNvSpPr>
                        <wps:spPr bwMode="auto">
                          <a:xfrm>
                            <a:off x="2468955" y="1873185"/>
                            <a:ext cx="1837171" cy="457380"/>
                          </a:xfrm>
                          <a:prstGeom prst="rect">
                            <a:avLst/>
                          </a:prstGeom>
                          <a:solidFill>
                            <a:srgbClr val="00A0DE"/>
                          </a:solidFill>
                          <a:ln w="9525">
                            <a:noFill/>
                            <a:miter lim="800000"/>
                            <a:headEnd/>
                            <a:tailEnd/>
                          </a:ln>
                        </wps:spPr>
                        <wps:txbx>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Nepriame finančné náklady</w:t>
                              </w:r>
                            </w:p>
                          </w:txbxContent>
                        </wps:txbx>
                        <wps:bodyPr wrap="square" lIns="36000" tIns="36000" rIns="36000" bIns="36000" anchor="ctr"/>
                      </wps:wsp>
                      <wps:wsp>
                        <wps:cNvPr id="410" name="Elbow Connector 24"/>
                        <wps:cNvCnPr>
                          <a:stCxn id="406" idx="3"/>
                          <a:endCxn id="409" idx="1"/>
                        </wps:cNvCnPr>
                        <wps:spPr bwMode="auto">
                          <a:xfrm>
                            <a:off x="2003449" y="1198084"/>
                            <a:ext cx="465506" cy="903791"/>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1" name="Elbow Connector 25"/>
                        <wps:cNvCnPr>
                          <a:stCxn id="406" idx="3"/>
                          <a:endCxn id="408" idx="1"/>
                        </wps:cNvCnPr>
                        <wps:spPr bwMode="auto">
                          <a:xfrm flipV="1">
                            <a:off x="2003448" y="1198083"/>
                            <a:ext cx="465506" cy="1"/>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2" name="Elbow Connector 26"/>
                        <wps:cNvCnPr>
                          <a:stCxn id="406" idx="3"/>
                          <a:endCxn id="407" idx="1"/>
                        </wps:cNvCnPr>
                        <wps:spPr bwMode="auto">
                          <a:xfrm flipV="1">
                            <a:off x="2003449" y="326862"/>
                            <a:ext cx="465506" cy="871222"/>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3" name="Rectangle 27"/>
                        <wps:cNvSpPr>
                          <a:spLocks noChangeArrowheads="1"/>
                        </wps:cNvSpPr>
                        <wps:spPr bwMode="auto">
                          <a:xfrm>
                            <a:off x="4477540" y="1680607"/>
                            <a:ext cx="2926080" cy="756118"/>
                          </a:xfrm>
                          <a:prstGeom prst="rect">
                            <a:avLst/>
                          </a:prstGeom>
                          <a:solidFill>
                            <a:srgbClr val="00A0DE"/>
                          </a:solidFill>
                          <a:ln w="9525">
                            <a:noFill/>
                            <a:miter lim="800000"/>
                            <a:headEnd/>
                            <a:tailEnd/>
                          </a:ln>
                        </wps:spPr>
                        <wps:txbx>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 xml:space="preserve">Školenia, investície do vybavenia  (registračná pokladňa, IT a pod.) , zabezpečenie pitného režimu, atď. </w:t>
                              </w:r>
                            </w:p>
                          </w:txbxContent>
                        </wps:txbx>
                        <wps:bodyPr wrap="square" lIns="36000" tIns="36000" rIns="36000" bIns="36000" anchor="ctr"/>
                      </wps:wsp>
                      <wps:wsp>
                        <wps:cNvPr id="414" name="Rectangle 28"/>
                        <wps:cNvSpPr>
                          <a:spLocks noChangeArrowheads="1"/>
                        </wps:cNvSpPr>
                        <wps:spPr bwMode="auto">
                          <a:xfrm>
                            <a:off x="4476905" y="820024"/>
                            <a:ext cx="2925446" cy="756118"/>
                          </a:xfrm>
                          <a:prstGeom prst="rect">
                            <a:avLst/>
                          </a:prstGeom>
                          <a:solidFill>
                            <a:srgbClr val="00A0DE"/>
                          </a:solidFill>
                          <a:ln w="9525">
                            <a:noFill/>
                            <a:miter lim="800000"/>
                            <a:headEnd/>
                            <a:tailEnd/>
                          </a:ln>
                        </wps:spPr>
                        <wps:txbx>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Registračné poplatky, správne poplatky, kolky, poistné, dane, clá atď.</w:t>
                              </w:r>
                            </w:p>
                          </w:txbxContent>
                        </wps:txbx>
                        <wps:bodyPr wrap="square" lIns="36000" tIns="36000" rIns="36000" bIns="36000" anchor="ctr"/>
                      </wps:wsp>
                      <wps:wsp>
                        <wps:cNvPr id="415" name="Rectangle 29"/>
                        <wps:cNvSpPr>
                          <a:spLocks noChangeArrowheads="1"/>
                        </wps:cNvSpPr>
                        <wps:spPr bwMode="auto">
                          <a:xfrm>
                            <a:off x="4477540" y="-32276"/>
                            <a:ext cx="2925445" cy="756118"/>
                          </a:xfrm>
                          <a:prstGeom prst="rect">
                            <a:avLst/>
                          </a:prstGeom>
                          <a:solidFill>
                            <a:srgbClr val="81BC00"/>
                          </a:solidFill>
                          <a:ln w="9525">
                            <a:noFill/>
                            <a:miter lim="800000"/>
                            <a:headEnd/>
                            <a:tailEnd/>
                          </a:ln>
                        </wps:spPr>
                        <wps:txbx>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Ocenenie času stráveného plnením administratívnych úkonov plynúcich z regulácie.</w:t>
                              </w:r>
                            </w:p>
                          </w:txbxContent>
                        </wps:txbx>
                        <wps:bodyPr wrap="square" lIns="36000" tIns="36000" rIns="36000" bIns="36000" anchor="ctr"/>
                      </wps:wsp>
                    </wpg:wgp>
                  </a:graphicData>
                </a:graphic>
              </wp:inline>
            </w:drawing>
          </mc:Choice>
          <mc:Fallback>
            <w:pict>
              <v:group id="Group 4" o:spid="_x0000_s1026" style="width:342.4pt;height:200.1pt;mso-position-horizontal-relative:char;mso-position-vertical-relative:line" coordorigin=",-322" coordsize="74036,2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">
                <v:rect id="Rectangle 14" o:spid="_x0000_s1027" style="position:absolute;top:8428;width:20034;height:7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y8YA&#10;AADcAAAADwAAAGRycy9kb3ducmV2LnhtbESPT2vCQBTE70K/w/KE3nRXKbFGV0mFloJ40Prv+Mg+&#10;k2D2bchuNf32bqHQ4zAzv2Hmy87W4katrxxrGA0VCOLcmYoLDfuv98ErCB+QDdaOScMPeVgunnpz&#10;TI2785Zuu1CICGGfooYyhCaV0uclWfRD1xBH7+JaiyHKtpCmxXuE21qOlUqkxYrjQokNrUrKr7tv&#10;q+G08W/nyfpjfdweptnmPL1meaK0fu532QxEoC78h//an0bDi0rg90w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b+y8YAAADcAAAADwAAAAAAAAAAAAAAAACYAgAAZHJz&#10;L2Rvd25yZXYueG1sUEsFBgAAAAAEAAQA9QAAAIsDAAAAAA==&#10;" fillcolor="#00a0de" stroked="f">
                  <v:textbox inset="1mm,1mm,1mm,1mm">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iCs/>
                            <w:color w:val="FFFFFF"/>
                            <w:kern w:val="24"/>
                            <w:sz w:val="16"/>
                            <w:szCs w:val="16"/>
                            <w:lang w:val="sk-SK"/>
                          </w:rPr>
                          <w:t xml:space="preserve">Celkové náklady </w:t>
                        </w:r>
                        <w:r w:rsidRPr="00042C66">
                          <w:rPr>
                            <w:rFonts w:eastAsia="Times New Roman"/>
                            <w:color w:val="FFFFFF"/>
                            <w:kern w:val="24"/>
                            <w:sz w:val="16"/>
                            <w:szCs w:val="16"/>
                            <w:lang w:val="sk-SK"/>
                          </w:rPr>
                          <w:t xml:space="preserve">spojené s plnením povinností vyplývajúcich podnikateľom </w:t>
                        </w:r>
                        <w:r w:rsidRPr="00042C66">
                          <w:rPr>
                            <w:rFonts w:eastAsia="Times New Roman"/>
                            <w:iCs/>
                            <w:color w:val="FFFFFF"/>
                            <w:kern w:val="24"/>
                            <w:sz w:val="16"/>
                            <w:szCs w:val="16"/>
                            <w:lang w:val="sk-SK"/>
                          </w:rPr>
                          <w:t>z regulácie</w:t>
                        </w:r>
                      </w:p>
                    </w:txbxContent>
                  </v:textbox>
                </v:rect>
                <v:rect id="Rectangle 16" o:spid="_x0000_s1028" style="position:absolute;left:24689;top:981;width:18372;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VRMYA&#10;AADcAAAADwAAAGRycy9kb3ducmV2LnhtbESPQWvCQBSE70L/w/IKvUjdVK2W1E0QS1EQhEah10f2&#10;NQnNvo3ZbRL/vSsIPQ4z8w2zSgdTi45aV1lW8DKJQBDnVldcKDgdP5/fQDiPrLG2TAou5CBNHkYr&#10;jLXt+Yu6zBciQNjFqKD0vomldHlJBt3ENsTB+7GtQR9kW0jdYh/gppbTKFpIgxWHhRIb2pSU/2Z/&#10;RsEh84vxx/SwnJ3P/b4ztP22r6zU0+OwfgfhafD/4Xt7pxXMoyX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XVRMYAAADcAAAADwAAAAAAAAAAAAAAAACYAgAAZHJz&#10;L2Rvd25yZXYueG1sUEsFBgAAAAAEAAQA9QAAAIsDAAAAAA==&#10;" fillcolor="#81bc00" stroked="f">
                  <v:textbox inset="1mm,1mm,1mm,1mm">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Administratívne náklady</w:t>
                        </w:r>
                      </w:p>
                    </w:txbxContent>
                  </v:textbox>
                </v:rect>
                <v:rect id="Rectangle 21" o:spid="_x0000_s1029" style="position:absolute;left:24689;top:9693;width:18372;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PIsQA&#10;AADcAAAADwAAAGRycy9kb3ducmV2LnhtbERPy2rCQBTdC/2H4Rbc6UxLsTV1ImmhIogLU1/LS+Y2&#10;CWbuhMwY07/vLAouD+e9WA62ET11vnas4WmqQBAXztRcath/f03eQPiAbLBxTBp+ycMyfRgtMDHu&#10;xjvq81CKGMI+QQ1VCG0ipS8qsuinriWO3I/rLIYIu1KaDm8x3DbyWamZtFhzbKiwpc+Kikt+tRpO&#10;W/9xft2sNsfdYZ5tz/NLVsyU1uPHIXsHEWgId/G/e200vKi4Np6JR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FzyLEAAAA3AAAAA8AAAAAAAAAAAAAAAAAmAIAAGRycy9k&#10;b3ducmV2LnhtbFBLBQYAAAAABAAEAPUAAACJAwAAAAA=&#10;" fillcolor="#00a0de" stroked="f">
                  <v:textbox inset="1mm,1mm,1mm,1mm">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Priame finančné náklady</w:t>
                        </w:r>
                      </w:p>
                    </w:txbxContent>
                  </v:textbox>
                </v:rect>
                <v:rect id="Rectangle 23" o:spid="_x0000_s1030" style="position:absolute;left:24689;top:18731;width:18372;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qucYA&#10;AADcAAAADwAAAGRycy9kb3ducmV2LnhtbESPT2vCQBTE70K/w/KE3nRXKdpEV0mFloJ40Prv+Mg+&#10;k2D2bchuNf32bqHQ4zAzv2Hmy87W4katrxxrGA0VCOLcmYoLDfuv98ErCB+QDdaOScMPeVgunnpz&#10;TI2785Zuu1CICGGfooYyhCaV0uclWfRD1xBH7+JaiyHKtpCmxXuE21qOlZpIixXHhRIbWpWUX3ff&#10;VsNp49/O0/XH+rg9JNnmnFyzfKK0fu532QxEoC78h//an0bDi0rg90w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lqucYAAADcAAAADwAAAAAAAAAAAAAAAACYAgAAZHJz&#10;L2Rvd25yZXYueG1sUEsFBgAAAAAEAAQA9QAAAIsDAAAAAA==&#10;" fillcolor="#00a0de" stroked="f">
                  <v:textbox inset="1mm,1mm,1mm,1mm">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Nepriame finančné náklady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31" type="#_x0000_t34" style="position:absolute;left:20034;top:11980;width:4655;height:903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Wnr0AAADcAAAADwAAAGRycy9kb3ducmV2LnhtbERPuwrCMBTdBf8hXMFNU0VEalMRQXBR&#10;8LG4XZprW2xuShPb6tebQXA8nHey6U0lWmpcaVnBbBqBIM6sLjlXcLvuJysQziNrrCyTgjc52KTD&#10;QYKxth2fqb34XIQQdjEqKLyvYyldVpBBN7U1ceAetjHoA2xyqRvsQrip5DyKltJgyaGhwJp2BWXP&#10;y8soaCO81117XJ7MFd/3j9tmznRKjUf9dg3CU+//4p/7oBUsZ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MTFp69AAAA3AAAAA8AAAAAAAAAAAAAAAAAoQIA&#10;AGRycy9kb3ducmV2LnhtbFBLBQYAAAAABAAEAPkAAACLAwAAAAA=&#10;" strokecolor="#006">
                  <v:stroke endarrow="open" joinstyle="round"/>
                </v:shape>
                <v:shape id="Elbow Connector 25" o:spid="_x0000_s1032" type="#_x0000_t34" style="position:absolute;left:20034;top:11980;width:4655;height: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uqSsUAAADcAAAADwAAAGRycy9kb3ducmV2LnhtbESP0WrCQBRE3wv+w3ILvtVNgtiauopW&#10;BOlLifoBl+xtEpq9m2S3MfHru4LQx2FmzjCrzWBq0VPnKssK4lkEgji3uuJCweV8eHkD4Tyyxtoy&#10;KRjJwWY9eVphqu2VM+pPvhABwi5FBaX3TSqly0sy6Ga2IQ7et+0M+iC7QuoOrwFuaplE0UIarDgs&#10;lNjQR0n5z+nXKPhaZu1uf+y3WXuLXy/4ObZJMio1fR627yA8Df4//GgftYJ5HMP9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uqSsUAAADcAAAADwAAAAAAAAAA&#10;AAAAAAChAgAAZHJzL2Rvd25yZXYueG1sUEsFBgAAAAAEAAQA+QAAAJMDAAAAAA==&#10;" strokecolor="#006">
                  <v:stroke endarrow="open" joinstyle="round"/>
                </v:shape>
                <v:shape id="Elbow Connector 26" o:spid="_x0000_s1033" type="#_x0000_t34" style="position:absolute;left:20034;top:3268;width:4655;height:871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0PcUAAADcAAAADwAAAGRycy9kb3ducmV2LnhtbESP0WrCQBRE3wv+w3ILvtVNgtiauopW&#10;BOlLifoBl+xtEpq9m2S3MfHru4LQx2FmzjCrzWBq0VPnKssK4lkEgji3uuJCweV8eHkD4Tyyxtoy&#10;KRjJwWY9eVphqu2VM+pPvhABwi5FBaX3TSqly0sy6Ga2IQ7et+0M+iC7QuoOrwFuaplE0UIarDgs&#10;lNjQR0n5z+nXKPhaZu1uf+y3WXuLXy/4ObZJMio1fR627yA8Df4//GgftYJ5nMD9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k0PcUAAADcAAAADwAAAAAAAAAA&#10;AAAAAAChAgAAZHJzL2Rvd25yZXYueG1sUEsFBgAAAAAEAAQA+QAAAJMDAAAAAA==&#10;" strokecolor="#006">
                  <v:stroke endarrow="open" joinstyle="round"/>
                </v:shape>
                <v:rect id="Rectangle 27" o:spid="_x0000_s1034" style="position:absolute;left:44775;top:16806;width:29261;height:7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jscA&#10;AADcAAAADwAAAGRycy9kb3ducmV2LnhtbESPT2vCQBTE7wW/w/IKvdWNVrRGV0kLFUE8GOuf4yP7&#10;mgSzb0N2q/Hbu4LgcZiZ3zDTeWsqcabGlZYV9LoRCOLM6pJzBb/bn/dPEM4ja6wsk4IrOZjPOi9T&#10;jLW98IbOqc9FgLCLUUHhfR1L6bKCDLqurYmD92cbgz7IJpe6wUuAm0r2o2goDZYcFgqs6bug7JT+&#10;GwWHtfs6jlaL1X6zGyfr4/iUZMNIqbfXNpmA8NT6Z/jRXmoFg94H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4y47HAAAA3AAAAA8AAAAAAAAAAAAAAAAAmAIAAGRy&#10;cy9kb3ducmV2LnhtbFBLBQYAAAAABAAEAPUAAACMAwAAAAA=&#10;" fillcolor="#00a0de" stroked="f">
                  <v:textbox inset="1mm,1mm,1mm,1mm">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 xml:space="preserve">Školenia, investície do vybavenia  (registračná pokladňa, IT a pod.) , zabezpečenie pitného režimu, atď. </w:t>
                        </w:r>
                      </w:p>
                    </w:txbxContent>
                  </v:textbox>
                </v:rect>
                <v:rect id="Rectangle 28" o:spid="_x0000_s1035" style="position:absolute;left:44769;top:8200;width:29254;height:7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T+sUA&#10;AADcAAAADwAAAGRycy9kb3ducmV2LnhtbESPS4vCQBCE74L/YWhhbzpxER9ZR8kKiiAefHtsMr1J&#10;MNMTMrOa/ffOguCxqKqvqOm8MaW4U+0Kywr6vQgEcWp1wZmC42HZHYNwHlljaZkU/JGD+azdmmKs&#10;7YN3dN/7TAQIuxgV5N5XsZQuzcmg69mKOHg/tjbog6wzqWt8BLgp5WcUDaXBgsNCjhUtckpv+1+j&#10;4LJ139fRZrU5706TZHud3JJ0GCn10WmSLxCeGv8Ov9prrWDQH8D/mX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VP6xQAAANwAAAAPAAAAAAAAAAAAAAAAAJgCAABkcnMv&#10;ZG93bnJldi54bWxQSwUGAAAAAAQABAD1AAAAigMAAAAA&#10;" fillcolor="#00a0de" stroked="f">
                  <v:textbox inset="1mm,1mm,1mm,1mm">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Registračné poplatky, správne poplatky, kolky, poistné, dane, clá atď.</w:t>
                        </w:r>
                      </w:p>
                    </w:txbxContent>
                  </v:textbox>
                </v:rect>
                <v:rect id="Rectangle 29" o:spid="_x0000_s1036" style="position:absolute;left:44775;top:-322;width:29254;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4dcYA&#10;AADcAAAADwAAAGRycy9kb3ducmV2LnhtbESPQWvCQBSE74L/YXlCL6IbbbUS3YTSUioUBKPQ6yP7&#10;TILZtzG7TdJ/3xUKPQ4z8w2zSwdTi45aV1lWsJhHIIhzqysuFJxP77MNCOeRNdaWScEPOUiT8WiH&#10;sbY9H6nLfCEChF2MCkrvm1hKl5dk0M1tQxy8i20N+iDbQuoW+wA3tVxG0VoarDgslNjQa0n5Nfs2&#10;Cg6ZX0/flofnx9ut/+wMfXzZFSv1MBletiA8Df4//NfeawVPixXcz4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J4dcYAAADcAAAADwAAAAAAAAAAAAAAAACYAgAAZHJz&#10;L2Rvd25yZXYueG1sUEsFBgAAAAAEAAQA9QAAAIsDAAAAAA==&#10;" fillcolor="#81bc00" stroked="f">
                  <v:textbox inset="1mm,1mm,1mm,1mm">
                    <w:txbxContent>
                      <w:p w:rsidR="00347F64" w:rsidRPr="00042C66" w:rsidRDefault="00347F64"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Ocenenie času stráveného plnením administratívnych úkonov plynúcich z regulácie.</w:t>
                        </w:r>
                      </w:p>
                    </w:txbxContent>
                  </v:textbox>
                </v:rect>
                <w10:anchorlock/>
              </v:group>
            </w:pict>
          </mc:Fallback>
        </mc:AlternateContent>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hAnsi="Times New Roman"/>
          <w:sz w:val="24"/>
        </w:rPr>
        <w:t>Kalkulácia nákladov regulácie vychádza z metodiky štandardného nákladového modelu (SCM).</w:t>
      </w:r>
      <w:r w:rsidRPr="00042C66">
        <w:rPr>
          <w:rFonts w:ascii="Times New Roman" w:eastAsiaTheme="minorHAnsi" w:hAnsi="Times New Roman"/>
          <w:color w:val="auto"/>
          <w:sz w:val="24"/>
          <w:szCs w:val="22"/>
        </w:rPr>
        <w:t xml:space="preserve"> Jej podstatou je rozklad regulácie a paragrafového znenia do súboru menších, ľahšie merateľných komponentov – povinností, s následným nákladovým vyjadrením ich plnenia. </w:t>
      </w:r>
    </w:p>
    <w:p w:rsidR="009F2DFA" w:rsidRPr="00042C66" w:rsidRDefault="009F2DFA" w:rsidP="009F2DFA">
      <w:pPr>
        <w:pStyle w:val="BodyText1"/>
        <w:spacing w:after="240"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Vyčíslenie nákladov jednej povinnosti je založené na postupnosti štyroch jednoduchých krokov, ktoré musí predkladateľ v rámci kalkulácie vykonať:</w:t>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b/>
          <w:color w:val="auto"/>
          <w:sz w:val="24"/>
          <w:szCs w:val="22"/>
        </w:rPr>
        <w:t>Krok 1 – Stanovenie časovej náročnosti plnenia povinností</w:t>
      </w:r>
    </w:p>
    <w:p w:rsidR="009F2DFA" w:rsidRPr="00042C66" w:rsidRDefault="009F2DFA" w:rsidP="009F2DFA">
      <w:pPr>
        <w:pStyle w:val="BodyText1"/>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Pri priraďovaní časovej náročnosti plnenia povinnosti je možné využiť dva základné prístupy:</w:t>
      </w:r>
    </w:p>
    <w:p w:rsidR="009F2DFA" w:rsidRPr="00042C66" w:rsidRDefault="009F2DFA" w:rsidP="009F2DFA">
      <w:pPr>
        <w:pStyle w:val="BodyText1"/>
        <w:numPr>
          <w:ilvl w:val="0"/>
          <w:numId w:val="5"/>
        </w:numPr>
        <w:jc w:val="both"/>
        <w:rPr>
          <w:rFonts w:ascii="Times New Roman" w:eastAsiaTheme="minorHAnsi" w:hAnsi="Times New Roman"/>
          <w:i/>
          <w:color w:val="auto"/>
          <w:sz w:val="24"/>
          <w:szCs w:val="22"/>
        </w:rPr>
      </w:pPr>
      <w:r w:rsidRPr="00042C66">
        <w:rPr>
          <w:rFonts w:ascii="Times New Roman" w:eastAsiaTheme="minorHAnsi" w:hAnsi="Times New Roman"/>
          <w:i/>
          <w:color w:val="auto"/>
          <w:sz w:val="24"/>
          <w:szCs w:val="22"/>
        </w:rPr>
        <w:t xml:space="preserve">Štandardná časová náročnosť povinnosti (min.)  </w:t>
      </w:r>
    </w:p>
    <w:p w:rsidR="009F2DFA" w:rsidRDefault="009F2DFA" w:rsidP="00780BA6">
      <w:pPr>
        <w:pStyle w:val="BodyText1"/>
        <w:spacing w:line="276" w:lineRule="auto"/>
        <w:ind w:left="708"/>
        <w:jc w:val="both"/>
        <w:rPr>
          <w:i/>
        </w:rPr>
      </w:pPr>
      <w:r w:rsidRPr="00042C66">
        <w:rPr>
          <w:rFonts w:ascii="Times New Roman" w:eastAsiaTheme="minorHAnsi" w:hAnsi="Times New Roman"/>
          <w:color w:val="auto"/>
          <w:sz w:val="24"/>
          <w:szCs w:val="22"/>
        </w:rPr>
        <w:t>Predkladateľ vyberie jednu z 10  typických informačných povinností, ktorým sú priradené štandardizované časové náročnosti uvedené v tabuľke. V prípade, že by sa jednalo o obšírnejšiu povinnosť, je možné v rámci jednej povinnosti zvoliť kombináciu až troch typických informačných povinností (napr. povinnosť vypracovania dokumentu a jeho predloženie príslušnému úradu).</w:t>
      </w:r>
      <w:r>
        <w:rPr>
          <w:i/>
        </w:rPr>
        <w:br w:type="page"/>
      </w:r>
    </w:p>
    <w:tbl>
      <w:tblPr>
        <w:tblpPr w:leftFromText="181" w:rightFromText="181" w:vertAnchor="page" w:horzAnchor="margin" w:tblpY="1711"/>
        <w:tblOverlap w:val="never"/>
        <w:tblW w:w="5000" w:type="pct"/>
        <w:tblLayout w:type="fixed"/>
        <w:tblCellMar>
          <w:left w:w="28" w:type="dxa"/>
          <w:right w:w="28" w:type="dxa"/>
        </w:tblCellMar>
        <w:tblLook w:val="04A0" w:firstRow="1" w:lastRow="0" w:firstColumn="1" w:lastColumn="0" w:noHBand="0" w:noVBand="1"/>
      </w:tblPr>
      <w:tblGrid>
        <w:gridCol w:w="3724"/>
        <w:gridCol w:w="953"/>
        <w:gridCol w:w="1607"/>
        <w:gridCol w:w="1258"/>
        <w:gridCol w:w="1586"/>
      </w:tblGrid>
      <w:tr w:rsidR="009F2DFA" w:rsidRPr="00042C66" w:rsidTr="00347F64">
        <w:trPr>
          <w:trHeight w:val="170"/>
        </w:trPr>
        <w:tc>
          <w:tcPr>
            <w:tcW w:w="2040" w:type="pct"/>
            <w:shd w:val="clear" w:color="auto" w:fill="92D400"/>
            <w:vAlign w:val="center"/>
            <w:hideMark/>
          </w:tcPr>
          <w:p w:rsidR="009F2DFA" w:rsidRPr="00074919" w:rsidRDefault="009F2DFA" w:rsidP="00347F64">
            <w:pPr>
              <w:jc w:val="center"/>
              <w:rPr>
                <w:b/>
                <w:color w:val="FFFFFF" w:themeColor="background1"/>
                <w:szCs w:val="16"/>
              </w:rPr>
            </w:pPr>
            <w:r w:rsidRPr="00074919">
              <w:rPr>
                <w:b/>
                <w:color w:val="FFFFFF" w:themeColor="background1"/>
                <w:szCs w:val="16"/>
              </w:rPr>
              <w:lastRenderedPageBreak/>
              <w:t>Typické IP</w:t>
            </w:r>
          </w:p>
        </w:tc>
        <w:tc>
          <w:tcPr>
            <w:tcW w:w="522" w:type="pct"/>
            <w:shd w:val="clear" w:color="auto" w:fill="92D400"/>
            <w:vAlign w:val="center"/>
          </w:tcPr>
          <w:p w:rsidR="009F2DFA" w:rsidRPr="00074919" w:rsidRDefault="009F2DFA" w:rsidP="00347F64">
            <w:pPr>
              <w:jc w:val="center"/>
              <w:rPr>
                <w:b/>
                <w:color w:val="FFFFFF" w:themeColor="background1"/>
                <w:szCs w:val="16"/>
              </w:rPr>
            </w:pPr>
            <w:proofErr w:type="spellStart"/>
            <w:r w:rsidRPr="00074919">
              <w:rPr>
                <w:b/>
                <w:color w:val="FFFFFF" w:themeColor="background1"/>
                <w:szCs w:val="16"/>
              </w:rPr>
              <w:t>Mikro</w:t>
            </w:r>
            <w:proofErr w:type="spellEnd"/>
          </w:p>
        </w:tc>
        <w:tc>
          <w:tcPr>
            <w:tcW w:w="880" w:type="pct"/>
            <w:shd w:val="clear" w:color="auto" w:fill="92D400"/>
            <w:vAlign w:val="center"/>
          </w:tcPr>
          <w:p w:rsidR="009F2DFA" w:rsidRPr="00074919" w:rsidRDefault="009F2DFA" w:rsidP="00347F64">
            <w:pPr>
              <w:jc w:val="center"/>
              <w:rPr>
                <w:b/>
                <w:color w:val="FFFFFF" w:themeColor="background1"/>
                <w:szCs w:val="16"/>
              </w:rPr>
            </w:pPr>
            <w:r w:rsidRPr="00074919">
              <w:rPr>
                <w:b/>
                <w:color w:val="FFFFFF" w:themeColor="background1"/>
                <w:szCs w:val="16"/>
              </w:rPr>
              <w:t>Malé a stredné</w:t>
            </w:r>
          </w:p>
        </w:tc>
        <w:tc>
          <w:tcPr>
            <w:tcW w:w="689" w:type="pct"/>
            <w:tcBorders>
              <w:right w:val="single" w:sz="8" w:space="0" w:color="92D050"/>
            </w:tcBorders>
            <w:shd w:val="clear" w:color="auto" w:fill="92D400"/>
            <w:vAlign w:val="center"/>
          </w:tcPr>
          <w:p w:rsidR="009F2DFA" w:rsidRPr="00074919" w:rsidRDefault="009F2DFA" w:rsidP="00347F64">
            <w:pPr>
              <w:jc w:val="center"/>
              <w:rPr>
                <w:b/>
                <w:color w:val="FFFFFF" w:themeColor="background1"/>
                <w:szCs w:val="16"/>
              </w:rPr>
            </w:pPr>
            <w:r w:rsidRPr="00074919">
              <w:rPr>
                <w:b/>
                <w:color w:val="FFFFFF" w:themeColor="background1"/>
                <w:szCs w:val="16"/>
              </w:rPr>
              <w:t>Veľké</w:t>
            </w:r>
          </w:p>
        </w:tc>
        <w:tc>
          <w:tcPr>
            <w:tcW w:w="869" w:type="pct"/>
            <w:tcBorders>
              <w:left w:val="single" w:sz="8" w:space="0" w:color="92D050"/>
            </w:tcBorders>
            <w:shd w:val="clear" w:color="auto" w:fill="92D400"/>
            <w:vAlign w:val="center"/>
            <w:hideMark/>
          </w:tcPr>
          <w:p w:rsidR="009F2DFA" w:rsidRPr="00074919" w:rsidRDefault="009F2DFA" w:rsidP="00347F64">
            <w:pPr>
              <w:jc w:val="center"/>
              <w:rPr>
                <w:b/>
                <w:color w:val="FFFFFF" w:themeColor="background1"/>
                <w:szCs w:val="16"/>
              </w:rPr>
            </w:pPr>
            <w:r w:rsidRPr="00074919">
              <w:rPr>
                <w:b/>
                <w:color w:val="FFFFFF" w:themeColor="background1"/>
                <w:szCs w:val="16"/>
              </w:rPr>
              <w:t>Vážený priemer použitý pre kalkuláciu</w:t>
            </w:r>
          </w:p>
        </w:tc>
      </w:tr>
      <w:tr w:rsidR="009F2DFA" w:rsidRPr="00042C66" w:rsidTr="00347F64">
        <w:trPr>
          <w:trHeight w:val="170"/>
        </w:trPr>
        <w:tc>
          <w:tcPr>
            <w:tcW w:w="2040" w:type="pct"/>
            <w:tcBorders>
              <w:top w:val="nil"/>
              <w:left w:val="nil"/>
              <w:bottom w:val="single" w:sz="4" w:space="0" w:color="92D400"/>
              <w:right w:val="nil"/>
            </w:tcBorders>
            <w:vAlign w:val="center"/>
            <w:hideMark/>
          </w:tcPr>
          <w:p w:rsidR="009F2DFA" w:rsidRPr="00042C66" w:rsidRDefault="009F2DFA" w:rsidP="00347F64">
            <w:pPr>
              <w:rPr>
                <w:sz w:val="16"/>
                <w:szCs w:val="16"/>
              </w:rPr>
            </w:pPr>
            <w:r w:rsidRPr="00042C66">
              <w:rPr>
                <w:bCs/>
                <w:color w:val="000000"/>
                <w:sz w:val="16"/>
                <w:szCs w:val="16"/>
              </w:rPr>
              <w:t>Archivácia</w:t>
            </w:r>
          </w:p>
        </w:tc>
        <w:tc>
          <w:tcPr>
            <w:tcW w:w="522"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45</w:t>
            </w:r>
          </w:p>
        </w:tc>
        <w:tc>
          <w:tcPr>
            <w:tcW w:w="880"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90</w:t>
            </w:r>
          </w:p>
        </w:tc>
        <w:tc>
          <w:tcPr>
            <w:tcW w:w="689" w:type="pct"/>
            <w:tcBorders>
              <w:top w:val="nil"/>
              <w:left w:val="nil"/>
              <w:bottom w:val="single" w:sz="4" w:space="0" w:color="92D400"/>
              <w:right w:val="single" w:sz="8" w:space="0" w:color="92D050"/>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180</w:t>
            </w:r>
          </w:p>
        </w:tc>
        <w:tc>
          <w:tcPr>
            <w:tcW w:w="869" w:type="pct"/>
            <w:tcBorders>
              <w:top w:val="nil"/>
              <w:left w:val="single" w:sz="8" w:space="0" w:color="92D050"/>
              <w:bottom w:val="single" w:sz="4" w:space="0" w:color="92D400"/>
              <w:right w:val="nil"/>
            </w:tcBorders>
            <w:vAlign w:val="center"/>
            <w:hideMark/>
          </w:tcPr>
          <w:p w:rsidR="009F2DFA" w:rsidRPr="00042C66" w:rsidRDefault="009F2DFA" w:rsidP="00347F64">
            <w:pPr>
              <w:jc w:val="center"/>
              <w:rPr>
                <w:b/>
                <w:sz w:val="16"/>
                <w:szCs w:val="16"/>
              </w:rPr>
            </w:pPr>
            <w:r>
              <w:rPr>
                <w:b/>
                <w:sz w:val="16"/>
                <w:szCs w:val="16"/>
              </w:rPr>
              <w:t xml:space="preserve">  </w:t>
            </w:r>
            <w:r w:rsidRPr="00042C66">
              <w:rPr>
                <w:b/>
                <w:sz w:val="16"/>
                <w:szCs w:val="16"/>
              </w:rPr>
              <w:t>60 min.</w:t>
            </w:r>
          </w:p>
        </w:tc>
      </w:tr>
      <w:tr w:rsidR="009F2DFA" w:rsidRPr="00042C66" w:rsidTr="00347F64">
        <w:trPr>
          <w:trHeight w:val="170"/>
        </w:trPr>
        <w:tc>
          <w:tcPr>
            <w:tcW w:w="2040" w:type="pct"/>
            <w:tcBorders>
              <w:top w:val="nil"/>
              <w:left w:val="nil"/>
              <w:bottom w:val="single" w:sz="4" w:space="0" w:color="92D400"/>
              <w:right w:val="nil"/>
            </w:tcBorders>
            <w:vAlign w:val="center"/>
          </w:tcPr>
          <w:p w:rsidR="009F2DFA" w:rsidRPr="00042C66" w:rsidRDefault="009F2DFA" w:rsidP="00347F64">
            <w:pPr>
              <w:rPr>
                <w:sz w:val="16"/>
                <w:szCs w:val="16"/>
              </w:rPr>
            </w:pPr>
            <w:r w:rsidRPr="00042C66">
              <w:rPr>
                <w:sz w:val="16"/>
                <w:szCs w:val="16"/>
              </w:rPr>
              <w:t>Evidencia, vedenie dokumentácie</w:t>
            </w:r>
          </w:p>
        </w:tc>
        <w:tc>
          <w:tcPr>
            <w:tcW w:w="522"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sidRPr="00042C66">
              <w:rPr>
                <w:sz w:val="16"/>
                <w:szCs w:val="16"/>
              </w:rPr>
              <w:t>240</w:t>
            </w:r>
          </w:p>
        </w:tc>
        <w:tc>
          <w:tcPr>
            <w:tcW w:w="880"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sidRPr="00042C66">
              <w:rPr>
                <w:sz w:val="16"/>
                <w:szCs w:val="16"/>
              </w:rPr>
              <w:t>480</w:t>
            </w:r>
          </w:p>
        </w:tc>
        <w:tc>
          <w:tcPr>
            <w:tcW w:w="689" w:type="pct"/>
            <w:tcBorders>
              <w:top w:val="nil"/>
              <w:left w:val="nil"/>
              <w:bottom w:val="single" w:sz="4" w:space="0" w:color="92D400"/>
              <w:right w:val="single" w:sz="8" w:space="0" w:color="92D050"/>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720</w:t>
            </w:r>
          </w:p>
        </w:tc>
        <w:tc>
          <w:tcPr>
            <w:tcW w:w="869" w:type="pct"/>
            <w:tcBorders>
              <w:top w:val="nil"/>
              <w:left w:val="single" w:sz="8" w:space="0" w:color="92D050"/>
              <w:bottom w:val="single" w:sz="4" w:space="0" w:color="92D400"/>
              <w:right w:val="nil"/>
            </w:tcBorders>
            <w:vAlign w:val="center"/>
          </w:tcPr>
          <w:p w:rsidR="009F2DFA" w:rsidRPr="00042C66" w:rsidRDefault="009F2DFA" w:rsidP="00347F64">
            <w:pPr>
              <w:jc w:val="center"/>
              <w:rPr>
                <w:b/>
                <w:sz w:val="16"/>
                <w:szCs w:val="16"/>
              </w:rPr>
            </w:pPr>
            <w:r w:rsidRPr="00042C66">
              <w:rPr>
                <w:b/>
                <w:sz w:val="16"/>
                <w:szCs w:val="16"/>
              </w:rPr>
              <w:t>300 min.</w:t>
            </w:r>
          </w:p>
        </w:tc>
      </w:tr>
      <w:tr w:rsidR="009F2DFA" w:rsidRPr="00042C66" w:rsidTr="00347F64">
        <w:trPr>
          <w:trHeight w:val="170"/>
        </w:trPr>
        <w:tc>
          <w:tcPr>
            <w:tcW w:w="2040" w:type="pct"/>
            <w:tcBorders>
              <w:top w:val="nil"/>
              <w:left w:val="nil"/>
              <w:bottom w:val="single" w:sz="4" w:space="0" w:color="92D400"/>
              <w:right w:val="nil"/>
            </w:tcBorders>
            <w:vAlign w:val="center"/>
          </w:tcPr>
          <w:p w:rsidR="009F2DFA" w:rsidRPr="00042C66" w:rsidRDefault="009F2DFA" w:rsidP="00347F64">
            <w:pPr>
              <w:rPr>
                <w:sz w:val="16"/>
                <w:szCs w:val="16"/>
              </w:rPr>
            </w:pPr>
            <w:r w:rsidRPr="00042C66">
              <w:rPr>
                <w:sz w:val="16"/>
                <w:szCs w:val="16"/>
              </w:rPr>
              <w:t>Inventarizácia</w:t>
            </w:r>
          </w:p>
        </w:tc>
        <w:tc>
          <w:tcPr>
            <w:tcW w:w="522"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sidRPr="00042C66">
              <w:rPr>
                <w:sz w:val="16"/>
                <w:szCs w:val="16"/>
              </w:rPr>
              <w:t>360</w:t>
            </w:r>
          </w:p>
        </w:tc>
        <w:tc>
          <w:tcPr>
            <w:tcW w:w="880"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sidRPr="00042C66">
              <w:rPr>
                <w:sz w:val="16"/>
                <w:szCs w:val="16"/>
              </w:rPr>
              <w:t>720</w:t>
            </w:r>
          </w:p>
        </w:tc>
        <w:tc>
          <w:tcPr>
            <w:tcW w:w="689" w:type="pct"/>
            <w:tcBorders>
              <w:top w:val="nil"/>
              <w:left w:val="nil"/>
              <w:bottom w:val="single" w:sz="4" w:space="0" w:color="92D400"/>
              <w:right w:val="single" w:sz="8" w:space="0" w:color="92D050"/>
            </w:tcBorders>
            <w:vAlign w:val="center"/>
          </w:tcPr>
          <w:p w:rsidR="009F2DFA" w:rsidRPr="00042C66" w:rsidRDefault="009F2DFA" w:rsidP="00347F64">
            <w:pPr>
              <w:jc w:val="center"/>
              <w:rPr>
                <w:sz w:val="16"/>
                <w:szCs w:val="16"/>
              </w:rPr>
            </w:pPr>
            <w:r w:rsidRPr="00042C66">
              <w:rPr>
                <w:sz w:val="16"/>
                <w:szCs w:val="16"/>
              </w:rPr>
              <w:t>1 200</w:t>
            </w:r>
          </w:p>
        </w:tc>
        <w:tc>
          <w:tcPr>
            <w:tcW w:w="869" w:type="pct"/>
            <w:tcBorders>
              <w:top w:val="nil"/>
              <w:left w:val="single" w:sz="8" w:space="0" w:color="92D050"/>
              <w:bottom w:val="single" w:sz="4" w:space="0" w:color="92D400"/>
              <w:right w:val="nil"/>
            </w:tcBorders>
            <w:vAlign w:val="center"/>
          </w:tcPr>
          <w:p w:rsidR="009F2DFA" w:rsidRPr="00042C66" w:rsidRDefault="009F2DFA" w:rsidP="00347F64">
            <w:pPr>
              <w:jc w:val="center"/>
              <w:rPr>
                <w:b/>
                <w:sz w:val="16"/>
                <w:szCs w:val="16"/>
              </w:rPr>
            </w:pPr>
            <w:r w:rsidRPr="00042C66">
              <w:rPr>
                <w:b/>
                <w:sz w:val="16"/>
                <w:szCs w:val="16"/>
              </w:rPr>
              <w:t>460 min.</w:t>
            </w:r>
          </w:p>
        </w:tc>
      </w:tr>
      <w:tr w:rsidR="009F2DFA" w:rsidRPr="00042C66" w:rsidTr="00347F64">
        <w:trPr>
          <w:trHeight w:val="170"/>
        </w:trPr>
        <w:tc>
          <w:tcPr>
            <w:tcW w:w="2040" w:type="pct"/>
            <w:tcBorders>
              <w:top w:val="nil"/>
              <w:left w:val="nil"/>
              <w:bottom w:val="single" w:sz="4" w:space="0" w:color="92D400"/>
              <w:right w:val="nil"/>
            </w:tcBorders>
            <w:vAlign w:val="center"/>
          </w:tcPr>
          <w:p w:rsidR="009F2DFA" w:rsidRPr="00042C66" w:rsidRDefault="009F2DFA" w:rsidP="00347F64">
            <w:pPr>
              <w:rPr>
                <w:sz w:val="16"/>
                <w:szCs w:val="16"/>
              </w:rPr>
            </w:pPr>
            <w:r w:rsidRPr="00042C66">
              <w:rPr>
                <w:sz w:val="16"/>
                <w:szCs w:val="16"/>
              </w:rPr>
              <w:t>Ohlásenie, oznámenie, poskytnutie informácie</w:t>
            </w:r>
          </w:p>
        </w:tc>
        <w:tc>
          <w:tcPr>
            <w:tcW w:w="522"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60</w:t>
            </w:r>
          </w:p>
        </w:tc>
        <w:tc>
          <w:tcPr>
            <w:tcW w:w="880"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60</w:t>
            </w:r>
          </w:p>
        </w:tc>
        <w:tc>
          <w:tcPr>
            <w:tcW w:w="689" w:type="pct"/>
            <w:tcBorders>
              <w:top w:val="nil"/>
              <w:left w:val="nil"/>
              <w:bottom w:val="single" w:sz="4" w:space="0" w:color="92D400"/>
              <w:right w:val="single" w:sz="8" w:space="0" w:color="92D050"/>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60</w:t>
            </w:r>
          </w:p>
        </w:tc>
        <w:tc>
          <w:tcPr>
            <w:tcW w:w="869" w:type="pct"/>
            <w:tcBorders>
              <w:top w:val="nil"/>
              <w:left w:val="single" w:sz="8" w:space="0" w:color="92D050"/>
              <w:bottom w:val="single" w:sz="4" w:space="0" w:color="92D400"/>
              <w:right w:val="nil"/>
            </w:tcBorders>
            <w:vAlign w:val="center"/>
          </w:tcPr>
          <w:p w:rsidR="009F2DFA" w:rsidRPr="00042C66" w:rsidRDefault="009F2DFA" w:rsidP="00347F64">
            <w:pPr>
              <w:jc w:val="center"/>
              <w:rPr>
                <w:b/>
                <w:sz w:val="16"/>
                <w:szCs w:val="16"/>
              </w:rPr>
            </w:pPr>
            <w:r>
              <w:rPr>
                <w:b/>
                <w:sz w:val="16"/>
                <w:szCs w:val="16"/>
              </w:rPr>
              <w:t xml:space="preserve">  </w:t>
            </w:r>
            <w:r w:rsidRPr="00042C66">
              <w:rPr>
                <w:b/>
                <w:sz w:val="16"/>
                <w:szCs w:val="16"/>
              </w:rPr>
              <w:t>60 min.</w:t>
            </w:r>
          </w:p>
        </w:tc>
      </w:tr>
      <w:tr w:rsidR="009F2DFA" w:rsidRPr="00042C66" w:rsidTr="00347F64">
        <w:trPr>
          <w:trHeight w:val="170"/>
        </w:trPr>
        <w:tc>
          <w:tcPr>
            <w:tcW w:w="2040" w:type="pct"/>
            <w:tcBorders>
              <w:top w:val="nil"/>
              <w:left w:val="nil"/>
              <w:bottom w:val="single" w:sz="4" w:space="0" w:color="92D400"/>
              <w:right w:val="nil"/>
            </w:tcBorders>
            <w:vAlign w:val="center"/>
          </w:tcPr>
          <w:p w:rsidR="009F2DFA" w:rsidRPr="00042C66" w:rsidRDefault="009F2DFA" w:rsidP="00347F64">
            <w:pPr>
              <w:rPr>
                <w:sz w:val="16"/>
                <w:szCs w:val="16"/>
              </w:rPr>
            </w:pPr>
            <w:r w:rsidRPr="00042C66">
              <w:rPr>
                <w:sz w:val="16"/>
                <w:szCs w:val="16"/>
              </w:rPr>
              <w:t>Overenie súladu</w:t>
            </w:r>
          </w:p>
        </w:tc>
        <w:tc>
          <w:tcPr>
            <w:tcW w:w="522"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sidRPr="00042C66">
              <w:rPr>
                <w:sz w:val="16"/>
                <w:szCs w:val="16"/>
              </w:rPr>
              <w:t>120</w:t>
            </w:r>
          </w:p>
        </w:tc>
        <w:tc>
          <w:tcPr>
            <w:tcW w:w="880"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sidRPr="00042C66">
              <w:rPr>
                <w:sz w:val="16"/>
                <w:szCs w:val="16"/>
              </w:rPr>
              <w:t>480</w:t>
            </w:r>
          </w:p>
        </w:tc>
        <w:tc>
          <w:tcPr>
            <w:tcW w:w="689" w:type="pct"/>
            <w:tcBorders>
              <w:top w:val="nil"/>
              <w:left w:val="nil"/>
              <w:bottom w:val="single" w:sz="4" w:space="0" w:color="92D400"/>
              <w:right w:val="single" w:sz="8" w:space="0" w:color="92D050"/>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960</w:t>
            </w:r>
          </w:p>
        </w:tc>
        <w:tc>
          <w:tcPr>
            <w:tcW w:w="869" w:type="pct"/>
            <w:tcBorders>
              <w:top w:val="nil"/>
              <w:left w:val="single" w:sz="8" w:space="0" w:color="92D050"/>
              <w:bottom w:val="single" w:sz="4" w:space="0" w:color="92D400"/>
              <w:right w:val="nil"/>
            </w:tcBorders>
            <w:vAlign w:val="center"/>
          </w:tcPr>
          <w:p w:rsidR="009F2DFA" w:rsidRPr="00042C66" w:rsidRDefault="009F2DFA" w:rsidP="00347F64">
            <w:pPr>
              <w:jc w:val="center"/>
              <w:rPr>
                <w:b/>
                <w:sz w:val="16"/>
                <w:szCs w:val="16"/>
              </w:rPr>
            </w:pPr>
            <w:r w:rsidRPr="00042C66">
              <w:rPr>
                <w:b/>
                <w:sz w:val="16"/>
                <w:szCs w:val="16"/>
              </w:rPr>
              <w:t>220 min.</w:t>
            </w:r>
          </w:p>
        </w:tc>
      </w:tr>
      <w:tr w:rsidR="009F2DFA" w:rsidRPr="00042C66" w:rsidTr="00347F64">
        <w:trPr>
          <w:trHeight w:val="170"/>
        </w:trPr>
        <w:tc>
          <w:tcPr>
            <w:tcW w:w="2040" w:type="pct"/>
            <w:tcBorders>
              <w:top w:val="nil"/>
              <w:left w:val="nil"/>
              <w:bottom w:val="single" w:sz="4" w:space="0" w:color="92D400"/>
              <w:right w:val="nil"/>
            </w:tcBorders>
            <w:vAlign w:val="center"/>
          </w:tcPr>
          <w:p w:rsidR="009F2DFA" w:rsidRPr="00042C66" w:rsidRDefault="009F2DFA" w:rsidP="00347F64">
            <w:pPr>
              <w:rPr>
                <w:sz w:val="16"/>
                <w:szCs w:val="16"/>
              </w:rPr>
            </w:pPr>
            <w:r w:rsidRPr="00042C66">
              <w:rPr>
                <w:sz w:val="16"/>
                <w:szCs w:val="16"/>
              </w:rPr>
              <w:t>Poskytnutie súčinnosti</w:t>
            </w:r>
          </w:p>
        </w:tc>
        <w:tc>
          <w:tcPr>
            <w:tcW w:w="522"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sidRPr="00042C66">
              <w:rPr>
                <w:sz w:val="16"/>
                <w:szCs w:val="16"/>
              </w:rPr>
              <w:t>100</w:t>
            </w:r>
          </w:p>
        </w:tc>
        <w:tc>
          <w:tcPr>
            <w:tcW w:w="880"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sidRPr="00042C66">
              <w:rPr>
                <w:sz w:val="16"/>
                <w:szCs w:val="16"/>
              </w:rPr>
              <w:t>100</w:t>
            </w:r>
          </w:p>
        </w:tc>
        <w:tc>
          <w:tcPr>
            <w:tcW w:w="689" w:type="pct"/>
            <w:tcBorders>
              <w:top w:val="nil"/>
              <w:left w:val="nil"/>
              <w:bottom w:val="single" w:sz="4" w:space="0" w:color="92D400"/>
              <w:right w:val="single" w:sz="8" w:space="0" w:color="92D050"/>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100</w:t>
            </w:r>
          </w:p>
        </w:tc>
        <w:tc>
          <w:tcPr>
            <w:tcW w:w="869" w:type="pct"/>
            <w:tcBorders>
              <w:top w:val="nil"/>
              <w:left w:val="single" w:sz="8" w:space="0" w:color="92D050"/>
              <w:bottom w:val="single" w:sz="4" w:space="0" w:color="92D400"/>
              <w:right w:val="nil"/>
            </w:tcBorders>
            <w:vAlign w:val="center"/>
          </w:tcPr>
          <w:p w:rsidR="009F2DFA" w:rsidRPr="00042C66" w:rsidRDefault="009F2DFA" w:rsidP="00347F64">
            <w:pPr>
              <w:jc w:val="center"/>
              <w:rPr>
                <w:b/>
                <w:sz w:val="16"/>
                <w:szCs w:val="16"/>
              </w:rPr>
            </w:pPr>
            <w:r w:rsidRPr="00042C66">
              <w:rPr>
                <w:b/>
                <w:sz w:val="16"/>
                <w:szCs w:val="16"/>
              </w:rPr>
              <w:t>100 min.</w:t>
            </w:r>
          </w:p>
        </w:tc>
      </w:tr>
      <w:tr w:rsidR="009F2DFA" w:rsidRPr="00042C66" w:rsidTr="00347F64">
        <w:trPr>
          <w:trHeight w:val="170"/>
        </w:trPr>
        <w:tc>
          <w:tcPr>
            <w:tcW w:w="2040" w:type="pct"/>
            <w:tcBorders>
              <w:top w:val="nil"/>
              <w:left w:val="nil"/>
              <w:bottom w:val="single" w:sz="4" w:space="0" w:color="92D400"/>
              <w:right w:val="nil"/>
            </w:tcBorders>
            <w:vAlign w:val="center"/>
          </w:tcPr>
          <w:p w:rsidR="009F2DFA" w:rsidRPr="00042C66" w:rsidRDefault="009F2DFA" w:rsidP="00347F64">
            <w:pPr>
              <w:rPr>
                <w:sz w:val="16"/>
                <w:szCs w:val="16"/>
              </w:rPr>
            </w:pPr>
            <w:r w:rsidRPr="00042C66">
              <w:rPr>
                <w:sz w:val="16"/>
                <w:szCs w:val="16"/>
              </w:rPr>
              <w:t>Predloženie dokladu/ dokumentu elektronicky</w:t>
            </w:r>
          </w:p>
        </w:tc>
        <w:tc>
          <w:tcPr>
            <w:tcW w:w="522"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30</w:t>
            </w:r>
          </w:p>
        </w:tc>
        <w:tc>
          <w:tcPr>
            <w:tcW w:w="880"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30</w:t>
            </w:r>
          </w:p>
        </w:tc>
        <w:tc>
          <w:tcPr>
            <w:tcW w:w="689" w:type="pct"/>
            <w:tcBorders>
              <w:top w:val="nil"/>
              <w:left w:val="nil"/>
              <w:bottom w:val="single" w:sz="4" w:space="0" w:color="92D400"/>
              <w:right w:val="single" w:sz="8" w:space="0" w:color="92D050"/>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30</w:t>
            </w:r>
          </w:p>
        </w:tc>
        <w:tc>
          <w:tcPr>
            <w:tcW w:w="869" w:type="pct"/>
            <w:tcBorders>
              <w:top w:val="nil"/>
              <w:left w:val="single" w:sz="8" w:space="0" w:color="92D050"/>
              <w:bottom w:val="single" w:sz="4" w:space="0" w:color="92D400"/>
              <w:right w:val="nil"/>
            </w:tcBorders>
            <w:vAlign w:val="center"/>
          </w:tcPr>
          <w:p w:rsidR="009F2DFA" w:rsidRPr="00042C66" w:rsidRDefault="009F2DFA" w:rsidP="00347F64">
            <w:pPr>
              <w:jc w:val="center"/>
              <w:rPr>
                <w:b/>
                <w:sz w:val="16"/>
                <w:szCs w:val="16"/>
              </w:rPr>
            </w:pPr>
            <w:r>
              <w:rPr>
                <w:b/>
                <w:sz w:val="16"/>
                <w:szCs w:val="16"/>
              </w:rPr>
              <w:t xml:space="preserve">  </w:t>
            </w:r>
            <w:r w:rsidRPr="00042C66">
              <w:rPr>
                <w:b/>
                <w:sz w:val="16"/>
                <w:szCs w:val="16"/>
              </w:rPr>
              <w:t>30 min.</w:t>
            </w:r>
          </w:p>
        </w:tc>
      </w:tr>
      <w:tr w:rsidR="009F2DFA" w:rsidRPr="00042C66" w:rsidTr="00347F64">
        <w:trPr>
          <w:trHeight w:val="170"/>
        </w:trPr>
        <w:tc>
          <w:tcPr>
            <w:tcW w:w="2040" w:type="pct"/>
            <w:tcBorders>
              <w:top w:val="nil"/>
              <w:left w:val="nil"/>
              <w:bottom w:val="single" w:sz="4" w:space="0" w:color="92D400"/>
              <w:right w:val="nil"/>
            </w:tcBorders>
            <w:vAlign w:val="center"/>
          </w:tcPr>
          <w:p w:rsidR="009F2DFA" w:rsidRPr="00042C66" w:rsidRDefault="009F2DFA" w:rsidP="00347F64">
            <w:pPr>
              <w:rPr>
                <w:sz w:val="16"/>
                <w:szCs w:val="16"/>
              </w:rPr>
            </w:pPr>
            <w:r w:rsidRPr="00042C66">
              <w:rPr>
                <w:sz w:val="16"/>
                <w:szCs w:val="16"/>
              </w:rPr>
              <w:t>Predloženie dokladu/ dokumentu papierovo</w:t>
            </w:r>
          </w:p>
        </w:tc>
        <w:tc>
          <w:tcPr>
            <w:tcW w:w="522"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50</w:t>
            </w:r>
          </w:p>
        </w:tc>
        <w:tc>
          <w:tcPr>
            <w:tcW w:w="880"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50</w:t>
            </w:r>
          </w:p>
        </w:tc>
        <w:tc>
          <w:tcPr>
            <w:tcW w:w="689" w:type="pct"/>
            <w:tcBorders>
              <w:top w:val="nil"/>
              <w:left w:val="nil"/>
              <w:bottom w:val="single" w:sz="4" w:space="0" w:color="92D400"/>
              <w:right w:val="single" w:sz="8" w:space="0" w:color="92D050"/>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50</w:t>
            </w:r>
          </w:p>
        </w:tc>
        <w:tc>
          <w:tcPr>
            <w:tcW w:w="869" w:type="pct"/>
            <w:tcBorders>
              <w:top w:val="nil"/>
              <w:left w:val="single" w:sz="8" w:space="0" w:color="92D050"/>
              <w:bottom w:val="single" w:sz="4" w:space="0" w:color="92D400"/>
              <w:right w:val="nil"/>
            </w:tcBorders>
            <w:vAlign w:val="center"/>
          </w:tcPr>
          <w:p w:rsidR="009F2DFA" w:rsidRPr="00042C66" w:rsidRDefault="009F2DFA" w:rsidP="00347F64">
            <w:pPr>
              <w:jc w:val="center"/>
              <w:rPr>
                <w:b/>
                <w:sz w:val="16"/>
                <w:szCs w:val="16"/>
              </w:rPr>
            </w:pPr>
            <w:r>
              <w:rPr>
                <w:b/>
                <w:sz w:val="16"/>
                <w:szCs w:val="16"/>
              </w:rPr>
              <w:t xml:space="preserve">  </w:t>
            </w:r>
            <w:r w:rsidRPr="00042C66">
              <w:rPr>
                <w:b/>
                <w:sz w:val="16"/>
                <w:szCs w:val="16"/>
              </w:rPr>
              <w:t>50 min.</w:t>
            </w:r>
          </w:p>
        </w:tc>
      </w:tr>
      <w:tr w:rsidR="009F2DFA" w:rsidRPr="00042C66" w:rsidTr="00347F64">
        <w:trPr>
          <w:trHeight w:val="170"/>
        </w:trPr>
        <w:tc>
          <w:tcPr>
            <w:tcW w:w="2040" w:type="pct"/>
            <w:tcBorders>
              <w:top w:val="nil"/>
              <w:left w:val="nil"/>
              <w:bottom w:val="single" w:sz="4" w:space="0" w:color="92D400"/>
              <w:right w:val="nil"/>
            </w:tcBorders>
            <w:vAlign w:val="center"/>
          </w:tcPr>
          <w:p w:rsidR="009F2DFA" w:rsidRPr="00042C66" w:rsidRDefault="009F2DFA" w:rsidP="00347F64">
            <w:pPr>
              <w:rPr>
                <w:sz w:val="16"/>
                <w:szCs w:val="16"/>
              </w:rPr>
            </w:pPr>
            <w:r w:rsidRPr="00042C66">
              <w:rPr>
                <w:sz w:val="16"/>
                <w:szCs w:val="16"/>
              </w:rPr>
              <w:t>Vypracovanie dokumentu/ správy</w:t>
            </w:r>
          </w:p>
        </w:tc>
        <w:tc>
          <w:tcPr>
            <w:tcW w:w="522"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sidRPr="00042C66">
              <w:rPr>
                <w:sz w:val="16"/>
                <w:szCs w:val="16"/>
              </w:rPr>
              <w:t>480</w:t>
            </w:r>
          </w:p>
        </w:tc>
        <w:tc>
          <w:tcPr>
            <w:tcW w:w="880" w:type="pct"/>
            <w:tcBorders>
              <w:top w:val="nil"/>
              <w:left w:val="nil"/>
              <w:bottom w:val="single" w:sz="4" w:space="0" w:color="92D400"/>
              <w:right w:val="nil"/>
            </w:tcBorders>
            <w:vAlign w:val="center"/>
          </w:tcPr>
          <w:p w:rsidR="009F2DFA" w:rsidRPr="00042C66" w:rsidRDefault="009F2DFA" w:rsidP="00347F64">
            <w:pPr>
              <w:jc w:val="center"/>
              <w:rPr>
                <w:sz w:val="16"/>
                <w:szCs w:val="16"/>
              </w:rPr>
            </w:pPr>
            <w:r w:rsidRPr="00042C66">
              <w:rPr>
                <w:sz w:val="16"/>
                <w:szCs w:val="16"/>
              </w:rPr>
              <w:t>960</w:t>
            </w:r>
          </w:p>
        </w:tc>
        <w:tc>
          <w:tcPr>
            <w:tcW w:w="689" w:type="pct"/>
            <w:tcBorders>
              <w:top w:val="nil"/>
              <w:left w:val="nil"/>
              <w:bottom w:val="single" w:sz="4" w:space="0" w:color="92D400"/>
              <w:right w:val="single" w:sz="8" w:space="0" w:color="92D050"/>
            </w:tcBorders>
            <w:vAlign w:val="center"/>
          </w:tcPr>
          <w:p w:rsidR="009F2DFA" w:rsidRPr="00042C66" w:rsidRDefault="009F2DFA" w:rsidP="00347F64">
            <w:pPr>
              <w:jc w:val="center"/>
              <w:rPr>
                <w:sz w:val="16"/>
                <w:szCs w:val="16"/>
              </w:rPr>
            </w:pPr>
            <w:r w:rsidRPr="00042C66">
              <w:rPr>
                <w:sz w:val="16"/>
                <w:szCs w:val="16"/>
              </w:rPr>
              <w:t>2 400</w:t>
            </w:r>
          </w:p>
        </w:tc>
        <w:tc>
          <w:tcPr>
            <w:tcW w:w="869" w:type="pct"/>
            <w:tcBorders>
              <w:top w:val="nil"/>
              <w:left w:val="single" w:sz="8" w:space="0" w:color="92D050"/>
              <w:bottom w:val="single" w:sz="4" w:space="0" w:color="92D400"/>
              <w:right w:val="nil"/>
            </w:tcBorders>
            <w:vAlign w:val="center"/>
          </w:tcPr>
          <w:p w:rsidR="009F2DFA" w:rsidRPr="00042C66" w:rsidRDefault="009F2DFA" w:rsidP="00347F64">
            <w:pPr>
              <w:jc w:val="center"/>
              <w:rPr>
                <w:b/>
                <w:sz w:val="16"/>
                <w:szCs w:val="16"/>
              </w:rPr>
            </w:pPr>
            <w:r w:rsidRPr="00042C66">
              <w:rPr>
                <w:b/>
                <w:sz w:val="16"/>
                <w:szCs w:val="16"/>
              </w:rPr>
              <w:t>650 min.</w:t>
            </w:r>
          </w:p>
        </w:tc>
      </w:tr>
      <w:tr w:rsidR="009F2DFA" w:rsidRPr="00042C66" w:rsidTr="00347F64">
        <w:trPr>
          <w:trHeight w:val="170"/>
        </w:trPr>
        <w:tc>
          <w:tcPr>
            <w:tcW w:w="2040" w:type="pct"/>
            <w:tcBorders>
              <w:top w:val="single" w:sz="4" w:space="0" w:color="92D400"/>
              <w:left w:val="nil"/>
              <w:bottom w:val="single" w:sz="4" w:space="0" w:color="C0504D" w:themeColor="accent2"/>
              <w:right w:val="nil"/>
            </w:tcBorders>
            <w:vAlign w:val="center"/>
          </w:tcPr>
          <w:p w:rsidR="009F2DFA" w:rsidRPr="00042C66" w:rsidRDefault="009F2DFA" w:rsidP="00347F64">
            <w:pPr>
              <w:rPr>
                <w:sz w:val="16"/>
                <w:szCs w:val="16"/>
              </w:rPr>
            </w:pPr>
            <w:r>
              <w:rPr>
                <w:sz w:val="16"/>
                <w:szCs w:val="16"/>
              </w:rPr>
              <w:t>Ž</w:t>
            </w:r>
            <w:r w:rsidRPr="00042C66">
              <w:rPr>
                <w:sz w:val="16"/>
                <w:szCs w:val="16"/>
              </w:rPr>
              <w:t>iadosť/ návrh</w:t>
            </w:r>
          </w:p>
        </w:tc>
        <w:tc>
          <w:tcPr>
            <w:tcW w:w="522" w:type="pct"/>
            <w:tcBorders>
              <w:top w:val="single" w:sz="4" w:space="0" w:color="92D400"/>
              <w:left w:val="nil"/>
              <w:bottom w:val="single" w:sz="4" w:space="0" w:color="C0504D" w:themeColor="accent2"/>
              <w:right w:val="nil"/>
            </w:tcBorders>
            <w:vAlign w:val="center"/>
          </w:tcPr>
          <w:p w:rsidR="009F2DFA" w:rsidRPr="00042C66" w:rsidRDefault="009F2DFA" w:rsidP="00347F64">
            <w:pPr>
              <w:jc w:val="center"/>
              <w:rPr>
                <w:sz w:val="16"/>
                <w:szCs w:val="16"/>
              </w:rPr>
            </w:pPr>
            <w:r w:rsidRPr="00042C66">
              <w:rPr>
                <w:sz w:val="16"/>
                <w:szCs w:val="16"/>
              </w:rPr>
              <w:t>180</w:t>
            </w:r>
          </w:p>
        </w:tc>
        <w:tc>
          <w:tcPr>
            <w:tcW w:w="880" w:type="pct"/>
            <w:tcBorders>
              <w:top w:val="single" w:sz="4" w:space="0" w:color="92D400"/>
              <w:left w:val="nil"/>
              <w:bottom w:val="single" w:sz="4" w:space="0" w:color="C0504D" w:themeColor="accent2"/>
              <w:right w:val="nil"/>
            </w:tcBorders>
            <w:vAlign w:val="center"/>
          </w:tcPr>
          <w:p w:rsidR="009F2DFA" w:rsidRPr="00042C66" w:rsidRDefault="009F2DFA" w:rsidP="00347F64">
            <w:pPr>
              <w:jc w:val="center"/>
              <w:rPr>
                <w:sz w:val="16"/>
                <w:szCs w:val="16"/>
              </w:rPr>
            </w:pPr>
            <w:r w:rsidRPr="00042C66">
              <w:rPr>
                <w:sz w:val="16"/>
                <w:szCs w:val="16"/>
              </w:rPr>
              <w:t>240</w:t>
            </w:r>
          </w:p>
        </w:tc>
        <w:tc>
          <w:tcPr>
            <w:tcW w:w="689" w:type="pct"/>
            <w:tcBorders>
              <w:top w:val="single" w:sz="4" w:space="0" w:color="92D400"/>
              <w:left w:val="nil"/>
              <w:bottom w:val="single" w:sz="4" w:space="0" w:color="C0504D" w:themeColor="accent2"/>
              <w:right w:val="single" w:sz="8" w:space="0" w:color="92D050"/>
            </w:tcBorders>
            <w:vAlign w:val="center"/>
          </w:tcPr>
          <w:p w:rsidR="009F2DFA" w:rsidRPr="00042C66" w:rsidRDefault="009F2DFA" w:rsidP="00347F64">
            <w:pPr>
              <w:jc w:val="center"/>
              <w:rPr>
                <w:sz w:val="16"/>
                <w:szCs w:val="16"/>
              </w:rPr>
            </w:pPr>
            <w:r>
              <w:rPr>
                <w:sz w:val="16"/>
                <w:szCs w:val="16"/>
              </w:rPr>
              <w:t xml:space="preserve">  </w:t>
            </w:r>
            <w:r w:rsidRPr="00042C66">
              <w:rPr>
                <w:sz w:val="16"/>
                <w:szCs w:val="16"/>
              </w:rPr>
              <w:t>480</w:t>
            </w:r>
          </w:p>
        </w:tc>
        <w:tc>
          <w:tcPr>
            <w:tcW w:w="869" w:type="pct"/>
            <w:tcBorders>
              <w:top w:val="single" w:sz="4" w:space="0" w:color="92D400"/>
              <w:left w:val="single" w:sz="8" w:space="0" w:color="92D050"/>
              <w:bottom w:val="single" w:sz="4" w:space="0" w:color="C0504D" w:themeColor="accent2"/>
              <w:right w:val="nil"/>
            </w:tcBorders>
            <w:vAlign w:val="center"/>
          </w:tcPr>
          <w:p w:rsidR="009F2DFA" w:rsidRPr="00042C66" w:rsidRDefault="009F2DFA" w:rsidP="00347F64">
            <w:pPr>
              <w:jc w:val="center"/>
              <w:rPr>
                <w:b/>
                <w:sz w:val="16"/>
                <w:szCs w:val="16"/>
              </w:rPr>
            </w:pPr>
            <w:r w:rsidRPr="00042C66">
              <w:rPr>
                <w:b/>
                <w:sz w:val="16"/>
                <w:szCs w:val="16"/>
              </w:rPr>
              <w:t>200 min.</w:t>
            </w:r>
          </w:p>
        </w:tc>
      </w:tr>
    </w:tbl>
    <w:p w:rsidR="009F2DFA" w:rsidRDefault="009F2DFA" w:rsidP="009F2DFA">
      <w:pPr>
        <w:pStyle w:val="BodyText1"/>
        <w:spacing w:after="0"/>
        <w:ind w:right="-426"/>
        <w:rPr>
          <w:rFonts w:ascii="Times New Roman" w:hAnsi="Times New Roman"/>
          <w:i/>
          <w:sz w:val="20"/>
          <w:szCs w:val="20"/>
        </w:rPr>
      </w:pPr>
      <w:r w:rsidRPr="00042C66">
        <w:rPr>
          <w:rFonts w:ascii="Times New Roman" w:hAnsi="Times New Roman"/>
          <w:i/>
          <w:sz w:val="20"/>
          <w:szCs w:val="20"/>
        </w:rPr>
        <w:t>Tabuľka štandardných časových náročností typických informačných povinností podľa veľkosti podniku (v minútach)</w:t>
      </w:r>
    </w:p>
    <w:p w:rsidR="009F2DFA" w:rsidRDefault="009F2DFA" w:rsidP="009F2DFA">
      <w:pPr>
        <w:pStyle w:val="BodyText1"/>
        <w:spacing w:after="0"/>
        <w:rPr>
          <w:rFonts w:ascii="Times New Roman" w:hAnsi="Times New Roman"/>
          <w:i/>
          <w:sz w:val="20"/>
          <w:szCs w:val="20"/>
        </w:rPr>
      </w:pPr>
    </w:p>
    <w:p w:rsidR="009F2DFA" w:rsidRDefault="009F2DFA" w:rsidP="009F2DFA">
      <w:pPr>
        <w:pStyle w:val="BodyText1"/>
        <w:spacing w:after="0"/>
        <w:rPr>
          <w:rFonts w:ascii="Times New Roman" w:hAnsi="Times New Roman"/>
          <w:i/>
          <w:sz w:val="20"/>
          <w:szCs w:val="20"/>
        </w:rPr>
      </w:pPr>
    </w:p>
    <w:p w:rsidR="009F2DFA" w:rsidRPr="00042C66" w:rsidRDefault="009F2DFA" w:rsidP="009F2DFA">
      <w:pPr>
        <w:pStyle w:val="BodyText1"/>
        <w:spacing w:after="0"/>
        <w:rPr>
          <w:rFonts w:ascii="Times New Roman" w:hAnsi="Times New Roman"/>
          <w:sz w:val="24"/>
          <w:szCs w:val="20"/>
        </w:rPr>
      </w:pPr>
      <w:r w:rsidRPr="00042C66">
        <w:rPr>
          <w:rFonts w:ascii="Times New Roman" w:hAnsi="Times New Roman"/>
          <w:sz w:val="24"/>
          <w:szCs w:val="20"/>
        </w:rPr>
        <w:t xml:space="preserve">Príklady konkrétnych typických informačných povinností podľa jednotlivých kategórií sú uvedené v nasledovnej tabuľke. </w:t>
      </w:r>
    </w:p>
    <w:p w:rsidR="009F2DFA" w:rsidRDefault="009F2DFA" w:rsidP="009F2DFA">
      <w:pPr>
        <w:pStyle w:val="BodyText1"/>
        <w:spacing w:after="0"/>
        <w:rPr>
          <w:rFonts w:ascii="Times New Roman" w:hAnsi="Times New Roman"/>
          <w:i/>
          <w:sz w:val="20"/>
          <w:szCs w:val="20"/>
        </w:rPr>
      </w:pPr>
    </w:p>
    <w:p w:rsidR="009F2DFA" w:rsidRPr="00042C66" w:rsidRDefault="009F2DFA" w:rsidP="009F2DFA">
      <w:pPr>
        <w:pStyle w:val="BodyText1"/>
        <w:spacing w:after="0"/>
        <w:rPr>
          <w:rFonts w:ascii="Times New Roman" w:hAnsi="Times New Roman"/>
          <w:i/>
          <w:sz w:val="20"/>
          <w:szCs w:val="20"/>
        </w:rPr>
      </w:pPr>
      <w:r w:rsidRPr="00042C66">
        <w:rPr>
          <w:rFonts w:ascii="Times New Roman" w:hAnsi="Times New Roman"/>
          <w:i/>
          <w:sz w:val="20"/>
          <w:szCs w:val="20"/>
        </w:rPr>
        <w:t>Prehľad kategórií typických informačných povinností</w:t>
      </w:r>
    </w:p>
    <w:tbl>
      <w:tblPr>
        <w:tblW w:w="5000" w:type="pct"/>
        <w:tblLook w:val="01E0" w:firstRow="1" w:lastRow="1" w:firstColumn="1" w:lastColumn="1" w:noHBand="0" w:noVBand="0"/>
      </w:tblPr>
      <w:tblGrid>
        <w:gridCol w:w="1663"/>
        <w:gridCol w:w="7625"/>
      </w:tblGrid>
      <w:tr w:rsidR="009F2DFA" w:rsidRPr="00042C66" w:rsidTr="00347F64">
        <w:trPr>
          <w:trHeight w:val="288"/>
        </w:trPr>
        <w:tc>
          <w:tcPr>
            <w:tcW w:w="895" w:type="pct"/>
            <w:shd w:val="clear" w:color="auto" w:fill="92D400"/>
            <w:vAlign w:val="center"/>
            <w:hideMark/>
          </w:tcPr>
          <w:p w:rsidR="009F2DFA" w:rsidRPr="00042C66" w:rsidRDefault="009F2DFA" w:rsidP="00347F64">
            <w:pPr>
              <w:pStyle w:val="TableColumnheader"/>
              <w:spacing w:before="60" w:after="60"/>
              <w:jc w:val="center"/>
              <w:rPr>
                <w:rFonts w:ascii="Times New Roman" w:hAnsi="Times New Roman"/>
                <w:sz w:val="16"/>
                <w:szCs w:val="16"/>
                <w:lang w:val="sk-SK"/>
              </w:rPr>
            </w:pPr>
            <w:r w:rsidRPr="00042C66">
              <w:rPr>
                <w:rFonts w:ascii="Times New Roman" w:hAnsi="Times New Roman"/>
                <w:sz w:val="16"/>
                <w:szCs w:val="16"/>
                <w:lang w:val="sk-SK"/>
              </w:rPr>
              <w:t>Kategória</w:t>
            </w:r>
          </w:p>
        </w:tc>
        <w:tc>
          <w:tcPr>
            <w:tcW w:w="4105" w:type="pct"/>
            <w:shd w:val="clear" w:color="auto" w:fill="92D400"/>
            <w:vAlign w:val="center"/>
            <w:hideMark/>
          </w:tcPr>
          <w:p w:rsidR="009F2DFA" w:rsidRPr="00042C66" w:rsidRDefault="009F2DFA" w:rsidP="00347F64">
            <w:pPr>
              <w:pStyle w:val="TableColumnheader"/>
              <w:spacing w:before="60" w:after="60"/>
              <w:jc w:val="center"/>
              <w:rPr>
                <w:rFonts w:ascii="Times New Roman" w:hAnsi="Times New Roman"/>
                <w:sz w:val="16"/>
                <w:szCs w:val="16"/>
                <w:lang w:val="sk-SK"/>
              </w:rPr>
            </w:pPr>
            <w:r w:rsidRPr="00042C66">
              <w:rPr>
                <w:rFonts w:ascii="Times New Roman" w:hAnsi="Times New Roman"/>
                <w:sz w:val="16"/>
                <w:szCs w:val="16"/>
                <w:lang w:val="sk-SK"/>
              </w:rPr>
              <w:t>Príklad IP</w:t>
            </w:r>
          </w:p>
        </w:tc>
      </w:tr>
      <w:tr w:rsidR="009F2DFA" w:rsidRPr="00042C66" w:rsidTr="00347F64">
        <w:trPr>
          <w:trHeight w:val="288"/>
        </w:trPr>
        <w:tc>
          <w:tcPr>
            <w:tcW w:w="895" w:type="pct"/>
            <w:tcBorders>
              <w:top w:val="nil"/>
              <w:left w:val="nil"/>
              <w:bottom w:val="single" w:sz="4" w:space="0" w:color="92D400"/>
              <w:right w:val="nil"/>
            </w:tcBorders>
            <w:vAlign w:val="center"/>
            <w:hideMark/>
          </w:tcPr>
          <w:p w:rsidR="009F2DFA" w:rsidRPr="00042C66" w:rsidRDefault="009F2DFA" w:rsidP="00347F64">
            <w:pPr>
              <w:rPr>
                <w:b/>
                <w:sz w:val="16"/>
                <w:szCs w:val="16"/>
              </w:rPr>
            </w:pPr>
            <w:r w:rsidRPr="00042C66">
              <w:rPr>
                <w:b/>
                <w:sz w:val="16"/>
                <w:szCs w:val="16"/>
              </w:rPr>
              <w:t>Archivácia</w:t>
            </w:r>
          </w:p>
        </w:tc>
        <w:tc>
          <w:tcPr>
            <w:tcW w:w="4105" w:type="pct"/>
            <w:tcBorders>
              <w:top w:val="nil"/>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Uchovávanie dokumentácie po dobu päť rokov po skončení prítomnosti jadrových materiálov;</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Uchovávanie posudkov z posudzovania rizika desať rokov odo dňa zatriedenia do rizikovej triedy;</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uchovávať počas desiatich rokov od uvedenia hračky na trh kópiu ES certifikátu;</w:t>
            </w:r>
          </w:p>
        </w:tc>
      </w:tr>
      <w:tr w:rsidR="009F2DFA" w:rsidRPr="00042C66" w:rsidTr="00347F64">
        <w:trPr>
          <w:trHeight w:val="288"/>
        </w:trPr>
        <w:tc>
          <w:tcPr>
            <w:tcW w:w="895" w:type="pct"/>
            <w:tcBorders>
              <w:top w:val="single" w:sz="4" w:space="0" w:color="92D400"/>
              <w:left w:val="nil"/>
              <w:bottom w:val="single" w:sz="4" w:space="0" w:color="92D400"/>
              <w:right w:val="nil"/>
            </w:tcBorders>
            <w:vAlign w:val="center"/>
            <w:hideMark/>
          </w:tcPr>
          <w:p w:rsidR="009F2DFA" w:rsidRPr="00042C66" w:rsidRDefault="009F2DFA" w:rsidP="00347F64">
            <w:pPr>
              <w:rPr>
                <w:b/>
                <w:sz w:val="16"/>
                <w:szCs w:val="16"/>
              </w:rPr>
            </w:pPr>
            <w:r w:rsidRPr="00042C66">
              <w:rPr>
                <w:b/>
                <w:sz w:val="16"/>
                <w:szCs w:val="16"/>
              </w:rPr>
              <w:t>Evidencia, vedenie dokumentácie</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viesť evidenciu používaných určených meradiel s uvedením dátumov ich overenia;</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viesť samostatnú evidenciu o zmenách na jadrovom zariadení;</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Držiteľ povolenia vedie evidenciu odborne spôsobilých zamestnancov;</w:t>
            </w:r>
          </w:p>
        </w:tc>
      </w:tr>
      <w:tr w:rsidR="009F2DFA" w:rsidRPr="00042C66" w:rsidTr="00347F6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47F64">
            <w:pPr>
              <w:rPr>
                <w:b/>
                <w:sz w:val="16"/>
                <w:szCs w:val="16"/>
              </w:rPr>
            </w:pPr>
            <w:r w:rsidRPr="00042C66">
              <w:rPr>
                <w:b/>
                <w:sz w:val="16"/>
                <w:szCs w:val="16"/>
              </w:rPr>
              <w:t>Inventarizácia</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Vykonať inventarizáciu omamných a psychotropných látok do 31. decembra každého roka;</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Pri uzatvorení dohody o hmotnej zodpovednosti, pri jej zániku, pri preradení zamestnanca na inú prácu alebo na iné pracovisko, pri jeho preložení a pri skončení pracovného pomeru sa musí vykonať inventarizácia;</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Účtovná jednotka je povinná inventarizovať majetok, záväzky a rozdiel majetku a záväzkov;</w:t>
            </w:r>
          </w:p>
        </w:tc>
      </w:tr>
      <w:tr w:rsidR="009F2DFA" w:rsidRPr="00042C66" w:rsidTr="00347F6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47F64">
            <w:pPr>
              <w:rPr>
                <w:b/>
                <w:sz w:val="16"/>
                <w:szCs w:val="16"/>
              </w:rPr>
            </w:pPr>
            <w:r w:rsidRPr="00042C66">
              <w:rPr>
                <w:b/>
                <w:sz w:val="16"/>
                <w:szCs w:val="16"/>
              </w:rPr>
              <w:t>Ohlásenie, oznámenie, poskytnutie informácie</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Oznámenie o zmene údajov uvedených v ohlásení živnosti;</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Bezodkladne informovať orgán dohľadu, že zariadenie sprístupnené na trhu nespĺňa technické požiadavky;</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Informovať o pripravovanej zmene druhu opakovane použiteľného obalu najmenej tri mesiace pred vykonaním takejto zmeny;</w:t>
            </w:r>
          </w:p>
        </w:tc>
      </w:tr>
      <w:tr w:rsidR="009F2DFA" w:rsidRPr="00042C66" w:rsidTr="00347F6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47F64">
            <w:pPr>
              <w:rPr>
                <w:b/>
                <w:sz w:val="16"/>
                <w:szCs w:val="16"/>
              </w:rPr>
            </w:pPr>
            <w:r w:rsidRPr="00042C66">
              <w:rPr>
                <w:b/>
                <w:sz w:val="16"/>
                <w:szCs w:val="16"/>
              </w:rPr>
              <w:t>Overenie súladu</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 xml:space="preserve">Vykonávať pravidelné kontroly výrobnej činnosti na zistenie koncentrácie ťažkých kovov; </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 xml:space="preserve">Osoba, ktorá podpisuje návrh na zápis elektronickým podpisom, je povinná zabezpečiť overenie svojich osobných údajov na účely elektronického konania; </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 xml:space="preserve">Pred začiatkom spúšťania musí držiteľ povolenia skontrolovať pripravenosť jadrového zariadenia na spúšťanie tak, že preverí a protokolárne zaznamená splnenie kritérií úspešnosti </w:t>
            </w:r>
            <w:proofErr w:type="spellStart"/>
            <w:r w:rsidRPr="00042C66">
              <w:rPr>
                <w:rFonts w:ascii="Times New Roman" w:hAnsi="Times New Roman"/>
                <w:sz w:val="16"/>
                <w:szCs w:val="16"/>
              </w:rPr>
              <w:t>pomontážnych</w:t>
            </w:r>
            <w:proofErr w:type="spellEnd"/>
            <w:r w:rsidRPr="00042C66">
              <w:rPr>
                <w:rFonts w:ascii="Times New Roman" w:hAnsi="Times New Roman"/>
                <w:sz w:val="16"/>
                <w:szCs w:val="16"/>
              </w:rPr>
              <w:t xml:space="preserve"> skúšok systémov, konštrukcií a komponentov; </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Prehodnocovať a aktualizovať bezpečnostnú správu najmenej raz za päť rokov ako aj pri závažnej zmene v podniku;</w:t>
            </w:r>
          </w:p>
        </w:tc>
      </w:tr>
      <w:tr w:rsidR="009F2DFA" w:rsidRPr="00042C66" w:rsidTr="00347F6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47F64">
            <w:pPr>
              <w:rPr>
                <w:b/>
                <w:sz w:val="16"/>
                <w:szCs w:val="16"/>
              </w:rPr>
            </w:pPr>
            <w:r w:rsidRPr="00042C66">
              <w:rPr>
                <w:b/>
                <w:sz w:val="16"/>
                <w:szCs w:val="16"/>
              </w:rPr>
              <w:t>Poskytnutie súčinnosti</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Prijímateľ, partner a osoba k nim majúca vzťah dodávateľa je povinná poskytnúť súčinnosť riadiacemu orgánu;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Na základe vyžiadania dodať príslušné materiály a technickú dokumentáciu o meradle v štátnom jazyku;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poskytnúť súčinnosť správe katastra pri revízii údajov katastra;</w:t>
            </w:r>
          </w:p>
        </w:tc>
      </w:tr>
      <w:tr w:rsidR="009F2DFA" w:rsidRPr="00042C66" w:rsidTr="00347F6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47F64">
            <w:pPr>
              <w:rPr>
                <w:b/>
                <w:sz w:val="16"/>
                <w:szCs w:val="16"/>
              </w:rPr>
            </w:pPr>
            <w:r w:rsidRPr="00042C66">
              <w:rPr>
                <w:b/>
                <w:sz w:val="16"/>
                <w:szCs w:val="16"/>
              </w:rPr>
              <w:t>Predloženie dokladu/ dokumentu elektronicky</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Poskytnúť elektronickú verziu technickej dokumentácie do desiatich pracovných dní od doručenia žiadosti orgánu dohľadu nad trhom;</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Odovzdanie štatistických údajov spravodajskou jednotkou;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zasielať zoznamy vydaných a zoznamy zrušených kvalifikovaných certifikátov;</w:t>
            </w:r>
          </w:p>
        </w:tc>
      </w:tr>
      <w:tr w:rsidR="009F2DFA" w:rsidRPr="00042C66" w:rsidTr="00347F6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47F64">
            <w:pPr>
              <w:rPr>
                <w:b/>
                <w:sz w:val="16"/>
                <w:szCs w:val="16"/>
              </w:rPr>
            </w:pPr>
            <w:r w:rsidRPr="00042C66">
              <w:rPr>
                <w:b/>
                <w:sz w:val="16"/>
                <w:szCs w:val="16"/>
              </w:rPr>
              <w:t>Predloženie dokladu/ dokumentu papierovo</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pri skončení činnosti, ktorá je predmetom registrácie, odovzdať úradu rozhodnutie o registrácii;</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Predloženie auditnej správy ako náhrady kontroly;</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Predkladať NBS výkaz o vykonávaní finančného sprostredkovania a výkaz o vykonávaní finančného poradenstva;</w:t>
            </w:r>
          </w:p>
        </w:tc>
      </w:tr>
      <w:tr w:rsidR="009F2DFA" w:rsidRPr="00042C66" w:rsidTr="00347F6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47F64">
            <w:pPr>
              <w:rPr>
                <w:b/>
                <w:sz w:val="16"/>
                <w:szCs w:val="16"/>
              </w:rPr>
            </w:pPr>
            <w:r w:rsidRPr="00042C66">
              <w:rPr>
                <w:b/>
                <w:sz w:val="16"/>
                <w:szCs w:val="16"/>
              </w:rPr>
              <w:t>Vypracovanie dokumentu/ správy</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zostaviť konsolidovanú účtovnú závierku;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podať daňové priznanie k dani z motorových vozidiel</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Vypracovanie písomného dokumentu o posúdení rizika pri všetkých činnostiach vykonávaných zamestnancami;</w:t>
            </w:r>
          </w:p>
        </w:tc>
      </w:tr>
      <w:tr w:rsidR="009F2DFA" w:rsidRPr="00042C66" w:rsidTr="00347F64">
        <w:trPr>
          <w:trHeight w:val="288"/>
        </w:trPr>
        <w:tc>
          <w:tcPr>
            <w:tcW w:w="895" w:type="pct"/>
            <w:tcBorders>
              <w:top w:val="single" w:sz="4" w:space="0" w:color="92D400"/>
              <w:left w:val="nil"/>
              <w:bottom w:val="single" w:sz="4" w:space="0" w:color="92D400"/>
              <w:right w:val="nil"/>
            </w:tcBorders>
            <w:vAlign w:val="center"/>
          </w:tcPr>
          <w:p w:rsidR="009F2DFA" w:rsidRPr="00042C66" w:rsidRDefault="009F2DFA" w:rsidP="00347F64">
            <w:pPr>
              <w:rPr>
                <w:b/>
                <w:sz w:val="16"/>
                <w:szCs w:val="16"/>
              </w:rPr>
            </w:pPr>
            <w:r w:rsidRPr="00042C66">
              <w:rPr>
                <w:b/>
                <w:sz w:val="16"/>
                <w:szCs w:val="16"/>
              </w:rPr>
              <w:lastRenderedPageBreak/>
              <w:t>Žiadosť/ návrh</w:t>
            </w:r>
          </w:p>
        </w:tc>
        <w:tc>
          <w:tcPr>
            <w:tcW w:w="4105" w:type="pct"/>
            <w:tcBorders>
              <w:top w:val="single" w:sz="4" w:space="0" w:color="92D400"/>
              <w:left w:val="nil"/>
              <w:bottom w:val="single" w:sz="4" w:space="0" w:color="92D400"/>
              <w:right w:val="nil"/>
            </w:tcBorders>
            <w:vAlign w:val="center"/>
          </w:tcPr>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podať žiadosť o akreditáciu;</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Žiadosť o schválenie systému odbornej prípravy zamestnancov držiteľov povolenia;</w:t>
            </w:r>
          </w:p>
          <w:p w:rsidR="009F2DFA" w:rsidRPr="00042C66"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podať žiadosť o povolenie na vypúšťanie skleníkových plynov do ovzdušia.</w:t>
            </w:r>
          </w:p>
        </w:tc>
      </w:tr>
    </w:tbl>
    <w:p w:rsidR="009F2DFA" w:rsidRPr="00042C66" w:rsidRDefault="009F2DFA" w:rsidP="009F2DFA">
      <w:pPr>
        <w:pStyle w:val="BodyText1"/>
        <w:rPr>
          <w:rFonts w:ascii="Times New Roman" w:hAnsi="Times New Roman"/>
          <w:i/>
        </w:rPr>
      </w:pPr>
    </w:p>
    <w:p w:rsidR="009F2DFA" w:rsidRPr="00042C66" w:rsidRDefault="009F2DFA" w:rsidP="009F2DFA">
      <w:pPr>
        <w:pStyle w:val="BodyText1"/>
        <w:numPr>
          <w:ilvl w:val="0"/>
          <w:numId w:val="5"/>
        </w:numPr>
        <w:rPr>
          <w:rFonts w:ascii="Times New Roman" w:eastAsiaTheme="minorHAnsi" w:hAnsi="Times New Roman"/>
          <w:i/>
          <w:color w:val="auto"/>
          <w:sz w:val="24"/>
          <w:szCs w:val="22"/>
        </w:rPr>
      </w:pPr>
      <w:r w:rsidRPr="00042C66">
        <w:rPr>
          <w:rFonts w:ascii="Times New Roman" w:eastAsiaTheme="minorHAnsi" w:hAnsi="Times New Roman"/>
          <w:i/>
          <w:color w:val="auto"/>
          <w:sz w:val="24"/>
          <w:szCs w:val="22"/>
        </w:rPr>
        <w:t>Expertný odhad trvania povinnosti (</w:t>
      </w:r>
      <w:r>
        <w:rPr>
          <w:rFonts w:ascii="Times New Roman" w:eastAsiaTheme="minorHAnsi" w:hAnsi="Times New Roman"/>
          <w:i/>
          <w:color w:val="auto"/>
          <w:sz w:val="24"/>
          <w:szCs w:val="22"/>
        </w:rPr>
        <w:t xml:space="preserve">v </w:t>
      </w:r>
      <w:r w:rsidRPr="00042C66">
        <w:rPr>
          <w:rFonts w:ascii="Times New Roman" w:eastAsiaTheme="minorHAnsi" w:hAnsi="Times New Roman"/>
          <w:i/>
          <w:color w:val="auto"/>
          <w:sz w:val="24"/>
          <w:szCs w:val="22"/>
        </w:rPr>
        <w:t xml:space="preserve">min.) </w:t>
      </w:r>
    </w:p>
    <w:p w:rsidR="009F2DFA" w:rsidRPr="00042C66" w:rsidRDefault="009F2DFA" w:rsidP="009F2DFA">
      <w:pPr>
        <w:pStyle w:val="BodyText1"/>
        <w:spacing w:line="276" w:lineRule="auto"/>
        <w:ind w:left="720"/>
        <w:jc w:val="both"/>
        <w:rPr>
          <w:rFonts w:ascii="Times New Roman" w:hAnsi="Times New Roman"/>
          <w:sz w:val="24"/>
          <w:szCs w:val="20"/>
        </w:rPr>
      </w:pPr>
      <w:r w:rsidRPr="00042C66">
        <w:rPr>
          <w:rFonts w:ascii="Times New Roman" w:hAnsi="Times New Roman"/>
          <w:sz w:val="24"/>
          <w:szCs w:val="20"/>
        </w:rPr>
        <w:t xml:space="preserve">V prípade, že predkladateľ disponuje presnejšími údajmi o trvaní povinnosti získanými na základe vlastných meraní, diskusie so zainteresovanými subjektmi, prípadne vlastným expertným odhadom trvania povinnosti, môže použiť pre výpočet nákladov regulácie tieto údaje. Rovnako postupuje v prípade, že identifikuje špecifické povinnosti, ku ktorým nie je možné priradiť žiadnu z vyššie uvedených typických informačných povinností. </w:t>
      </w:r>
    </w:p>
    <w:p w:rsidR="009F2DFA" w:rsidRPr="00074919" w:rsidRDefault="009F2DFA" w:rsidP="009F2DFA">
      <w:pPr>
        <w:pStyle w:val="BodyText1"/>
        <w:spacing w:line="276" w:lineRule="auto"/>
        <w:ind w:left="720"/>
        <w:jc w:val="both"/>
        <w:rPr>
          <w:rFonts w:ascii="Times New Roman" w:hAnsi="Times New Roman"/>
          <w:color w:val="auto"/>
          <w:sz w:val="24"/>
          <w:szCs w:val="20"/>
        </w:rPr>
      </w:pPr>
      <w:r w:rsidRPr="00042C66">
        <w:rPr>
          <w:rFonts w:ascii="Times New Roman" w:hAnsi="Times New Roman"/>
          <w:sz w:val="24"/>
          <w:szCs w:val="20"/>
        </w:rPr>
        <w:t>Pri definovaní časovej náročnosti povinnosti je potrebné klásť dôraz na to, aby v rámci expertného odhadu časovej náročnosti bolo zohľadnené trvanie všetkých čiastkových administratívnych úkonov, ktoré musí podnikateľ vykonať, aby riadne splnil danú povinnosť (tak ako tomu je aj v prípade štand</w:t>
      </w:r>
      <w:r w:rsidRPr="00074919">
        <w:rPr>
          <w:rFonts w:ascii="Times New Roman" w:hAnsi="Times New Roman"/>
          <w:color w:val="auto"/>
          <w:sz w:val="24"/>
          <w:szCs w:val="20"/>
        </w:rPr>
        <w:t>ardizovaných časov uvedených pri typických informačných povinnostiach). Medzi čiastkové administratívne úkony</w:t>
      </w:r>
      <w:r>
        <w:rPr>
          <w:rFonts w:ascii="Times New Roman" w:hAnsi="Times New Roman"/>
          <w:color w:val="auto"/>
          <w:sz w:val="24"/>
          <w:szCs w:val="20"/>
        </w:rPr>
        <w:t>, ktoré podnikateľ zvyčajne vykonáva pri plnení jednotlivých informačných povinností,</w:t>
      </w:r>
      <w:r w:rsidRPr="00074919">
        <w:rPr>
          <w:rFonts w:ascii="Times New Roman" w:hAnsi="Times New Roman"/>
          <w:color w:val="auto"/>
          <w:sz w:val="24"/>
          <w:szCs w:val="20"/>
        </w:rPr>
        <w:t xml:space="preserve"> </w:t>
      </w:r>
      <w:r>
        <w:rPr>
          <w:rFonts w:ascii="Times New Roman" w:hAnsi="Times New Roman"/>
          <w:color w:val="auto"/>
          <w:sz w:val="24"/>
          <w:szCs w:val="20"/>
        </w:rPr>
        <w:t xml:space="preserve">patrí najmä oboznámenie sa s IP, vyhľadávanie a výber informácií, </w:t>
      </w:r>
      <w:r w:rsidRPr="00074919">
        <w:rPr>
          <w:rFonts w:ascii="Times New Roman" w:hAnsi="Times New Roman"/>
          <w:color w:val="auto"/>
          <w:sz w:val="24"/>
          <w:szCs w:val="20"/>
        </w:rPr>
        <w:t>s</w:t>
      </w:r>
      <w:r>
        <w:rPr>
          <w:rFonts w:ascii="Times New Roman" w:hAnsi="Times New Roman"/>
          <w:color w:val="auto"/>
          <w:sz w:val="24"/>
          <w:szCs w:val="20"/>
        </w:rPr>
        <w:t xml:space="preserve">pracovanie vstupných informácií, výpočty, spracovanie číselných údajov, kontrola, korekcia, vyúčtovanie/platba, interné stretnutia, externé stretnutia, </w:t>
      </w:r>
      <w:r w:rsidRPr="00074919">
        <w:rPr>
          <w:rFonts w:ascii="Times New Roman" w:hAnsi="Times New Roman"/>
          <w:color w:val="auto"/>
          <w:sz w:val="24"/>
          <w:szCs w:val="20"/>
        </w:rPr>
        <w:t>inšpek</w:t>
      </w:r>
      <w:r>
        <w:rPr>
          <w:rFonts w:ascii="Times New Roman" w:hAnsi="Times New Roman"/>
          <w:color w:val="auto"/>
          <w:sz w:val="24"/>
          <w:szCs w:val="20"/>
        </w:rPr>
        <w:t xml:space="preserve">cia zo strany verejných orgánov, </w:t>
      </w:r>
      <w:r w:rsidRPr="00074919">
        <w:rPr>
          <w:rFonts w:ascii="Times New Roman" w:hAnsi="Times New Roman"/>
          <w:color w:val="auto"/>
          <w:sz w:val="24"/>
          <w:szCs w:val="20"/>
        </w:rPr>
        <w:t>korekcia v</w:t>
      </w:r>
      <w:r>
        <w:rPr>
          <w:rFonts w:ascii="Times New Roman" w:hAnsi="Times New Roman"/>
          <w:color w:val="auto"/>
          <w:sz w:val="24"/>
          <w:szCs w:val="20"/>
        </w:rPr>
        <w:t>yplývajúca z výsledku inšpekcie, kopírovanie a</w:t>
      </w:r>
      <w:r w:rsidRPr="00074919">
        <w:rPr>
          <w:rFonts w:ascii="Times New Roman" w:hAnsi="Times New Roman"/>
          <w:color w:val="auto"/>
          <w:sz w:val="24"/>
          <w:szCs w:val="20"/>
        </w:rPr>
        <w:t xml:space="preserve"> skenovanie.  </w:t>
      </w:r>
    </w:p>
    <w:p w:rsidR="009F2DFA" w:rsidRPr="00042C66" w:rsidRDefault="009F2DFA" w:rsidP="009F2DFA">
      <w:pPr>
        <w:pStyle w:val="BodyText1"/>
        <w:spacing w:line="276" w:lineRule="auto"/>
        <w:ind w:firstLine="340"/>
        <w:jc w:val="both"/>
        <w:rPr>
          <w:rFonts w:ascii="Times New Roman" w:eastAsiaTheme="minorHAnsi" w:hAnsi="Times New Roman"/>
          <w:color w:val="auto"/>
          <w:sz w:val="24"/>
          <w:szCs w:val="22"/>
        </w:rPr>
      </w:pPr>
    </w:p>
    <w:p w:rsidR="009F2DFA" w:rsidRPr="00042C66" w:rsidRDefault="009F2DFA" w:rsidP="009F2DFA">
      <w:pPr>
        <w:pStyle w:val="BodyText1"/>
        <w:spacing w:line="276" w:lineRule="auto"/>
        <w:jc w:val="both"/>
        <w:rPr>
          <w:rFonts w:ascii="Times New Roman" w:eastAsiaTheme="minorHAnsi" w:hAnsi="Times New Roman"/>
          <w:b/>
          <w:color w:val="auto"/>
          <w:sz w:val="24"/>
          <w:szCs w:val="22"/>
        </w:rPr>
      </w:pPr>
      <w:r w:rsidRPr="00042C66">
        <w:rPr>
          <w:rFonts w:ascii="Times New Roman" w:eastAsiaTheme="minorHAnsi" w:hAnsi="Times New Roman"/>
          <w:b/>
          <w:color w:val="auto"/>
          <w:sz w:val="24"/>
          <w:szCs w:val="22"/>
        </w:rPr>
        <w:t>Krok 2 – Určenie výšky súvisiacich priamych a nepriamych finančných nákladov na splnenie povinnosti jedným podnikom, resp. na jedno plnenie</w:t>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prípade, že plnenie povinnosti je spojené taktiež/výhradne s priamymi alebo nepriamymi finančnými nákladmi na strane podnikateľa, určí/odhadne predkladateľ výšku týchto nákladov na jedného podnikateľa, resp. jedno plnenie. Ide buď o náklady priame – poplatky za vystavenie dokladu/výpisu, kolky, správne poplatky, poistné alebo náklady nepriame – náklady na povinné školenia, testy, kontroly, investície do softvéru, zabezpečenie súladu s</w:t>
      </w:r>
      <w:r>
        <w:rPr>
          <w:rFonts w:ascii="Times New Roman" w:eastAsiaTheme="minorHAnsi" w:hAnsi="Times New Roman"/>
          <w:color w:val="auto"/>
          <w:sz w:val="24"/>
          <w:szCs w:val="22"/>
        </w:rPr>
        <w:t> </w:t>
      </w:r>
      <w:r w:rsidRPr="00042C66">
        <w:rPr>
          <w:rFonts w:ascii="Times New Roman" w:eastAsiaTheme="minorHAnsi" w:hAnsi="Times New Roman"/>
          <w:color w:val="auto"/>
          <w:sz w:val="24"/>
          <w:szCs w:val="22"/>
        </w:rPr>
        <w:t>reguláciou technickým vybavením prevádzky, a pod.</w:t>
      </w:r>
    </w:p>
    <w:p w:rsidR="009F2DFA" w:rsidRPr="00042C66" w:rsidRDefault="009F2DFA" w:rsidP="009F2DFA">
      <w:pPr>
        <w:pStyle w:val="BodyText1"/>
        <w:spacing w:after="240"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 xml:space="preserve">V prípade, že povinnosť je na strane podnikateľa spojená so </w:t>
      </w:r>
      <w:r w:rsidRPr="00042C66">
        <w:rPr>
          <w:rFonts w:ascii="Times New Roman" w:eastAsiaTheme="minorHAnsi" w:hAnsi="Times New Roman"/>
          <w:b/>
          <w:color w:val="auto"/>
          <w:sz w:val="24"/>
          <w:szCs w:val="22"/>
        </w:rPr>
        <w:t>zaplatením dane, cla alebo odvodov</w:t>
      </w:r>
      <w:r w:rsidRPr="00042C66">
        <w:rPr>
          <w:rFonts w:ascii="Times New Roman" w:eastAsiaTheme="minorHAnsi" w:hAnsi="Times New Roman"/>
          <w:color w:val="auto"/>
          <w:sz w:val="24"/>
          <w:szCs w:val="22"/>
        </w:rPr>
        <w:t>, opiera sa predkladateľ o analýzu vplyvu predkladaného materiálu na verejné financie. Súvisiaci vyvolaný dopad na verejné financie  vydelí spracovateľ počtom podnikateľov, ktorých sa povinnosť týka.  Tým získava údaj o vplyve daňového/odvodového/colného zaťaženia na jedného podnikateľa v súvislosti s plnením povinnosti. Informáciu, že ide o výšku odvedenej dane/cla/odvodov zároveň uvedie predkladateľ spolu s komentárom.</w:t>
      </w:r>
    </w:p>
    <w:p w:rsidR="009F2DFA" w:rsidRDefault="009F2DFA" w:rsidP="009F2DFA">
      <w:pPr>
        <w:rPr>
          <w:b/>
          <w:sz w:val="24"/>
        </w:rPr>
      </w:pPr>
      <w:r>
        <w:rPr>
          <w:b/>
          <w:sz w:val="24"/>
        </w:rPr>
        <w:br w:type="page"/>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b/>
          <w:color w:val="auto"/>
          <w:sz w:val="24"/>
          <w:szCs w:val="22"/>
        </w:rPr>
        <w:lastRenderedPageBreak/>
        <w:t>Krok 3 – Určenie počtu dotknutých podnikateľov</w:t>
      </w:r>
      <w:r w:rsidRPr="00042C66">
        <w:rPr>
          <w:rFonts w:ascii="Times New Roman" w:eastAsiaTheme="minorHAnsi" w:hAnsi="Times New Roman"/>
          <w:color w:val="auto"/>
          <w:sz w:val="24"/>
          <w:szCs w:val="22"/>
        </w:rPr>
        <w:t xml:space="preserve"> – populácie, resp. počtu plnení</w:t>
      </w:r>
    </w:p>
    <w:p w:rsidR="009F2DFA" w:rsidRPr="00042C66" w:rsidRDefault="009F2DFA" w:rsidP="009F2DFA">
      <w:pPr>
        <w:pStyle w:val="BodyText1"/>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Populácia predstavuje počet podnikateľov, na ktorých sa daná povinnosť vzťahuje resp. počet podnikateľov ovplyvnených predkladanou reguláciou. Tento údaj môže byť určený presne na základe evidencie zodpovedných útvarov za predošlé obdobia, odhadom prostredníctvom údajov za predchádzajúce obdobie, prostredníctvom štatistík podľa SK NACE klasifikácie alebo expertným odhadom.</w:t>
      </w:r>
    </w:p>
    <w:p w:rsidR="009F2DFA" w:rsidRPr="00042C66" w:rsidRDefault="009F2DFA" w:rsidP="009F2DFA">
      <w:pPr>
        <w:pStyle w:val="BodyText1"/>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prípade, že predkladateľ disponuje údajom o presnom počte plnení povinností za rok, postupuje pri vypĺňaní tohto kroku nasledovne:</w:t>
      </w:r>
    </w:p>
    <w:p w:rsidR="009F2DFA" w:rsidRPr="00042C66" w:rsidRDefault="009F2DFA" w:rsidP="009F2DFA">
      <w:pPr>
        <w:pStyle w:val="BodyText1"/>
        <w:numPr>
          <w:ilvl w:val="0"/>
          <w:numId w:val="4"/>
        </w:numPr>
        <w:spacing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prípade povinnosti s frekvenciou plnenia menšou ako 1 krát ročne, t.j. nepravidelne/ jednorázovo  alebo raz za niekoľko rokov (napr. počet žiadostí o registráciu, povinnosť periodického obnovenia odbornej spôsobilosti zamestnanca po 5 rokoch a</w:t>
      </w:r>
      <w:r>
        <w:rPr>
          <w:rFonts w:ascii="Times New Roman" w:eastAsiaTheme="minorHAnsi" w:hAnsi="Times New Roman"/>
          <w:color w:val="auto"/>
          <w:sz w:val="24"/>
          <w:szCs w:val="22"/>
        </w:rPr>
        <w:t> </w:t>
      </w:r>
      <w:r w:rsidRPr="00042C66">
        <w:rPr>
          <w:rFonts w:ascii="Times New Roman" w:eastAsiaTheme="minorHAnsi" w:hAnsi="Times New Roman"/>
          <w:color w:val="auto"/>
          <w:sz w:val="24"/>
          <w:szCs w:val="22"/>
        </w:rPr>
        <w:t>pod.) uvedie predkladateľ v rámci tohto poľa údaj o presnom počte plnení v danom roku. S ohľadom na potrebu kalkulácie nákladov povinnosti na ročnej báze v takomto prípade následne používa v Kroku 4 – Stanovenie frekvencie plnenia povinnosti možnosť 1-krát ročne (koeficient frekvencie 0,1).</w:t>
      </w:r>
    </w:p>
    <w:p w:rsidR="009F2DFA" w:rsidRPr="00042C66" w:rsidRDefault="009F2DFA" w:rsidP="009F2DFA">
      <w:pPr>
        <w:pStyle w:val="BodyText1"/>
        <w:numPr>
          <w:ilvl w:val="0"/>
          <w:numId w:val="4"/>
        </w:numPr>
        <w:spacing w:after="240" w:line="276" w:lineRule="auto"/>
        <w:ind w:left="714" w:hanging="357"/>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prípade povinnosti s frekvenciou plnenia niekoľkokrát za rok (napr. podávanie kvartálnych/mesačných výkazov DPH, predkladanie polročných štatistických výkazov a pod.), vydelí predkladateľ počet plnení v danom roku frekvenciou plnenia povinnosti (mesačne – 12, kvartálne – 4, polročne – 2, atď.), čím dostáva dáta o počte dotknutých podnikateľov, s ktorými uvažuje ďalej vo výpočte. V následnom Kroku 4 – Stanovenie frekvencie plnenia povinnosti – postupuje v súlade s nižšie uvedeným popisom/tabuľkou, t.j. uvádza skutočnú  frekvenciu plnenia povinnosti za rok.</w:t>
      </w:r>
    </w:p>
    <w:p w:rsidR="009F2DFA" w:rsidRPr="00042C66" w:rsidRDefault="009F2DFA" w:rsidP="009F2DFA">
      <w:pPr>
        <w:pStyle w:val="BodyText1"/>
        <w:spacing w:line="276" w:lineRule="auto"/>
        <w:jc w:val="both"/>
        <w:rPr>
          <w:rFonts w:ascii="Times New Roman" w:eastAsiaTheme="minorHAnsi" w:hAnsi="Times New Roman"/>
          <w:b/>
          <w:color w:val="auto"/>
          <w:sz w:val="24"/>
          <w:szCs w:val="22"/>
        </w:rPr>
      </w:pPr>
      <w:r w:rsidRPr="00042C66">
        <w:rPr>
          <w:rFonts w:ascii="Times New Roman" w:eastAsiaTheme="minorHAnsi" w:hAnsi="Times New Roman"/>
          <w:b/>
          <w:color w:val="auto"/>
          <w:sz w:val="24"/>
          <w:szCs w:val="22"/>
        </w:rPr>
        <w:t>Krok 4 – Stanovenie frekvencie plnenia povinnosti, ktorá sa určí pomocou nasledovných koeficientov:</w:t>
      </w:r>
    </w:p>
    <w:p w:rsidR="009F2DFA" w:rsidRPr="00042C66" w:rsidRDefault="009F2DFA" w:rsidP="009F2DFA">
      <w:pPr>
        <w:pStyle w:val="BodyText1"/>
        <w:spacing w:after="240" w:line="276" w:lineRule="auto"/>
        <w:jc w:val="both"/>
        <w:rPr>
          <w:rFonts w:ascii="Times New Roman" w:eastAsiaTheme="minorHAnsi" w:hAnsi="Times New Roman"/>
          <w:color w:val="auto"/>
          <w:sz w:val="24"/>
          <w:szCs w:val="22"/>
        </w:rPr>
      </w:pPr>
      <w:r w:rsidRPr="00042C66">
        <w:rPr>
          <w:rFonts w:ascii="Times New Roman" w:eastAsiaTheme="minorHAnsi" w:hAnsi="Times New Roman"/>
          <w:color w:val="auto"/>
          <w:sz w:val="24"/>
          <w:szCs w:val="22"/>
        </w:rPr>
        <w:t>V štvrtom kroku predkladateľ stanoví frekvenciu plnenia povinnosti, teda početnosť plnení danej povinnosti jedným podnikateľom za určité obdobie. Bázou</w:t>
      </w:r>
      <w:r>
        <w:rPr>
          <w:rFonts w:ascii="Times New Roman" w:eastAsiaTheme="minorHAnsi" w:hAnsi="Times New Roman"/>
          <w:color w:val="auto"/>
          <w:sz w:val="24"/>
          <w:szCs w:val="22"/>
        </w:rPr>
        <w:t>,</w:t>
      </w:r>
      <w:r w:rsidRPr="00042C66">
        <w:rPr>
          <w:rFonts w:ascii="Times New Roman" w:eastAsiaTheme="minorHAnsi" w:hAnsi="Times New Roman"/>
          <w:color w:val="auto"/>
          <w:sz w:val="24"/>
          <w:szCs w:val="22"/>
        </w:rPr>
        <w:t xml:space="preserve"> voči ktorej je stanovovaná frekvencia</w:t>
      </w:r>
      <w:r>
        <w:rPr>
          <w:rFonts w:ascii="Times New Roman" w:eastAsiaTheme="minorHAnsi" w:hAnsi="Times New Roman"/>
          <w:color w:val="auto"/>
          <w:sz w:val="24"/>
          <w:szCs w:val="22"/>
        </w:rPr>
        <w:t>,</w:t>
      </w:r>
      <w:r w:rsidRPr="00042C66">
        <w:rPr>
          <w:rFonts w:ascii="Times New Roman" w:eastAsiaTheme="minorHAnsi" w:hAnsi="Times New Roman"/>
          <w:color w:val="auto"/>
          <w:sz w:val="24"/>
          <w:szCs w:val="22"/>
        </w:rPr>
        <w:t xml:space="preserve"> je obdobie 1 roka. Povinnosti môžu byť plnené pravidelne na ročnej báze, polročne, kvartálne, raz za niekoľko rokov, prípadne jednorazovo (napr. povinnosti v</w:t>
      </w:r>
      <w:r>
        <w:rPr>
          <w:rFonts w:ascii="Times New Roman" w:eastAsiaTheme="minorHAnsi" w:hAnsi="Times New Roman"/>
          <w:color w:val="auto"/>
          <w:sz w:val="24"/>
          <w:szCs w:val="22"/>
        </w:rPr>
        <w:t> </w:t>
      </w:r>
      <w:r w:rsidRPr="00042C66">
        <w:rPr>
          <w:rFonts w:ascii="Times New Roman" w:eastAsiaTheme="minorHAnsi" w:hAnsi="Times New Roman"/>
          <w:color w:val="auto"/>
          <w:sz w:val="24"/>
          <w:szCs w:val="22"/>
        </w:rPr>
        <w:t>súvislosti so vznikom a ukončením podnikania) alebo nepravidelne (v prípade zriedkavého výskytu určitej udalosti, napr. vznik priemyselnej havárie). Koeficienty pre výpočet nákladov regulácie zodpovedajúce frekvencii plnenia sú uvedené v tabuľke.</w:t>
      </w:r>
    </w:p>
    <w:p w:rsidR="009F2DFA" w:rsidRDefault="009F2DFA" w:rsidP="009F2DFA">
      <w:pPr>
        <w:pStyle w:val="BodyText1"/>
        <w:spacing w:after="0" w:line="276" w:lineRule="auto"/>
        <w:ind w:left="1134"/>
        <w:rPr>
          <w:rFonts w:ascii="Times New Roman" w:hAnsi="Times New Roman"/>
          <w:i/>
          <w:sz w:val="20"/>
          <w:szCs w:val="20"/>
        </w:rPr>
      </w:pPr>
      <w:r>
        <w:rPr>
          <w:rFonts w:ascii="Times New Roman" w:hAnsi="Times New Roman"/>
          <w:i/>
          <w:sz w:val="20"/>
          <w:szCs w:val="2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9F2DFA" w:rsidRPr="00C07FF5" w:rsidTr="00347F64">
        <w:trPr>
          <w:trHeight w:val="459"/>
          <w:jc w:val="center"/>
        </w:trPr>
        <w:tc>
          <w:tcPr>
            <w:tcW w:w="2292" w:type="dxa"/>
            <w:tcBorders>
              <w:top w:val="single" w:sz="2" w:space="0" w:color="81BC00"/>
              <w:left w:val="single" w:sz="2" w:space="0" w:color="81BC00"/>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9F2DFA" w:rsidRPr="00C07FF5" w:rsidRDefault="009F2DFA" w:rsidP="00347F64">
            <w:pPr>
              <w:pStyle w:val="BodyText1"/>
              <w:spacing w:after="0"/>
              <w:jc w:val="center"/>
              <w:rPr>
                <w:rFonts w:asciiTheme="minorHAnsi" w:hAnsiTheme="minorHAnsi" w:cstheme="minorHAnsi"/>
                <w:color w:val="FFFFFF" w:themeColor="background1"/>
                <w:sz w:val="16"/>
                <w:szCs w:val="16"/>
                <w:lang w:val="en-US"/>
              </w:rPr>
            </w:pPr>
            <w:r w:rsidRPr="00C07FF5">
              <w:rPr>
                <w:rFonts w:asciiTheme="minorHAnsi" w:hAnsiTheme="minorHAnsi" w:cstheme="minorHAnsi"/>
                <w:bCs/>
                <w:color w:val="FFFFFF" w:themeColor="background1"/>
                <w:sz w:val="16"/>
                <w:szCs w:val="16"/>
              </w:rPr>
              <w:t>Frekvencia plnenia povinnosti</w:t>
            </w:r>
          </w:p>
        </w:tc>
        <w:tc>
          <w:tcPr>
            <w:tcW w:w="1138" w:type="dxa"/>
            <w:tcBorders>
              <w:top w:val="single" w:sz="2" w:space="0" w:color="81BC00"/>
              <w:left w:val="single" w:sz="4" w:space="0" w:color="FFFFFF" w:themeColor="background1"/>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9F2DFA" w:rsidRPr="00C07FF5" w:rsidRDefault="009F2DFA" w:rsidP="00347F64">
            <w:pPr>
              <w:pStyle w:val="BodyText1"/>
              <w:spacing w:after="0"/>
              <w:jc w:val="center"/>
              <w:rPr>
                <w:rFonts w:asciiTheme="minorHAnsi" w:hAnsiTheme="minorHAnsi" w:cstheme="minorHAnsi"/>
                <w:color w:val="FFFFFF" w:themeColor="background1"/>
                <w:sz w:val="16"/>
                <w:szCs w:val="16"/>
                <w:lang w:val="en-US"/>
              </w:rPr>
            </w:pPr>
            <w:r w:rsidRPr="00C07FF5">
              <w:rPr>
                <w:rFonts w:asciiTheme="minorHAnsi" w:hAnsiTheme="minorHAnsi" w:cstheme="minorHAnsi"/>
                <w:bCs/>
                <w:color w:val="FFFFFF" w:themeColor="background1"/>
                <w:sz w:val="16"/>
                <w:szCs w:val="16"/>
              </w:rPr>
              <w:t>Koeficient frekvencie</w:t>
            </w:r>
          </w:p>
        </w:tc>
        <w:tc>
          <w:tcPr>
            <w:tcW w:w="2411" w:type="dxa"/>
            <w:tcBorders>
              <w:top w:val="single" w:sz="2" w:space="0" w:color="81BC00"/>
              <w:left w:val="single" w:sz="4" w:space="0" w:color="FFFFFF" w:themeColor="background1"/>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9F2DFA" w:rsidRPr="00C07FF5" w:rsidRDefault="009F2DFA" w:rsidP="00347F64">
            <w:pPr>
              <w:pStyle w:val="BodyText1"/>
              <w:spacing w:after="0"/>
              <w:jc w:val="center"/>
              <w:rPr>
                <w:rFonts w:asciiTheme="minorHAnsi" w:hAnsiTheme="minorHAnsi" w:cstheme="minorHAnsi"/>
                <w:color w:val="FFFFFF" w:themeColor="background1"/>
                <w:sz w:val="16"/>
                <w:szCs w:val="16"/>
                <w:lang w:val="en-US"/>
              </w:rPr>
            </w:pPr>
            <w:r w:rsidRPr="00C07FF5">
              <w:rPr>
                <w:rFonts w:asciiTheme="minorHAnsi" w:hAnsiTheme="minorHAnsi" w:cstheme="minorHAnsi"/>
                <w:bCs/>
                <w:color w:val="FFFFFF" w:themeColor="background1"/>
                <w:sz w:val="16"/>
                <w:szCs w:val="16"/>
              </w:rPr>
              <w:t>Frekvencia plnenia povinnosti</w:t>
            </w:r>
          </w:p>
        </w:tc>
        <w:tc>
          <w:tcPr>
            <w:tcW w:w="1079" w:type="dxa"/>
            <w:tcBorders>
              <w:top w:val="single" w:sz="2" w:space="0" w:color="81BC00"/>
              <w:left w:val="single" w:sz="4" w:space="0" w:color="FFFFFF" w:themeColor="background1"/>
              <w:bottom w:val="single" w:sz="2" w:space="0" w:color="81BC00"/>
              <w:right w:val="single" w:sz="2" w:space="0" w:color="81BC00"/>
            </w:tcBorders>
            <w:shd w:val="clear" w:color="auto" w:fill="81BC00"/>
            <w:tcMar>
              <w:top w:w="28" w:type="dxa"/>
              <w:left w:w="28" w:type="dxa"/>
              <w:bottom w:w="28" w:type="dxa"/>
              <w:right w:w="28" w:type="dxa"/>
            </w:tcMar>
            <w:vAlign w:val="center"/>
            <w:hideMark/>
          </w:tcPr>
          <w:p w:rsidR="009F2DFA" w:rsidRPr="00C07FF5" w:rsidRDefault="009F2DFA" w:rsidP="00347F64">
            <w:pPr>
              <w:pStyle w:val="BodyText1"/>
              <w:spacing w:after="0"/>
              <w:jc w:val="center"/>
              <w:rPr>
                <w:rFonts w:asciiTheme="minorHAnsi" w:hAnsiTheme="minorHAnsi" w:cstheme="minorHAnsi"/>
                <w:color w:val="FFFFFF" w:themeColor="background1"/>
                <w:sz w:val="16"/>
                <w:szCs w:val="16"/>
                <w:lang w:val="en-US"/>
              </w:rPr>
            </w:pPr>
            <w:r w:rsidRPr="00C07FF5">
              <w:rPr>
                <w:rFonts w:asciiTheme="minorHAnsi" w:hAnsiTheme="minorHAnsi" w:cstheme="minorHAnsi"/>
                <w:bCs/>
                <w:color w:val="FFFFFF" w:themeColor="background1"/>
                <w:sz w:val="16"/>
                <w:szCs w:val="16"/>
              </w:rPr>
              <w:t>Koeficient frekvencie</w:t>
            </w:r>
          </w:p>
        </w:tc>
      </w:tr>
      <w:tr w:rsidR="009F2DFA" w:rsidRPr="00C07FF5" w:rsidTr="00347F64">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47F64">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C07FF5" w:rsidRDefault="009F2DFA" w:rsidP="00347F64">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47F64">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každé 2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347F64">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0,5</w:t>
            </w:r>
            <w:r w:rsidRPr="00C07FF5">
              <w:rPr>
                <w:rFonts w:asciiTheme="minorHAnsi" w:hAnsiTheme="minorHAnsi" w:cstheme="minorHAnsi"/>
                <w:sz w:val="16"/>
                <w:szCs w:val="16"/>
                <w:lang w:val="en-US"/>
              </w:rPr>
              <w:t>0</w:t>
            </w:r>
          </w:p>
        </w:tc>
      </w:tr>
      <w:tr w:rsidR="009F2DFA" w:rsidRPr="00C07FF5" w:rsidTr="00347F64">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47F64">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C07FF5" w:rsidRDefault="009F2DFA" w:rsidP="00347F64">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47F64">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každé 3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347F64">
            <w:pPr>
              <w:pStyle w:val="BodyText1"/>
              <w:spacing w:after="0"/>
              <w:jc w:val="right"/>
              <w:rPr>
                <w:rFonts w:asciiTheme="minorHAnsi" w:hAnsiTheme="minorHAnsi" w:cstheme="minorHAnsi"/>
                <w:sz w:val="16"/>
                <w:szCs w:val="16"/>
              </w:rPr>
            </w:pPr>
            <w:r w:rsidRPr="00C07FF5">
              <w:rPr>
                <w:rFonts w:asciiTheme="minorHAnsi" w:hAnsiTheme="minorHAnsi" w:cstheme="minorHAnsi"/>
                <w:sz w:val="16"/>
                <w:szCs w:val="16"/>
              </w:rPr>
              <w:t>0,33</w:t>
            </w:r>
          </w:p>
        </w:tc>
      </w:tr>
      <w:tr w:rsidR="009F2DFA" w:rsidRPr="00C07FF5" w:rsidTr="00347F64">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47F64">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C07FF5" w:rsidRDefault="009F2DFA" w:rsidP="00347F64">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47F64">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každé 4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347F64">
            <w:pPr>
              <w:pStyle w:val="BodyText1"/>
              <w:spacing w:after="0"/>
              <w:jc w:val="right"/>
              <w:rPr>
                <w:rFonts w:asciiTheme="minorHAnsi" w:hAnsiTheme="minorHAnsi" w:cstheme="minorHAnsi"/>
                <w:sz w:val="16"/>
                <w:szCs w:val="16"/>
              </w:rPr>
            </w:pPr>
            <w:r w:rsidRPr="00C07FF5">
              <w:rPr>
                <w:rFonts w:asciiTheme="minorHAnsi" w:hAnsiTheme="minorHAnsi" w:cstheme="minorHAnsi"/>
                <w:sz w:val="16"/>
                <w:szCs w:val="16"/>
              </w:rPr>
              <w:t>0,25</w:t>
            </w:r>
          </w:p>
        </w:tc>
      </w:tr>
      <w:tr w:rsidR="009F2DFA" w:rsidRPr="00C07FF5" w:rsidTr="00347F64">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47F64">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C07FF5" w:rsidRDefault="009F2DFA" w:rsidP="00347F64">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C07FF5" w:rsidRDefault="009F2DFA" w:rsidP="00347F64">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každých 5 rokov</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347F64">
            <w:pPr>
              <w:pStyle w:val="BodyText1"/>
              <w:spacing w:after="0"/>
              <w:jc w:val="right"/>
              <w:rPr>
                <w:rFonts w:asciiTheme="minorHAnsi" w:hAnsiTheme="minorHAnsi" w:cstheme="minorHAnsi"/>
                <w:sz w:val="16"/>
                <w:szCs w:val="16"/>
              </w:rPr>
            </w:pPr>
            <w:r w:rsidRPr="00C07FF5">
              <w:rPr>
                <w:rFonts w:asciiTheme="minorHAnsi" w:hAnsiTheme="minorHAnsi" w:cstheme="minorHAnsi"/>
                <w:sz w:val="16"/>
                <w:szCs w:val="16"/>
              </w:rPr>
              <w:t>0,20</w:t>
            </w:r>
          </w:p>
        </w:tc>
      </w:tr>
      <w:tr w:rsidR="009F2DFA" w:rsidRPr="00C07FF5" w:rsidTr="00347F64">
        <w:trPr>
          <w:trHeight w:val="170"/>
          <w:jc w:val="center"/>
        </w:trPr>
        <w:tc>
          <w:tcPr>
            <w:tcW w:w="2292" w:type="dxa"/>
            <w:tcBorders>
              <w:top w:val="single" w:sz="2" w:space="0" w:color="81BC00"/>
              <w:left w:val="single" w:sz="4" w:space="0" w:color="FFFFFF" w:themeColor="background1"/>
              <w:bottom w:val="single" w:sz="2" w:space="0" w:color="81BC00"/>
              <w:right w:val="nil"/>
            </w:tcBorders>
            <w:shd w:val="clear" w:color="auto" w:fill="auto"/>
            <w:tcMar>
              <w:top w:w="28" w:type="dxa"/>
              <w:left w:w="28" w:type="dxa"/>
              <w:bottom w:w="28" w:type="dxa"/>
              <w:right w:w="28" w:type="dxa"/>
            </w:tcMar>
            <w:vAlign w:val="center"/>
            <w:hideMark/>
          </w:tcPr>
          <w:p w:rsidR="009F2DFA" w:rsidRPr="00C07FF5" w:rsidRDefault="009F2DFA" w:rsidP="00347F64">
            <w:pPr>
              <w:pStyle w:val="BodyText1"/>
              <w:spacing w:after="0"/>
              <w:rPr>
                <w:rFonts w:asciiTheme="minorHAnsi" w:hAnsiTheme="minorHAnsi" w:cstheme="minorHAnsi"/>
                <w:sz w:val="16"/>
                <w:szCs w:val="16"/>
                <w:lang w:val="en-US"/>
              </w:rPr>
            </w:pPr>
            <w:r w:rsidRPr="00C07FF5">
              <w:rPr>
                <w:rFonts w:asciiTheme="minorHAnsi" w:hAnsiTheme="minorHAnsi" w:cstheme="minorHAnsi"/>
                <w:bCs/>
                <w:sz w:val="16"/>
                <w:szCs w:val="16"/>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rsidR="009F2DFA" w:rsidRPr="00C07FF5" w:rsidRDefault="009F2DFA" w:rsidP="00347F64">
            <w:pPr>
              <w:pStyle w:val="BodyText1"/>
              <w:spacing w:after="0"/>
              <w:jc w:val="right"/>
              <w:rPr>
                <w:rFonts w:asciiTheme="minorHAnsi" w:hAnsiTheme="minorHAnsi" w:cstheme="minorHAnsi"/>
                <w:sz w:val="16"/>
                <w:szCs w:val="16"/>
                <w:lang w:val="en-US"/>
              </w:rPr>
            </w:pPr>
            <w:r w:rsidRPr="00C07FF5">
              <w:rPr>
                <w:rFonts w:asciiTheme="minorHAnsi" w:hAnsiTheme="minorHAnsi" w:cstheme="minorHAnsi"/>
                <w:sz w:val="16"/>
                <w:szCs w:val="16"/>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rsidR="009F2DFA" w:rsidRPr="00C07FF5" w:rsidRDefault="009F2DFA" w:rsidP="00347F64">
            <w:pPr>
              <w:pStyle w:val="BodyText1"/>
              <w:spacing w:after="0"/>
              <w:rPr>
                <w:rFonts w:asciiTheme="minorHAnsi" w:hAnsiTheme="minorHAnsi" w:cstheme="minorHAnsi"/>
                <w:sz w:val="16"/>
                <w:szCs w:val="16"/>
                <w:lang w:val="en-US"/>
              </w:rPr>
            </w:pPr>
            <w:r w:rsidRPr="00C07FF5">
              <w:rPr>
                <w:rFonts w:asciiTheme="minorHAnsi" w:hAnsiTheme="minorHAnsi" w:cstheme="minorHAnsi"/>
                <w:sz w:val="16"/>
                <w:szCs w:val="16"/>
              </w:rPr>
              <w:t>nepravidelne/ jednorazovo</w:t>
            </w:r>
          </w:p>
        </w:tc>
        <w:tc>
          <w:tcPr>
            <w:tcW w:w="1079" w:type="dxa"/>
            <w:tcBorders>
              <w:top w:val="single" w:sz="2" w:space="0" w:color="81BC00"/>
              <w:left w:val="nil"/>
              <w:bottom w:val="single" w:sz="2" w:space="0" w:color="81BC00"/>
              <w:right w:val="single" w:sz="4" w:space="0" w:color="FFFFFF" w:themeColor="background1"/>
            </w:tcBorders>
            <w:shd w:val="clear" w:color="auto" w:fill="D8E7CB"/>
            <w:tcMar>
              <w:top w:w="28" w:type="dxa"/>
              <w:left w:w="28" w:type="dxa"/>
              <w:bottom w:w="28" w:type="dxa"/>
              <w:right w:w="397" w:type="dxa"/>
            </w:tcMar>
            <w:vAlign w:val="center"/>
            <w:hideMark/>
          </w:tcPr>
          <w:p w:rsidR="009F2DFA" w:rsidRPr="00C07FF5" w:rsidRDefault="009F2DFA" w:rsidP="00347F64">
            <w:pPr>
              <w:pStyle w:val="BodyText1"/>
              <w:spacing w:after="0"/>
              <w:jc w:val="right"/>
              <w:rPr>
                <w:rFonts w:asciiTheme="minorHAnsi" w:hAnsiTheme="minorHAnsi" w:cstheme="minorHAnsi"/>
                <w:sz w:val="16"/>
                <w:szCs w:val="16"/>
              </w:rPr>
            </w:pPr>
            <w:r w:rsidRPr="00C07FF5">
              <w:rPr>
                <w:rFonts w:asciiTheme="minorHAnsi" w:hAnsiTheme="minorHAnsi" w:cstheme="minorHAnsi"/>
                <w:sz w:val="16"/>
                <w:szCs w:val="16"/>
              </w:rPr>
              <w:t>0,10</w:t>
            </w:r>
          </w:p>
        </w:tc>
      </w:tr>
    </w:tbl>
    <w:p w:rsidR="009F2DFA" w:rsidRDefault="009F2DFA" w:rsidP="009F2DFA">
      <w:pPr>
        <w:pStyle w:val="BodyText1"/>
        <w:spacing w:after="0" w:line="276" w:lineRule="auto"/>
        <w:ind w:left="1134"/>
        <w:rPr>
          <w:rFonts w:ascii="Times New Roman" w:eastAsiaTheme="minorHAnsi" w:hAnsi="Times New Roman"/>
          <w:color w:val="auto"/>
          <w:sz w:val="20"/>
          <w:szCs w:val="22"/>
        </w:rPr>
      </w:pPr>
    </w:p>
    <w:p w:rsidR="00780BA6" w:rsidRDefault="00780BA6" w:rsidP="009F2DFA">
      <w:pPr>
        <w:pStyle w:val="BodyText1"/>
        <w:spacing w:line="276" w:lineRule="auto"/>
        <w:jc w:val="both"/>
        <w:rPr>
          <w:rFonts w:ascii="Times New Roman" w:hAnsi="Times New Roman"/>
          <w:sz w:val="24"/>
          <w:szCs w:val="20"/>
        </w:rPr>
      </w:pPr>
    </w:p>
    <w:p w:rsidR="009F2DFA" w:rsidRPr="00042C66" w:rsidRDefault="009F2DFA" w:rsidP="009F2DFA">
      <w:pPr>
        <w:pStyle w:val="BodyText1"/>
        <w:spacing w:line="276" w:lineRule="auto"/>
        <w:jc w:val="both"/>
        <w:rPr>
          <w:rFonts w:ascii="Times New Roman" w:hAnsi="Times New Roman"/>
          <w:sz w:val="24"/>
        </w:rPr>
      </w:pPr>
      <w:r w:rsidRPr="00042C66">
        <w:rPr>
          <w:rFonts w:ascii="Times New Roman" w:hAnsi="Times New Roman"/>
          <w:sz w:val="24"/>
          <w:szCs w:val="20"/>
        </w:rPr>
        <w:lastRenderedPageBreak/>
        <w:t xml:space="preserve">Jednotlivé položky nákladov sú na úrovni 1 povinnosti kalkulované na základe nasledovných princípov: </w:t>
      </w:r>
    </w:p>
    <w:p w:rsidR="009F2DFA" w:rsidRPr="00042C66" w:rsidRDefault="009F2DFA" w:rsidP="009F2DFA">
      <w:pPr>
        <w:pStyle w:val="BodyText1"/>
        <w:rPr>
          <w:rFonts w:ascii="Times New Roman" w:eastAsiaTheme="minorHAnsi" w:hAnsi="Times New Roman"/>
          <w:b/>
          <w:i/>
          <w:color w:val="auto"/>
          <w:sz w:val="24"/>
          <w:szCs w:val="20"/>
        </w:rPr>
      </w:pPr>
      <w:r w:rsidRPr="00042C66">
        <w:rPr>
          <w:rFonts w:ascii="Times New Roman" w:eastAsiaTheme="minorHAnsi" w:hAnsi="Times New Roman"/>
          <w:b/>
          <w:i/>
          <w:color w:val="auto"/>
          <w:sz w:val="24"/>
          <w:szCs w:val="20"/>
        </w:rPr>
        <w:t>Náklady na 1 podnikateľa</w:t>
      </w:r>
    </w:p>
    <w:p w:rsidR="009F2DFA" w:rsidRPr="00042C66" w:rsidRDefault="009F2DFA" w:rsidP="009F2DFA">
      <w:pPr>
        <w:pStyle w:val="BodyText1"/>
        <w:rPr>
          <w:rFonts w:ascii="Times New Roman" w:eastAsiaTheme="minorHAnsi" w:hAnsi="Times New Roman"/>
          <w:color w:val="auto"/>
          <w:sz w:val="24"/>
          <w:szCs w:val="20"/>
        </w:rPr>
      </w:pPr>
      <w:r w:rsidRPr="00042C66">
        <w:rPr>
          <w:rFonts w:ascii="Times New Roman" w:eastAsiaTheme="minorHAnsi" w:hAnsi="Times New Roman"/>
          <w:i/>
          <w:color w:val="auto"/>
          <w:sz w:val="24"/>
          <w:szCs w:val="20"/>
        </w:rPr>
        <w:t xml:space="preserve">Priame a nepriame náklady na 1 podnikateľa - </w:t>
      </w:r>
      <w:r w:rsidRPr="00042C66">
        <w:rPr>
          <w:rFonts w:ascii="Times New Roman" w:eastAsiaTheme="minorHAnsi" w:hAnsi="Times New Roman"/>
          <w:color w:val="auto"/>
          <w:sz w:val="24"/>
          <w:szCs w:val="20"/>
        </w:rPr>
        <w:t>výška priamych a nepriamych nákladov povinnosti na 1 podnikateľa je vyčíslená na základe vzorca:</w:t>
      </w:r>
    </w:p>
    <w:p w:rsidR="009F2DFA" w:rsidRDefault="009F2DFA" w:rsidP="009F2DFA">
      <w:pPr>
        <w:pStyle w:val="BodyText1"/>
      </w:pPr>
      <w:r>
        <w:rPr>
          <w:rFonts w:ascii="Times New Roman" w:hAnsi="Times New Roman"/>
          <w:noProof/>
          <w:lang w:eastAsia="sk-SK"/>
        </w:rPr>
        <mc:AlternateContent>
          <mc:Choice Requires="wps">
            <w:drawing>
              <wp:anchor distT="0" distB="0" distL="114300" distR="114300" simplePos="0" relativeHeight="251660288" behindDoc="0" locked="0" layoutInCell="1" allowOverlap="1" wp14:anchorId="1972291E" wp14:editId="4BA027B5">
                <wp:simplePos x="0" y="0"/>
                <wp:positionH relativeFrom="column">
                  <wp:posOffset>1871980</wp:posOffset>
                </wp:positionH>
                <wp:positionV relativeFrom="paragraph">
                  <wp:posOffset>650875</wp:posOffset>
                </wp:positionV>
                <wp:extent cx="152400" cy="76200"/>
                <wp:effectExtent l="0" t="0" r="19050" b="19050"/>
                <wp:wrapNone/>
                <wp:docPr id="26" name="Obdĺžnik 26"/>
                <wp:cNvGraphicFramePr/>
                <a:graphic xmlns:a="http://schemas.openxmlformats.org/drawingml/2006/main">
                  <a:graphicData uri="http://schemas.microsoft.com/office/word/2010/wordprocessingShape">
                    <wps:wsp>
                      <wps:cNvSpPr/>
                      <wps:spPr>
                        <a:xfrm>
                          <a:off x="0" y="0"/>
                          <a:ext cx="152400" cy="76200"/>
                        </a:xfrm>
                        <a:prstGeom prst="rect">
                          <a:avLst/>
                        </a:prstGeom>
                        <a:solidFill>
                          <a:srgbClr val="19A2FF"/>
                        </a:solidFill>
                        <a:ln>
                          <a:solidFill>
                            <a:srgbClr val="19A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26" o:spid="_x0000_s1026" style="position:absolute;margin-left:147.4pt;margin-top:51.25pt;width:12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" fillcolor="#19a2ff" strokecolor="#19a2ff" strokeweight="2pt"/>
            </w:pict>
          </mc:Fallback>
        </mc:AlternateContent>
      </w:r>
      <w:r>
        <w:rPr>
          <w:rFonts w:ascii="Times New Roman" w:hAnsi="Times New Roman"/>
          <w:noProof/>
          <w:lang w:eastAsia="sk-SK"/>
        </w:rPr>
        <mc:AlternateContent>
          <mc:Choice Requires="wps">
            <w:drawing>
              <wp:anchor distT="0" distB="0" distL="114300" distR="114300" simplePos="0" relativeHeight="251659264" behindDoc="0" locked="0" layoutInCell="1" allowOverlap="1" wp14:anchorId="5A20335A" wp14:editId="205EF36A">
                <wp:simplePos x="0" y="0"/>
                <wp:positionH relativeFrom="column">
                  <wp:posOffset>1871980</wp:posOffset>
                </wp:positionH>
                <wp:positionV relativeFrom="paragraph">
                  <wp:posOffset>98425</wp:posOffset>
                </wp:positionV>
                <wp:extent cx="152400" cy="76200"/>
                <wp:effectExtent l="0" t="0" r="19050" b="19050"/>
                <wp:wrapNone/>
                <wp:docPr id="25" name="Obdĺžnik 25"/>
                <wp:cNvGraphicFramePr/>
                <a:graphic xmlns:a="http://schemas.openxmlformats.org/drawingml/2006/main">
                  <a:graphicData uri="http://schemas.microsoft.com/office/word/2010/wordprocessingShape">
                    <wps:wsp>
                      <wps:cNvSpPr/>
                      <wps:spPr>
                        <a:xfrm>
                          <a:off x="0" y="0"/>
                          <a:ext cx="152400" cy="76200"/>
                        </a:xfrm>
                        <a:prstGeom prst="rect">
                          <a:avLst/>
                        </a:prstGeom>
                        <a:solidFill>
                          <a:srgbClr val="19A2FF"/>
                        </a:solidFill>
                        <a:ln>
                          <a:solidFill>
                            <a:srgbClr val="19A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25" o:spid="_x0000_s1026" style="position:absolute;margin-left:147.4pt;margin-top:7.75pt;width:12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" fillcolor="#19a2ff" strokecolor="#19a2ff" strokeweight="2pt"/>
            </w:pict>
          </mc:Fallback>
        </mc:AlternateContent>
      </w:r>
      <w:r w:rsidRPr="00042C66">
        <w:rPr>
          <w:rFonts w:ascii="Times New Roman" w:hAnsi="Times New Roman"/>
          <w:noProof/>
          <w:lang w:eastAsia="sk-SK"/>
        </w:rPr>
        <w:drawing>
          <wp:inline distT="0" distB="0" distL="0" distR="0" wp14:anchorId="75ACFCAD" wp14:editId="08666A85">
            <wp:extent cx="2085975" cy="885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979" cy="884128"/>
                    </a:xfrm>
                    <a:prstGeom prst="rect">
                      <a:avLst/>
                    </a:prstGeom>
                    <a:noFill/>
                    <a:ln>
                      <a:noFill/>
                    </a:ln>
                  </pic:spPr>
                </pic:pic>
              </a:graphicData>
            </a:graphic>
          </wp:inline>
        </w:drawing>
      </w:r>
    </w:p>
    <w:p w:rsidR="009F2DFA" w:rsidRDefault="009F2DFA" w:rsidP="009F2DFA">
      <w:pPr>
        <w:pStyle w:val="BodyText1"/>
        <w:rPr>
          <w:b/>
        </w:rPr>
      </w:pPr>
    </w:p>
    <w:p w:rsidR="009F2DFA" w:rsidRPr="00323A7A" w:rsidRDefault="009F2DFA" w:rsidP="009F2DFA">
      <w:pPr>
        <w:pStyle w:val="BodyText1"/>
        <w:rPr>
          <w:rFonts w:ascii="Times New Roman" w:eastAsiaTheme="minorHAnsi" w:hAnsi="Times New Roman"/>
          <w:color w:val="auto"/>
          <w:sz w:val="24"/>
          <w:szCs w:val="24"/>
        </w:rPr>
      </w:pPr>
      <w:r w:rsidRPr="00323A7A">
        <w:rPr>
          <w:rFonts w:ascii="Times New Roman" w:eastAsiaTheme="minorHAnsi" w:hAnsi="Times New Roman"/>
          <w:i/>
          <w:color w:val="auto"/>
          <w:sz w:val="24"/>
          <w:szCs w:val="24"/>
        </w:rPr>
        <w:t xml:space="preserve">Administratívne náklady na 1 podnikateľa - </w:t>
      </w:r>
      <w:r w:rsidRPr="00323A7A">
        <w:rPr>
          <w:rFonts w:ascii="Times New Roman" w:eastAsiaTheme="minorHAnsi" w:hAnsi="Times New Roman"/>
          <w:color w:val="auto"/>
          <w:sz w:val="24"/>
          <w:szCs w:val="24"/>
        </w:rPr>
        <w:t>výška administratívnych nákladov povinnosti na 1 podnikateľa</w:t>
      </w:r>
      <w:r w:rsidRPr="00323A7A" w:rsidDel="00692341">
        <w:rPr>
          <w:rFonts w:ascii="Times New Roman" w:eastAsiaTheme="minorHAnsi" w:hAnsi="Times New Roman"/>
          <w:color w:val="auto"/>
          <w:sz w:val="24"/>
          <w:szCs w:val="24"/>
        </w:rPr>
        <w:t xml:space="preserve"> </w:t>
      </w:r>
      <w:r w:rsidRPr="00323A7A">
        <w:rPr>
          <w:rFonts w:ascii="Times New Roman" w:eastAsiaTheme="minorHAnsi" w:hAnsi="Times New Roman"/>
          <w:color w:val="auto"/>
          <w:sz w:val="24"/>
          <w:szCs w:val="24"/>
        </w:rPr>
        <w:t>je vyčíslená na základe vzorca:</w:t>
      </w:r>
    </w:p>
    <w:p w:rsidR="009F2DFA" w:rsidRPr="00042C66" w:rsidRDefault="009F2DFA" w:rsidP="009F2DFA">
      <w:pPr>
        <w:pStyle w:val="BodyText1"/>
        <w:rPr>
          <w:rFonts w:ascii="Times New Roman" w:hAnsi="Times New Roman"/>
        </w:rPr>
      </w:pPr>
      <w:r>
        <w:rPr>
          <w:rFonts w:ascii="Times New Roman" w:hAnsi="Times New Roman"/>
          <w:noProof/>
          <w:lang w:eastAsia="sk-SK"/>
        </w:rPr>
        <mc:AlternateContent>
          <mc:Choice Requires="wps">
            <w:drawing>
              <wp:anchor distT="0" distB="0" distL="114300" distR="114300" simplePos="0" relativeHeight="251661312" behindDoc="0" locked="0" layoutInCell="1" allowOverlap="1" wp14:anchorId="5C11128F" wp14:editId="1601D22A">
                <wp:simplePos x="0" y="0"/>
                <wp:positionH relativeFrom="column">
                  <wp:posOffset>3195955</wp:posOffset>
                </wp:positionH>
                <wp:positionV relativeFrom="paragraph">
                  <wp:posOffset>123824</wp:posOffset>
                </wp:positionV>
                <wp:extent cx="123825" cy="85725"/>
                <wp:effectExtent l="0" t="0" r="28575" b="28575"/>
                <wp:wrapNone/>
                <wp:docPr id="27" name="Obdĺžnik 27"/>
                <wp:cNvGraphicFramePr/>
                <a:graphic xmlns:a="http://schemas.openxmlformats.org/drawingml/2006/main">
                  <a:graphicData uri="http://schemas.microsoft.com/office/word/2010/wordprocessingShape">
                    <wps:wsp>
                      <wps:cNvSpPr/>
                      <wps:spPr>
                        <a:xfrm flipV="1">
                          <a:off x="0" y="0"/>
                          <a:ext cx="123825" cy="85725"/>
                        </a:xfrm>
                        <a:prstGeom prst="rect">
                          <a:avLst/>
                        </a:prstGeom>
                        <a:solidFill>
                          <a:srgbClr val="7CBF33"/>
                        </a:solidFill>
                        <a:ln>
                          <a:solidFill>
                            <a:srgbClr val="7CB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ĺžnik 27" o:spid="_x0000_s1026" style="position:absolute;margin-left:251.65pt;margin-top:9.75pt;width:9.75pt;height:6.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" fillcolor="#7cbf33" strokecolor="#7cbf33" strokeweight="2pt"/>
            </w:pict>
          </mc:Fallback>
        </mc:AlternateContent>
      </w:r>
      <w:r w:rsidRPr="00042C66">
        <w:rPr>
          <w:rFonts w:ascii="Times New Roman" w:hAnsi="Times New Roman"/>
          <w:noProof/>
          <w:lang w:eastAsia="sk-SK"/>
        </w:rPr>
        <w:drawing>
          <wp:inline distT="0" distB="0" distL="0" distR="0" wp14:anchorId="5EE86368" wp14:editId="143A77EF">
            <wp:extent cx="3390898" cy="371475"/>
            <wp:effectExtent l="0" t="0" r="63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0898" cy="371475"/>
                    </a:xfrm>
                    <a:prstGeom prst="rect">
                      <a:avLst/>
                    </a:prstGeom>
                    <a:noFill/>
                    <a:ln>
                      <a:noFill/>
                    </a:ln>
                  </pic:spPr>
                </pic:pic>
              </a:graphicData>
            </a:graphic>
          </wp:inline>
        </w:drawing>
      </w:r>
    </w:p>
    <w:p w:rsidR="009F2DFA" w:rsidRPr="00042C66" w:rsidRDefault="009F2DFA" w:rsidP="009F2DFA">
      <w:pPr>
        <w:pStyle w:val="BodyText1"/>
        <w:rPr>
          <w:rFonts w:ascii="Times New Roman" w:hAnsi="Times New Roman"/>
          <w:i/>
          <w:sz w:val="16"/>
          <w:szCs w:val="16"/>
        </w:rPr>
      </w:pPr>
      <w:r w:rsidRPr="00042C66">
        <w:rPr>
          <w:rFonts w:ascii="Times New Roman" w:hAnsi="Times New Roman"/>
          <w:i/>
          <w:sz w:val="16"/>
          <w:szCs w:val="16"/>
          <w:lang w:val="en-US"/>
        </w:rPr>
        <w:t>*</w:t>
      </w:r>
      <w:r w:rsidRPr="00042C66">
        <w:rPr>
          <w:rFonts w:ascii="Times New Roman" w:hAnsi="Times New Roman"/>
          <w:i/>
          <w:sz w:val="16"/>
          <w:szCs w:val="16"/>
        </w:rPr>
        <w:t xml:space="preserve">Tarifa – vychádza z priemernej hrubej mzdy v národnom hospodárstve (priemerná hrubá mesačná mzda v národnom hospodárstve SR za rok 2013 - 835 EUR, </w:t>
      </w:r>
      <w:proofErr w:type="spellStart"/>
      <w:r w:rsidRPr="00042C66">
        <w:rPr>
          <w:rFonts w:ascii="Times New Roman" w:hAnsi="Times New Roman"/>
          <w:i/>
          <w:sz w:val="16"/>
          <w:szCs w:val="16"/>
        </w:rPr>
        <w:t>Eurostat</w:t>
      </w:r>
      <w:proofErr w:type="spellEnd"/>
      <w:r w:rsidRPr="00042C66">
        <w:rPr>
          <w:rFonts w:ascii="Times New Roman" w:hAnsi="Times New Roman"/>
          <w:i/>
          <w:sz w:val="16"/>
          <w:szCs w:val="16"/>
        </w:rPr>
        <w:t xml:space="preserve">). </w:t>
      </w:r>
    </w:p>
    <w:p w:rsidR="009F2DFA" w:rsidRPr="00042C66" w:rsidRDefault="009F2DFA" w:rsidP="009F2DFA">
      <w:pPr>
        <w:pStyle w:val="BodyText1"/>
        <w:rPr>
          <w:rFonts w:ascii="Times New Roman" w:eastAsiaTheme="minorHAnsi" w:hAnsi="Times New Roman"/>
          <w:i/>
          <w:color w:val="auto"/>
          <w:sz w:val="20"/>
          <w:szCs w:val="20"/>
        </w:rPr>
      </w:pPr>
    </w:p>
    <w:p w:rsidR="009F2DFA" w:rsidRPr="00042C66" w:rsidRDefault="009F2DFA" w:rsidP="009F2DFA">
      <w:pPr>
        <w:pStyle w:val="BodyText1"/>
        <w:rPr>
          <w:rFonts w:ascii="Times New Roman" w:eastAsiaTheme="minorHAnsi" w:hAnsi="Times New Roman"/>
          <w:color w:val="auto"/>
          <w:sz w:val="24"/>
          <w:szCs w:val="20"/>
        </w:rPr>
      </w:pPr>
      <w:r w:rsidRPr="00042C66">
        <w:rPr>
          <w:rFonts w:ascii="Times New Roman" w:eastAsiaTheme="minorHAnsi" w:hAnsi="Times New Roman"/>
          <w:i/>
          <w:color w:val="auto"/>
          <w:sz w:val="24"/>
          <w:szCs w:val="20"/>
        </w:rPr>
        <w:t xml:space="preserve">Celkové náklady na 1 podnikateľa - </w:t>
      </w:r>
      <w:r w:rsidRPr="00042C66">
        <w:rPr>
          <w:rFonts w:ascii="Times New Roman" w:eastAsiaTheme="minorHAnsi" w:hAnsi="Times New Roman"/>
          <w:color w:val="auto"/>
          <w:sz w:val="24"/>
          <w:szCs w:val="20"/>
        </w:rPr>
        <w:t>výška celkových nákladov povinnosti na 1 podnikateľa</w:t>
      </w:r>
      <w:r w:rsidRPr="00042C66" w:rsidDel="00692341">
        <w:rPr>
          <w:rFonts w:ascii="Times New Roman" w:eastAsiaTheme="minorHAnsi" w:hAnsi="Times New Roman"/>
          <w:color w:val="auto"/>
          <w:sz w:val="24"/>
          <w:szCs w:val="20"/>
        </w:rPr>
        <w:t xml:space="preserve"> </w:t>
      </w:r>
      <w:r w:rsidRPr="00042C66">
        <w:rPr>
          <w:rFonts w:ascii="Times New Roman" w:eastAsiaTheme="minorHAnsi" w:hAnsi="Times New Roman"/>
          <w:color w:val="auto"/>
          <w:sz w:val="24"/>
          <w:szCs w:val="20"/>
        </w:rPr>
        <w:t>je automatizovane vyčíslené na základe vzorca:</w:t>
      </w:r>
    </w:p>
    <w:p w:rsidR="009F2DFA" w:rsidRDefault="009F2DFA" w:rsidP="009F2DFA">
      <w:pPr>
        <w:pStyle w:val="BodyText1"/>
      </w:pPr>
      <w:r w:rsidRPr="00323A7A">
        <w:rPr>
          <w:noProof/>
          <w:lang w:eastAsia="sk-SK"/>
        </w:rPr>
        <w:drawing>
          <wp:inline distT="0" distB="0" distL="0" distR="0" wp14:anchorId="2217B590" wp14:editId="029D0F76">
            <wp:extent cx="3876672" cy="409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502" cy="409874"/>
                    </a:xfrm>
                    <a:prstGeom prst="rect">
                      <a:avLst/>
                    </a:prstGeom>
                    <a:noFill/>
                    <a:ln>
                      <a:noFill/>
                    </a:ln>
                  </pic:spPr>
                </pic:pic>
              </a:graphicData>
            </a:graphic>
          </wp:inline>
        </w:drawing>
      </w:r>
    </w:p>
    <w:p w:rsidR="009F2DFA" w:rsidRDefault="009F2DFA" w:rsidP="009F2DFA">
      <w:pPr>
        <w:pStyle w:val="BodyText1"/>
      </w:pPr>
    </w:p>
    <w:p w:rsidR="009F2DFA" w:rsidRPr="00042C66" w:rsidRDefault="009F2DFA" w:rsidP="009F2DFA">
      <w:pPr>
        <w:pStyle w:val="BodyText1"/>
        <w:rPr>
          <w:rFonts w:ascii="Times New Roman" w:eastAsiaTheme="minorHAnsi" w:hAnsi="Times New Roman"/>
          <w:b/>
          <w:i/>
          <w:color w:val="auto"/>
          <w:sz w:val="24"/>
          <w:szCs w:val="20"/>
        </w:rPr>
      </w:pPr>
      <w:r w:rsidRPr="00042C66">
        <w:rPr>
          <w:rFonts w:ascii="Times New Roman" w:eastAsiaTheme="minorHAnsi" w:hAnsi="Times New Roman"/>
          <w:b/>
          <w:i/>
          <w:color w:val="auto"/>
          <w:sz w:val="24"/>
          <w:szCs w:val="20"/>
        </w:rPr>
        <w:t>Náklady na celé podnikateľské prostredie</w:t>
      </w:r>
    </w:p>
    <w:p w:rsidR="009F2DFA" w:rsidRPr="00042C66" w:rsidRDefault="009F2DFA" w:rsidP="009F2DFA">
      <w:pPr>
        <w:pStyle w:val="BodyText1"/>
        <w:rPr>
          <w:rFonts w:ascii="Times New Roman" w:eastAsiaTheme="minorHAnsi" w:hAnsi="Times New Roman"/>
          <w:color w:val="auto"/>
          <w:sz w:val="24"/>
          <w:szCs w:val="20"/>
        </w:rPr>
      </w:pPr>
      <w:r w:rsidRPr="00042C66">
        <w:rPr>
          <w:rFonts w:ascii="Times New Roman" w:eastAsiaTheme="minorHAnsi" w:hAnsi="Times New Roman"/>
          <w:i/>
          <w:color w:val="auto"/>
          <w:sz w:val="24"/>
          <w:szCs w:val="20"/>
        </w:rPr>
        <w:t xml:space="preserve">Priame a nepriame náklady na celé podnikateľské prostredie - </w:t>
      </w:r>
      <w:r w:rsidRPr="00042C66">
        <w:rPr>
          <w:rFonts w:ascii="Times New Roman" w:eastAsiaTheme="minorHAnsi" w:hAnsi="Times New Roman"/>
          <w:color w:val="auto"/>
          <w:sz w:val="24"/>
          <w:szCs w:val="20"/>
        </w:rPr>
        <w:t>výška priamych a nepriamych nákladov povinnosti na celé podnikateľské prostredie je vyčíslená na základe vzorca:</w:t>
      </w:r>
    </w:p>
    <w:p w:rsidR="009F2DFA" w:rsidRDefault="009F2DFA" w:rsidP="009F2DFA">
      <w:pPr>
        <w:pStyle w:val="BodyText1"/>
      </w:pPr>
      <w:r w:rsidRPr="0017731D">
        <w:rPr>
          <w:noProof/>
          <w:lang w:eastAsia="sk-SK"/>
        </w:rPr>
        <w:drawing>
          <wp:inline distT="0" distB="0" distL="0" distR="0" wp14:anchorId="5E66D38B" wp14:editId="29CE65C0">
            <wp:extent cx="2809875" cy="914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0872" cy="914724"/>
                    </a:xfrm>
                    <a:prstGeom prst="rect">
                      <a:avLst/>
                    </a:prstGeom>
                    <a:noFill/>
                    <a:ln>
                      <a:noFill/>
                    </a:ln>
                  </pic:spPr>
                </pic:pic>
              </a:graphicData>
            </a:graphic>
          </wp:inline>
        </w:drawing>
      </w:r>
    </w:p>
    <w:p w:rsidR="009F2DFA" w:rsidRDefault="009F2DFA" w:rsidP="009F2DFA">
      <w:pPr>
        <w:pStyle w:val="BodyText1"/>
        <w:rPr>
          <w:b/>
        </w:rPr>
      </w:pPr>
    </w:p>
    <w:p w:rsidR="009F2DFA" w:rsidRPr="00042C66" w:rsidRDefault="009F2DFA" w:rsidP="009F2DFA">
      <w:pPr>
        <w:pStyle w:val="BodyText1"/>
        <w:rPr>
          <w:rFonts w:ascii="Times New Roman" w:eastAsiaTheme="minorHAnsi" w:hAnsi="Times New Roman"/>
          <w:i/>
          <w:color w:val="auto"/>
          <w:sz w:val="24"/>
          <w:szCs w:val="20"/>
        </w:rPr>
      </w:pPr>
      <w:r w:rsidRPr="00042C66">
        <w:rPr>
          <w:rFonts w:ascii="Times New Roman" w:eastAsiaTheme="minorHAnsi" w:hAnsi="Times New Roman"/>
          <w:i/>
          <w:color w:val="auto"/>
          <w:sz w:val="24"/>
          <w:szCs w:val="20"/>
        </w:rPr>
        <w:t xml:space="preserve">Administratívne náklady na celé podnikateľské prostredie - </w:t>
      </w:r>
      <w:r w:rsidRPr="00042C66">
        <w:rPr>
          <w:rFonts w:ascii="Times New Roman" w:eastAsiaTheme="minorHAnsi" w:hAnsi="Times New Roman"/>
          <w:color w:val="auto"/>
          <w:sz w:val="24"/>
          <w:szCs w:val="20"/>
        </w:rPr>
        <w:t>výška administratívnych nákladov povinnosti na celé podnikateľské prostredie je vyčíslená na základe vzorca:</w:t>
      </w:r>
    </w:p>
    <w:p w:rsidR="009F2DFA" w:rsidRPr="00042C66" w:rsidRDefault="009F2DFA" w:rsidP="009F2DFA">
      <w:pPr>
        <w:pStyle w:val="BodyText1"/>
        <w:rPr>
          <w:rFonts w:ascii="Times New Roman" w:hAnsi="Times New Roman"/>
        </w:rPr>
      </w:pPr>
      <w:r w:rsidRPr="00042C66">
        <w:rPr>
          <w:rFonts w:ascii="Times New Roman" w:hAnsi="Times New Roman"/>
          <w:noProof/>
          <w:lang w:eastAsia="sk-SK"/>
        </w:rPr>
        <w:drawing>
          <wp:inline distT="0" distB="0" distL="0" distR="0" wp14:anchorId="6E223098" wp14:editId="30AF19C0">
            <wp:extent cx="3789273" cy="462033"/>
            <wp:effectExtent l="0" t="0" r="190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2369" cy="462410"/>
                    </a:xfrm>
                    <a:prstGeom prst="rect">
                      <a:avLst/>
                    </a:prstGeom>
                    <a:noFill/>
                    <a:ln>
                      <a:noFill/>
                    </a:ln>
                  </pic:spPr>
                </pic:pic>
              </a:graphicData>
            </a:graphic>
          </wp:inline>
        </w:drawing>
      </w:r>
    </w:p>
    <w:p w:rsidR="009F2DFA" w:rsidRPr="00042C66" w:rsidRDefault="009F2DFA" w:rsidP="009F2DFA">
      <w:pPr>
        <w:pStyle w:val="BodyText1"/>
        <w:rPr>
          <w:rFonts w:ascii="Times New Roman" w:hAnsi="Times New Roman"/>
          <w:i/>
          <w:sz w:val="16"/>
          <w:szCs w:val="16"/>
        </w:rPr>
      </w:pPr>
      <w:r w:rsidRPr="00042C66">
        <w:rPr>
          <w:rFonts w:ascii="Times New Roman" w:hAnsi="Times New Roman"/>
          <w:i/>
          <w:sz w:val="16"/>
          <w:szCs w:val="16"/>
          <w:lang w:val="en-US"/>
        </w:rPr>
        <w:t>*</w:t>
      </w:r>
      <w:r w:rsidRPr="00042C66">
        <w:rPr>
          <w:rFonts w:ascii="Times New Roman" w:hAnsi="Times New Roman"/>
          <w:i/>
          <w:sz w:val="16"/>
          <w:szCs w:val="16"/>
        </w:rPr>
        <w:t xml:space="preserve">Tarifa – vychádza z priemernej hrubej mzdy v národnom hospodárstve (priemerná hrubá mesačná mzda v národnom hospodárstve SR za rok 2013 - 835 EUR, </w:t>
      </w:r>
      <w:proofErr w:type="spellStart"/>
      <w:proofErr w:type="gramStart"/>
      <w:r w:rsidRPr="00042C66">
        <w:rPr>
          <w:rFonts w:ascii="Times New Roman" w:hAnsi="Times New Roman"/>
          <w:i/>
          <w:sz w:val="16"/>
          <w:szCs w:val="16"/>
        </w:rPr>
        <w:t>Eurostat</w:t>
      </w:r>
      <w:proofErr w:type="spellEnd"/>
      <w:r w:rsidRPr="00042C66">
        <w:rPr>
          <w:rFonts w:ascii="Times New Roman" w:hAnsi="Times New Roman"/>
          <w:i/>
          <w:sz w:val="16"/>
          <w:szCs w:val="16"/>
        </w:rPr>
        <w:t xml:space="preserve"> )</w:t>
      </w:r>
      <w:proofErr w:type="gramEnd"/>
      <w:r w:rsidRPr="00042C66">
        <w:rPr>
          <w:rFonts w:ascii="Times New Roman" w:hAnsi="Times New Roman"/>
          <w:i/>
          <w:sz w:val="16"/>
          <w:szCs w:val="16"/>
        </w:rPr>
        <w:t xml:space="preserve">. </w:t>
      </w:r>
    </w:p>
    <w:p w:rsidR="009F2DFA" w:rsidRPr="00042C66" w:rsidRDefault="009F2DFA" w:rsidP="009F2DFA">
      <w:pPr>
        <w:pStyle w:val="BodyText1"/>
        <w:rPr>
          <w:rFonts w:ascii="Times New Roman" w:hAnsi="Times New Roman"/>
          <w:i/>
          <w:sz w:val="20"/>
          <w:szCs w:val="16"/>
        </w:rPr>
      </w:pPr>
    </w:p>
    <w:p w:rsidR="009F2DFA" w:rsidRPr="00042C66" w:rsidRDefault="009F2DFA" w:rsidP="009F2DFA">
      <w:pPr>
        <w:pStyle w:val="BodyText1"/>
        <w:rPr>
          <w:rFonts w:ascii="Times New Roman" w:eastAsiaTheme="minorHAnsi" w:hAnsi="Times New Roman"/>
          <w:i/>
          <w:color w:val="auto"/>
          <w:sz w:val="24"/>
          <w:szCs w:val="20"/>
        </w:rPr>
      </w:pPr>
      <w:r w:rsidRPr="00042C66">
        <w:rPr>
          <w:rFonts w:ascii="Times New Roman" w:eastAsiaTheme="minorHAnsi" w:hAnsi="Times New Roman"/>
          <w:i/>
          <w:color w:val="auto"/>
          <w:sz w:val="24"/>
          <w:szCs w:val="20"/>
        </w:rPr>
        <w:t xml:space="preserve">Celkové náklady na celé podnikateľské prostredie - </w:t>
      </w:r>
      <w:r w:rsidRPr="00042C66">
        <w:rPr>
          <w:rFonts w:ascii="Times New Roman" w:eastAsiaTheme="minorHAnsi" w:hAnsi="Times New Roman"/>
          <w:color w:val="auto"/>
          <w:sz w:val="24"/>
          <w:szCs w:val="20"/>
        </w:rPr>
        <w:t>výška celkových nákladov povinnosti na celé podnikateľské prostredie je vyčíslené na základe vzorca:</w:t>
      </w:r>
    </w:p>
    <w:p w:rsidR="009F2DFA" w:rsidRDefault="009F2DFA" w:rsidP="009F2DFA">
      <w:pPr>
        <w:pStyle w:val="BodyText1"/>
      </w:pPr>
      <w:r w:rsidRPr="009D021B">
        <w:rPr>
          <w:noProof/>
          <w:lang w:eastAsia="sk-SK"/>
        </w:rPr>
        <w:lastRenderedPageBreak/>
        <w:drawing>
          <wp:inline distT="0" distB="0" distL="0" distR="0" wp14:anchorId="487BAF32" wp14:editId="4BFCDFD7">
            <wp:extent cx="4356100" cy="460593"/>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56100" cy="460593"/>
                    </a:xfrm>
                    <a:prstGeom prst="rect">
                      <a:avLst/>
                    </a:prstGeom>
                    <a:noFill/>
                    <a:ln>
                      <a:noFill/>
                    </a:ln>
                  </pic:spPr>
                </pic:pic>
              </a:graphicData>
            </a:graphic>
          </wp:inline>
        </w:drawing>
      </w:r>
    </w:p>
    <w:p w:rsidR="009F2DFA" w:rsidRDefault="009F2DFA" w:rsidP="009F2DFA">
      <w:pPr>
        <w:jc w:val="both"/>
      </w:pPr>
    </w:p>
    <w:p w:rsidR="009F2DFA" w:rsidRPr="00042C66" w:rsidRDefault="009F2DFA" w:rsidP="009F2DFA">
      <w:pPr>
        <w:jc w:val="both"/>
        <w:rPr>
          <w:color w:val="FF0000"/>
          <w:sz w:val="24"/>
          <w:szCs w:val="24"/>
        </w:rPr>
      </w:pPr>
      <w:r w:rsidRPr="00042C66">
        <w:rPr>
          <w:sz w:val="24"/>
          <w:szCs w:val="24"/>
        </w:rPr>
        <w:t>Na kalkuláciu nákladov regulácie je možné využiť kalkulačku nákladov (vo formáte MS Excel), ktorá je zverejnená na stránke Ministerstva hospodárstva SR. S ohľadom na účel použitia, resp. rozsah predkladaných materiálov a z nich vyplývajúceho počtu povinností, možno využiť pre kalkuláciu nákladov:</w:t>
      </w:r>
    </w:p>
    <w:p w:rsidR="009F2DFA" w:rsidRPr="00042C66" w:rsidRDefault="009F2DFA" w:rsidP="009F2DFA">
      <w:pPr>
        <w:pStyle w:val="Odsekzoznamu"/>
        <w:numPr>
          <w:ilvl w:val="0"/>
          <w:numId w:val="3"/>
        </w:numPr>
        <w:spacing w:after="0"/>
        <w:rPr>
          <w:rFonts w:ascii="Times New Roman" w:hAnsi="Times New Roman" w:cs="Times New Roman"/>
          <w:sz w:val="24"/>
          <w:szCs w:val="24"/>
        </w:rPr>
      </w:pPr>
      <w:r>
        <w:rPr>
          <w:rFonts w:ascii="Times New Roman" w:hAnsi="Times New Roman" w:cs="Times New Roman"/>
          <w:b/>
          <w:sz w:val="24"/>
          <w:szCs w:val="24"/>
        </w:rPr>
        <w:t>Malú kalkulačku</w:t>
      </w:r>
      <w:r w:rsidRPr="00042C66">
        <w:rPr>
          <w:rFonts w:ascii="Times New Roman" w:hAnsi="Times New Roman" w:cs="Times New Roman"/>
          <w:sz w:val="24"/>
          <w:szCs w:val="24"/>
        </w:rPr>
        <w:t xml:space="preserve"> </w:t>
      </w:r>
      <w:r w:rsidRPr="00042C66">
        <w:rPr>
          <w:rFonts w:ascii="Times New Roman" w:hAnsi="Times New Roman" w:cs="Times New Roman"/>
          <w:b/>
          <w:sz w:val="24"/>
          <w:szCs w:val="24"/>
        </w:rPr>
        <w:t xml:space="preserve">nákladov povinnosti </w:t>
      </w:r>
      <w:r w:rsidRPr="00042C66">
        <w:rPr>
          <w:rFonts w:ascii="Times New Roman" w:hAnsi="Times New Roman" w:cs="Times New Roman"/>
          <w:sz w:val="24"/>
          <w:szCs w:val="24"/>
        </w:rPr>
        <w:t>– slúži na jednoduchú kalkuláciu nákladov ľubovoľnej jednej povinnosti (</w:t>
      </w:r>
      <w:r w:rsidRPr="00042C66">
        <w:rPr>
          <w:rFonts w:ascii="Times New Roman" w:hAnsi="Times New Roman" w:cs="Times New Roman"/>
          <w:i/>
          <w:sz w:val="24"/>
          <w:szCs w:val="24"/>
        </w:rPr>
        <w:t>MS Excel, záložka č. 1 – Malá kalkulačka</w:t>
      </w:r>
      <w:r w:rsidRPr="00042C66">
        <w:rPr>
          <w:rFonts w:ascii="Times New Roman" w:hAnsi="Times New Roman" w:cs="Times New Roman"/>
          <w:sz w:val="24"/>
          <w:szCs w:val="24"/>
        </w:rPr>
        <w:t>);</w:t>
      </w:r>
    </w:p>
    <w:p w:rsidR="009F2DFA" w:rsidRPr="00042C66" w:rsidRDefault="009F2DFA" w:rsidP="009F2DFA">
      <w:pPr>
        <w:pStyle w:val="Odsekzoznamu"/>
        <w:numPr>
          <w:ilvl w:val="0"/>
          <w:numId w:val="3"/>
        </w:numPr>
        <w:spacing w:after="0"/>
        <w:rPr>
          <w:rFonts w:ascii="Times New Roman" w:hAnsi="Times New Roman" w:cs="Times New Roman"/>
          <w:sz w:val="24"/>
          <w:szCs w:val="24"/>
        </w:rPr>
      </w:pPr>
      <w:r>
        <w:rPr>
          <w:rFonts w:ascii="Times New Roman" w:hAnsi="Times New Roman" w:cs="Times New Roman"/>
          <w:b/>
          <w:sz w:val="24"/>
          <w:szCs w:val="24"/>
        </w:rPr>
        <w:t>Veľkú kalkulačku</w:t>
      </w:r>
      <w:r w:rsidRPr="00042C66">
        <w:rPr>
          <w:rFonts w:ascii="Times New Roman" w:hAnsi="Times New Roman" w:cs="Times New Roman"/>
          <w:b/>
          <w:sz w:val="24"/>
          <w:szCs w:val="24"/>
        </w:rPr>
        <w:t xml:space="preserve"> nákladov predkladaného materiálu/regulácie </w:t>
      </w:r>
      <w:r w:rsidRPr="00042C66">
        <w:rPr>
          <w:rFonts w:ascii="Times New Roman" w:hAnsi="Times New Roman" w:cs="Times New Roman"/>
          <w:sz w:val="24"/>
          <w:szCs w:val="24"/>
        </w:rPr>
        <w:t xml:space="preserve"> – slúži na agregovanú kalkuláciu nákladov všetkých povinností, ktoré vyplývajú podnikateľom z predkladaného materiálu/regulácie (</w:t>
      </w:r>
      <w:r w:rsidRPr="00042C66">
        <w:rPr>
          <w:rFonts w:ascii="Times New Roman" w:hAnsi="Times New Roman" w:cs="Times New Roman"/>
          <w:i/>
          <w:sz w:val="24"/>
          <w:szCs w:val="24"/>
        </w:rPr>
        <w:t>MS Excel, záložka č. 2 – Veľká kalkulačka</w:t>
      </w:r>
      <w:r w:rsidRPr="00042C66">
        <w:rPr>
          <w:rFonts w:ascii="Times New Roman" w:hAnsi="Times New Roman" w:cs="Times New Roman"/>
          <w:sz w:val="24"/>
          <w:szCs w:val="24"/>
        </w:rPr>
        <w:t>).</w:t>
      </w:r>
    </w:p>
    <w:p w:rsidR="009F2DFA" w:rsidRPr="00042C66" w:rsidRDefault="009F2DFA" w:rsidP="009F2DFA">
      <w:pPr>
        <w:jc w:val="both"/>
        <w:rPr>
          <w:sz w:val="24"/>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.4 Konkurencieschopnosť a správanie sa podnikov na trhu</w:t>
      </w:r>
    </w:p>
    <w:p w:rsidR="009F2DFA" w:rsidRPr="00042C66" w:rsidRDefault="009F2DFA" w:rsidP="009F2DFA">
      <w:pPr>
        <w:jc w:val="both"/>
        <w:rPr>
          <w:sz w:val="24"/>
          <w:szCs w:val="24"/>
        </w:rPr>
      </w:pPr>
      <w:r w:rsidRPr="00042C66">
        <w:rPr>
          <w:sz w:val="24"/>
          <w:szCs w:val="24"/>
        </w:rPr>
        <w:t>Predkladateľ uvedie, či dochádza k vytvoreniu bariér pre vstup na trh pre nových dodávateľov alebo poskytovateľov služieb a či dôjde k sprísneniu regulácie správania sa pre niektoré podniky. V princípe existujú tri možnosti, ako môžu regulácie ovplyvniť fungovanie podnikateľských subjektov na trhu:</w:t>
      </w:r>
    </w:p>
    <w:p w:rsidR="009F2DFA" w:rsidRPr="00042C66" w:rsidRDefault="009F2DFA" w:rsidP="009F2DFA">
      <w:pPr>
        <w:spacing w:after="120"/>
        <w:ind w:left="340" w:hanging="340"/>
        <w:jc w:val="both"/>
        <w:rPr>
          <w:sz w:val="24"/>
          <w:szCs w:val="24"/>
        </w:rPr>
      </w:pPr>
      <w:r w:rsidRPr="00042C66">
        <w:rPr>
          <w:sz w:val="24"/>
          <w:szCs w:val="24"/>
        </w:rPr>
        <w:t>a)</w:t>
      </w:r>
      <w:r w:rsidRPr="00042C66">
        <w:rPr>
          <w:sz w:val="24"/>
          <w:szCs w:val="24"/>
        </w:rPr>
        <w:tab/>
      </w:r>
      <w:r w:rsidRPr="00042C66">
        <w:rPr>
          <w:b/>
          <w:sz w:val="24"/>
          <w:szCs w:val="24"/>
        </w:rPr>
        <w:t>stanovením ďalších podmienok pre vstup na trh a začatie podnikania</w:t>
      </w:r>
      <w:r w:rsidRPr="00042C66">
        <w:rPr>
          <w:sz w:val="24"/>
          <w:szCs w:val="24"/>
        </w:rPr>
        <w:t xml:space="preserve"> (problém s</w:t>
      </w:r>
      <w:r>
        <w:rPr>
          <w:sz w:val="24"/>
          <w:szCs w:val="24"/>
        </w:rPr>
        <w:t> </w:t>
      </w:r>
      <w:r w:rsidRPr="00042C66">
        <w:rPr>
          <w:sz w:val="24"/>
          <w:szCs w:val="24"/>
        </w:rPr>
        <w:t>otvorením prevádzkarne, vysoké vstupné náklady, náročné administratívne procedúry a</w:t>
      </w:r>
      <w:r>
        <w:rPr>
          <w:sz w:val="24"/>
          <w:szCs w:val="24"/>
        </w:rPr>
        <w:t> </w:t>
      </w:r>
      <w:r w:rsidRPr="00042C66">
        <w:rPr>
          <w:sz w:val="24"/>
          <w:szCs w:val="24"/>
        </w:rPr>
        <w:t>pod.),</w:t>
      </w:r>
    </w:p>
    <w:p w:rsidR="009F2DFA" w:rsidRPr="00042C66" w:rsidRDefault="009F2DFA" w:rsidP="009F2DFA">
      <w:pPr>
        <w:spacing w:after="120"/>
        <w:ind w:left="340" w:hanging="340"/>
        <w:jc w:val="both"/>
        <w:rPr>
          <w:sz w:val="24"/>
          <w:szCs w:val="24"/>
        </w:rPr>
      </w:pPr>
      <w:r w:rsidRPr="00042C66">
        <w:rPr>
          <w:sz w:val="24"/>
          <w:szCs w:val="24"/>
        </w:rPr>
        <w:t>b)</w:t>
      </w:r>
      <w:r w:rsidRPr="00042C66">
        <w:rPr>
          <w:sz w:val="24"/>
          <w:szCs w:val="24"/>
        </w:rPr>
        <w:tab/>
      </w:r>
      <w:r w:rsidRPr="00042C66">
        <w:rPr>
          <w:b/>
          <w:sz w:val="24"/>
          <w:szCs w:val="24"/>
        </w:rPr>
        <w:t>stanovením podmienok pre správanie sa na trhu</w:t>
      </w:r>
      <w:r w:rsidRPr="00042C66">
        <w:rPr>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rsidR="009F2DFA" w:rsidRPr="00042C66" w:rsidRDefault="009F2DFA" w:rsidP="009F2DFA">
      <w:pPr>
        <w:spacing w:after="120"/>
        <w:ind w:left="340" w:hanging="340"/>
        <w:jc w:val="both"/>
        <w:rPr>
          <w:sz w:val="24"/>
          <w:szCs w:val="24"/>
        </w:rPr>
      </w:pPr>
      <w:r w:rsidRPr="00042C66">
        <w:rPr>
          <w:sz w:val="24"/>
          <w:szCs w:val="24"/>
        </w:rPr>
        <w:t>c)</w:t>
      </w:r>
      <w:r w:rsidRPr="00042C66">
        <w:rPr>
          <w:sz w:val="24"/>
          <w:szCs w:val="24"/>
        </w:rPr>
        <w:tab/>
      </w:r>
      <w:r w:rsidRPr="00042C66">
        <w:rPr>
          <w:b/>
          <w:sz w:val="24"/>
          <w:szCs w:val="24"/>
        </w:rPr>
        <w:t>stanovením podmienok, ktoré vedú k zmenám v štruktúre trhu</w:t>
      </w:r>
      <w:r w:rsidRPr="00042C66">
        <w:rPr>
          <w:sz w:val="24"/>
          <w:szCs w:val="24"/>
        </w:rPr>
        <w:t>. Ide však spravidla o</w:t>
      </w:r>
      <w:r>
        <w:rPr>
          <w:sz w:val="24"/>
          <w:szCs w:val="24"/>
        </w:rPr>
        <w:t> </w:t>
      </w:r>
      <w:r w:rsidRPr="00042C66">
        <w:rPr>
          <w:sz w:val="24"/>
          <w:szCs w:val="24"/>
        </w:rPr>
        <w:t>také opatrenia, ktoré postihujú iba veľké podnikateľské subjekty.</w:t>
      </w:r>
    </w:p>
    <w:p w:rsidR="009F2DFA" w:rsidRPr="00042C66" w:rsidRDefault="009F2DFA" w:rsidP="009F2DFA">
      <w:pPr>
        <w:jc w:val="both"/>
        <w:rPr>
          <w:sz w:val="24"/>
          <w:szCs w:val="24"/>
        </w:rPr>
      </w:pPr>
      <w:r w:rsidRPr="00042C66">
        <w:rPr>
          <w:sz w:val="24"/>
          <w:szCs w:val="24"/>
        </w:rPr>
        <w:t>Predkladateľ popíše tiež situácie, kedy sa bude zaobchádzať s niektorými podnikmi alebo produktmi v porovnateľnej situácii rôzne</w:t>
      </w:r>
      <w:r w:rsidRPr="00042C66">
        <w:rPr>
          <w:i/>
          <w:sz w:val="24"/>
          <w:szCs w:val="24"/>
        </w:rPr>
        <w:t xml:space="preserve"> </w:t>
      </w:r>
      <w:r w:rsidRPr="00042C66">
        <w:rPr>
          <w:sz w:val="24"/>
          <w:szCs w:val="24"/>
        </w:rPr>
        <w:t xml:space="preserve">(napr. špeciálne režimy pre </w:t>
      </w:r>
      <w:proofErr w:type="spellStart"/>
      <w:r w:rsidRPr="00042C66">
        <w:rPr>
          <w:sz w:val="24"/>
          <w:szCs w:val="24"/>
        </w:rPr>
        <w:t>mikro</w:t>
      </w:r>
      <w:proofErr w:type="spellEnd"/>
      <w:r w:rsidRPr="00042C66">
        <w:rPr>
          <w:sz w:val="24"/>
          <w:szCs w:val="24"/>
        </w:rPr>
        <w:t>, malé a stredné podniky tzv. MSP).</w:t>
      </w:r>
    </w:p>
    <w:p w:rsidR="009F2DFA" w:rsidRPr="00042C66" w:rsidRDefault="009F2DFA" w:rsidP="009F2DFA">
      <w:pPr>
        <w:jc w:val="both"/>
        <w:rPr>
          <w:sz w:val="24"/>
          <w:szCs w:val="24"/>
        </w:rPr>
      </w:pPr>
      <w:r w:rsidRPr="00042C66">
        <w:rPr>
          <w:sz w:val="24"/>
          <w:szCs w:val="24"/>
        </w:rPr>
        <w:t>Predkladateľ popíše, či a aký vplyvy má návrh na prekážky pri vývoze alebo dovoze z tretích krajín a či bude mať vplyv vyvolanie cezhraničných investícií (príliv /odliv zahraničných investícií resp. uplatnenie slovenských podnikov na zahraničných trhoch</w:t>
      </w:r>
      <w:r>
        <w:rPr>
          <w:sz w:val="24"/>
          <w:szCs w:val="24"/>
        </w:rPr>
        <w:t>)</w:t>
      </w:r>
      <w:r w:rsidRPr="00042C66">
        <w:rPr>
          <w:sz w:val="24"/>
          <w:szCs w:val="24"/>
        </w:rPr>
        <w:t>.</w:t>
      </w:r>
    </w:p>
    <w:p w:rsidR="009F2DFA" w:rsidRPr="00042C66" w:rsidRDefault="009F2DFA" w:rsidP="009F2DFA">
      <w:pPr>
        <w:jc w:val="both"/>
        <w:rPr>
          <w:sz w:val="24"/>
          <w:szCs w:val="24"/>
        </w:rPr>
      </w:pPr>
      <w:r w:rsidRPr="00042C66">
        <w:rPr>
          <w:sz w:val="24"/>
          <w:szCs w:val="24"/>
        </w:rPr>
        <w:t>Zároveň posúdi  priame aj nepriame vplyvy so zameraním na dostupnosť a cenu surovín, polotovarov, súčiastok, strojov a zariadení, pracovnej sily, energií a pod. Následne uvedie kvalitatívny opis a v prípade pohybu cien uvedie  jednotkové vyčíslenie nákladov alebo prínosov.</w:t>
      </w:r>
    </w:p>
    <w:p w:rsidR="009F2DFA" w:rsidRPr="00042C66" w:rsidRDefault="009F2DFA" w:rsidP="009F2DFA">
      <w:pPr>
        <w:jc w:val="both"/>
        <w:rPr>
          <w:i/>
          <w:sz w:val="24"/>
          <w:szCs w:val="24"/>
        </w:rPr>
      </w:pPr>
      <w:r w:rsidRPr="00042C66">
        <w:rPr>
          <w:sz w:val="24"/>
          <w:szCs w:val="24"/>
        </w:rPr>
        <w:t>Predkladateľ zanalyzuje predložený návrh z hľadiska prístupu k financiám. Uvedie, či sa vytvárajú nové možnosti financovania aktivít pre podnikateľov, napr. vo forme dotácií, úverov,  alebo zjednodušuje prístup k existujúcim nástrojom financovania.</w:t>
      </w:r>
    </w:p>
    <w:p w:rsidR="009F2DFA" w:rsidRPr="00042C66" w:rsidRDefault="009F2DFA" w:rsidP="009F2DFA">
      <w:pPr>
        <w:jc w:val="both"/>
        <w:rPr>
          <w:sz w:val="24"/>
          <w:szCs w:val="24"/>
        </w:rPr>
      </w:pPr>
      <w:r w:rsidRPr="00042C66">
        <w:rPr>
          <w:sz w:val="24"/>
          <w:szCs w:val="24"/>
        </w:rPr>
        <w:t xml:space="preserve">Pri spracovávaní tejto časti je potrebné rozlišovať medzi </w:t>
      </w:r>
      <w:r w:rsidRPr="00042C66">
        <w:rPr>
          <w:b/>
          <w:sz w:val="24"/>
          <w:szCs w:val="24"/>
        </w:rPr>
        <w:t xml:space="preserve">krátkodobými </w:t>
      </w:r>
      <w:r w:rsidRPr="00042C66">
        <w:rPr>
          <w:sz w:val="24"/>
          <w:szCs w:val="24"/>
        </w:rPr>
        <w:t xml:space="preserve"> (1 až 2 roky), </w:t>
      </w:r>
      <w:r w:rsidRPr="00042C66">
        <w:rPr>
          <w:b/>
          <w:sz w:val="24"/>
          <w:szCs w:val="24"/>
        </w:rPr>
        <w:t>strednodobými</w:t>
      </w:r>
      <w:r w:rsidRPr="00042C66">
        <w:rPr>
          <w:sz w:val="24"/>
          <w:szCs w:val="24"/>
        </w:rPr>
        <w:t xml:space="preserve"> (3 až 7 rokov) a </w:t>
      </w:r>
      <w:r w:rsidRPr="00042C66">
        <w:rPr>
          <w:b/>
          <w:sz w:val="24"/>
          <w:szCs w:val="24"/>
        </w:rPr>
        <w:t>dlhodobými</w:t>
      </w:r>
      <w:r w:rsidRPr="00042C66">
        <w:rPr>
          <w:sz w:val="24"/>
          <w:szCs w:val="24"/>
        </w:rPr>
        <w:t xml:space="preserve"> (8 rokov a viac) vplyvmi. </w:t>
      </w:r>
    </w:p>
    <w:p w:rsidR="009F2DFA" w:rsidRPr="00042C66" w:rsidRDefault="009F2DFA" w:rsidP="009F2DFA">
      <w:pPr>
        <w:jc w:val="both"/>
        <w:rPr>
          <w:b/>
          <w:sz w:val="24"/>
          <w:szCs w:val="24"/>
          <w:u w:val="single"/>
        </w:rPr>
      </w:pPr>
    </w:p>
    <w:p w:rsidR="009F2DFA" w:rsidRPr="00074919" w:rsidRDefault="002B1108" w:rsidP="009F2DFA">
      <w:pPr>
        <w:jc w:val="both"/>
        <w:rPr>
          <w:b/>
          <w:sz w:val="28"/>
          <w:szCs w:val="24"/>
          <w:u w:val="single"/>
        </w:rPr>
      </w:pPr>
      <w:r>
        <w:rPr>
          <w:b/>
          <w:sz w:val="28"/>
          <w:szCs w:val="24"/>
          <w:u w:val="single"/>
        </w:rPr>
        <w:t>3</w:t>
      </w:r>
      <w:r w:rsidR="009F2DFA" w:rsidRPr="00074919">
        <w:rPr>
          <w:b/>
          <w:sz w:val="28"/>
          <w:szCs w:val="24"/>
          <w:u w:val="single"/>
        </w:rPr>
        <w:t>.5 Inovácie</w:t>
      </w:r>
    </w:p>
    <w:p w:rsidR="009F2DFA" w:rsidRPr="00042C66" w:rsidRDefault="009F2DFA" w:rsidP="009F2DFA">
      <w:pPr>
        <w:jc w:val="both"/>
        <w:rPr>
          <w:sz w:val="24"/>
          <w:szCs w:val="24"/>
        </w:rPr>
      </w:pPr>
      <w:r w:rsidRPr="00042C66">
        <w:rPr>
          <w:sz w:val="24"/>
          <w:szCs w:val="24"/>
        </w:rPr>
        <w:t xml:space="preserve">V prípade, ak má navrhovaný materiál vplyv na inovácie podnikateľov, vyplní túto časť s využitím všetkých alebo niektorých pomocných otázok aj so zameraním na MSP. V prípade, </w:t>
      </w:r>
      <w:r w:rsidRPr="00042C66">
        <w:rPr>
          <w:sz w:val="24"/>
          <w:szCs w:val="24"/>
        </w:rPr>
        <w:lastRenderedPageBreak/>
        <w:t>ak navrhovaný materiál vplyv na inovácie nemá, predkladateľ sem túto informáciu uvedie a ďalej nevypĺňa.</w:t>
      </w:r>
    </w:p>
    <w:p w:rsidR="009F2DFA" w:rsidRDefault="009F2DFA" w:rsidP="009F2DFA">
      <w:pPr>
        <w:jc w:val="both"/>
        <w:rPr>
          <w:sz w:val="24"/>
          <w:szCs w:val="24"/>
        </w:rPr>
      </w:pPr>
      <w:r w:rsidRPr="00042C66">
        <w:rPr>
          <w:sz w:val="24"/>
          <w:szCs w:val="24"/>
        </w:rPr>
        <w:t>Vplyvy na inovácie môžu mať aj materiály zamerané na podporu vedy a výskumu, prepájanie akademickej a podnikateľskej sféry, možnosti daňových odpočtov nákladov na výskum a vývoj a podobne.</w:t>
      </w:r>
      <w:r w:rsidR="00780BA6">
        <w:rPr>
          <w:sz w:val="24"/>
          <w:szCs w:val="24"/>
        </w:rPr>
        <w:t xml:space="preserve"> </w:t>
      </w:r>
      <w:r w:rsidRPr="00042C66">
        <w:rPr>
          <w:sz w:val="24"/>
          <w:szCs w:val="24"/>
        </w:rPr>
        <w:t>Inovácie nemusia mať len technologické zameranie, ale môžu sa týkať aj takých odvetví akými sú marketing, finančníctvo či inovácie produktov a služieb.</w:t>
      </w:r>
    </w:p>
    <w:p w:rsidR="009F2DFA" w:rsidRDefault="009F2DFA" w:rsidP="009F2DFA">
      <w:pPr>
        <w:rPr>
          <w:sz w:val="24"/>
          <w:szCs w:val="24"/>
        </w:rPr>
      </w:pPr>
      <w:r>
        <w:rPr>
          <w:sz w:val="24"/>
          <w:szCs w:val="24"/>
        </w:rPr>
        <w:br w:type="page"/>
      </w:r>
    </w:p>
    <w:p w:rsidR="009F2DFA" w:rsidRPr="005C483F" w:rsidRDefault="009F2DFA" w:rsidP="009F2DFA">
      <w:pPr>
        <w:jc w:val="center"/>
        <w:rPr>
          <w:b/>
          <w:sz w:val="28"/>
          <w:szCs w:val="24"/>
        </w:rPr>
      </w:pPr>
      <w:r w:rsidRPr="005C483F">
        <w:rPr>
          <w:b/>
          <w:sz w:val="28"/>
          <w:szCs w:val="24"/>
        </w:rPr>
        <w:lastRenderedPageBreak/>
        <w:t xml:space="preserve">Metodika pre vykonávanie testu </w:t>
      </w:r>
      <w:r>
        <w:rPr>
          <w:b/>
          <w:sz w:val="28"/>
          <w:szCs w:val="24"/>
        </w:rPr>
        <w:t>vplyvov</w:t>
      </w:r>
      <w:r w:rsidRPr="005C483F">
        <w:rPr>
          <w:b/>
          <w:sz w:val="28"/>
          <w:szCs w:val="24"/>
        </w:rPr>
        <w:t xml:space="preserve"> na MSP</w:t>
      </w:r>
    </w:p>
    <w:p w:rsidR="009F2DFA" w:rsidRPr="005C483F" w:rsidRDefault="009F2DFA" w:rsidP="00F41620">
      <w:pPr>
        <w:spacing w:before="240"/>
        <w:jc w:val="both"/>
        <w:rPr>
          <w:sz w:val="24"/>
          <w:szCs w:val="24"/>
        </w:rPr>
      </w:pPr>
      <w:r w:rsidRPr="005C483F">
        <w:rPr>
          <w:sz w:val="24"/>
          <w:szCs w:val="24"/>
        </w:rPr>
        <w:t xml:space="preserve">Test </w:t>
      </w:r>
      <w:r>
        <w:rPr>
          <w:sz w:val="24"/>
          <w:szCs w:val="24"/>
        </w:rPr>
        <w:t>vplyvov</w:t>
      </w:r>
      <w:r w:rsidR="00F41620">
        <w:rPr>
          <w:sz w:val="24"/>
          <w:szCs w:val="24"/>
        </w:rPr>
        <w:t xml:space="preserve"> na malé a stredné podniky MSP</w:t>
      </w:r>
      <w:r w:rsidRPr="005C483F">
        <w:rPr>
          <w:sz w:val="24"/>
          <w:szCs w:val="24"/>
        </w:rPr>
        <w:t xml:space="preserve"> sa vykonáva pre legislatívne náv</w:t>
      </w:r>
      <w:r w:rsidR="00F41620">
        <w:rPr>
          <w:sz w:val="24"/>
          <w:szCs w:val="24"/>
        </w:rPr>
        <w:t>rhy ako aj nelegislatívne návrhy</w:t>
      </w:r>
      <w:r w:rsidRPr="005C483F">
        <w:rPr>
          <w:sz w:val="24"/>
          <w:szCs w:val="24"/>
        </w:rPr>
        <w:t xml:space="preserve">, ktoré majú indikovaný vplyv na niektorú z kategórií malých a stredných podnikov. Malé a stredné podniky (MSP) sú definované v zmysle odporúčania Európskej komisie č. 2003/361/ES. </w:t>
      </w:r>
    </w:p>
    <w:p w:rsidR="009F2DFA" w:rsidRPr="005C483F" w:rsidRDefault="009F2DFA" w:rsidP="009F2DFA">
      <w:pPr>
        <w:rPr>
          <w:sz w:val="24"/>
          <w:szCs w:val="24"/>
        </w:rPr>
      </w:pPr>
    </w:p>
    <w:p w:rsidR="009F2DFA" w:rsidRPr="005C483F" w:rsidRDefault="009F2DFA" w:rsidP="009F2DFA">
      <w:pPr>
        <w:rPr>
          <w:sz w:val="24"/>
          <w:szCs w:val="24"/>
        </w:rPr>
      </w:pPr>
      <w:r w:rsidRPr="005C483F">
        <w:rPr>
          <w:sz w:val="24"/>
          <w:szCs w:val="24"/>
        </w:rPr>
        <w:t>Test MSP sa vykonáva po predložení materiálu do PPK. Test pozostáva zo 4 fáz:</w:t>
      </w:r>
    </w:p>
    <w:p w:rsidR="009F2DFA" w:rsidRPr="00A34898" w:rsidRDefault="009F2DFA" w:rsidP="009F2DFA"/>
    <w:p w:rsidR="009F2DFA" w:rsidRDefault="009F2DFA" w:rsidP="009F2DFA">
      <w:r>
        <w:rPr>
          <w:noProof/>
        </w:rPr>
        <w:drawing>
          <wp:inline distT="0" distB="0" distL="0" distR="0" wp14:anchorId="7F0F264A" wp14:editId="033CD43B">
            <wp:extent cx="5486400" cy="27432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F2DFA" w:rsidRDefault="009F2DFA" w:rsidP="009F2DFA"/>
    <w:p w:rsidR="009F2DFA" w:rsidRPr="005C483F" w:rsidRDefault="009F2DFA" w:rsidP="009F2DFA">
      <w:pPr>
        <w:jc w:val="both"/>
        <w:rPr>
          <w:b/>
          <w:sz w:val="24"/>
          <w:szCs w:val="24"/>
        </w:rPr>
      </w:pPr>
      <w:r w:rsidRPr="005C483F">
        <w:rPr>
          <w:b/>
          <w:sz w:val="24"/>
          <w:szCs w:val="24"/>
        </w:rPr>
        <w:t>Fáza 1. Konzultácia so zástupcami MSP</w:t>
      </w:r>
    </w:p>
    <w:p w:rsidR="009F2DFA" w:rsidRPr="005C483F" w:rsidRDefault="009F2DFA" w:rsidP="009F2DFA">
      <w:pPr>
        <w:numPr>
          <w:ilvl w:val="0"/>
          <w:numId w:val="7"/>
        </w:numPr>
        <w:spacing w:line="276" w:lineRule="auto"/>
        <w:jc w:val="both"/>
        <w:rPr>
          <w:sz w:val="24"/>
          <w:szCs w:val="24"/>
        </w:rPr>
      </w:pPr>
      <w:r w:rsidRPr="005C483F">
        <w:rPr>
          <w:sz w:val="24"/>
          <w:szCs w:val="24"/>
        </w:rPr>
        <w:t>identifikácia zainteresovaných skupín MSP a ich zastupiteľských organizácií,</w:t>
      </w:r>
    </w:p>
    <w:p w:rsidR="009F2DFA" w:rsidRPr="005C483F" w:rsidRDefault="009F2DFA" w:rsidP="009F2DFA">
      <w:pPr>
        <w:numPr>
          <w:ilvl w:val="0"/>
          <w:numId w:val="7"/>
        </w:numPr>
        <w:spacing w:line="276" w:lineRule="auto"/>
        <w:jc w:val="both"/>
        <w:rPr>
          <w:sz w:val="24"/>
          <w:szCs w:val="24"/>
        </w:rPr>
      </w:pPr>
      <w:r w:rsidRPr="005C483F">
        <w:rPr>
          <w:sz w:val="24"/>
          <w:szCs w:val="24"/>
        </w:rPr>
        <w:t>okrúhle stoly so zainteresovanými podnikateľmi/ podnikateľskými organizáciami,</w:t>
      </w:r>
    </w:p>
    <w:p w:rsidR="009F2DFA" w:rsidRPr="005C483F" w:rsidRDefault="009F2DFA" w:rsidP="009F2DFA">
      <w:pPr>
        <w:numPr>
          <w:ilvl w:val="0"/>
          <w:numId w:val="7"/>
        </w:numPr>
        <w:spacing w:line="276" w:lineRule="auto"/>
        <w:jc w:val="both"/>
        <w:rPr>
          <w:sz w:val="24"/>
          <w:szCs w:val="24"/>
        </w:rPr>
      </w:pPr>
      <w:r w:rsidRPr="005C483F">
        <w:rPr>
          <w:sz w:val="24"/>
          <w:szCs w:val="24"/>
        </w:rPr>
        <w:t xml:space="preserve">zverejnenie zámeru </w:t>
      </w:r>
      <w:proofErr w:type="spellStart"/>
      <w:r w:rsidRPr="005C483F">
        <w:rPr>
          <w:sz w:val="24"/>
          <w:szCs w:val="24"/>
        </w:rPr>
        <w:t>online</w:t>
      </w:r>
      <w:proofErr w:type="spellEnd"/>
      <w:r w:rsidRPr="005C483F">
        <w:rPr>
          <w:sz w:val="24"/>
          <w:szCs w:val="24"/>
        </w:rPr>
        <w:t xml:space="preserve">, vytvorenie </w:t>
      </w:r>
      <w:proofErr w:type="spellStart"/>
      <w:r w:rsidRPr="005C483F">
        <w:rPr>
          <w:sz w:val="24"/>
          <w:szCs w:val="24"/>
        </w:rPr>
        <w:t>online</w:t>
      </w:r>
      <w:proofErr w:type="spellEnd"/>
      <w:r w:rsidRPr="005C483F">
        <w:rPr>
          <w:sz w:val="24"/>
          <w:szCs w:val="24"/>
        </w:rPr>
        <w:t xml:space="preserve"> platformy na pripomienkovanie,</w:t>
      </w:r>
    </w:p>
    <w:p w:rsidR="009F2DFA" w:rsidRPr="005C483F" w:rsidRDefault="009F2DFA" w:rsidP="009F2DFA">
      <w:pPr>
        <w:numPr>
          <w:ilvl w:val="0"/>
          <w:numId w:val="7"/>
        </w:numPr>
        <w:spacing w:line="276" w:lineRule="auto"/>
        <w:jc w:val="both"/>
        <w:rPr>
          <w:sz w:val="24"/>
          <w:szCs w:val="24"/>
        </w:rPr>
      </w:pPr>
      <w:r w:rsidRPr="005C483F">
        <w:rPr>
          <w:sz w:val="24"/>
          <w:szCs w:val="24"/>
        </w:rPr>
        <w:t xml:space="preserve">vyhodnotenie </w:t>
      </w:r>
      <w:proofErr w:type="spellStart"/>
      <w:r w:rsidRPr="005C483F">
        <w:rPr>
          <w:sz w:val="24"/>
          <w:szCs w:val="24"/>
        </w:rPr>
        <w:t>online</w:t>
      </w:r>
      <w:proofErr w:type="spellEnd"/>
      <w:r w:rsidRPr="005C483F">
        <w:rPr>
          <w:sz w:val="24"/>
          <w:szCs w:val="24"/>
        </w:rPr>
        <w:t xml:space="preserve"> pripomienok, </w:t>
      </w:r>
    </w:p>
    <w:p w:rsidR="009F2DFA" w:rsidRPr="005C483F" w:rsidRDefault="009F2DFA" w:rsidP="009F2DFA">
      <w:pPr>
        <w:numPr>
          <w:ilvl w:val="0"/>
          <w:numId w:val="7"/>
        </w:numPr>
        <w:spacing w:line="276" w:lineRule="auto"/>
        <w:jc w:val="both"/>
        <w:rPr>
          <w:sz w:val="24"/>
          <w:szCs w:val="24"/>
        </w:rPr>
      </w:pPr>
      <w:r w:rsidRPr="005C483F">
        <w:rPr>
          <w:sz w:val="24"/>
          <w:szCs w:val="24"/>
        </w:rPr>
        <w:t>MSP Test panely.</w:t>
      </w:r>
    </w:p>
    <w:p w:rsidR="009F2DFA" w:rsidRPr="005C483F" w:rsidRDefault="009F2DFA" w:rsidP="009F2DFA">
      <w:pPr>
        <w:jc w:val="both"/>
        <w:rPr>
          <w:b/>
          <w:sz w:val="24"/>
          <w:szCs w:val="24"/>
        </w:rPr>
      </w:pPr>
    </w:p>
    <w:p w:rsidR="009F2DFA" w:rsidRPr="005C483F" w:rsidRDefault="009F2DFA" w:rsidP="009F2DFA">
      <w:pPr>
        <w:jc w:val="both"/>
        <w:rPr>
          <w:b/>
          <w:sz w:val="24"/>
          <w:szCs w:val="24"/>
        </w:rPr>
      </w:pPr>
      <w:r w:rsidRPr="005C483F">
        <w:rPr>
          <w:b/>
          <w:sz w:val="24"/>
          <w:szCs w:val="24"/>
        </w:rPr>
        <w:t>Fáza 2. Predbežné posúdenie pravdepodobne ovplyvnených podnikateľských subjektov</w:t>
      </w:r>
    </w:p>
    <w:p w:rsidR="009F2DFA" w:rsidRPr="005C483F" w:rsidRDefault="009F2DFA" w:rsidP="009F2DFA">
      <w:pPr>
        <w:numPr>
          <w:ilvl w:val="0"/>
          <w:numId w:val="7"/>
        </w:numPr>
        <w:spacing w:line="276" w:lineRule="auto"/>
        <w:jc w:val="both"/>
        <w:rPr>
          <w:sz w:val="24"/>
          <w:szCs w:val="24"/>
        </w:rPr>
      </w:pPr>
      <w:r w:rsidRPr="005C483F">
        <w:rPr>
          <w:sz w:val="24"/>
          <w:szCs w:val="24"/>
        </w:rPr>
        <w:t>identifikácia ovplyvnených subjektov a sektorov v rámci jednotlivých veľkostných, právnych, odvetvových, prípadne iných špecifikácií MSP</w:t>
      </w:r>
    </w:p>
    <w:p w:rsidR="009F2DFA" w:rsidRPr="005C483F" w:rsidRDefault="009F2DFA" w:rsidP="009F2DFA">
      <w:pPr>
        <w:numPr>
          <w:ilvl w:val="0"/>
          <w:numId w:val="7"/>
        </w:numPr>
        <w:spacing w:line="276" w:lineRule="auto"/>
        <w:jc w:val="both"/>
        <w:rPr>
          <w:sz w:val="24"/>
          <w:szCs w:val="24"/>
        </w:rPr>
      </w:pPr>
      <w:r w:rsidRPr="005C483F">
        <w:rPr>
          <w:sz w:val="24"/>
          <w:szCs w:val="24"/>
        </w:rPr>
        <w:t>kto sú ovplyvnené subjekty?</w:t>
      </w:r>
    </w:p>
    <w:p w:rsidR="009F2DFA" w:rsidRPr="005C483F" w:rsidRDefault="009F2DFA" w:rsidP="009F2DFA">
      <w:pPr>
        <w:numPr>
          <w:ilvl w:val="0"/>
          <w:numId w:val="8"/>
        </w:numPr>
        <w:spacing w:line="276" w:lineRule="auto"/>
        <w:jc w:val="both"/>
        <w:rPr>
          <w:sz w:val="24"/>
          <w:szCs w:val="24"/>
        </w:rPr>
      </w:pPr>
      <w:r w:rsidRPr="005C483F">
        <w:rPr>
          <w:sz w:val="24"/>
          <w:szCs w:val="24"/>
        </w:rPr>
        <w:t>počet subjektov a ich zastúpenie (</w:t>
      </w:r>
      <w:proofErr w:type="spellStart"/>
      <w:r w:rsidRPr="005C483F">
        <w:rPr>
          <w:sz w:val="24"/>
          <w:szCs w:val="24"/>
        </w:rPr>
        <w:t>mikro</w:t>
      </w:r>
      <w:proofErr w:type="spellEnd"/>
      <w:r w:rsidRPr="005C483F">
        <w:rPr>
          <w:sz w:val="24"/>
          <w:szCs w:val="24"/>
        </w:rPr>
        <w:t>, malé, stredné a veľké podniky),</w:t>
      </w:r>
    </w:p>
    <w:p w:rsidR="009F2DFA" w:rsidRPr="005C483F" w:rsidRDefault="009F2DFA" w:rsidP="009F2DFA">
      <w:pPr>
        <w:numPr>
          <w:ilvl w:val="0"/>
          <w:numId w:val="8"/>
        </w:numPr>
        <w:spacing w:line="276" w:lineRule="auto"/>
        <w:jc w:val="both"/>
        <w:rPr>
          <w:sz w:val="24"/>
          <w:szCs w:val="24"/>
        </w:rPr>
      </w:pPr>
      <w:r w:rsidRPr="005C483F">
        <w:rPr>
          <w:sz w:val="24"/>
          <w:szCs w:val="24"/>
        </w:rPr>
        <w:t>podiel na zamestnanosti v rôznych kategóriách ovplyvnených subjektov,</w:t>
      </w:r>
    </w:p>
    <w:p w:rsidR="009F2DFA" w:rsidRPr="005C483F" w:rsidRDefault="009F2DFA" w:rsidP="009F2DFA">
      <w:pPr>
        <w:numPr>
          <w:ilvl w:val="0"/>
          <w:numId w:val="8"/>
        </w:numPr>
        <w:spacing w:line="276" w:lineRule="auto"/>
        <w:jc w:val="both"/>
        <w:rPr>
          <w:sz w:val="24"/>
          <w:szCs w:val="24"/>
        </w:rPr>
      </w:pPr>
      <w:r w:rsidRPr="005C483F">
        <w:rPr>
          <w:sz w:val="24"/>
          <w:szCs w:val="24"/>
        </w:rPr>
        <w:t>zastúpenie MSP v ovplyvnenom sektore,</w:t>
      </w:r>
    </w:p>
    <w:p w:rsidR="009F2DFA" w:rsidRPr="005C483F" w:rsidRDefault="009F2DFA" w:rsidP="009F2DFA">
      <w:pPr>
        <w:numPr>
          <w:ilvl w:val="0"/>
          <w:numId w:val="8"/>
        </w:numPr>
        <w:spacing w:line="276" w:lineRule="auto"/>
        <w:jc w:val="both"/>
        <w:rPr>
          <w:sz w:val="24"/>
          <w:szCs w:val="24"/>
        </w:rPr>
      </w:pPr>
      <w:r w:rsidRPr="005C483F">
        <w:rPr>
          <w:sz w:val="24"/>
          <w:szCs w:val="24"/>
        </w:rPr>
        <w:t>prepojenie na ostatné sektory (odvetvia) a možný dopad na subdodávateľské vzťahy.</w:t>
      </w:r>
    </w:p>
    <w:p w:rsidR="009F2DFA" w:rsidRPr="005C483F" w:rsidRDefault="009F2DFA" w:rsidP="009F2DFA">
      <w:pPr>
        <w:jc w:val="both"/>
        <w:rPr>
          <w:b/>
          <w:sz w:val="24"/>
          <w:szCs w:val="24"/>
        </w:rPr>
      </w:pPr>
    </w:p>
    <w:p w:rsidR="009F2DFA" w:rsidRPr="005C483F" w:rsidRDefault="009F2DFA" w:rsidP="009F2DFA">
      <w:pPr>
        <w:jc w:val="both"/>
        <w:rPr>
          <w:b/>
          <w:sz w:val="24"/>
          <w:szCs w:val="24"/>
        </w:rPr>
      </w:pPr>
      <w:r w:rsidRPr="005C483F">
        <w:rPr>
          <w:b/>
          <w:sz w:val="24"/>
          <w:szCs w:val="24"/>
        </w:rPr>
        <w:t>Fáza 3. Meranie vplyvu regulácie na MSP</w:t>
      </w:r>
    </w:p>
    <w:p w:rsidR="009F2DFA" w:rsidRPr="005C483F" w:rsidRDefault="009F2DFA" w:rsidP="009F2DFA">
      <w:pPr>
        <w:numPr>
          <w:ilvl w:val="0"/>
          <w:numId w:val="7"/>
        </w:numPr>
        <w:spacing w:line="276" w:lineRule="auto"/>
        <w:jc w:val="both"/>
        <w:rPr>
          <w:sz w:val="24"/>
          <w:szCs w:val="24"/>
        </w:rPr>
      </w:pPr>
      <w:r w:rsidRPr="005C483F">
        <w:rPr>
          <w:sz w:val="24"/>
          <w:szCs w:val="24"/>
        </w:rPr>
        <w:t>kvantitatívna a kvalitatívna analýza vplyvov (priamych aj nepriamych)</w:t>
      </w:r>
    </w:p>
    <w:p w:rsidR="009F2DFA" w:rsidRPr="005C483F" w:rsidRDefault="009F2DFA" w:rsidP="009F2DFA">
      <w:pPr>
        <w:numPr>
          <w:ilvl w:val="0"/>
          <w:numId w:val="9"/>
        </w:numPr>
        <w:spacing w:line="276" w:lineRule="auto"/>
        <w:jc w:val="both"/>
        <w:rPr>
          <w:sz w:val="24"/>
          <w:szCs w:val="24"/>
        </w:rPr>
      </w:pPr>
      <w:r w:rsidRPr="005C483F">
        <w:rPr>
          <w:sz w:val="24"/>
          <w:szCs w:val="24"/>
        </w:rPr>
        <w:t>náklady (finančné</w:t>
      </w:r>
      <w:r>
        <w:rPr>
          <w:sz w:val="24"/>
          <w:szCs w:val="24"/>
        </w:rPr>
        <w:t>,</w:t>
      </w:r>
      <w:r w:rsidRPr="005C483F">
        <w:rPr>
          <w:sz w:val="24"/>
          <w:szCs w:val="24"/>
        </w:rPr>
        <w:t> administratívne</w:t>
      </w:r>
      <w:r w:rsidRPr="00E02048">
        <w:rPr>
          <w:sz w:val="24"/>
          <w:szCs w:val="24"/>
        </w:rPr>
        <w:t xml:space="preserve"> </w:t>
      </w:r>
      <w:r>
        <w:rPr>
          <w:sz w:val="24"/>
          <w:szCs w:val="24"/>
        </w:rPr>
        <w:t>a náklady na implementáciu</w:t>
      </w:r>
      <w:r w:rsidRPr="005C483F">
        <w:rPr>
          <w:sz w:val="24"/>
          <w:szCs w:val="24"/>
        </w:rPr>
        <w:t>)</w:t>
      </w:r>
      <w:r w:rsidRPr="005C483F">
        <w:rPr>
          <w:sz w:val="24"/>
          <w:szCs w:val="24"/>
        </w:rPr>
        <w:tab/>
      </w:r>
    </w:p>
    <w:p w:rsidR="009F2DFA" w:rsidRPr="005C483F" w:rsidRDefault="009F2DFA" w:rsidP="009F2DFA">
      <w:pPr>
        <w:numPr>
          <w:ilvl w:val="0"/>
          <w:numId w:val="9"/>
        </w:numPr>
        <w:spacing w:line="276" w:lineRule="auto"/>
        <w:jc w:val="both"/>
        <w:rPr>
          <w:sz w:val="24"/>
          <w:szCs w:val="24"/>
        </w:rPr>
      </w:pPr>
      <w:r w:rsidRPr="005C483F">
        <w:rPr>
          <w:sz w:val="24"/>
          <w:szCs w:val="24"/>
        </w:rPr>
        <w:t>prínosy (finančné, spoločenské, iné)</w:t>
      </w:r>
    </w:p>
    <w:p w:rsidR="009F2DFA" w:rsidRPr="005C483F" w:rsidRDefault="009F2DFA" w:rsidP="009F2DFA">
      <w:pPr>
        <w:numPr>
          <w:ilvl w:val="0"/>
          <w:numId w:val="7"/>
        </w:numPr>
        <w:spacing w:line="276" w:lineRule="auto"/>
        <w:jc w:val="both"/>
        <w:rPr>
          <w:sz w:val="24"/>
          <w:szCs w:val="24"/>
        </w:rPr>
      </w:pPr>
      <w:r w:rsidRPr="005C483F">
        <w:rPr>
          <w:sz w:val="24"/>
          <w:szCs w:val="24"/>
        </w:rPr>
        <w:t>porovnanie vplyvu regulácie na MSP a na veľké podnikateľské subjekty</w:t>
      </w:r>
    </w:p>
    <w:p w:rsidR="009F2DFA" w:rsidRPr="005C483F" w:rsidRDefault="009F2DFA" w:rsidP="009F2DFA">
      <w:pPr>
        <w:numPr>
          <w:ilvl w:val="0"/>
          <w:numId w:val="10"/>
        </w:numPr>
        <w:spacing w:line="276" w:lineRule="auto"/>
        <w:jc w:val="both"/>
        <w:rPr>
          <w:sz w:val="24"/>
          <w:szCs w:val="24"/>
        </w:rPr>
      </w:pPr>
      <w:r w:rsidRPr="005C483F">
        <w:rPr>
          <w:sz w:val="24"/>
          <w:szCs w:val="24"/>
        </w:rPr>
        <w:lastRenderedPageBreak/>
        <w:t>náklady na 1 zamestnanca / ročný obrat / režijné náklady</w:t>
      </w:r>
    </w:p>
    <w:p w:rsidR="009F2DFA" w:rsidRPr="005C483F" w:rsidRDefault="009F2DFA" w:rsidP="009F2DFA">
      <w:pPr>
        <w:numPr>
          <w:ilvl w:val="0"/>
          <w:numId w:val="7"/>
        </w:numPr>
        <w:spacing w:line="276" w:lineRule="auto"/>
        <w:jc w:val="both"/>
        <w:rPr>
          <w:sz w:val="24"/>
          <w:szCs w:val="24"/>
        </w:rPr>
      </w:pPr>
      <w:r w:rsidRPr="005C483F">
        <w:rPr>
          <w:sz w:val="24"/>
          <w:szCs w:val="24"/>
        </w:rPr>
        <w:t xml:space="preserve">posúdenie vplyvu na fungovanie MSP na trhu a na ich konkurencieschopnosť </w:t>
      </w:r>
    </w:p>
    <w:p w:rsidR="009F2DFA" w:rsidRPr="005C483F" w:rsidRDefault="009F2DFA" w:rsidP="009F2DFA">
      <w:pPr>
        <w:numPr>
          <w:ilvl w:val="0"/>
          <w:numId w:val="10"/>
        </w:numPr>
        <w:spacing w:line="276" w:lineRule="auto"/>
        <w:jc w:val="both"/>
        <w:rPr>
          <w:sz w:val="24"/>
          <w:szCs w:val="24"/>
        </w:rPr>
      </w:pPr>
      <w:r w:rsidRPr="005C483F">
        <w:rPr>
          <w:sz w:val="24"/>
          <w:szCs w:val="24"/>
        </w:rPr>
        <w:t>nepriame vplyvy na konkurencieschopnosť MSP (napr. zvýšenie administratívneho zaťaženia, zhoršenie prístupu k financovaniu)</w:t>
      </w:r>
    </w:p>
    <w:p w:rsidR="009F2DFA" w:rsidRPr="005C483F" w:rsidRDefault="009F2DFA" w:rsidP="009F2DFA">
      <w:pPr>
        <w:numPr>
          <w:ilvl w:val="0"/>
          <w:numId w:val="11"/>
        </w:numPr>
        <w:spacing w:line="276" w:lineRule="auto"/>
        <w:jc w:val="both"/>
        <w:rPr>
          <w:sz w:val="24"/>
          <w:szCs w:val="24"/>
        </w:rPr>
      </w:pPr>
      <w:r w:rsidRPr="005C483F">
        <w:rPr>
          <w:sz w:val="24"/>
          <w:szCs w:val="24"/>
        </w:rPr>
        <w:t>vplyv na konkurenčné vzťahy, dodávateľsko-odberateľské vzťahy a zákazníkov (deformácia trhu)</w:t>
      </w:r>
    </w:p>
    <w:p w:rsidR="009F2DFA" w:rsidRPr="005C483F" w:rsidRDefault="009F2DFA" w:rsidP="009F2DFA">
      <w:pPr>
        <w:numPr>
          <w:ilvl w:val="0"/>
          <w:numId w:val="11"/>
        </w:numPr>
        <w:spacing w:line="276" w:lineRule="auto"/>
        <w:jc w:val="both"/>
        <w:rPr>
          <w:sz w:val="24"/>
          <w:szCs w:val="24"/>
        </w:rPr>
      </w:pPr>
      <w:r w:rsidRPr="005C483F">
        <w:rPr>
          <w:sz w:val="24"/>
          <w:szCs w:val="24"/>
        </w:rPr>
        <w:t>vplyv na vstup na trh, trhovú súťaž a štruktúru trhu (monopolizácia trhu)</w:t>
      </w:r>
    </w:p>
    <w:p w:rsidR="009F2DFA" w:rsidRPr="005C483F" w:rsidRDefault="009F2DFA" w:rsidP="009F2DFA">
      <w:pPr>
        <w:numPr>
          <w:ilvl w:val="0"/>
          <w:numId w:val="11"/>
        </w:numPr>
        <w:spacing w:line="276" w:lineRule="auto"/>
        <w:jc w:val="both"/>
        <w:rPr>
          <w:sz w:val="24"/>
          <w:szCs w:val="24"/>
        </w:rPr>
      </w:pPr>
      <w:r w:rsidRPr="005C483F">
        <w:rPr>
          <w:sz w:val="24"/>
          <w:szCs w:val="24"/>
        </w:rPr>
        <w:t>vplyv na inovácie (technologické ale aj netechnologické)</w:t>
      </w:r>
    </w:p>
    <w:p w:rsidR="009F2DFA" w:rsidRPr="005C483F" w:rsidRDefault="009F2DFA" w:rsidP="009F2DFA">
      <w:pPr>
        <w:jc w:val="both"/>
        <w:rPr>
          <w:b/>
          <w:sz w:val="24"/>
          <w:szCs w:val="24"/>
        </w:rPr>
      </w:pPr>
    </w:p>
    <w:p w:rsidR="009F2DFA" w:rsidRPr="005C483F" w:rsidRDefault="009F2DFA" w:rsidP="009F2DFA">
      <w:pPr>
        <w:jc w:val="both"/>
        <w:rPr>
          <w:b/>
          <w:sz w:val="24"/>
          <w:szCs w:val="24"/>
        </w:rPr>
      </w:pPr>
      <w:r w:rsidRPr="005C483F">
        <w:rPr>
          <w:b/>
          <w:sz w:val="24"/>
          <w:szCs w:val="24"/>
        </w:rPr>
        <w:t>Fáza 4. Posúdenie alternatívnych možností a zmierňujúcich opatrení pre MSP</w:t>
      </w:r>
    </w:p>
    <w:p w:rsidR="009F2DFA" w:rsidRPr="005C483F" w:rsidRDefault="009F2DFA" w:rsidP="009F2DFA">
      <w:pPr>
        <w:numPr>
          <w:ilvl w:val="0"/>
          <w:numId w:val="7"/>
        </w:numPr>
        <w:spacing w:line="276" w:lineRule="auto"/>
        <w:jc w:val="both"/>
        <w:rPr>
          <w:sz w:val="24"/>
          <w:szCs w:val="24"/>
        </w:rPr>
      </w:pPr>
      <w:r w:rsidRPr="005C483F">
        <w:rPr>
          <w:sz w:val="24"/>
          <w:szCs w:val="24"/>
        </w:rPr>
        <w:t xml:space="preserve">porovnávanie viacerých možností aplikácie regulácie </w:t>
      </w:r>
    </w:p>
    <w:p w:rsidR="009F2DFA" w:rsidRPr="005C483F" w:rsidRDefault="009F2DFA" w:rsidP="009F2DFA">
      <w:pPr>
        <w:numPr>
          <w:ilvl w:val="0"/>
          <w:numId w:val="7"/>
        </w:numPr>
        <w:spacing w:line="276" w:lineRule="auto"/>
        <w:jc w:val="both"/>
        <w:rPr>
          <w:sz w:val="24"/>
          <w:szCs w:val="24"/>
        </w:rPr>
      </w:pPr>
      <w:r w:rsidRPr="005C483F">
        <w:rPr>
          <w:sz w:val="24"/>
          <w:szCs w:val="24"/>
        </w:rPr>
        <w:t>v prípade, že sú MSP, resp. určité kategórie MSP relatívne viac ovplyvnenou skupinou, treba zvážiť zmierňujúce opatrenia (s ohľadom na náklady na ich implementáciu), napr.:</w:t>
      </w:r>
    </w:p>
    <w:p w:rsidR="009F2DFA" w:rsidRPr="005C483F" w:rsidRDefault="009F2DFA" w:rsidP="009F2DFA">
      <w:pPr>
        <w:numPr>
          <w:ilvl w:val="0"/>
          <w:numId w:val="12"/>
        </w:numPr>
        <w:spacing w:line="276" w:lineRule="auto"/>
        <w:jc w:val="both"/>
        <w:rPr>
          <w:sz w:val="24"/>
          <w:szCs w:val="24"/>
        </w:rPr>
      </w:pPr>
      <w:r w:rsidRPr="005C483F">
        <w:rPr>
          <w:sz w:val="24"/>
          <w:szCs w:val="24"/>
        </w:rPr>
        <w:t>kompletné, alebo čiastkové vyňatie MSP, resp. určitých kategórií MSP (napr.</w:t>
      </w:r>
      <w:r>
        <w:rPr>
          <w:sz w:val="24"/>
          <w:szCs w:val="24"/>
        </w:rPr>
        <w:t> </w:t>
      </w:r>
      <w:proofErr w:type="spellStart"/>
      <w:r w:rsidRPr="005C483F">
        <w:rPr>
          <w:sz w:val="24"/>
          <w:szCs w:val="24"/>
        </w:rPr>
        <w:t>mikropodnikov</w:t>
      </w:r>
      <w:proofErr w:type="spellEnd"/>
      <w:r w:rsidRPr="005C483F">
        <w:rPr>
          <w:sz w:val="24"/>
          <w:szCs w:val="24"/>
        </w:rPr>
        <w:t>, podnikateľov s určitým obratom) z rozsahu opatrenia,</w:t>
      </w:r>
    </w:p>
    <w:p w:rsidR="009F2DFA" w:rsidRPr="005C483F" w:rsidRDefault="009F2DFA" w:rsidP="009F2DFA">
      <w:pPr>
        <w:numPr>
          <w:ilvl w:val="0"/>
          <w:numId w:val="12"/>
        </w:numPr>
        <w:spacing w:line="276" w:lineRule="auto"/>
        <w:jc w:val="both"/>
        <w:rPr>
          <w:sz w:val="24"/>
          <w:szCs w:val="24"/>
        </w:rPr>
      </w:pPr>
      <w:r w:rsidRPr="005C483F">
        <w:rPr>
          <w:sz w:val="24"/>
          <w:szCs w:val="24"/>
        </w:rPr>
        <w:t>dočasné výnimky pre MSP, resp. určité kategórie MSP,</w:t>
      </w:r>
    </w:p>
    <w:p w:rsidR="009F2DFA" w:rsidRPr="005C483F" w:rsidRDefault="009F2DFA" w:rsidP="009F2DFA">
      <w:pPr>
        <w:numPr>
          <w:ilvl w:val="0"/>
          <w:numId w:val="12"/>
        </w:numPr>
        <w:spacing w:line="276" w:lineRule="auto"/>
        <w:jc w:val="both"/>
        <w:rPr>
          <w:sz w:val="24"/>
          <w:szCs w:val="24"/>
        </w:rPr>
      </w:pPr>
      <w:r w:rsidRPr="005C483F">
        <w:rPr>
          <w:sz w:val="24"/>
          <w:szCs w:val="24"/>
        </w:rPr>
        <w:t>priama finančná pomoc, daňové zvýhodnenie, zníženie poplatkov pre MSP, resp. určité kategórie MSP,</w:t>
      </w:r>
    </w:p>
    <w:p w:rsidR="009F2DFA" w:rsidRPr="005C483F" w:rsidRDefault="009F2DFA" w:rsidP="009F2DFA">
      <w:pPr>
        <w:numPr>
          <w:ilvl w:val="0"/>
          <w:numId w:val="12"/>
        </w:numPr>
        <w:spacing w:line="276" w:lineRule="auto"/>
        <w:jc w:val="both"/>
        <w:rPr>
          <w:sz w:val="24"/>
          <w:szCs w:val="24"/>
        </w:rPr>
      </w:pPr>
      <w:r w:rsidRPr="005C483F">
        <w:rPr>
          <w:sz w:val="24"/>
          <w:szCs w:val="24"/>
        </w:rPr>
        <w:t>zjednodušenie oznamovacích povinností pre MSP, resp. určité kategórie MSP,</w:t>
      </w:r>
    </w:p>
    <w:p w:rsidR="009F2DFA" w:rsidRPr="005C483F" w:rsidRDefault="009F2DFA" w:rsidP="009F2DFA">
      <w:pPr>
        <w:numPr>
          <w:ilvl w:val="0"/>
          <w:numId w:val="12"/>
        </w:numPr>
        <w:spacing w:line="276" w:lineRule="auto"/>
        <w:jc w:val="both"/>
        <w:rPr>
          <w:sz w:val="24"/>
          <w:szCs w:val="24"/>
        </w:rPr>
      </w:pPr>
      <w:r w:rsidRPr="005C483F">
        <w:rPr>
          <w:sz w:val="24"/>
          <w:szCs w:val="24"/>
        </w:rPr>
        <w:t>informačné kampane pre MSP, tvorba príručiek, školenia a poradenské služby (</w:t>
      </w:r>
      <w:proofErr w:type="spellStart"/>
      <w:r w:rsidRPr="005C483F">
        <w:rPr>
          <w:sz w:val="24"/>
          <w:szCs w:val="24"/>
        </w:rPr>
        <w:t>helpdesky</w:t>
      </w:r>
      <w:proofErr w:type="spellEnd"/>
      <w:r w:rsidRPr="005C483F">
        <w:rPr>
          <w:sz w:val="24"/>
          <w:szCs w:val="24"/>
        </w:rPr>
        <w:t>),</w:t>
      </w:r>
    </w:p>
    <w:p w:rsidR="009F2DFA" w:rsidRPr="005C483F" w:rsidRDefault="009F2DFA" w:rsidP="009F2DFA">
      <w:pPr>
        <w:numPr>
          <w:ilvl w:val="0"/>
          <w:numId w:val="12"/>
        </w:numPr>
        <w:spacing w:line="276" w:lineRule="auto"/>
        <w:jc w:val="both"/>
        <w:rPr>
          <w:sz w:val="24"/>
          <w:szCs w:val="24"/>
        </w:rPr>
      </w:pPr>
      <w:r w:rsidRPr="005C483F">
        <w:rPr>
          <w:sz w:val="24"/>
          <w:szCs w:val="24"/>
        </w:rPr>
        <w:t>previazanosť na ďalšie opatrenia/ povinnosti pre podnikateľov - systematické zjednodušovanie požiadaviek pre MSP.</w:t>
      </w:r>
    </w:p>
    <w:p w:rsidR="009F2DFA" w:rsidRPr="005C483F" w:rsidRDefault="009F2DFA" w:rsidP="009F2DFA">
      <w:pPr>
        <w:tabs>
          <w:tab w:val="left" w:pos="960"/>
        </w:tabs>
        <w:jc w:val="both"/>
        <w:rPr>
          <w:sz w:val="24"/>
          <w:szCs w:val="24"/>
        </w:rPr>
      </w:pPr>
    </w:p>
    <w:p w:rsidR="009F2DFA" w:rsidRDefault="00F41620" w:rsidP="009F2DFA">
      <w:pPr>
        <w:tabs>
          <w:tab w:val="left" w:pos="960"/>
        </w:tabs>
        <w:jc w:val="both"/>
        <w:rPr>
          <w:sz w:val="24"/>
          <w:szCs w:val="24"/>
        </w:rPr>
      </w:pPr>
      <w:r>
        <w:rPr>
          <w:sz w:val="24"/>
          <w:szCs w:val="24"/>
        </w:rPr>
        <w:t xml:space="preserve">Výsledky testu </w:t>
      </w:r>
      <w:r w:rsidR="009F2DFA" w:rsidRPr="005C483F">
        <w:rPr>
          <w:sz w:val="24"/>
          <w:szCs w:val="24"/>
        </w:rPr>
        <w:t xml:space="preserve">MSP </w:t>
      </w:r>
      <w:r>
        <w:rPr>
          <w:sz w:val="24"/>
          <w:szCs w:val="24"/>
        </w:rPr>
        <w:t>tvoria</w:t>
      </w:r>
      <w:r w:rsidR="009F2DFA">
        <w:rPr>
          <w:sz w:val="24"/>
          <w:szCs w:val="24"/>
        </w:rPr>
        <w:t xml:space="preserve"> </w:t>
      </w:r>
      <w:r w:rsidR="009F2DFA" w:rsidRPr="00740146">
        <w:rPr>
          <w:sz w:val="24"/>
          <w:szCs w:val="24"/>
        </w:rPr>
        <w:t xml:space="preserve">prílohu k Analýze vplyvov na podnikateľské prostredie </w:t>
      </w:r>
      <w:r w:rsidR="009F2DFA">
        <w:rPr>
          <w:sz w:val="24"/>
          <w:szCs w:val="24"/>
        </w:rPr>
        <w:t>podľa bodu 7.3.</w:t>
      </w:r>
    </w:p>
    <w:p w:rsidR="009F2DFA" w:rsidRDefault="009F2DFA" w:rsidP="009F2DFA">
      <w:pPr>
        <w:tabs>
          <w:tab w:val="left" w:pos="960"/>
        </w:tabs>
        <w:jc w:val="both"/>
        <w:rPr>
          <w:sz w:val="24"/>
          <w:szCs w:val="24"/>
        </w:rPr>
      </w:pPr>
    </w:p>
    <w:p w:rsidR="00CB3623" w:rsidRDefault="00CB3623"/>
    <w:sectPr w:rsidR="00CB3623">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55C" w:rsidRDefault="0011155C" w:rsidP="009F2DFA">
      <w:r>
        <w:separator/>
      </w:r>
    </w:p>
  </w:endnote>
  <w:endnote w:type="continuationSeparator" w:id="0">
    <w:p w:rsidR="0011155C" w:rsidRDefault="0011155C"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381234"/>
      <w:docPartObj>
        <w:docPartGallery w:val="Page Numbers (Bottom of Page)"/>
        <w:docPartUnique/>
      </w:docPartObj>
    </w:sdtPr>
    <w:sdtEndPr/>
    <w:sdtContent>
      <w:p w:rsidR="00347F64" w:rsidRDefault="00347F64">
        <w:pPr>
          <w:pStyle w:val="Pta"/>
          <w:jc w:val="right"/>
        </w:pPr>
        <w:r>
          <w:fldChar w:fldCharType="begin"/>
        </w:r>
        <w:r>
          <w:instrText>PAGE   \* MERGEFORMAT</w:instrText>
        </w:r>
        <w:r>
          <w:fldChar w:fldCharType="separate"/>
        </w:r>
        <w:r w:rsidR="004B158E">
          <w:rPr>
            <w:noProof/>
          </w:rPr>
          <w:t>3</w:t>
        </w:r>
        <w:r>
          <w:fldChar w:fldCharType="end"/>
        </w:r>
      </w:p>
    </w:sdtContent>
  </w:sdt>
  <w:p w:rsidR="00347F64" w:rsidRDefault="00347F6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55C" w:rsidRDefault="0011155C" w:rsidP="009F2DFA">
      <w:r>
        <w:separator/>
      </w:r>
    </w:p>
  </w:footnote>
  <w:footnote w:type="continuationSeparator" w:id="0">
    <w:p w:rsidR="0011155C" w:rsidRDefault="0011155C" w:rsidP="009F2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64" w:rsidRDefault="00347F64" w:rsidP="009F2DFA">
    <w:pPr>
      <w:pStyle w:val="Hlavika"/>
      <w:jc w:val="right"/>
      <w:rPr>
        <w:sz w:val="24"/>
        <w:szCs w:val="24"/>
      </w:rPr>
    </w:pPr>
    <w:r w:rsidRPr="000A15AE">
      <w:rPr>
        <w:sz w:val="24"/>
        <w:szCs w:val="24"/>
      </w:rPr>
      <w:t>Príloha č</w:t>
    </w:r>
    <w:r>
      <w:rPr>
        <w:sz w:val="24"/>
        <w:szCs w:val="24"/>
      </w:rPr>
      <w:t>. 3</w:t>
    </w:r>
  </w:p>
  <w:p w:rsidR="00347F64" w:rsidRDefault="00347F6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B6A5E98"/>
    <w:multiLevelType w:val="hybridMultilevel"/>
    <w:tmpl w:val="7FCE64E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2"/>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13"/>
    <w:rsid w:val="0011155C"/>
    <w:rsid w:val="00154881"/>
    <w:rsid w:val="002B1108"/>
    <w:rsid w:val="002F2FBD"/>
    <w:rsid w:val="00347F64"/>
    <w:rsid w:val="004B158E"/>
    <w:rsid w:val="0052297F"/>
    <w:rsid w:val="00592978"/>
    <w:rsid w:val="00780BA6"/>
    <w:rsid w:val="007F1FBE"/>
    <w:rsid w:val="00837639"/>
    <w:rsid w:val="008A1252"/>
    <w:rsid w:val="00904C9B"/>
    <w:rsid w:val="0096429B"/>
    <w:rsid w:val="009F2DFA"/>
    <w:rsid w:val="00A550C8"/>
    <w:rsid w:val="00B31A8E"/>
    <w:rsid w:val="00BA073A"/>
    <w:rsid w:val="00BF79E0"/>
    <w:rsid w:val="00CB3623"/>
    <w:rsid w:val="00DA257A"/>
    <w:rsid w:val="00E75AD7"/>
    <w:rsid w:val="00E86AD1"/>
    <w:rsid w:val="00F41620"/>
    <w:rsid w:val="00FB5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statistics.sk/showdoc.do?docid=1924" TargetMode="External"/><Relationship Id="rId13" Type="http://schemas.openxmlformats.org/officeDocument/2006/relationships/image" Target="media/image5.emf"/><Relationship Id="rId18" Type="http://schemas.openxmlformats.org/officeDocument/2006/relationships/diagramColors" Target="diagrams/colors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2.emf"/><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E1D0AE-E20F-4729-8B4D-B3833993BD7A}" type="doc">
      <dgm:prSet loTypeId="urn:microsoft.com/office/officeart/2005/8/layout/orgChart1" loCatId="hierarchy" qsTypeId="urn:microsoft.com/office/officeart/2005/8/quickstyle/simple1" qsCatId="simple" csTypeId="urn:microsoft.com/office/officeart/2005/8/colors/accent1_2" csCatId="accent1" phldr="1"/>
      <dgm:spPr/>
    </dgm:pt>
    <dgm:pt modelId="{5F254598-ACFD-4493-9147-CAEE4774F119}">
      <dgm:prSet/>
      <dgm:spPr/>
      <dgm:t>
        <a:bodyPr/>
        <a:lstStyle/>
        <a:p>
          <a:pPr marR="0" algn="ctr" rtl="0"/>
          <a:r>
            <a:rPr lang="sk-SK" b="0" i="0" u="none" strike="noStrike" baseline="0" smtClean="0">
              <a:latin typeface="Times New Roman"/>
            </a:rPr>
            <a:t>Fázy vykonávania testu MSP</a:t>
          </a:r>
          <a:endParaRPr lang="sk-SK" smtClean="0"/>
        </a:p>
      </dgm:t>
    </dgm:pt>
    <dgm:pt modelId="{40DBE72A-9A47-4523-86E0-3FE2F8929102}" type="parTrans" cxnId="{52C65F7A-4DFE-438D-8BC3-CEF20881B7EF}">
      <dgm:prSet/>
      <dgm:spPr/>
      <dgm:t>
        <a:bodyPr/>
        <a:lstStyle/>
        <a:p>
          <a:endParaRPr lang="sk-SK"/>
        </a:p>
      </dgm:t>
    </dgm:pt>
    <dgm:pt modelId="{2F82F967-4AD6-4E34-B3CA-0E641571C92F}" type="sibTrans" cxnId="{52C65F7A-4DFE-438D-8BC3-CEF20881B7EF}">
      <dgm:prSet/>
      <dgm:spPr/>
      <dgm:t>
        <a:bodyPr/>
        <a:lstStyle/>
        <a:p>
          <a:endParaRPr lang="sk-SK"/>
        </a:p>
      </dgm:t>
    </dgm:pt>
    <dgm:pt modelId="{1370191D-207C-43DE-9CDC-F0981E038579}">
      <dgm:prSet/>
      <dgm:spPr/>
      <dgm:t>
        <a:bodyPr/>
        <a:lstStyle/>
        <a:p>
          <a:pPr marR="0" algn="ctr" rtl="0"/>
          <a:r>
            <a:rPr lang="sk-SK" b="0" i="0" u="none" strike="noStrike" baseline="0" smtClean="0">
              <a:latin typeface="Times New Roman"/>
            </a:rPr>
            <a:t>1.Konzultácie so zástupcami MSP</a:t>
          </a:r>
          <a:endParaRPr lang="sk-SK" smtClean="0"/>
        </a:p>
      </dgm:t>
    </dgm:pt>
    <dgm:pt modelId="{8607C018-2BCA-4E1E-ADC6-E43D2DCFDEB5}" type="parTrans" cxnId="{BBCA088B-4086-42D9-A781-F37231ED6E23}">
      <dgm:prSet/>
      <dgm:spPr/>
      <dgm:t>
        <a:bodyPr/>
        <a:lstStyle/>
        <a:p>
          <a:endParaRPr lang="sk-SK"/>
        </a:p>
      </dgm:t>
    </dgm:pt>
    <dgm:pt modelId="{BC9B71A1-06FB-4513-85F4-8E33AA99A8E8}" type="sibTrans" cxnId="{BBCA088B-4086-42D9-A781-F37231ED6E23}">
      <dgm:prSet/>
      <dgm:spPr/>
      <dgm:t>
        <a:bodyPr/>
        <a:lstStyle/>
        <a:p>
          <a:endParaRPr lang="sk-SK"/>
        </a:p>
      </dgm:t>
    </dgm:pt>
    <dgm:pt modelId="{521874EA-6E41-4711-BB7A-E45EB2C177CD}">
      <dgm:prSet/>
      <dgm:spPr/>
      <dgm:t>
        <a:bodyPr/>
        <a:lstStyle/>
        <a:p>
          <a:pPr marR="0" algn="ctr" rtl="0"/>
          <a:r>
            <a:rPr lang="sk-SK" b="0" i="0" u="none" strike="noStrike" baseline="0" smtClean="0">
              <a:latin typeface="Times New Roman"/>
            </a:rPr>
            <a:t>2. Predbežné posúdenie pravdepodobne 	ovplyvnených podnikateľských subjektov </a:t>
          </a:r>
          <a:r>
            <a:rPr lang="sk-SK" b="0" i="0" u="none" strike="noStrike" baseline="0" smtClean="0">
              <a:latin typeface="Calibri"/>
            </a:rPr>
            <a:t> </a:t>
          </a:r>
          <a:endParaRPr lang="sk-SK" smtClean="0"/>
        </a:p>
      </dgm:t>
    </dgm:pt>
    <dgm:pt modelId="{B9FF5DD2-0314-466F-BD07-538275B06742}" type="parTrans" cxnId="{92CCDD2A-052E-4850-BDDB-960A3DD74246}">
      <dgm:prSet/>
      <dgm:spPr/>
      <dgm:t>
        <a:bodyPr/>
        <a:lstStyle/>
        <a:p>
          <a:endParaRPr lang="sk-SK"/>
        </a:p>
      </dgm:t>
    </dgm:pt>
    <dgm:pt modelId="{737D1A14-5437-411B-B2D3-06BEF36D2563}" type="sibTrans" cxnId="{92CCDD2A-052E-4850-BDDB-960A3DD74246}">
      <dgm:prSet/>
      <dgm:spPr/>
      <dgm:t>
        <a:bodyPr/>
        <a:lstStyle/>
        <a:p>
          <a:endParaRPr lang="sk-SK"/>
        </a:p>
      </dgm:t>
    </dgm:pt>
    <dgm:pt modelId="{A7FC6FC6-4038-4346-AF81-4CF1C7F0186C}">
      <dgm:prSet/>
      <dgm:spPr/>
      <dgm:t>
        <a:bodyPr/>
        <a:lstStyle/>
        <a:p>
          <a:pPr marR="0" algn="ctr" rtl="0"/>
          <a:r>
            <a:rPr lang="sk-SK" b="0" i="0" u="none" strike="noStrike" baseline="0" smtClean="0">
              <a:latin typeface="Times New Roman"/>
            </a:rPr>
            <a:t>3.Meranie vplyvu regulácie na MSP</a:t>
          </a:r>
          <a:endParaRPr lang="sk-SK" smtClean="0"/>
        </a:p>
      </dgm:t>
    </dgm:pt>
    <dgm:pt modelId="{A7F615EF-BE2C-4D7C-A492-BF26AE09E984}" type="parTrans" cxnId="{C437F6FA-A1F2-4AA4-97E7-36ABAB8F743B}">
      <dgm:prSet/>
      <dgm:spPr/>
      <dgm:t>
        <a:bodyPr/>
        <a:lstStyle/>
        <a:p>
          <a:endParaRPr lang="sk-SK"/>
        </a:p>
      </dgm:t>
    </dgm:pt>
    <dgm:pt modelId="{FF240594-2146-4CD9-A951-1EC7239FE915}" type="sibTrans" cxnId="{C437F6FA-A1F2-4AA4-97E7-36ABAB8F743B}">
      <dgm:prSet/>
      <dgm:spPr/>
      <dgm:t>
        <a:bodyPr/>
        <a:lstStyle/>
        <a:p>
          <a:endParaRPr lang="sk-SK"/>
        </a:p>
      </dgm:t>
    </dgm:pt>
    <dgm:pt modelId="{5E0484C8-FB5C-4D97-9AD7-902A22E6BB39}">
      <dgm:prSet/>
      <dgm:spPr/>
      <dgm:t>
        <a:bodyPr/>
        <a:lstStyle/>
        <a:p>
          <a:pPr marR="0" algn="ctr" rtl="0"/>
          <a:r>
            <a:rPr lang="sk-SK" b="0" i="0" u="none" strike="noStrike" baseline="0" smtClean="0">
              <a:latin typeface="Times New Roman"/>
            </a:rPr>
            <a:t>4.Posúdenie alternatívnych možností a zmierňujúcich opatrení pre MSP</a:t>
          </a:r>
          <a:endParaRPr lang="sk-SK" smtClean="0"/>
        </a:p>
      </dgm:t>
    </dgm:pt>
    <dgm:pt modelId="{1DFAA7B4-76A5-4AA7-B947-6DF855D7B913}" type="parTrans" cxnId="{67F2CB4C-F71D-4284-899A-090500D6B280}">
      <dgm:prSet/>
      <dgm:spPr/>
      <dgm:t>
        <a:bodyPr/>
        <a:lstStyle/>
        <a:p>
          <a:endParaRPr lang="sk-SK"/>
        </a:p>
      </dgm:t>
    </dgm:pt>
    <dgm:pt modelId="{B9B0AEC9-2573-4F14-B2ED-D5961A6B6CA3}" type="sibTrans" cxnId="{67F2CB4C-F71D-4284-899A-090500D6B280}">
      <dgm:prSet/>
      <dgm:spPr/>
      <dgm:t>
        <a:bodyPr/>
        <a:lstStyle/>
        <a:p>
          <a:endParaRPr lang="sk-SK"/>
        </a:p>
      </dgm:t>
    </dgm:pt>
    <dgm:pt modelId="{57BA9BCC-365A-4710-9F0B-AE5E34111283}" type="pres">
      <dgm:prSet presAssocID="{C2E1D0AE-E20F-4729-8B4D-B3833993BD7A}" presName="hierChild1" presStyleCnt="0">
        <dgm:presLayoutVars>
          <dgm:orgChart val="1"/>
          <dgm:chPref val="1"/>
          <dgm:dir/>
          <dgm:animOne val="branch"/>
          <dgm:animLvl val="lvl"/>
          <dgm:resizeHandles/>
        </dgm:presLayoutVars>
      </dgm:prSet>
      <dgm:spPr/>
    </dgm:pt>
    <dgm:pt modelId="{0BD804DE-0CC3-4B2B-B109-02111D228D1C}" type="pres">
      <dgm:prSet presAssocID="{5F254598-ACFD-4493-9147-CAEE4774F119}" presName="hierRoot1" presStyleCnt="0">
        <dgm:presLayoutVars>
          <dgm:hierBranch val="r"/>
        </dgm:presLayoutVars>
      </dgm:prSet>
      <dgm:spPr/>
    </dgm:pt>
    <dgm:pt modelId="{65FDA49F-F7D0-4E40-A0FA-57FB787A4695}" type="pres">
      <dgm:prSet presAssocID="{5F254598-ACFD-4493-9147-CAEE4774F119}" presName="rootComposite1" presStyleCnt="0"/>
      <dgm:spPr/>
    </dgm:pt>
    <dgm:pt modelId="{A88F122A-3A8F-4C17-B7A2-132F691F99A7}" type="pres">
      <dgm:prSet presAssocID="{5F254598-ACFD-4493-9147-CAEE4774F119}" presName="rootText1" presStyleLbl="node0" presStyleIdx="0" presStyleCnt="1">
        <dgm:presLayoutVars>
          <dgm:chPref val="3"/>
        </dgm:presLayoutVars>
      </dgm:prSet>
      <dgm:spPr/>
      <dgm:t>
        <a:bodyPr/>
        <a:lstStyle/>
        <a:p>
          <a:endParaRPr lang="sk-SK"/>
        </a:p>
      </dgm:t>
    </dgm:pt>
    <dgm:pt modelId="{58B7CD29-7A92-4B60-A7CD-60691F41BE7C}" type="pres">
      <dgm:prSet presAssocID="{5F254598-ACFD-4493-9147-CAEE4774F119}" presName="rootConnector1" presStyleLbl="node1" presStyleIdx="0" presStyleCnt="0"/>
      <dgm:spPr/>
      <dgm:t>
        <a:bodyPr/>
        <a:lstStyle/>
        <a:p>
          <a:endParaRPr lang="sk-SK"/>
        </a:p>
      </dgm:t>
    </dgm:pt>
    <dgm:pt modelId="{BA33D02C-E6B6-4059-98A0-272816ED8E2C}" type="pres">
      <dgm:prSet presAssocID="{5F254598-ACFD-4493-9147-CAEE4774F119}" presName="hierChild2" presStyleCnt="0"/>
      <dgm:spPr/>
    </dgm:pt>
    <dgm:pt modelId="{72080392-37F8-4943-9AFF-57BB22A937C6}" type="pres">
      <dgm:prSet presAssocID="{8607C018-2BCA-4E1E-ADC6-E43D2DCFDEB5}" presName="Name50" presStyleLbl="parChTrans1D2" presStyleIdx="0" presStyleCnt="4"/>
      <dgm:spPr/>
      <dgm:t>
        <a:bodyPr/>
        <a:lstStyle/>
        <a:p>
          <a:endParaRPr lang="sk-SK"/>
        </a:p>
      </dgm:t>
    </dgm:pt>
    <dgm:pt modelId="{229B4DF4-BD81-468B-A53B-FB0C7A876323}" type="pres">
      <dgm:prSet presAssocID="{1370191D-207C-43DE-9CDC-F0981E038579}" presName="hierRoot2" presStyleCnt="0">
        <dgm:presLayoutVars>
          <dgm:hierBranch/>
        </dgm:presLayoutVars>
      </dgm:prSet>
      <dgm:spPr/>
    </dgm:pt>
    <dgm:pt modelId="{7A987FD8-82FC-4712-9F38-B080E93D24ED}" type="pres">
      <dgm:prSet presAssocID="{1370191D-207C-43DE-9CDC-F0981E038579}" presName="rootComposite" presStyleCnt="0"/>
      <dgm:spPr/>
    </dgm:pt>
    <dgm:pt modelId="{D4847877-A882-456B-89B5-4343B21D4101}" type="pres">
      <dgm:prSet presAssocID="{1370191D-207C-43DE-9CDC-F0981E038579}" presName="rootText" presStyleLbl="node2" presStyleIdx="0" presStyleCnt="4">
        <dgm:presLayoutVars>
          <dgm:chPref val="3"/>
        </dgm:presLayoutVars>
      </dgm:prSet>
      <dgm:spPr/>
      <dgm:t>
        <a:bodyPr/>
        <a:lstStyle/>
        <a:p>
          <a:endParaRPr lang="sk-SK"/>
        </a:p>
      </dgm:t>
    </dgm:pt>
    <dgm:pt modelId="{D320C5F2-C510-4CC0-B0D7-1794C6EC0817}" type="pres">
      <dgm:prSet presAssocID="{1370191D-207C-43DE-9CDC-F0981E038579}" presName="rootConnector" presStyleLbl="node2" presStyleIdx="0" presStyleCnt="4"/>
      <dgm:spPr/>
      <dgm:t>
        <a:bodyPr/>
        <a:lstStyle/>
        <a:p>
          <a:endParaRPr lang="sk-SK"/>
        </a:p>
      </dgm:t>
    </dgm:pt>
    <dgm:pt modelId="{55B6FE52-90C0-4EF4-A9D0-80E1AEE3206A}" type="pres">
      <dgm:prSet presAssocID="{1370191D-207C-43DE-9CDC-F0981E038579}" presName="hierChild4" presStyleCnt="0"/>
      <dgm:spPr/>
    </dgm:pt>
    <dgm:pt modelId="{E9533EDE-1C17-4306-8E7A-069D406094F6}" type="pres">
      <dgm:prSet presAssocID="{1370191D-207C-43DE-9CDC-F0981E038579}" presName="hierChild5" presStyleCnt="0"/>
      <dgm:spPr/>
    </dgm:pt>
    <dgm:pt modelId="{10A386F6-8ECE-439B-A83B-5B6AD2C4F8A0}" type="pres">
      <dgm:prSet presAssocID="{B9FF5DD2-0314-466F-BD07-538275B06742}" presName="Name50" presStyleLbl="parChTrans1D2" presStyleIdx="1" presStyleCnt="4"/>
      <dgm:spPr/>
      <dgm:t>
        <a:bodyPr/>
        <a:lstStyle/>
        <a:p>
          <a:endParaRPr lang="sk-SK"/>
        </a:p>
      </dgm:t>
    </dgm:pt>
    <dgm:pt modelId="{DC443BDB-9C53-4AC3-AFB6-C44125244C5A}" type="pres">
      <dgm:prSet presAssocID="{521874EA-6E41-4711-BB7A-E45EB2C177CD}" presName="hierRoot2" presStyleCnt="0">
        <dgm:presLayoutVars>
          <dgm:hierBranch/>
        </dgm:presLayoutVars>
      </dgm:prSet>
      <dgm:spPr/>
    </dgm:pt>
    <dgm:pt modelId="{E125083F-D170-4146-8875-50503A61DF6D}" type="pres">
      <dgm:prSet presAssocID="{521874EA-6E41-4711-BB7A-E45EB2C177CD}" presName="rootComposite" presStyleCnt="0"/>
      <dgm:spPr/>
    </dgm:pt>
    <dgm:pt modelId="{9B6AF713-8D67-4323-B646-4068A2BC876C}" type="pres">
      <dgm:prSet presAssocID="{521874EA-6E41-4711-BB7A-E45EB2C177CD}" presName="rootText" presStyleLbl="node2" presStyleIdx="1" presStyleCnt="4" custScaleX="145402">
        <dgm:presLayoutVars>
          <dgm:chPref val="3"/>
        </dgm:presLayoutVars>
      </dgm:prSet>
      <dgm:spPr/>
      <dgm:t>
        <a:bodyPr/>
        <a:lstStyle/>
        <a:p>
          <a:endParaRPr lang="sk-SK"/>
        </a:p>
      </dgm:t>
    </dgm:pt>
    <dgm:pt modelId="{CDBABD21-2F2F-4763-9C0D-A4F61B3E8103}" type="pres">
      <dgm:prSet presAssocID="{521874EA-6E41-4711-BB7A-E45EB2C177CD}" presName="rootConnector" presStyleLbl="node2" presStyleIdx="1" presStyleCnt="4"/>
      <dgm:spPr/>
      <dgm:t>
        <a:bodyPr/>
        <a:lstStyle/>
        <a:p>
          <a:endParaRPr lang="sk-SK"/>
        </a:p>
      </dgm:t>
    </dgm:pt>
    <dgm:pt modelId="{0D4862D6-E847-4693-A4EE-0AB36E91F054}" type="pres">
      <dgm:prSet presAssocID="{521874EA-6E41-4711-BB7A-E45EB2C177CD}" presName="hierChild4" presStyleCnt="0"/>
      <dgm:spPr/>
    </dgm:pt>
    <dgm:pt modelId="{030D4C91-6CD3-4E49-8C2B-514CC42BDE40}" type="pres">
      <dgm:prSet presAssocID="{521874EA-6E41-4711-BB7A-E45EB2C177CD}" presName="hierChild5" presStyleCnt="0"/>
      <dgm:spPr/>
    </dgm:pt>
    <dgm:pt modelId="{E51EEFB1-B4A9-477B-8D21-436571D7B2DC}" type="pres">
      <dgm:prSet presAssocID="{A7F615EF-BE2C-4D7C-A492-BF26AE09E984}" presName="Name50" presStyleLbl="parChTrans1D2" presStyleIdx="2" presStyleCnt="4"/>
      <dgm:spPr/>
      <dgm:t>
        <a:bodyPr/>
        <a:lstStyle/>
        <a:p>
          <a:endParaRPr lang="sk-SK"/>
        </a:p>
      </dgm:t>
    </dgm:pt>
    <dgm:pt modelId="{53C92187-E288-4BEB-9CBC-DCF4AF02986C}" type="pres">
      <dgm:prSet presAssocID="{A7FC6FC6-4038-4346-AF81-4CF1C7F0186C}" presName="hierRoot2" presStyleCnt="0">
        <dgm:presLayoutVars>
          <dgm:hierBranch/>
        </dgm:presLayoutVars>
      </dgm:prSet>
      <dgm:spPr/>
    </dgm:pt>
    <dgm:pt modelId="{8042F5BB-5128-46AC-85E7-DF67FE16424F}" type="pres">
      <dgm:prSet presAssocID="{A7FC6FC6-4038-4346-AF81-4CF1C7F0186C}" presName="rootComposite" presStyleCnt="0"/>
      <dgm:spPr/>
    </dgm:pt>
    <dgm:pt modelId="{DCD8670C-1B49-4FA3-8514-5EDFEC496BE7}" type="pres">
      <dgm:prSet presAssocID="{A7FC6FC6-4038-4346-AF81-4CF1C7F0186C}" presName="rootText" presStyleLbl="node2" presStyleIdx="2" presStyleCnt="4">
        <dgm:presLayoutVars>
          <dgm:chPref val="3"/>
        </dgm:presLayoutVars>
      </dgm:prSet>
      <dgm:spPr/>
      <dgm:t>
        <a:bodyPr/>
        <a:lstStyle/>
        <a:p>
          <a:endParaRPr lang="sk-SK"/>
        </a:p>
      </dgm:t>
    </dgm:pt>
    <dgm:pt modelId="{C3230535-DC83-4A49-95A2-CA8C7877350C}" type="pres">
      <dgm:prSet presAssocID="{A7FC6FC6-4038-4346-AF81-4CF1C7F0186C}" presName="rootConnector" presStyleLbl="node2" presStyleIdx="2" presStyleCnt="4"/>
      <dgm:spPr/>
      <dgm:t>
        <a:bodyPr/>
        <a:lstStyle/>
        <a:p>
          <a:endParaRPr lang="sk-SK"/>
        </a:p>
      </dgm:t>
    </dgm:pt>
    <dgm:pt modelId="{24BC225A-78D7-4DEE-A54C-E7D1C72CDCD4}" type="pres">
      <dgm:prSet presAssocID="{A7FC6FC6-4038-4346-AF81-4CF1C7F0186C}" presName="hierChild4" presStyleCnt="0"/>
      <dgm:spPr/>
    </dgm:pt>
    <dgm:pt modelId="{62D3D81B-8616-4E78-8027-9EAD873638D1}" type="pres">
      <dgm:prSet presAssocID="{A7FC6FC6-4038-4346-AF81-4CF1C7F0186C}" presName="hierChild5" presStyleCnt="0"/>
      <dgm:spPr/>
    </dgm:pt>
    <dgm:pt modelId="{20019C3C-E1E2-4DEA-8099-902EB7C68D37}" type="pres">
      <dgm:prSet presAssocID="{1DFAA7B4-76A5-4AA7-B947-6DF855D7B913}" presName="Name50" presStyleLbl="parChTrans1D2" presStyleIdx="3" presStyleCnt="4"/>
      <dgm:spPr/>
      <dgm:t>
        <a:bodyPr/>
        <a:lstStyle/>
        <a:p>
          <a:endParaRPr lang="sk-SK"/>
        </a:p>
      </dgm:t>
    </dgm:pt>
    <dgm:pt modelId="{B2B9D473-B6E9-4116-BAE6-D32CB111D4F4}" type="pres">
      <dgm:prSet presAssocID="{5E0484C8-FB5C-4D97-9AD7-902A22E6BB39}" presName="hierRoot2" presStyleCnt="0">
        <dgm:presLayoutVars>
          <dgm:hierBranch/>
        </dgm:presLayoutVars>
      </dgm:prSet>
      <dgm:spPr/>
    </dgm:pt>
    <dgm:pt modelId="{15AC2BCE-1B16-4659-B603-A3B26B985F65}" type="pres">
      <dgm:prSet presAssocID="{5E0484C8-FB5C-4D97-9AD7-902A22E6BB39}" presName="rootComposite" presStyleCnt="0"/>
      <dgm:spPr/>
    </dgm:pt>
    <dgm:pt modelId="{2B0DF7BF-458D-4CF0-A657-34F05C922494}" type="pres">
      <dgm:prSet presAssocID="{5E0484C8-FB5C-4D97-9AD7-902A22E6BB39}" presName="rootText" presStyleLbl="node2" presStyleIdx="3" presStyleCnt="4" custScaleX="147339">
        <dgm:presLayoutVars>
          <dgm:chPref val="3"/>
        </dgm:presLayoutVars>
      </dgm:prSet>
      <dgm:spPr/>
      <dgm:t>
        <a:bodyPr/>
        <a:lstStyle/>
        <a:p>
          <a:endParaRPr lang="sk-SK"/>
        </a:p>
      </dgm:t>
    </dgm:pt>
    <dgm:pt modelId="{E9390D1B-95F2-4E18-A586-967F1B064FC3}" type="pres">
      <dgm:prSet presAssocID="{5E0484C8-FB5C-4D97-9AD7-902A22E6BB39}" presName="rootConnector" presStyleLbl="node2" presStyleIdx="3" presStyleCnt="4"/>
      <dgm:spPr/>
      <dgm:t>
        <a:bodyPr/>
        <a:lstStyle/>
        <a:p>
          <a:endParaRPr lang="sk-SK"/>
        </a:p>
      </dgm:t>
    </dgm:pt>
    <dgm:pt modelId="{E6376C15-2F18-408F-BCE0-C072ABEEB7D5}" type="pres">
      <dgm:prSet presAssocID="{5E0484C8-FB5C-4D97-9AD7-902A22E6BB39}" presName="hierChild4" presStyleCnt="0"/>
      <dgm:spPr/>
    </dgm:pt>
    <dgm:pt modelId="{DD47F823-2ED3-4700-AC4C-7E91F414D76C}" type="pres">
      <dgm:prSet presAssocID="{5E0484C8-FB5C-4D97-9AD7-902A22E6BB39}" presName="hierChild5" presStyleCnt="0"/>
      <dgm:spPr/>
    </dgm:pt>
    <dgm:pt modelId="{F7E90810-6952-4C99-96EE-7B99998F91D0}" type="pres">
      <dgm:prSet presAssocID="{5F254598-ACFD-4493-9147-CAEE4774F119}" presName="hierChild3" presStyleCnt="0"/>
      <dgm:spPr/>
    </dgm:pt>
  </dgm:ptLst>
  <dgm:cxnLst>
    <dgm:cxn modelId="{BBCA088B-4086-42D9-A781-F37231ED6E23}" srcId="{5F254598-ACFD-4493-9147-CAEE4774F119}" destId="{1370191D-207C-43DE-9CDC-F0981E038579}" srcOrd="0" destOrd="0" parTransId="{8607C018-2BCA-4E1E-ADC6-E43D2DCFDEB5}" sibTransId="{BC9B71A1-06FB-4513-85F4-8E33AA99A8E8}"/>
    <dgm:cxn modelId="{80DCF807-1EA8-4413-A494-787166EE11A0}" type="presOf" srcId="{1370191D-207C-43DE-9CDC-F0981E038579}" destId="{D320C5F2-C510-4CC0-B0D7-1794C6EC0817}" srcOrd="1" destOrd="0" presId="urn:microsoft.com/office/officeart/2005/8/layout/orgChart1"/>
    <dgm:cxn modelId="{ED167D48-A77B-4021-AF77-CE20842EBFBE}" type="presOf" srcId="{A7FC6FC6-4038-4346-AF81-4CF1C7F0186C}" destId="{C3230535-DC83-4A49-95A2-CA8C7877350C}" srcOrd="1" destOrd="0" presId="urn:microsoft.com/office/officeart/2005/8/layout/orgChart1"/>
    <dgm:cxn modelId="{969D3CC5-7248-4E40-94D4-3B21AEE5B034}" type="presOf" srcId="{1370191D-207C-43DE-9CDC-F0981E038579}" destId="{D4847877-A882-456B-89B5-4343B21D4101}" srcOrd="0" destOrd="0" presId="urn:microsoft.com/office/officeart/2005/8/layout/orgChart1"/>
    <dgm:cxn modelId="{93613970-DBBA-4953-A077-C728ED30BF8E}" type="presOf" srcId="{521874EA-6E41-4711-BB7A-E45EB2C177CD}" destId="{CDBABD21-2F2F-4763-9C0D-A4F61B3E8103}" srcOrd="1" destOrd="0" presId="urn:microsoft.com/office/officeart/2005/8/layout/orgChart1"/>
    <dgm:cxn modelId="{92CCDD2A-052E-4850-BDDB-960A3DD74246}" srcId="{5F254598-ACFD-4493-9147-CAEE4774F119}" destId="{521874EA-6E41-4711-BB7A-E45EB2C177CD}" srcOrd="1" destOrd="0" parTransId="{B9FF5DD2-0314-466F-BD07-538275B06742}" sibTransId="{737D1A14-5437-411B-B2D3-06BEF36D2563}"/>
    <dgm:cxn modelId="{67F2CB4C-F71D-4284-899A-090500D6B280}" srcId="{5F254598-ACFD-4493-9147-CAEE4774F119}" destId="{5E0484C8-FB5C-4D97-9AD7-902A22E6BB39}" srcOrd="3" destOrd="0" parTransId="{1DFAA7B4-76A5-4AA7-B947-6DF855D7B913}" sibTransId="{B9B0AEC9-2573-4F14-B2ED-D5961A6B6CA3}"/>
    <dgm:cxn modelId="{148EAFE3-E53F-4EB9-A5C4-C2AD71E1179B}" type="presOf" srcId="{5F254598-ACFD-4493-9147-CAEE4774F119}" destId="{A88F122A-3A8F-4C17-B7A2-132F691F99A7}" srcOrd="0" destOrd="0" presId="urn:microsoft.com/office/officeart/2005/8/layout/orgChart1"/>
    <dgm:cxn modelId="{8CF813E4-81D9-4D04-831F-525800F469B1}" type="presOf" srcId="{B9FF5DD2-0314-466F-BD07-538275B06742}" destId="{10A386F6-8ECE-439B-A83B-5B6AD2C4F8A0}" srcOrd="0" destOrd="0" presId="urn:microsoft.com/office/officeart/2005/8/layout/orgChart1"/>
    <dgm:cxn modelId="{595FB367-C63C-48C1-B4D2-F39B02D1C4CF}" type="presOf" srcId="{5F254598-ACFD-4493-9147-CAEE4774F119}" destId="{58B7CD29-7A92-4B60-A7CD-60691F41BE7C}" srcOrd="1" destOrd="0" presId="urn:microsoft.com/office/officeart/2005/8/layout/orgChart1"/>
    <dgm:cxn modelId="{52C65F7A-4DFE-438D-8BC3-CEF20881B7EF}" srcId="{C2E1D0AE-E20F-4729-8B4D-B3833993BD7A}" destId="{5F254598-ACFD-4493-9147-CAEE4774F119}" srcOrd="0" destOrd="0" parTransId="{40DBE72A-9A47-4523-86E0-3FE2F8929102}" sibTransId="{2F82F967-4AD6-4E34-B3CA-0E641571C92F}"/>
    <dgm:cxn modelId="{CC918324-BAB2-43FF-8236-192708C8E99A}" type="presOf" srcId="{5E0484C8-FB5C-4D97-9AD7-902A22E6BB39}" destId="{E9390D1B-95F2-4E18-A586-967F1B064FC3}" srcOrd="1" destOrd="0" presId="urn:microsoft.com/office/officeart/2005/8/layout/orgChart1"/>
    <dgm:cxn modelId="{3071E738-8F46-4D02-AA57-23980E3E7C7E}" type="presOf" srcId="{5E0484C8-FB5C-4D97-9AD7-902A22E6BB39}" destId="{2B0DF7BF-458D-4CF0-A657-34F05C922494}" srcOrd="0" destOrd="0" presId="urn:microsoft.com/office/officeart/2005/8/layout/orgChart1"/>
    <dgm:cxn modelId="{FB1C4F76-EC5F-453D-AA23-D4EC9663F0B2}" type="presOf" srcId="{A7F615EF-BE2C-4D7C-A492-BF26AE09E984}" destId="{E51EEFB1-B4A9-477B-8D21-436571D7B2DC}" srcOrd="0" destOrd="0" presId="urn:microsoft.com/office/officeart/2005/8/layout/orgChart1"/>
    <dgm:cxn modelId="{1DF1FD75-2852-4AD3-80CD-E530AD686385}" type="presOf" srcId="{8607C018-2BCA-4E1E-ADC6-E43D2DCFDEB5}" destId="{72080392-37F8-4943-9AFF-57BB22A937C6}" srcOrd="0" destOrd="0" presId="urn:microsoft.com/office/officeart/2005/8/layout/orgChart1"/>
    <dgm:cxn modelId="{57DE0636-2F80-4E0A-A4D7-67B9A856E978}" type="presOf" srcId="{C2E1D0AE-E20F-4729-8B4D-B3833993BD7A}" destId="{57BA9BCC-365A-4710-9F0B-AE5E34111283}" srcOrd="0" destOrd="0" presId="urn:microsoft.com/office/officeart/2005/8/layout/orgChart1"/>
    <dgm:cxn modelId="{3E0F8780-463D-44BA-BD70-DB49F6B88230}" type="presOf" srcId="{A7FC6FC6-4038-4346-AF81-4CF1C7F0186C}" destId="{DCD8670C-1B49-4FA3-8514-5EDFEC496BE7}" srcOrd="0" destOrd="0" presId="urn:microsoft.com/office/officeart/2005/8/layout/orgChart1"/>
    <dgm:cxn modelId="{BF609E07-16B7-458C-B29C-CC36FBFC0C20}" type="presOf" srcId="{521874EA-6E41-4711-BB7A-E45EB2C177CD}" destId="{9B6AF713-8D67-4323-B646-4068A2BC876C}" srcOrd="0" destOrd="0" presId="urn:microsoft.com/office/officeart/2005/8/layout/orgChart1"/>
    <dgm:cxn modelId="{4EBEDB23-F77A-40E3-B77D-78A0EEB183FF}" type="presOf" srcId="{1DFAA7B4-76A5-4AA7-B947-6DF855D7B913}" destId="{20019C3C-E1E2-4DEA-8099-902EB7C68D37}" srcOrd="0" destOrd="0" presId="urn:microsoft.com/office/officeart/2005/8/layout/orgChart1"/>
    <dgm:cxn modelId="{C437F6FA-A1F2-4AA4-97E7-36ABAB8F743B}" srcId="{5F254598-ACFD-4493-9147-CAEE4774F119}" destId="{A7FC6FC6-4038-4346-AF81-4CF1C7F0186C}" srcOrd="2" destOrd="0" parTransId="{A7F615EF-BE2C-4D7C-A492-BF26AE09E984}" sibTransId="{FF240594-2146-4CD9-A951-1EC7239FE915}"/>
    <dgm:cxn modelId="{C1FEB34E-4840-44AA-B55B-ECB8C5280430}" type="presParOf" srcId="{57BA9BCC-365A-4710-9F0B-AE5E34111283}" destId="{0BD804DE-0CC3-4B2B-B109-02111D228D1C}" srcOrd="0" destOrd="0" presId="urn:microsoft.com/office/officeart/2005/8/layout/orgChart1"/>
    <dgm:cxn modelId="{5006108F-A88D-49F5-998B-8BF71941BF86}" type="presParOf" srcId="{0BD804DE-0CC3-4B2B-B109-02111D228D1C}" destId="{65FDA49F-F7D0-4E40-A0FA-57FB787A4695}" srcOrd="0" destOrd="0" presId="urn:microsoft.com/office/officeart/2005/8/layout/orgChart1"/>
    <dgm:cxn modelId="{42E375B7-F806-41D3-890E-9890D35DE535}" type="presParOf" srcId="{65FDA49F-F7D0-4E40-A0FA-57FB787A4695}" destId="{A88F122A-3A8F-4C17-B7A2-132F691F99A7}" srcOrd="0" destOrd="0" presId="urn:microsoft.com/office/officeart/2005/8/layout/orgChart1"/>
    <dgm:cxn modelId="{F06167E2-3962-4F41-BE45-C28D4146A280}" type="presParOf" srcId="{65FDA49F-F7D0-4E40-A0FA-57FB787A4695}" destId="{58B7CD29-7A92-4B60-A7CD-60691F41BE7C}" srcOrd="1" destOrd="0" presId="urn:microsoft.com/office/officeart/2005/8/layout/orgChart1"/>
    <dgm:cxn modelId="{39159F14-284F-4730-A28F-16FA80F0DDB8}" type="presParOf" srcId="{0BD804DE-0CC3-4B2B-B109-02111D228D1C}" destId="{BA33D02C-E6B6-4059-98A0-272816ED8E2C}" srcOrd="1" destOrd="0" presId="urn:microsoft.com/office/officeart/2005/8/layout/orgChart1"/>
    <dgm:cxn modelId="{36919056-DA55-445B-8C98-7627E6E7DAAE}" type="presParOf" srcId="{BA33D02C-E6B6-4059-98A0-272816ED8E2C}" destId="{72080392-37F8-4943-9AFF-57BB22A937C6}" srcOrd="0" destOrd="0" presId="urn:microsoft.com/office/officeart/2005/8/layout/orgChart1"/>
    <dgm:cxn modelId="{66FAD83C-1329-44C4-BB09-58D26492CECC}" type="presParOf" srcId="{BA33D02C-E6B6-4059-98A0-272816ED8E2C}" destId="{229B4DF4-BD81-468B-A53B-FB0C7A876323}" srcOrd="1" destOrd="0" presId="urn:microsoft.com/office/officeart/2005/8/layout/orgChart1"/>
    <dgm:cxn modelId="{2051957C-D29A-44C9-B4E0-0B2AB085B191}" type="presParOf" srcId="{229B4DF4-BD81-468B-A53B-FB0C7A876323}" destId="{7A987FD8-82FC-4712-9F38-B080E93D24ED}" srcOrd="0" destOrd="0" presId="urn:microsoft.com/office/officeart/2005/8/layout/orgChart1"/>
    <dgm:cxn modelId="{9BD7D5AB-5BB2-4833-B4DA-A01BF3C02D51}" type="presParOf" srcId="{7A987FD8-82FC-4712-9F38-B080E93D24ED}" destId="{D4847877-A882-456B-89B5-4343B21D4101}" srcOrd="0" destOrd="0" presId="urn:microsoft.com/office/officeart/2005/8/layout/orgChart1"/>
    <dgm:cxn modelId="{B798A946-C7CC-4F2C-AF03-8FB1BF6A91E5}" type="presParOf" srcId="{7A987FD8-82FC-4712-9F38-B080E93D24ED}" destId="{D320C5F2-C510-4CC0-B0D7-1794C6EC0817}" srcOrd="1" destOrd="0" presId="urn:microsoft.com/office/officeart/2005/8/layout/orgChart1"/>
    <dgm:cxn modelId="{227E654F-B8F5-4EA0-9B8A-764B84DBC8AC}" type="presParOf" srcId="{229B4DF4-BD81-468B-A53B-FB0C7A876323}" destId="{55B6FE52-90C0-4EF4-A9D0-80E1AEE3206A}" srcOrd="1" destOrd="0" presId="urn:microsoft.com/office/officeart/2005/8/layout/orgChart1"/>
    <dgm:cxn modelId="{5634F5EA-B238-481A-BD02-01E882308E40}" type="presParOf" srcId="{229B4DF4-BD81-468B-A53B-FB0C7A876323}" destId="{E9533EDE-1C17-4306-8E7A-069D406094F6}" srcOrd="2" destOrd="0" presId="urn:microsoft.com/office/officeart/2005/8/layout/orgChart1"/>
    <dgm:cxn modelId="{773565BC-1DFC-4F0A-8DF0-412227E961EE}" type="presParOf" srcId="{BA33D02C-E6B6-4059-98A0-272816ED8E2C}" destId="{10A386F6-8ECE-439B-A83B-5B6AD2C4F8A0}" srcOrd="2" destOrd="0" presId="urn:microsoft.com/office/officeart/2005/8/layout/orgChart1"/>
    <dgm:cxn modelId="{68A823AC-AFE6-40BF-A64E-98CEEBA71B08}" type="presParOf" srcId="{BA33D02C-E6B6-4059-98A0-272816ED8E2C}" destId="{DC443BDB-9C53-4AC3-AFB6-C44125244C5A}" srcOrd="3" destOrd="0" presId="urn:microsoft.com/office/officeart/2005/8/layout/orgChart1"/>
    <dgm:cxn modelId="{D4822D61-9D34-4113-88F4-7934CF17CB88}" type="presParOf" srcId="{DC443BDB-9C53-4AC3-AFB6-C44125244C5A}" destId="{E125083F-D170-4146-8875-50503A61DF6D}" srcOrd="0" destOrd="0" presId="urn:microsoft.com/office/officeart/2005/8/layout/orgChart1"/>
    <dgm:cxn modelId="{716AC117-21D4-4304-8E0B-53F13172BA7C}" type="presParOf" srcId="{E125083F-D170-4146-8875-50503A61DF6D}" destId="{9B6AF713-8D67-4323-B646-4068A2BC876C}" srcOrd="0" destOrd="0" presId="urn:microsoft.com/office/officeart/2005/8/layout/orgChart1"/>
    <dgm:cxn modelId="{2E1B97F6-1499-454F-81A2-075E70EC9609}" type="presParOf" srcId="{E125083F-D170-4146-8875-50503A61DF6D}" destId="{CDBABD21-2F2F-4763-9C0D-A4F61B3E8103}" srcOrd="1" destOrd="0" presId="urn:microsoft.com/office/officeart/2005/8/layout/orgChart1"/>
    <dgm:cxn modelId="{30862C05-C53F-43CA-96E7-466AA41792E2}" type="presParOf" srcId="{DC443BDB-9C53-4AC3-AFB6-C44125244C5A}" destId="{0D4862D6-E847-4693-A4EE-0AB36E91F054}" srcOrd="1" destOrd="0" presId="urn:microsoft.com/office/officeart/2005/8/layout/orgChart1"/>
    <dgm:cxn modelId="{01C204A1-9E77-4E7F-99BD-D61D05A95F9B}" type="presParOf" srcId="{DC443BDB-9C53-4AC3-AFB6-C44125244C5A}" destId="{030D4C91-6CD3-4E49-8C2B-514CC42BDE40}" srcOrd="2" destOrd="0" presId="urn:microsoft.com/office/officeart/2005/8/layout/orgChart1"/>
    <dgm:cxn modelId="{D6632261-1312-4AC3-A5FC-59C10C334AD2}" type="presParOf" srcId="{BA33D02C-E6B6-4059-98A0-272816ED8E2C}" destId="{E51EEFB1-B4A9-477B-8D21-436571D7B2DC}" srcOrd="4" destOrd="0" presId="urn:microsoft.com/office/officeart/2005/8/layout/orgChart1"/>
    <dgm:cxn modelId="{47F6D0A2-5732-4FAC-9745-896E3D3A3DF3}" type="presParOf" srcId="{BA33D02C-E6B6-4059-98A0-272816ED8E2C}" destId="{53C92187-E288-4BEB-9CBC-DCF4AF02986C}" srcOrd="5" destOrd="0" presId="urn:microsoft.com/office/officeart/2005/8/layout/orgChart1"/>
    <dgm:cxn modelId="{9D719C00-7739-455B-B24A-34D2F5573F19}" type="presParOf" srcId="{53C92187-E288-4BEB-9CBC-DCF4AF02986C}" destId="{8042F5BB-5128-46AC-85E7-DF67FE16424F}" srcOrd="0" destOrd="0" presId="urn:microsoft.com/office/officeart/2005/8/layout/orgChart1"/>
    <dgm:cxn modelId="{38D5D105-E4E3-4008-A6DB-B17DDE94A44B}" type="presParOf" srcId="{8042F5BB-5128-46AC-85E7-DF67FE16424F}" destId="{DCD8670C-1B49-4FA3-8514-5EDFEC496BE7}" srcOrd="0" destOrd="0" presId="urn:microsoft.com/office/officeart/2005/8/layout/orgChart1"/>
    <dgm:cxn modelId="{B1AD7C7E-7328-43FB-A063-0A92180F9DE2}" type="presParOf" srcId="{8042F5BB-5128-46AC-85E7-DF67FE16424F}" destId="{C3230535-DC83-4A49-95A2-CA8C7877350C}" srcOrd="1" destOrd="0" presId="urn:microsoft.com/office/officeart/2005/8/layout/orgChart1"/>
    <dgm:cxn modelId="{2926F8DE-DAF1-4543-922A-55B2E325F827}" type="presParOf" srcId="{53C92187-E288-4BEB-9CBC-DCF4AF02986C}" destId="{24BC225A-78D7-4DEE-A54C-E7D1C72CDCD4}" srcOrd="1" destOrd="0" presId="urn:microsoft.com/office/officeart/2005/8/layout/orgChart1"/>
    <dgm:cxn modelId="{96BC4440-A68D-49A6-ABA5-54D33A07ED01}" type="presParOf" srcId="{53C92187-E288-4BEB-9CBC-DCF4AF02986C}" destId="{62D3D81B-8616-4E78-8027-9EAD873638D1}" srcOrd="2" destOrd="0" presId="urn:microsoft.com/office/officeart/2005/8/layout/orgChart1"/>
    <dgm:cxn modelId="{33121E8A-7526-4030-86B6-65FBA7203F77}" type="presParOf" srcId="{BA33D02C-E6B6-4059-98A0-272816ED8E2C}" destId="{20019C3C-E1E2-4DEA-8099-902EB7C68D37}" srcOrd="6" destOrd="0" presId="urn:microsoft.com/office/officeart/2005/8/layout/orgChart1"/>
    <dgm:cxn modelId="{37D217BD-BF58-42F2-8A03-C8054825A5E1}" type="presParOf" srcId="{BA33D02C-E6B6-4059-98A0-272816ED8E2C}" destId="{B2B9D473-B6E9-4116-BAE6-D32CB111D4F4}" srcOrd="7" destOrd="0" presId="urn:microsoft.com/office/officeart/2005/8/layout/orgChart1"/>
    <dgm:cxn modelId="{EABD7169-1DC7-4C01-9AEB-A3D30725CC9B}" type="presParOf" srcId="{B2B9D473-B6E9-4116-BAE6-D32CB111D4F4}" destId="{15AC2BCE-1B16-4659-B603-A3B26B985F65}" srcOrd="0" destOrd="0" presId="urn:microsoft.com/office/officeart/2005/8/layout/orgChart1"/>
    <dgm:cxn modelId="{833122ED-BBEC-4CDD-9C06-9B05F5C1CE0A}" type="presParOf" srcId="{15AC2BCE-1B16-4659-B603-A3B26B985F65}" destId="{2B0DF7BF-458D-4CF0-A657-34F05C922494}" srcOrd="0" destOrd="0" presId="urn:microsoft.com/office/officeart/2005/8/layout/orgChart1"/>
    <dgm:cxn modelId="{3631D0D7-F92A-4946-B0CD-26DEB721D968}" type="presParOf" srcId="{15AC2BCE-1B16-4659-B603-A3B26B985F65}" destId="{E9390D1B-95F2-4E18-A586-967F1B064FC3}" srcOrd="1" destOrd="0" presId="urn:microsoft.com/office/officeart/2005/8/layout/orgChart1"/>
    <dgm:cxn modelId="{FDB7B060-2BAA-4EBF-BADD-1C6766DE052F}" type="presParOf" srcId="{B2B9D473-B6E9-4116-BAE6-D32CB111D4F4}" destId="{E6376C15-2F18-408F-BCE0-C072ABEEB7D5}" srcOrd="1" destOrd="0" presId="urn:microsoft.com/office/officeart/2005/8/layout/orgChart1"/>
    <dgm:cxn modelId="{E617688A-5FC9-4DC3-A48E-937241B435AD}" type="presParOf" srcId="{B2B9D473-B6E9-4116-BAE6-D32CB111D4F4}" destId="{DD47F823-2ED3-4700-AC4C-7E91F414D76C}" srcOrd="2" destOrd="0" presId="urn:microsoft.com/office/officeart/2005/8/layout/orgChart1"/>
    <dgm:cxn modelId="{31AB1306-F24D-4464-980A-14F09AAFF881}" type="presParOf" srcId="{0BD804DE-0CC3-4B2B-B109-02111D228D1C}" destId="{F7E90810-6952-4C99-96EE-7B99998F91D0}"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19C3C-E1E2-4DEA-8099-902EB7C68D37}">
      <dsp:nvSpPr>
        <dsp:cNvPr id="0" name=""/>
        <dsp:cNvSpPr/>
      </dsp:nvSpPr>
      <dsp:spPr>
        <a:xfrm>
          <a:off x="2117656" y="410734"/>
          <a:ext cx="123187" cy="2127043"/>
        </a:xfrm>
        <a:custGeom>
          <a:avLst/>
          <a:gdLst/>
          <a:ahLst/>
          <a:cxnLst/>
          <a:rect l="0" t="0" r="0" b="0"/>
          <a:pathLst>
            <a:path>
              <a:moveTo>
                <a:pt x="0" y="0"/>
              </a:moveTo>
              <a:lnTo>
                <a:pt x="0" y="2127043"/>
              </a:lnTo>
              <a:lnTo>
                <a:pt x="123187" y="21270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1EEFB1-B4A9-477B-8D21-436571D7B2DC}">
      <dsp:nvSpPr>
        <dsp:cNvPr id="0" name=""/>
        <dsp:cNvSpPr/>
      </dsp:nvSpPr>
      <dsp:spPr>
        <a:xfrm>
          <a:off x="2117656" y="410734"/>
          <a:ext cx="123187" cy="1543954"/>
        </a:xfrm>
        <a:custGeom>
          <a:avLst/>
          <a:gdLst/>
          <a:ahLst/>
          <a:cxnLst/>
          <a:rect l="0" t="0" r="0" b="0"/>
          <a:pathLst>
            <a:path>
              <a:moveTo>
                <a:pt x="0" y="0"/>
              </a:moveTo>
              <a:lnTo>
                <a:pt x="0" y="1543954"/>
              </a:lnTo>
              <a:lnTo>
                <a:pt x="123187" y="15439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A386F6-8ECE-439B-A83B-5B6AD2C4F8A0}">
      <dsp:nvSpPr>
        <dsp:cNvPr id="0" name=""/>
        <dsp:cNvSpPr/>
      </dsp:nvSpPr>
      <dsp:spPr>
        <a:xfrm>
          <a:off x="2117656" y="410734"/>
          <a:ext cx="123187" cy="960865"/>
        </a:xfrm>
        <a:custGeom>
          <a:avLst/>
          <a:gdLst/>
          <a:ahLst/>
          <a:cxnLst/>
          <a:rect l="0" t="0" r="0" b="0"/>
          <a:pathLst>
            <a:path>
              <a:moveTo>
                <a:pt x="0" y="0"/>
              </a:moveTo>
              <a:lnTo>
                <a:pt x="0" y="960865"/>
              </a:lnTo>
              <a:lnTo>
                <a:pt x="123187" y="960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80392-37F8-4943-9AFF-57BB22A937C6}">
      <dsp:nvSpPr>
        <dsp:cNvPr id="0" name=""/>
        <dsp:cNvSpPr/>
      </dsp:nvSpPr>
      <dsp:spPr>
        <a:xfrm>
          <a:off x="2117656" y="410734"/>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8F122A-3A8F-4C17-B7A2-132F691F99A7}">
      <dsp:nvSpPr>
        <dsp:cNvPr id="0" name=""/>
        <dsp:cNvSpPr/>
      </dsp:nvSpPr>
      <dsp:spPr>
        <a:xfrm>
          <a:off x="2035531"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Fázy vykonávania testu MSP</a:t>
          </a:r>
          <a:endParaRPr lang="sk-SK" sz="700" kern="1200" smtClean="0"/>
        </a:p>
      </dsp:txBody>
      <dsp:txXfrm>
        <a:off x="2035531" y="108"/>
        <a:ext cx="821252" cy="410626"/>
      </dsp:txXfrm>
    </dsp:sp>
    <dsp:sp modelId="{D4847877-A882-456B-89B5-4343B21D4101}">
      <dsp:nvSpPr>
        <dsp:cNvPr id="0" name=""/>
        <dsp:cNvSpPr/>
      </dsp:nvSpPr>
      <dsp:spPr>
        <a:xfrm>
          <a:off x="2240844"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1.Konzultácie so zástupcami MSP</a:t>
          </a:r>
          <a:endParaRPr lang="sk-SK" sz="700" kern="1200" smtClean="0"/>
        </a:p>
      </dsp:txBody>
      <dsp:txXfrm>
        <a:off x="2240844" y="583197"/>
        <a:ext cx="821252" cy="410626"/>
      </dsp:txXfrm>
    </dsp:sp>
    <dsp:sp modelId="{9B6AF713-8D67-4323-B646-4068A2BC876C}">
      <dsp:nvSpPr>
        <dsp:cNvPr id="0" name=""/>
        <dsp:cNvSpPr/>
      </dsp:nvSpPr>
      <dsp:spPr>
        <a:xfrm>
          <a:off x="2240844" y="1166286"/>
          <a:ext cx="1194117"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2. Predbežné posúdenie pravdepodobne 	ovplyvnených podnikateľských subjektov </a:t>
          </a:r>
          <a:r>
            <a:rPr lang="sk-SK" sz="700" b="0" i="0" u="none" strike="noStrike" kern="1200" baseline="0" smtClean="0">
              <a:latin typeface="Calibri"/>
            </a:rPr>
            <a:t> </a:t>
          </a:r>
          <a:endParaRPr lang="sk-SK" sz="700" kern="1200" smtClean="0"/>
        </a:p>
      </dsp:txBody>
      <dsp:txXfrm>
        <a:off x="2240844" y="1166286"/>
        <a:ext cx="1194117" cy="410626"/>
      </dsp:txXfrm>
    </dsp:sp>
    <dsp:sp modelId="{DCD8670C-1B49-4FA3-8514-5EDFEC496BE7}">
      <dsp:nvSpPr>
        <dsp:cNvPr id="0" name=""/>
        <dsp:cNvSpPr/>
      </dsp:nvSpPr>
      <dsp:spPr>
        <a:xfrm>
          <a:off x="2240844"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3.Meranie vplyvu regulácie na MSP</a:t>
          </a:r>
          <a:endParaRPr lang="sk-SK" sz="700" kern="1200" smtClean="0"/>
        </a:p>
      </dsp:txBody>
      <dsp:txXfrm>
        <a:off x="2240844" y="1749376"/>
        <a:ext cx="821252" cy="410626"/>
      </dsp:txXfrm>
    </dsp:sp>
    <dsp:sp modelId="{2B0DF7BF-458D-4CF0-A657-34F05C922494}">
      <dsp:nvSpPr>
        <dsp:cNvPr id="0" name=""/>
        <dsp:cNvSpPr/>
      </dsp:nvSpPr>
      <dsp:spPr>
        <a:xfrm>
          <a:off x="2240844" y="2332465"/>
          <a:ext cx="1210024"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4.Posúdenie alternatívnych možností a zmierňujúcich opatrení pre MSP</a:t>
          </a:r>
          <a:endParaRPr lang="sk-SK" sz="700" kern="1200" smtClean="0"/>
        </a:p>
      </dsp:txBody>
      <dsp:txXfrm>
        <a:off x="2240844" y="2332465"/>
        <a:ext cx="1210024"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4632</Words>
  <Characters>26405</Characters>
  <Application>Microsoft Office Word</Application>
  <DocSecurity>4</DocSecurity>
  <Lines>220</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Topľanská Lenka</cp:lastModifiedBy>
  <cp:revision>2</cp:revision>
  <dcterms:created xsi:type="dcterms:W3CDTF">2018-08-08T06:24:00Z</dcterms:created>
  <dcterms:modified xsi:type="dcterms:W3CDTF">2018-08-08T06:24:00Z</dcterms:modified>
</cp:coreProperties>
</file>