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6FD0" w:rsidRPr="00144C99" w:rsidP="006A6F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144C99">
        <w:rPr>
          <w:rFonts w:ascii="Times New Roman" w:hAnsi="Times New Roman"/>
          <w:b/>
          <w:sz w:val="24"/>
          <w:szCs w:val="24"/>
        </w:rPr>
        <w:t>D</w:t>
      </w:r>
      <w:r w:rsidRPr="00144C99" w:rsidR="00CE6AE2">
        <w:rPr>
          <w:rFonts w:ascii="Times New Roman" w:hAnsi="Times New Roman"/>
          <w:b/>
          <w:sz w:val="24"/>
          <w:szCs w:val="24"/>
        </w:rPr>
        <w:t xml:space="preserve"> </w:t>
      </w:r>
      <w:r w:rsidRPr="00144C99">
        <w:rPr>
          <w:rFonts w:ascii="Times New Roman" w:hAnsi="Times New Roman"/>
          <w:b/>
          <w:sz w:val="24"/>
          <w:szCs w:val="24"/>
        </w:rPr>
        <w:t>ô</w:t>
      </w:r>
      <w:r w:rsidRPr="00144C99" w:rsidR="00CE6AE2">
        <w:rPr>
          <w:rFonts w:ascii="Times New Roman" w:hAnsi="Times New Roman"/>
          <w:b/>
          <w:sz w:val="24"/>
          <w:szCs w:val="24"/>
        </w:rPr>
        <w:t xml:space="preserve"> </w:t>
      </w:r>
      <w:r w:rsidRPr="00144C99">
        <w:rPr>
          <w:rFonts w:ascii="Times New Roman" w:hAnsi="Times New Roman"/>
          <w:b/>
          <w:sz w:val="24"/>
          <w:szCs w:val="24"/>
        </w:rPr>
        <w:t>v</w:t>
      </w:r>
      <w:r w:rsidRPr="00144C99" w:rsidR="00CE6AE2">
        <w:rPr>
          <w:rFonts w:ascii="Times New Roman" w:hAnsi="Times New Roman"/>
          <w:b/>
          <w:sz w:val="24"/>
          <w:szCs w:val="24"/>
        </w:rPr>
        <w:t> </w:t>
      </w:r>
      <w:r w:rsidRPr="00144C99">
        <w:rPr>
          <w:rFonts w:ascii="Times New Roman" w:hAnsi="Times New Roman"/>
          <w:b/>
          <w:sz w:val="24"/>
          <w:szCs w:val="24"/>
        </w:rPr>
        <w:t>o</w:t>
      </w:r>
      <w:r w:rsidRPr="00144C99" w:rsidR="00CE6AE2">
        <w:rPr>
          <w:rFonts w:ascii="Times New Roman" w:hAnsi="Times New Roman"/>
          <w:b/>
          <w:sz w:val="24"/>
          <w:szCs w:val="24"/>
        </w:rPr>
        <w:t> </w:t>
      </w:r>
      <w:r w:rsidRPr="00144C99">
        <w:rPr>
          <w:rFonts w:ascii="Times New Roman" w:hAnsi="Times New Roman"/>
          <w:b/>
          <w:sz w:val="24"/>
          <w:szCs w:val="24"/>
        </w:rPr>
        <w:t>d</w:t>
      </w:r>
      <w:r w:rsidRPr="00144C99" w:rsidR="00CE6AE2">
        <w:rPr>
          <w:rFonts w:ascii="Times New Roman" w:hAnsi="Times New Roman"/>
          <w:b/>
          <w:sz w:val="24"/>
          <w:szCs w:val="24"/>
        </w:rPr>
        <w:t xml:space="preserve"> </w:t>
      </w:r>
      <w:r w:rsidRPr="00144C99">
        <w:rPr>
          <w:rFonts w:ascii="Times New Roman" w:hAnsi="Times New Roman"/>
          <w:b/>
          <w:sz w:val="24"/>
          <w:szCs w:val="24"/>
        </w:rPr>
        <w:t>o</w:t>
      </w:r>
      <w:r w:rsidRPr="00144C99" w:rsidR="00CE6AE2">
        <w:rPr>
          <w:rFonts w:ascii="Times New Roman" w:hAnsi="Times New Roman"/>
          <w:b/>
          <w:sz w:val="24"/>
          <w:szCs w:val="24"/>
        </w:rPr>
        <w:t> </w:t>
      </w:r>
      <w:r w:rsidRPr="00144C99">
        <w:rPr>
          <w:rFonts w:ascii="Times New Roman" w:hAnsi="Times New Roman"/>
          <w:b/>
          <w:sz w:val="24"/>
          <w:szCs w:val="24"/>
        </w:rPr>
        <w:t>v</w:t>
      </w:r>
      <w:r w:rsidRPr="00144C99" w:rsidR="00CE6AE2">
        <w:rPr>
          <w:rFonts w:ascii="Times New Roman" w:hAnsi="Times New Roman"/>
          <w:b/>
          <w:sz w:val="24"/>
          <w:szCs w:val="24"/>
        </w:rPr>
        <w:t> </w:t>
      </w:r>
      <w:r w:rsidRPr="00144C99">
        <w:rPr>
          <w:rFonts w:ascii="Times New Roman" w:hAnsi="Times New Roman"/>
          <w:b/>
          <w:sz w:val="24"/>
          <w:szCs w:val="24"/>
        </w:rPr>
        <w:t>á</w:t>
      </w:r>
      <w:r w:rsidRPr="00144C99" w:rsidR="00CE6AE2">
        <w:rPr>
          <w:rFonts w:ascii="Times New Roman" w:hAnsi="Times New Roman"/>
          <w:b/>
          <w:sz w:val="24"/>
          <w:szCs w:val="24"/>
        </w:rPr>
        <w:t xml:space="preserve"> </w:t>
      </w:r>
      <w:r w:rsidRPr="00144C99">
        <w:rPr>
          <w:rFonts w:ascii="Times New Roman" w:hAnsi="Times New Roman"/>
          <w:b/>
          <w:sz w:val="24"/>
          <w:szCs w:val="24"/>
        </w:rPr>
        <w:t xml:space="preserve"> </w:t>
      </w:r>
      <w:r w:rsidRPr="00144C99" w:rsidR="00CE6AE2">
        <w:rPr>
          <w:rFonts w:ascii="Times New Roman" w:hAnsi="Times New Roman"/>
          <w:b/>
          <w:sz w:val="24"/>
          <w:szCs w:val="24"/>
        </w:rPr>
        <w:t xml:space="preserve">  </w:t>
      </w:r>
      <w:r w:rsidRPr="00144C99">
        <w:rPr>
          <w:rFonts w:ascii="Times New Roman" w:hAnsi="Times New Roman"/>
          <w:b/>
          <w:sz w:val="24"/>
          <w:szCs w:val="24"/>
        </w:rPr>
        <w:t>s</w:t>
      </w:r>
      <w:r w:rsidRPr="00144C99" w:rsidR="00CE6AE2">
        <w:rPr>
          <w:rFonts w:ascii="Times New Roman" w:hAnsi="Times New Roman"/>
          <w:b/>
          <w:sz w:val="24"/>
          <w:szCs w:val="24"/>
        </w:rPr>
        <w:t> </w:t>
      </w:r>
      <w:r w:rsidRPr="00144C99">
        <w:rPr>
          <w:rFonts w:ascii="Times New Roman" w:hAnsi="Times New Roman"/>
          <w:b/>
          <w:sz w:val="24"/>
          <w:szCs w:val="24"/>
        </w:rPr>
        <w:t>p</w:t>
      </w:r>
      <w:r w:rsidRPr="00144C99" w:rsidR="00CE6AE2">
        <w:rPr>
          <w:rFonts w:ascii="Times New Roman" w:hAnsi="Times New Roman"/>
          <w:b/>
          <w:sz w:val="24"/>
          <w:szCs w:val="24"/>
        </w:rPr>
        <w:t xml:space="preserve"> </w:t>
      </w:r>
      <w:r w:rsidRPr="00144C99">
        <w:rPr>
          <w:rFonts w:ascii="Times New Roman" w:hAnsi="Times New Roman"/>
          <w:b/>
          <w:sz w:val="24"/>
          <w:szCs w:val="24"/>
        </w:rPr>
        <w:t>r</w:t>
      </w:r>
      <w:r w:rsidRPr="00144C99" w:rsidR="00CE6AE2">
        <w:rPr>
          <w:rFonts w:ascii="Times New Roman" w:hAnsi="Times New Roman"/>
          <w:b/>
          <w:sz w:val="24"/>
          <w:szCs w:val="24"/>
        </w:rPr>
        <w:t xml:space="preserve"> </w:t>
      </w:r>
      <w:r w:rsidRPr="00144C99">
        <w:rPr>
          <w:rFonts w:ascii="Times New Roman" w:hAnsi="Times New Roman"/>
          <w:b/>
          <w:sz w:val="24"/>
          <w:szCs w:val="24"/>
        </w:rPr>
        <w:t>á</w:t>
      </w:r>
      <w:r w:rsidRPr="00144C99" w:rsidR="00CE6AE2">
        <w:rPr>
          <w:rFonts w:ascii="Times New Roman" w:hAnsi="Times New Roman"/>
          <w:b/>
          <w:sz w:val="24"/>
          <w:szCs w:val="24"/>
        </w:rPr>
        <w:t xml:space="preserve"> </w:t>
      </w:r>
      <w:r w:rsidRPr="00144C99">
        <w:rPr>
          <w:rFonts w:ascii="Times New Roman" w:hAnsi="Times New Roman"/>
          <w:b/>
          <w:sz w:val="24"/>
          <w:szCs w:val="24"/>
        </w:rPr>
        <w:t>v</w:t>
      </w:r>
      <w:r w:rsidRPr="00144C99" w:rsidR="00CE6AE2">
        <w:rPr>
          <w:rFonts w:ascii="Times New Roman" w:hAnsi="Times New Roman"/>
          <w:b/>
          <w:sz w:val="24"/>
          <w:szCs w:val="24"/>
        </w:rPr>
        <w:t> </w:t>
      </w:r>
      <w:r w:rsidRPr="00144C99">
        <w:rPr>
          <w:rFonts w:ascii="Times New Roman" w:hAnsi="Times New Roman"/>
          <w:b/>
          <w:sz w:val="24"/>
          <w:szCs w:val="24"/>
        </w:rPr>
        <w:t>a</w:t>
      </w:r>
      <w:r w:rsidRPr="00144C99" w:rsidR="00CE6AE2">
        <w:rPr>
          <w:rFonts w:ascii="Times New Roman" w:hAnsi="Times New Roman"/>
          <w:b/>
          <w:sz w:val="24"/>
          <w:szCs w:val="24"/>
        </w:rPr>
        <w:t xml:space="preserve"> </w:t>
      </w:r>
    </w:p>
    <w:p w:rsidR="006A6FD0" w:rsidRPr="00144C99" w:rsidP="006A6FD0">
      <w:pPr>
        <w:pStyle w:val="ListParagraph"/>
        <w:numPr>
          <w:numId w:val="39"/>
        </w:numPr>
        <w:bidi w:val="0"/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44C99">
        <w:rPr>
          <w:rFonts w:ascii="Times New Roman" w:hAnsi="Times New Roman"/>
          <w:b/>
          <w:sz w:val="24"/>
          <w:szCs w:val="24"/>
        </w:rPr>
        <w:t>Všeobecná časť</w:t>
      </w:r>
    </w:p>
    <w:p w:rsidR="00CE6AE2" w:rsidRPr="00144C99" w:rsidP="00CE6AE2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144C99">
        <w:rPr>
          <w:rFonts w:ascii="Times New Roman" w:hAnsi="Times New Roman"/>
        </w:rPr>
        <w:t xml:space="preserve">Návrh zákona, ktorým sa dopĺňa zákon č. 461/2003 Z. z. o sociálnom poistení v znení neskorších predpisov predkladajú na rokovanie Národnej rady Slovenskej republiky poslanci Národnej rady Slovenskej republiky za stranu Sloboda a Solidarita Eugen Jurzyca, Jana Kiššová a Jozef Rajtár. </w:t>
      </w:r>
    </w:p>
    <w:p w:rsidR="006A6FD0" w:rsidRPr="00144C99" w:rsidP="00CE6AE2">
      <w:pPr>
        <w:bidi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4C99">
        <w:rPr>
          <w:rFonts w:ascii="Times New Roman" w:hAnsi="Times New Roman"/>
          <w:b/>
          <w:sz w:val="24"/>
          <w:szCs w:val="24"/>
        </w:rPr>
        <w:t>Cieľom navrhovanej novely zákona je proaktívne a pravidelne poskytovať ľuďom informácie o očakávanej výške ich budúceho dôchodku na základe aktuálne platného mechanizmu výpočtu dôchodku, informácií o ich doterajšej socio-ekonomickej situácii a očakávaní do budúcnosti o ich príjme.</w:t>
      </w:r>
    </w:p>
    <w:p w:rsidR="006A6FD0" w:rsidRPr="00144C99" w:rsidP="00CE6AE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C99">
        <w:rPr>
          <w:rFonts w:ascii="Times New Roman" w:hAnsi="Times New Roman"/>
          <w:sz w:val="24"/>
          <w:szCs w:val="24"/>
        </w:rPr>
        <w:t>Keďže výpočet odhadovaného dôchodku je administratívne pomerne náročný, informácie budú posielané raz ročne práve tým skupinám osôb, pre ktoré majú najväčší prínos. Jedná sa o osoby, ktoré nedávno vstúpili na trh práce a osoby, ktoré sa blížia k dôchodkovému veku.</w:t>
      </w:r>
    </w:p>
    <w:p w:rsidR="006A6FD0" w:rsidRPr="00144C99" w:rsidP="00CE6AE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C99">
        <w:rPr>
          <w:rFonts w:ascii="Times New Roman" w:hAnsi="Times New Roman"/>
          <w:sz w:val="24"/>
          <w:szCs w:val="24"/>
        </w:rPr>
        <w:t>Pri prvej skupine ide o osoby, ktoré sa nachádzajú na trhu práce 5 až 6 rokov, keďže za 5-ročný horizont už možno odhadnúť vývoj budúcich príjmov, a zároveň včasná, hoci hrubá, informácia o budúcom dôchodku im umožní lepšie plánovať budúcnosť, tak z hľadiska príjmov, ako aj z hľadiska osobného sporenia.</w:t>
      </w:r>
    </w:p>
    <w:p w:rsidR="006A6FD0" w:rsidRPr="00144C99" w:rsidP="00CE6AE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C99">
        <w:rPr>
          <w:rFonts w:ascii="Times New Roman" w:hAnsi="Times New Roman"/>
          <w:sz w:val="24"/>
          <w:szCs w:val="24"/>
        </w:rPr>
        <w:t>Pri druhej skupine ide o osoby, ktorým do dovŕšenia dôchodkového veku zostáva menej ako približne 5 rokov. Pre tieto osoby je odhad ich budúceho dôchodku už veľmi presný, ale zároveň dostatočne včasný na to, aby mohli prípadne zmeniť svoje ekonomické správanie, alebo sa informovanejšie rozhodnúť o predčasnom dôchodku.</w:t>
      </w:r>
    </w:p>
    <w:p w:rsidR="006A6FD0" w:rsidRPr="00144C99" w:rsidP="00CE6AE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C99">
        <w:rPr>
          <w:rFonts w:ascii="Times New Roman" w:hAnsi="Times New Roman"/>
          <w:sz w:val="24"/>
          <w:szCs w:val="24"/>
        </w:rPr>
        <w:t>Keďže dôchodkový systém nepozostáva iba z dôchodku vyplácaného Sociálnou poisťovňou, ale pri mnohých sporiteľoch aj budúcim doživotným dôchodkom vyplácaným z úspor v dôchodkovej správcovskej spoločnosti, súčasťou informácie o odhadovanom budúcom dôchodku budú aj rôzne scenáre zapojenia sa do starobného dôchodkového sporenia v dôchodkových správcovských spoločnostiach. Poistenci tak získajú nielen odhadovanú výšku ich budúceho dôchodku, ale aj základné princípy dôchodkového sporenia a dopad rôznych stratégií investovania v jednotlivých fondoch na výšku ich dôchodku.</w:t>
      </w:r>
    </w:p>
    <w:p w:rsidR="006A6FD0" w:rsidRPr="00144C99" w:rsidP="00CE6AE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C99">
        <w:rPr>
          <w:rFonts w:ascii="Times New Roman" w:hAnsi="Times New Roman"/>
          <w:sz w:val="24"/>
          <w:szCs w:val="24"/>
        </w:rPr>
        <w:t>Akonáhle je pre poistenca raz odhadnutý jeho budúci dôchodok a informácia mu je písomne poslaná, Sociálna poisťovňa vytvorí poistencovi elektronický účet, uloží doňho tieto údaje a každý rok ich bude automaticky aktualizovať. Poistenec tak dostane informácie v písomnej forme iba raz, ale v elektronickej forme budú každý rok aktuálne.</w:t>
      </w:r>
    </w:p>
    <w:p w:rsidR="006A6FD0" w:rsidRPr="00144C99" w:rsidP="00CE6AE2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C99">
        <w:rPr>
          <w:rFonts w:ascii="Times New Roman" w:hAnsi="Times New Roman"/>
          <w:sz w:val="24"/>
          <w:szCs w:val="24"/>
        </w:rPr>
        <w:t>Vedľajšími pozitívnymi efektmi uvedeného postupu sú v dlhodobom horizonte efektívnejší a systematickejší prístup pri výpočte a prepočte výšky dôchodkov, elektronizácia potrebných údajov, automatizácia procesov a zrýchlenie konania pri žiadostiach o výpočet alebo prepočet dôchodku alebo predčasného dôchodku.</w:t>
      </w:r>
    </w:p>
    <w:p w:rsidR="006A6FD0" w:rsidRPr="00144C99" w:rsidP="00CE6AE2">
      <w:pPr>
        <w:bidi w:val="0"/>
        <w:spacing w:before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44C99">
        <w:rPr>
          <w:rFonts w:ascii="Times New Roman" w:hAnsi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6A6FD0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4C99">
        <w:rPr>
          <w:rFonts w:ascii="Times New Roman" w:hAnsi="Times New Roman"/>
          <w:b/>
          <w:sz w:val="24"/>
          <w:szCs w:val="24"/>
        </w:rPr>
        <w:tab/>
      </w:r>
      <w:r w:rsidRPr="00144C99">
        <w:rPr>
          <w:rFonts w:ascii="Times New Roman" w:hAnsi="Times New Roman"/>
          <w:sz w:val="24"/>
          <w:szCs w:val="24"/>
        </w:rPr>
        <w:t>Prijatie navrhovaného zákona nepredpokladá žiadne vplyvy na rozpočet verejnej správy</w:t>
      </w:r>
      <w:r w:rsidRPr="00144C99" w:rsidR="00B91F95">
        <w:rPr>
          <w:rFonts w:ascii="Times New Roman" w:hAnsi="Times New Roman"/>
          <w:sz w:val="24"/>
          <w:szCs w:val="24"/>
        </w:rPr>
        <w:t xml:space="preserve">, na podnikateľské prostredie ani na </w:t>
      </w:r>
      <w:r w:rsidRPr="00144C99">
        <w:rPr>
          <w:rFonts w:ascii="Times New Roman" w:hAnsi="Times New Roman"/>
          <w:sz w:val="24"/>
          <w:szCs w:val="24"/>
        </w:rPr>
        <w:t>životné prostredie. Predpokladajú sa pozitívne vplyvy na informatizáciu spoločnosti, na služby verejnej správy pre občana a pozitívne sociálne vplyvy.</w:t>
      </w: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86679" w:rsidRPr="00144C99" w:rsidP="00CE6AE2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45CB" w:rsidRPr="00144C99" w:rsidP="00A145CB">
      <w:pPr>
        <w:pStyle w:val="ListParagraph"/>
        <w:numPr>
          <w:numId w:val="39"/>
        </w:numPr>
        <w:bidi w:val="0"/>
        <w:rPr>
          <w:rFonts w:ascii="Times New Roman" w:hAnsi="Times New Roman"/>
          <w:b/>
          <w:sz w:val="24"/>
          <w:szCs w:val="24"/>
        </w:rPr>
      </w:pPr>
      <w:r w:rsidRPr="00144C99">
        <w:rPr>
          <w:rFonts w:ascii="Times New Roman" w:hAnsi="Times New Roman"/>
          <w:b/>
          <w:sz w:val="24"/>
          <w:szCs w:val="24"/>
        </w:rPr>
        <w:t>Osobitná časť</w:t>
      </w:r>
    </w:p>
    <w:p w:rsidR="00A145CB" w:rsidRPr="00144C99" w:rsidP="00A145CB">
      <w:pPr>
        <w:bidi w:val="0"/>
        <w:ind w:left="708"/>
        <w:rPr>
          <w:rFonts w:ascii="Times New Roman" w:hAnsi="Times New Roman"/>
          <w:b/>
          <w:sz w:val="24"/>
          <w:szCs w:val="24"/>
        </w:rPr>
      </w:pPr>
      <w:r w:rsidRPr="00144C99">
        <w:rPr>
          <w:rFonts w:ascii="Times New Roman" w:hAnsi="Times New Roman"/>
          <w:b/>
          <w:sz w:val="24"/>
          <w:szCs w:val="24"/>
        </w:rPr>
        <w:t>K čl. I</w:t>
      </w:r>
    </w:p>
    <w:p w:rsidR="00A145CB" w:rsidRPr="00144C99" w:rsidP="00A145CB">
      <w:pPr>
        <w:bidi w:val="0"/>
        <w:ind w:left="708"/>
        <w:rPr>
          <w:rFonts w:ascii="Times New Roman" w:hAnsi="Times New Roman"/>
          <w:b/>
          <w:sz w:val="24"/>
          <w:szCs w:val="24"/>
        </w:rPr>
      </w:pPr>
      <w:r w:rsidRPr="00144C99">
        <w:rPr>
          <w:rFonts w:ascii="Times New Roman" w:hAnsi="Times New Roman"/>
          <w:b/>
          <w:sz w:val="24"/>
          <w:szCs w:val="24"/>
        </w:rPr>
        <w:t xml:space="preserve">K bodu 1 </w:t>
      </w:r>
    </w:p>
    <w:p w:rsidR="000E613C" w:rsidRPr="00144C99" w:rsidP="00C218E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44C99">
        <w:rPr>
          <w:rFonts w:ascii="Times New Roman" w:hAnsi="Times New Roman"/>
          <w:sz w:val="24"/>
          <w:szCs w:val="24"/>
        </w:rPr>
        <w:t>Navrhuje sa vloženie nového § 226b, ktorý rozširuje zákonné povinnosti Sociálnej poisťovne</w:t>
      </w:r>
      <w:r w:rsidRPr="00144C99" w:rsidR="00DF3005">
        <w:rPr>
          <w:rFonts w:ascii="Times New Roman" w:hAnsi="Times New Roman"/>
          <w:sz w:val="24"/>
          <w:szCs w:val="24"/>
        </w:rPr>
        <w:t xml:space="preserve"> o pomerne rozsiahle informačné povinnosti.</w:t>
      </w:r>
    </w:p>
    <w:p w:rsidR="00DF3005" w:rsidRPr="00144C99" w:rsidP="00C218E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44C99">
        <w:rPr>
          <w:rFonts w:ascii="Times New Roman" w:hAnsi="Times New Roman"/>
          <w:sz w:val="24"/>
          <w:szCs w:val="24"/>
        </w:rPr>
        <w:t>V odseku 1 sa navrhuje rozsah informačných povinností</w:t>
      </w:r>
      <w:r w:rsidRPr="00144C99" w:rsidR="000C59DF">
        <w:rPr>
          <w:rFonts w:ascii="Times New Roman" w:hAnsi="Times New Roman"/>
          <w:sz w:val="24"/>
          <w:szCs w:val="24"/>
        </w:rPr>
        <w:t xml:space="preserve"> Sociálnej poisťovne voči poistencom v rozpise na jednotlivé parametre, akými sú najmä dôchodkový vek, predpokladaná suma dôchodku, predpokladaný vek dosiahnutia dôchodkového veku, predpokladaný osobný mzdový bod, aktuálna dôchodková hodnota, vzorec pre výpočet sumy starobného dôchodku</w:t>
      </w:r>
      <w:r w:rsidRPr="00144C99" w:rsidR="007618A6">
        <w:rPr>
          <w:rFonts w:ascii="Times New Roman" w:hAnsi="Times New Roman"/>
          <w:sz w:val="24"/>
          <w:szCs w:val="24"/>
        </w:rPr>
        <w:t xml:space="preserve">, ako aj </w:t>
      </w:r>
      <w:r w:rsidRPr="00144C99" w:rsidR="000C59DF">
        <w:rPr>
          <w:rFonts w:ascii="Times New Roman" w:hAnsi="Times New Roman"/>
          <w:sz w:val="24"/>
          <w:szCs w:val="24"/>
        </w:rPr>
        <w:t>možnosti trvalého elektronického prístupu k týmto parametrom.</w:t>
      </w:r>
    </w:p>
    <w:p w:rsidR="000C59DF" w:rsidRPr="00144C99" w:rsidP="00C218E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44C99">
        <w:rPr>
          <w:rFonts w:ascii="Times New Roman" w:hAnsi="Times New Roman"/>
          <w:sz w:val="24"/>
          <w:szCs w:val="24"/>
        </w:rPr>
        <w:t>V odseku 2 sa definujú relevantné veličiny, z ktorých sa vypočítavajú jednotlivé parametre uvedené v odseku 1.</w:t>
      </w:r>
    </w:p>
    <w:p w:rsidR="0022161F" w:rsidRPr="00144C99" w:rsidP="0022161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44C99" w:rsidR="00C218EF">
        <w:rPr>
          <w:rFonts w:ascii="Times New Roman" w:hAnsi="Times New Roman"/>
          <w:sz w:val="24"/>
          <w:szCs w:val="24"/>
        </w:rPr>
        <w:t xml:space="preserve">V odseku 3 </w:t>
      </w:r>
      <w:r w:rsidRPr="00144C99">
        <w:rPr>
          <w:rFonts w:ascii="Times New Roman" w:hAnsi="Times New Roman"/>
          <w:sz w:val="24"/>
          <w:szCs w:val="24"/>
        </w:rPr>
        <w:t xml:space="preserve">sa zakotvuje povinnosť Sociálnej poisťovne informovať poistenca, ktorý </w:t>
      </w:r>
      <w:r w:rsidRPr="00144C99" w:rsidR="0028018A">
        <w:rPr>
          <w:rFonts w:ascii="Times New Roman" w:hAnsi="Times New Roman"/>
          <w:sz w:val="24"/>
          <w:szCs w:val="24"/>
        </w:rPr>
        <w:t xml:space="preserve">je sporiteľom, alebo poistenca, ktorý </w:t>
      </w:r>
      <w:r w:rsidRPr="00144C99">
        <w:rPr>
          <w:rFonts w:ascii="Times New Roman" w:hAnsi="Times New Roman"/>
          <w:sz w:val="24"/>
          <w:szCs w:val="24"/>
        </w:rPr>
        <w:t>nie je sporiteľom a môže s dôchodkovou správcovskou spoločnosťou uzavrieť zmluvu o starobnom dôchodkovom sporení, o pravdepodobnej výške doživotného starobného dôchodku</w:t>
      </w:r>
      <w:r w:rsidRPr="00144C99" w:rsidR="0028018A">
        <w:rPr>
          <w:rFonts w:ascii="Times New Roman" w:hAnsi="Times New Roman"/>
          <w:sz w:val="24"/>
          <w:szCs w:val="24"/>
        </w:rPr>
        <w:t xml:space="preserve"> na základe historickej výnosnosti dlhopisového garantovaného dôchodkového fondu a akciového negarantovaného dôchodkového fondu.</w:t>
      </w:r>
    </w:p>
    <w:p w:rsidR="0022161F" w:rsidRPr="00144C99" w:rsidP="0022161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44C99">
        <w:rPr>
          <w:rFonts w:ascii="Times New Roman" w:hAnsi="Times New Roman"/>
          <w:sz w:val="24"/>
          <w:szCs w:val="24"/>
        </w:rPr>
        <w:t xml:space="preserve">V odseku </w:t>
      </w:r>
      <w:r w:rsidRPr="00144C99" w:rsidR="0028018A">
        <w:rPr>
          <w:rFonts w:ascii="Times New Roman" w:hAnsi="Times New Roman"/>
          <w:sz w:val="24"/>
          <w:szCs w:val="24"/>
        </w:rPr>
        <w:t>4</w:t>
      </w:r>
      <w:r w:rsidRPr="00144C99">
        <w:rPr>
          <w:rFonts w:ascii="Times New Roman" w:hAnsi="Times New Roman"/>
          <w:sz w:val="24"/>
          <w:szCs w:val="24"/>
        </w:rPr>
        <w:t xml:space="preserve"> sa zakotvuje povinnosť Sociálnej poisťovne informovať poistenca, ktorý nie je sporiteľom a nemôže s dôchodkovou správcovskou spoločnosťou uzavrieť zmluvu </w:t>
      </w:r>
      <w:r w:rsidRPr="00144C99" w:rsidR="0028018A">
        <w:rPr>
          <w:rFonts w:ascii="Times New Roman" w:hAnsi="Times New Roman"/>
          <w:sz w:val="24"/>
          <w:szCs w:val="24"/>
        </w:rPr>
        <w:t xml:space="preserve">                 </w:t>
      </w:r>
      <w:r w:rsidRPr="00144C99">
        <w:rPr>
          <w:rFonts w:ascii="Times New Roman" w:hAnsi="Times New Roman"/>
          <w:sz w:val="24"/>
          <w:szCs w:val="24"/>
        </w:rPr>
        <w:t xml:space="preserve">o starobnom dôchodkovom sporení,  o predpokladanej sume starobného dôchodku </w:t>
      </w:r>
      <w:r w:rsidRPr="00144C99" w:rsidR="0028018A">
        <w:rPr>
          <w:rFonts w:ascii="Times New Roman" w:hAnsi="Times New Roman"/>
          <w:sz w:val="24"/>
          <w:szCs w:val="24"/>
        </w:rPr>
        <w:t xml:space="preserve">len </w:t>
      </w:r>
      <w:r w:rsidRPr="00144C99">
        <w:rPr>
          <w:rFonts w:ascii="Times New Roman" w:hAnsi="Times New Roman"/>
          <w:sz w:val="24"/>
          <w:szCs w:val="24"/>
        </w:rPr>
        <w:t>podľa § 66.</w:t>
      </w:r>
    </w:p>
    <w:p w:rsidR="0022161F" w:rsidRPr="00144C99" w:rsidP="0022161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44C99">
        <w:rPr>
          <w:rFonts w:ascii="Times New Roman" w:hAnsi="Times New Roman"/>
          <w:sz w:val="24"/>
          <w:szCs w:val="24"/>
        </w:rPr>
        <w:t xml:space="preserve">V odseku </w:t>
      </w:r>
      <w:r w:rsidRPr="00144C99" w:rsidR="0028018A">
        <w:rPr>
          <w:rFonts w:ascii="Times New Roman" w:hAnsi="Times New Roman"/>
          <w:sz w:val="24"/>
          <w:szCs w:val="24"/>
        </w:rPr>
        <w:t>5</w:t>
      </w:r>
      <w:r w:rsidRPr="00144C99">
        <w:rPr>
          <w:rFonts w:ascii="Times New Roman" w:hAnsi="Times New Roman"/>
          <w:sz w:val="24"/>
          <w:szCs w:val="24"/>
        </w:rPr>
        <w:t xml:space="preserve"> sa upravuje frekvencia zasielania informácií (raz ročne)</w:t>
      </w:r>
      <w:r w:rsidRPr="00144C99" w:rsidR="00D86679">
        <w:rPr>
          <w:rFonts w:ascii="Times New Roman" w:hAnsi="Times New Roman"/>
          <w:sz w:val="24"/>
          <w:szCs w:val="24"/>
        </w:rPr>
        <w:t xml:space="preserve">, v odseku </w:t>
      </w:r>
      <w:r w:rsidRPr="00144C99" w:rsidR="0028018A">
        <w:rPr>
          <w:rFonts w:ascii="Times New Roman" w:hAnsi="Times New Roman"/>
          <w:sz w:val="24"/>
          <w:szCs w:val="24"/>
        </w:rPr>
        <w:t>6</w:t>
      </w:r>
      <w:r w:rsidRPr="00144C99" w:rsidR="00D86679">
        <w:rPr>
          <w:rFonts w:ascii="Times New Roman" w:hAnsi="Times New Roman"/>
          <w:sz w:val="24"/>
          <w:szCs w:val="24"/>
        </w:rPr>
        <w:t xml:space="preserve"> sa definuje okruh poistencov, ktorým sa informácie zasielajú (ide o okruh poistencov, ktorí sú poistencami piaty rok a poistencov, ktorým chýba 5 rokov do dôchodku).  V odseku </w:t>
      </w:r>
      <w:r w:rsidRPr="00144C99" w:rsidR="0028018A">
        <w:rPr>
          <w:rFonts w:ascii="Times New Roman" w:hAnsi="Times New Roman"/>
          <w:sz w:val="24"/>
          <w:szCs w:val="24"/>
        </w:rPr>
        <w:t>7</w:t>
      </w:r>
      <w:r w:rsidRPr="00144C99" w:rsidR="00D86679">
        <w:rPr>
          <w:rFonts w:ascii="Times New Roman" w:hAnsi="Times New Roman"/>
          <w:sz w:val="24"/>
          <w:szCs w:val="24"/>
        </w:rPr>
        <w:t xml:space="preserve"> sa zakotvuje vytvorenie a sprístupnenie elektronického účtu poistencovi a v odseku </w:t>
      </w:r>
      <w:r w:rsidRPr="00144C99" w:rsidR="0028018A">
        <w:rPr>
          <w:rFonts w:ascii="Times New Roman" w:hAnsi="Times New Roman"/>
          <w:sz w:val="24"/>
          <w:szCs w:val="24"/>
        </w:rPr>
        <w:t>8</w:t>
      </w:r>
      <w:r w:rsidRPr="00144C99" w:rsidR="00D86679">
        <w:rPr>
          <w:rFonts w:ascii="Times New Roman" w:hAnsi="Times New Roman"/>
          <w:sz w:val="24"/>
          <w:szCs w:val="24"/>
        </w:rPr>
        <w:t xml:space="preserve"> sa zakotvuje Sociálnej poisťovni povinnosť aktualizovať údaje na </w:t>
      </w:r>
      <w:r w:rsidRPr="00144C99" w:rsidR="0028018A">
        <w:rPr>
          <w:rFonts w:ascii="Times New Roman" w:hAnsi="Times New Roman"/>
          <w:sz w:val="24"/>
          <w:szCs w:val="24"/>
        </w:rPr>
        <w:t xml:space="preserve">uvedenom </w:t>
      </w:r>
      <w:r w:rsidRPr="00144C99" w:rsidR="00D86679">
        <w:rPr>
          <w:rFonts w:ascii="Times New Roman" w:hAnsi="Times New Roman"/>
          <w:sz w:val="24"/>
          <w:szCs w:val="24"/>
        </w:rPr>
        <w:t xml:space="preserve">elektronickom účte. </w:t>
      </w:r>
    </w:p>
    <w:p w:rsidR="00A145CB" w:rsidRPr="00144C99" w:rsidP="00A145CB">
      <w:pPr>
        <w:bidi w:val="0"/>
        <w:ind w:left="708"/>
        <w:rPr>
          <w:rFonts w:ascii="Times New Roman" w:hAnsi="Times New Roman"/>
          <w:b/>
          <w:sz w:val="24"/>
          <w:szCs w:val="24"/>
        </w:rPr>
      </w:pPr>
      <w:r w:rsidRPr="00144C99">
        <w:rPr>
          <w:rFonts w:ascii="Times New Roman" w:hAnsi="Times New Roman"/>
          <w:b/>
          <w:sz w:val="24"/>
          <w:szCs w:val="24"/>
        </w:rPr>
        <w:t>K bodu 2</w:t>
      </w:r>
    </w:p>
    <w:p w:rsidR="00831895" w:rsidRPr="00144C99" w:rsidP="00831895">
      <w:pPr>
        <w:shd w:val="clear" w:color="auto" w:fill="FFFFFF"/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44C99" w:rsidR="00D86679">
        <w:rPr>
          <w:rFonts w:ascii="Times New Roman" w:hAnsi="Times New Roman"/>
          <w:sz w:val="24"/>
          <w:szCs w:val="24"/>
        </w:rPr>
        <w:t>Navrhuje sa prechodné ustanovenie, ktor</w:t>
      </w:r>
      <w:r w:rsidRPr="00144C99" w:rsidR="007618A6">
        <w:rPr>
          <w:rFonts w:ascii="Times New Roman" w:hAnsi="Times New Roman"/>
          <w:sz w:val="24"/>
          <w:szCs w:val="24"/>
        </w:rPr>
        <w:t>é</w:t>
      </w:r>
      <w:r w:rsidRPr="00144C99" w:rsidR="00D86679">
        <w:rPr>
          <w:rFonts w:ascii="Times New Roman" w:hAnsi="Times New Roman"/>
          <w:sz w:val="24"/>
          <w:szCs w:val="24"/>
        </w:rPr>
        <w:t xml:space="preserve"> upravuje zasielanie informácie v roku 2020.</w:t>
      </w:r>
      <w:r w:rsidRPr="00144C99" w:rsidR="0028018A">
        <w:rPr>
          <w:rFonts w:ascii="Times New Roman" w:hAnsi="Times New Roman"/>
          <w:sz w:val="24"/>
          <w:szCs w:val="24"/>
        </w:rPr>
        <w:t xml:space="preserve"> Potreba takéhoto prechodného ustanovenia, vyplýva zo skutočnosti, že v roku 2020 bude existovať určitá skupina poistencov, ktorí </w:t>
      </w:r>
      <w:r w:rsidRPr="00144C99">
        <w:rPr>
          <w:rFonts w:ascii="Times New Roman" w:hAnsi="Times New Roman"/>
          <w:sz w:val="24"/>
          <w:szCs w:val="24"/>
        </w:rPr>
        <w:t xml:space="preserve">majú do dôchodku menej ako 5 rokov, a podľa nastavených pravidiel v kmeňových (neprechodných) ustanoveniach zákona, by informáciu nikdy nedostali. </w:t>
      </w:r>
      <w:r w:rsidRPr="00144C99">
        <w:rPr>
          <w:rFonts w:ascii="Times New Roman" w:hAnsi="Times New Roman"/>
          <w:sz w:val="24"/>
          <w:szCs w:val="24"/>
          <w:lang w:eastAsia="sk-SK"/>
        </w:rPr>
        <w:t>Prechodné ustanovenie teda hovorí, že v roku spustenia zasielania informácií podľa tejto novely, sa informácia zašle nielen tým, ktorí majú presne 5 rokov do dôchodku (čo predpokladajú kmeňové ustanovenia zákona), ale aj všetkých tým, ktorí majú do dôchodku menej ako 5 rokov.</w:t>
      </w:r>
    </w:p>
    <w:p w:rsidR="00D86679" w:rsidRPr="00144C99" w:rsidP="00831895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613C" w:rsidRPr="00144C99" w:rsidP="00A145CB">
      <w:pPr>
        <w:bidi w:val="0"/>
        <w:ind w:left="708"/>
        <w:rPr>
          <w:rFonts w:ascii="Times New Roman" w:hAnsi="Times New Roman"/>
          <w:b/>
          <w:sz w:val="24"/>
          <w:szCs w:val="24"/>
        </w:rPr>
      </w:pPr>
      <w:r w:rsidRPr="00144C99" w:rsidR="00A145CB">
        <w:rPr>
          <w:rFonts w:ascii="Times New Roman" w:hAnsi="Times New Roman"/>
          <w:b/>
          <w:sz w:val="24"/>
          <w:szCs w:val="24"/>
        </w:rPr>
        <w:t>K čl. II</w:t>
      </w:r>
    </w:p>
    <w:p w:rsidR="00A145CB" w:rsidRPr="00144C99" w:rsidP="000E613C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144C99" w:rsidR="000E613C">
        <w:rPr>
          <w:rFonts w:ascii="Times New Roman" w:hAnsi="Times New Roman"/>
          <w:sz w:val="24"/>
          <w:szCs w:val="24"/>
        </w:rPr>
        <w:t>Navrhuje sa nadobudnutie účinnosti návrhu zákona od 1. januára 2020.</w:t>
      </w: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005">
    <w:pPr>
      <w:pStyle w:val="Header"/>
      <w:bidi w:val="0"/>
    </w:pPr>
  </w:p>
  <w:p w:rsidR="00DF3005">
    <w:pPr>
      <w:pStyle w:val="Header"/>
      <w:bidi w:val="0"/>
    </w:pPr>
  </w:p>
  <w:p w:rsidR="00DF3005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5D61C1"/>
    <w:multiLevelType w:val="hybridMultilevel"/>
    <w:tmpl w:val="067072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74353C2"/>
    <w:multiLevelType w:val="hybridMultilevel"/>
    <w:tmpl w:val="A522BC7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1AA6A0A"/>
    <w:multiLevelType w:val="hybridMultilevel"/>
    <w:tmpl w:val="3AFA168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2C7B03"/>
    <w:multiLevelType w:val="hybridMultilevel"/>
    <w:tmpl w:val="9D8A22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F006D01"/>
    <w:multiLevelType w:val="hybridMultilevel"/>
    <w:tmpl w:val="DE40BE5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5754591"/>
    <w:multiLevelType w:val="hybridMultilevel"/>
    <w:tmpl w:val="2E980D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5BB3EC6"/>
    <w:multiLevelType w:val="hybridMultilevel"/>
    <w:tmpl w:val="7C02C0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6">
    <w:nsid w:val="2EA826AD"/>
    <w:multiLevelType w:val="hybridMultilevel"/>
    <w:tmpl w:val="7E82B6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0950D05"/>
    <w:multiLevelType w:val="hybridMultilevel"/>
    <w:tmpl w:val="1226C32C"/>
    <w:lvl w:ilvl="0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44A3549"/>
    <w:multiLevelType w:val="hybridMultilevel"/>
    <w:tmpl w:val="28C0C5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D291002"/>
    <w:multiLevelType w:val="hybridMultilevel"/>
    <w:tmpl w:val="01266E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B6B1D77"/>
    <w:multiLevelType w:val="hybridMultilevel"/>
    <w:tmpl w:val="B4209C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8">
    <w:nsid w:val="535B1D51"/>
    <w:multiLevelType w:val="hybridMultilevel"/>
    <w:tmpl w:val="767E23B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A382B"/>
    <w:multiLevelType w:val="hybridMultilevel"/>
    <w:tmpl w:val="39745F7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61827B15"/>
    <w:multiLevelType w:val="hybridMultilevel"/>
    <w:tmpl w:val="0E6EFE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651777F5"/>
    <w:multiLevelType w:val="hybridMultilevel"/>
    <w:tmpl w:val="5AF26AB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6157410"/>
    <w:multiLevelType w:val="hybridMultilevel"/>
    <w:tmpl w:val="04C8C3F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3"/>
  </w:num>
  <w:num w:numId="5">
    <w:abstractNumId w:val="11"/>
  </w:num>
  <w:num w:numId="6">
    <w:abstractNumId w:val="7"/>
  </w:num>
  <w:num w:numId="7">
    <w:abstractNumId w:val="20"/>
  </w:num>
  <w:num w:numId="8">
    <w:abstractNumId w:val="23"/>
  </w:num>
  <w:num w:numId="9">
    <w:abstractNumId w:val="13"/>
  </w:num>
  <w:num w:numId="10">
    <w:abstractNumId w:val="25"/>
  </w:num>
  <w:num w:numId="11">
    <w:abstractNumId w:val="38"/>
  </w:num>
  <w:num w:numId="12">
    <w:abstractNumId w:val="17"/>
  </w:num>
  <w:num w:numId="13">
    <w:abstractNumId w:val="37"/>
  </w:num>
  <w:num w:numId="14">
    <w:abstractNumId w:val="22"/>
  </w:num>
  <w:num w:numId="15">
    <w:abstractNumId w:val="33"/>
  </w:num>
  <w:num w:numId="16">
    <w:abstractNumId w:val="4"/>
  </w:num>
  <w:num w:numId="17">
    <w:abstractNumId w:val="9"/>
  </w:num>
  <w:num w:numId="18">
    <w:abstractNumId w:val="24"/>
  </w:num>
  <w:num w:numId="19">
    <w:abstractNumId w:val="35"/>
  </w:num>
  <w:num w:numId="20">
    <w:abstractNumId w:val="36"/>
  </w:num>
  <w:num w:numId="21">
    <w:abstractNumId w:val="19"/>
  </w:num>
  <w:num w:numId="22">
    <w:abstractNumId w:val="10"/>
  </w:num>
  <w:num w:numId="23">
    <w:abstractNumId w:val="18"/>
  </w:num>
  <w:num w:numId="24">
    <w:abstractNumId w:val="21"/>
  </w:num>
  <w:num w:numId="25">
    <w:abstractNumId w:val="12"/>
  </w:num>
  <w:num w:numId="26">
    <w:abstractNumId w:val="31"/>
  </w:num>
  <w:num w:numId="27">
    <w:abstractNumId w:val="27"/>
  </w:num>
  <w:num w:numId="28">
    <w:abstractNumId w:val="1"/>
  </w:num>
  <w:num w:numId="29">
    <w:abstractNumId w:val="30"/>
  </w:num>
  <w:num w:numId="30">
    <w:abstractNumId w:val="6"/>
  </w:num>
  <w:num w:numId="31">
    <w:abstractNumId w:val="32"/>
  </w:num>
  <w:num w:numId="32">
    <w:abstractNumId w:val="29"/>
  </w:num>
  <w:num w:numId="33">
    <w:abstractNumId w:val="16"/>
  </w:num>
  <w:num w:numId="34">
    <w:abstractNumId w:val="28"/>
  </w:num>
  <w:num w:numId="35">
    <w:abstractNumId w:val="26"/>
  </w:num>
  <w:num w:numId="36">
    <w:abstractNumId w:val="34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6DB2"/>
    <w:rsid w:val="00030BFA"/>
    <w:rsid w:val="00031079"/>
    <w:rsid w:val="00032C6C"/>
    <w:rsid w:val="00033919"/>
    <w:rsid w:val="00034FCB"/>
    <w:rsid w:val="00036A38"/>
    <w:rsid w:val="00037A5C"/>
    <w:rsid w:val="00042514"/>
    <w:rsid w:val="00050008"/>
    <w:rsid w:val="00055C2A"/>
    <w:rsid w:val="00057810"/>
    <w:rsid w:val="00061ACA"/>
    <w:rsid w:val="00062D48"/>
    <w:rsid w:val="00063E1C"/>
    <w:rsid w:val="00064E91"/>
    <w:rsid w:val="000676E0"/>
    <w:rsid w:val="00067C5F"/>
    <w:rsid w:val="00071577"/>
    <w:rsid w:val="00075594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6C69"/>
    <w:rsid w:val="000C10CE"/>
    <w:rsid w:val="000C59DF"/>
    <w:rsid w:val="000C5B6A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13C"/>
    <w:rsid w:val="000E64DA"/>
    <w:rsid w:val="000E71E5"/>
    <w:rsid w:val="000F31B3"/>
    <w:rsid w:val="000F7062"/>
    <w:rsid w:val="000F79F4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4C99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D19"/>
    <w:rsid w:val="00181F56"/>
    <w:rsid w:val="00182107"/>
    <w:rsid w:val="00183AF2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2161F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F4A"/>
    <w:rsid w:val="0027413A"/>
    <w:rsid w:val="0028018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0B6"/>
    <w:rsid w:val="002B7550"/>
    <w:rsid w:val="002C0207"/>
    <w:rsid w:val="002C5FE1"/>
    <w:rsid w:val="002C6C88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30E08"/>
    <w:rsid w:val="00432E87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D1A"/>
    <w:rsid w:val="004E28A9"/>
    <w:rsid w:val="004E3749"/>
    <w:rsid w:val="004E652B"/>
    <w:rsid w:val="004F4AEC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430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3919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5ECC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1B83"/>
    <w:rsid w:val="005F3DA3"/>
    <w:rsid w:val="005F6CFC"/>
    <w:rsid w:val="00601959"/>
    <w:rsid w:val="00602E03"/>
    <w:rsid w:val="00603F79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9652E"/>
    <w:rsid w:val="006A38B1"/>
    <w:rsid w:val="006A6044"/>
    <w:rsid w:val="006A664B"/>
    <w:rsid w:val="006A6FD0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3DDD"/>
    <w:rsid w:val="006E5228"/>
    <w:rsid w:val="006E524C"/>
    <w:rsid w:val="006F40F0"/>
    <w:rsid w:val="006F62EA"/>
    <w:rsid w:val="006F70F2"/>
    <w:rsid w:val="007008D5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482D"/>
    <w:rsid w:val="00735A18"/>
    <w:rsid w:val="007366F1"/>
    <w:rsid w:val="0073790F"/>
    <w:rsid w:val="00746B33"/>
    <w:rsid w:val="007519BD"/>
    <w:rsid w:val="007618A6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075F1"/>
    <w:rsid w:val="0080766E"/>
    <w:rsid w:val="00807F81"/>
    <w:rsid w:val="008100CA"/>
    <w:rsid w:val="00810F55"/>
    <w:rsid w:val="00814F4C"/>
    <w:rsid w:val="00822B9E"/>
    <w:rsid w:val="00822C2D"/>
    <w:rsid w:val="00824B31"/>
    <w:rsid w:val="00826A0E"/>
    <w:rsid w:val="00826F95"/>
    <w:rsid w:val="00831895"/>
    <w:rsid w:val="00831B79"/>
    <w:rsid w:val="00831C9F"/>
    <w:rsid w:val="00832336"/>
    <w:rsid w:val="00835248"/>
    <w:rsid w:val="00835902"/>
    <w:rsid w:val="008360D3"/>
    <w:rsid w:val="00845671"/>
    <w:rsid w:val="008478B1"/>
    <w:rsid w:val="008552BB"/>
    <w:rsid w:val="00855396"/>
    <w:rsid w:val="008559B2"/>
    <w:rsid w:val="00855DDA"/>
    <w:rsid w:val="00861578"/>
    <w:rsid w:val="00862834"/>
    <w:rsid w:val="00864861"/>
    <w:rsid w:val="00866CD7"/>
    <w:rsid w:val="00872215"/>
    <w:rsid w:val="00872DC6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6131"/>
    <w:rsid w:val="008B6EC8"/>
    <w:rsid w:val="008C15A4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5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1A7"/>
    <w:rsid w:val="00970818"/>
    <w:rsid w:val="0097248D"/>
    <w:rsid w:val="00973142"/>
    <w:rsid w:val="00976FA5"/>
    <w:rsid w:val="00982C22"/>
    <w:rsid w:val="0099025A"/>
    <w:rsid w:val="009928F1"/>
    <w:rsid w:val="00992B33"/>
    <w:rsid w:val="0099366A"/>
    <w:rsid w:val="009A55BA"/>
    <w:rsid w:val="009A5B5F"/>
    <w:rsid w:val="009A5F3B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C7EE1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0DB"/>
    <w:rsid w:val="00A05D4F"/>
    <w:rsid w:val="00A06727"/>
    <w:rsid w:val="00A11728"/>
    <w:rsid w:val="00A145CB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57065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5BC7"/>
    <w:rsid w:val="00A76599"/>
    <w:rsid w:val="00A824C2"/>
    <w:rsid w:val="00A8384D"/>
    <w:rsid w:val="00A856D1"/>
    <w:rsid w:val="00A86C3E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018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37A10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1F95"/>
    <w:rsid w:val="00B923F9"/>
    <w:rsid w:val="00B9275E"/>
    <w:rsid w:val="00B92BF5"/>
    <w:rsid w:val="00B92C44"/>
    <w:rsid w:val="00B9309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D68E9"/>
    <w:rsid w:val="00BE6C64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00D5"/>
    <w:rsid w:val="00C218EF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6077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4363"/>
    <w:rsid w:val="00C97100"/>
    <w:rsid w:val="00CA64D5"/>
    <w:rsid w:val="00CB03B5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6AE2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40AF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1C0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0F5E"/>
    <w:rsid w:val="00D61262"/>
    <w:rsid w:val="00D620C4"/>
    <w:rsid w:val="00D64CE6"/>
    <w:rsid w:val="00D66B6C"/>
    <w:rsid w:val="00D70ED0"/>
    <w:rsid w:val="00D76DDF"/>
    <w:rsid w:val="00D77B1F"/>
    <w:rsid w:val="00D816B9"/>
    <w:rsid w:val="00D8479F"/>
    <w:rsid w:val="00D86679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581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DF3005"/>
    <w:rsid w:val="00E0070B"/>
    <w:rsid w:val="00E01C8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2CC0"/>
    <w:rsid w:val="00E43765"/>
    <w:rsid w:val="00E443A7"/>
    <w:rsid w:val="00E45569"/>
    <w:rsid w:val="00E47C2A"/>
    <w:rsid w:val="00E5134E"/>
    <w:rsid w:val="00E51B1E"/>
    <w:rsid w:val="00E52BED"/>
    <w:rsid w:val="00E52FC1"/>
    <w:rsid w:val="00E57FC7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253D"/>
    <w:rsid w:val="00ED3E30"/>
    <w:rsid w:val="00ED54B1"/>
    <w:rsid w:val="00EE28C5"/>
    <w:rsid w:val="00EE3CB1"/>
    <w:rsid w:val="00EE4104"/>
    <w:rsid w:val="00EE45DB"/>
    <w:rsid w:val="00EE74E9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5F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2922"/>
    <w:rsid w:val="00F9328E"/>
    <w:rsid w:val="00FA10F2"/>
    <w:rsid w:val="00FA2015"/>
    <w:rsid w:val="00FA387E"/>
    <w:rsid w:val="00FB00CF"/>
    <w:rsid w:val="00FB0D63"/>
    <w:rsid w:val="00FB26EA"/>
    <w:rsid w:val="00FB7EA2"/>
    <w:rsid w:val="00FC231F"/>
    <w:rsid w:val="00FC4CCE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F505F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505F2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505F2"/>
    <w:rPr>
      <w:rFonts w:ascii="Calibri" w:hAnsi="Calibri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505F2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505F2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505F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505F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376</TotalTime>
  <Pages>4</Pages>
  <Words>871</Words>
  <Characters>4970</Characters>
  <Application>Microsoft Office Word</Application>
  <DocSecurity>0</DocSecurity>
  <Lines>0</Lines>
  <Paragraphs>0</Paragraphs>
  <ScaleCrop>false</ScaleCrop>
  <Company>MVSR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</cp:lastModifiedBy>
  <cp:revision>8</cp:revision>
  <cp:lastPrinted>2018-08-24T12:23:00Z</cp:lastPrinted>
  <dcterms:created xsi:type="dcterms:W3CDTF">2018-07-26T11:09:00Z</dcterms:created>
  <dcterms:modified xsi:type="dcterms:W3CDTF">2018-08-24T12:25:00Z</dcterms:modified>
</cp:coreProperties>
</file>