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6FD0" w:rsidRPr="00144C99" w:rsidP="006A6F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44C99">
        <w:rPr>
          <w:rFonts w:ascii="Times New Roman" w:hAnsi="Times New Roman"/>
          <w:b/>
          <w:sz w:val="24"/>
          <w:szCs w:val="24"/>
        </w:rPr>
        <w:t>D</w:t>
      </w:r>
      <w:r w:rsidRPr="00144C99" w:rsidR="00CE6AE2">
        <w:rPr>
          <w:rFonts w:ascii="Times New Roman" w:hAnsi="Times New Roman"/>
          <w:b/>
          <w:sz w:val="24"/>
          <w:szCs w:val="24"/>
        </w:rPr>
        <w:t xml:space="preserve"> </w:t>
      </w:r>
      <w:r w:rsidRPr="00144C99">
        <w:rPr>
          <w:rFonts w:ascii="Times New Roman" w:hAnsi="Times New Roman"/>
          <w:b/>
          <w:sz w:val="24"/>
          <w:szCs w:val="24"/>
        </w:rPr>
        <w:t>ô</w:t>
      </w:r>
      <w:r w:rsidRPr="00144C99" w:rsidR="00CE6AE2">
        <w:rPr>
          <w:rFonts w:ascii="Times New Roman" w:hAnsi="Times New Roman"/>
          <w:b/>
          <w:sz w:val="24"/>
          <w:szCs w:val="24"/>
        </w:rPr>
        <w:t xml:space="preserve"> </w:t>
      </w:r>
      <w:r w:rsidRPr="00144C99">
        <w:rPr>
          <w:rFonts w:ascii="Times New Roman" w:hAnsi="Times New Roman"/>
          <w:b/>
          <w:sz w:val="24"/>
          <w:szCs w:val="24"/>
        </w:rPr>
        <w:t>v</w:t>
      </w:r>
      <w:r w:rsidRPr="00144C99" w:rsidR="00CE6AE2">
        <w:rPr>
          <w:rFonts w:ascii="Times New Roman" w:hAnsi="Times New Roman"/>
          <w:b/>
          <w:sz w:val="24"/>
          <w:szCs w:val="24"/>
        </w:rPr>
        <w:t> </w:t>
      </w:r>
      <w:r w:rsidRPr="00144C99">
        <w:rPr>
          <w:rFonts w:ascii="Times New Roman" w:hAnsi="Times New Roman"/>
          <w:b/>
          <w:sz w:val="24"/>
          <w:szCs w:val="24"/>
        </w:rPr>
        <w:t>o</w:t>
      </w:r>
      <w:r w:rsidRPr="00144C99" w:rsidR="00CE6AE2">
        <w:rPr>
          <w:rFonts w:ascii="Times New Roman" w:hAnsi="Times New Roman"/>
          <w:b/>
          <w:sz w:val="24"/>
          <w:szCs w:val="24"/>
        </w:rPr>
        <w:t> </w:t>
      </w:r>
      <w:r w:rsidRPr="00144C99">
        <w:rPr>
          <w:rFonts w:ascii="Times New Roman" w:hAnsi="Times New Roman"/>
          <w:b/>
          <w:sz w:val="24"/>
          <w:szCs w:val="24"/>
        </w:rPr>
        <w:t>d</w:t>
      </w:r>
      <w:r w:rsidRPr="00144C99" w:rsidR="00CE6AE2">
        <w:rPr>
          <w:rFonts w:ascii="Times New Roman" w:hAnsi="Times New Roman"/>
          <w:b/>
          <w:sz w:val="24"/>
          <w:szCs w:val="24"/>
        </w:rPr>
        <w:t xml:space="preserve"> </w:t>
      </w:r>
      <w:r w:rsidRPr="00144C99">
        <w:rPr>
          <w:rFonts w:ascii="Times New Roman" w:hAnsi="Times New Roman"/>
          <w:b/>
          <w:sz w:val="24"/>
          <w:szCs w:val="24"/>
        </w:rPr>
        <w:t>o</w:t>
      </w:r>
      <w:r w:rsidRPr="00144C99" w:rsidR="00CE6AE2">
        <w:rPr>
          <w:rFonts w:ascii="Times New Roman" w:hAnsi="Times New Roman"/>
          <w:b/>
          <w:sz w:val="24"/>
          <w:szCs w:val="24"/>
        </w:rPr>
        <w:t> </w:t>
      </w:r>
      <w:r w:rsidRPr="00144C99">
        <w:rPr>
          <w:rFonts w:ascii="Times New Roman" w:hAnsi="Times New Roman"/>
          <w:b/>
          <w:sz w:val="24"/>
          <w:szCs w:val="24"/>
        </w:rPr>
        <w:t>v</w:t>
      </w:r>
      <w:r w:rsidRPr="00144C99" w:rsidR="00CE6AE2">
        <w:rPr>
          <w:rFonts w:ascii="Times New Roman" w:hAnsi="Times New Roman"/>
          <w:b/>
          <w:sz w:val="24"/>
          <w:szCs w:val="24"/>
        </w:rPr>
        <w:t> </w:t>
      </w:r>
      <w:r w:rsidRPr="00144C99">
        <w:rPr>
          <w:rFonts w:ascii="Times New Roman" w:hAnsi="Times New Roman"/>
          <w:b/>
          <w:sz w:val="24"/>
          <w:szCs w:val="24"/>
        </w:rPr>
        <w:t>á</w:t>
      </w:r>
      <w:r w:rsidRPr="00144C99" w:rsidR="00CE6AE2">
        <w:rPr>
          <w:rFonts w:ascii="Times New Roman" w:hAnsi="Times New Roman"/>
          <w:b/>
          <w:sz w:val="24"/>
          <w:szCs w:val="24"/>
        </w:rPr>
        <w:t xml:space="preserve"> </w:t>
      </w:r>
      <w:r w:rsidRPr="00144C99">
        <w:rPr>
          <w:rFonts w:ascii="Times New Roman" w:hAnsi="Times New Roman"/>
          <w:b/>
          <w:sz w:val="24"/>
          <w:szCs w:val="24"/>
        </w:rPr>
        <w:t xml:space="preserve"> </w:t>
      </w:r>
      <w:r w:rsidRPr="00144C99" w:rsidR="00CE6AE2">
        <w:rPr>
          <w:rFonts w:ascii="Times New Roman" w:hAnsi="Times New Roman"/>
          <w:b/>
          <w:sz w:val="24"/>
          <w:szCs w:val="24"/>
        </w:rPr>
        <w:t xml:space="preserve">  </w:t>
      </w:r>
      <w:r w:rsidRPr="00144C99">
        <w:rPr>
          <w:rFonts w:ascii="Times New Roman" w:hAnsi="Times New Roman"/>
          <w:b/>
          <w:sz w:val="24"/>
          <w:szCs w:val="24"/>
        </w:rPr>
        <w:t>s</w:t>
      </w:r>
      <w:r w:rsidRPr="00144C99" w:rsidR="00CE6AE2">
        <w:rPr>
          <w:rFonts w:ascii="Times New Roman" w:hAnsi="Times New Roman"/>
          <w:b/>
          <w:sz w:val="24"/>
          <w:szCs w:val="24"/>
        </w:rPr>
        <w:t> </w:t>
      </w:r>
      <w:r w:rsidRPr="00144C99">
        <w:rPr>
          <w:rFonts w:ascii="Times New Roman" w:hAnsi="Times New Roman"/>
          <w:b/>
          <w:sz w:val="24"/>
          <w:szCs w:val="24"/>
        </w:rPr>
        <w:t>p</w:t>
      </w:r>
      <w:r w:rsidRPr="00144C99" w:rsidR="00CE6AE2">
        <w:rPr>
          <w:rFonts w:ascii="Times New Roman" w:hAnsi="Times New Roman"/>
          <w:b/>
          <w:sz w:val="24"/>
          <w:szCs w:val="24"/>
        </w:rPr>
        <w:t xml:space="preserve"> </w:t>
      </w:r>
      <w:r w:rsidRPr="00144C99">
        <w:rPr>
          <w:rFonts w:ascii="Times New Roman" w:hAnsi="Times New Roman"/>
          <w:b/>
          <w:sz w:val="24"/>
          <w:szCs w:val="24"/>
        </w:rPr>
        <w:t>r</w:t>
      </w:r>
      <w:r w:rsidRPr="00144C99" w:rsidR="00CE6AE2">
        <w:rPr>
          <w:rFonts w:ascii="Times New Roman" w:hAnsi="Times New Roman"/>
          <w:b/>
          <w:sz w:val="24"/>
          <w:szCs w:val="24"/>
        </w:rPr>
        <w:t xml:space="preserve"> </w:t>
      </w:r>
      <w:r w:rsidRPr="00144C99">
        <w:rPr>
          <w:rFonts w:ascii="Times New Roman" w:hAnsi="Times New Roman"/>
          <w:b/>
          <w:sz w:val="24"/>
          <w:szCs w:val="24"/>
        </w:rPr>
        <w:t>á</w:t>
      </w:r>
      <w:r w:rsidRPr="00144C99" w:rsidR="00CE6AE2">
        <w:rPr>
          <w:rFonts w:ascii="Times New Roman" w:hAnsi="Times New Roman"/>
          <w:b/>
          <w:sz w:val="24"/>
          <w:szCs w:val="24"/>
        </w:rPr>
        <w:t xml:space="preserve"> </w:t>
      </w:r>
      <w:r w:rsidRPr="00144C99">
        <w:rPr>
          <w:rFonts w:ascii="Times New Roman" w:hAnsi="Times New Roman"/>
          <w:b/>
          <w:sz w:val="24"/>
          <w:szCs w:val="24"/>
        </w:rPr>
        <w:t>v</w:t>
      </w:r>
      <w:r w:rsidRPr="00144C99" w:rsidR="00CE6AE2">
        <w:rPr>
          <w:rFonts w:ascii="Times New Roman" w:hAnsi="Times New Roman"/>
          <w:b/>
          <w:sz w:val="24"/>
          <w:szCs w:val="24"/>
        </w:rPr>
        <w:t> </w:t>
      </w:r>
      <w:r w:rsidRPr="00144C99">
        <w:rPr>
          <w:rFonts w:ascii="Times New Roman" w:hAnsi="Times New Roman"/>
          <w:b/>
          <w:sz w:val="24"/>
          <w:szCs w:val="24"/>
        </w:rPr>
        <w:t>a</w:t>
      </w:r>
      <w:r w:rsidRPr="00144C99" w:rsidR="00CE6AE2">
        <w:rPr>
          <w:rFonts w:ascii="Times New Roman" w:hAnsi="Times New Roman"/>
          <w:b/>
          <w:sz w:val="24"/>
          <w:szCs w:val="24"/>
        </w:rPr>
        <w:t xml:space="preserve"> </w:t>
      </w:r>
    </w:p>
    <w:p w:rsidR="006A6FD0" w:rsidRPr="00144C99" w:rsidP="006A6FD0">
      <w:pPr>
        <w:pStyle w:val="ListParagraph"/>
        <w:numPr>
          <w:numId w:val="39"/>
        </w:numPr>
        <w:bidi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144C99">
        <w:rPr>
          <w:rFonts w:ascii="Times New Roman" w:hAnsi="Times New Roman"/>
          <w:b/>
          <w:sz w:val="24"/>
          <w:szCs w:val="24"/>
        </w:rPr>
        <w:t>Všeobecná časť</w:t>
      </w:r>
    </w:p>
    <w:p w:rsidR="00CE6AE2" w:rsidRPr="00144C99" w:rsidP="00CE6AE2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144C99">
        <w:rPr>
          <w:rFonts w:ascii="Times New Roman" w:hAnsi="Times New Roman"/>
        </w:rPr>
        <w:t xml:space="preserve">Návrh zákona, ktorým sa dopĺňa zákon č. 461/2003 Z. z. o sociálnom poistení v znení neskorších predpisov predkladajú na rokovanie Národnej rady Slovenskej republiky poslanci Národnej rady Slovenskej republiky za stranu Sloboda a Solidarita Eugen Jurzyca, Jana Kiššová a Jozef Rajtár. </w:t>
      </w:r>
    </w:p>
    <w:p w:rsidR="006A6FD0" w:rsidRPr="00144C99" w:rsidP="00CE6AE2">
      <w:pPr>
        <w:bidi w:val="0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44C99">
        <w:rPr>
          <w:rFonts w:ascii="Times New Roman" w:hAnsi="Times New Roman"/>
          <w:b/>
          <w:sz w:val="24"/>
          <w:szCs w:val="24"/>
        </w:rPr>
        <w:t>Cieľom navrhovanej novely zákona je proaktívne a pravidelne poskytovať ľuďom informácie o očakávanej výške ich budúceho dôchodku na základe aktuálne platného mechanizmu výpočtu dôchodku, informácií o ich doterajšej socio-ekonomickej situácii a očakávaní do budúcnosti o ich príjme.</w:t>
      </w:r>
    </w:p>
    <w:p w:rsidR="006A6FD0" w:rsidRPr="00144C99" w:rsidP="00CE6AE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>Keďže výpočet odhadovaného dôchodku je administratívne pomerne náročný, informácie budú posielané raz ročne práve tým skupinám osôb, pre ktoré majú najväčší prínos. Jedná sa o osoby, ktoré nedávno vstúpili na trh práce a osoby, ktoré sa blížia k dôchodkovému veku.</w:t>
      </w:r>
    </w:p>
    <w:p w:rsidR="006A6FD0" w:rsidRPr="00144C99" w:rsidP="00CE6AE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>Pri prvej skupine ide o osoby, ktoré sa nachádzajú na trhu práce 5 až 6 rokov, keďže za 5-ročný horizont už možno odhadnúť vývoj budúcich príjmov, a zároveň včasná, hoci hrubá, informácia o budúcom dôchodku im umožní lepšie plánovať budúcnosť, tak z hľadiska príjmov, ako aj z hľadiska osobného sporenia.</w:t>
      </w:r>
    </w:p>
    <w:p w:rsidR="006A6FD0" w:rsidRPr="00144C99" w:rsidP="00CE6AE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>Pri druhej skupine ide o osoby, ktorým do dovŕšenia dôchodkového veku zostáva menej ako približne 5 rokov. Pre tieto osoby je odhad ich budúceho dôchodku už veľmi presný, ale zároveň dostatočne včasný na to, aby mohli prípadne zmeniť svoje ekonomické správanie, alebo sa informovanejšie rozhodnúť o predčasnom dôchodku.</w:t>
      </w:r>
    </w:p>
    <w:p w:rsidR="006A6FD0" w:rsidRPr="00144C99" w:rsidP="00CE6AE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>Keďže dôchodkový systém nepozostáva iba z dôchodku vyplácaného Sociálnou poisťovňou, ale pri mnohých sporiteľoch aj budúcim doživotným dôchodkom vyplácaným z úspor v dôchodkovej správcovskej spoločnosti, súčasťou informácie o odhadovanom budúcom dôchodku budú aj rôzne scenáre zapojenia sa do starobného dôchodkového sporenia v dôchodkových správcovských spoločnostiach. Poistenci tak získajú nielen odhadovanú výšku ich budúceho dôchodku, ale aj základné princípy dôchodkového sporenia a dopad rôznych stratégií investovania v jednotlivých fondoch na výšku ich dôchodku.</w:t>
      </w:r>
    </w:p>
    <w:p w:rsidR="006A6FD0" w:rsidRPr="00144C99" w:rsidP="00CE6AE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>Akonáhle je pre poistenca raz odhadnutý jeho budúci dôchodok a informácia mu je písomne poslaná, Sociálna poisťovňa vytvorí poistencovi elektronický účet, uloží doňho tieto údaje a každý rok ich bude automaticky aktualizovať. Poistenec tak dostane informácie v písomnej forme iba raz, ale v elektronickej forme budú každý rok aktuálne.</w:t>
      </w:r>
    </w:p>
    <w:p w:rsidR="006A6FD0" w:rsidRPr="00144C99" w:rsidP="00CE6AE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>Vedľajšími pozitívnymi efektmi uvedeného postupu sú v dlhodobom horizonte efektívnejší a systematickejší prístup pri výpočte a prepočte výšky dôchodkov, elektronizácia potrebných údajov, automatizácia procesov a zrýchlenie konania pri žiadostiach o výpočet alebo prepočet dôchodku alebo predčasného dôchodku.</w:t>
      </w:r>
    </w:p>
    <w:p w:rsidR="006A6FD0" w:rsidRPr="00144C99" w:rsidP="00CE6AE2">
      <w:pPr>
        <w:bidi w:val="0"/>
        <w:spacing w:before="12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6A6FD0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b/>
          <w:sz w:val="24"/>
          <w:szCs w:val="24"/>
        </w:rPr>
        <w:tab/>
      </w:r>
      <w:r w:rsidRPr="00144C99">
        <w:rPr>
          <w:rFonts w:ascii="Times New Roman" w:hAnsi="Times New Roman"/>
          <w:sz w:val="24"/>
          <w:szCs w:val="24"/>
        </w:rPr>
        <w:t>Prijatie navrhovaného zákona nepredpokladá žiadne vplyvy na rozpočet verejnej správy</w:t>
      </w:r>
      <w:r w:rsidRPr="00144C99" w:rsidR="00B91F95">
        <w:rPr>
          <w:rFonts w:ascii="Times New Roman" w:hAnsi="Times New Roman"/>
          <w:sz w:val="24"/>
          <w:szCs w:val="24"/>
        </w:rPr>
        <w:t xml:space="preserve">, na podnikateľské prostredie ani na </w:t>
      </w:r>
      <w:r w:rsidRPr="00144C99">
        <w:rPr>
          <w:rFonts w:ascii="Times New Roman" w:hAnsi="Times New Roman"/>
          <w:sz w:val="24"/>
          <w:szCs w:val="24"/>
        </w:rPr>
        <w:t>životné prostredie. Predpokladajú sa pozitívne vplyvy na informatizáciu spoločnosti, na služby verejnej správy pre občana a pozitívne sociálne vplyvy.</w:t>
      </w: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79" w:rsidRPr="00144C99" w:rsidP="00CE6AE2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145CB" w:rsidRPr="00144C99" w:rsidP="00A145CB">
      <w:pPr>
        <w:pStyle w:val="ListParagraph"/>
        <w:numPr>
          <w:numId w:val="39"/>
        </w:numPr>
        <w:bidi w:val="0"/>
        <w:rPr>
          <w:rFonts w:ascii="Times New Roman" w:hAnsi="Times New Roman"/>
          <w:b/>
          <w:sz w:val="24"/>
          <w:szCs w:val="24"/>
        </w:rPr>
      </w:pPr>
      <w:r w:rsidRPr="00144C99">
        <w:rPr>
          <w:rFonts w:ascii="Times New Roman" w:hAnsi="Times New Roman"/>
          <w:b/>
          <w:sz w:val="24"/>
          <w:szCs w:val="24"/>
        </w:rPr>
        <w:t>Osobitná časť</w:t>
      </w:r>
    </w:p>
    <w:p w:rsidR="00A145CB" w:rsidRPr="00144C99" w:rsidP="00A145CB">
      <w:pPr>
        <w:bidi w:val="0"/>
        <w:ind w:left="708"/>
        <w:rPr>
          <w:rFonts w:ascii="Times New Roman" w:hAnsi="Times New Roman"/>
          <w:b/>
          <w:sz w:val="24"/>
          <w:szCs w:val="24"/>
        </w:rPr>
      </w:pPr>
      <w:r w:rsidRPr="00144C99">
        <w:rPr>
          <w:rFonts w:ascii="Times New Roman" w:hAnsi="Times New Roman"/>
          <w:b/>
          <w:sz w:val="24"/>
          <w:szCs w:val="24"/>
        </w:rPr>
        <w:t>K čl. I</w:t>
      </w:r>
    </w:p>
    <w:p w:rsidR="00A145CB" w:rsidRPr="00144C99" w:rsidP="00A145CB">
      <w:pPr>
        <w:bidi w:val="0"/>
        <w:ind w:left="708"/>
        <w:rPr>
          <w:rFonts w:ascii="Times New Roman" w:hAnsi="Times New Roman"/>
          <w:b/>
          <w:sz w:val="24"/>
          <w:szCs w:val="24"/>
        </w:rPr>
      </w:pPr>
      <w:r w:rsidRPr="00144C99">
        <w:rPr>
          <w:rFonts w:ascii="Times New Roman" w:hAnsi="Times New Roman"/>
          <w:b/>
          <w:sz w:val="24"/>
          <w:szCs w:val="24"/>
        </w:rPr>
        <w:t xml:space="preserve">K bodu 1 </w:t>
      </w:r>
    </w:p>
    <w:p w:rsidR="000E613C" w:rsidRPr="00144C99" w:rsidP="00C218EF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>Navrhuje sa vloženie nového § 226b, ktorý rozširuje zákonné povinnosti Sociálnej poisťovne</w:t>
      </w:r>
      <w:r w:rsidRPr="00144C99" w:rsidR="00DF3005">
        <w:rPr>
          <w:rFonts w:ascii="Times New Roman" w:hAnsi="Times New Roman"/>
          <w:sz w:val="24"/>
          <w:szCs w:val="24"/>
        </w:rPr>
        <w:t xml:space="preserve"> o pomerne rozsiahle informačné povinnosti.</w:t>
      </w:r>
    </w:p>
    <w:p w:rsidR="00DF3005" w:rsidRPr="00144C99" w:rsidP="00C218EF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>V odseku 1 sa navrhuje rozsah informačných povinností</w:t>
      </w:r>
      <w:r w:rsidRPr="00144C99" w:rsidR="000C59DF">
        <w:rPr>
          <w:rFonts w:ascii="Times New Roman" w:hAnsi="Times New Roman"/>
          <w:sz w:val="24"/>
          <w:szCs w:val="24"/>
        </w:rPr>
        <w:t xml:space="preserve"> Sociálnej poisťovne voči poistencom v rozpise na jednotlivé parametre, akými sú najmä dôchodkový vek, predpokladaná suma dôchodku, predpokladaný vek dosiahnutia dôchodkového veku, predpokladaný osobný mzdový bod, aktuálna dôchodková hodnota, vzorec pre výpočet sumy starobného dôchodku</w:t>
      </w:r>
      <w:r w:rsidRPr="00144C99" w:rsidR="007618A6">
        <w:rPr>
          <w:rFonts w:ascii="Times New Roman" w:hAnsi="Times New Roman"/>
          <w:sz w:val="24"/>
          <w:szCs w:val="24"/>
        </w:rPr>
        <w:t xml:space="preserve">, ako aj </w:t>
      </w:r>
      <w:r w:rsidRPr="00144C99" w:rsidR="000C59DF">
        <w:rPr>
          <w:rFonts w:ascii="Times New Roman" w:hAnsi="Times New Roman"/>
          <w:sz w:val="24"/>
          <w:szCs w:val="24"/>
        </w:rPr>
        <w:t>možnosti trvalého elektronického prístupu k týmto parametrom.</w:t>
      </w:r>
    </w:p>
    <w:p w:rsidR="000C59DF" w:rsidRPr="00144C99" w:rsidP="00C218EF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>V odseku 2 sa definujú relevantné veličiny, z ktorých sa vypočítavajú jednotlivé parametre uvedené v odseku 1.</w:t>
      </w:r>
    </w:p>
    <w:p w:rsidR="0022161F" w:rsidRPr="00144C99" w:rsidP="0022161F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 w:rsidR="00C218EF">
        <w:rPr>
          <w:rFonts w:ascii="Times New Roman" w:hAnsi="Times New Roman"/>
          <w:sz w:val="24"/>
          <w:szCs w:val="24"/>
        </w:rPr>
        <w:t xml:space="preserve">V odseku 3 </w:t>
      </w:r>
      <w:r w:rsidRPr="00144C99">
        <w:rPr>
          <w:rFonts w:ascii="Times New Roman" w:hAnsi="Times New Roman"/>
          <w:sz w:val="24"/>
          <w:szCs w:val="24"/>
        </w:rPr>
        <w:t xml:space="preserve">sa zakotvuje povinnosť Sociálnej poisťovne informovať poistenca, ktorý </w:t>
      </w:r>
      <w:r w:rsidRPr="00144C99" w:rsidR="0028018A">
        <w:rPr>
          <w:rFonts w:ascii="Times New Roman" w:hAnsi="Times New Roman"/>
          <w:sz w:val="24"/>
          <w:szCs w:val="24"/>
        </w:rPr>
        <w:t xml:space="preserve">je sporiteľom, alebo poistenca, ktorý </w:t>
      </w:r>
      <w:r w:rsidRPr="00144C99">
        <w:rPr>
          <w:rFonts w:ascii="Times New Roman" w:hAnsi="Times New Roman"/>
          <w:sz w:val="24"/>
          <w:szCs w:val="24"/>
        </w:rPr>
        <w:t>nie je sporiteľom a môže s dôchodkovou správcovskou spoločnosťou uzavrieť zmluvu o starobnom dôchodkovom sporení, o pravdepodobnej výške doživotného starobného dôchodku</w:t>
      </w:r>
      <w:r w:rsidRPr="00144C99" w:rsidR="0028018A">
        <w:rPr>
          <w:rFonts w:ascii="Times New Roman" w:hAnsi="Times New Roman"/>
          <w:sz w:val="24"/>
          <w:szCs w:val="24"/>
        </w:rPr>
        <w:t xml:space="preserve"> na základe historickej výnosnosti dlhopisového garantovaného dôchodkového fondu a akciového negarantovaného dôchodkového fondu.</w:t>
      </w:r>
    </w:p>
    <w:p w:rsidR="0022161F" w:rsidRPr="00144C99" w:rsidP="0022161F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 xml:space="preserve">V odseku </w:t>
      </w:r>
      <w:r w:rsidRPr="00144C99" w:rsidR="0028018A">
        <w:rPr>
          <w:rFonts w:ascii="Times New Roman" w:hAnsi="Times New Roman"/>
          <w:sz w:val="24"/>
          <w:szCs w:val="24"/>
        </w:rPr>
        <w:t>4</w:t>
      </w:r>
      <w:r w:rsidRPr="00144C99">
        <w:rPr>
          <w:rFonts w:ascii="Times New Roman" w:hAnsi="Times New Roman"/>
          <w:sz w:val="24"/>
          <w:szCs w:val="24"/>
        </w:rPr>
        <w:t xml:space="preserve"> sa zakotvuje povinnosť Sociálnej poisťovne informovať poistenca, ktorý nie je sporiteľom a nemôže s dôchodkovou správcovskou spoločnosťou uzavrieť zmluvu </w:t>
      </w:r>
      <w:r w:rsidRPr="00144C99" w:rsidR="0028018A">
        <w:rPr>
          <w:rFonts w:ascii="Times New Roman" w:hAnsi="Times New Roman"/>
          <w:sz w:val="24"/>
          <w:szCs w:val="24"/>
        </w:rPr>
        <w:t xml:space="preserve">                 </w:t>
      </w:r>
      <w:r w:rsidRPr="00144C99">
        <w:rPr>
          <w:rFonts w:ascii="Times New Roman" w:hAnsi="Times New Roman"/>
          <w:sz w:val="24"/>
          <w:szCs w:val="24"/>
        </w:rPr>
        <w:t xml:space="preserve">o starobnom dôchodkovom sporení,  o predpokladanej sume starobného dôchodku </w:t>
      </w:r>
      <w:r w:rsidRPr="00144C99" w:rsidR="0028018A">
        <w:rPr>
          <w:rFonts w:ascii="Times New Roman" w:hAnsi="Times New Roman"/>
          <w:sz w:val="24"/>
          <w:szCs w:val="24"/>
        </w:rPr>
        <w:t xml:space="preserve">len </w:t>
      </w:r>
      <w:r w:rsidRPr="00144C99">
        <w:rPr>
          <w:rFonts w:ascii="Times New Roman" w:hAnsi="Times New Roman"/>
          <w:sz w:val="24"/>
          <w:szCs w:val="24"/>
        </w:rPr>
        <w:t>podľa § 66.</w:t>
      </w:r>
    </w:p>
    <w:p w:rsidR="0022161F" w:rsidRPr="00144C99" w:rsidP="0022161F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44C99">
        <w:rPr>
          <w:rFonts w:ascii="Times New Roman" w:hAnsi="Times New Roman"/>
          <w:sz w:val="24"/>
          <w:szCs w:val="24"/>
        </w:rPr>
        <w:t xml:space="preserve">V odseku </w:t>
      </w:r>
      <w:r w:rsidRPr="00144C99" w:rsidR="0028018A">
        <w:rPr>
          <w:rFonts w:ascii="Times New Roman" w:hAnsi="Times New Roman"/>
          <w:sz w:val="24"/>
          <w:szCs w:val="24"/>
        </w:rPr>
        <w:t>5</w:t>
      </w:r>
      <w:r w:rsidRPr="00144C99">
        <w:rPr>
          <w:rFonts w:ascii="Times New Roman" w:hAnsi="Times New Roman"/>
          <w:sz w:val="24"/>
          <w:szCs w:val="24"/>
        </w:rPr>
        <w:t xml:space="preserve"> sa upravuje frekvencia zasielania informácií (raz ročne)</w:t>
      </w:r>
      <w:r w:rsidRPr="00144C99" w:rsidR="00D86679">
        <w:rPr>
          <w:rFonts w:ascii="Times New Roman" w:hAnsi="Times New Roman"/>
          <w:sz w:val="24"/>
          <w:szCs w:val="24"/>
        </w:rPr>
        <w:t xml:space="preserve">, v odseku </w:t>
      </w:r>
      <w:r w:rsidRPr="00144C99" w:rsidR="0028018A">
        <w:rPr>
          <w:rFonts w:ascii="Times New Roman" w:hAnsi="Times New Roman"/>
          <w:sz w:val="24"/>
          <w:szCs w:val="24"/>
        </w:rPr>
        <w:t>6</w:t>
      </w:r>
      <w:r w:rsidRPr="00144C99" w:rsidR="00D86679">
        <w:rPr>
          <w:rFonts w:ascii="Times New Roman" w:hAnsi="Times New Roman"/>
          <w:sz w:val="24"/>
          <w:szCs w:val="24"/>
        </w:rPr>
        <w:t xml:space="preserve"> sa definuje okruh poistencov, ktorým sa informácie zasielajú (ide o okruh poistencov, ktorí sú poistencami piaty rok a poistencov, ktorým chýba 5 rokov do dôchodku).  V odseku </w:t>
      </w:r>
      <w:r w:rsidRPr="00144C99" w:rsidR="0028018A">
        <w:rPr>
          <w:rFonts w:ascii="Times New Roman" w:hAnsi="Times New Roman"/>
          <w:sz w:val="24"/>
          <w:szCs w:val="24"/>
        </w:rPr>
        <w:t>7</w:t>
      </w:r>
      <w:r w:rsidRPr="00144C99" w:rsidR="00D86679">
        <w:rPr>
          <w:rFonts w:ascii="Times New Roman" w:hAnsi="Times New Roman"/>
          <w:sz w:val="24"/>
          <w:szCs w:val="24"/>
        </w:rPr>
        <w:t xml:space="preserve"> sa zakotvuje vytvorenie a sprístupnenie elektronického účtu poistencovi a v odseku </w:t>
      </w:r>
      <w:r w:rsidRPr="00144C99" w:rsidR="0028018A">
        <w:rPr>
          <w:rFonts w:ascii="Times New Roman" w:hAnsi="Times New Roman"/>
          <w:sz w:val="24"/>
          <w:szCs w:val="24"/>
        </w:rPr>
        <w:t>8</w:t>
      </w:r>
      <w:r w:rsidRPr="00144C99" w:rsidR="00D86679">
        <w:rPr>
          <w:rFonts w:ascii="Times New Roman" w:hAnsi="Times New Roman"/>
          <w:sz w:val="24"/>
          <w:szCs w:val="24"/>
        </w:rPr>
        <w:t xml:space="preserve"> sa zakotvuje Sociálnej poisťovni povinnosť aktualizovať údaje na </w:t>
      </w:r>
      <w:r w:rsidRPr="00144C99" w:rsidR="0028018A">
        <w:rPr>
          <w:rFonts w:ascii="Times New Roman" w:hAnsi="Times New Roman"/>
          <w:sz w:val="24"/>
          <w:szCs w:val="24"/>
        </w:rPr>
        <w:t xml:space="preserve">uvedenom </w:t>
      </w:r>
      <w:r w:rsidRPr="00144C99" w:rsidR="00D86679">
        <w:rPr>
          <w:rFonts w:ascii="Times New Roman" w:hAnsi="Times New Roman"/>
          <w:sz w:val="24"/>
          <w:szCs w:val="24"/>
        </w:rPr>
        <w:t xml:space="preserve">elektronickom účte. </w:t>
      </w:r>
    </w:p>
    <w:p w:rsidR="00A145CB" w:rsidRPr="00144C99" w:rsidP="00A145CB">
      <w:pPr>
        <w:bidi w:val="0"/>
        <w:ind w:left="708"/>
        <w:rPr>
          <w:rFonts w:ascii="Times New Roman" w:hAnsi="Times New Roman"/>
          <w:b/>
          <w:sz w:val="24"/>
          <w:szCs w:val="24"/>
        </w:rPr>
      </w:pPr>
      <w:r w:rsidRPr="00144C99">
        <w:rPr>
          <w:rFonts w:ascii="Times New Roman" w:hAnsi="Times New Roman"/>
          <w:b/>
          <w:sz w:val="24"/>
          <w:szCs w:val="24"/>
        </w:rPr>
        <w:t>K bodu 2</w:t>
      </w:r>
    </w:p>
    <w:p w:rsidR="00831895" w:rsidRPr="00144C99" w:rsidP="00831895">
      <w:pPr>
        <w:shd w:val="clear" w:color="auto" w:fill="FFFFFF"/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44C99" w:rsidR="00D86679">
        <w:rPr>
          <w:rFonts w:ascii="Times New Roman" w:hAnsi="Times New Roman"/>
          <w:sz w:val="24"/>
          <w:szCs w:val="24"/>
        </w:rPr>
        <w:t>Navrhuje sa prechodné ustanovenie, ktor</w:t>
      </w:r>
      <w:r w:rsidRPr="00144C99" w:rsidR="007618A6">
        <w:rPr>
          <w:rFonts w:ascii="Times New Roman" w:hAnsi="Times New Roman"/>
          <w:sz w:val="24"/>
          <w:szCs w:val="24"/>
        </w:rPr>
        <w:t>é</w:t>
      </w:r>
      <w:r w:rsidRPr="00144C99" w:rsidR="00D86679">
        <w:rPr>
          <w:rFonts w:ascii="Times New Roman" w:hAnsi="Times New Roman"/>
          <w:sz w:val="24"/>
          <w:szCs w:val="24"/>
        </w:rPr>
        <w:t xml:space="preserve"> upravuje zasielanie informácie v roku 2020.</w:t>
      </w:r>
      <w:r w:rsidRPr="00144C99" w:rsidR="0028018A">
        <w:rPr>
          <w:rFonts w:ascii="Times New Roman" w:hAnsi="Times New Roman"/>
          <w:sz w:val="24"/>
          <w:szCs w:val="24"/>
        </w:rPr>
        <w:t xml:space="preserve"> Potreba takéhoto prechodného ustanovenia, vyplýva zo skutočnosti, že v roku 2020 bude existovať určitá skupina poistencov, ktorí </w:t>
      </w:r>
      <w:r w:rsidRPr="00144C99">
        <w:rPr>
          <w:rFonts w:ascii="Times New Roman" w:hAnsi="Times New Roman"/>
          <w:sz w:val="24"/>
          <w:szCs w:val="24"/>
        </w:rPr>
        <w:t xml:space="preserve">majú do dôchodku menej ako 5 rokov, a podľa nastavených pravidiel v kmeňových (neprechodných) ustanoveniach zákona, by informáciu nikdy nedostali. </w:t>
      </w:r>
      <w:r w:rsidRPr="00144C99">
        <w:rPr>
          <w:rFonts w:ascii="Times New Roman" w:hAnsi="Times New Roman"/>
          <w:sz w:val="24"/>
          <w:szCs w:val="24"/>
          <w:lang w:eastAsia="sk-SK"/>
        </w:rPr>
        <w:t>Prechodné ustanovenie teda hovorí, že v roku spustenia zasielania informácií podľa tejto novely, sa informácia zašle nielen tým, ktorí majú presne 5 rokov do dôchodku (čo predpokladajú kmeňové ustanovenia zákona), ale aj všetkých tým, ktorí majú do dôchodku menej ako 5 rokov.</w:t>
      </w:r>
    </w:p>
    <w:p w:rsidR="00D86679" w:rsidRPr="00144C99" w:rsidP="00831895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13C" w:rsidRPr="00144C99" w:rsidP="00A145CB">
      <w:pPr>
        <w:bidi w:val="0"/>
        <w:ind w:left="708"/>
        <w:rPr>
          <w:rFonts w:ascii="Times New Roman" w:hAnsi="Times New Roman"/>
          <w:b/>
          <w:sz w:val="24"/>
          <w:szCs w:val="24"/>
        </w:rPr>
      </w:pPr>
      <w:r w:rsidRPr="00144C99" w:rsidR="00A145CB">
        <w:rPr>
          <w:rFonts w:ascii="Times New Roman" w:hAnsi="Times New Roman"/>
          <w:b/>
          <w:sz w:val="24"/>
          <w:szCs w:val="24"/>
        </w:rPr>
        <w:t>K čl. II</w:t>
      </w:r>
    </w:p>
    <w:p w:rsidR="00A145CB" w:rsidRPr="00144C99" w:rsidP="000E613C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144C99" w:rsidR="000E613C">
        <w:rPr>
          <w:rFonts w:ascii="Times New Roman" w:hAnsi="Times New Roman"/>
          <w:sz w:val="24"/>
          <w:szCs w:val="24"/>
        </w:rPr>
        <w:t>Navrhuje sa nadobudnutie účinnosti návrhu zákona od 1. januára 2020.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05">
    <w:pPr>
      <w:pStyle w:val="Header"/>
      <w:bidi w:val="0"/>
    </w:pPr>
  </w:p>
  <w:p w:rsidR="00DF3005">
    <w:pPr>
      <w:pStyle w:val="Header"/>
      <w:bidi w:val="0"/>
    </w:pPr>
  </w:p>
  <w:p w:rsidR="00DF3005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74353C2"/>
    <w:multiLevelType w:val="hybridMultilevel"/>
    <w:tmpl w:val="A522BC7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AA6A0A"/>
    <w:multiLevelType w:val="hybridMultilevel"/>
    <w:tmpl w:val="3AFA168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F006D01"/>
    <w:multiLevelType w:val="hybridMultilevel"/>
    <w:tmpl w:val="DE40BE5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6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3"/>
  </w:num>
  <w:num w:numId="5">
    <w:abstractNumId w:val="11"/>
  </w:num>
  <w:num w:numId="6">
    <w:abstractNumId w:val="7"/>
  </w:num>
  <w:num w:numId="7">
    <w:abstractNumId w:val="20"/>
  </w:num>
  <w:num w:numId="8">
    <w:abstractNumId w:val="23"/>
  </w:num>
  <w:num w:numId="9">
    <w:abstractNumId w:val="13"/>
  </w:num>
  <w:num w:numId="10">
    <w:abstractNumId w:val="25"/>
  </w:num>
  <w:num w:numId="11">
    <w:abstractNumId w:val="38"/>
  </w:num>
  <w:num w:numId="12">
    <w:abstractNumId w:val="17"/>
  </w:num>
  <w:num w:numId="13">
    <w:abstractNumId w:val="37"/>
  </w:num>
  <w:num w:numId="14">
    <w:abstractNumId w:val="22"/>
  </w:num>
  <w:num w:numId="15">
    <w:abstractNumId w:val="33"/>
  </w:num>
  <w:num w:numId="16">
    <w:abstractNumId w:val="4"/>
  </w:num>
  <w:num w:numId="17">
    <w:abstractNumId w:val="9"/>
  </w:num>
  <w:num w:numId="18">
    <w:abstractNumId w:val="24"/>
  </w:num>
  <w:num w:numId="19">
    <w:abstractNumId w:val="35"/>
  </w:num>
  <w:num w:numId="20">
    <w:abstractNumId w:val="36"/>
  </w:num>
  <w:num w:numId="21">
    <w:abstractNumId w:val="19"/>
  </w:num>
  <w:num w:numId="22">
    <w:abstractNumId w:val="10"/>
  </w:num>
  <w:num w:numId="23">
    <w:abstractNumId w:val="18"/>
  </w:num>
  <w:num w:numId="24">
    <w:abstractNumId w:val="21"/>
  </w:num>
  <w:num w:numId="25">
    <w:abstractNumId w:val="12"/>
  </w:num>
  <w:num w:numId="26">
    <w:abstractNumId w:val="31"/>
  </w:num>
  <w:num w:numId="27">
    <w:abstractNumId w:val="27"/>
  </w:num>
  <w:num w:numId="28">
    <w:abstractNumId w:val="1"/>
  </w:num>
  <w:num w:numId="29">
    <w:abstractNumId w:val="30"/>
  </w:num>
  <w:num w:numId="30">
    <w:abstractNumId w:val="6"/>
  </w:num>
  <w:num w:numId="31">
    <w:abstractNumId w:val="32"/>
  </w:num>
  <w:num w:numId="32">
    <w:abstractNumId w:val="29"/>
  </w:num>
  <w:num w:numId="33">
    <w:abstractNumId w:val="16"/>
  </w:num>
  <w:num w:numId="34">
    <w:abstractNumId w:val="28"/>
  </w:num>
  <w:num w:numId="35">
    <w:abstractNumId w:val="26"/>
  </w:num>
  <w:num w:numId="36">
    <w:abstractNumId w:val="34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2C6C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5594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9DF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13C"/>
    <w:rsid w:val="000E64DA"/>
    <w:rsid w:val="000E71E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4C99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D19"/>
    <w:rsid w:val="00181F56"/>
    <w:rsid w:val="00182107"/>
    <w:rsid w:val="00183AF2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2161F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18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0B6"/>
    <w:rsid w:val="002B7550"/>
    <w:rsid w:val="002C0207"/>
    <w:rsid w:val="002C5FE1"/>
    <w:rsid w:val="002C6C88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30E08"/>
    <w:rsid w:val="00432E87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D1A"/>
    <w:rsid w:val="004E28A9"/>
    <w:rsid w:val="004E3749"/>
    <w:rsid w:val="004E652B"/>
    <w:rsid w:val="004F4AEC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430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3919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5ECC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3F79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9652E"/>
    <w:rsid w:val="006A38B1"/>
    <w:rsid w:val="006A6044"/>
    <w:rsid w:val="006A664B"/>
    <w:rsid w:val="006A6FD0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3DDD"/>
    <w:rsid w:val="006E5228"/>
    <w:rsid w:val="006E524C"/>
    <w:rsid w:val="006F40F0"/>
    <w:rsid w:val="006F62EA"/>
    <w:rsid w:val="006F70F2"/>
    <w:rsid w:val="007008D5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482D"/>
    <w:rsid w:val="00735A18"/>
    <w:rsid w:val="007366F1"/>
    <w:rsid w:val="0073790F"/>
    <w:rsid w:val="00746B33"/>
    <w:rsid w:val="007519BD"/>
    <w:rsid w:val="007618A6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5F1"/>
    <w:rsid w:val="0080766E"/>
    <w:rsid w:val="00807F81"/>
    <w:rsid w:val="008100CA"/>
    <w:rsid w:val="00810F55"/>
    <w:rsid w:val="00814F4C"/>
    <w:rsid w:val="00822B9E"/>
    <w:rsid w:val="00822C2D"/>
    <w:rsid w:val="00824B31"/>
    <w:rsid w:val="00826A0E"/>
    <w:rsid w:val="00826F95"/>
    <w:rsid w:val="00831895"/>
    <w:rsid w:val="00831B79"/>
    <w:rsid w:val="00831C9F"/>
    <w:rsid w:val="00832336"/>
    <w:rsid w:val="00835248"/>
    <w:rsid w:val="00835902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72DC6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15A4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5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1A7"/>
    <w:rsid w:val="00970818"/>
    <w:rsid w:val="0097248D"/>
    <w:rsid w:val="00973142"/>
    <w:rsid w:val="00976FA5"/>
    <w:rsid w:val="00982C22"/>
    <w:rsid w:val="0099025A"/>
    <w:rsid w:val="009928F1"/>
    <w:rsid w:val="00992B33"/>
    <w:rsid w:val="0099366A"/>
    <w:rsid w:val="009A55BA"/>
    <w:rsid w:val="009A5B5F"/>
    <w:rsid w:val="009A5F3B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C7EE1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0DB"/>
    <w:rsid w:val="00A05D4F"/>
    <w:rsid w:val="00A06727"/>
    <w:rsid w:val="00A11728"/>
    <w:rsid w:val="00A145CB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57065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BC7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018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37A10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1F95"/>
    <w:rsid w:val="00B923F9"/>
    <w:rsid w:val="00B9275E"/>
    <w:rsid w:val="00B92BF5"/>
    <w:rsid w:val="00B92C44"/>
    <w:rsid w:val="00B9309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D68E9"/>
    <w:rsid w:val="00BE6C64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00D5"/>
    <w:rsid w:val="00C218EF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6077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4363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6AE2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1C0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0F5E"/>
    <w:rsid w:val="00D61262"/>
    <w:rsid w:val="00D620C4"/>
    <w:rsid w:val="00D64CE6"/>
    <w:rsid w:val="00D66B6C"/>
    <w:rsid w:val="00D70ED0"/>
    <w:rsid w:val="00D76DDF"/>
    <w:rsid w:val="00D77B1F"/>
    <w:rsid w:val="00D816B9"/>
    <w:rsid w:val="00D8479F"/>
    <w:rsid w:val="00D86679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581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DF3005"/>
    <w:rsid w:val="00E0070B"/>
    <w:rsid w:val="00E01C8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2CC0"/>
    <w:rsid w:val="00E43765"/>
    <w:rsid w:val="00E443A7"/>
    <w:rsid w:val="00E45569"/>
    <w:rsid w:val="00E47C2A"/>
    <w:rsid w:val="00E5134E"/>
    <w:rsid w:val="00E51B1E"/>
    <w:rsid w:val="00E52BED"/>
    <w:rsid w:val="00E52FC1"/>
    <w:rsid w:val="00E57FC7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253D"/>
    <w:rsid w:val="00ED3E30"/>
    <w:rsid w:val="00ED54B1"/>
    <w:rsid w:val="00EE28C5"/>
    <w:rsid w:val="00EE3CB1"/>
    <w:rsid w:val="00EE4104"/>
    <w:rsid w:val="00EE45DB"/>
    <w:rsid w:val="00EE74E9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5F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2922"/>
    <w:rsid w:val="00F9328E"/>
    <w:rsid w:val="00FA10F2"/>
    <w:rsid w:val="00FA2015"/>
    <w:rsid w:val="00FA387E"/>
    <w:rsid w:val="00FB00CF"/>
    <w:rsid w:val="00FB0D63"/>
    <w:rsid w:val="00FB26EA"/>
    <w:rsid w:val="00FB7EA2"/>
    <w:rsid w:val="00FC231F"/>
    <w:rsid w:val="00FC4CCE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F505F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505F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505F2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505F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505F2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505F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505F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376</TotalTime>
  <Pages>4</Pages>
  <Words>871</Words>
  <Characters>4970</Characters>
  <Application>Microsoft Office Word</Application>
  <DocSecurity>0</DocSecurity>
  <Lines>0</Lines>
  <Paragraphs>0</Paragraphs>
  <ScaleCrop>false</ScaleCrop>
  <Company>MVSR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</cp:lastModifiedBy>
  <cp:revision>8</cp:revision>
  <cp:lastPrinted>2018-08-24T12:23:00Z</cp:lastPrinted>
  <dcterms:created xsi:type="dcterms:W3CDTF">2018-07-26T11:09:00Z</dcterms:created>
  <dcterms:modified xsi:type="dcterms:W3CDTF">2018-08-24T12:25:00Z</dcterms:modified>
</cp:coreProperties>
</file>