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94543" w:rsidRPr="00F7227E" w:rsidP="00C94543">
      <w:pPr>
        <w:bidi w:val="0"/>
        <w:spacing w:after="0" w:line="240" w:lineRule="auto"/>
        <w:jc w:val="center"/>
        <w:rPr>
          <w:rFonts w:ascii="Times New Roman" w:hAnsi="Times New Roman"/>
          <w:b/>
          <w:bCs/>
          <w:sz w:val="24"/>
          <w:szCs w:val="24"/>
        </w:rPr>
      </w:pPr>
      <w:r w:rsidRPr="00F7227E">
        <w:rPr>
          <w:rFonts w:ascii="Times New Roman" w:hAnsi="Times New Roman"/>
          <w:b/>
          <w:bCs/>
          <w:sz w:val="24"/>
          <w:szCs w:val="24"/>
        </w:rPr>
        <w:t>NÁRODNÁ RADA SLOVENSKEJ REPUBLIKY</w:t>
      </w:r>
    </w:p>
    <w:p w:rsidR="00C94543" w:rsidRPr="00F7227E" w:rsidP="00C94543">
      <w:pPr>
        <w:pBdr>
          <w:bottom w:val="single" w:sz="12" w:space="1" w:color="auto"/>
        </w:pBdr>
        <w:bidi w:val="0"/>
        <w:spacing w:after="0" w:line="240" w:lineRule="auto"/>
        <w:jc w:val="center"/>
        <w:rPr>
          <w:rFonts w:ascii="Times New Roman" w:hAnsi="Times New Roman"/>
          <w:b/>
          <w:bCs/>
          <w:sz w:val="24"/>
          <w:szCs w:val="24"/>
        </w:rPr>
      </w:pPr>
      <w:r w:rsidRPr="00F7227E">
        <w:rPr>
          <w:rFonts w:ascii="Times New Roman" w:hAnsi="Times New Roman"/>
          <w:b/>
          <w:bCs/>
          <w:sz w:val="24"/>
          <w:szCs w:val="24"/>
        </w:rPr>
        <w:t>VII. volebné obdobie</w:t>
      </w:r>
    </w:p>
    <w:p w:rsidR="00C94543" w:rsidRPr="00F7227E" w:rsidP="00C94543">
      <w:pPr>
        <w:pStyle w:val="Heading2"/>
        <w:bidi w:val="0"/>
        <w:spacing w:before="0" w:beforeAutospacing="0" w:after="0" w:afterAutospacing="0"/>
        <w:jc w:val="center"/>
        <w:rPr>
          <w:rFonts w:ascii="Times New Roman" w:hAnsi="Times New Roman"/>
          <w:b w:val="0"/>
          <w:bCs w:val="0"/>
          <w:i/>
          <w:iCs/>
          <w:sz w:val="24"/>
          <w:szCs w:val="24"/>
        </w:rPr>
      </w:pPr>
    </w:p>
    <w:p w:rsidR="00C94543" w:rsidRPr="00F7227E" w:rsidP="00C94543">
      <w:pPr>
        <w:pStyle w:val="Heading2"/>
        <w:bidi w:val="0"/>
        <w:spacing w:before="0" w:beforeAutospacing="0" w:after="0" w:afterAutospacing="0"/>
        <w:jc w:val="center"/>
        <w:rPr>
          <w:rFonts w:ascii="Times New Roman" w:hAnsi="Times New Roman"/>
          <w:b w:val="0"/>
          <w:bCs w:val="0"/>
          <w:i/>
          <w:iCs/>
          <w:sz w:val="24"/>
          <w:szCs w:val="24"/>
        </w:rPr>
      </w:pPr>
    </w:p>
    <w:p w:rsidR="00C94543" w:rsidRPr="00F7227E" w:rsidP="00C94543">
      <w:pPr>
        <w:pStyle w:val="Heading2"/>
        <w:bidi w:val="0"/>
        <w:spacing w:before="0" w:beforeAutospacing="0" w:after="0" w:afterAutospacing="0"/>
        <w:jc w:val="center"/>
        <w:rPr>
          <w:rFonts w:ascii="Times New Roman" w:hAnsi="Times New Roman"/>
          <w:b w:val="0"/>
          <w:bCs w:val="0"/>
          <w:i/>
          <w:iCs/>
          <w:sz w:val="24"/>
          <w:szCs w:val="24"/>
        </w:rPr>
      </w:pPr>
      <w:r w:rsidRPr="00F7227E">
        <w:rPr>
          <w:rFonts w:ascii="Times New Roman" w:hAnsi="Times New Roman"/>
          <w:b w:val="0"/>
          <w:bCs w:val="0"/>
          <w:i/>
          <w:iCs/>
          <w:sz w:val="24"/>
          <w:szCs w:val="24"/>
        </w:rPr>
        <w:t>Návrh</w:t>
      </w:r>
    </w:p>
    <w:p w:rsidR="00C94543" w:rsidRPr="00F7227E" w:rsidP="00C94543">
      <w:pPr>
        <w:pStyle w:val="Heading2"/>
        <w:bidi w:val="0"/>
        <w:spacing w:before="0" w:beforeAutospacing="0" w:after="0" w:afterAutospacing="0"/>
        <w:jc w:val="center"/>
        <w:rPr>
          <w:rFonts w:ascii="Times New Roman" w:hAnsi="Times New Roman"/>
          <w:b w:val="0"/>
          <w:bCs w:val="0"/>
          <w:i/>
          <w:iCs/>
          <w:sz w:val="24"/>
          <w:szCs w:val="24"/>
        </w:rPr>
      </w:pPr>
    </w:p>
    <w:p w:rsidR="00C94543" w:rsidRPr="00F7227E" w:rsidP="00C94543">
      <w:pPr>
        <w:pStyle w:val="Heading2"/>
        <w:bidi w:val="0"/>
        <w:spacing w:before="0" w:beforeAutospacing="0" w:after="0" w:afterAutospacing="0"/>
        <w:jc w:val="center"/>
        <w:rPr>
          <w:rFonts w:ascii="Times New Roman" w:hAnsi="Times New Roman"/>
          <w:b w:val="0"/>
          <w:bCs w:val="0"/>
          <w:i/>
          <w:iCs/>
          <w:sz w:val="24"/>
          <w:szCs w:val="24"/>
        </w:rPr>
      </w:pPr>
    </w:p>
    <w:p w:rsidR="00C94543" w:rsidRPr="00F7227E" w:rsidP="00C94543">
      <w:pPr>
        <w:pStyle w:val="Heading2"/>
        <w:bidi w:val="0"/>
        <w:spacing w:before="0" w:beforeAutospacing="0" w:after="0" w:afterAutospacing="0"/>
        <w:jc w:val="center"/>
        <w:rPr>
          <w:rFonts w:ascii="Times New Roman" w:hAnsi="Times New Roman"/>
          <w:iCs/>
          <w:sz w:val="24"/>
          <w:szCs w:val="24"/>
        </w:rPr>
      </w:pPr>
      <w:r w:rsidRPr="00F7227E">
        <w:rPr>
          <w:rFonts w:ascii="Times New Roman" w:hAnsi="Times New Roman"/>
          <w:iCs/>
          <w:sz w:val="24"/>
          <w:szCs w:val="24"/>
        </w:rPr>
        <w:t>Zákon</w:t>
      </w:r>
    </w:p>
    <w:p w:rsidR="00C94543" w:rsidRPr="00F7227E" w:rsidP="00C94543">
      <w:pPr>
        <w:pStyle w:val="Heading2"/>
        <w:bidi w:val="0"/>
        <w:spacing w:before="0" w:beforeAutospacing="0" w:after="0" w:afterAutospacing="0"/>
        <w:jc w:val="center"/>
        <w:rPr>
          <w:rFonts w:ascii="Times New Roman" w:hAnsi="Times New Roman"/>
          <w:iCs/>
          <w:sz w:val="24"/>
          <w:szCs w:val="24"/>
        </w:rPr>
      </w:pPr>
    </w:p>
    <w:p w:rsidR="00C94543" w:rsidRPr="00F7227E" w:rsidP="00C94543">
      <w:pPr>
        <w:bidi w:val="0"/>
        <w:spacing w:after="0" w:line="240" w:lineRule="auto"/>
        <w:jc w:val="center"/>
        <w:rPr>
          <w:rFonts w:ascii="Times New Roman" w:hAnsi="Times New Roman"/>
          <w:sz w:val="24"/>
          <w:szCs w:val="24"/>
          <w:lang w:eastAsia="sk-SK"/>
        </w:rPr>
      </w:pPr>
    </w:p>
    <w:p w:rsidR="00C94543" w:rsidRPr="00F7227E" w:rsidP="00C94543">
      <w:pPr>
        <w:bidi w:val="0"/>
        <w:spacing w:after="0" w:line="240" w:lineRule="auto"/>
        <w:jc w:val="center"/>
        <w:rPr>
          <w:rFonts w:ascii="Times New Roman" w:hAnsi="Times New Roman"/>
          <w:sz w:val="24"/>
          <w:szCs w:val="24"/>
        </w:rPr>
      </w:pPr>
      <w:r w:rsidRPr="00F7227E">
        <w:rPr>
          <w:rFonts w:ascii="Times New Roman" w:hAnsi="Times New Roman"/>
          <w:sz w:val="24"/>
          <w:szCs w:val="24"/>
        </w:rPr>
        <w:t>z .........2018,</w:t>
      </w:r>
    </w:p>
    <w:p w:rsidR="00C94543" w:rsidRPr="00F7227E" w:rsidP="00C94543">
      <w:pPr>
        <w:bidi w:val="0"/>
        <w:spacing w:before="240"/>
        <w:jc w:val="center"/>
        <w:rPr>
          <w:rFonts w:ascii="Times New Roman" w:hAnsi="Times New Roman"/>
          <w:b/>
          <w:sz w:val="24"/>
          <w:szCs w:val="24"/>
        </w:rPr>
      </w:pPr>
      <w:r w:rsidRPr="00F7227E">
        <w:rPr>
          <w:rFonts w:ascii="Times New Roman" w:hAnsi="Times New Roman"/>
          <w:b/>
          <w:sz w:val="28"/>
          <w:szCs w:val="28"/>
        </w:rPr>
        <w:br/>
      </w:r>
      <w:r w:rsidRPr="00F7227E">
        <w:rPr>
          <w:rFonts w:ascii="Times New Roman" w:hAnsi="Times New Roman"/>
          <w:b/>
          <w:sz w:val="24"/>
          <w:szCs w:val="24"/>
        </w:rPr>
        <w:t>ktorým sa dopĺňa zákon č. 461/2003 Z. z. o sociálnom poistení v znení neskorších predpisov</w:t>
      </w:r>
    </w:p>
    <w:p w:rsidR="00C94543" w:rsidRPr="00F7227E" w:rsidP="00C94543">
      <w:pPr>
        <w:bidi w:val="0"/>
        <w:spacing w:before="240"/>
        <w:ind w:firstLine="708"/>
        <w:jc w:val="both"/>
        <w:rPr>
          <w:rFonts w:ascii="Times New Roman" w:hAnsi="Times New Roman"/>
          <w:sz w:val="24"/>
          <w:szCs w:val="24"/>
        </w:rPr>
      </w:pPr>
      <w:r w:rsidRPr="00F7227E">
        <w:rPr>
          <w:rFonts w:ascii="Times New Roman" w:hAnsi="Times New Roman"/>
          <w:sz w:val="24"/>
          <w:szCs w:val="24"/>
        </w:rPr>
        <w:t>Národná rada Slovenskej republiky sa uzniesla na tomto zákone:</w:t>
      </w:r>
    </w:p>
    <w:p w:rsidR="00C94543" w:rsidRPr="00F7227E" w:rsidP="00C94543">
      <w:pPr>
        <w:bidi w:val="0"/>
        <w:spacing w:before="240"/>
        <w:jc w:val="center"/>
        <w:rPr>
          <w:rFonts w:ascii="Times New Roman" w:hAnsi="Times New Roman"/>
          <w:b/>
          <w:sz w:val="24"/>
          <w:szCs w:val="24"/>
        </w:rPr>
      </w:pPr>
      <w:r w:rsidRPr="00F7227E">
        <w:rPr>
          <w:rFonts w:ascii="Times New Roman" w:hAnsi="Times New Roman"/>
          <w:b/>
          <w:sz w:val="24"/>
          <w:szCs w:val="24"/>
        </w:rPr>
        <w:t>Čl. I</w:t>
      </w:r>
    </w:p>
    <w:p w:rsidR="00C94543" w:rsidRPr="00F7227E" w:rsidP="00C94543">
      <w:pPr>
        <w:bidi w:val="0"/>
        <w:ind w:firstLine="708"/>
        <w:jc w:val="both"/>
        <w:rPr>
          <w:rFonts w:ascii="Times New Roman" w:hAnsi="Times New Roman"/>
          <w:sz w:val="24"/>
          <w:szCs w:val="24"/>
        </w:rPr>
      </w:pPr>
      <w:r w:rsidRPr="00F7227E">
        <w:rPr>
          <w:rFonts w:ascii="Times New Roman" w:hAnsi="Times New Roman"/>
          <w:sz w:val="24"/>
          <w:szCs w:val="24"/>
        </w:rPr>
        <w:t xml:space="preserve">Zákon č. 461/2003 Z. z. o sociálnom poistení v znení zákona č. 551/2003 Z. z., zákona č. 600/2003 Z. z., zákona č. 5/2004 Z. z., zákona č. 43/2004 Z. z., zákona č. 186/2004 Z. z., zákona č. 365/2004 Z.z., zákona č. 391/2004 Z.z., zákona č. 439/2004 Z.z., zákona </w:t>
      </w:r>
      <w:r w:rsidRPr="00F7227E" w:rsidR="001E3F33">
        <w:rPr>
          <w:rFonts w:ascii="Times New Roman" w:hAnsi="Times New Roman"/>
          <w:sz w:val="24"/>
          <w:szCs w:val="24"/>
        </w:rPr>
        <w:t xml:space="preserve">                        </w:t>
      </w:r>
      <w:r w:rsidRPr="00F7227E">
        <w:rPr>
          <w:rFonts w:ascii="Times New Roman" w:hAnsi="Times New Roman"/>
          <w:sz w:val="24"/>
          <w:szCs w:val="24"/>
        </w:rPr>
        <w:t xml:space="preserve">č. 523/2004 Z.z., zákona č. 721/2004 Z.z., zákona č. 82/2005 Z.z., zákona č. 244/2005 Z.z., zákona č. 351/2005 Z.z., zákona č. 534/2005 Z.z., zákona č. 584/2005 Z.z., zákona </w:t>
      </w:r>
      <w:r w:rsidRPr="00F7227E" w:rsidR="001E3F33">
        <w:rPr>
          <w:rFonts w:ascii="Times New Roman" w:hAnsi="Times New Roman"/>
          <w:sz w:val="24"/>
          <w:szCs w:val="24"/>
        </w:rPr>
        <w:t xml:space="preserve">                         </w:t>
      </w:r>
      <w:r w:rsidRPr="00F7227E">
        <w:rPr>
          <w:rFonts w:ascii="Times New Roman" w:hAnsi="Times New Roman"/>
          <w:sz w:val="24"/>
          <w:szCs w:val="24"/>
        </w:rPr>
        <w:t xml:space="preserve">č. 310/2006 Z.z., nálezu Ústavného súdu Slovenskej republiky č. 460/2006 Z.z., zákona </w:t>
      </w:r>
      <w:r w:rsidRPr="00F7227E" w:rsidR="001E3F33">
        <w:rPr>
          <w:rFonts w:ascii="Times New Roman" w:hAnsi="Times New Roman"/>
          <w:sz w:val="24"/>
          <w:szCs w:val="24"/>
        </w:rPr>
        <w:t xml:space="preserve">                   </w:t>
      </w:r>
      <w:r w:rsidRPr="00F7227E">
        <w:rPr>
          <w:rFonts w:ascii="Times New Roman" w:hAnsi="Times New Roman"/>
          <w:sz w:val="24"/>
          <w:szCs w:val="24"/>
        </w:rPr>
        <w:t xml:space="preserve">č. 529/2006 Z.z., uznesenia Ústavného súdu Slovenskej republiky č. 566/2006 Z.z., zákona </w:t>
      </w:r>
      <w:r w:rsidRPr="00F7227E" w:rsidR="001E3F33">
        <w:rPr>
          <w:rFonts w:ascii="Times New Roman" w:hAnsi="Times New Roman"/>
          <w:sz w:val="24"/>
          <w:szCs w:val="24"/>
        </w:rPr>
        <w:t xml:space="preserve">               </w:t>
      </w:r>
      <w:r w:rsidRPr="00F7227E">
        <w:rPr>
          <w:rFonts w:ascii="Times New Roman" w:hAnsi="Times New Roman"/>
          <w:sz w:val="24"/>
          <w:szCs w:val="24"/>
        </w:rPr>
        <w:t xml:space="preserve">č. 592/2006 Z.z., zákona č. 677/2006 Z.z., zákona č. 274/2007 Z.z., zákona č. 519/2007 Z.z., zákona č. 555/2007 Z.z., zákona č. 659/2007 Z.z., nálezu Ústavného súdu Slovenskej republiky č. 204/2008 Z.z., zákona č. 434/2008 Z.z., zákona č. 449/2008 Z.z., zákona </w:t>
      </w:r>
      <w:r w:rsidRPr="00F7227E" w:rsidR="001E3F33">
        <w:rPr>
          <w:rFonts w:ascii="Times New Roman" w:hAnsi="Times New Roman"/>
          <w:sz w:val="24"/>
          <w:szCs w:val="24"/>
        </w:rPr>
        <w:t xml:space="preserve">                     </w:t>
      </w:r>
      <w:r w:rsidRPr="00F7227E">
        <w:rPr>
          <w:rFonts w:ascii="Times New Roman" w:hAnsi="Times New Roman"/>
          <w:sz w:val="24"/>
          <w:szCs w:val="24"/>
        </w:rPr>
        <w:t xml:space="preserve">č. 599/2008 Z.z., zákona č. 108/2009 Z.z., zákona č. 192/2009 Z.z., zákona č. 200/2009 Z.z., zákona č. 285/2009 Z.z., zákona č. 571/2009 Z.z., zákona č. 572/2009 Z.z., zákona č. 52/2010 Z.z., zákona č. 151/2010 Z.z., zákona č. 403/2010 Z.z., zákona č. 543/2010 Z.z., zákona </w:t>
      </w:r>
      <w:r w:rsidRPr="00F7227E" w:rsidR="001E3F33">
        <w:rPr>
          <w:rFonts w:ascii="Times New Roman" w:hAnsi="Times New Roman"/>
          <w:sz w:val="24"/>
          <w:szCs w:val="24"/>
        </w:rPr>
        <w:t xml:space="preserve">                 </w:t>
      </w:r>
      <w:r w:rsidRPr="00F7227E">
        <w:rPr>
          <w:rFonts w:ascii="Times New Roman" w:hAnsi="Times New Roman"/>
          <w:sz w:val="24"/>
          <w:szCs w:val="24"/>
        </w:rPr>
        <w:t xml:space="preserve">č. 125/2011 Z.z., zákona č. 223/2011 Z.z., zákona č. 250/2011 Z.z., zákona č. 334/2011 Z.z., zákona č. 348/2011 Z.z., zákona č. 521/2011 Z.z., zákona č. 69/2012 Z.z., zákona č. 252/2012 Z.z., zákona č. 413/2012 Z.z., zákona č. 96/2013 Z.z., zákona č. 338/2013 Z.z., zákona </w:t>
      </w:r>
      <w:r w:rsidRPr="00F7227E" w:rsidR="001E3F33">
        <w:rPr>
          <w:rFonts w:ascii="Times New Roman" w:hAnsi="Times New Roman"/>
          <w:sz w:val="24"/>
          <w:szCs w:val="24"/>
        </w:rPr>
        <w:t xml:space="preserve">                   </w:t>
      </w:r>
      <w:r w:rsidRPr="00F7227E">
        <w:rPr>
          <w:rFonts w:ascii="Times New Roman" w:hAnsi="Times New Roman"/>
          <w:sz w:val="24"/>
          <w:szCs w:val="24"/>
        </w:rPr>
        <w:t xml:space="preserve">č. 352/2013 Z.z., zákona č. 183/2014 Z.z., zákona č. 195/2014 Z.z., zákona č. 204/2014 Z.z., zákona č. 240/2014 Z.z., zákona č. 298/2014 Z.z., zákona č. 25/2015 Z.z., zákona č. 32/2015 Z.z., zákona č. 61/2015 Z.z., zákona č. 77/2015 Z.z., zákona č. 87/2015 Z.z., zákona </w:t>
      </w:r>
      <w:r w:rsidRPr="00F7227E" w:rsidR="001E3F33">
        <w:rPr>
          <w:rFonts w:ascii="Times New Roman" w:hAnsi="Times New Roman"/>
          <w:sz w:val="24"/>
          <w:szCs w:val="24"/>
        </w:rPr>
        <w:t xml:space="preserve">                       </w:t>
      </w:r>
      <w:r w:rsidRPr="00F7227E">
        <w:rPr>
          <w:rFonts w:ascii="Times New Roman" w:hAnsi="Times New Roman"/>
          <w:sz w:val="24"/>
          <w:szCs w:val="24"/>
        </w:rPr>
        <w:t xml:space="preserve">č. 112/2015 Z.z., zákona č. 140/2015 Z.z., zákona č. 176/2015 Z.z., zákona č. 336/2015 Z.z., zákona č. 378/2015 Z.z., zákona č. 407/2015 Z.z., zákona č. 440/2015 Z.z., zákona </w:t>
      </w:r>
      <w:r w:rsidRPr="00F7227E" w:rsidR="001E3F33">
        <w:rPr>
          <w:rFonts w:ascii="Times New Roman" w:hAnsi="Times New Roman"/>
          <w:sz w:val="24"/>
          <w:szCs w:val="24"/>
        </w:rPr>
        <w:t xml:space="preserve">                         </w:t>
      </w:r>
      <w:r w:rsidRPr="00F7227E">
        <w:rPr>
          <w:rFonts w:ascii="Times New Roman" w:hAnsi="Times New Roman"/>
          <w:sz w:val="24"/>
          <w:szCs w:val="24"/>
        </w:rPr>
        <w:t xml:space="preserve">č. 125/2016 Z.z., zákona č. 285/2016 Z.z., zákona č. 310/2016 Z.z., zákona č. 355/2016 Z.z., zákona č. 2/2017 Z.z., zákona č. 85/2017 Z.z., zákona č. 184/2017 Z.z., zákona č. 264/2017 Z.z., zákona č. 266/2017 Z.z., zákona č. 279/2017 Z.z., zákona č. 63/2018 Z.z., zákona </w:t>
      </w:r>
      <w:r w:rsidRPr="00F7227E" w:rsidR="001E3F33">
        <w:rPr>
          <w:rFonts w:ascii="Times New Roman" w:hAnsi="Times New Roman"/>
          <w:sz w:val="24"/>
          <w:szCs w:val="24"/>
        </w:rPr>
        <w:t xml:space="preserve">                    </w:t>
      </w:r>
      <w:r w:rsidRPr="00F7227E">
        <w:rPr>
          <w:rFonts w:ascii="Times New Roman" w:hAnsi="Times New Roman"/>
          <w:sz w:val="24"/>
          <w:szCs w:val="24"/>
        </w:rPr>
        <w:t>č. 87/2018 Z.z.  a zákona č. 177/2018 Z. z. sa dopĺňa takto:</w:t>
      </w:r>
    </w:p>
    <w:p w:rsidR="00C94543" w:rsidRPr="00F7227E" w:rsidP="00C94543">
      <w:pPr>
        <w:pStyle w:val="ListParagraph"/>
        <w:numPr>
          <w:numId w:val="40"/>
        </w:numPr>
        <w:bidi w:val="0"/>
        <w:spacing w:after="160" w:line="259" w:lineRule="auto"/>
        <w:rPr>
          <w:rFonts w:ascii="Times New Roman" w:hAnsi="Times New Roman"/>
          <w:sz w:val="24"/>
          <w:szCs w:val="24"/>
        </w:rPr>
      </w:pPr>
      <w:r w:rsidRPr="00F7227E">
        <w:rPr>
          <w:rFonts w:ascii="Times New Roman" w:hAnsi="Times New Roman"/>
          <w:sz w:val="24"/>
          <w:szCs w:val="24"/>
        </w:rPr>
        <w:t>Za § 226a sa vkladá § 226b, ktorý vrátane nadpisu znie:</w:t>
      </w:r>
    </w:p>
    <w:p w:rsidR="00C94543" w:rsidRPr="00F7227E" w:rsidP="00C94543">
      <w:pPr>
        <w:bidi w:val="0"/>
        <w:jc w:val="center"/>
        <w:rPr>
          <w:rFonts w:ascii="Times New Roman" w:hAnsi="Times New Roman"/>
          <w:b/>
          <w:sz w:val="24"/>
          <w:szCs w:val="24"/>
        </w:rPr>
      </w:pPr>
      <w:r w:rsidRPr="00F7227E">
        <w:rPr>
          <w:rFonts w:ascii="Times New Roman" w:hAnsi="Times New Roman"/>
          <w:sz w:val="24"/>
          <w:szCs w:val="24"/>
        </w:rPr>
        <w:t>„</w:t>
      </w:r>
      <w:r w:rsidRPr="00F7227E">
        <w:rPr>
          <w:rFonts w:ascii="Times New Roman" w:hAnsi="Times New Roman"/>
          <w:b/>
          <w:sz w:val="24"/>
          <w:szCs w:val="24"/>
        </w:rPr>
        <w:t>§ 226b</w:t>
        <w:br/>
        <w:t>Ďalšie povinnosti Sociálnej poisťovne voči poistencom</w:t>
      </w:r>
    </w:p>
    <w:p w:rsidR="00C94543" w:rsidRPr="00F7227E" w:rsidP="00C94543">
      <w:pPr>
        <w:bidi w:val="0"/>
        <w:rPr>
          <w:rFonts w:ascii="Times New Roman" w:hAnsi="Times New Roman"/>
          <w:sz w:val="24"/>
          <w:szCs w:val="24"/>
        </w:rPr>
      </w:pPr>
      <w:r w:rsidRPr="00F7227E">
        <w:rPr>
          <w:rFonts w:ascii="Times New Roman" w:hAnsi="Times New Roman"/>
          <w:sz w:val="24"/>
          <w:szCs w:val="24"/>
        </w:rPr>
        <w:t>(1) Sociálna poisťovňa je povinná informovať poistencov o:</w:t>
      </w:r>
    </w:p>
    <w:p w:rsidR="00C94543" w:rsidRPr="00F7227E" w:rsidP="00C94543">
      <w:pPr>
        <w:pStyle w:val="ListParagraph"/>
        <w:numPr>
          <w:numId w:val="41"/>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ich predpokladanom dôchodkovom veku a dátume jeho dosiahnutia,</w:t>
      </w:r>
    </w:p>
    <w:p w:rsidR="00C94543" w:rsidRPr="00F7227E" w:rsidP="00C94543">
      <w:pPr>
        <w:pStyle w:val="ListParagraph"/>
        <w:numPr>
          <w:numId w:val="41"/>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predpokladanej sume ich starobného dôchodku po dosiahnutí dôchodkového veku,</w:t>
      </w:r>
    </w:p>
    <w:p w:rsidR="00C94543" w:rsidRPr="00F7227E" w:rsidP="00C94543">
      <w:pPr>
        <w:pStyle w:val="ListParagraph"/>
        <w:numPr>
          <w:numId w:val="41"/>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predpokladanom počte rokov ich dôchodkového poistenia do dňa dosiahnutia dôchodkového veku, vrátane minimálneho potrebného počtu rokov dôchodkového poistenia pre získanie nároku na starobný dôchodok podľa § 65,</w:t>
      </w:r>
    </w:p>
    <w:p w:rsidR="00C94543" w:rsidRPr="00F7227E" w:rsidP="00C94543">
      <w:pPr>
        <w:pStyle w:val="ListParagraph"/>
        <w:numPr>
          <w:numId w:val="41"/>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 xml:space="preserve">prepočítanom počte rokov ich dôchodkového poistenia do referenčného dňa podľa odseku </w:t>
      </w:r>
      <w:r w:rsidRPr="00F7227E" w:rsidR="001E3F33">
        <w:rPr>
          <w:rFonts w:ascii="Times New Roman" w:hAnsi="Times New Roman"/>
          <w:sz w:val="24"/>
          <w:szCs w:val="24"/>
        </w:rPr>
        <w:t>5</w:t>
      </w:r>
      <w:r w:rsidRPr="00F7227E">
        <w:rPr>
          <w:rFonts w:ascii="Times New Roman" w:hAnsi="Times New Roman"/>
          <w:sz w:val="24"/>
          <w:szCs w:val="24"/>
        </w:rPr>
        <w:t>,</w:t>
      </w:r>
    </w:p>
    <w:p w:rsidR="00C94543" w:rsidRPr="00F7227E" w:rsidP="00C94543">
      <w:pPr>
        <w:pStyle w:val="ListParagraph"/>
        <w:numPr>
          <w:numId w:val="41"/>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ich predpokladanom priemernom osobnom mzdovom bode v deň dosiahnutia ich dôchodkového veku,</w:t>
      </w:r>
    </w:p>
    <w:p w:rsidR="00C94543" w:rsidRPr="00F7227E" w:rsidP="00C94543">
      <w:pPr>
        <w:pStyle w:val="ListParagraph"/>
        <w:numPr>
          <w:numId w:val="41"/>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predpokladanej aktuálnej dôchodková hodnote v deň dosiahnutia ich dôchodkového veku,</w:t>
      </w:r>
    </w:p>
    <w:p w:rsidR="00C94543" w:rsidRPr="00F7227E" w:rsidP="00C94543">
      <w:pPr>
        <w:pStyle w:val="ListParagraph"/>
        <w:numPr>
          <w:numId w:val="41"/>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vzorci pre výpočet sumy starobného dôchodku podľa § 66 ods. 1 a 2 a predčasného starobného dôchodku podľa § 66 ods. 1,</w:t>
      </w:r>
    </w:p>
    <w:p w:rsidR="00C94543" w:rsidRPr="00F7227E" w:rsidP="00C94543">
      <w:pPr>
        <w:pStyle w:val="ListParagraph"/>
        <w:numPr>
          <w:numId w:val="41"/>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 xml:space="preserve">predpokladoch podľa odsekov 2 až </w:t>
      </w:r>
      <w:r w:rsidRPr="00F7227E" w:rsidR="001E3F33">
        <w:rPr>
          <w:rFonts w:ascii="Times New Roman" w:hAnsi="Times New Roman"/>
          <w:sz w:val="24"/>
          <w:szCs w:val="24"/>
        </w:rPr>
        <w:t>4</w:t>
      </w:r>
      <w:r w:rsidRPr="00F7227E">
        <w:rPr>
          <w:rFonts w:ascii="Times New Roman" w:hAnsi="Times New Roman"/>
          <w:sz w:val="24"/>
          <w:szCs w:val="24"/>
        </w:rPr>
        <w:t xml:space="preserve"> a</w:t>
      </w:r>
    </w:p>
    <w:p w:rsidR="00C94543" w:rsidRPr="00F7227E" w:rsidP="00C94543">
      <w:pPr>
        <w:pStyle w:val="ListParagraph"/>
        <w:numPr>
          <w:numId w:val="41"/>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možnostiach elektronického prístupu k údajom podľa písmen a) až h).</w:t>
      </w:r>
    </w:p>
    <w:p w:rsidR="00C94543" w:rsidRPr="00F7227E" w:rsidP="00C94543">
      <w:pPr>
        <w:bidi w:val="0"/>
        <w:rPr>
          <w:rFonts w:ascii="Times New Roman" w:hAnsi="Times New Roman"/>
          <w:sz w:val="24"/>
          <w:szCs w:val="24"/>
        </w:rPr>
      </w:pPr>
      <w:r w:rsidRPr="00F7227E">
        <w:rPr>
          <w:rFonts w:ascii="Times New Roman" w:hAnsi="Times New Roman"/>
          <w:sz w:val="24"/>
          <w:szCs w:val="24"/>
        </w:rPr>
        <w:t>(2) Na účely výpočtu predpokladanej sumy starobného dôchodku poistenca sa predpokladá:</w:t>
      </w:r>
    </w:p>
    <w:p w:rsidR="00C94543" w:rsidRPr="00F7227E" w:rsidP="001E3F33">
      <w:pPr>
        <w:pStyle w:val="ListParagraph"/>
        <w:numPr>
          <w:numId w:val="42"/>
        </w:numPr>
        <w:bidi w:val="0"/>
        <w:spacing w:after="160" w:line="259" w:lineRule="auto"/>
        <w:ind w:left="714" w:hanging="357"/>
        <w:contextualSpacing w:val="0"/>
        <w:jc w:val="both"/>
        <w:rPr>
          <w:rFonts w:ascii="Times New Roman" w:hAnsi="Times New Roman"/>
          <w:sz w:val="24"/>
          <w:szCs w:val="24"/>
        </w:rPr>
      </w:pPr>
      <w:r w:rsidRPr="00F7227E">
        <w:rPr>
          <w:rFonts w:ascii="Times New Roman" w:hAnsi="Times New Roman"/>
          <w:sz w:val="24"/>
          <w:szCs w:val="24"/>
        </w:rPr>
        <w:t>osobný mzdový bod za každý rok od roku nasledujúceho po najnovšom roku, za ktorý je osobný mzdový bod známy, po rok dosiahnutia dôchodkového veku na úrovni priemeru jeho osobných mzdových bodov za päť najnovších rokov, za ktoré je známy a</w:t>
      </w:r>
    </w:p>
    <w:p w:rsidR="00C94543" w:rsidRPr="00F7227E" w:rsidP="001E3F33">
      <w:pPr>
        <w:pStyle w:val="ListParagraph"/>
        <w:numPr>
          <w:numId w:val="42"/>
        </w:numPr>
        <w:bidi w:val="0"/>
        <w:spacing w:after="160" w:line="259" w:lineRule="auto"/>
        <w:ind w:left="714" w:hanging="357"/>
        <w:contextualSpacing w:val="0"/>
        <w:jc w:val="both"/>
        <w:rPr>
          <w:rFonts w:ascii="Times New Roman" w:hAnsi="Times New Roman"/>
          <w:sz w:val="24"/>
          <w:szCs w:val="24"/>
        </w:rPr>
      </w:pPr>
      <w:r w:rsidRPr="00F7227E">
        <w:rPr>
          <w:rFonts w:ascii="Times New Roman" w:hAnsi="Times New Roman"/>
          <w:sz w:val="24"/>
          <w:szCs w:val="24"/>
        </w:rPr>
        <w:t xml:space="preserve">osobný mzdový bod za každý rok dôchodkového poistenia do referenčného dňa podľa odseku </w:t>
      </w:r>
      <w:r w:rsidRPr="00F7227E" w:rsidR="001E3F33">
        <w:rPr>
          <w:rFonts w:ascii="Times New Roman" w:hAnsi="Times New Roman"/>
          <w:sz w:val="24"/>
          <w:szCs w:val="24"/>
        </w:rPr>
        <w:t>5</w:t>
      </w:r>
      <w:r w:rsidRPr="00F7227E">
        <w:rPr>
          <w:rFonts w:ascii="Times New Roman" w:hAnsi="Times New Roman"/>
          <w:sz w:val="24"/>
          <w:szCs w:val="24"/>
        </w:rPr>
        <w:t>, za ktorý nie je známy, na úrovni priemeru jeho osobných mzdových bodov za všetky roky, za ktoré je známy.</w:t>
      </w:r>
    </w:p>
    <w:p w:rsidR="00C94543" w:rsidRPr="00F7227E" w:rsidP="00C94543">
      <w:pPr>
        <w:bidi w:val="0"/>
        <w:jc w:val="both"/>
        <w:rPr>
          <w:rFonts w:ascii="Times New Roman" w:hAnsi="Times New Roman"/>
          <w:sz w:val="24"/>
          <w:szCs w:val="24"/>
        </w:rPr>
      </w:pPr>
      <w:r w:rsidRPr="00F7227E">
        <w:rPr>
          <w:rFonts w:ascii="Times New Roman" w:hAnsi="Times New Roman"/>
          <w:sz w:val="24"/>
          <w:szCs w:val="24"/>
        </w:rPr>
        <w:t>(3) Ak</w:t>
      </w:r>
      <w:r w:rsidRPr="00F7227E" w:rsidR="00AB3AA6">
        <w:rPr>
          <w:rFonts w:ascii="Times New Roman" w:hAnsi="Times New Roman"/>
          <w:sz w:val="24"/>
          <w:szCs w:val="24"/>
        </w:rPr>
        <w:t xml:space="preserve"> je</w:t>
      </w:r>
      <w:r w:rsidRPr="00F7227E">
        <w:rPr>
          <w:rFonts w:ascii="Times New Roman" w:hAnsi="Times New Roman"/>
          <w:sz w:val="24"/>
          <w:szCs w:val="24"/>
        </w:rPr>
        <w:t xml:space="preserve"> </w:t>
      </w:r>
      <w:r w:rsidRPr="00F7227E" w:rsidR="00AB3AA6">
        <w:rPr>
          <w:rFonts w:ascii="Times New Roman" w:hAnsi="Times New Roman"/>
          <w:sz w:val="24"/>
          <w:szCs w:val="24"/>
        </w:rPr>
        <w:t>poistenec sporiteľom podľa osobitného predpisu</w:t>
      </w:r>
      <w:r w:rsidRPr="00F7227E" w:rsidR="00AB3AA6">
        <w:rPr>
          <w:rFonts w:ascii="Times New Roman" w:hAnsi="Times New Roman"/>
          <w:i/>
          <w:sz w:val="24"/>
          <w:szCs w:val="24"/>
          <w:vertAlign w:val="superscript"/>
        </w:rPr>
        <w:t>1)</w:t>
      </w:r>
      <w:r w:rsidRPr="00F7227E" w:rsidR="00AB3AA6">
        <w:rPr>
          <w:rFonts w:ascii="Times New Roman" w:hAnsi="Times New Roman"/>
          <w:sz w:val="24"/>
          <w:szCs w:val="24"/>
        </w:rPr>
        <w:t xml:space="preserve"> alebo ak </w:t>
      </w:r>
      <w:r w:rsidRPr="00F7227E">
        <w:rPr>
          <w:rFonts w:ascii="Times New Roman" w:hAnsi="Times New Roman"/>
          <w:sz w:val="24"/>
          <w:szCs w:val="24"/>
        </w:rPr>
        <w:t>nie je poistenec sporiteľom podľa osobitného predpisu</w:t>
      </w:r>
      <w:r w:rsidRPr="00F7227E">
        <w:rPr>
          <w:rFonts w:ascii="Times New Roman" w:hAnsi="Times New Roman"/>
          <w:i/>
          <w:sz w:val="24"/>
          <w:szCs w:val="24"/>
          <w:vertAlign w:val="superscript"/>
        </w:rPr>
        <w:t>1)</w:t>
      </w:r>
      <w:r w:rsidRPr="00F7227E">
        <w:rPr>
          <w:rFonts w:ascii="Times New Roman" w:hAnsi="Times New Roman"/>
          <w:sz w:val="24"/>
          <w:szCs w:val="24"/>
        </w:rPr>
        <w:t xml:space="preserve"> a môže </w:t>
      </w:r>
      <w:bookmarkStart w:id="0" w:name="_Hlk521661268"/>
      <w:r w:rsidRPr="00F7227E">
        <w:rPr>
          <w:rFonts w:ascii="Times New Roman" w:hAnsi="Times New Roman"/>
          <w:sz w:val="24"/>
          <w:szCs w:val="24"/>
        </w:rPr>
        <w:t xml:space="preserve">s dôchodkovou správcovskou spoločnosťou uzavrieť zmluvu o starobnom dôchodkovom sporení, </w:t>
      </w:r>
      <w:bookmarkEnd w:id="0"/>
      <w:r w:rsidRPr="00F7227E">
        <w:rPr>
          <w:rFonts w:ascii="Times New Roman" w:hAnsi="Times New Roman"/>
          <w:sz w:val="24"/>
          <w:szCs w:val="24"/>
        </w:rPr>
        <w:t xml:space="preserve">Sociálna poisťovňa informuje poistenca o dvoch možných výškach doživotného starobného dôchodku, pričom v oboch prípadoch sa ako očakávaný budúci ročný výnos v príslušnom </w:t>
      </w:r>
      <w:r w:rsidRPr="00F7227E" w:rsidR="00065CD9">
        <w:rPr>
          <w:rFonts w:ascii="Times New Roman" w:hAnsi="Times New Roman"/>
          <w:sz w:val="24"/>
          <w:szCs w:val="24"/>
        </w:rPr>
        <w:t xml:space="preserve">dôchodkovom </w:t>
      </w:r>
      <w:r w:rsidRPr="00F7227E">
        <w:rPr>
          <w:rFonts w:ascii="Times New Roman" w:hAnsi="Times New Roman"/>
          <w:sz w:val="24"/>
          <w:szCs w:val="24"/>
        </w:rPr>
        <w:t xml:space="preserve">fonde použije priemerný ročný výnos príslušného </w:t>
      </w:r>
      <w:r w:rsidRPr="00F7227E" w:rsidR="00AB3AA6">
        <w:rPr>
          <w:rFonts w:ascii="Times New Roman" w:hAnsi="Times New Roman"/>
          <w:sz w:val="24"/>
          <w:szCs w:val="24"/>
        </w:rPr>
        <w:t xml:space="preserve">dôchodkového fondu </w:t>
      </w:r>
      <w:r w:rsidRPr="00F7227E">
        <w:rPr>
          <w:rFonts w:ascii="Times New Roman" w:hAnsi="Times New Roman"/>
          <w:sz w:val="24"/>
          <w:szCs w:val="24"/>
        </w:rPr>
        <w:t xml:space="preserve">vo všetkých dôchodkových správcovských spoločnostiach </w:t>
      </w:r>
      <w:r w:rsidRPr="00F7227E" w:rsidR="00AB3AA6">
        <w:rPr>
          <w:rFonts w:ascii="Times New Roman" w:hAnsi="Times New Roman"/>
          <w:sz w:val="24"/>
          <w:szCs w:val="24"/>
        </w:rPr>
        <w:t xml:space="preserve">počas celého obdobia existencie týchto dôchodkových fondov po deň predchádzajúci </w:t>
      </w:r>
      <w:r w:rsidRPr="00F7227E">
        <w:rPr>
          <w:rFonts w:ascii="Times New Roman" w:hAnsi="Times New Roman"/>
          <w:sz w:val="24"/>
          <w:szCs w:val="24"/>
        </w:rPr>
        <w:t>referenčnému dňu:</w:t>
      </w:r>
    </w:p>
    <w:p w:rsidR="00C94543" w:rsidRPr="00F7227E" w:rsidP="00C94543">
      <w:pPr>
        <w:pStyle w:val="ListParagraph"/>
        <w:numPr>
          <w:numId w:val="44"/>
        </w:numPr>
        <w:bidi w:val="0"/>
        <w:spacing w:after="160" w:line="259" w:lineRule="auto"/>
        <w:ind w:left="714" w:hanging="357"/>
        <w:contextualSpacing w:val="0"/>
        <w:jc w:val="both"/>
        <w:rPr>
          <w:rFonts w:ascii="Times New Roman" w:hAnsi="Times New Roman"/>
          <w:sz w:val="24"/>
          <w:szCs w:val="24"/>
        </w:rPr>
      </w:pPr>
      <w:r w:rsidRPr="00F7227E" w:rsidR="00316BCA">
        <w:rPr>
          <w:rFonts w:ascii="Times New Roman" w:hAnsi="Times New Roman"/>
          <w:sz w:val="24"/>
          <w:szCs w:val="24"/>
        </w:rPr>
        <w:t xml:space="preserve">v prvej možnej výške doživotného starobného dôchodku </w:t>
      </w:r>
      <w:r w:rsidRPr="00F7227E">
        <w:rPr>
          <w:rFonts w:ascii="Times New Roman" w:hAnsi="Times New Roman"/>
          <w:sz w:val="24"/>
          <w:szCs w:val="24"/>
        </w:rPr>
        <w:t xml:space="preserve">od referenčného dňa podľa odseku </w:t>
      </w:r>
      <w:r w:rsidRPr="00F7227E" w:rsidR="001E3F33">
        <w:rPr>
          <w:rFonts w:ascii="Times New Roman" w:hAnsi="Times New Roman"/>
          <w:sz w:val="24"/>
          <w:szCs w:val="24"/>
        </w:rPr>
        <w:t>5</w:t>
      </w:r>
      <w:r w:rsidRPr="00F7227E">
        <w:rPr>
          <w:rFonts w:ascii="Times New Roman" w:hAnsi="Times New Roman"/>
          <w:sz w:val="24"/>
          <w:szCs w:val="24"/>
        </w:rPr>
        <w:t xml:space="preserve"> má v dlhopisovom garantovanom </w:t>
      </w:r>
      <w:r w:rsidRPr="00F7227E" w:rsidR="00065CD9">
        <w:rPr>
          <w:rFonts w:ascii="Times New Roman" w:hAnsi="Times New Roman"/>
          <w:sz w:val="24"/>
          <w:szCs w:val="24"/>
        </w:rPr>
        <w:t xml:space="preserve">dôchodkovom </w:t>
      </w:r>
      <w:r w:rsidRPr="00F7227E">
        <w:rPr>
          <w:rFonts w:ascii="Times New Roman" w:hAnsi="Times New Roman"/>
          <w:sz w:val="24"/>
          <w:szCs w:val="24"/>
        </w:rPr>
        <w:t>fonde najmenší možný podiel čistej hodnoty svojho majetku určený podľa osobitného predpisu</w:t>
      </w:r>
      <w:r w:rsidRPr="00F7227E">
        <w:rPr>
          <w:rFonts w:ascii="Times New Roman" w:hAnsi="Times New Roman"/>
          <w:sz w:val="24"/>
          <w:szCs w:val="24"/>
          <w:vertAlign w:val="superscript"/>
        </w:rPr>
        <w:t>100al</w:t>
      </w:r>
      <w:r w:rsidRPr="00F7227E">
        <w:rPr>
          <w:rFonts w:ascii="Times New Roman" w:hAnsi="Times New Roman"/>
          <w:sz w:val="24"/>
          <w:szCs w:val="24"/>
        </w:rPr>
        <w:t xml:space="preserve">), v  akciovom </w:t>
      </w:r>
      <w:r w:rsidRPr="00F7227E" w:rsidR="004C455B">
        <w:rPr>
          <w:rFonts w:ascii="Times New Roman" w:hAnsi="Times New Roman"/>
          <w:sz w:val="24"/>
          <w:szCs w:val="24"/>
        </w:rPr>
        <w:t xml:space="preserve">negarantovanom </w:t>
      </w:r>
      <w:r w:rsidRPr="00F7227E" w:rsidR="00316BCA">
        <w:rPr>
          <w:rFonts w:ascii="Times New Roman" w:hAnsi="Times New Roman"/>
          <w:sz w:val="24"/>
          <w:szCs w:val="24"/>
        </w:rPr>
        <w:t xml:space="preserve">dôchodkovom </w:t>
      </w:r>
      <w:r w:rsidRPr="00F7227E">
        <w:rPr>
          <w:rFonts w:ascii="Times New Roman" w:hAnsi="Times New Roman"/>
          <w:sz w:val="24"/>
          <w:szCs w:val="24"/>
        </w:rPr>
        <w:t>fonde má najväčší možný podiel čistej hodnoty svojho majetku</w:t>
      </w:r>
      <w:r w:rsidRPr="00F7227E">
        <w:rPr>
          <w:rFonts w:ascii="Times New Roman" w:hAnsi="Times New Roman"/>
          <w:i/>
          <w:sz w:val="24"/>
          <w:szCs w:val="24"/>
        </w:rPr>
        <w:t xml:space="preserve"> </w:t>
      </w:r>
      <w:r w:rsidRPr="00F7227E">
        <w:rPr>
          <w:rFonts w:ascii="Times New Roman" w:hAnsi="Times New Roman"/>
          <w:sz w:val="24"/>
          <w:szCs w:val="24"/>
        </w:rPr>
        <w:t>a dňom dosiahnutia dôchodkového veku uzatvorí zmluvu o poistení dôchodku, na základe ktorej mu poistiteľ vypláca doživotný starobný dôchodok a</w:t>
      </w:r>
    </w:p>
    <w:p w:rsidR="00C94543" w:rsidRPr="00F7227E" w:rsidP="00C94543">
      <w:pPr>
        <w:pStyle w:val="ListParagraph"/>
        <w:numPr>
          <w:numId w:val="44"/>
        </w:numPr>
        <w:bidi w:val="0"/>
        <w:spacing w:after="160" w:line="259" w:lineRule="auto"/>
        <w:ind w:left="714" w:hanging="357"/>
        <w:contextualSpacing w:val="0"/>
        <w:jc w:val="both"/>
        <w:rPr>
          <w:rFonts w:ascii="Times New Roman" w:hAnsi="Times New Roman"/>
          <w:sz w:val="24"/>
          <w:szCs w:val="24"/>
        </w:rPr>
      </w:pPr>
      <w:r w:rsidRPr="00F7227E" w:rsidR="00316BCA">
        <w:rPr>
          <w:rFonts w:ascii="Times New Roman" w:hAnsi="Times New Roman"/>
          <w:sz w:val="24"/>
          <w:szCs w:val="24"/>
        </w:rPr>
        <w:t xml:space="preserve">v druhej  možnej výške doživotného starobného dôchodku </w:t>
      </w:r>
      <w:r w:rsidRPr="00F7227E">
        <w:rPr>
          <w:rFonts w:ascii="Times New Roman" w:hAnsi="Times New Roman"/>
          <w:sz w:val="24"/>
          <w:szCs w:val="24"/>
        </w:rPr>
        <w:t xml:space="preserve">od referenčného dňa podľa odseku </w:t>
      </w:r>
      <w:r w:rsidRPr="00F7227E" w:rsidR="001E3F33">
        <w:rPr>
          <w:rFonts w:ascii="Times New Roman" w:hAnsi="Times New Roman"/>
          <w:sz w:val="24"/>
          <w:szCs w:val="24"/>
        </w:rPr>
        <w:t>5</w:t>
      </w:r>
      <w:r w:rsidRPr="00F7227E">
        <w:rPr>
          <w:rFonts w:ascii="Times New Roman" w:hAnsi="Times New Roman"/>
          <w:sz w:val="24"/>
          <w:szCs w:val="24"/>
        </w:rPr>
        <w:t xml:space="preserve"> má v dlhopisovom garantovanom </w:t>
      </w:r>
      <w:r w:rsidRPr="00F7227E" w:rsidR="00065CD9">
        <w:rPr>
          <w:rFonts w:ascii="Times New Roman" w:hAnsi="Times New Roman"/>
          <w:sz w:val="24"/>
          <w:szCs w:val="24"/>
        </w:rPr>
        <w:t xml:space="preserve">dôchodkovom </w:t>
      </w:r>
      <w:r w:rsidRPr="00F7227E">
        <w:rPr>
          <w:rFonts w:ascii="Times New Roman" w:hAnsi="Times New Roman"/>
          <w:sz w:val="24"/>
          <w:szCs w:val="24"/>
        </w:rPr>
        <w:t>fonde 100 % čistej hodnoty svojho majetku</w:t>
      </w:r>
      <w:r w:rsidRPr="00F7227E">
        <w:rPr>
          <w:rFonts w:ascii="Times New Roman" w:hAnsi="Times New Roman"/>
          <w:i/>
          <w:sz w:val="24"/>
          <w:szCs w:val="24"/>
        </w:rPr>
        <w:t xml:space="preserve"> </w:t>
      </w:r>
      <w:r w:rsidRPr="00F7227E">
        <w:rPr>
          <w:rFonts w:ascii="Times New Roman" w:hAnsi="Times New Roman"/>
          <w:sz w:val="24"/>
          <w:szCs w:val="24"/>
        </w:rPr>
        <w:t>a dňom dosiahnutia dôchodkového veku uzatvorí zmluvu o poistení dôchodku, na základe ktorej mu poistiteľ vypláca doživotný starobný dôchodok.</w:t>
      </w:r>
    </w:p>
    <w:p w:rsidR="00C94543" w:rsidRPr="00F7227E" w:rsidP="00C94543">
      <w:pPr>
        <w:bidi w:val="0"/>
        <w:jc w:val="both"/>
        <w:rPr>
          <w:rFonts w:ascii="Times New Roman" w:hAnsi="Times New Roman"/>
          <w:sz w:val="24"/>
          <w:szCs w:val="24"/>
        </w:rPr>
      </w:pPr>
      <w:r w:rsidRPr="00F7227E">
        <w:rPr>
          <w:rFonts w:ascii="Times New Roman" w:hAnsi="Times New Roman"/>
          <w:sz w:val="24"/>
          <w:szCs w:val="24"/>
        </w:rPr>
        <w:t>(</w:t>
      </w:r>
      <w:r w:rsidRPr="00F7227E" w:rsidR="00AB3AA6">
        <w:rPr>
          <w:rFonts w:ascii="Times New Roman" w:hAnsi="Times New Roman"/>
          <w:sz w:val="24"/>
          <w:szCs w:val="24"/>
        </w:rPr>
        <w:t>4</w:t>
      </w:r>
      <w:r w:rsidRPr="00F7227E">
        <w:rPr>
          <w:rFonts w:ascii="Times New Roman" w:hAnsi="Times New Roman"/>
          <w:sz w:val="24"/>
          <w:szCs w:val="24"/>
        </w:rPr>
        <w:t>) Ak nie je poistenec sporiteľom podľa osobitného predpisu</w:t>
      </w:r>
      <w:r w:rsidRPr="00F7227E">
        <w:rPr>
          <w:rFonts w:ascii="Times New Roman" w:hAnsi="Times New Roman"/>
          <w:i/>
          <w:sz w:val="24"/>
          <w:szCs w:val="24"/>
          <w:vertAlign w:val="superscript"/>
        </w:rPr>
        <w:t>1</w:t>
      </w:r>
      <w:r w:rsidRPr="00F7227E">
        <w:rPr>
          <w:rFonts w:ascii="Times New Roman" w:hAnsi="Times New Roman"/>
          <w:i/>
          <w:sz w:val="24"/>
          <w:szCs w:val="24"/>
        </w:rPr>
        <w:t>)</w:t>
      </w:r>
      <w:r w:rsidRPr="00F7227E">
        <w:rPr>
          <w:rFonts w:ascii="Times New Roman" w:hAnsi="Times New Roman"/>
          <w:sz w:val="24"/>
          <w:szCs w:val="24"/>
        </w:rPr>
        <w:t xml:space="preserve"> a nemôže s dôchodkovou správcovskou spoločnosťou uzavrieť zmluvu o starobnom dôchodkovom sporení, Sociálna poisťovňa informuje poistenca </w:t>
      </w:r>
      <w:bookmarkStart w:id="1" w:name="_Hlk521661369"/>
      <w:r w:rsidRPr="00F7227E">
        <w:rPr>
          <w:rFonts w:ascii="Times New Roman" w:hAnsi="Times New Roman"/>
          <w:sz w:val="24"/>
          <w:szCs w:val="24"/>
        </w:rPr>
        <w:t xml:space="preserve">o predpokladanej sume starobného dôchodku </w:t>
      </w:r>
      <w:r w:rsidRPr="00F7227E" w:rsidR="001E3F33">
        <w:rPr>
          <w:rFonts w:ascii="Times New Roman" w:hAnsi="Times New Roman"/>
          <w:sz w:val="24"/>
          <w:szCs w:val="24"/>
        </w:rPr>
        <w:t xml:space="preserve">len </w:t>
      </w:r>
      <w:r w:rsidRPr="00F7227E">
        <w:rPr>
          <w:rFonts w:ascii="Times New Roman" w:hAnsi="Times New Roman"/>
          <w:sz w:val="24"/>
          <w:szCs w:val="24"/>
        </w:rPr>
        <w:t>podľa § 66.</w:t>
      </w:r>
    </w:p>
    <w:p w:rsidR="00C94543" w:rsidRPr="00F7227E" w:rsidP="00C94543">
      <w:pPr>
        <w:bidi w:val="0"/>
        <w:jc w:val="both"/>
        <w:rPr>
          <w:rFonts w:ascii="Times New Roman" w:hAnsi="Times New Roman"/>
          <w:sz w:val="24"/>
          <w:szCs w:val="24"/>
        </w:rPr>
      </w:pPr>
      <w:bookmarkEnd w:id="1"/>
      <w:r w:rsidRPr="00F7227E">
        <w:rPr>
          <w:rFonts w:ascii="Times New Roman" w:hAnsi="Times New Roman"/>
          <w:sz w:val="24"/>
          <w:szCs w:val="24"/>
        </w:rPr>
        <w:t>(</w:t>
      </w:r>
      <w:r w:rsidRPr="00F7227E" w:rsidR="00AB3AA6">
        <w:rPr>
          <w:rFonts w:ascii="Times New Roman" w:hAnsi="Times New Roman"/>
          <w:sz w:val="24"/>
          <w:szCs w:val="24"/>
        </w:rPr>
        <w:t>5</w:t>
      </w:r>
      <w:r w:rsidRPr="00F7227E">
        <w:rPr>
          <w:rFonts w:ascii="Times New Roman" w:hAnsi="Times New Roman"/>
          <w:sz w:val="24"/>
          <w:szCs w:val="24"/>
        </w:rPr>
        <w:t xml:space="preserve">) Sociálna poisťovňa </w:t>
      </w:r>
      <w:r w:rsidRPr="00F7227E" w:rsidR="001E3F33">
        <w:rPr>
          <w:rFonts w:ascii="Times New Roman" w:hAnsi="Times New Roman"/>
          <w:sz w:val="24"/>
          <w:szCs w:val="24"/>
        </w:rPr>
        <w:t>zasiela</w:t>
      </w:r>
      <w:r w:rsidRPr="00F7227E">
        <w:rPr>
          <w:rFonts w:ascii="Times New Roman" w:hAnsi="Times New Roman"/>
          <w:sz w:val="24"/>
          <w:szCs w:val="24"/>
        </w:rPr>
        <w:t xml:space="preserve"> informácie z odseku 1 raz ročne, najneskôr do 30 júna, písomne na adresu trvalého pobytu poistencov, pričom referenčný deň, ku ktorému sa vzťahujú údaje z odseku 1, je 1. január príslušného roku. </w:t>
      </w:r>
    </w:p>
    <w:p w:rsidR="00C94543" w:rsidRPr="00F7227E" w:rsidP="00C94543">
      <w:pPr>
        <w:bidi w:val="0"/>
        <w:rPr>
          <w:rFonts w:ascii="Times New Roman" w:hAnsi="Times New Roman"/>
          <w:sz w:val="24"/>
          <w:szCs w:val="24"/>
        </w:rPr>
      </w:pPr>
      <w:r w:rsidRPr="00F7227E">
        <w:rPr>
          <w:rFonts w:ascii="Times New Roman" w:hAnsi="Times New Roman"/>
          <w:sz w:val="24"/>
          <w:szCs w:val="24"/>
        </w:rPr>
        <w:t>(</w:t>
      </w:r>
      <w:r w:rsidRPr="00F7227E" w:rsidR="00AB3AA6">
        <w:rPr>
          <w:rFonts w:ascii="Times New Roman" w:hAnsi="Times New Roman"/>
          <w:sz w:val="24"/>
          <w:szCs w:val="24"/>
        </w:rPr>
        <w:t>6</w:t>
      </w:r>
      <w:r w:rsidRPr="00F7227E">
        <w:rPr>
          <w:rFonts w:ascii="Times New Roman" w:hAnsi="Times New Roman"/>
          <w:sz w:val="24"/>
          <w:szCs w:val="24"/>
        </w:rPr>
        <w:t xml:space="preserve">) Sociálna poisťovňa </w:t>
      </w:r>
      <w:r w:rsidRPr="00F7227E" w:rsidR="001E3F33">
        <w:rPr>
          <w:rFonts w:ascii="Times New Roman" w:hAnsi="Times New Roman"/>
          <w:sz w:val="24"/>
          <w:szCs w:val="24"/>
        </w:rPr>
        <w:t>za</w:t>
      </w:r>
      <w:r w:rsidRPr="00F7227E">
        <w:rPr>
          <w:rFonts w:ascii="Times New Roman" w:hAnsi="Times New Roman"/>
          <w:sz w:val="24"/>
          <w:szCs w:val="24"/>
        </w:rPr>
        <w:t>siela informácie podľa odseku 1</w:t>
      </w:r>
    </w:p>
    <w:p w:rsidR="00C94543" w:rsidRPr="00F7227E" w:rsidP="00C94543">
      <w:pPr>
        <w:pStyle w:val="ListParagraph"/>
        <w:numPr>
          <w:numId w:val="45"/>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poistencom, ktorých vek zaokrúhlený na celé roky je v referenčný deň o </w:t>
      </w:r>
      <w:r w:rsidRPr="00F7227E" w:rsidR="00C97B10">
        <w:rPr>
          <w:rFonts w:ascii="Times New Roman" w:hAnsi="Times New Roman"/>
          <w:sz w:val="24"/>
          <w:szCs w:val="24"/>
        </w:rPr>
        <w:t>päť</w:t>
      </w:r>
      <w:r w:rsidRPr="00F7227E">
        <w:rPr>
          <w:rFonts w:ascii="Times New Roman" w:hAnsi="Times New Roman"/>
          <w:sz w:val="24"/>
          <w:szCs w:val="24"/>
        </w:rPr>
        <w:t xml:space="preserve"> rokov nižší ako ich predpokladaný dôchodkový vek zaokrúhlený na celé roky a</w:t>
      </w:r>
    </w:p>
    <w:p w:rsidR="00C94543" w:rsidRPr="00F7227E" w:rsidP="00C94543">
      <w:pPr>
        <w:pStyle w:val="ListParagraph"/>
        <w:numPr>
          <w:numId w:val="45"/>
        </w:numPr>
        <w:bidi w:val="0"/>
        <w:spacing w:after="160" w:line="259" w:lineRule="auto"/>
        <w:ind w:left="714" w:hanging="357"/>
        <w:contextualSpacing w:val="0"/>
        <w:rPr>
          <w:rFonts w:ascii="Times New Roman" w:hAnsi="Times New Roman"/>
          <w:sz w:val="24"/>
          <w:szCs w:val="24"/>
        </w:rPr>
      </w:pPr>
      <w:r w:rsidRPr="00F7227E">
        <w:rPr>
          <w:rFonts w:ascii="Times New Roman" w:hAnsi="Times New Roman"/>
          <w:sz w:val="24"/>
          <w:szCs w:val="24"/>
        </w:rPr>
        <w:t xml:space="preserve">poistencom, ktorí boli k referenčnému dňu dôchodkovo poistení najmenej </w:t>
      </w:r>
      <w:r w:rsidRPr="00F7227E" w:rsidR="00C97B10">
        <w:rPr>
          <w:rFonts w:ascii="Times New Roman" w:hAnsi="Times New Roman"/>
          <w:sz w:val="24"/>
          <w:szCs w:val="24"/>
        </w:rPr>
        <w:t>päť</w:t>
      </w:r>
      <w:r w:rsidRPr="00F7227E">
        <w:rPr>
          <w:rFonts w:ascii="Times New Roman" w:hAnsi="Times New Roman"/>
          <w:sz w:val="24"/>
          <w:szCs w:val="24"/>
        </w:rPr>
        <w:t xml:space="preserve"> a najviac </w:t>
      </w:r>
      <w:r w:rsidRPr="00F7227E" w:rsidR="00C97B10">
        <w:rPr>
          <w:rFonts w:ascii="Times New Roman" w:hAnsi="Times New Roman"/>
          <w:sz w:val="24"/>
          <w:szCs w:val="24"/>
        </w:rPr>
        <w:t>šesť</w:t>
      </w:r>
      <w:r w:rsidRPr="00F7227E">
        <w:rPr>
          <w:rFonts w:ascii="Times New Roman" w:hAnsi="Times New Roman"/>
          <w:sz w:val="24"/>
          <w:szCs w:val="24"/>
        </w:rPr>
        <w:t xml:space="preserve"> rokov.</w:t>
      </w:r>
    </w:p>
    <w:p w:rsidR="00C94543" w:rsidRPr="00F7227E" w:rsidP="00C94543">
      <w:pPr>
        <w:bidi w:val="0"/>
        <w:jc w:val="both"/>
        <w:rPr>
          <w:rFonts w:ascii="Times New Roman" w:hAnsi="Times New Roman"/>
          <w:sz w:val="24"/>
          <w:szCs w:val="24"/>
        </w:rPr>
      </w:pPr>
      <w:r w:rsidRPr="00F7227E">
        <w:rPr>
          <w:rFonts w:ascii="Times New Roman" w:hAnsi="Times New Roman"/>
          <w:sz w:val="24"/>
          <w:szCs w:val="24"/>
        </w:rPr>
        <w:t>(</w:t>
      </w:r>
      <w:r w:rsidRPr="00F7227E" w:rsidR="00AB3AA6">
        <w:rPr>
          <w:rFonts w:ascii="Times New Roman" w:hAnsi="Times New Roman"/>
          <w:sz w:val="24"/>
          <w:szCs w:val="24"/>
        </w:rPr>
        <w:t>7</w:t>
      </w:r>
      <w:r w:rsidRPr="00F7227E">
        <w:rPr>
          <w:rFonts w:ascii="Times New Roman" w:hAnsi="Times New Roman"/>
          <w:sz w:val="24"/>
          <w:szCs w:val="24"/>
        </w:rPr>
        <w:t xml:space="preserve">) Každému poistencovi, ktorého Sociálna poisťovňa v príslušnom roku písomne informuje podľa </w:t>
      </w:r>
      <w:r w:rsidRPr="00F7227E" w:rsidR="001E3F33">
        <w:rPr>
          <w:rFonts w:ascii="Times New Roman" w:hAnsi="Times New Roman"/>
          <w:sz w:val="24"/>
          <w:szCs w:val="24"/>
        </w:rPr>
        <w:t>odseku 6</w:t>
      </w:r>
      <w:r w:rsidRPr="00F7227E">
        <w:rPr>
          <w:rFonts w:ascii="Times New Roman" w:hAnsi="Times New Roman"/>
          <w:sz w:val="24"/>
          <w:szCs w:val="24"/>
        </w:rPr>
        <w:t>, do 30. júna príslušného roka vytvorí a sprístupní elektronický účet s informáciami podľa odseku 1.</w:t>
      </w:r>
    </w:p>
    <w:p w:rsidR="00C94543" w:rsidRPr="00F7227E" w:rsidP="00C94543">
      <w:pPr>
        <w:bidi w:val="0"/>
        <w:jc w:val="both"/>
        <w:rPr>
          <w:rFonts w:ascii="Times New Roman" w:hAnsi="Times New Roman"/>
          <w:sz w:val="24"/>
          <w:szCs w:val="24"/>
        </w:rPr>
      </w:pPr>
      <w:r w:rsidRPr="00F7227E">
        <w:rPr>
          <w:rFonts w:ascii="Times New Roman" w:hAnsi="Times New Roman"/>
          <w:sz w:val="24"/>
          <w:szCs w:val="24"/>
        </w:rPr>
        <w:t>(</w:t>
      </w:r>
      <w:r w:rsidRPr="00F7227E" w:rsidR="00AB3AA6">
        <w:rPr>
          <w:rFonts w:ascii="Times New Roman" w:hAnsi="Times New Roman"/>
          <w:sz w:val="24"/>
          <w:szCs w:val="24"/>
        </w:rPr>
        <w:t>8</w:t>
      </w:r>
      <w:r w:rsidRPr="00F7227E">
        <w:rPr>
          <w:rFonts w:ascii="Times New Roman" w:hAnsi="Times New Roman"/>
          <w:sz w:val="24"/>
          <w:szCs w:val="24"/>
        </w:rPr>
        <w:t xml:space="preserve">) Každému poistencovi, ktorému v minulosti Sociálna poisťovňa </w:t>
      </w:r>
      <w:r w:rsidRPr="00F7227E" w:rsidR="001E3F33">
        <w:rPr>
          <w:rFonts w:ascii="Times New Roman" w:hAnsi="Times New Roman"/>
          <w:sz w:val="24"/>
          <w:szCs w:val="24"/>
        </w:rPr>
        <w:t>za</w:t>
      </w:r>
      <w:r w:rsidRPr="00F7227E">
        <w:rPr>
          <w:rFonts w:ascii="Times New Roman" w:hAnsi="Times New Roman"/>
          <w:sz w:val="24"/>
          <w:szCs w:val="24"/>
        </w:rPr>
        <w:t xml:space="preserve">slala informácie podľa </w:t>
      </w:r>
      <w:r w:rsidRPr="00F7227E" w:rsidR="001E3F33">
        <w:rPr>
          <w:rFonts w:ascii="Times New Roman" w:hAnsi="Times New Roman"/>
          <w:sz w:val="24"/>
          <w:szCs w:val="24"/>
        </w:rPr>
        <w:t>odseku 6</w:t>
      </w:r>
      <w:r w:rsidRPr="00F7227E">
        <w:rPr>
          <w:rFonts w:ascii="Times New Roman" w:hAnsi="Times New Roman"/>
          <w:sz w:val="24"/>
          <w:szCs w:val="24"/>
        </w:rPr>
        <w:t xml:space="preserve"> a ktorý ešte nepoberá starobný dôchodok alebo predčasný starobný dôchodok, Sociálna poisťovňa každoročne aktualizuje údaje v elektronickom účte podľa odseku 1, vždy do 30. júna, pričom referenčný deň, ku ktorému sa údaje vzťahujú, je 1. január príslušného roku.“.</w:t>
      </w:r>
    </w:p>
    <w:p w:rsidR="00C94543" w:rsidRPr="00F7227E" w:rsidP="00C94543">
      <w:pPr>
        <w:bidi w:val="0"/>
        <w:rPr>
          <w:rFonts w:ascii="Times New Roman" w:hAnsi="Times New Roman"/>
          <w:sz w:val="24"/>
          <w:szCs w:val="24"/>
        </w:rPr>
      </w:pPr>
      <w:r w:rsidRPr="00F7227E">
        <w:rPr>
          <w:rFonts w:ascii="Times New Roman" w:hAnsi="Times New Roman"/>
          <w:sz w:val="24"/>
          <w:szCs w:val="24"/>
        </w:rPr>
        <w:t>Poznámka pod čiarou k odkazu 100al znie:</w:t>
      </w:r>
    </w:p>
    <w:p w:rsidR="00C94543" w:rsidRPr="00F7227E" w:rsidP="00C94543">
      <w:pPr>
        <w:pStyle w:val="FootnoteText"/>
        <w:bidi w:val="0"/>
        <w:jc w:val="both"/>
        <w:rPr>
          <w:rFonts w:ascii="Times New Roman" w:hAnsi="Times New Roman"/>
        </w:rPr>
      </w:pPr>
      <w:r w:rsidRPr="00F7227E">
        <w:rPr>
          <w:rFonts w:ascii="Times New Roman" w:hAnsi="Times New Roman"/>
          <w:sz w:val="24"/>
          <w:szCs w:val="24"/>
        </w:rPr>
        <w:t>„</w:t>
      </w:r>
      <w:r w:rsidRPr="00F7227E">
        <w:rPr>
          <w:rFonts w:ascii="Times New Roman" w:hAnsi="Times New Roman"/>
          <w:sz w:val="24"/>
          <w:szCs w:val="24"/>
          <w:vertAlign w:val="superscript"/>
        </w:rPr>
        <w:t>100al</w:t>
      </w:r>
      <w:r w:rsidRPr="00F7227E">
        <w:rPr>
          <w:rFonts w:ascii="Times New Roman" w:hAnsi="Times New Roman"/>
          <w:sz w:val="24"/>
          <w:szCs w:val="24"/>
        </w:rPr>
        <w:t>) § 92 zákona č. 43/2004 Z. z. v znení neskorších predpisov“.</w:t>
      </w:r>
    </w:p>
    <w:p w:rsidR="00C94543" w:rsidRPr="00F7227E" w:rsidP="00C94543">
      <w:pPr>
        <w:bidi w:val="0"/>
        <w:rPr>
          <w:rFonts w:ascii="Times New Roman" w:hAnsi="Times New Roman"/>
          <w:sz w:val="24"/>
          <w:szCs w:val="24"/>
        </w:rPr>
      </w:pPr>
    </w:p>
    <w:p w:rsidR="00C94543" w:rsidRPr="00F7227E" w:rsidP="00C94543">
      <w:pPr>
        <w:bidi w:val="0"/>
        <w:rPr>
          <w:rFonts w:ascii="Times New Roman" w:hAnsi="Times New Roman"/>
          <w:sz w:val="24"/>
          <w:szCs w:val="24"/>
        </w:rPr>
      </w:pPr>
      <w:r w:rsidRPr="00F7227E">
        <w:rPr>
          <w:rFonts w:ascii="Times New Roman" w:hAnsi="Times New Roman"/>
          <w:sz w:val="24"/>
          <w:szCs w:val="24"/>
        </w:rPr>
        <w:t>2. Za § 2</w:t>
      </w:r>
      <w:r w:rsidRPr="00F7227E" w:rsidR="00E202E1">
        <w:rPr>
          <w:rFonts w:ascii="Times New Roman" w:hAnsi="Times New Roman"/>
          <w:sz w:val="24"/>
          <w:szCs w:val="24"/>
        </w:rPr>
        <w:t>93ec</w:t>
      </w:r>
      <w:r w:rsidRPr="00F7227E">
        <w:rPr>
          <w:rFonts w:ascii="Times New Roman" w:hAnsi="Times New Roman"/>
          <w:sz w:val="24"/>
          <w:szCs w:val="24"/>
        </w:rPr>
        <w:t>b sa vkladá § 2</w:t>
      </w:r>
      <w:r w:rsidRPr="00F7227E" w:rsidR="00E202E1">
        <w:rPr>
          <w:rFonts w:ascii="Times New Roman" w:hAnsi="Times New Roman"/>
          <w:sz w:val="24"/>
          <w:szCs w:val="24"/>
        </w:rPr>
        <w:t>93ed</w:t>
      </w:r>
      <w:r w:rsidRPr="00F7227E">
        <w:rPr>
          <w:rFonts w:ascii="Times New Roman" w:hAnsi="Times New Roman"/>
          <w:sz w:val="24"/>
          <w:szCs w:val="24"/>
        </w:rPr>
        <w:t>, ktorý vrátane nadpisu znie:</w:t>
      </w:r>
    </w:p>
    <w:p w:rsidR="00C94543" w:rsidRPr="00F7227E" w:rsidP="00C94543">
      <w:pPr>
        <w:bidi w:val="0"/>
        <w:jc w:val="center"/>
        <w:rPr>
          <w:rFonts w:ascii="Times New Roman" w:hAnsi="Times New Roman"/>
          <w:b/>
          <w:sz w:val="24"/>
          <w:szCs w:val="24"/>
        </w:rPr>
      </w:pPr>
      <w:r w:rsidRPr="00F7227E">
        <w:rPr>
          <w:rFonts w:ascii="Times New Roman" w:hAnsi="Times New Roman"/>
          <w:sz w:val="24"/>
          <w:szCs w:val="24"/>
        </w:rPr>
        <w:t>„</w:t>
      </w:r>
      <w:r w:rsidRPr="00F7227E">
        <w:rPr>
          <w:rFonts w:ascii="Times New Roman" w:hAnsi="Times New Roman"/>
          <w:b/>
          <w:sz w:val="24"/>
          <w:szCs w:val="24"/>
        </w:rPr>
        <w:t>§ 2</w:t>
      </w:r>
      <w:r w:rsidRPr="00F7227E" w:rsidR="00E202E1">
        <w:rPr>
          <w:rFonts w:ascii="Times New Roman" w:hAnsi="Times New Roman"/>
          <w:b/>
          <w:sz w:val="24"/>
          <w:szCs w:val="24"/>
        </w:rPr>
        <w:t>93ed</w:t>
      </w:r>
      <w:r w:rsidRPr="00F7227E">
        <w:rPr>
          <w:rFonts w:ascii="Times New Roman" w:hAnsi="Times New Roman"/>
          <w:b/>
          <w:sz w:val="24"/>
          <w:szCs w:val="24"/>
        </w:rPr>
        <w:br/>
        <w:t>Prechodné ustanovenia k úpravám účinným od 1. januára 2020</w:t>
      </w:r>
    </w:p>
    <w:p w:rsidR="00C94543" w:rsidRPr="00F7227E" w:rsidP="00C94543">
      <w:pPr>
        <w:bidi w:val="0"/>
        <w:jc w:val="both"/>
        <w:rPr>
          <w:rFonts w:ascii="Times New Roman" w:hAnsi="Times New Roman"/>
          <w:sz w:val="24"/>
          <w:szCs w:val="24"/>
        </w:rPr>
      </w:pPr>
      <w:r w:rsidRPr="00F7227E">
        <w:rPr>
          <w:rFonts w:ascii="Times New Roman" w:hAnsi="Times New Roman"/>
          <w:sz w:val="24"/>
          <w:szCs w:val="24"/>
        </w:rPr>
        <w:t xml:space="preserve">Sociálna poisťovňa </w:t>
      </w:r>
      <w:r w:rsidRPr="00F7227E" w:rsidR="00E202E1">
        <w:rPr>
          <w:rFonts w:ascii="Times New Roman" w:hAnsi="Times New Roman"/>
          <w:sz w:val="24"/>
          <w:szCs w:val="24"/>
        </w:rPr>
        <w:t>za</w:t>
      </w:r>
      <w:r w:rsidRPr="00F7227E">
        <w:rPr>
          <w:rFonts w:ascii="Times New Roman" w:hAnsi="Times New Roman"/>
          <w:sz w:val="24"/>
          <w:szCs w:val="24"/>
        </w:rPr>
        <w:t>siela v roku 2020 informácie podľa § 226b odseku 1</w:t>
      </w:r>
    </w:p>
    <w:p w:rsidR="00C94543" w:rsidRPr="00F7227E" w:rsidP="00C94543">
      <w:pPr>
        <w:pStyle w:val="ListParagraph"/>
        <w:numPr>
          <w:numId w:val="46"/>
        </w:numPr>
        <w:bidi w:val="0"/>
        <w:spacing w:after="160" w:line="259" w:lineRule="auto"/>
        <w:contextualSpacing w:val="0"/>
        <w:jc w:val="both"/>
        <w:rPr>
          <w:rFonts w:ascii="Times New Roman" w:hAnsi="Times New Roman"/>
          <w:sz w:val="24"/>
          <w:szCs w:val="24"/>
        </w:rPr>
      </w:pPr>
      <w:r w:rsidRPr="00F7227E">
        <w:rPr>
          <w:rFonts w:ascii="Times New Roman" w:hAnsi="Times New Roman"/>
          <w:sz w:val="24"/>
          <w:szCs w:val="24"/>
        </w:rPr>
        <w:t>poistencom, ktorých vek zaokrúhlený na celé roky je v referenčný deň najviac o </w:t>
      </w:r>
      <w:r w:rsidRPr="00F7227E" w:rsidR="00E202E1">
        <w:rPr>
          <w:rFonts w:ascii="Times New Roman" w:hAnsi="Times New Roman"/>
          <w:sz w:val="24"/>
          <w:szCs w:val="24"/>
        </w:rPr>
        <w:t>päť</w:t>
      </w:r>
      <w:r w:rsidRPr="00F7227E">
        <w:rPr>
          <w:rFonts w:ascii="Times New Roman" w:hAnsi="Times New Roman"/>
          <w:sz w:val="24"/>
          <w:szCs w:val="24"/>
        </w:rPr>
        <w:t xml:space="preserve"> rokov nižší ako ich predpokladaný dôchodkový vek zaokrúhlený na celé roky a zároveň v deň odoslania informácie podľa </w:t>
      </w:r>
      <w:r w:rsidRPr="00F7227E" w:rsidR="00E202E1">
        <w:rPr>
          <w:rFonts w:ascii="Times New Roman" w:hAnsi="Times New Roman"/>
          <w:sz w:val="24"/>
          <w:szCs w:val="24"/>
        </w:rPr>
        <w:t xml:space="preserve">§ 226b </w:t>
      </w:r>
      <w:r w:rsidRPr="00F7227E">
        <w:rPr>
          <w:rFonts w:ascii="Times New Roman" w:hAnsi="Times New Roman"/>
          <w:sz w:val="24"/>
          <w:szCs w:val="24"/>
        </w:rPr>
        <w:t>ods</w:t>
      </w:r>
      <w:r w:rsidRPr="00F7227E" w:rsidR="00E202E1">
        <w:rPr>
          <w:rFonts w:ascii="Times New Roman" w:hAnsi="Times New Roman"/>
          <w:sz w:val="24"/>
          <w:szCs w:val="24"/>
        </w:rPr>
        <w:t>.</w:t>
      </w:r>
      <w:r w:rsidRPr="00F7227E">
        <w:rPr>
          <w:rFonts w:ascii="Times New Roman" w:hAnsi="Times New Roman"/>
          <w:sz w:val="24"/>
          <w:szCs w:val="24"/>
        </w:rPr>
        <w:t xml:space="preserve"> 6 nepoberali starobný dôchodok alebo predčasný starobný dôchodok a</w:t>
      </w:r>
    </w:p>
    <w:p w:rsidR="00C94543" w:rsidRPr="00F7227E" w:rsidP="00C94543">
      <w:pPr>
        <w:pStyle w:val="ListParagraph"/>
        <w:numPr>
          <w:numId w:val="46"/>
        </w:numPr>
        <w:bidi w:val="0"/>
        <w:spacing w:after="160" w:line="259" w:lineRule="auto"/>
        <w:contextualSpacing w:val="0"/>
        <w:jc w:val="both"/>
        <w:rPr>
          <w:rFonts w:ascii="Times New Roman" w:hAnsi="Times New Roman"/>
          <w:sz w:val="24"/>
          <w:szCs w:val="24"/>
        </w:rPr>
      </w:pPr>
      <w:r w:rsidRPr="00F7227E">
        <w:rPr>
          <w:rFonts w:ascii="Times New Roman" w:hAnsi="Times New Roman"/>
          <w:sz w:val="24"/>
          <w:szCs w:val="24"/>
        </w:rPr>
        <w:t xml:space="preserve">poistencom, ktorí boli k referenčnému dňu dôchodkovo poistení najmenej </w:t>
      </w:r>
      <w:r w:rsidRPr="00F7227E" w:rsidR="00E202E1">
        <w:rPr>
          <w:rFonts w:ascii="Times New Roman" w:hAnsi="Times New Roman"/>
          <w:sz w:val="24"/>
          <w:szCs w:val="24"/>
        </w:rPr>
        <w:t>päť</w:t>
      </w:r>
      <w:r w:rsidRPr="00F7227E">
        <w:rPr>
          <w:rFonts w:ascii="Times New Roman" w:hAnsi="Times New Roman"/>
          <w:sz w:val="24"/>
          <w:szCs w:val="24"/>
        </w:rPr>
        <w:t xml:space="preserve"> a najviac </w:t>
      </w:r>
      <w:r w:rsidRPr="00F7227E" w:rsidR="00E202E1">
        <w:rPr>
          <w:rFonts w:ascii="Times New Roman" w:hAnsi="Times New Roman"/>
          <w:sz w:val="24"/>
          <w:szCs w:val="24"/>
        </w:rPr>
        <w:t>šesť</w:t>
      </w:r>
      <w:r w:rsidRPr="00F7227E">
        <w:rPr>
          <w:rFonts w:ascii="Times New Roman" w:hAnsi="Times New Roman"/>
          <w:sz w:val="24"/>
          <w:szCs w:val="24"/>
        </w:rPr>
        <w:t xml:space="preserve"> rokov.“.</w:t>
      </w:r>
    </w:p>
    <w:p w:rsidR="00C94543" w:rsidRPr="00F7227E" w:rsidP="00C94543">
      <w:pPr>
        <w:bidi w:val="0"/>
        <w:jc w:val="center"/>
        <w:rPr>
          <w:rFonts w:ascii="Times New Roman" w:hAnsi="Times New Roman"/>
          <w:b/>
          <w:sz w:val="24"/>
          <w:szCs w:val="24"/>
        </w:rPr>
      </w:pPr>
      <w:r w:rsidRPr="00F7227E">
        <w:rPr>
          <w:rFonts w:ascii="Times New Roman" w:hAnsi="Times New Roman"/>
          <w:b/>
          <w:sz w:val="24"/>
          <w:szCs w:val="24"/>
        </w:rPr>
        <w:t>Čl. II</w:t>
      </w:r>
    </w:p>
    <w:p w:rsidR="00C94543" w:rsidRPr="00F7227E" w:rsidP="001E3F33">
      <w:pPr>
        <w:bidi w:val="0"/>
        <w:ind w:firstLine="708"/>
        <w:rPr>
          <w:rFonts w:ascii="Times New Roman" w:hAnsi="Times New Roman"/>
          <w:sz w:val="24"/>
          <w:szCs w:val="24"/>
        </w:rPr>
      </w:pPr>
      <w:r w:rsidRPr="00F7227E">
        <w:rPr>
          <w:rFonts w:ascii="Times New Roman" w:hAnsi="Times New Roman"/>
          <w:sz w:val="24"/>
          <w:szCs w:val="24"/>
        </w:rPr>
        <w:t>Tento zákon nadobúda účinnosť 1. januára 2020.</w:t>
      </w:r>
    </w:p>
    <w:p w:rsidR="00C94543" w:rsidRPr="00F7227E" w:rsidP="00C94543">
      <w:pPr>
        <w:bidi w:val="0"/>
        <w:rPr>
          <w:rFonts w:ascii="Times New Roman" w:hAnsi="Times New Roman"/>
          <w:b/>
          <w:sz w:val="32"/>
          <w:szCs w:val="32"/>
        </w:rPr>
      </w:pPr>
    </w:p>
    <w:p w:rsidR="002A30E8" w:rsidRPr="00F7227E" w:rsidP="00C94543">
      <w:pPr>
        <w:bidi w:val="0"/>
      </w:pP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FF" w:csb1="00000000"/>
  </w:font>
  <w:font w:name="Book Antiqua">
    <w:altName w:val="Book Antiqua"/>
    <w:panose1 w:val="02040602050305030304"/>
    <w:charset w:val="EE"/>
    <w:family w:val="roman"/>
    <w:pitch w:val="variable"/>
    <w:sig w:usb0="00000000" w:usb1="00000000" w:usb2="00000000" w:usb3="00000000" w:csb0="0000009F" w:csb1="00000000"/>
  </w:font>
  <w:font w:name="Segoe UI">
    <w:altName w:val="Century Gothic"/>
    <w:panose1 w:val="020B0502040204020203"/>
    <w:charset w:val="EE"/>
    <w:family w:val="swiss"/>
    <w:pitch w:val="variable"/>
    <w:sig w:usb0="00000000" w:usb1="00000000" w:usb2="00000000" w:usb3="00000000" w:csb0="000001F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17">
    <w:pPr>
      <w:pStyle w:val="Header"/>
      <w:bidi w:val="0"/>
    </w:pPr>
  </w:p>
  <w:p w:rsidR="001A0F17">
    <w:pPr>
      <w:pStyle w:val="Header"/>
      <w:bidi w:val="0"/>
    </w:pPr>
  </w:p>
  <w:p w:rsidR="001A0F17">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30C"/>
    <w:multiLevelType w:val="hybridMultilevel"/>
    <w:tmpl w:val="D1F2D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5D61C1"/>
    <w:multiLevelType w:val="hybridMultilevel"/>
    <w:tmpl w:val="0670723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AD6671A"/>
    <w:multiLevelType w:val="hybridMultilevel"/>
    <w:tmpl w:val="B2E47E6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DE1331"/>
    <w:multiLevelType w:val="hybridMultilevel"/>
    <w:tmpl w:val="876CC1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0111DCD"/>
    <w:multiLevelType w:val="hybridMultilevel"/>
    <w:tmpl w:val="27C04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2C7B03"/>
    <w:multiLevelType w:val="hybridMultilevel"/>
    <w:tmpl w:val="9D8A2214"/>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564B28"/>
    <w:multiLevelType w:val="hybridMultilevel"/>
    <w:tmpl w:val="54CEE6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1B00E77"/>
    <w:multiLevelType w:val="hybridMultilevel"/>
    <w:tmpl w:val="A1222D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2AE1EB7"/>
    <w:multiLevelType w:val="hybridMultilevel"/>
    <w:tmpl w:val="25801A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4C611D"/>
    <w:multiLevelType w:val="hybridMultilevel"/>
    <w:tmpl w:val="ABC65E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0">
    <w:nsid w:val="25754591"/>
    <w:multiLevelType w:val="hybridMultilevel"/>
    <w:tmpl w:val="2E980D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5BB3EC6"/>
    <w:multiLevelType w:val="hybridMultilevel"/>
    <w:tmpl w:val="7C02C0C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25FE4B7F"/>
    <w:multiLevelType w:val="hybridMultilevel"/>
    <w:tmpl w:val="F5AE97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98923F8"/>
    <w:multiLevelType w:val="hybridMultilevel"/>
    <w:tmpl w:val="8B523B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9C1034A"/>
    <w:multiLevelType w:val="hybridMultilevel"/>
    <w:tmpl w:val="A50C69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9CF381F"/>
    <w:multiLevelType w:val="hybridMultilevel"/>
    <w:tmpl w:val="22CAFE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D3D4668"/>
    <w:multiLevelType w:val="hybridMultilevel"/>
    <w:tmpl w:val="C2F24A48"/>
    <w:lvl w:ilvl="0">
      <w:start w:val="1"/>
      <w:numFmt w:val="decimal"/>
      <w:lvlText w:val="%1."/>
      <w:lvlJc w:val="left"/>
      <w:pPr>
        <w:ind w:left="630" w:hanging="360"/>
      </w:pPr>
      <w:rPr>
        <w:rFonts w:cs="Times New Roman" w:hint="default"/>
        <w:rtl w:val="0"/>
        <w:cs w:val="0"/>
      </w:rPr>
    </w:lvl>
    <w:lvl w:ilvl="1">
      <w:start w:val="1"/>
      <w:numFmt w:val="lowerLetter"/>
      <w:lvlText w:val="%2."/>
      <w:lvlJc w:val="left"/>
      <w:pPr>
        <w:ind w:left="1350" w:hanging="360"/>
      </w:pPr>
      <w:rPr>
        <w:rFonts w:cs="Times New Roman"/>
        <w:rtl w:val="0"/>
        <w:cs w:val="0"/>
      </w:rPr>
    </w:lvl>
    <w:lvl w:ilvl="2">
      <w:start w:val="1"/>
      <w:numFmt w:val="lowerRoman"/>
      <w:lvlText w:val="%3."/>
      <w:lvlJc w:val="right"/>
      <w:pPr>
        <w:ind w:left="2070" w:hanging="180"/>
      </w:pPr>
      <w:rPr>
        <w:rFonts w:cs="Times New Roman"/>
        <w:rtl w:val="0"/>
        <w:cs w:val="0"/>
      </w:rPr>
    </w:lvl>
    <w:lvl w:ilvl="3">
      <w:start w:val="1"/>
      <w:numFmt w:val="decimal"/>
      <w:lvlText w:val="%4."/>
      <w:lvlJc w:val="left"/>
      <w:pPr>
        <w:ind w:left="2790" w:hanging="360"/>
      </w:pPr>
      <w:rPr>
        <w:rFonts w:cs="Times New Roman"/>
        <w:rtl w:val="0"/>
        <w:cs w:val="0"/>
      </w:rPr>
    </w:lvl>
    <w:lvl w:ilvl="4">
      <w:start w:val="1"/>
      <w:numFmt w:val="lowerLetter"/>
      <w:lvlText w:val="%5."/>
      <w:lvlJc w:val="left"/>
      <w:pPr>
        <w:ind w:left="3510" w:hanging="360"/>
      </w:pPr>
      <w:rPr>
        <w:rFonts w:cs="Times New Roman"/>
        <w:rtl w:val="0"/>
        <w:cs w:val="0"/>
      </w:rPr>
    </w:lvl>
    <w:lvl w:ilvl="5">
      <w:start w:val="1"/>
      <w:numFmt w:val="lowerRoman"/>
      <w:lvlText w:val="%6."/>
      <w:lvlJc w:val="right"/>
      <w:pPr>
        <w:ind w:left="4230" w:hanging="180"/>
      </w:pPr>
      <w:rPr>
        <w:rFonts w:cs="Times New Roman"/>
        <w:rtl w:val="0"/>
        <w:cs w:val="0"/>
      </w:rPr>
    </w:lvl>
    <w:lvl w:ilvl="6">
      <w:start w:val="1"/>
      <w:numFmt w:val="decimal"/>
      <w:lvlText w:val="%7."/>
      <w:lvlJc w:val="left"/>
      <w:pPr>
        <w:ind w:left="4950" w:hanging="360"/>
      </w:pPr>
      <w:rPr>
        <w:rFonts w:cs="Times New Roman"/>
        <w:rtl w:val="0"/>
        <w:cs w:val="0"/>
      </w:rPr>
    </w:lvl>
    <w:lvl w:ilvl="7">
      <w:start w:val="1"/>
      <w:numFmt w:val="lowerLetter"/>
      <w:lvlText w:val="%8."/>
      <w:lvlJc w:val="left"/>
      <w:pPr>
        <w:ind w:left="5670" w:hanging="360"/>
      </w:pPr>
      <w:rPr>
        <w:rFonts w:cs="Times New Roman"/>
        <w:rtl w:val="0"/>
        <w:cs w:val="0"/>
      </w:rPr>
    </w:lvl>
    <w:lvl w:ilvl="8">
      <w:start w:val="1"/>
      <w:numFmt w:val="lowerRoman"/>
      <w:lvlText w:val="%9."/>
      <w:lvlJc w:val="right"/>
      <w:pPr>
        <w:ind w:left="6390" w:hanging="180"/>
      </w:pPr>
      <w:rPr>
        <w:rFonts w:cs="Times New Roman"/>
        <w:rtl w:val="0"/>
        <w:cs w:val="0"/>
      </w:rPr>
    </w:lvl>
  </w:abstractNum>
  <w:abstractNum w:abstractNumId="17">
    <w:nsid w:val="2EA826AD"/>
    <w:multiLevelType w:val="hybridMultilevel"/>
    <w:tmpl w:val="7E82B6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0043805"/>
    <w:multiLevelType w:val="hybridMultilevel"/>
    <w:tmpl w:val="89E0C3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0950D05"/>
    <w:multiLevelType w:val="hybridMultilevel"/>
    <w:tmpl w:val="1226C32C"/>
    <w:lvl w:ilvl="0">
      <w:start w:val="20"/>
      <w:numFmt w:val="bullet"/>
      <w:lvlText w:val="-"/>
      <w:lvlJc w:val="left"/>
      <w:pPr>
        <w:ind w:left="1068" w:hanging="360"/>
      </w:pPr>
      <w:rPr>
        <w:rFonts w:ascii="Book Antiqua" w:eastAsia="Times New Roman" w:hAnsi="Book Antiqua" w:hint="default"/>
        <w:b/>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0">
    <w:nsid w:val="344A3549"/>
    <w:multiLevelType w:val="hybridMultilevel"/>
    <w:tmpl w:val="28C0C5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82E76E0"/>
    <w:multiLevelType w:val="hybridMultilevel"/>
    <w:tmpl w:val="4F5E35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95F369C"/>
    <w:multiLevelType w:val="hybridMultilevel"/>
    <w:tmpl w:val="59AC9D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D291002"/>
    <w:multiLevelType w:val="hybridMultilevel"/>
    <w:tmpl w:val="01266E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0636A76"/>
    <w:multiLevelType w:val="hybridMultilevel"/>
    <w:tmpl w:val="BC1652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0801E23"/>
    <w:multiLevelType w:val="hybridMultilevel"/>
    <w:tmpl w:val="239A20EC"/>
    <w:lvl w:ilvl="0">
      <w:start w:val="1"/>
      <w:numFmt w:val="decimal"/>
      <w:lvlText w:val="(%1)"/>
      <w:lvlJc w:val="left"/>
      <w:pPr>
        <w:ind w:left="720" w:hanging="360"/>
      </w:pPr>
      <w:rPr>
        <w:rFonts w:ascii="Segoe UI" w:hAnsi="Segoe UI" w:cs="Segoe UI" w:hint="default"/>
        <w:color w:val="494949"/>
        <w:sz w:val="21"/>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2A85EF4"/>
    <w:multiLevelType w:val="hybridMultilevel"/>
    <w:tmpl w:val="7E3E6E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2FF727C"/>
    <w:multiLevelType w:val="hybridMultilevel"/>
    <w:tmpl w:val="980435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3EE499D"/>
    <w:multiLevelType w:val="hybridMultilevel"/>
    <w:tmpl w:val="1444F8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6353376"/>
    <w:multiLevelType w:val="hybridMultilevel"/>
    <w:tmpl w:val="BAC6F5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B6B1D77"/>
    <w:multiLevelType w:val="hybridMultilevel"/>
    <w:tmpl w:val="B4209C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4DA208CE"/>
    <w:multiLevelType w:val="hybridMultilevel"/>
    <w:tmpl w:val="E0C2EEC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35B1D51"/>
    <w:multiLevelType w:val="hybridMultilevel"/>
    <w:tmpl w:val="767E23B8"/>
    <w:lvl w:ilvl="0">
      <w:start w:val="2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99A382B"/>
    <w:multiLevelType w:val="hybridMultilevel"/>
    <w:tmpl w:val="39745F7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61430FFD"/>
    <w:multiLevelType w:val="hybridMultilevel"/>
    <w:tmpl w:val="D1401FF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61827B15"/>
    <w:multiLevelType w:val="hybridMultilevel"/>
    <w:tmpl w:val="0E6EFEC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651777F5"/>
    <w:multiLevelType w:val="hybridMultilevel"/>
    <w:tmpl w:val="5AF26AB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66157410"/>
    <w:multiLevelType w:val="hybridMultilevel"/>
    <w:tmpl w:val="04C8C3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680302DE"/>
    <w:multiLevelType w:val="hybridMultilevel"/>
    <w:tmpl w:val="4F5E35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93678E6"/>
    <w:multiLevelType w:val="hybridMultilevel"/>
    <w:tmpl w:val="9348BA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951100D"/>
    <w:multiLevelType w:val="hybridMultilevel"/>
    <w:tmpl w:val="AC14EC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CBA71C9"/>
    <w:multiLevelType w:val="hybridMultilevel"/>
    <w:tmpl w:val="C0DC50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DA408CA"/>
    <w:multiLevelType w:val="hybridMultilevel"/>
    <w:tmpl w:val="74F690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6F991D9D"/>
    <w:multiLevelType w:val="hybridMultilevel"/>
    <w:tmpl w:val="6B0E6F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B9E4141"/>
    <w:multiLevelType w:val="hybridMultilevel"/>
    <w:tmpl w:val="F29CE8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E9C7E51"/>
    <w:multiLevelType w:val="hybridMultilevel"/>
    <w:tmpl w:val="E6B690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6"/>
  </w:num>
  <w:num w:numId="3">
    <w:abstractNumId w:val="15"/>
  </w:num>
  <w:num w:numId="4">
    <w:abstractNumId w:val="3"/>
  </w:num>
  <w:num w:numId="5">
    <w:abstractNumId w:val="10"/>
  </w:num>
  <w:num w:numId="6">
    <w:abstractNumId w:val="6"/>
  </w:num>
  <w:num w:numId="7">
    <w:abstractNumId w:val="22"/>
  </w:num>
  <w:num w:numId="8">
    <w:abstractNumId w:val="26"/>
  </w:num>
  <w:num w:numId="9">
    <w:abstractNumId w:val="13"/>
  </w:num>
  <w:num w:numId="10">
    <w:abstractNumId w:val="28"/>
  </w:num>
  <w:num w:numId="11">
    <w:abstractNumId w:val="45"/>
  </w:num>
  <w:num w:numId="12">
    <w:abstractNumId w:val="18"/>
  </w:num>
  <w:num w:numId="13">
    <w:abstractNumId w:val="44"/>
  </w:num>
  <w:num w:numId="14">
    <w:abstractNumId w:val="24"/>
  </w:num>
  <w:num w:numId="15">
    <w:abstractNumId w:val="39"/>
  </w:num>
  <w:num w:numId="16">
    <w:abstractNumId w:val="4"/>
  </w:num>
  <w:num w:numId="17">
    <w:abstractNumId w:val="7"/>
  </w:num>
  <w:num w:numId="18">
    <w:abstractNumId w:val="27"/>
  </w:num>
  <w:num w:numId="19">
    <w:abstractNumId w:val="41"/>
  </w:num>
  <w:num w:numId="20">
    <w:abstractNumId w:val="42"/>
  </w:num>
  <w:num w:numId="21">
    <w:abstractNumId w:val="20"/>
  </w:num>
  <w:num w:numId="22">
    <w:abstractNumId w:val="9"/>
  </w:num>
  <w:num w:numId="23">
    <w:abstractNumId w:val="19"/>
  </w:num>
  <w:num w:numId="24">
    <w:abstractNumId w:val="23"/>
  </w:num>
  <w:num w:numId="25">
    <w:abstractNumId w:val="11"/>
  </w:num>
  <w:num w:numId="26">
    <w:abstractNumId w:val="36"/>
  </w:num>
  <w:num w:numId="27">
    <w:abstractNumId w:val="30"/>
  </w:num>
  <w:num w:numId="28">
    <w:abstractNumId w:val="1"/>
  </w:num>
  <w:num w:numId="29">
    <w:abstractNumId w:val="35"/>
  </w:num>
  <w:num w:numId="30">
    <w:abstractNumId w:val="5"/>
  </w:num>
  <w:num w:numId="31">
    <w:abstractNumId w:val="37"/>
  </w:num>
  <w:num w:numId="32">
    <w:abstractNumId w:val="33"/>
  </w:num>
  <w:num w:numId="33">
    <w:abstractNumId w:val="17"/>
  </w:num>
  <w:num w:numId="34">
    <w:abstractNumId w:val="32"/>
  </w:num>
  <w:num w:numId="35">
    <w:abstractNumId w:val="29"/>
  </w:num>
  <w:num w:numId="36">
    <w:abstractNumId w:val="40"/>
  </w:num>
  <w:num w:numId="37">
    <w:abstractNumId w:val="34"/>
  </w:num>
  <w:num w:numId="38">
    <w:abstractNumId w:val="25"/>
  </w:num>
  <w:num w:numId="39">
    <w:abstractNumId w:val="2"/>
  </w:num>
  <w:num w:numId="40">
    <w:abstractNumId w:val="8"/>
  </w:num>
  <w:num w:numId="41">
    <w:abstractNumId w:val="38"/>
  </w:num>
  <w:num w:numId="42">
    <w:abstractNumId w:val="31"/>
  </w:num>
  <w:num w:numId="43">
    <w:abstractNumId w:val="43"/>
  </w:num>
  <w:num w:numId="44">
    <w:abstractNumId w:val="12"/>
  </w:num>
  <w:num w:numId="45">
    <w:abstractNumId w:val="14"/>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6A94"/>
    <w:rsid w:val="00011C82"/>
    <w:rsid w:val="00013721"/>
    <w:rsid w:val="00014CF2"/>
    <w:rsid w:val="0001502D"/>
    <w:rsid w:val="00017F32"/>
    <w:rsid w:val="00020030"/>
    <w:rsid w:val="000227AE"/>
    <w:rsid w:val="000242DD"/>
    <w:rsid w:val="00026DB2"/>
    <w:rsid w:val="00030BFA"/>
    <w:rsid w:val="00031079"/>
    <w:rsid w:val="00033919"/>
    <w:rsid w:val="00034FCB"/>
    <w:rsid w:val="00036A38"/>
    <w:rsid w:val="00037A5C"/>
    <w:rsid w:val="00042514"/>
    <w:rsid w:val="000454A6"/>
    <w:rsid w:val="00050008"/>
    <w:rsid w:val="00055C2A"/>
    <w:rsid w:val="00057810"/>
    <w:rsid w:val="00061ACA"/>
    <w:rsid w:val="00062D48"/>
    <w:rsid w:val="00063E1C"/>
    <w:rsid w:val="00064E91"/>
    <w:rsid w:val="00065CD9"/>
    <w:rsid w:val="000676E0"/>
    <w:rsid w:val="00067C5F"/>
    <w:rsid w:val="00071577"/>
    <w:rsid w:val="000770BF"/>
    <w:rsid w:val="00081585"/>
    <w:rsid w:val="00083C18"/>
    <w:rsid w:val="000857C6"/>
    <w:rsid w:val="00085C87"/>
    <w:rsid w:val="0009031E"/>
    <w:rsid w:val="00091C12"/>
    <w:rsid w:val="000A275D"/>
    <w:rsid w:val="000A3BFD"/>
    <w:rsid w:val="000A4116"/>
    <w:rsid w:val="000A44A4"/>
    <w:rsid w:val="000A49D4"/>
    <w:rsid w:val="000A4C7C"/>
    <w:rsid w:val="000A538A"/>
    <w:rsid w:val="000A5E51"/>
    <w:rsid w:val="000B153E"/>
    <w:rsid w:val="000B1B94"/>
    <w:rsid w:val="000B1F42"/>
    <w:rsid w:val="000B6C69"/>
    <w:rsid w:val="000C10CE"/>
    <w:rsid w:val="000C5B6A"/>
    <w:rsid w:val="000C6D18"/>
    <w:rsid w:val="000D0172"/>
    <w:rsid w:val="000D1ED8"/>
    <w:rsid w:val="000D2947"/>
    <w:rsid w:val="000D49E1"/>
    <w:rsid w:val="000D5107"/>
    <w:rsid w:val="000D5E4A"/>
    <w:rsid w:val="000D6EFE"/>
    <w:rsid w:val="000E182E"/>
    <w:rsid w:val="000E4558"/>
    <w:rsid w:val="000E58A2"/>
    <w:rsid w:val="000E64DA"/>
    <w:rsid w:val="000E71E5"/>
    <w:rsid w:val="000F31B3"/>
    <w:rsid w:val="000F7062"/>
    <w:rsid w:val="000F79F4"/>
    <w:rsid w:val="001025B6"/>
    <w:rsid w:val="0010286E"/>
    <w:rsid w:val="00103D1C"/>
    <w:rsid w:val="00104BDF"/>
    <w:rsid w:val="00107892"/>
    <w:rsid w:val="001113AF"/>
    <w:rsid w:val="001161AE"/>
    <w:rsid w:val="00116B7E"/>
    <w:rsid w:val="00117910"/>
    <w:rsid w:val="001205F0"/>
    <w:rsid w:val="001214DD"/>
    <w:rsid w:val="00122EAD"/>
    <w:rsid w:val="001263E9"/>
    <w:rsid w:val="00133EB9"/>
    <w:rsid w:val="0013733B"/>
    <w:rsid w:val="00142C37"/>
    <w:rsid w:val="001443FB"/>
    <w:rsid w:val="001465FB"/>
    <w:rsid w:val="001477F4"/>
    <w:rsid w:val="00160184"/>
    <w:rsid w:val="00162C42"/>
    <w:rsid w:val="001631F7"/>
    <w:rsid w:val="00163F06"/>
    <w:rsid w:val="00164D20"/>
    <w:rsid w:val="001674B0"/>
    <w:rsid w:val="0017381A"/>
    <w:rsid w:val="001763CF"/>
    <w:rsid w:val="00181F56"/>
    <w:rsid w:val="00182107"/>
    <w:rsid w:val="001828F2"/>
    <w:rsid w:val="00184EC9"/>
    <w:rsid w:val="00184FCA"/>
    <w:rsid w:val="0018740A"/>
    <w:rsid w:val="00194060"/>
    <w:rsid w:val="001943B6"/>
    <w:rsid w:val="00194639"/>
    <w:rsid w:val="001965D2"/>
    <w:rsid w:val="001A0B9B"/>
    <w:rsid w:val="001A0F17"/>
    <w:rsid w:val="001A1638"/>
    <w:rsid w:val="001A37B1"/>
    <w:rsid w:val="001A650D"/>
    <w:rsid w:val="001B06B5"/>
    <w:rsid w:val="001B3408"/>
    <w:rsid w:val="001B37AF"/>
    <w:rsid w:val="001B41A9"/>
    <w:rsid w:val="001B6607"/>
    <w:rsid w:val="001B796A"/>
    <w:rsid w:val="001C6396"/>
    <w:rsid w:val="001C6DC4"/>
    <w:rsid w:val="001D0895"/>
    <w:rsid w:val="001D0A6D"/>
    <w:rsid w:val="001D5215"/>
    <w:rsid w:val="001E07A0"/>
    <w:rsid w:val="001E13D6"/>
    <w:rsid w:val="001E297A"/>
    <w:rsid w:val="001E3F33"/>
    <w:rsid w:val="001E489C"/>
    <w:rsid w:val="001E7E9F"/>
    <w:rsid w:val="001F68A2"/>
    <w:rsid w:val="002012B6"/>
    <w:rsid w:val="00206C4F"/>
    <w:rsid w:val="002120E9"/>
    <w:rsid w:val="002157C9"/>
    <w:rsid w:val="00215C64"/>
    <w:rsid w:val="002164E8"/>
    <w:rsid w:val="002302DF"/>
    <w:rsid w:val="00231E3B"/>
    <w:rsid w:val="002334A7"/>
    <w:rsid w:val="00234671"/>
    <w:rsid w:val="00237FD5"/>
    <w:rsid w:val="0024071E"/>
    <w:rsid w:val="00241C4D"/>
    <w:rsid w:val="002446BA"/>
    <w:rsid w:val="002506FF"/>
    <w:rsid w:val="00250B41"/>
    <w:rsid w:val="0025679C"/>
    <w:rsid w:val="002635A0"/>
    <w:rsid w:val="00264A4F"/>
    <w:rsid w:val="00267B24"/>
    <w:rsid w:val="00272E7B"/>
    <w:rsid w:val="00273F4A"/>
    <w:rsid w:val="0027413A"/>
    <w:rsid w:val="002807FE"/>
    <w:rsid w:val="00280D40"/>
    <w:rsid w:val="0028328C"/>
    <w:rsid w:val="00286B2B"/>
    <w:rsid w:val="002906AA"/>
    <w:rsid w:val="00290896"/>
    <w:rsid w:val="00294F53"/>
    <w:rsid w:val="0029580B"/>
    <w:rsid w:val="00295C55"/>
    <w:rsid w:val="002974A0"/>
    <w:rsid w:val="002A1D7F"/>
    <w:rsid w:val="002A30E8"/>
    <w:rsid w:val="002A36D9"/>
    <w:rsid w:val="002B0999"/>
    <w:rsid w:val="002B1FBA"/>
    <w:rsid w:val="002B38D6"/>
    <w:rsid w:val="002B68CE"/>
    <w:rsid w:val="002B7550"/>
    <w:rsid w:val="002C0207"/>
    <w:rsid w:val="002C5FE1"/>
    <w:rsid w:val="002D1222"/>
    <w:rsid w:val="002D3B9B"/>
    <w:rsid w:val="002D577C"/>
    <w:rsid w:val="002D58BD"/>
    <w:rsid w:val="002D6F3E"/>
    <w:rsid w:val="002D72AE"/>
    <w:rsid w:val="002E485D"/>
    <w:rsid w:val="002E7D72"/>
    <w:rsid w:val="002F18E0"/>
    <w:rsid w:val="002F34B4"/>
    <w:rsid w:val="002F525B"/>
    <w:rsid w:val="002F627A"/>
    <w:rsid w:val="002F65F6"/>
    <w:rsid w:val="002F713E"/>
    <w:rsid w:val="002F7186"/>
    <w:rsid w:val="002F7C72"/>
    <w:rsid w:val="00300BB4"/>
    <w:rsid w:val="00302810"/>
    <w:rsid w:val="00302A8A"/>
    <w:rsid w:val="00302EF2"/>
    <w:rsid w:val="003038DE"/>
    <w:rsid w:val="00305C9F"/>
    <w:rsid w:val="003103C3"/>
    <w:rsid w:val="00310E17"/>
    <w:rsid w:val="00311913"/>
    <w:rsid w:val="00316BCA"/>
    <w:rsid w:val="0032240F"/>
    <w:rsid w:val="00322E83"/>
    <w:rsid w:val="00324EB2"/>
    <w:rsid w:val="00325B7D"/>
    <w:rsid w:val="00326108"/>
    <w:rsid w:val="003268F7"/>
    <w:rsid w:val="0032740E"/>
    <w:rsid w:val="00327E46"/>
    <w:rsid w:val="0034043B"/>
    <w:rsid w:val="0034202C"/>
    <w:rsid w:val="00343E5B"/>
    <w:rsid w:val="00346CCA"/>
    <w:rsid w:val="003471F7"/>
    <w:rsid w:val="00347E15"/>
    <w:rsid w:val="00352057"/>
    <w:rsid w:val="00354145"/>
    <w:rsid w:val="00361623"/>
    <w:rsid w:val="00364756"/>
    <w:rsid w:val="003661D9"/>
    <w:rsid w:val="003675C1"/>
    <w:rsid w:val="00373B58"/>
    <w:rsid w:val="003748E8"/>
    <w:rsid w:val="00374BA2"/>
    <w:rsid w:val="00375ECE"/>
    <w:rsid w:val="00376B71"/>
    <w:rsid w:val="00383144"/>
    <w:rsid w:val="00384E35"/>
    <w:rsid w:val="00387151"/>
    <w:rsid w:val="00390E05"/>
    <w:rsid w:val="00394D65"/>
    <w:rsid w:val="00396B88"/>
    <w:rsid w:val="003A4521"/>
    <w:rsid w:val="003A64DA"/>
    <w:rsid w:val="003A76F2"/>
    <w:rsid w:val="003B04D5"/>
    <w:rsid w:val="003B16FC"/>
    <w:rsid w:val="003B72BE"/>
    <w:rsid w:val="003C3087"/>
    <w:rsid w:val="003C46FC"/>
    <w:rsid w:val="003C4E41"/>
    <w:rsid w:val="003D5D12"/>
    <w:rsid w:val="003D5E5C"/>
    <w:rsid w:val="003D6D7F"/>
    <w:rsid w:val="003D6D93"/>
    <w:rsid w:val="003D7ED9"/>
    <w:rsid w:val="003E1318"/>
    <w:rsid w:val="003E2C08"/>
    <w:rsid w:val="003F38F8"/>
    <w:rsid w:val="003F5970"/>
    <w:rsid w:val="00402806"/>
    <w:rsid w:val="004030EE"/>
    <w:rsid w:val="004034E0"/>
    <w:rsid w:val="004066AB"/>
    <w:rsid w:val="00416C5D"/>
    <w:rsid w:val="00423C66"/>
    <w:rsid w:val="004242D4"/>
    <w:rsid w:val="004269F6"/>
    <w:rsid w:val="00426D8B"/>
    <w:rsid w:val="00445296"/>
    <w:rsid w:val="00450477"/>
    <w:rsid w:val="00450685"/>
    <w:rsid w:val="004576ED"/>
    <w:rsid w:val="00462F78"/>
    <w:rsid w:val="0047002D"/>
    <w:rsid w:val="004700A7"/>
    <w:rsid w:val="00470797"/>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7BA"/>
    <w:rsid w:val="004B1FB8"/>
    <w:rsid w:val="004C3B45"/>
    <w:rsid w:val="004C455B"/>
    <w:rsid w:val="004C579F"/>
    <w:rsid w:val="004C71F9"/>
    <w:rsid w:val="004D0C0F"/>
    <w:rsid w:val="004D0E9A"/>
    <w:rsid w:val="004D2242"/>
    <w:rsid w:val="004D25DA"/>
    <w:rsid w:val="004D2A4F"/>
    <w:rsid w:val="004D66C5"/>
    <w:rsid w:val="004D7F9F"/>
    <w:rsid w:val="004E1C98"/>
    <w:rsid w:val="004E28A9"/>
    <w:rsid w:val="004E3749"/>
    <w:rsid w:val="004E652B"/>
    <w:rsid w:val="004F5E6A"/>
    <w:rsid w:val="004F5EC9"/>
    <w:rsid w:val="004F7271"/>
    <w:rsid w:val="00500B14"/>
    <w:rsid w:val="005077BE"/>
    <w:rsid w:val="00510A40"/>
    <w:rsid w:val="00511757"/>
    <w:rsid w:val="00512C8C"/>
    <w:rsid w:val="00513C83"/>
    <w:rsid w:val="005147C5"/>
    <w:rsid w:val="00527FBD"/>
    <w:rsid w:val="005319E3"/>
    <w:rsid w:val="00533BDC"/>
    <w:rsid w:val="005348C1"/>
    <w:rsid w:val="0053761B"/>
    <w:rsid w:val="005440CE"/>
    <w:rsid w:val="00544778"/>
    <w:rsid w:val="00550EB3"/>
    <w:rsid w:val="00552B5C"/>
    <w:rsid w:val="00556626"/>
    <w:rsid w:val="00556997"/>
    <w:rsid w:val="0055766C"/>
    <w:rsid w:val="00562F99"/>
    <w:rsid w:val="00570257"/>
    <w:rsid w:val="00570B93"/>
    <w:rsid w:val="005734A0"/>
    <w:rsid w:val="00581AA6"/>
    <w:rsid w:val="005842E4"/>
    <w:rsid w:val="005844CE"/>
    <w:rsid w:val="005963BF"/>
    <w:rsid w:val="005A06B0"/>
    <w:rsid w:val="005A10DD"/>
    <w:rsid w:val="005A1AC6"/>
    <w:rsid w:val="005A23D7"/>
    <w:rsid w:val="005A7E41"/>
    <w:rsid w:val="005B07C8"/>
    <w:rsid w:val="005B3607"/>
    <w:rsid w:val="005B6571"/>
    <w:rsid w:val="005B65FF"/>
    <w:rsid w:val="005B7310"/>
    <w:rsid w:val="005B7A3E"/>
    <w:rsid w:val="005B7AA0"/>
    <w:rsid w:val="005C17C6"/>
    <w:rsid w:val="005C5537"/>
    <w:rsid w:val="005C70E8"/>
    <w:rsid w:val="005C7D89"/>
    <w:rsid w:val="005D1C1A"/>
    <w:rsid w:val="005D1C8B"/>
    <w:rsid w:val="005D29DF"/>
    <w:rsid w:val="005D3F90"/>
    <w:rsid w:val="005D4666"/>
    <w:rsid w:val="005E0AEF"/>
    <w:rsid w:val="005E3069"/>
    <w:rsid w:val="005E598F"/>
    <w:rsid w:val="005E67A9"/>
    <w:rsid w:val="005F1B83"/>
    <w:rsid w:val="005F3DA3"/>
    <w:rsid w:val="005F6CFC"/>
    <w:rsid w:val="00601959"/>
    <w:rsid w:val="00602E03"/>
    <w:rsid w:val="00604245"/>
    <w:rsid w:val="00604ACC"/>
    <w:rsid w:val="00606610"/>
    <w:rsid w:val="0061094A"/>
    <w:rsid w:val="00610993"/>
    <w:rsid w:val="00610F8E"/>
    <w:rsid w:val="0061346C"/>
    <w:rsid w:val="0061347D"/>
    <w:rsid w:val="0061495A"/>
    <w:rsid w:val="00614C7C"/>
    <w:rsid w:val="00615B60"/>
    <w:rsid w:val="00621A7A"/>
    <w:rsid w:val="00622F95"/>
    <w:rsid w:val="006235B1"/>
    <w:rsid w:val="0062495E"/>
    <w:rsid w:val="00625957"/>
    <w:rsid w:val="00626AA4"/>
    <w:rsid w:val="00626CE7"/>
    <w:rsid w:val="00630DDF"/>
    <w:rsid w:val="006315B4"/>
    <w:rsid w:val="00635EF6"/>
    <w:rsid w:val="0065207F"/>
    <w:rsid w:val="006551D1"/>
    <w:rsid w:val="0065612B"/>
    <w:rsid w:val="0065741D"/>
    <w:rsid w:val="0066084A"/>
    <w:rsid w:val="0066330B"/>
    <w:rsid w:val="006633AB"/>
    <w:rsid w:val="00663B38"/>
    <w:rsid w:val="0067301B"/>
    <w:rsid w:val="006801A1"/>
    <w:rsid w:val="0068196D"/>
    <w:rsid w:val="00683DC0"/>
    <w:rsid w:val="00683E7E"/>
    <w:rsid w:val="00686525"/>
    <w:rsid w:val="006876D3"/>
    <w:rsid w:val="00693726"/>
    <w:rsid w:val="006939E2"/>
    <w:rsid w:val="00693C99"/>
    <w:rsid w:val="00695081"/>
    <w:rsid w:val="00695669"/>
    <w:rsid w:val="006A31CD"/>
    <w:rsid w:val="006A38B1"/>
    <w:rsid w:val="006A6044"/>
    <w:rsid w:val="006A664B"/>
    <w:rsid w:val="006B4ACD"/>
    <w:rsid w:val="006B523F"/>
    <w:rsid w:val="006B7FC6"/>
    <w:rsid w:val="006C1E9D"/>
    <w:rsid w:val="006C2093"/>
    <w:rsid w:val="006C2AEA"/>
    <w:rsid w:val="006C66E9"/>
    <w:rsid w:val="006D0A47"/>
    <w:rsid w:val="006D3AA4"/>
    <w:rsid w:val="006D3CC9"/>
    <w:rsid w:val="006D4CB5"/>
    <w:rsid w:val="006D53A6"/>
    <w:rsid w:val="006D7A5C"/>
    <w:rsid w:val="006D7F81"/>
    <w:rsid w:val="006E0742"/>
    <w:rsid w:val="006E1239"/>
    <w:rsid w:val="006E25AA"/>
    <w:rsid w:val="006E28EA"/>
    <w:rsid w:val="006E4E47"/>
    <w:rsid w:val="006E5228"/>
    <w:rsid w:val="006E524C"/>
    <w:rsid w:val="006F40F0"/>
    <w:rsid w:val="006F62EA"/>
    <w:rsid w:val="006F70F2"/>
    <w:rsid w:val="00702D05"/>
    <w:rsid w:val="007030FF"/>
    <w:rsid w:val="00705540"/>
    <w:rsid w:val="00706008"/>
    <w:rsid w:val="00714988"/>
    <w:rsid w:val="007150C7"/>
    <w:rsid w:val="00715376"/>
    <w:rsid w:val="007163DC"/>
    <w:rsid w:val="00716A3F"/>
    <w:rsid w:val="0071717D"/>
    <w:rsid w:val="00722BFE"/>
    <w:rsid w:val="00723803"/>
    <w:rsid w:val="007239F1"/>
    <w:rsid w:val="00727C73"/>
    <w:rsid w:val="007300E8"/>
    <w:rsid w:val="007315B7"/>
    <w:rsid w:val="00735A18"/>
    <w:rsid w:val="007366F1"/>
    <w:rsid w:val="0073790F"/>
    <w:rsid w:val="00746B33"/>
    <w:rsid w:val="007519BD"/>
    <w:rsid w:val="007621AC"/>
    <w:rsid w:val="00767929"/>
    <w:rsid w:val="0077012B"/>
    <w:rsid w:val="00772D23"/>
    <w:rsid w:val="00773C7A"/>
    <w:rsid w:val="00775927"/>
    <w:rsid w:val="00777FD1"/>
    <w:rsid w:val="007812F7"/>
    <w:rsid w:val="00781A89"/>
    <w:rsid w:val="00783161"/>
    <w:rsid w:val="00787F51"/>
    <w:rsid w:val="007972E9"/>
    <w:rsid w:val="00797477"/>
    <w:rsid w:val="007A0902"/>
    <w:rsid w:val="007A1AE9"/>
    <w:rsid w:val="007A1D12"/>
    <w:rsid w:val="007A4337"/>
    <w:rsid w:val="007A548A"/>
    <w:rsid w:val="007A6EB8"/>
    <w:rsid w:val="007A7088"/>
    <w:rsid w:val="007B20F6"/>
    <w:rsid w:val="007B26A7"/>
    <w:rsid w:val="007B2B20"/>
    <w:rsid w:val="007B3A4D"/>
    <w:rsid w:val="007B73B8"/>
    <w:rsid w:val="007C1649"/>
    <w:rsid w:val="007C1940"/>
    <w:rsid w:val="007C525A"/>
    <w:rsid w:val="007C71BF"/>
    <w:rsid w:val="007C79D0"/>
    <w:rsid w:val="007D07DA"/>
    <w:rsid w:val="007E101B"/>
    <w:rsid w:val="007E489A"/>
    <w:rsid w:val="007E76C1"/>
    <w:rsid w:val="007F048E"/>
    <w:rsid w:val="007F2CED"/>
    <w:rsid w:val="007F314B"/>
    <w:rsid w:val="007F69A5"/>
    <w:rsid w:val="008004B5"/>
    <w:rsid w:val="00804CBA"/>
    <w:rsid w:val="0080521A"/>
    <w:rsid w:val="0080766E"/>
    <w:rsid w:val="008100CA"/>
    <w:rsid w:val="00810F55"/>
    <w:rsid w:val="00814F4C"/>
    <w:rsid w:val="00822B9E"/>
    <w:rsid w:val="00822C2D"/>
    <w:rsid w:val="00824B31"/>
    <w:rsid w:val="00826A0E"/>
    <w:rsid w:val="00831B79"/>
    <w:rsid w:val="00831C9F"/>
    <w:rsid w:val="00832336"/>
    <w:rsid w:val="00835248"/>
    <w:rsid w:val="008360D3"/>
    <w:rsid w:val="00845671"/>
    <w:rsid w:val="008478B1"/>
    <w:rsid w:val="008552BB"/>
    <w:rsid w:val="00855396"/>
    <w:rsid w:val="008559B2"/>
    <w:rsid w:val="00855DDA"/>
    <w:rsid w:val="00861578"/>
    <w:rsid w:val="00862834"/>
    <w:rsid w:val="00864861"/>
    <w:rsid w:val="00866CD7"/>
    <w:rsid w:val="00872215"/>
    <w:rsid w:val="008807E1"/>
    <w:rsid w:val="00882C13"/>
    <w:rsid w:val="00882C76"/>
    <w:rsid w:val="00884209"/>
    <w:rsid w:val="00884F5D"/>
    <w:rsid w:val="00885E3B"/>
    <w:rsid w:val="008870D4"/>
    <w:rsid w:val="008922FC"/>
    <w:rsid w:val="00893C14"/>
    <w:rsid w:val="0089572C"/>
    <w:rsid w:val="00895A52"/>
    <w:rsid w:val="00895DFE"/>
    <w:rsid w:val="00896A13"/>
    <w:rsid w:val="00896AFD"/>
    <w:rsid w:val="00897B21"/>
    <w:rsid w:val="008A0A59"/>
    <w:rsid w:val="008A1097"/>
    <w:rsid w:val="008A2E02"/>
    <w:rsid w:val="008B0566"/>
    <w:rsid w:val="008B064C"/>
    <w:rsid w:val="008B6131"/>
    <w:rsid w:val="008B6EC8"/>
    <w:rsid w:val="008C4508"/>
    <w:rsid w:val="008D106A"/>
    <w:rsid w:val="008D1AC8"/>
    <w:rsid w:val="008D41B1"/>
    <w:rsid w:val="008D4B95"/>
    <w:rsid w:val="008E56CC"/>
    <w:rsid w:val="008E5729"/>
    <w:rsid w:val="008E6C18"/>
    <w:rsid w:val="008E75DD"/>
    <w:rsid w:val="008F3B43"/>
    <w:rsid w:val="008F4698"/>
    <w:rsid w:val="008F47DB"/>
    <w:rsid w:val="008F7155"/>
    <w:rsid w:val="008F7C42"/>
    <w:rsid w:val="00905922"/>
    <w:rsid w:val="0090724C"/>
    <w:rsid w:val="009073FE"/>
    <w:rsid w:val="009148C6"/>
    <w:rsid w:val="00916618"/>
    <w:rsid w:val="009229AE"/>
    <w:rsid w:val="0092481E"/>
    <w:rsid w:val="00924DFD"/>
    <w:rsid w:val="00924F7C"/>
    <w:rsid w:val="0092791A"/>
    <w:rsid w:val="009347CF"/>
    <w:rsid w:val="00935A6B"/>
    <w:rsid w:val="00937A67"/>
    <w:rsid w:val="009416D3"/>
    <w:rsid w:val="00944A52"/>
    <w:rsid w:val="00945144"/>
    <w:rsid w:val="009507D6"/>
    <w:rsid w:val="00950945"/>
    <w:rsid w:val="009544AD"/>
    <w:rsid w:val="00954829"/>
    <w:rsid w:val="00954BC4"/>
    <w:rsid w:val="00954BF4"/>
    <w:rsid w:val="009557A5"/>
    <w:rsid w:val="009559BB"/>
    <w:rsid w:val="00962E1B"/>
    <w:rsid w:val="00970818"/>
    <w:rsid w:val="0097248D"/>
    <w:rsid w:val="00974524"/>
    <w:rsid w:val="00976FA5"/>
    <w:rsid w:val="00982C22"/>
    <w:rsid w:val="0099025A"/>
    <w:rsid w:val="009928F1"/>
    <w:rsid w:val="00992B33"/>
    <w:rsid w:val="0099366A"/>
    <w:rsid w:val="009A55BA"/>
    <w:rsid w:val="009A5B5F"/>
    <w:rsid w:val="009A67A1"/>
    <w:rsid w:val="009B13D7"/>
    <w:rsid w:val="009B5156"/>
    <w:rsid w:val="009B7681"/>
    <w:rsid w:val="009C01EF"/>
    <w:rsid w:val="009C31B0"/>
    <w:rsid w:val="009C3DF8"/>
    <w:rsid w:val="009C44CF"/>
    <w:rsid w:val="009C6026"/>
    <w:rsid w:val="009C7D07"/>
    <w:rsid w:val="009D1803"/>
    <w:rsid w:val="009D25FA"/>
    <w:rsid w:val="009D4228"/>
    <w:rsid w:val="009E1611"/>
    <w:rsid w:val="009E46C8"/>
    <w:rsid w:val="009E6779"/>
    <w:rsid w:val="009F4826"/>
    <w:rsid w:val="009F6AFD"/>
    <w:rsid w:val="009F7FD6"/>
    <w:rsid w:val="00A023AE"/>
    <w:rsid w:val="00A04BEE"/>
    <w:rsid w:val="00A05D4F"/>
    <w:rsid w:val="00A06727"/>
    <w:rsid w:val="00A11728"/>
    <w:rsid w:val="00A14D28"/>
    <w:rsid w:val="00A20657"/>
    <w:rsid w:val="00A2227D"/>
    <w:rsid w:val="00A23059"/>
    <w:rsid w:val="00A2700A"/>
    <w:rsid w:val="00A3176A"/>
    <w:rsid w:val="00A36233"/>
    <w:rsid w:val="00A374DD"/>
    <w:rsid w:val="00A40D93"/>
    <w:rsid w:val="00A422BE"/>
    <w:rsid w:val="00A45C1F"/>
    <w:rsid w:val="00A46B75"/>
    <w:rsid w:val="00A54DC7"/>
    <w:rsid w:val="00A556F1"/>
    <w:rsid w:val="00A56DD8"/>
    <w:rsid w:val="00A642C7"/>
    <w:rsid w:val="00A64872"/>
    <w:rsid w:val="00A64B0E"/>
    <w:rsid w:val="00A679A3"/>
    <w:rsid w:val="00A67D19"/>
    <w:rsid w:val="00A70BC0"/>
    <w:rsid w:val="00A71996"/>
    <w:rsid w:val="00A7203B"/>
    <w:rsid w:val="00A73540"/>
    <w:rsid w:val="00A74CDD"/>
    <w:rsid w:val="00A76599"/>
    <w:rsid w:val="00A824C2"/>
    <w:rsid w:val="00A8384D"/>
    <w:rsid w:val="00A856D1"/>
    <w:rsid w:val="00A86C3E"/>
    <w:rsid w:val="00A92631"/>
    <w:rsid w:val="00A96688"/>
    <w:rsid w:val="00AA3236"/>
    <w:rsid w:val="00AA7A00"/>
    <w:rsid w:val="00AB3AA6"/>
    <w:rsid w:val="00AB466D"/>
    <w:rsid w:val="00AB4E99"/>
    <w:rsid w:val="00AB5112"/>
    <w:rsid w:val="00AB5412"/>
    <w:rsid w:val="00AB55AA"/>
    <w:rsid w:val="00AC0292"/>
    <w:rsid w:val="00AD01E0"/>
    <w:rsid w:val="00AD2B9F"/>
    <w:rsid w:val="00AD6272"/>
    <w:rsid w:val="00AE47B3"/>
    <w:rsid w:val="00AE4868"/>
    <w:rsid w:val="00AE5421"/>
    <w:rsid w:val="00AE71AF"/>
    <w:rsid w:val="00AF0AF6"/>
    <w:rsid w:val="00AF2838"/>
    <w:rsid w:val="00B0051D"/>
    <w:rsid w:val="00B04F10"/>
    <w:rsid w:val="00B05268"/>
    <w:rsid w:val="00B115DF"/>
    <w:rsid w:val="00B14F99"/>
    <w:rsid w:val="00B15A4C"/>
    <w:rsid w:val="00B165D0"/>
    <w:rsid w:val="00B1695D"/>
    <w:rsid w:val="00B208D0"/>
    <w:rsid w:val="00B20F14"/>
    <w:rsid w:val="00B27BC1"/>
    <w:rsid w:val="00B27CFE"/>
    <w:rsid w:val="00B30535"/>
    <w:rsid w:val="00B31D24"/>
    <w:rsid w:val="00B327D1"/>
    <w:rsid w:val="00B332AC"/>
    <w:rsid w:val="00B363CF"/>
    <w:rsid w:val="00B40AD9"/>
    <w:rsid w:val="00B41EDD"/>
    <w:rsid w:val="00B42608"/>
    <w:rsid w:val="00B46142"/>
    <w:rsid w:val="00B46D90"/>
    <w:rsid w:val="00B50CCE"/>
    <w:rsid w:val="00B51EDB"/>
    <w:rsid w:val="00B554C0"/>
    <w:rsid w:val="00B55849"/>
    <w:rsid w:val="00B56BBA"/>
    <w:rsid w:val="00B6325D"/>
    <w:rsid w:val="00B63C3C"/>
    <w:rsid w:val="00B654A6"/>
    <w:rsid w:val="00B6769B"/>
    <w:rsid w:val="00B7121E"/>
    <w:rsid w:val="00B71DC8"/>
    <w:rsid w:val="00B734C3"/>
    <w:rsid w:val="00B7490D"/>
    <w:rsid w:val="00B75A23"/>
    <w:rsid w:val="00B76536"/>
    <w:rsid w:val="00B81114"/>
    <w:rsid w:val="00B83DB6"/>
    <w:rsid w:val="00B87479"/>
    <w:rsid w:val="00B878FC"/>
    <w:rsid w:val="00B923F9"/>
    <w:rsid w:val="00B9275E"/>
    <w:rsid w:val="00B92BF5"/>
    <w:rsid w:val="00B92C44"/>
    <w:rsid w:val="00B965F1"/>
    <w:rsid w:val="00B96CB2"/>
    <w:rsid w:val="00BA329F"/>
    <w:rsid w:val="00BA45EF"/>
    <w:rsid w:val="00BA466D"/>
    <w:rsid w:val="00BA503C"/>
    <w:rsid w:val="00BB2BFA"/>
    <w:rsid w:val="00BB64C8"/>
    <w:rsid w:val="00BB7529"/>
    <w:rsid w:val="00BB7ABF"/>
    <w:rsid w:val="00BC0D31"/>
    <w:rsid w:val="00BC3079"/>
    <w:rsid w:val="00BC4C8F"/>
    <w:rsid w:val="00BC4CDF"/>
    <w:rsid w:val="00BC4E6A"/>
    <w:rsid w:val="00BD112F"/>
    <w:rsid w:val="00BD3C73"/>
    <w:rsid w:val="00BD5FFB"/>
    <w:rsid w:val="00BE71B3"/>
    <w:rsid w:val="00BF3487"/>
    <w:rsid w:val="00BF3ED2"/>
    <w:rsid w:val="00BF4948"/>
    <w:rsid w:val="00C01A9D"/>
    <w:rsid w:val="00C01DCE"/>
    <w:rsid w:val="00C02C05"/>
    <w:rsid w:val="00C05414"/>
    <w:rsid w:val="00C05590"/>
    <w:rsid w:val="00C065D6"/>
    <w:rsid w:val="00C118D1"/>
    <w:rsid w:val="00C12A92"/>
    <w:rsid w:val="00C200D5"/>
    <w:rsid w:val="00C21037"/>
    <w:rsid w:val="00C24A02"/>
    <w:rsid w:val="00C303EB"/>
    <w:rsid w:val="00C30FA6"/>
    <w:rsid w:val="00C31601"/>
    <w:rsid w:val="00C321B4"/>
    <w:rsid w:val="00C33164"/>
    <w:rsid w:val="00C33C2B"/>
    <w:rsid w:val="00C37E73"/>
    <w:rsid w:val="00C40237"/>
    <w:rsid w:val="00C41B81"/>
    <w:rsid w:val="00C45D04"/>
    <w:rsid w:val="00C45D9A"/>
    <w:rsid w:val="00C47123"/>
    <w:rsid w:val="00C47EB4"/>
    <w:rsid w:val="00C501FC"/>
    <w:rsid w:val="00C51C36"/>
    <w:rsid w:val="00C520B2"/>
    <w:rsid w:val="00C522C1"/>
    <w:rsid w:val="00C570BF"/>
    <w:rsid w:val="00C61741"/>
    <w:rsid w:val="00C636A4"/>
    <w:rsid w:val="00C644E9"/>
    <w:rsid w:val="00C65493"/>
    <w:rsid w:val="00C6727E"/>
    <w:rsid w:val="00C70283"/>
    <w:rsid w:val="00C755CF"/>
    <w:rsid w:val="00C7631F"/>
    <w:rsid w:val="00C9193A"/>
    <w:rsid w:val="00C94543"/>
    <w:rsid w:val="00C97100"/>
    <w:rsid w:val="00C97B10"/>
    <w:rsid w:val="00CA64D5"/>
    <w:rsid w:val="00CB03B5"/>
    <w:rsid w:val="00CB2293"/>
    <w:rsid w:val="00CB48F9"/>
    <w:rsid w:val="00CC2877"/>
    <w:rsid w:val="00CC4018"/>
    <w:rsid w:val="00CC4C24"/>
    <w:rsid w:val="00CC5E0B"/>
    <w:rsid w:val="00CC6983"/>
    <w:rsid w:val="00CD1340"/>
    <w:rsid w:val="00CD3E7E"/>
    <w:rsid w:val="00CD462C"/>
    <w:rsid w:val="00CD5951"/>
    <w:rsid w:val="00CE003A"/>
    <w:rsid w:val="00CE2392"/>
    <w:rsid w:val="00CE395D"/>
    <w:rsid w:val="00CE652B"/>
    <w:rsid w:val="00CE7236"/>
    <w:rsid w:val="00CF0F6C"/>
    <w:rsid w:val="00CF33D8"/>
    <w:rsid w:val="00CF3938"/>
    <w:rsid w:val="00CF3D24"/>
    <w:rsid w:val="00CF422D"/>
    <w:rsid w:val="00CF74DB"/>
    <w:rsid w:val="00CF7FE4"/>
    <w:rsid w:val="00D017C7"/>
    <w:rsid w:val="00D10281"/>
    <w:rsid w:val="00D12E36"/>
    <w:rsid w:val="00D131D0"/>
    <w:rsid w:val="00D140AF"/>
    <w:rsid w:val="00D15DBA"/>
    <w:rsid w:val="00D17744"/>
    <w:rsid w:val="00D23A25"/>
    <w:rsid w:val="00D23DFC"/>
    <w:rsid w:val="00D27007"/>
    <w:rsid w:val="00D2715E"/>
    <w:rsid w:val="00D30E92"/>
    <w:rsid w:val="00D316B7"/>
    <w:rsid w:val="00D32235"/>
    <w:rsid w:val="00D36A21"/>
    <w:rsid w:val="00D37FFA"/>
    <w:rsid w:val="00D41034"/>
    <w:rsid w:val="00D42986"/>
    <w:rsid w:val="00D43369"/>
    <w:rsid w:val="00D43655"/>
    <w:rsid w:val="00D43E53"/>
    <w:rsid w:val="00D43EE9"/>
    <w:rsid w:val="00D44BF9"/>
    <w:rsid w:val="00D47608"/>
    <w:rsid w:val="00D477F1"/>
    <w:rsid w:val="00D50A5E"/>
    <w:rsid w:val="00D50E7B"/>
    <w:rsid w:val="00D511A5"/>
    <w:rsid w:val="00D52C93"/>
    <w:rsid w:val="00D52FFE"/>
    <w:rsid w:val="00D542F6"/>
    <w:rsid w:val="00D55D76"/>
    <w:rsid w:val="00D60332"/>
    <w:rsid w:val="00D620C4"/>
    <w:rsid w:val="00D64CE6"/>
    <w:rsid w:val="00D66B6C"/>
    <w:rsid w:val="00D7028E"/>
    <w:rsid w:val="00D70ED0"/>
    <w:rsid w:val="00D76DDF"/>
    <w:rsid w:val="00D77B1F"/>
    <w:rsid w:val="00D8479F"/>
    <w:rsid w:val="00D91A9A"/>
    <w:rsid w:val="00DA07F7"/>
    <w:rsid w:val="00DA102C"/>
    <w:rsid w:val="00DA391C"/>
    <w:rsid w:val="00DA41BD"/>
    <w:rsid w:val="00DA5243"/>
    <w:rsid w:val="00DB271B"/>
    <w:rsid w:val="00DB741F"/>
    <w:rsid w:val="00DB79DA"/>
    <w:rsid w:val="00DC2BA1"/>
    <w:rsid w:val="00DC3A2D"/>
    <w:rsid w:val="00DC3BB1"/>
    <w:rsid w:val="00DC4B79"/>
    <w:rsid w:val="00DC4BF0"/>
    <w:rsid w:val="00DC5F9F"/>
    <w:rsid w:val="00DC653E"/>
    <w:rsid w:val="00DD5CFF"/>
    <w:rsid w:val="00DD78ED"/>
    <w:rsid w:val="00DD79C3"/>
    <w:rsid w:val="00DE149E"/>
    <w:rsid w:val="00DE287F"/>
    <w:rsid w:val="00DE2DFA"/>
    <w:rsid w:val="00DE32C8"/>
    <w:rsid w:val="00DE5F7A"/>
    <w:rsid w:val="00E0070B"/>
    <w:rsid w:val="00E02905"/>
    <w:rsid w:val="00E03AA9"/>
    <w:rsid w:val="00E116E4"/>
    <w:rsid w:val="00E11BAF"/>
    <w:rsid w:val="00E128D8"/>
    <w:rsid w:val="00E13EF1"/>
    <w:rsid w:val="00E15975"/>
    <w:rsid w:val="00E202E1"/>
    <w:rsid w:val="00E20EFF"/>
    <w:rsid w:val="00E2196F"/>
    <w:rsid w:val="00E22F5A"/>
    <w:rsid w:val="00E26460"/>
    <w:rsid w:val="00E34404"/>
    <w:rsid w:val="00E34433"/>
    <w:rsid w:val="00E346FB"/>
    <w:rsid w:val="00E3740C"/>
    <w:rsid w:val="00E408B2"/>
    <w:rsid w:val="00E43765"/>
    <w:rsid w:val="00E443A7"/>
    <w:rsid w:val="00E47C2A"/>
    <w:rsid w:val="00E5134E"/>
    <w:rsid w:val="00E51B1E"/>
    <w:rsid w:val="00E52BED"/>
    <w:rsid w:val="00E52FC1"/>
    <w:rsid w:val="00E614BE"/>
    <w:rsid w:val="00E61ACA"/>
    <w:rsid w:val="00E61D46"/>
    <w:rsid w:val="00E62EEE"/>
    <w:rsid w:val="00E63086"/>
    <w:rsid w:val="00E63296"/>
    <w:rsid w:val="00E672E5"/>
    <w:rsid w:val="00E67B9F"/>
    <w:rsid w:val="00E7268D"/>
    <w:rsid w:val="00E746E6"/>
    <w:rsid w:val="00E77FA0"/>
    <w:rsid w:val="00E81239"/>
    <w:rsid w:val="00E81D19"/>
    <w:rsid w:val="00E84139"/>
    <w:rsid w:val="00E910A8"/>
    <w:rsid w:val="00E93002"/>
    <w:rsid w:val="00EB19E1"/>
    <w:rsid w:val="00EB5CF3"/>
    <w:rsid w:val="00EC0E84"/>
    <w:rsid w:val="00EC12DC"/>
    <w:rsid w:val="00EC1701"/>
    <w:rsid w:val="00EC3C69"/>
    <w:rsid w:val="00EC4404"/>
    <w:rsid w:val="00EC4490"/>
    <w:rsid w:val="00EC4964"/>
    <w:rsid w:val="00EC4A5C"/>
    <w:rsid w:val="00ED1FA6"/>
    <w:rsid w:val="00ED3E30"/>
    <w:rsid w:val="00ED54B1"/>
    <w:rsid w:val="00EE28C5"/>
    <w:rsid w:val="00EE3CB1"/>
    <w:rsid w:val="00EE4104"/>
    <w:rsid w:val="00EE45DB"/>
    <w:rsid w:val="00EF19CC"/>
    <w:rsid w:val="00EF2737"/>
    <w:rsid w:val="00EF3591"/>
    <w:rsid w:val="00EF3E98"/>
    <w:rsid w:val="00EF769E"/>
    <w:rsid w:val="00F00099"/>
    <w:rsid w:val="00F03FE4"/>
    <w:rsid w:val="00F04644"/>
    <w:rsid w:val="00F04FC6"/>
    <w:rsid w:val="00F0521F"/>
    <w:rsid w:val="00F06B5E"/>
    <w:rsid w:val="00F14C33"/>
    <w:rsid w:val="00F15A12"/>
    <w:rsid w:val="00F15B30"/>
    <w:rsid w:val="00F161B8"/>
    <w:rsid w:val="00F24E79"/>
    <w:rsid w:val="00F255FD"/>
    <w:rsid w:val="00F301D6"/>
    <w:rsid w:val="00F310AC"/>
    <w:rsid w:val="00F319EF"/>
    <w:rsid w:val="00F406DA"/>
    <w:rsid w:val="00F44132"/>
    <w:rsid w:val="00F45D81"/>
    <w:rsid w:val="00F478B2"/>
    <w:rsid w:val="00F50D8A"/>
    <w:rsid w:val="00F51344"/>
    <w:rsid w:val="00F51449"/>
    <w:rsid w:val="00F526C5"/>
    <w:rsid w:val="00F60E59"/>
    <w:rsid w:val="00F640D8"/>
    <w:rsid w:val="00F64504"/>
    <w:rsid w:val="00F64B0B"/>
    <w:rsid w:val="00F67147"/>
    <w:rsid w:val="00F71B4D"/>
    <w:rsid w:val="00F7227E"/>
    <w:rsid w:val="00F73776"/>
    <w:rsid w:val="00F75573"/>
    <w:rsid w:val="00F759A3"/>
    <w:rsid w:val="00F75CCB"/>
    <w:rsid w:val="00F8043A"/>
    <w:rsid w:val="00F872C1"/>
    <w:rsid w:val="00F87AE8"/>
    <w:rsid w:val="00F900DD"/>
    <w:rsid w:val="00F9328E"/>
    <w:rsid w:val="00FA10F2"/>
    <w:rsid w:val="00FA2015"/>
    <w:rsid w:val="00FA387E"/>
    <w:rsid w:val="00FB00CF"/>
    <w:rsid w:val="00FB0D63"/>
    <w:rsid w:val="00FB26EA"/>
    <w:rsid w:val="00FB3B37"/>
    <w:rsid w:val="00FB7EA2"/>
    <w:rsid w:val="00FC5EB3"/>
    <w:rsid w:val="00FC7F2C"/>
    <w:rsid w:val="00FD0487"/>
    <w:rsid w:val="00FD1F08"/>
    <w:rsid w:val="00FD3A17"/>
    <w:rsid w:val="00FD5480"/>
    <w:rsid w:val="00FD5F38"/>
    <w:rsid w:val="00FD6019"/>
    <w:rsid w:val="00FE1EB1"/>
    <w:rsid w:val="00FE2E0B"/>
    <w:rsid w:val="00FE4D09"/>
    <w:rsid w:val="00FE5C9A"/>
    <w:rsid w:val="00FE6BBC"/>
    <w:rsid w:val="00FF1EAE"/>
    <w:rsid w:val="00FF3D42"/>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B7121E"/>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B7121E"/>
    <w:rPr>
      <w:rFonts w:ascii="Segoe UI" w:hAnsi="Segoe UI" w:cs="Segoe UI"/>
      <w:sz w:val="18"/>
      <w:szCs w:val="18"/>
      <w:rtl w:val="0"/>
      <w:cs w:val="0"/>
    </w:rPr>
  </w:style>
  <w:style w:type="paragraph" w:styleId="FootnoteText">
    <w:name w:val="footnote text"/>
    <w:basedOn w:val="Normal"/>
    <w:link w:val="TextpoznmkypodiarouChar"/>
    <w:uiPriority w:val="99"/>
    <w:semiHidden/>
    <w:unhideWhenUsed/>
    <w:rsid w:val="00C94543"/>
    <w:pPr>
      <w:spacing w:after="0" w:line="240" w:lineRule="auto"/>
      <w:jc w:val="left"/>
    </w:pPr>
    <w:rPr>
      <w:rFonts w:asciiTheme="minorHAnsi" w:hAnsiTheme="minorHAnsi"/>
      <w:sz w:val="20"/>
      <w:szCs w:val="20"/>
    </w:rPr>
  </w:style>
  <w:style w:type="character" w:customStyle="1" w:styleId="TextpoznmkypodiarouChar">
    <w:name w:val="Text poznámky pod čiarou Char"/>
    <w:basedOn w:val="DefaultParagraphFont"/>
    <w:link w:val="FootnoteText"/>
    <w:uiPriority w:val="99"/>
    <w:semiHidden/>
    <w:locked/>
    <w:rsid w:val="00C94543"/>
    <w:rPr>
      <w:rFonts w:eastAsia="Times New Roman" w:cs="Times New Roman"/>
      <w:sz w:val="20"/>
      <w:szCs w:val="20"/>
      <w:rtl w:val="0"/>
      <w:cs w:val="0"/>
    </w:rPr>
  </w:style>
  <w:style w:type="character" w:styleId="FootnoteReference">
    <w:name w:val="footnote reference"/>
    <w:basedOn w:val="DefaultParagraphFont"/>
    <w:uiPriority w:val="99"/>
    <w:semiHidden/>
    <w:unhideWhenUsed/>
    <w:rsid w:val="00C94543"/>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58</TotalTime>
  <Pages>4</Pages>
  <Words>1150</Words>
  <Characters>6555</Characters>
  <Application>Microsoft Office Word</Application>
  <DocSecurity>0</DocSecurity>
  <Lines>0</Lines>
  <Paragraphs>0</Paragraphs>
  <ScaleCrop>false</ScaleCrop>
  <Company>MVSR</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Andrej</cp:lastModifiedBy>
  <cp:revision>10</cp:revision>
  <cp:lastPrinted>2018-08-24T12:21:00Z</cp:lastPrinted>
  <dcterms:created xsi:type="dcterms:W3CDTF">2018-07-26T11:08:00Z</dcterms:created>
  <dcterms:modified xsi:type="dcterms:W3CDTF">2018-08-24T12:23:00Z</dcterms:modified>
</cp:coreProperties>
</file>