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32B4B" w:rsidRPr="00132B4B" w:rsidP="00132B4B">
      <w:pPr>
        <w:bidi w:val="0"/>
        <w:spacing w:after="0" w:line="276" w:lineRule="auto"/>
        <w:jc w:val="center"/>
        <w:rPr>
          <w:rFonts w:ascii="Times New Roman" w:eastAsia="Arial" w:hAnsi="Times New Roman" w:cs="Times New Roman"/>
          <w:color w:val="000000"/>
          <w:sz w:val="24"/>
          <w:szCs w:val="24"/>
          <w:lang w:eastAsia="sk-SK"/>
        </w:rPr>
      </w:pPr>
      <w:r w:rsidRPr="00132B4B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DOLOŽ</w:t>
      </w:r>
      <w:r w:rsidRPr="00132B4B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KA ZLUČ</w:t>
      </w:r>
      <w:r w:rsidRPr="00132B4B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ITEĽ</w:t>
      </w:r>
      <w:r w:rsidRPr="00132B4B">
        <w:rPr>
          <w:rFonts w:ascii="Times New Roman" w:eastAsia="Verdana" w:hAnsi="Times New Roman" w:cs="Times New Roman" w:hint="default"/>
          <w:b/>
          <w:color w:val="000000"/>
          <w:sz w:val="24"/>
          <w:szCs w:val="24"/>
          <w:lang w:eastAsia="sk-SK"/>
        </w:rPr>
        <w:t>NOSTI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právneho predpisu s právom Európskej únie 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1.</w:t>
        <w:tab/>
        <w:t>Predkladateľ právneho predpisu:</w:t>
      </w:r>
      <w:r w:rsidRPr="00132B4B">
        <w:rPr>
          <w:rFonts w:ascii="Times New Roman" w:hAnsi="Times New Roman" w:cs="Times New Roman"/>
          <w:sz w:val="24"/>
          <w:szCs w:val="24"/>
        </w:rPr>
        <w:t xml:space="preserve"> Poslanci Národnej rady Slovenskej republiky</w:t>
      </w:r>
      <w:r w:rsidRPr="001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B4B">
        <w:rPr>
          <w:rFonts w:ascii="Times New Roman" w:hAnsi="Times New Roman" w:cs="Times New Roman"/>
          <w:sz w:val="24"/>
          <w:szCs w:val="24"/>
        </w:rPr>
        <w:t>Petra KRIŠTÚFKOVÁ, Boris KOLLÁR, Zuzana ŠEBOVÁ</w:t>
      </w:r>
    </w:p>
    <w:p w:rsidR="00132B4B" w:rsidRPr="00132B4B" w:rsidP="00132B4B">
      <w:pPr>
        <w:widowControl w:val="0"/>
        <w:tabs>
          <w:tab w:val="left" w:pos="360"/>
        </w:tabs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 xml:space="preserve"> 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Calibri"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2.</w:t>
        <w:tab/>
        <w:t>Názov návrhu právneho predpisu:</w:t>
      </w:r>
      <w:r w:rsidRPr="00132B4B">
        <w:rPr>
          <w:rFonts w:ascii="Times New Roman" w:hAnsi="Times New Roman" w:cs="Times New Roman"/>
          <w:sz w:val="24"/>
          <w:szCs w:val="24"/>
        </w:rPr>
        <w:t xml:space="preserve">  </w:t>
      </w:r>
      <w:r w:rsidRPr="00132B4B">
        <w:rPr>
          <w:rFonts w:ascii="Times New Roman" w:hAnsi="Times New Roman" w:cs="Calibri"/>
          <w:sz w:val="24"/>
          <w:szCs w:val="24"/>
        </w:rPr>
        <w:t>Návrh   zákona</w:t>
      </w:r>
      <w:r>
        <w:rPr>
          <w:rFonts w:ascii="Times New Roman" w:hAnsi="Times New Roman" w:cs="Calibri"/>
          <w:sz w:val="24"/>
          <w:szCs w:val="24"/>
        </w:rPr>
        <w:t xml:space="preserve"> o príspevku na bývanie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3.</w:t>
        <w:tab/>
        <w:t>Problematika návrhu právneho predpisu: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a)</w:t>
        <w:tab/>
        <w:t>nie je upravená v práve Európskej únie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b)</w:t>
        <w:tab/>
        <w:t>nie je obsiahnutá v judikatúre Súdneho dvora Európskej únie.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709" w:hanging="349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4.</w:t>
        <w:tab/>
        <w:t xml:space="preserve">Záväzky Slovenskej republiky vo vzťahu k Európskej únii: 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bezpredmetné 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8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rPr>
          <w:rFonts w:ascii="Times New Roman" w:hAnsi="Times New Roman" w:cs="Times New Roman"/>
          <w:b/>
          <w:bCs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</w:rPr>
        <w:t>5.</w:t>
        <w:tab/>
        <w:t>Stupeň zlučiteľnosti návrhu právneho predpisu s právom Európskej únie: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360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Stupeň zlučiteľnosti - úplný </w:t>
      </w:r>
    </w:p>
    <w:p w:rsidR="00132B4B" w:rsidRPr="00132B4B" w:rsidP="00132B4B">
      <w:pPr>
        <w:widowControl w:val="0"/>
        <w:tabs>
          <w:tab w:val="left" w:pos="360"/>
        </w:tabs>
        <w:bidi w:val="0"/>
        <w:adjustRightInd w:val="0"/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br/>
      </w: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  <w:r w:rsidRPr="00132B4B">
        <w:rPr>
          <w:rFonts w:ascii="Times New Roman" w:hAnsi="Times New Roman" w:cs="Times New Roman"/>
          <w:b/>
          <w:bCs/>
          <w:sz w:val="28"/>
          <w:szCs w:val="28"/>
        </w:rPr>
        <w:t>Doložka vybraných vplyvov</w:t>
      </w:r>
    </w:p>
    <w:p w:rsidR="00132B4B" w:rsidRPr="00132B4B" w:rsidP="00132B4B">
      <w:pPr>
        <w:widowControl w:val="0"/>
        <w:bidi w:val="0"/>
        <w:adjustRightInd w:val="0"/>
        <w:spacing w:after="200" w:line="276" w:lineRule="auto"/>
        <w:ind w:right="-108"/>
        <w:jc w:val="center"/>
        <w:outlineLvl w:val="0"/>
        <w:rPr>
          <w:rFonts w:ascii="Times New Roman" w:hAnsi="Times New Roman" w:cs="Times New Roman"/>
          <w:b/>
          <w:bCs/>
          <w:sz w:val="28"/>
          <w:szCs w:val="28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Calibri"/>
          <w:sz w:val="24"/>
          <w:szCs w:val="24"/>
        </w:rPr>
      </w:pPr>
      <w:r w:rsidRPr="00132B4B">
        <w:rPr>
          <w:rFonts w:ascii="Times New Roman" w:hAnsi="Times New Roman" w:cs="Times New Roman"/>
          <w:b/>
          <w:bCs/>
        </w:rPr>
        <w:t xml:space="preserve">A.1. Názov </w:t>
      </w:r>
      <w:r w:rsidRPr="00132B4B">
        <w:rPr>
          <w:rFonts w:ascii="Times New Roman" w:hAnsi="Times New Roman" w:cs="Times New Roman"/>
          <w:b/>
          <w:bCs/>
          <w:sz w:val="24"/>
          <w:szCs w:val="24"/>
        </w:rPr>
        <w:t>materiálu: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B4B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132B4B">
        <w:rPr>
          <w:rFonts w:ascii="Times New Roman" w:hAnsi="Times New Roman" w:cs="Calibri"/>
          <w:sz w:val="24"/>
          <w:szCs w:val="24"/>
        </w:rPr>
        <w:t>Návrh  zákona</w:t>
      </w:r>
      <w:r>
        <w:rPr>
          <w:rFonts w:ascii="Times New Roman" w:hAnsi="Times New Roman" w:cs="Calibri"/>
          <w:sz w:val="24"/>
          <w:szCs w:val="24"/>
        </w:rPr>
        <w:t xml:space="preserve"> o príspevku na bývanie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left="360" w:hanging="360"/>
        <w:jc w:val="both"/>
        <w:rPr>
          <w:rFonts w:ascii="Times New Roman" w:hAnsi="Times New Roman" w:cs="Times New Roman"/>
          <w:b/>
          <w:bCs/>
        </w:rPr>
      </w:pPr>
    </w:p>
    <w:p w:rsidR="00132B4B" w:rsidRPr="00132B4B" w:rsidP="00132B4B">
      <w:pPr>
        <w:widowControl w:val="0"/>
        <w:bidi w:val="0"/>
        <w:adjustRightInd w:val="0"/>
        <w:spacing w:after="200" w:line="240" w:lineRule="auto"/>
        <w:outlineLvl w:val="0"/>
        <w:rPr>
          <w:rFonts w:ascii="Times New Roman" w:hAnsi="Times New Roman" w:cs="Times New Roman"/>
          <w:b/>
          <w:bCs/>
        </w:rPr>
      </w:pPr>
      <w:r w:rsidRPr="00132B4B">
        <w:rPr>
          <w:rFonts w:ascii="Times New Roman" w:hAnsi="Times New Roman" w:cs="Times New Roman"/>
          <w:b/>
          <w:bCs/>
        </w:rPr>
        <w:t>A.2. Vplyvy:</w:t>
      </w:r>
    </w:p>
    <w:tbl>
      <w:tblPr>
        <w:tblStyle w:val="TableNormal"/>
        <w:tblW w:w="92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57" w:type="dxa"/>
          <w:bottom w:w="57" w:type="dxa"/>
        </w:tblCellMar>
        <w:tblLook w:val="01E0"/>
      </w:tblPr>
      <w:tblGrid>
        <w:gridCol w:w="3726"/>
        <w:gridCol w:w="1939"/>
        <w:gridCol w:w="1843"/>
        <w:gridCol w:w="1701"/>
      </w:tblGrid>
      <w:tr>
        <w:tblPrEx>
          <w:tblW w:w="9209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Pozitívne</w:t>
            </w:r>
            <w:r w:rsidRPr="00132B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Žiadne</w:t>
            </w:r>
            <w:r w:rsidRPr="00132B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center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Negatívne</w:t>
            </w:r>
            <w:r w:rsidRPr="00132B4B">
              <w:rPr>
                <w:rFonts w:ascii="Times New Roman" w:hAnsi="Times New Roman" w:cs="Times New Roman"/>
                <w:sz w:val="24"/>
                <w:szCs w:val="24"/>
                <w:vertAlign w:val="superscript"/>
              </w:rPr>
              <w:t>*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1. Vplyvy na rozpočet verejnej správy</w:t>
            </w: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i/>
                <w:iCs/>
                <w:sz w:val="24"/>
                <w:szCs w:val="24"/>
              </w:rPr>
            </w:pP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2. Vplyvy na podnikateľské prostredie – dochádza k zvýšeniu regulačného zaťaženia?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 xml:space="preserve">3, Sociálne vplyvy </w:t>
            </w: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– vplyvy  na hospodárenie obyvateľstva,</w:t>
            </w: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-sociálnu exklúziu,</w:t>
            </w: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-  rovnosť príležitostí a rodovú rovnosť a vplyvy na zamestnanosť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4. Vplyvy na životné prostredie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>
        <w:tblPrEx>
          <w:tblW w:w="9209" w:type="dxa"/>
          <w:tblCellMar>
            <w:top w:w="57" w:type="dxa"/>
            <w:bottom w:w="57" w:type="dxa"/>
          </w:tblCellMar>
          <w:tblLook w:val="01E0"/>
        </w:tblPrEx>
        <w:tc>
          <w:tcPr>
            <w:tcW w:w="37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5. Vplyvy na informatizáciu spoločnosti</w:t>
            </w:r>
          </w:p>
        </w:tc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  <w:hideMark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32B4B">
              <w:rPr>
                <w:rFonts w:ascii="Times New Roman" w:hAnsi="Times New Roman" w:cs="Times New Roman"/>
                <w:sz w:val="24"/>
                <w:szCs w:val="24"/>
              </w:rPr>
              <w:t>x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extDirection w:val="lrTb"/>
            <w:vAlign w:val="top"/>
          </w:tcPr>
          <w:p w:rsidR="00132B4B" w:rsidRPr="00132B4B" w:rsidP="00132B4B">
            <w:pPr>
              <w:widowControl w:val="0"/>
              <w:bidi w:val="0"/>
              <w:adjustRightInd w:val="0"/>
              <w:spacing w:after="20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sz w:val="16"/>
          <w:szCs w:val="16"/>
          <w:lang w:eastAsia="sk-SK"/>
        </w:rPr>
      </w:pPr>
    </w:p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  <w:lang w:eastAsia="sk-SK"/>
        </w:rPr>
      </w:pPr>
      <w:r w:rsidRPr="00132B4B">
        <w:rPr>
          <w:rFonts w:ascii="Times New Roman" w:hAnsi="Times New Roman" w:cs="Times New Roman"/>
          <w:sz w:val="16"/>
          <w:szCs w:val="16"/>
          <w:lang w:eastAsia="sk-SK"/>
        </w:rPr>
        <w:t>* Predkladateľ označí znakom x zodpovedajúci vplyv (pozitívny, negatívny, žiadny), ktorý návrh prináša v každej oblasti posudzovania vplyvov. Návrh môže mať v jednej oblasti zároveň pozitívny aj negatívny vplyv, v tom prípade predkladateľ označí obe možnosti. Bližšie vysvetlenie označených vplyvov bude obsahovať analýza vplyvov. Isté vysvetlenie, či bilanciu vplyvov (sumárne zhodnotenie, ktorý vplyv v danej oblasti prevažuje) môže predkladateľ uviesť v poznámke.</w:t>
      </w:r>
    </w:p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sk-SK"/>
        </w:rPr>
      </w:pPr>
    </w:p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16"/>
          <w:szCs w:val="16"/>
          <w:lang w:eastAsia="sk-SK"/>
        </w:rPr>
      </w:pPr>
    </w:p>
    <w:p w:rsidR="00132B4B" w:rsidRPr="00132B4B" w:rsidP="00132B4B">
      <w:pPr>
        <w:bidi w:val="0"/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A.3. Poznámky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 w:cs="Calibri"/>
          <w:sz w:val="24"/>
          <w:szCs w:val="24"/>
          <w:lang w:val="en-US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Predkladaný návrh   zákona</w:t>
      </w:r>
      <w:r w:rsidRPr="00132B4B">
        <w:rPr>
          <w:rFonts w:ascii="Times New Roman" w:hAnsi="Times New Roman" w:cs="Calibri"/>
          <w:sz w:val="24"/>
          <w:szCs w:val="24"/>
        </w:rPr>
        <w:t xml:space="preserve"> </w:t>
      </w:r>
      <w:r>
        <w:rPr>
          <w:rFonts w:ascii="Times New Roman" w:hAnsi="Times New Roman" w:cs="Calibri"/>
          <w:sz w:val="24"/>
          <w:szCs w:val="24"/>
        </w:rPr>
        <w:t xml:space="preserve">o príspevku na bývanie zavádza </w:t>
      </w:r>
      <w:r w:rsidR="006C191C">
        <w:rPr>
          <w:rFonts w:ascii="Times New Roman" w:hAnsi="Times New Roman" w:cs="Times New Roman"/>
          <w:sz w:val="24"/>
          <w:szCs w:val="24"/>
        </w:rPr>
        <w:t>nový</w:t>
      </w:r>
      <w:r w:rsidRPr="00132B4B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príspev</w:t>
      </w:r>
      <w:r w:rsidR="006C191C">
        <w:rPr>
          <w:rFonts w:ascii="Times New Roman" w:hAnsi="Times New Roman" w:cs="Times New Roman"/>
          <w:sz w:val="24"/>
          <w:szCs w:val="24"/>
        </w:rPr>
        <w:t>ok</w:t>
      </w:r>
      <w:r>
        <w:rPr>
          <w:rFonts w:ascii="Times New Roman" w:hAnsi="Times New Roman" w:cs="Times New Roman"/>
          <w:sz w:val="24"/>
          <w:szCs w:val="24"/>
        </w:rPr>
        <w:t xml:space="preserve"> pre poberateľa rodičovského príspevku – príspevok na bývanie </w:t>
      </w:r>
      <w:r w:rsidRPr="00132B4B">
        <w:rPr>
          <w:rFonts w:ascii="Times New Roman" w:hAnsi="Times New Roman" w:cs="Times New Roman"/>
          <w:sz w:val="24"/>
          <w:szCs w:val="24"/>
        </w:rPr>
        <w:t xml:space="preserve">, čo bude mať pozitívny  dopad na obyvateľstvo Slovenskej republiky a negatívny dopad na rozpočet verenej správy. 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V roku 201</w:t>
      </w:r>
      <w:r w:rsidR="0031056B">
        <w:rPr>
          <w:rFonts w:ascii="Times New Roman" w:hAnsi="Times New Roman" w:cs="Times New Roman"/>
          <w:sz w:val="24"/>
          <w:szCs w:val="24"/>
        </w:rPr>
        <w:t>7</w:t>
      </w:r>
      <w:r w:rsidRPr="00132B4B">
        <w:rPr>
          <w:rFonts w:ascii="Times New Roman" w:hAnsi="Times New Roman" w:cs="Times New Roman"/>
          <w:sz w:val="24"/>
          <w:szCs w:val="24"/>
        </w:rPr>
        <w:t xml:space="preserve"> bolo v Slovenskej republike bolo   </w:t>
      </w:r>
      <w:r w:rsidRPr="00FA043F" w:rsidR="00FA043F">
        <w:rPr>
          <w:rFonts w:ascii="Times New Roman" w:hAnsi="Times New Roman" w:cs="Times New Roman"/>
          <w:sz w:val="24"/>
          <w:szCs w:val="24"/>
        </w:rPr>
        <w:t>351</w:t>
      </w:r>
      <w:r w:rsidR="00FA043F">
        <w:rPr>
          <w:rFonts w:ascii="Times New Roman" w:hAnsi="Times New Roman" w:cs="Times New Roman"/>
          <w:sz w:val="24"/>
          <w:szCs w:val="24"/>
        </w:rPr>
        <w:t> </w:t>
      </w:r>
      <w:r w:rsidRPr="00FA043F" w:rsidR="00FA043F">
        <w:rPr>
          <w:rFonts w:ascii="Times New Roman" w:hAnsi="Times New Roman" w:cs="Times New Roman"/>
          <w:sz w:val="24"/>
          <w:szCs w:val="24"/>
        </w:rPr>
        <w:t>471</w:t>
      </w:r>
      <w:r w:rsidR="00FA043F">
        <w:rPr>
          <w:rFonts w:ascii="Times New Roman" w:hAnsi="Times New Roman" w:cs="Times New Roman"/>
          <w:sz w:val="24"/>
          <w:szCs w:val="24"/>
        </w:rPr>
        <w:t xml:space="preserve"> </w:t>
      </w:r>
      <w:r w:rsidRPr="00132B4B">
        <w:rPr>
          <w:rFonts w:ascii="Times New Roman" w:hAnsi="Times New Roman" w:cs="Times New Roman"/>
          <w:sz w:val="24"/>
          <w:szCs w:val="24"/>
        </w:rPr>
        <w:t xml:space="preserve">poberateľov </w:t>
      </w:r>
      <w:r w:rsidR="006E1754">
        <w:rPr>
          <w:rFonts w:ascii="Times New Roman" w:hAnsi="Times New Roman" w:cs="Times New Roman"/>
          <w:sz w:val="24"/>
          <w:szCs w:val="24"/>
        </w:rPr>
        <w:t>materskej dovolenky</w:t>
      </w:r>
      <w:r w:rsidRPr="00132B4B">
        <w:rPr>
          <w:rFonts w:ascii="Times New Roman" w:hAnsi="Times New Roman" w:cs="Times New Roman"/>
          <w:sz w:val="24"/>
          <w:szCs w:val="24"/>
        </w:rPr>
        <w:t xml:space="preserve">.  Zavedenie nového </w:t>
      </w:r>
      <w:r w:rsidR="00A127E3">
        <w:rPr>
          <w:rFonts w:ascii="Times New Roman" w:hAnsi="Times New Roman" w:cs="Times New Roman"/>
          <w:sz w:val="24"/>
          <w:szCs w:val="24"/>
        </w:rPr>
        <w:t>príspevku na bývanie</w:t>
      </w:r>
      <w:r w:rsidRPr="00132B4B">
        <w:rPr>
          <w:rFonts w:ascii="Times New Roman" w:hAnsi="Times New Roman" w:cs="Times New Roman"/>
          <w:sz w:val="24"/>
          <w:szCs w:val="24"/>
        </w:rPr>
        <w:t xml:space="preserve"> </w:t>
      </w:r>
      <w:r w:rsidR="00E0408B">
        <w:rPr>
          <w:rFonts w:ascii="Times New Roman" w:hAnsi="Times New Roman" w:cs="Times New Roman"/>
          <w:sz w:val="24"/>
          <w:szCs w:val="24"/>
        </w:rPr>
        <w:t xml:space="preserve"> bude mať každoročne  negatívny </w:t>
      </w:r>
      <w:r w:rsidRPr="00132B4B">
        <w:rPr>
          <w:rFonts w:ascii="Times New Roman" w:hAnsi="Times New Roman" w:cs="Times New Roman"/>
          <w:sz w:val="24"/>
          <w:szCs w:val="24"/>
        </w:rPr>
        <w:t>dopad na rozpočet verenej správy od roku 201</w:t>
      </w:r>
      <w:r w:rsidR="00A127E3">
        <w:rPr>
          <w:rFonts w:ascii="Times New Roman" w:hAnsi="Times New Roman" w:cs="Times New Roman"/>
          <w:sz w:val="24"/>
          <w:szCs w:val="24"/>
        </w:rPr>
        <w:t>9</w:t>
      </w:r>
      <w:r w:rsidRPr="00132B4B">
        <w:rPr>
          <w:rFonts w:ascii="Times New Roman" w:hAnsi="Times New Roman" w:cs="Times New Roman"/>
          <w:sz w:val="24"/>
          <w:szCs w:val="24"/>
        </w:rPr>
        <w:t xml:space="preserve">  približne  vo výške </w:t>
      </w:r>
      <w:r w:rsidR="00A127E3">
        <w:rPr>
          <w:rFonts w:ascii="Times New Roman" w:hAnsi="Times New Roman" w:cs="Times New Roman"/>
          <w:sz w:val="24"/>
          <w:szCs w:val="24"/>
        </w:rPr>
        <w:t xml:space="preserve"> </w:t>
      </w:r>
      <w:r w:rsidR="00E0408B">
        <w:rPr>
          <w:rFonts w:ascii="Times New Roman" w:hAnsi="Times New Roman" w:cs="Times New Roman"/>
          <w:sz w:val="24"/>
          <w:szCs w:val="24"/>
        </w:rPr>
        <w:t xml:space="preserve">cca </w:t>
      </w:r>
      <w:r w:rsidR="00FA043F">
        <w:rPr>
          <w:rFonts w:ascii="Times New Roman" w:hAnsi="Times New Roman" w:cs="Times New Roman"/>
          <w:sz w:val="24"/>
          <w:szCs w:val="24"/>
        </w:rPr>
        <w:t xml:space="preserve"> 35,2</w:t>
      </w:r>
      <w:r w:rsidR="00E0408B">
        <w:rPr>
          <w:rFonts w:ascii="Times New Roman" w:hAnsi="Times New Roman" w:cs="Times New Roman"/>
          <w:sz w:val="24"/>
          <w:szCs w:val="24"/>
        </w:rPr>
        <w:t xml:space="preserve"> </w:t>
      </w:r>
      <w:r w:rsidR="00A127E3">
        <w:rPr>
          <w:rFonts w:ascii="Times New Roman" w:hAnsi="Times New Roman" w:cs="Times New Roman"/>
          <w:sz w:val="24"/>
          <w:szCs w:val="24"/>
        </w:rPr>
        <w:t>mil. eur</w:t>
      </w:r>
      <w:r w:rsidRPr="00132B4B">
        <w:rPr>
          <w:rFonts w:ascii="Times New Roman" w:hAnsi="Times New Roman" w:cs="Times New Roman"/>
          <w:sz w:val="24"/>
          <w:szCs w:val="24"/>
        </w:rPr>
        <w:t xml:space="preserve">. </w:t>
      </w: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</w:p>
    <w:p w:rsidR="00132B4B" w:rsidRPr="00132B4B" w:rsidP="00132B4B">
      <w:pPr>
        <w:widowControl w:val="0"/>
        <w:bidi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  <w:lang w:eastAsia="sk-SK"/>
        </w:rPr>
        <w:t xml:space="preserve">Pri odhadoch objemu finančných prostriedkov, ktoré budú mať vplyv na rozpočet verejnej správy sme vychádzali zo skutočného  počtu poberateľov prídavku na detí, ktorý je uvedený v správe  </w:t>
      </w:r>
      <w:r w:rsidRPr="00132B4B">
        <w:rPr>
          <w:rFonts w:ascii="Times New Roman" w:hAnsi="Times New Roman" w:cs="Times New Roman"/>
          <w:sz w:val="24"/>
          <w:szCs w:val="24"/>
        </w:rPr>
        <w:t>o  sociálnej situácii obyvateľstva Slovenskej republiky za rok 201</w:t>
      </w:r>
      <w:r w:rsidR="00A127E3">
        <w:rPr>
          <w:rFonts w:ascii="Times New Roman" w:hAnsi="Times New Roman" w:cs="Times New Roman"/>
          <w:sz w:val="24"/>
          <w:szCs w:val="24"/>
        </w:rPr>
        <w:t>7</w:t>
      </w:r>
      <w:r w:rsidRPr="00132B4B">
        <w:rPr>
          <w:rFonts w:ascii="Times New Roman" w:hAnsi="Times New Roman" w:cs="Times New Roman"/>
          <w:sz w:val="24"/>
          <w:szCs w:val="24"/>
        </w:rPr>
        <w:t xml:space="preserve">.    </w:t>
      </w:r>
    </w:p>
    <w:p w:rsidR="00132B4B" w:rsidRPr="00132B4B" w:rsidP="00132B4B">
      <w:pPr>
        <w:bidi w:val="0"/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32B4B" w:rsidRPr="00132B4B" w:rsidP="00132B4B">
      <w:pPr>
        <w:bidi w:val="0"/>
        <w:spacing w:after="120" w:line="240" w:lineRule="auto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  <w:lang w:eastAsia="sk-SK"/>
        </w:rPr>
        <w:t>A.4. Alternatívne riešenia</w:t>
      </w:r>
    </w:p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sz w:val="24"/>
          <w:szCs w:val="24"/>
          <w:lang w:eastAsia="sk-SK"/>
        </w:rPr>
      </w:pPr>
      <w:r w:rsidRPr="00132B4B">
        <w:rPr>
          <w:rFonts w:ascii="Times New Roman" w:hAnsi="Times New Roman" w:cs="Times New Roman"/>
          <w:sz w:val="24"/>
          <w:szCs w:val="24"/>
          <w:lang w:eastAsia="sk-SK"/>
        </w:rPr>
        <w:t xml:space="preserve">Nepredkladajú sa. </w:t>
      </w:r>
    </w:p>
    <w:p w:rsidR="00132B4B" w:rsidRPr="00132B4B" w:rsidP="00132B4B">
      <w:pPr>
        <w:bidi w:val="0"/>
        <w:spacing w:after="120" w:line="240" w:lineRule="auto"/>
        <w:jc w:val="both"/>
        <w:rPr>
          <w:rFonts w:ascii="Times New Roman" w:hAnsi="Times New Roman" w:cs="Times New Roman"/>
          <w:b/>
          <w:bCs/>
          <w:sz w:val="24"/>
          <w:szCs w:val="24"/>
          <w:lang w:eastAsia="sk-SK"/>
        </w:rPr>
      </w:pPr>
    </w:p>
    <w:p w:rsidR="00132B4B" w:rsidRPr="00132B4B" w:rsidP="00132B4B">
      <w:pPr>
        <w:bidi w:val="0"/>
        <w:spacing w:after="120" w:line="240" w:lineRule="auto"/>
        <w:outlineLvl w:val="0"/>
        <w:rPr>
          <w:rFonts w:ascii="Times New Roman" w:hAnsi="Times New Roman" w:cs="Times New Roman"/>
          <w:b/>
          <w:bCs/>
          <w:sz w:val="24"/>
          <w:szCs w:val="24"/>
          <w:lang w:val="x-none" w:eastAsia="sk-SK"/>
        </w:rPr>
      </w:pPr>
      <w:r w:rsidRPr="00132B4B">
        <w:rPr>
          <w:rFonts w:ascii="Times New Roman" w:hAnsi="Times New Roman" w:cs="Times New Roman"/>
          <w:b/>
          <w:bCs/>
          <w:sz w:val="24"/>
          <w:szCs w:val="24"/>
          <w:lang w:val="x-none" w:eastAsia="sk-SK"/>
        </w:rPr>
        <w:t xml:space="preserve">A.5. Stanovisko gestorov </w:t>
      </w:r>
    </w:p>
    <w:p w:rsidR="00132B4B" w:rsidRPr="00132B4B" w:rsidP="00132B4B">
      <w:pPr>
        <w:widowControl w:val="0"/>
        <w:bidi w:val="0"/>
        <w:adjustRightInd w:val="0"/>
        <w:spacing w:after="20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132B4B">
        <w:rPr>
          <w:rFonts w:ascii="Times New Roman" w:hAnsi="Times New Roman" w:cs="Times New Roman"/>
          <w:sz w:val="24"/>
          <w:szCs w:val="24"/>
        </w:rPr>
        <w:t>Návrh zákona bol zaslaný na vyjadrenie Ministerstvu financií SR a stanovisko tohto ministerstva tvorí súčasť predkladaného materiálu.</w:t>
      </w:r>
    </w:p>
    <w:p w:rsidR="00132B4B" w:rsidRPr="00132B4B" w:rsidP="00132B4B">
      <w:pPr>
        <w:widowControl w:val="0"/>
        <w:bidi w:val="0"/>
        <w:adjustRightInd w:val="0"/>
        <w:spacing w:after="200" w:line="276" w:lineRule="auto"/>
        <w:rPr>
          <w:rFonts w:ascii="Times New Roman" w:hAnsi="Times New Roman" w:cs="Times New Roman"/>
          <w:sz w:val="24"/>
          <w:szCs w:val="24"/>
        </w:rPr>
      </w:pPr>
    </w:p>
    <w:p w:rsidR="00132B4B" w:rsidRPr="00132B4B" w:rsidP="00132B4B">
      <w:pPr>
        <w:widowControl w:val="0"/>
        <w:bidi w:val="0"/>
        <w:adjustRightInd w:val="0"/>
        <w:spacing w:after="200" w:line="276" w:lineRule="auto"/>
        <w:rPr>
          <w:rFonts w:ascii="Calibri" w:hAnsi="Calibri" w:cs="Calibri"/>
          <w:lang w:val="en-US"/>
        </w:rPr>
      </w:pPr>
    </w:p>
    <w:p w:rsidR="00295603">
      <w:pPr>
        <w:bidi w:val="0"/>
      </w:pPr>
    </w:p>
    <w:sectPr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FF" w:csb1="00000000"/>
  </w:font>
  <w:font w:name="Segoe UI">
    <w:panose1 w:val="020B0502040204020203"/>
    <w:charset w:val="EE"/>
    <w:family w:val="swiss"/>
    <w:pitch w:val="variable"/>
    <w:sig w:usb0="00000000" w:usb1="00000000" w:usb2="00000000" w:usb3="00000000" w:csb0="000001FF" w:csb1="00000000"/>
  </w:font>
  <w:font w:name="Verdana">
    <w:panose1 w:val="020B0604030504040204"/>
    <w:charset w:val="EE"/>
    <w:family w:val="swiss"/>
    <w:pitch w:val="variable"/>
    <w:sig w:usb0="00000000" w:usb1="00000000" w:usb2="00000000" w:usb3="00000000" w:csb0="0000019F" w:csb1="00000000"/>
  </w:font>
  <w:font w:name="Calibri Light">
    <w:panose1 w:val="020F0302020204030204"/>
    <w:charset w:val="EE"/>
    <w:family w:val="swiss"/>
    <w:pitch w:val="variable"/>
    <w:sig w:usb0="00000000" w:usb1="00000000" w:usb2="00000000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TrackMoves/>
  <w:defaultTabStop w:val="708"/>
  <w:hyphenationZone w:val="425"/>
  <w:characterSpacingControl w:val="doNotCompress"/>
  <w:compat/>
  <w:rsids>
    <w:rsidRoot w:val="00132B4B"/>
    <w:rsid w:val="00132B4B"/>
    <w:rsid w:val="00295603"/>
    <w:rsid w:val="0031056B"/>
    <w:rsid w:val="003F2838"/>
    <w:rsid w:val="0060633F"/>
    <w:rsid w:val="006C191C"/>
    <w:rsid w:val="006E1754"/>
    <w:rsid w:val="00A127E3"/>
    <w:rsid w:val="00E0408B"/>
    <w:rsid w:val="00FA043F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framePr w:wrap="auto"/>
      <w:widowControl/>
      <w:autoSpaceDE/>
      <w:autoSpaceDN/>
      <w:adjustRightInd/>
      <w:spacing w:after="160" w:line="259" w:lineRule="auto"/>
      <w:ind w:left="0" w:right="0"/>
      <w:jc w:val="left"/>
      <w:textAlignment w:val="auto"/>
    </w:pPr>
    <w:rPr>
      <w:rFonts w:asciiTheme="minorHAnsi" w:hAnsiTheme="minorHAnsi" w:cstheme="minorBidi"/>
      <w:sz w:val="22"/>
      <w:szCs w:val="22"/>
      <w:rtl w:val="0"/>
      <w:cs w:val="0"/>
      <w:lang w:val="sk-SK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TextbublinyChar"/>
    <w:uiPriority w:val="99"/>
    <w:semiHidden/>
    <w:unhideWhenUsed/>
    <w:rsid w:val="0060633F"/>
    <w:pPr>
      <w:spacing w:after="0" w:line="240" w:lineRule="auto"/>
      <w:jc w:val="left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DefaultParagraphFont"/>
    <w:link w:val="BalloonText"/>
    <w:uiPriority w:val="99"/>
    <w:semiHidden/>
    <w:locked/>
    <w:rsid w:val="0060633F"/>
    <w:rPr>
      <w:rFonts w:ascii="Segoe UI" w:hAnsi="Segoe UI" w:cs="Segoe UI"/>
      <w:sz w:val="18"/>
      <w:szCs w:val="18"/>
      <w:rtl w:val="0"/>
      <w:cs w:val="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3</Pages>
  <Words>384</Words>
  <Characters>2191</Characters>
  <Application>Microsoft Office Word</Application>
  <DocSecurity>0</DocSecurity>
  <Lines>0</Lines>
  <Paragraphs>0</Paragraphs>
  <ScaleCrop>false</ScaleCrop>
  <Company>Kancelaria NRSR</Company>
  <LinksUpToDate>false</LinksUpToDate>
  <CharactersWithSpaces>2570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Pčolinská, Adriana (asistent)</dc:creator>
  <cp:lastModifiedBy>Pčolinská, Adriana (asistent)</cp:lastModifiedBy>
  <cp:revision>2</cp:revision>
  <cp:lastPrinted>2018-08-07T11:01:00Z</cp:lastPrinted>
  <dcterms:created xsi:type="dcterms:W3CDTF">2018-08-24T12:13:00Z</dcterms:created>
  <dcterms:modified xsi:type="dcterms:W3CDTF">2018-08-24T12:13:00Z</dcterms:modified>
</cp:coreProperties>
</file>