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Analý</w:t>
            </w:r>
            <w:r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za s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8"/>
                <w:lang w:eastAsia="sk-SK"/>
              </w:rPr>
              <w:t>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224847" w:rsidRPr="00CD4982" w:rsidP="00E1659F">
            <w:pPr>
              <w:bidi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Vplyvy na hospodá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renie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,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stup k zdrojom, prá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vam, tovarom a služ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m, sociá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lnu inklú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ziu,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itostí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rodovú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 vplyvy na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te a kvantifikujte vplyv na hospodá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renie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pecifikujte ovplyvnené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, ktoré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budú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pozití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vne/negatí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224847">
          <w:headerReference w:type="default" r:id="rId5"/>
          <w:footerReference w:type="default" r:id="rId6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Vedie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eniu alebo zníž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eniu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/obyvateľ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takto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spô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sobom?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medzi potenciá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mi skupinami skupiny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686"/>
        <w:gridCol w:w="468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te 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pozití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vny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hospodá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renie domá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m, 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ide o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zvýš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zníž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vý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5017BD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A72F2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Zvýš</w:t>
            </w:r>
            <w:r w:rsidR="00A72F2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ení</w:t>
            </w:r>
            <w:r w:rsidR="00A72F2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 ú</w:t>
            </w:r>
            <w:r w:rsidR="00A72F2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rovne triedené</w:t>
            </w:r>
            <w:r w:rsidR="00A72F2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zberu</w:t>
            </w:r>
            <w:r w:rsidR="005017BD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komuná</w:t>
            </w:r>
            <w:r w:rsidR="005017BD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lnych odpadov môž</w:t>
            </w:r>
            <w:r w:rsidR="005017BD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 dô</w:t>
            </w:r>
            <w:r w:rsidR="005017BD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jsť</w:t>
            </w:r>
            <w:r w:rsidR="005017BD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</w:t>
            </w:r>
            <w:r w:rsidR="00A72F2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k </w:t>
            </w:r>
            <w:r w:rsidR="00A72F2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zníž</w:t>
            </w:r>
            <w:r w:rsidR="00A72F2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eniu miestneho poplatku za komuná</w:t>
            </w:r>
            <w:r w:rsidR="00A72F2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lne odpady </w:t>
            </w:r>
            <w:r w:rsidR="00A72F2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 </w:t>
            </w:r>
            <w:r w:rsidR="00A72F2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drobné</w:t>
            </w:r>
            <w:r w:rsidR="00A72F2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stavebné</w:t>
            </w:r>
            <w:r w:rsidR="00A72F2C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odpady.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Tá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to skutoč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nosť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vš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ak zá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visí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od súč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asnej ú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rovne triedené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zberu a 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najmä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od reá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lnej výš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ky miestneho poplatku</w:t>
            </w:r>
            <w:r w:rsidR="00C31C4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za komuná</w:t>
            </w:r>
            <w:r w:rsidR="00C31C4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lne odpady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, ktorá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môž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 ale aj nemusí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zodpovedať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skutoč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ný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 ná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kladom obce na zber a nakladanie s 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komuná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lnym odpadom.</w:t>
            </w:r>
            <w:r w:rsidR="00A72F2C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Sekundá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rny pozití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vny vplyv môž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 nastať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vytvorení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 nový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finanč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ný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zdrojov a 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ploš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nej podpore domá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ceho kompostovania, kedy by domá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cnosti mohli byť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prostrední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ctvom dotá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cie zabezpeč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ené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domá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cim kompostovací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 zá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sobní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kom (komposté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rom) na biologicky rozlož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iteľ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né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komuná</w:t>
            </w:r>
            <w:r w:rsidR="00C7684B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lne odpady.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pecifikujte 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pozití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vne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5369E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Domá</w:t>
            </w:r>
            <w:r w:rsidR="005369E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cnosti,</w:t>
            </w:r>
            <w:r w:rsidR="00C31C4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5369E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obce.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E538C0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te </w:t>
            </w:r>
            <w:r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negatí</w:t>
            </w:r>
            <w:r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vny 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vplyv na hospodá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renie domá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uvedení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m, 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ide o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zníž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 alebo zvýš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enie vý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4B56A9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Stagná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cia triedené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zberu komuná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lnych odpadov môž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 mať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vplyv na kaž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doroč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ný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ná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rast finanč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ný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ch prostriedkov na zneš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kodň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ovanie komuná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lnych odpadov sklá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dkovaní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m, č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 sa môž</w:t>
            </w:r>
            <w:r w:rsidR="004B56A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e preja</w:t>
            </w:r>
            <w:r w:rsidR="00C31C4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viť</w:t>
            </w:r>
            <w:r w:rsidR="00C31C4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vo zvyš</w:t>
            </w:r>
            <w:r w:rsidR="00C31C46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ovaní</w:t>
            </w:r>
            <w:r w:rsidR="004B56A9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miestne</w:t>
            </w:r>
            <w:r w:rsidR="007A015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ho poplatku za komuná</w:t>
            </w:r>
            <w:r w:rsidR="007A015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lne odpady a </w:t>
            </w:r>
            <w:r w:rsidR="007A015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drobné</w:t>
            </w:r>
            <w:r w:rsidR="007A015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stavebné</w:t>
            </w:r>
            <w:r w:rsidR="007A015E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odpady.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pecifikujte </w:t>
            </w:r>
            <w:r w:rsidRPr="00F2597D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negatí</w:t>
            </w:r>
            <w:r w:rsidRPr="00F2597D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vne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5369E6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5017BD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Domá</w:t>
            </w:r>
            <w:r w:rsidR="005017BD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cnosti</w:t>
            </w:r>
            <w:r w:rsidR="005369E6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pecifikujte ovplyvnené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riziku chudoby alebo sociá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lneho vylúč</w:t>
            </w:r>
            <w:r w:rsidRPr="00E538C0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40544D" w:rsidP="004B56A9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Kvantifikujte rast alebo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za jednotlivé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/ skupiny jednotlivcov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et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stva/domá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predkladaný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materiá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lom.</w:t>
            </w:r>
          </w:p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 vyšš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ieho poč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tu ovplyvnený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doplň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do tabuľ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ky ď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alš</w:t>
            </w:r>
            <w:r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 riadky.</w:t>
            </w:r>
          </w:p>
          <w:p w:rsidR="00224847" w:rsidRPr="0040544D" w:rsidP="00E1659F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pade, ak neuvá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dzate kvantifiká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ciu,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vod.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686"/>
        <w:gridCol w:w="468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Ovplyvnená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skupina č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. 1:</w:t>
            </w:r>
            <w:r w:rsidR="007E637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</w:t>
            </w:r>
            <w:r w:rsidRPr="001B2C5C" w:rsidR="007E637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Obyvatelia SR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7E637B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Pozití</w:t>
            </w:r>
            <w:r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C12D25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Negatí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vny vplyv 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–</w:t>
            </w:r>
            <w:r w:rsidRPr="001B2C5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1B2C5C" w:rsidR="00C12D25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Zá</w:t>
            </w:r>
            <w:r w:rsidRPr="001B2C5C" w:rsidR="00C12D25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konný</w:t>
            </w:r>
            <w:r w:rsidRPr="001B2C5C" w:rsidR="00C12D25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poplatok 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za sklá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dkovanie komuná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odpadu</w:t>
            </w:r>
            <w:r w:rsidRPr="001B2C5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1B2C5C" w:rsidR="00882876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pri nezmenenej roč</w:t>
            </w:r>
            <w:r w:rsidRPr="001B2C5C" w:rsidR="00882876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nej ú</w:t>
            </w:r>
            <w:r w:rsidRPr="001B2C5C" w:rsidR="00882876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rovni sklá</w:t>
            </w:r>
            <w:r w:rsidRPr="001B2C5C" w:rsidR="00882876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dkovania KO (1,2 mi. ton)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1B2C5C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Vý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poč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ty vychá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dzajú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z 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roč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množ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ulož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ené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zmesové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 komuná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odpadu a 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objemné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ho 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odpadu na sklá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dku odpadov: 1,2 mil. ton.</w:t>
            </w:r>
          </w:p>
          <w:p w:rsidR="007E637B" w:rsidRPr="001B2C5C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Súč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asná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najvý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hodnejš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ia sadzba: 4,98 EUR</w:t>
            </w:r>
            <w:r w:rsidRPr="001B2C5C" w:rsidR="003E005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/t</w:t>
            </w:r>
          </w:p>
          <w:p w:rsidR="007E637B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Súč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asná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najnevý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hodnejš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ia sadzba: 9,96 EUR</w:t>
            </w:r>
            <w:r w:rsidRPr="001B2C5C" w:rsidR="003E005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/t</w:t>
            </w:r>
          </w:p>
          <w:p w:rsidR="00556D4A" w:rsidRPr="0028502E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Súč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asná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najvý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hodnejš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ia sadzba dopadu na domá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cnosť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: 4,39 EUR roč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</w:t>
            </w:r>
          </w:p>
          <w:p w:rsidR="00556D4A" w:rsidRPr="0028502E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Súč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asná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najnevý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hodnejš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ia sadzba dopadu na domá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cnosť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: 8,77 EUR r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oč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</w:t>
            </w:r>
          </w:p>
          <w:p w:rsidR="007E637B" w:rsidRPr="001B2C5C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najvý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hodnejš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ia sadzba 2019: </w:t>
            </w:r>
            <w:r w:rsidRPr="001B2C5C" w:rsidR="003E005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5 EUR/t</w:t>
            </w:r>
          </w:p>
          <w:p w:rsidR="007E637B" w:rsidRPr="001B2C5C" w:rsidP="007E637B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najvý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hodnejš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ia sadzba 2020: 8</w:t>
            </w:r>
            <w:r w:rsidRPr="001B2C5C" w:rsidR="003E005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EUR/t</w:t>
            </w:r>
          </w:p>
          <w:p w:rsidR="007E637B" w:rsidRPr="001B2C5C" w:rsidP="007E637B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najvý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hodnejš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ia sadzba 2021: 11 EU</w:t>
            </w:r>
            <w:r w:rsidRPr="001B2C5C" w:rsidR="003E005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R/t</w:t>
            </w:r>
          </w:p>
          <w:p w:rsidR="003E0059" w:rsidRPr="001B2C5C" w:rsidP="007E637B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najmenej vý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sadzba 2019: 17 EUR/t</w:t>
            </w:r>
          </w:p>
          <w:p w:rsidR="003E0059" w:rsidRPr="001B2C5C" w:rsidP="003E0059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najmenej vý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sadzba 2020: 26 EUR/t</w:t>
            </w:r>
          </w:p>
          <w:p w:rsidR="003E0059" w:rsidRPr="001B2C5C" w:rsidP="003E0059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najmenej vý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sadzba 2021: 33 EUR/t</w:t>
            </w:r>
          </w:p>
          <w:p w:rsidR="003E0059" w:rsidRPr="0028502E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28502E" w:rsidR="006335A7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28502E" w:rsidR="006335A7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najvý</w:t>
            </w:r>
            <w:r w:rsidRPr="0028502E" w:rsidR="006335A7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hodnejš</w:t>
            </w:r>
            <w:r w:rsidRPr="0028502E" w:rsidR="006335A7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ia sadzba dopadu na domá</w:t>
            </w:r>
            <w:r w:rsidRPr="0028502E" w:rsidR="006335A7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cnosť</w:t>
            </w:r>
            <w:r w:rsidRPr="0028502E" w:rsidR="006335A7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2019: 4,18 EUR roč</w:t>
            </w:r>
            <w:r w:rsidRPr="0028502E" w:rsidR="006335A7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ne </w:t>
            </w:r>
          </w:p>
          <w:p w:rsidR="006335A7" w:rsidRPr="0028502E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najvý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hodnejš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ia sadzba dopadu na domá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cnosť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2020: 3,52 EUR roč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</w:t>
            </w:r>
          </w:p>
          <w:p w:rsidR="006335A7" w:rsidRPr="0028502E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najvý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hodnejš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ia sadzba dopadu na domá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cnosť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2021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: 2,91 EUR roč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</w:t>
            </w:r>
          </w:p>
          <w:p w:rsidR="006335A7" w:rsidRPr="0028502E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najmenej vý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sadzba dopadu na domá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cnosť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2019: 14,22 EUR roč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</w:t>
            </w:r>
          </w:p>
          <w:p w:rsidR="006335A7" w:rsidRPr="0028502E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najmenej vý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sadzba dopadu na domá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cnosť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2020: 11,45 EUR roč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</w:t>
            </w:r>
          </w:p>
          <w:p w:rsidR="006335A7" w:rsidRPr="0028502E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najmenej vý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sadzba dopadu na domá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cnosť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2021: 8,72 EUR roč</w:t>
            </w:r>
            <w:r w:rsidRPr="0028502E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</w:t>
            </w:r>
          </w:p>
          <w:p w:rsidR="006C4FC3" w:rsidRPr="00C12D25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u w:val="single"/>
                <w:lang w:eastAsia="sk-SK"/>
              </w:rPr>
            </w:pPr>
          </w:p>
          <w:p w:rsidR="006C4FC3" w:rsidRPr="00C12D25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u w:val="single"/>
                <w:lang w:eastAsia="sk-SK"/>
              </w:rPr>
            </w:pPr>
          </w:p>
          <w:p w:rsidR="007E637B" w:rsidRPr="001B2C5C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  <w:lang w:eastAsia="sk-SK"/>
              </w:rPr>
            </w:pPr>
            <w:r w:rsidRPr="001B2C5C" w:rsidR="003E0059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  <w:lang w:eastAsia="sk-SK"/>
              </w:rPr>
              <w:t>Porovna</w:t>
            </w:r>
            <w:r w:rsidRPr="001B2C5C" w:rsidR="003E0059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  <w:lang w:eastAsia="sk-SK"/>
              </w:rPr>
              <w:t xml:space="preserve">nie </w:t>
            </w:r>
            <w:r w:rsidRPr="001B2C5C" w:rsidR="003E005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u w:val="single"/>
                <w:lang w:eastAsia="sk-SK"/>
              </w:rPr>
              <w:t>–</w:t>
            </w:r>
            <w:r w:rsidRPr="001B2C5C" w:rsidR="003E005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u w:val="single"/>
                <w:lang w:eastAsia="sk-SK"/>
              </w:rPr>
              <w:t xml:space="preserve"> najvý</w:t>
            </w:r>
            <w:r w:rsidRPr="001B2C5C" w:rsidR="003E005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u w:val="single"/>
                <w:lang w:eastAsia="sk-SK"/>
              </w:rPr>
              <w:t>hodnejš</w:t>
            </w:r>
            <w:r w:rsidRPr="001B2C5C" w:rsidR="003E005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u w:val="single"/>
                <w:lang w:eastAsia="sk-SK"/>
              </w:rPr>
              <w:t>ia sadzba:</w:t>
            </w:r>
          </w:p>
          <w:p w:rsidR="006C4FC3" w:rsidRPr="001B2C5C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  <w:lang w:eastAsia="sk-SK"/>
              </w:rPr>
            </w:pPr>
          </w:p>
          <w:p w:rsidR="003E0059" w:rsidRPr="001B2C5C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Súč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asná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najvý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hodnejš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ia sadzba: </w:t>
            </w:r>
            <w:r w:rsidRPr="001B2C5C" w:rsidR="006C4FC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6</w:t>
            </w:r>
            <w:r w:rsidRPr="001B2C5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mil. EUR</w:t>
            </w:r>
          </w:p>
          <w:p w:rsidR="006C4FC3" w:rsidRPr="001B2C5C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3E0059" w:rsidRPr="001B2C5C" w:rsidP="003E0059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najvý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hodnejš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ia sadzba 2019: 6 mil. EUR</w:t>
            </w:r>
          </w:p>
          <w:p w:rsidR="003E0059" w:rsidRPr="001B2C5C" w:rsidP="003E0059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najvý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hodnejš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ia sadzba 2020: 9,6 mil. EUR</w:t>
            </w:r>
          </w:p>
          <w:p w:rsidR="003E0059" w:rsidRPr="001B2C5C" w:rsidP="003E0059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najvý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hodnejš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ia sadzba 2021: 13,2 mil. EUR</w:t>
            </w:r>
          </w:p>
          <w:p w:rsidR="006C4FC3" w:rsidRPr="001B2C5C" w:rsidP="006C4FC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  <w:lang w:eastAsia="sk-SK"/>
              </w:rPr>
            </w:pPr>
          </w:p>
          <w:p w:rsidR="006C4FC3" w:rsidRPr="001B2C5C" w:rsidP="006C4FC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u w:val="single"/>
                <w:lang w:eastAsia="sk-SK"/>
              </w:rPr>
            </w:pPr>
            <w:r w:rsidRPr="001B2C5C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  <w:lang w:eastAsia="sk-SK"/>
              </w:rPr>
              <w:t xml:space="preserve">Porovnanie 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u w:val="single"/>
                <w:lang w:eastAsia="sk-SK"/>
              </w:rPr>
              <w:t>–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u w:val="single"/>
                <w:lang w:eastAsia="sk-SK"/>
              </w:rPr>
              <w:t xml:space="preserve"> najmenej 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u w:val="single"/>
                <w:lang w:eastAsia="sk-SK"/>
              </w:rPr>
              <w:t>vý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u w:val="single"/>
                <w:lang w:eastAsia="sk-SK"/>
              </w:rPr>
              <w:t>hodná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u w:val="single"/>
                <w:lang w:eastAsia="sk-SK"/>
              </w:rPr>
              <w:t xml:space="preserve"> sadzba:</w:t>
            </w:r>
          </w:p>
          <w:p w:rsidR="006C4FC3" w:rsidRPr="001B2C5C" w:rsidP="006C4FC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u w:val="single"/>
                <w:lang w:eastAsia="sk-SK"/>
              </w:rPr>
            </w:pPr>
          </w:p>
          <w:p w:rsidR="006C4FC3" w:rsidRPr="001B2C5C" w:rsidP="006C4FC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Súč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asná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najmenej vý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sadzba: 12 mil. EUR</w:t>
            </w:r>
          </w:p>
          <w:p w:rsidR="006C4FC3" w:rsidRPr="001B2C5C" w:rsidP="006C4FC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</w:p>
          <w:p w:rsidR="006C4FC3" w:rsidRPr="001B2C5C" w:rsidP="006C4FC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najmenej vý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sadzba 2019: 20,4 mil. EUR</w:t>
            </w:r>
          </w:p>
          <w:p w:rsidR="006C4FC3" w:rsidRPr="001B2C5C" w:rsidP="006C4FC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najmenej vý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sadzba 2020: 31,2 mil. EUR</w:t>
            </w:r>
          </w:p>
          <w:p w:rsidR="006C4FC3" w:rsidRPr="001B2C5C" w:rsidP="006C4FC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najmenej vý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hodná</w:t>
            </w:r>
            <w:r w:rsidRPr="001B2C5C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sadzba 2021: 39,6 mil. EUR</w:t>
            </w:r>
          </w:p>
          <w:p w:rsidR="003E0059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(poč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et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1B2C5C" w:rsidR="007E637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5 435 343 (stav k 31.12.2016)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Ovplyvnená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 xml:space="preserve"> skupina č</w:t>
            </w:r>
            <w:r w:rsidRPr="00DA4453">
              <w:rPr>
                <w:rFonts w:ascii="Times New Roman" w:eastAsia="Calibri" w:hAnsi="Times New Roman" w:cs="Times New Roman" w:hint="default"/>
                <w:b/>
                <w:i/>
                <w:sz w:val="20"/>
                <w:szCs w:val="20"/>
                <w:lang w:eastAsia="sk-SK"/>
              </w:rPr>
              <w:t>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Pozití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rast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jmov/pokles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Negatí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vny vplyv - priemerný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pokles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jmov/ rast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skupine v eurá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(poč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et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vod chý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bajú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cej kvantifiká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12D25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1B2C5C" w:rsidR="005C774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Vzhľ</w:t>
            </w:r>
            <w:r w:rsidRPr="001B2C5C" w:rsidR="005C774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adom na skutoč</w:t>
            </w:r>
            <w:r w:rsidRPr="001B2C5C" w:rsidR="005C774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nosť</w:t>
            </w:r>
            <w:r w:rsidRPr="001B2C5C" w:rsidR="005C774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, ž</w:t>
            </w:r>
            <w:r w:rsidRPr="001B2C5C" w:rsidR="005C774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</w:t>
            </w:r>
            <w:r w:rsidRPr="001B2C5C" w:rsidR="0075155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výš</w:t>
            </w:r>
            <w:r w:rsidRPr="001B2C5C" w:rsidR="0075155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ka miestneho poplatku za komuná</w:t>
            </w:r>
            <w:r w:rsidRPr="001B2C5C" w:rsidR="0075155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 odpady nemusí</w:t>
            </w:r>
            <w:r w:rsidRPr="001B2C5C" w:rsidR="0075155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zodpovedať</w:t>
            </w:r>
            <w:r w:rsidRPr="001B2C5C" w:rsidR="0075155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skutoč</w:t>
            </w:r>
            <w:r w:rsidRPr="001B2C5C" w:rsidR="0075155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ný</w:t>
            </w:r>
            <w:r w:rsidRPr="001B2C5C" w:rsidR="0075155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 ná</w:t>
            </w:r>
            <w:r w:rsidRPr="001B2C5C" w:rsidR="0075155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kladom na odpadové</w:t>
            </w:r>
            <w:r w:rsidRPr="001B2C5C" w:rsidR="0075155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hospodá</w:t>
            </w:r>
            <w:r w:rsidRPr="001B2C5C" w:rsidR="0075155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rstvo obce, tento vplyv nie je mož</w:t>
            </w:r>
            <w:r w:rsidRPr="001B2C5C" w:rsidR="0075155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né</w:t>
            </w:r>
            <w:r w:rsidRPr="001B2C5C" w:rsidR="0075155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jednoznač</w:t>
            </w:r>
            <w:r w:rsidRPr="001B2C5C" w:rsidR="007E637B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ne </w:t>
            </w:r>
            <w:r w:rsidRPr="001B2C5C" w:rsidR="00751559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kvantifikovať.</w:t>
            </w:r>
            <w:r w:rsidRPr="001B2C5C" w:rsidR="006C4FC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Kvantifiká</w:t>
            </w:r>
            <w:r w:rsidRPr="001B2C5C" w:rsidR="006C4FC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cia bola urobená</w:t>
            </w:r>
            <w:r w:rsidRPr="001B2C5C" w:rsidR="006C4FC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len na zá</w:t>
            </w:r>
            <w:r w:rsidRPr="001B2C5C" w:rsidR="006C4FC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klade porovnania jednotlivý</w:t>
            </w:r>
            <w:r w:rsidRPr="001B2C5C" w:rsidR="006C4FC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sadzieb</w:t>
            </w:r>
            <w:r w:rsidRPr="001B2C5C" w:rsidR="007E637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1B2C5C" w:rsidR="006C4FC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za sklá</w:t>
            </w:r>
            <w:r w:rsidRPr="001B2C5C" w:rsidR="006C4FC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dkovanie </w:t>
            </w:r>
            <w:r w:rsidRPr="001B2C5C" w:rsidR="006C4FC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komuná</w:t>
            </w:r>
            <w:r w:rsidRPr="001B2C5C" w:rsidR="006C4FC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lnych odpadov podľ</w:t>
            </w:r>
            <w:r w:rsidRPr="001B2C5C" w:rsidR="006C4FC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 súč</w:t>
            </w:r>
            <w:r w:rsidRPr="001B2C5C" w:rsidR="006C4FC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asnej prá</w:t>
            </w:r>
            <w:r w:rsidRPr="001B2C5C" w:rsidR="006C4FC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vnej ú</w:t>
            </w:r>
            <w:r w:rsidRPr="001B2C5C" w:rsidR="006C4FC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pravy a </w:t>
            </w:r>
            <w:r w:rsidRPr="001B2C5C" w:rsidR="006C4FC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navrhovanej prá</w:t>
            </w:r>
            <w:r w:rsidRPr="001B2C5C" w:rsidR="006C4FC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vnej ú</w:t>
            </w:r>
            <w:r w:rsidRPr="001B2C5C" w:rsidR="006C4FC3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pravy</w:t>
            </w:r>
            <w:r w:rsidRPr="00C12D25" w:rsidR="006C4FC3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sk-SK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pade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znamný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vplyvov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jmy alebo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davky vyšš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ie 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pecifikovaný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riziku chudoby, identifikujte a kvantifikujte vplyv na chudobu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(napr. mie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ru rizika chudoby, podiel rastu/poklesu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davkov na celkový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davkoch/prí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24847" w:rsidRPr="00A30F1C" w:rsidP="00224847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A30F1C" w:rsidP="00224847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br w:type="page"/>
      </w:r>
    </w:p>
    <w:p w:rsidR="00224847" w:rsidP="00224847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4.2 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a kvantifikujte vplyvy na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stup k zdrojom, prá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vam, tovarom a služ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m u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jednotlivý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n 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obyvateľ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stva a 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vplyv na sociá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lnu inklú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vplyv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stup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zdrojom,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vam, tovarom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m?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pecifikujete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skupiny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stva a charakter zmeny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stupnosti s ohľ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adom na dostupnosť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finanč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, geografickú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, kvalitu,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organizovanie a pod.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te 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jednotlivý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736"/>
        <w:gridCol w:w="563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Rozumie sa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stup k: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lnej ochrane,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lno-prá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vnej ochrane,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(vrá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tane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ieb starostlivosti o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deti, starší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m),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kvalitnej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ci, ochrane zdravia,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stojnosti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bezpeč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nosti pri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pre zamestnancov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existujú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cim za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mestnanecký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pomoci pri 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hrade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davkov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visiacich so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zamestnaniu, na trh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(napr. uľ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ahč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enie zosú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ladenia rodinný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pracovný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povinností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by zamestnanosti),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koleniam, odborné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prave na trh pr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zdravotnej starostlivosti vrá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tane cenovo dostupný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pomô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cok pre obč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anov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lnemu i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neformá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 celo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softHyphen/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vzdelá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vaniu,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vaniu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visiacim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kladný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komuná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alší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vš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eobecné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ujmu a tovarom,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spravodlivosti,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vnej ochrane,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vnym služ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informá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vam (napr. politický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  <w:p w:rsidR="00A30F1C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="0075155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Predkladaný</w:t>
            </w:r>
            <w:r w:rsidR="0075155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materiá</w:t>
            </w:r>
            <w:r w:rsidR="0075155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l nemá</w:t>
            </w:r>
            <w:r w:rsidR="0075155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 xml:space="preserve"> vplyvy na prí</w:t>
            </w:r>
            <w:r w:rsidR="0075155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stup  zdrojom, prá</w:t>
            </w:r>
            <w:r w:rsidR="0075155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vam, tovarom a </w:t>
            </w:r>
            <w:r w:rsidR="0075155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služ</w:t>
            </w:r>
            <w:r w:rsidR="0075155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bá</w:t>
            </w:r>
            <w:r w:rsidR="00751559">
              <w:rPr>
                <w:rFonts w:ascii="Times New Roman" w:eastAsia="Calibri" w:hAnsi="Times New Roman" w:cs="Times New Roman" w:hint="default"/>
                <w:sz w:val="20"/>
                <w:szCs w:val="20"/>
                <w:lang w:eastAsia="sk-SK"/>
              </w:rPr>
              <w:t>m.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372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znamný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niektorú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zo zraniteľ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stva alebo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 v 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enia?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pecifikujte ovplyvnené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v riziku chudoby a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enia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popíš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 na ne. Je tento vplyv väčší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ako vplyv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na 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skupiny 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i subjekty? Uveď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kosť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jednotlivý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ovplyvnený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736"/>
        <w:gridCol w:w="563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Zraniteľ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né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riziku chudoby alebo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lneho vylúč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enia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zkym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 (napr.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iba zo 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lnych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jmov, alebo z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jmov pod hranicou rizika chudoby, alebo s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 pod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minimom, alebo patriace medzi 25%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 najnižší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jmom),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najmä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dlhodobo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, mladí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 nezamestnaní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nad 50 rokov,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deti (0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–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17),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mladí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udia (18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–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25 rokov),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starší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udia, napr.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vo veku nad 65 rokov alebo dô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chodcovia,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so zdravotný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 postihnutí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marginalizované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ró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mske komunity 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3 a viac 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jednorodič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ovské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domá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cnosti s 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(neú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plné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rodiny,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tvoria n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ajmä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osamelé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matky s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deť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sluš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tretí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krají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n, azylanti,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iadatelia o azyl,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zraniteľ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skupiny, ako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napr. bezdomovci, 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udia opúšť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 detské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domovy alebo iné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inš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titucioná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3170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A30F1C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="00DE453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Predkladaný</w:t>
            </w:r>
            <w:r w:rsidR="00DE453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</w:t>
            </w:r>
            <w:r w:rsidR="00751559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materiá</w:t>
            </w:r>
            <w:r w:rsidR="00751559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l nemá</w:t>
            </w:r>
            <w:r w:rsidR="00751559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vplyv na zraniteľ</w:t>
            </w:r>
            <w:r w:rsidR="00751559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né</w:t>
            </w:r>
            <w:r w:rsidR="00751559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s</w:t>
            </w:r>
            <w:r w:rsidR="00DE453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kupiny obyvateľ</w:t>
            </w:r>
            <w:r w:rsidR="00DE453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stva alebo skupiny</w:t>
            </w:r>
            <w:r w:rsidR="00751559">
              <w:rPr>
                <w:rFonts w:ascii="Times New Roman" w:eastAsia="Calibri" w:hAnsi="Times New Roman" w:cs="Times New Roman"/>
                <w:sz w:val="20"/>
                <w:lang w:eastAsia="sk-SK"/>
              </w:rPr>
              <w:t xml:space="preserve"> v </w:t>
            </w:r>
            <w:r w:rsidR="00751559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riziku chudoby alebo sociá</w:t>
            </w:r>
            <w:r w:rsidR="00751559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lneho vylúč</w:t>
            </w:r>
            <w:r w:rsidR="00751559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enia.</w:t>
            </w:r>
          </w:p>
          <w:p w:rsidR="00A30F1C" w:rsidRPr="0040544D" w:rsidP="00E1659F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Sect="0040544D">
          <w:headerReference w:type="default" r:id="rId7"/>
          <w:footerReference w:type="default" r:id="rId8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4.3 Identifikujte a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te vplyv na rovnosť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Identifikujte, popíš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te a kvantifikujte vplyv 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>na rodovú</w:t>
            </w:r>
            <w:r w:rsidRPr="00CD4982">
              <w:rPr>
                <w:rFonts w:ascii="Times New Roman" w:eastAsia="Calibri" w:hAnsi="Times New Roman" w:cs="Times New Roman" w:hint="default"/>
                <w:b/>
                <w:sz w:val="24"/>
                <w:szCs w:val="24"/>
                <w:lang w:eastAsia="sk-SK"/>
              </w:rPr>
              <w:t xml:space="preserve">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Dodrž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povinnosť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rovnaké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ho zaobchá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dzania so skupinami alebo jednotlivcami na 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klade pohlavia, rasy, etnicity,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bož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enstva alebo viery, zdravotné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ho postihnutia veku a sexuá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lnej orientá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cie? Mohol by viesť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k nepriamej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diskriminá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cii niektorý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ch skupí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n obyvateľ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stva? Podporuje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vrh rovnosť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 xml:space="preserve"> prí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lež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itostí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4"/>
                <w:lang w:eastAsia="sk-SK"/>
              </w:rPr>
              <w:t>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40544D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="008D5CC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Predkladaný</w:t>
            </w:r>
            <w:r w:rsidR="008D5CC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materiá</w:t>
            </w:r>
            <w:r w:rsidR="008D5CC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l nevedie k </w:t>
            </w:r>
            <w:r w:rsidR="008D5CC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diskriminá</w:t>
            </w:r>
            <w:r w:rsidR="008D5CC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cii niektorý</w:t>
            </w:r>
            <w:r w:rsidR="008D5CC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ch skupí</w:t>
            </w:r>
            <w:r w:rsidR="008D5CC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n obyvateľ</w:t>
            </w:r>
            <w:r w:rsidR="008D5CC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stva.</w:t>
            </w: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D4982" w:rsidRPr="0040544D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Môž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 mať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odliš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ný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vplyv na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eny a 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ov? Podporuje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vrh rovnosť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medzi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enami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mi alebo naopak bude viesť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zväčš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ovaniu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ch nerovností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? Popíš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20"/>
                <w:szCs w:val="20"/>
                <w:lang w:eastAsia="sk-SK"/>
              </w:rPr>
              <w:t>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Pri identifikovaní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vplyvov treba vziať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do 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vahy existujú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ce rozdiely medzi muž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mi 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enami,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relevantné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k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danej politike. Podpora rodovej rovnosti spočí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 v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odstraň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obmedzení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a barié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 pre plnohodnotnú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úč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asť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na ekonomickom, politickom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sociá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lnom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ivote spoloč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nosti, ktoré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visia s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mi rolami č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 pohlaví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m. Hlavné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oblast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i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podpora vyrovná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vania ekonomickej nezá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zosú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ladenie pracovné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ho, sú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kromné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a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rodinné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ho 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podpora rovnej participá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cie na rozhodovaní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boj proti rodovo podmienené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mu 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siliu a obchodovaniu s 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ľ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uď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 xml:space="preserve">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eliminá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cia rodový</w:t>
            </w:r>
            <w:r w:rsidRPr="00CD4982">
              <w:rPr>
                <w:rFonts w:ascii="Times New Roman" w:eastAsia="Calibri" w:hAnsi="Times New Roman" w:cs="Times New Roman" w:hint="default"/>
                <w:i/>
                <w:sz w:val="18"/>
                <w:szCs w:val="18"/>
                <w:lang w:eastAsia="sk-SK"/>
              </w:rPr>
              <w:t>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 w:rsidR="008D5CC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Predkladaný</w:t>
            </w:r>
            <w:r w:rsidR="008D5CC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 xml:space="preserve"> materiá</w:t>
            </w:r>
            <w:r w:rsidR="008D5CC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l nevedie k </w:t>
            </w:r>
            <w:r w:rsidR="008D5CC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zväčš</w:t>
            </w:r>
            <w:r w:rsidR="008D5CC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ovaniu rodový</w:t>
            </w:r>
            <w:r w:rsidR="008D5CC0">
              <w:rPr>
                <w:rFonts w:ascii="Times New Roman" w:eastAsia="Calibri" w:hAnsi="Times New Roman" w:cs="Times New Roman" w:hint="default"/>
                <w:sz w:val="20"/>
                <w:lang w:eastAsia="sk-SK"/>
              </w:rPr>
              <w:t>ch nerovností.</w:t>
            </w:r>
          </w:p>
          <w:p w:rsid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Pr="00CA6BAF" w:rsidP="00DA44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Identifikujte, popíš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te a kvantifikujte vplyvy na zamestnanosť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 xml:space="preserve"> a na trh prá</w:t>
            </w:r>
            <w:r w:rsidRPr="00994C53">
              <w:rPr>
                <w:rFonts w:ascii="Times New Roman" w:eastAsia="Calibri" w:hAnsi="Times New Roman" w:cs="Times New Roman" w:hint="default"/>
                <w:b/>
                <w:sz w:val="24"/>
                <w:lang w:eastAsia="sk-SK"/>
              </w:rPr>
              <w:t>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V prí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 xml:space="preserve">pade kladnej odpovede pripojte </w:t>
            </w:r>
            <w:r w:rsidRPr="00994C53" w:rsidR="00994C53">
              <w:rPr>
                <w:rFonts w:ascii="Times New Roman" w:eastAsia="Calibri" w:hAnsi="Times New Roman" w:cs="Times New Roman" w:hint="default"/>
                <w:b/>
                <w:i/>
                <w:lang w:eastAsia="sk-SK"/>
              </w:rPr>
              <w:t>odô</w:t>
            </w:r>
            <w:r w:rsidRPr="00994C53" w:rsidR="00994C53">
              <w:rPr>
                <w:rFonts w:ascii="Times New Roman" w:eastAsia="Calibri" w:hAnsi="Times New Roman" w:cs="Times New Roman" w:hint="default"/>
                <w:b/>
                <w:i/>
                <w:lang w:eastAsia="sk-SK"/>
              </w:rPr>
              <w:t>vodnenie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 xml:space="preserve"> v sú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lade s Metodický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m postupom pre analý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zu sociá</w:t>
            </w:r>
            <w:r w:rsidRPr="00994C53" w:rsidR="00994C53">
              <w:rPr>
                <w:rFonts w:ascii="Times New Roman" w:eastAsia="Calibri" w:hAnsi="Times New Roman" w:cs="Times New Roman" w:hint="default"/>
                <w:i/>
                <w:lang w:eastAsia="sk-SK"/>
              </w:rPr>
              <w:t>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ahč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vznik nový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miest? 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ako? Ak je to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doplň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te kvantifiká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sektoroch a odvetviach ekonomiky,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regió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noch, pre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skupiny zamestnancov,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typy zamestnania /pracovný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vä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zkov 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691547" w:rsidP="00691547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 w:hint="default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Zníž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enie sklá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dkovania odpadov a 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presun materiá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lové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ho toku odpadov k 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ich recyklá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cii priná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š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a vznik nový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ch pracovný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ch miest v 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sektore odpadové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ho hospodá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rstva. Nové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 pracovné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 miesta môž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u v 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dô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sledku zvýš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enej miery triedené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ho zberu vzniknúť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 vo sfé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re zberu odpadov, dotrieď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ovania vytriedený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ch zlož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iek komuná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lnych odpadov ako aj v 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samotný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ch zariadeniac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h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 na zhodnocovanie odpadov. Vznik nový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ch pracovný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ch miest nie je mož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né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 kvantifikovať.</w:t>
            </w:r>
          </w:p>
          <w:p w:rsidR="00691547" w:rsidRPr="00A30F1C" w:rsidP="00691547">
            <w:pPr>
              <w:bidi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Vedie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k zá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niku 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ako a 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ch? Ak je to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doplň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te kvantifiká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Identifikujte,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sektoroch a odvetviach ekonomiky, v ktorý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ch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regió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noch, o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typy zamestnania /pracovný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vä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zkov 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jde a pod. Identifikujte mož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dô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sledky, skupiny zamestnancov, ktoré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budú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viac ovplyvnené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691547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Ná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vrh zá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kona nevedie k 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zá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niku pracovný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ch miest.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Ovplyvň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dopyt po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no,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Dopyt po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ci zá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visí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na jednej strane na produkcii tovarov a služ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ieb v ekonomike a na druhej strane na cene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691547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Predkladaný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 materiá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l neovplyvň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uje dopyt po prá</w:t>
            </w:r>
            <w:r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ci.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dosah na fungovanie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ka sa makroekonomický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ch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dosahov ako je napr. participá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cia na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ce, dlhodobá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nezamestnanosť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, regioná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Ponuka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byť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ovplyvnená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rô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znymi premenný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mi napr. 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rovň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ou miezd, inš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titucioná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lnym nastavení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 (napr.  zosú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ladenie pracovné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a sú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romné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ivota alebo uľ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ahč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ovanie rô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691547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994C53" w:rsidRPr="00A30F1C" w:rsidP="00691547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691547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Nepredpokladá</w:t>
            </w:r>
            <w:r w:rsidR="00691547"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 sa vplyv predkladané</w:t>
            </w:r>
            <w:r w:rsidR="00691547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ho materiá</w:t>
            </w:r>
            <w:r w:rsidR="00691547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lu na fungovanie trhu prá</w:t>
            </w:r>
            <w:r w:rsidR="00691547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ce.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pecifické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negatí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vne dô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sledky pre isté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 profesií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, skupí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 zamestnancov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i 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ivnostní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a pre 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ktoré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vrh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ohrozovať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napr. pracovní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kov istý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profesií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favorizovaní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m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pecifický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ch aktiví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t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 technoló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75869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505FF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Neboli identifikované</w:t>
            </w:r>
            <w:r w:rsidR="00505FF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 š</w:t>
            </w:r>
            <w:r w:rsidR="00505FF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pecifické</w:t>
            </w:r>
            <w:r w:rsidR="00505FF1">
              <w:rPr>
                <w:rFonts w:ascii="Times New Roman" w:eastAsia="Calibri" w:hAnsi="Times New Roman" w:cs="Times New Roman" w:hint="default"/>
                <w:sz w:val="20"/>
                <w:szCs w:val="18"/>
              </w:rPr>
              <w:t xml:space="preserve"> vplyvy.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Ovplyvň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uje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vrh 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pecifické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vekové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 xml:space="preserve"> skupiny zamestnancov? Ak 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no, aké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? Aký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m spô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20"/>
                <w:szCs w:val="20"/>
              </w:rPr>
              <w:t>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Identifikujte, 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 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vrh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ovplyvniť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rozhodnutia zamestnancov alebo zamestná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vateľ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ov a môž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e byť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 xml:space="preserve"> zdrojom neskorš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ieho vstupu na trh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alebo predč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asné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ho odchodu z trhu prá</w:t>
            </w:r>
            <w:r w:rsidRPr="00994C53">
              <w:rPr>
                <w:rFonts w:ascii="Times New Roman" w:eastAsia="Calibri" w:hAnsi="Times New Roman" w:cs="Times New Roman" w:hint="default"/>
                <w:i/>
                <w:sz w:val="18"/>
                <w:szCs w:val="18"/>
              </w:rPr>
              <w:t>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75869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994C53" w:rsidRPr="00A30F1C" w:rsidP="00994C5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="00E75869">
              <w:rPr>
                <w:rFonts w:ascii="Times New Roman" w:eastAsia="Calibri" w:hAnsi="Times New Roman" w:cs="Times New Roman" w:hint="default"/>
                <w:sz w:val="20"/>
                <w:szCs w:val="18"/>
              </w:rPr>
              <w:t>Tento vplyv sa nepredpokladá.</w:t>
            </w:r>
          </w:p>
        </w:tc>
      </w:tr>
    </w:tbl>
    <w:p w:rsidR="00CB3623">
      <w:pPr>
        <w:bidi w:val="0"/>
      </w:pPr>
    </w:p>
    <w:sectPr w:rsidSect="00CD4982">
      <w:footnotePr>
        <w:numRestart w:val="eachSect"/>
      </w:footnotePr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1D6749">
    <w:pPr>
      <w:pStyle w:val="Footer"/>
      <w:bidi w:val="0"/>
      <w:jc w:val="right"/>
      <w:rPr>
        <w:rFonts w:ascii="Times New Roman" w:hAnsi="Times New Roman" w:cs="Times New Roman"/>
      </w:rPr>
    </w:pPr>
    <w:r w:rsidRPr="001D6749">
      <w:rPr>
        <w:rFonts w:ascii="Times New Roman" w:hAnsi="Times New Roman" w:cs="Times New Roman"/>
      </w:rPr>
      <w:fldChar w:fldCharType="begin"/>
    </w:r>
    <w:r w:rsidRPr="001D6749">
      <w:rPr>
        <w:rFonts w:ascii="Times New Roman" w:hAnsi="Times New Roman" w:cs="Times New Roman"/>
      </w:rPr>
      <w:instrText>PAGE   \* MERGEFORMAT</w:instrText>
    </w:r>
    <w:r w:rsidRPr="001D6749">
      <w:rPr>
        <w:rFonts w:ascii="Times New Roman" w:hAnsi="Times New Roman" w:cs="Times New Roman"/>
      </w:rPr>
      <w:fldChar w:fldCharType="separate"/>
    </w:r>
    <w:r w:rsidR="00DE6E22">
      <w:rPr>
        <w:rFonts w:ascii="Times New Roman" w:hAnsi="Times New Roman" w:cs="Times New Roman"/>
        <w:noProof/>
      </w:rPr>
      <w:t>1</w:t>
    </w:r>
    <w:r w:rsidRPr="001D6749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1D6749">
    <w:pPr>
      <w:pStyle w:val="Footer"/>
      <w:bidi w:val="0"/>
      <w:jc w:val="right"/>
      <w:rPr>
        <w:rFonts w:ascii="Times New Roman" w:hAnsi="Times New Roman" w:cs="Times New Roman"/>
      </w:rPr>
    </w:pPr>
    <w:r w:rsidRPr="001D6749">
      <w:rPr>
        <w:rFonts w:ascii="Times New Roman" w:hAnsi="Times New Roman" w:cs="Times New Roman"/>
      </w:rPr>
      <w:fldChar w:fldCharType="begin"/>
    </w:r>
    <w:r w:rsidRPr="001D6749">
      <w:rPr>
        <w:rFonts w:ascii="Times New Roman" w:hAnsi="Times New Roman" w:cs="Times New Roman"/>
      </w:rPr>
      <w:instrText>PAGE   \* MERGEFORMAT</w:instrText>
    </w:r>
    <w:r w:rsidRPr="001D6749">
      <w:rPr>
        <w:rFonts w:ascii="Times New Roman" w:hAnsi="Times New Roman" w:cs="Times New Roman"/>
      </w:rPr>
      <w:fldChar w:fldCharType="separate"/>
    </w:r>
    <w:r w:rsidR="009E79D0">
      <w:rPr>
        <w:rFonts w:ascii="Times New Roman" w:hAnsi="Times New Roman" w:cs="Times New Roman"/>
        <w:noProof/>
      </w:rPr>
      <w:t>4</w:t>
    </w:r>
    <w:r w:rsidRPr="001D6749">
      <w:rPr>
        <w:rFonts w:ascii="Times New Roman" w:hAnsi="Times New Roman" w:cs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hAnsi="Times New Roman" w:cs="Times New Roman"/>
        <w:sz w:val="24"/>
        <w:szCs w:val="24"/>
        <w:lang w:eastAsia="sk-SK"/>
      </w:rPr>
      <w:t>Príloha č. 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hAnsi="Times New Roman" w:cs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9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ocumentProtection w:edit="forms" w:enforcement="1"/>
  <w:defaultTabStop w:val="708"/>
  <w:hyphenationZone w:val="425"/>
  <w:characterSpacingControl w:val="doNotCompress"/>
  <w:footnotePr>
    <w:numFmt w:val="chicago"/>
  </w:footnotePr>
  <w:compat/>
  <w:rsids>
    <w:rsidRoot w:val="00337B5D"/>
    <w:rsid w:val="000009B5"/>
    <w:rsid w:val="0001414A"/>
    <w:rsid w:val="000274D0"/>
    <w:rsid w:val="001548A8"/>
    <w:rsid w:val="00165321"/>
    <w:rsid w:val="001B2C5C"/>
    <w:rsid w:val="001D6749"/>
    <w:rsid w:val="001E53A3"/>
    <w:rsid w:val="001F7932"/>
    <w:rsid w:val="00204D10"/>
    <w:rsid w:val="00213170"/>
    <w:rsid w:val="00224847"/>
    <w:rsid w:val="00227A26"/>
    <w:rsid w:val="002747C8"/>
    <w:rsid w:val="00275F99"/>
    <w:rsid w:val="0028502E"/>
    <w:rsid w:val="002E0883"/>
    <w:rsid w:val="00337B5D"/>
    <w:rsid w:val="003541E9"/>
    <w:rsid w:val="00357E2A"/>
    <w:rsid w:val="00362CBF"/>
    <w:rsid w:val="003849C7"/>
    <w:rsid w:val="003E0059"/>
    <w:rsid w:val="0040544D"/>
    <w:rsid w:val="00466488"/>
    <w:rsid w:val="004903EB"/>
    <w:rsid w:val="004B0B91"/>
    <w:rsid w:val="004B56A9"/>
    <w:rsid w:val="004F2664"/>
    <w:rsid w:val="005017BD"/>
    <w:rsid w:val="00505FF1"/>
    <w:rsid w:val="0051643C"/>
    <w:rsid w:val="00520808"/>
    <w:rsid w:val="005369E6"/>
    <w:rsid w:val="00556D4A"/>
    <w:rsid w:val="00585AD3"/>
    <w:rsid w:val="005A57C8"/>
    <w:rsid w:val="005C774B"/>
    <w:rsid w:val="006335A7"/>
    <w:rsid w:val="00691547"/>
    <w:rsid w:val="006B34DA"/>
    <w:rsid w:val="006C4FC3"/>
    <w:rsid w:val="00714A34"/>
    <w:rsid w:val="00751559"/>
    <w:rsid w:val="007A015E"/>
    <w:rsid w:val="007B003C"/>
    <w:rsid w:val="007D6A40"/>
    <w:rsid w:val="007E637B"/>
    <w:rsid w:val="00881728"/>
    <w:rsid w:val="00882876"/>
    <w:rsid w:val="008A4F7C"/>
    <w:rsid w:val="008B1806"/>
    <w:rsid w:val="008D5CC0"/>
    <w:rsid w:val="00921D53"/>
    <w:rsid w:val="00943698"/>
    <w:rsid w:val="00972E46"/>
    <w:rsid w:val="00994C53"/>
    <w:rsid w:val="00997B26"/>
    <w:rsid w:val="009B755F"/>
    <w:rsid w:val="009D623E"/>
    <w:rsid w:val="009E79D0"/>
    <w:rsid w:val="009F385D"/>
    <w:rsid w:val="00A30F1C"/>
    <w:rsid w:val="00A53AFA"/>
    <w:rsid w:val="00A605B0"/>
    <w:rsid w:val="00A72F2C"/>
    <w:rsid w:val="00A87D5B"/>
    <w:rsid w:val="00AF0327"/>
    <w:rsid w:val="00AF39B8"/>
    <w:rsid w:val="00AF79AE"/>
    <w:rsid w:val="00B33E8F"/>
    <w:rsid w:val="00B4080A"/>
    <w:rsid w:val="00B437B3"/>
    <w:rsid w:val="00B90A2F"/>
    <w:rsid w:val="00BC22E3"/>
    <w:rsid w:val="00C12D25"/>
    <w:rsid w:val="00C31C46"/>
    <w:rsid w:val="00C63956"/>
    <w:rsid w:val="00C7684B"/>
    <w:rsid w:val="00C77AA2"/>
    <w:rsid w:val="00CA023C"/>
    <w:rsid w:val="00CA3E12"/>
    <w:rsid w:val="00CA6BAF"/>
    <w:rsid w:val="00CB3623"/>
    <w:rsid w:val="00CD4982"/>
    <w:rsid w:val="00D829FE"/>
    <w:rsid w:val="00D921AE"/>
    <w:rsid w:val="00DA4453"/>
    <w:rsid w:val="00DE4530"/>
    <w:rsid w:val="00DE6E22"/>
    <w:rsid w:val="00E12300"/>
    <w:rsid w:val="00E1659F"/>
    <w:rsid w:val="00E22685"/>
    <w:rsid w:val="00E40428"/>
    <w:rsid w:val="00E538C0"/>
    <w:rsid w:val="00E75869"/>
    <w:rsid w:val="00E96A59"/>
    <w:rsid w:val="00EF0C21"/>
    <w:rsid w:val="00F2597D"/>
    <w:rsid w:val="00F30B4E"/>
    <w:rsid w:val="00F74B56"/>
    <w:rsid w:val="00F7696B"/>
    <w:rsid w:val="00F77D10"/>
    <w:rsid w:val="00F938A1"/>
    <w:rsid w:val="00FA11DD"/>
    <w:rsid w:val="00FB7660"/>
    <w:rsid w:val="00FC4E9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semiHidden/>
    <w:unhideWhenUsed/>
    <w:rsid w:val="001D6749"/>
    <w:rPr>
      <w:vertAlign w:val="superscript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D49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6CC11-5F03-4F6A-96FF-DE488EC4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1755</Words>
  <Characters>10010</Characters>
  <Application>Microsoft Office Word</Application>
  <DocSecurity>0</DocSecurity>
  <Lines>0</Lines>
  <Paragraphs>0</Paragraphs>
  <ScaleCrop>false</ScaleCrop>
  <Company/>
  <LinksUpToDate>false</LinksUpToDate>
  <CharactersWithSpaces>11742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Smažáková Janette</cp:lastModifiedBy>
  <cp:revision>2</cp:revision>
  <cp:lastPrinted>2016-03-03T10:34:00Z</cp:lastPrinted>
  <dcterms:created xsi:type="dcterms:W3CDTF">2018-08-22T15:15:00Z</dcterms:created>
  <dcterms:modified xsi:type="dcterms:W3CDTF">2018-08-22T15:15:00Z</dcterms:modified>
</cp:coreProperties>
</file>