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266D6" w:rsidRPr="00F9528E" w:rsidP="00E266D6">
      <w:pPr>
        <w:widowControl/>
        <w:bidi w:val="0"/>
        <w:jc w:val="center"/>
        <w:rPr>
          <w:rFonts w:ascii="Times New Roman" w:hAnsi="Times New Roman"/>
          <w:b/>
          <w:caps/>
          <w:color w:val="000000"/>
          <w:spacing w:val="30"/>
        </w:rPr>
      </w:pPr>
      <w:r w:rsidR="004D7A15">
        <w:rPr>
          <w:rFonts w:ascii="Times New Roman" w:hAnsi="Times New Roman"/>
          <w:b/>
          <w:caps/>
          <w:color w:val="000000"/>
          <w:spacing w:val="30"/>
        </w:rPr>
        <w:t>SPrÁva o Účasti verejnosti</w:t>
      </w:r>
      <w:r w:rsidR="0049695E">
        <w:rPr>
          <w:rFonts w:ascii="Times New Roman" w:hAnsi="Times New Roman"/>
          <w:b/>
          <w:caps/>
          <w:color w:val="000000"/>
          <w:spacing w:val="30"/>
        </w:rPr>
        <w:t xml:space="preserve"> na Tvorbe právnych Predpisov </w:t>
      </w:r>
    </w:p>
    <w:p w:rsidR="00856250" w:rsidRPr="00F9528E" w:rsidP="00181754">
      <w:pPr>
        <w:widowControl/>
        <w:bidi w:val="0"/>
        <w:jc w:val="both"/>
        <w:rPr>
          <w:rFonts w:ascii="Times New Roman" w:hAnsi="Times New Roman"/>
          <w:color w:val="000000"/>
        </w:rPr>
      </w:pPr>
    </w:p>
    <w:p w:rsidR="004D7A15" w:rsidP="003F7CCB">
      <w:pPr>
        <w:widowControl/>
        <w:bidi w:val="0"/>
        <w:rPr>
          <w:rFonts w:ascii="Times New Roman" w:hAnsi="Times New Roman"/>
          <w:color w:val="000000"/>
          <w:lang w:val="en-US"/>
        </w:rPr>
      </w:pPr>
    </w:p>
    <w:p w:rsidR="00E5600A" w:rsidP="004D7A15">
      <w:pPr>
        <w:widowControl/>
        <w:bidi w:val="0"/>
        <w:rPr>
          <w:rFonts w:ascii="Times New Roman" w:hAnsi="Times New Roman"/>
        </w:rPr>
      </w:pPr>
    </w:p>
    <w:tbl>
      <w:tblPr>
        <w:tblStyle w:val="TableNormal"/>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9"/>
        <w:gridCol w:w="2128"/>
        <w:gridCol w:w="4670"/>
        <w:gridCol w:w="569"/>
        <w:gridCol w:w="569"/>
      </w:tblGrid>
      <w:tr>
        <w:tblPrEx>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divId w:val="2"/>
          <w:trHeight w:val="240"/>
          <w:tblCellSpacing w:w="0" w:type="dxa"/>
        </w:trPr>
        <w:tc>
          <w:tcPr>
            <w:tcW w:w="9465" w:type="dxa"/>
            <w:gridSpan w:val="5"/>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Style w:val="Strong"/>
                <w:rFonts w:ascii="Times New Roman" w:hAnsi="Times New Roman"/>
                <w:bCs/>
              </w:rPr>
              <w:t>Správa o účasti verejnosti na tvorbe právneho predpisu</w:t>
            </w:r>
          </w:p>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Scenár 1: Verejnosť je informovaná o tvorbe právneho predpisu </w:t>
            </w:r>
          </w:p>
        </w:tc>
      </w:tr>
      <w:tr>
        <w:tblPrEx>
          <w:tblW w:w="9465" w:type="dxa"/>
          <w:tblCellSpacing w:w="0" w:type="dxa"/>
          <w:tblCellMar>
            <w:left w:w="0" w:type="dxa"/>
            <w:right w:w="0" w:type="dxa"/>
          </w:tblCellMar>
          <w:tblLook w:val="04A0"/>
        </w:tblPrEx>
        <w:trPr>
          <w:divId w:val="2"/>
          <w:trHeight w:val="75"/>
          <w:tblCellSpacing w:w="0" w:type="dxa"/>
        </w:trPr>
        <w:tc>
          <w:tcPr>
            <w:tcW w:w="153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Fáza procesu </w:t>
            </w:r>
          </w:p>
        </w:tc>
        <w:tc>
          <w:tcPr>
            <w:tcW w:w="213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Subfáza </w:t>
            </w: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Kontrolná otázka </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Á </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N </w:t>
            </w:r>
          </w:p>
        </w:tc>
      </w:tr>
      <w:tr>
        <w:tblPrEx>
          <w:tblW w:w="9465" w:type="dxa"/>
          <w:tblCellSpacing w:w="0" w:type="dxa"/>
          <w:tblCellMar>
            <w:left w:w="0" w:type="dxa"/>
            <w:right w:w="0" w:type="dxa"/>
          </w:tblCellMar>
          <w:tblLook w:val="04A0"/>
        </w:tblPrEx>
        <w:trPr>
          <w:divId w:val="2"/>
          <w:trHeight w:val="405"/>
          <w:tblCellSpacing w:w="0" w:type="dxa"/>
        </w:trPr>
        <w:tc>
          <w:tcPr>
            <w:tcW w:w="1530"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1. Príprava tvorby právne-ho predpisu </w:t>
            </w:r>
          </w:p>
        </w:tc>
        <w:tc>
          <w:tcPr>
            <w:tcW w:w="213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1.1 Identifikácia cieľa</w:t>
            </w: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 zadefinovaný cieľ účasti verejnosti na tvorbe právneho predpisu?</w:t>
            </w:r>
            <w:r w:rsidRPr="00E162A1">
              <w:rPr>
                <w:rFonts w:ascii="Times New Roman" w:hAnsi="Times New Roman"/>
                <w:vertAlign w:val="superscript"/>
              </w:rPr>
              <w:t>1)</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213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1.2 Identifikácia problému a alternatív</w:t>
            </w: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Bola vykonaná identifikácia problému a alternatív riešení?</w:t>
            </w:r>
            <w:r w:rsidRPr="00E162A1">
              <w:rPr>
                <w:rFonts w:ascii="Times New Roman" w:hAnsi="Times New Roman"/>
                <w:vertAlign w:val="superscript"/>
              </w:rPr>
              <w:t>2)</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blCellSpacing w:w="0" w:type="dxa"/>
        </w:trPr>
        <w:tc>
          <w:tcPr>
            <w:tcW w:w="1530"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2. Informova-nie verejnosti o tvorbe práv-neho predpisu </w:t>
            </w:r>
          </w:p>
        </w:tc>
        <w:tc>
          <w:tcPr>
            <w:tcW w:w="2130"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2.1 Rozsah informácií</w:t>
            </w: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verejnosti poskytnuté informácie o probléme, ktorý má predmetný právny predpis riešiť?</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verejnosti poskytnuté informácie o cieli účasti verejnosti na tvorbe právneho predpisu spolu s časovým rámcom jeho tvorby?</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verejnosti poskytnuté informácie o plánovanom procese tvorby právneho predpisu?</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2130"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2.2 Kontinuita informovania</w:t>
            </w: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verejnosti poskytnuté relevantné informácie pred začatím tvorby právneho predpisu?</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verejnosti poskytnuté relevantné informácie počas tvorby právneho predpisu?</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verejnosti poskytnuté relevantné informácie aj po ukončení tvorby právneho predpisu?</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2130"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2.3 Kvalita a včasnosť informácií</w:t>
            </w: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relevantné informácie o tvorbe právneho predpisu verejnosti poskytnuté včas?</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relevantné informácie o tvorbe právneho predpisu a o samotnom právnom predpise poskytnuté vo vyhovujúcej technickej kvalite?</w:t>
            </w:r>
            <w:r w:rsidRPr="00E162A1">
              <w:rPr>
                <w:rFonts w:ascii="Times New Roman" w:hAnsi="Times New Roman"/>
                <w:vertAlign w:val="superscript"/>
              </w:rPr>
              <w:t>3)</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213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2.4 Adresnosť informácií</w:t>
            </w: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Boli zvolené komunikačné kanály dostatočné vzhľadom na prenos relevantných informácií o právnom predpise smerom k verejnosti?</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blCellSpacing w:w="0" w:type="dxa"/>
        </w:trPr>
        <w:tc>
          <w:tcPr>
            <w:tcW w:w="1530"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Style w:val="Strong"/>
                <w:rFonts w:ascii="Times New Roman" w:hAnsi="Times New Roman"/>
                <w:bCs/>
              </w:rPr>
              <w:t xml:space="preserve">3. Vyhodnote-nie procesu tvorby právne-ho predpisu </w:t>
            </w:r>
          </w:p>
        </w:tc>
        <w:tc>
          <w:tcPr>
            <w:tcW w:w="2130"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3.1 Hodnotenie procesu</w:t>
            </w: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Bolo vykonané hodnotenie procesu tvorby právneho predpisu?</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Bola zverejnená hodnotiaca správa procesu tvorby právneho predpisu?</w:t>
            </w:r>
            <w:r w:rsidRPr="00E162A1">
              <w:rPr>
                <w:rFonts w:ascii="Times New Roman" w:hAnsi="Times New Roman"/>
                <w:vertAlign w:val="superscript"/>
              </w:rPr>
              <w:t>4)</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r>
      <w:tr>
        <w:tblPrEx>
          <w:tblW w:w="9465" w:type="dxa"/>
          <w:tblCellSpacing w:w="0" w:type="dxa"/>
          <w:tblCellMar>
            <w:left w:w="0" w:type="dxa"/>
            <w:right w:w="0" w:type="dxa"/>
          </w:tblCellMar>
          <w:tblLook w:val="04A0"/>
        </w:tblPrEx>
        <w:trPr>
          <w:divId w:val="2"/>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bidi w:val="0"/>
              <w:spacing w:after="0" w:line="240" w:lineRule="auto"/>
              <w:rPr>
                <w:rFonts w:ascii="Times New Roman" w:hAnsi="Times New Roman"/>
              </w:rPr>
            </w:pPr>
          </w:p>
        </w:tc>
        <w:tc>
          <w:tcPr>
            <w:tcW w:w="468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rPr>
                <w:rFonts w:ascii="Times New Roman" w:hAnsi="Times New Roman"/>
              </w:rPr>
            </w:pPr>
            <w:r w:rsidRPr="00E162A1">
              <w:rPr>
                <w:rFonts w:ascii="Times New Roman" w:hAnsi="Times New Roman"/>
              </w:rPr>
              <w:t>Bol splnený cieľ účasti verejnosti na tvorbe právneho predpisu?</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jc w:val="center"/>
              <w:rPr>
                <w:rFonts w:ascii="Times New Roman" w:hAnsi="Times New Roman"/>
              </w:rP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textDirection w:val="lrTb"/>
            <w:vAlign w:val="center"/>
            <w:hideMark/>
          </w:tcPr>
          <w:p w:rsidR="00E5600A" w:rsidRPr="00E162A1">
            <w:pPr>
              <w:pStyle w:val="NormalWeb"/>
              <w:bidi w:val="0"/>
              <w:spacing w:line="240" w:lineRule="auto"/>
              <w:ind w:left="-107"/>
              <w:jc w:val="center"/>
              <w:rPr>
                <w:rFonts w:ascii="Times New Roman" w:hAnsi="Times New Roman"/>
              </w:rPr>
            </w:pPr>
            <w:r w:rsidRPr="00E162A1">
              <w:rPr>
                <w:rFonts w:ascii="Segoe UI Symbol" w:hAnsi="Segoe UI Symbol" w:cs="Segoe UI Symbol"/>
              </w:rPr>
              <w:t>☐</w:t>
            </w:r>
          </w:p>
        </w:tc>
      </w:tr>
    </w:tbl>
    <w:p w:rsidR="00E5600A" w:rsidRPr="00E162A1" w:rsidP="003F7CCB">
      <w:pPr>
        <w:pStyle w:val="NormalWeb"/>
        <w:divId w:val="2"/>
        <w:bidi w:val="0"/>
        <w:rPr>
          <w:rFonts w:ascii="Times New Roman" w:hAnsi="Times New Roman"/>
        </w:rPr>
      </w:pPr>
    </w:p>
    <w:sectPr w:rsidSect="003F7CCB">
      <w:pgSz w:w="12240" w:h="15840"/>
      <w:pgMar w:top="1440" w:right="1440" w:bottom="1135"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Segoe UI Symbo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rsids>
    <w:rsidRoot w:val="00716D4D"/>
    <w:rsid w:val="000E4F08"/>
    <w:rsid w:val="00181754"/>
    <w:rsid w:val="00212F9A"/>
    <w:rsid w:val="003F7950"/>
    <w:rsid w:val="003F7CCB"/>
    <w:rsid w:val="0049695E"/>
    <w:rsid w:val="004A1531"/>
    <w:rsid w:val="004D7A15"/>
    <w:rsid w:val="005E345B"/>
    <w:rsid w:val="006C5DD0"/>
    <w:rsid w:val="00716D4D"/>
    <w:rsid w:val="007D62CB"/>
    <w:rsid w:val="00856250"/>
    <w:rsid w:val="00974AE7"/>
    <w:rsid w:val="00A154E8"/>
    <w:rsid w:val="00AA762C"/>
    <w:rsid w:val="00AC5107"/>
    <w:rsid w:val="00C15152"/>
    <w:rsid w:val="00C9479C"/>
    <w:rsid w:val="00CD4237"/>
    <w:rsid w:val="00D8599B"/>
    <w:rsid w:val="00E162A1"/>
    <w:rsid w:val="00E266D6"/>
    <w:rsid w:val="00E55392"/>
    <w:rsid w:val="00E5600A"/>
    <w:rsid w:val="00ED21F7"/>
    <w:rsid w:val="00F867EB"/>
    <w:rsid w:val="00F9528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E266D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E266D6"/>
    <w:pPr>
      <w:jc w:val="left"/>
    </w:pPr>
    <w:rPr>
      <w:rFonts w:ascii="Tahoma" w:hAnsi="Tahoma" w:cs="Tahoma"/>
      <w:sz w:val="16"/>
      <w:szCs w:val="16"/>
    </w:rPr>
  </w:style>
  <w:style w:type="character" w:styleId="CommentReference">
    <w:name w:val="annotation reference"/>
    <w:basedOn w:val="DefaultParagraphFont"/>
    <w:uiPriority w:val="99"/>
    <w:semiHidden/>
    <w:unhideWhenUsed/>
    <w:rsid w:val="007D62CB"/>
    <w:rPr>
      <w:rFonts w:cs="Times New Roman"/>
      <w:sz w:val="16"/>
      <w:szCs w:val="16"/>
      <w:rtl w:val="0"/>
      <w:cs w:val="0"/>
    </w:rPr>
  </w:style>
  <w:style w:type="character" w:customStyle="1" w:styleId="TextbublinyChar">
    <w:name w:val="Text bubliny Char"/>
    <w:basedOn w:val="DefaultParagraphFont"/>
    <w:link w:val="BalloonText"/>
    <w:uiPriority w:val="99"/>
    <w:semiHidden/>
    <w:locked/>
    <w:rsid w:val="00E266D6"/>
    <w:rPr>
      <w:rFonts w:ascii="Tahoma" w:hAnsi="Tahoma" w:cs="Tahoma"/>
      <w:sz w:val="16"/>
      <w:szCs w:val="16"/>
      <w:rtl w:val="0"/>
      <w:cs w:val="0"/>
      <w:lang w:val="sk-SK" w:eastAsia="sk-SK"/>
    </w:rPr>
  </w:style>
  <w:style w:type="paragraph" w:styleId="CommentText">
    <w:name w:val="annotation text"/>
    <w:basedOn w:val="Normal"/>
    <w:link w:val="TextkomentraChar"/>
    <w:uiPriority w:val="99"/>
    <w:semiHidden/>
    <w:unhideWhenUsed/>
    <w:rsid w:val="007D62CB"/>
    <w:pPr>
      <w:jc w:val="left"/>
    </w:pPr>
    <w:rPr>
      <w:sz w:val="20"/>
      <w:szCs w:val="20"/>
    </w:rPr>
  </w:style>
  <w:style w:type="character" w:customStyle="1" w:styleId="TextkomentraChar">
    <w:name w:val="Text komentára Char"/>
    <w:basedOn w:val="DefaultParagraphFont"/>
    <w:link w:val="CommentText"/>
    <w:uiPriority w:val="99"/>
    <w:semiHidden/>
    <w:locked/>
    <w:rsid w:val="007D62CB"/>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7D62CB"/>
    <w:pPr>
      <w:jc w:val="left"/>
    </w:pPr>
    <w:rPr>
      <w:b/>
      <w:bCs/>
    </w:rPr>
  </w:style>
  <w:style w:type="character" w:customStyle="1" w:styleId="PredmetkomentraChar">
    <w:name w:val="Predmet komentára Char"/>
    <w:basedOn w:val="TextkomentraChar"/>
    <w:link w:val="CommentSubject"/>
    <w:uiPriority w:val="99"/>
    <w:semiHidden/>
    <w:locked/>
    <w:rsid w:val="007D62CB"/>
    <w:rPr>
      <w:b/>
      <w:bCs/>
    </w:rPr>
  </w:style>
  <w:style w:type="character" w:styleId="Hyperlink">
    <w:name w:val="Hyperlink"/>
    <w:basedOn w:val="DefaultParagraphFont"/>
    <w:uiPriority w:val="99"/>
    <w:unhideWhenUsed/>
    <w:rsid w:val="004D7A15"/>
    <w:rPr>
      <w:rFonts w:cs="Times New Roman"/>
      <w:color w:val="0000FF" w:themeColor="hlink" w:themeShade="FF"/>
      <w:u w:val="single"/>
      <w:rtl w:val="0"/>
      <w:cs w:val="0"/>
    </w:rPr>
  </w:style>
  <w:style w:type="paragraph" w:styleId="NormalWeb">
    <w:name w:val="Normal (Web)"/>
    <w:basedOn w:val="Normal"/>
    <w:uiPriority w:val="99"/>
    <w:unhideWhenUsed/>
    <w:rsid w:val="00E5600A"/>
    <w:pPr>
      <w:widowControl/>
      <w:adjustRightInd/>
      <w:spacing w:before="100" w:beforeAutospacing="1" w:after="100" w:afterAutospacing="1"/>
      <w:jc w:val="left"/>
    </w:pPr>
  </w:style>
  <w:style w:type="character" w:styleId="Strong">
    <w:name w:val="Strong"/>
    <w:uiPriority w:val="22"/>
    <w:qFormat/>
    <w:locked/>
    <w:rsid w:val="00E5600A"/>
    <w:rPr>
      <w: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28.6.2017 8:42:12"/>
    <f:field ref="objchangedby" par="" text="Administrator, System"/>
    <f:field ref="objmodifiedat" par="" text="28.6.2017 8:42:14"/>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1</Pages>
  <Words>281</Words>
  <Characters>1608</Characters>
  <Application>Microsoft Office Word</Application>
  <DocSecurity>0</DocSecurity>
  <Lines>0</Lines>
  <Paragraphs>0</Paragraphs>
  <ScaleCrop>false</ScaleCrop>
  <Company>Abyss</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Borovska Michala</dc:creator>
  <cp:lastModifiedBy>Borovska Michala</cp:lastModifiedBy>
  <cp:revision>2</cp:revision>
  <dcterms:created xsi:type="dcterms:W3CDTF">2018-08-24T11:35:00Z</dcterms:created>
  <dcterms:modified xsi:type="dcterms:W3CDTF">2018-08-24T11:35:00Z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COO.2145.1000.3.2040426</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28. 6. 2017</vt:lpwstr>
  </property>
  <property fmtid="{D5CDD505-2E9C-101B-9397-08002B2CF9AE}" pid="6" name="FSC#SKEDITIONSLOVLEX@103.510:AttrDateDocPropZaciatokPKK">
    <vt:lpwstr>15. 6. 2017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Pozitívne
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V prípade nezaplatenia ročnej platby za biocídny výrobok sprístupnený na trhu v Slovenskej republike podľa § 20 biocídneho zákona bolo alternatívnym riešením ponechať postup podľa správneho poriadku, ktorý vyžaduje otvorenie správneho konania a vydanie ro</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hospodárstva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Cieľom zdvojnásobenia príslušnej ročnej platby za sprístupňovanie biocídneho výrobku je primárne zlepšiť platobnú disciplínu podnikateľských subjektov tak, aby boli ročné platby uhradené do 30. júna príslušného roka. Toto opatrenie podporuje pôvodný zámer</vt:lpwstr>
  </property>
  <property fmtid="{D5CDD505-2E9C-101B-9397-08002B2CF9AE}" pid="23" name="FSC#SKEDITIONSLOVLEX@103.510:AttrStrListDocPropPrimarnePravoEU">
    <vt:lpwstr>Nariadenie Európskeho parlamentu a Rady (EÚ) č. 528/2012 z  22. mája 2012 o sprístupňovaní biocídnych výrobkov na trhu a ich používaní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Stála pracovná komisia na posudzovanie vybraných vplyvov vyjadruje súhlasné stanovisko s materiálom predloženým na predbežné pripomienkové konanie.</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zákon č. 319/2013 Z. z. o pôsobnosti orgánov štátnej správy pre sprístupňovanie biocídnych výrobkov na trh a ich používanie a o </vt:lpwstr>
  </property>
  <property fmtid="{D5CDD505-2E9C-101B-9397-08002B2CF9AE}" pid="32" name="FSC#SKEDITIONSLOVLEX@103.510:AttrStrListDocPropTextPredklSpravy">
    <vt:lpwstr>&lt;p style="text-align: justify;"&gt;&amp;nbsp;&amp;nbsp;&amp;nbsp;&amp;nbsp; Návrh zákona, ktorým sa mení zákon č. 319/2013 Z. z. o&amp;nbsp;pôsobnosti orgánov štátnej správy pre sprístupňovanie biocídnych výrobkov na trhu a&amp;nbsp;ich používanie a&amp;nbsp;o&amp;nbsp;zmene a&amp;nbsp;doplnen</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hospodárstva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LP/2017/494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Správne právo</vt:lpwstr>
  </property>
  <property fmtid="{D5CDD505-2E9C-101B-9397-08002B2CF9AE}" pid="125" name="FSC#SKEDITIONSLOVLEX@103.510:nazovpredpis">
    <vt:lpwstr>, ktorým sa mení zákon č. 319/2013 Z. z. o pôsobnosti orgánov štátnej správy pre sprístupňovanie biocídnych výrobkov na trh a ich používanie a o zmene a doplnení niektorých zákonov (biocídny zákon)</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zákon č. 319/2013 Z. z. o pôsobnosti orgánov štátnej správy pre sprístupňovanie biocídnych výrobkov na trh a ich používanie a o zmene a doplnení niektorých zákonov (biocídny zákon)</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Mgr. Michala Borovská</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21461/2017-2062-34902</vt:lpwstr>
  </property>
  <property fmtid="{D5CDD505-2E9C-101B-9397-08002B2CF9AE}" pid="141" name="FSC#SKEDITIONSLOVLEX@103.510:spiscislouv">
    <vt:lpwstr/>
  </property>
  <property fmtid="{D5CDD505-2E9C-101B-9397-08002B2CF9AE}" pid="142" name="FSC#SKEDITIONSLOVLEX@103.510:spravaucastverej">
    <vt:lpwstr>&lt;table border="1" cellpadding="0" cellspacing="0" width="631"&gt;	&lt;tbody&gt;		&lt;tr&gt;			&lt;td colspan="5" style="width: 631px; height: 16px;"&gt;			&lt;p align="center"&gt;&lt;strong&gt;Správa o účasti verejnosti na tvorbe právneho predpisu&lt;/strong&gt;&lt;/p&gt;			&lt;p&gt;&lt;strong&gt;Scenár 1: Vere</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Správa o účasti verejnosti</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28. 6. 2017</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Peter Žiga</vt:lpwstr>
  </property>
</Properties>
</file>