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A2349" w:rsidRPr="00E45666" w:rsidP="00DA2349">
      <w:pPr>
        <w:pStyle w:val="Default"/>
        <w:bidi w:val="0"/>
        <w:ind w:left="360"/>
        <w:jc w:val="center"/>
        <w:rPr>
          <w:rFonts w:ascii="Times New Roman" w:hAnsi="Times New Roman"/>
        </w:rPr>
      </w:pPr>
      <w:r w:rsidRPr="00E45666">
        <w:rPr>
          <w:rFonts w:ascii="Times New Roman" w:hAnsi="Times New Roman"/>
          <w:b/>
          <w:bCs/>
        </w:rPr>
        <w:t>DOLOŽKA ZLUČITEĽNOSTI</w:t>
      </w:r>
    </w:p>
    <w:p w:rsidR="00DA2349" w:rsidRPr="00E45666" w:rsidP="00DA2349">
      <w:pPr>
        <w:pStyle w:val="Default"/>
        <w:bidi w:val="0"/>
        <w:ind w:left="426"/>
        <w:jc w:val="center"/>
        <w:rPr>
          <w:rFonts w:ascii="Times New Roman" w:hAnsi="Times New Roman"/>
          <w:b/>
          <w:bCs/>
        </w:rPr>
      </w:pPr>
      <w:r w:rsidRPr="00E45666">
        <w:rPr>
          <w:rFonts w:ascii="Times New Roman" w:hAnsi="Times New Roman"/>
          <w:b/>
          <w:bCs/>
        </w:rPr>
        <w:t>návrhu zákona s právom Európskej únie</w:t>
      </w:r>
    </w:p>
    <w:p w:rsidR="00DA2349" w:rsidRPr="00E45666" w:rsidP="00DA2349">
      <w:pPr>
        <w:pStyle w:val="Default"/>
        <w:bidi w:val="0"/>
        <w:jc w:val="center"/>
        <w:rPr>
          <w:rFonts w:ascii="Times New Roman" w:hAnsi="Times New Roman"/>
        </w:rPr>
      </w:pPr>
    </w:p>
    <w:p w:rsidR="00DA2349" w:rsidRPr="00E45666" w:rsidP="00DA2349">
      <w:pPr>
        <w:pStyle w:val="Default"/>
        <w:bidi w:val="0"/>
        <w:ind w:firstLine="426"/>
        <w:rPr>
          <w:rFonts w:ascii="Times New Roman" w:hAnsi="Times New Roman"/>
        </w:rPr>
      </w:pPr>
      <w:r w:rsidRPr="00E45666">
        <w:rPr>
          <w:rFonts w:ascii="Times New Roman" w:hAnsi="Times New Roman"/>
        </w:rPr>
        <w:t xml:space="preserve">1. </w:t>
      </w:r>
      <w:r w:rsidRPr="00E45666">
        <w:rPr>
          <w:rFonts w:ascii="Times New Roman" w:hAnsi="Times New Roman"/>
          <w:b/>
        </w:rPr>
        <w:t>Navrhovateľ zákona</w:t>
      </w:r>
      <w:r w:rsidRPr="00E45666">
        <w:rPr>
          <w:rFonts w:ascii="Times New Roman" w:hAnsi="Times New Roman"/>
        </w:rPr>
        <w:t xml:space="preserve">: </w:t>
      </w:r>
      <w:r>
        <w:rPr>
          <w:rFonts w:ascii="Times New Roman" w:hAnsi="Times New Roman"/>
        </w:rPr>
        <w:t>Ministerstvo hospodárstva SR</w:t>
      </w:r>
    </w:p>
    <w:p w:rsidR="00DA2349" w:rsidRPr="00E45666" w:rsidP="00DA2349">
      <w:pPr>
        <w:pStyle w:val="Default"/>
        <w:bidi w:val="0"/>
        <w:ind w:firstLine="426"/>
        <w:rPr>
          <w:rFonts w:ascii="Times New Roman" w:hAnsi="Times New Roman"/>
        </w:rPr>
      </w:pPr>
    </w:p>
    <w:p w:rsidR="00DA2349" w:rsidP="001B4DD8">
      <w:pPr>
        <w:pStyle w:val="Default"/>
        <w:bidi w:val="0"/>
        <w:ind w:left="709" w:hanging="283"/>
        <w:jc w:val="both"/>
        <w:rPr>
          <w:rFonts w:ascii="Times New Roman" w:hAnsi="Times New Roman"/>
        </w:rPr>
      </w:pPr>
      <w:r w:rsidRPr="00E45666">
        <w:rPr>
          <w:rFonts w:ascii="Times New Roman" w:hAnsi="Times New Roman"/>
        </w:rPr>
        <w:t xml:space="preserve">2. </w:t>
      </w:r>
      <w:r w:rsidRPr="00E45666">
        <w:rPr>
          <w:rFonts w:ascii="Times New Roman" w:hAnsi="Times New Roman"/>
          <w:b/>
        </w:rPr>
        <w:t>Názov návrhu zákona</w:t>
      </w:r>
      <w:r w:rsidRPr="00E45666">
        <w:rPr>
          <w:rFonts w:ascii="Times New Roman" w:hAnsi="Times New Roman"/>
        </w:rPr>
        <w:t xml:space="preserve">: </w:t>
      </w:r>
      <w:r>
        <w:rPr>
          <w:rFonts w:ascii="Times New Roman" w:hAnsi="Times New Roman"/>
        </w:rPr>
        <w:t xml:space="preserve">Návrh zákona, </w:t>
      </w:r>
      <w:r w:rsidRPr="008A31DB" w:rsidR="008A31DB">
        <w:rPr>
          <w:rFonts w:ascii="Times New Roman" w:hAnsi="Times New Roman"/>
        </w:rPr>
        <w:t xml:space="preserve">ktorým sa mení a dopĺňa zákon č. 71/2013 Z. z. o poskytovaní dotácií v pôsobnosti Ministerstva hospodárstva Slovenskej republiky </w:t>
      </w:r>
      <w:r w:rsidR="00282ED3">
        <w:rPr>
          <w:rFonts w:ascii="Times New Roman" w:hAnsi="Times New Roman"/>
        </w:rPr>
        <w:t xml:space="preserve">     </w:t>
      </w:r>
      <w:r w:rsidRPr="008A31DB" w:rsidR="008A31DB">
        <w:rPr>
          <w:rFonts w:ascii="Times New Roman" w:hAnsi="Times New Roman"/>
        </w:rPr>
        <w:t>v znení neskorších predpisov a</w:t>
      </w:r>
      <w:r w:rsidR="00282ED3">
        <w:rPr>
          <w:rFonts w:ascii="Times New Roman" w:hAnsi="Times New Roman"/>
        </w:rPr>
        <w:t xml:space="preserve"> ktorým sa </w:t>
      </w:r>
      <w:r w:rsidRPr="008A31DB" w:rsidR="008A31DB">
        <w:rPr>
          <w:rFonts w:ascii="Times New Roman" w:hAnsi="Times New Roman"/>
        </w:rPr>
        <w:t xml:space="preserve">mení zákon č. 290/2016 Z. z. o podpore malého a stredného podnikania a o zmene a doplnení zákona č. 71/2013 Z. z. </w:t>
      </w:r>
      <w:r w:rsidR="00282ED3">
        <w:rPr>
          <w:rFonts w:ascii="Times New Roman" w:hAnsi="Times New Roman"/>
        </w:rPr>
        <w:t xml:space="preserve">               </w:t>
      </w:r>
      <w:r w:rsidRPr="008A31DB" w:rsidR="008A31DB">
        <w:rPr>
          <w:rFonts w:ascii="Times New Roman" w:hAnsi="Times New Roman"/>
        </w:rPr>
        <w:t xml:space="preserve">o poskytovaní dotácií v pôsobnosti Ministerstva hospodárstva Slovenskej republiky </w:t>
      </w:r>
      <w:r w:rsidR="00282ED3">
        <w:rPr>
          <w:rFonts w:ascii="Times New Roman" w:hAnsi="Times New Roman"/>
        </w:rPr>
        <w:t xml:space="preserve">     </w:t>
      </w:r>
      <w:r w:rsidRPr="008A31DB" w:rsidR="008A31DB">
        <w:rPr>
          <w:rFonts w:ascii="Times New Roman" w:hAnsi="Times New Roman"/>
        </w:rPr>
        <w:t>v znení neskorších predpisov v znení zákona č. 177/2018 Z. z.</w:t>
      </w:r>
    </w:p>
    <w:p w:rsidR="001B4DD8" w:rsidRPr="00E45666" w:rsidP="001B4DD8">
      <w:pPr>
        <w:pStyle w:val="Default"/>
        <w:bidi w:val="0"/>
        <w:ind w:left="709" w:hanging="283"/>
        <w:jc w:val="both"/>
        <w:rPr>
          <w:rFonts w:ascii="Times New Roman" w:hAnsi="Times New Roman"/>
        </w:rPr>
      </w:pPr>
    </w:p>
    <w:p w:rsidR="00DA2349" w:rsidRPr="00E45666" w:rsidP="00DA2349">
      <w:pPr>
        <w:pStyle w:val="Default"/>
        <w:bidi w:val="0"/>
        <w:ind w:firstLine="426"/>
        <w:rPr>
          <w:rFonts w:ascii="Times New Roman" w:hAnsi="Times New Roman"/>
        </w:rPr>
      </w:pPr>
      <w:r w:rsidRPr="00E45666">
        <w:rPr>
          <w:rFonts w:ascii="Times New Roman" w:hAnsi="Times New Roman"/>
        </w:rPr>
        <w:t xml:space="preserve">3. </w:t>
      </w:r>
      <w:r w:rsidRPr="00E45666">
        <w:rPr>
          <w:rFonts w:ascii="Times New Roman" w:hAnsi="Times New Roman"/>
          <w:b/>
          <w:bCs/>
        </w:rPr>
        <w:t>Predmet návrhu zákona je upravený v práve Európskej únie</w:t>
      </w:r>
      <w:r w:rsidRPr="00E45666">
        <w:rPr>
          <w:rFonts w:ascii="Times New Roman" w:hAnsi="Times New Roman"/>
        </w:rPr>
        <w:t xml:space="preserve">: </w:t>
      </w:r>
    </w:p>
    <w:p w:rsidR="001B4DD8" w:rsidRPr="00546A19" w:rsidP="007254DA">
      <w:pPr>
        <w:pStyle w:val="Default"/>
        <w:bidi w:val="0"/>
        <w:ind w:left="1276" w:hanging="283"/>
        <w:jc w:val="both"/>
        <w:rPr>
          <w:rFonts w:ascii="Times New Roman" w:hAnsi="Times New Roman"/>
        </w:rPr>
      </w:pPr>
      <w:r>
        <w:rPr>
          <w:rFonts w:ascii="Times New Roman" w:hAnsi="Times New Roman"/>
        </w:rPr>
        <w:t>a) v primárnom práve</w:t>
      </w:r>
      <w:r w:rsidR="00E11AAD">
        <w:rPr>
          <w:rFonts w:ascii="Times New Roman" w:hAnsi="Times New Roman"/>
        </w:rPr>
        <w:t xml:space="preserve"> - </w:t>
      </w:r>
      <w:r w:rsidRPr="00546A19">
        <w:rPr>
          <w:rFonts w:ascii="Times New Roman" w:hAnsi="Times New Roman"/>
        </w:rPr>
        <w:t>Zmluva o f</w:t>
      </w:r>
      <w:r w:rsidR="007254DA">
        <w:rPr>
          <w:rFonts w:ascii="Times New Roman" w:hAnsi="Times New Roman"/>
        </w:rPr>
        <w:t xml:space="preserve">ungovaní Európskej únie – čl. 91, čl. 107, čl. 108, čl. </w:t>
      </w:r>
      <w:r w:rsidRPr="00546A19" w:rsidR="007254DA">
        <w:rPr>
          <w:rFonts w:ascii="Times New Roman" w:hAnsi="Times New Roman"/>
        </w:rPr>
        <w:t xml:space="preserve">114 </w:t>
      </w:r>
      <w:r w:rsidR="007254DA">
        <w:rPr>
          <w:rFonts w:ascii="Times New Roman" w:hAnsi="Times New Roman"/>
        </w:rPr>
        <w:t xml:space="preserve">a čl. 194 </w:t>
      </w:r>
      <w:r w:rsidRPr="00546A19">
        <w:rPr>
          <w:rFonts w:ascii="Times New Roman" w:hAnsi="Times New Roman"/>
        </w:rPr>
        <w:t xml:space="preserve"> </w:t>
      </w:r>
    </w:p>
    <w:p w:rsidR="00DA2349" w:rsidRPr="00E45666" w:rsidP="00DA2349">
      <w:pPr>
        <w:pStyle w:val="Default"/>
        <w:bidi w:val="0"/>
        <w:ind w:left="567" w:firstLine="426"/>
        <w:jc w:val="both"/>
        <w:rPr>
          <w:rFonts w:ascii="Times New Roman" w:hAnsi="Times New Roman"/>
        </w:rPr>
      </w:pPr>
      <w:r w:rsidRPr="00E45666">
        <w:rPr>
          <w:rFonts w:ascii="Times New Roman" w:hAnsi="Times New Roman"/>
        </w:rPr>
        <w:t xml:space="preserve"> </w:t>
      </w:r>
    </w:p>
    <w:p w:rsidR="00DA2349" w:rsidP="00DA2349">
      <w:pPr>
        <w:pStyle w:val="Default"/>
        <w:bidi w:val="0"/>
        <w:ind w:left="1276" w:hanging="283"/>
        <w:jc w:val="both"/>
        <w:rPr>
          <w:rFonts w:ascii="Times New Roman" w:hAnsi="Times New Roman"/>
        </w:rPr>
      </w:pPr>
      <w:r w:rsidR="001B4DD8">
        <w:rPr>
          <w:rFonts w:ascii="Times New Roman" w:hAnsi="Times New Roman"/>
        </w:rPr>
        <w:t>b) v sekundárnom práve</w:t>
      </w:r>
    </w:p>
    <w:p w:rsidR="00E11AAD" w:rsidP="00DA2349">
      <w:pPr>
        <w:pStyle w:val="Default"/>
        <w:bidi w:val="0"/>
        <w:ind w:left="1276" w:hanging="283"/>
        <w:jc w:val="both"/>
        <w:rPr>
          <w:rFonts w:ascii="Times New Roman" w:hAnsi="Times New Roman"/>
        </w:rPr>
      </w:pPr>
    </w:p>
    <w:p w:rsidR="001B4DD8" w:rsidP="001B4DD8">
      <w:pPr>
        <w:pStyle w:val="ListParagraph"/>
        <w:numPr>
          <w:numId w:val="8"/>
        </w:numPr>
        <w:autoSpaceDE/>
        <w:autoSpaceDN/>
        <w:bidi w:val="0"/>
        <w:spacing w:after="200" w:line="276" w:lineRule="auto"/>
        <w:jc w:val="both"/>
        <w:rPr>
          <w:rFonts w:ascii="Times New Roman" w:hAnsi="Times New Roman"/>
        </w:rPr>
      </w:pPr>
      <w:r w:rsidRPr="00546A19">
        <w:rPr>
          <w:rFonts w:ascii="Times New Roman" w:hAnsi="Times New Roman"/>
        </w:rPr>
        <w:t>Smernica Európskeho parlamentu a Rady 2012/27/EÚ z 25. októbra 2012 o energetickej efektívnosti, ktorou sa menia a dopĺňajú smernice 2009/125/ES a 2010/30/EÚ a ktorou sa zrušujú smernice 2004/8/ES a 2006/32/ES (Ú. v. EÚ L 315, 14.</w:t>
      </w:r>
      <w:r w:rsidR="00296876">
        <w:rPr>
          <w:rFonts w:ascii="Times New Roman" w:hAnsi="Times New Roman"/>
        </w:rPr>
        <w:t xml:space="preserve"> </w:t>
      </w:r>
      <w:r w:rsidRPr="00546A19">
        <w:rPr>
          <w:rFonts w:ascii="Times New Roman" w:hAnsi="Times New Roman"/>
        </w:rPr>
        <w:t>11.</w:t>
      </w:r>
      <w:r w:rsidR="00296876">
        <w:rPr>
          <w:rFonts w:ascii="Times New Roman" w:hAnsi="Times New Roman"/>
        </w:rPr>
        <w:t xml:space="preserve"> </w:t>
      </w:r>
      <w:r w:rsidRPr="00546A19">
        <w:rPr>
          <w:rFonts w:ascii="Times New Roman" w:hAnsi="Times New Roman"/>
        </w:rPr>
        <w:t>2012)</w:t>
      </w:r>
      <w:r w:rsidR="007254DA">
        <w:rPr>
          <w:rFonts w:ascii="Times New Roman" w:hAnsi="Times New Roman"/>
        </w:rPr>
        <w:t xml:space="preserve"> v platnom znení</w:t>
      </w:r>
      <w:r w:rsidR="0046440C">
        <w:rPr>
          <w:rFonts w:ascii="Times New Roman" w:hAnsi="Times New Roman"/>
        </w:rPr>
        <w:t>.</w:t>
      </w:r>
    </w:p>
    <w:p w:rsidR="00A423E2" w:rsidP="00A423E2">
      <w:pPr>
        <w:pStyle w:val="ListParagraph"/>
        <w:autoSpaceDE/>
        <w:autoSpaceDN/>
        <w:bidi w:val="0"/>
        <w:spacing w:after="200" w:line="276" w:lineRule="auto"/>
        <w:jc w:val="both"/>
        <w:rPr>
          <w:rFonts w:ascii="Times New Roman" w:hAnsi="Times New Roman"/>
        </w:rPr>
      </w:pPr>
      <w:r>
        <w:rPr>
          <w:rFonts w:ascii="Times New Roman" w:hAnsi="Times New Roman"/>
        </w:rPr>
        <w:t>Gestor: MH SR</w:t>
      </w:r>
    </w:p>
    <w:p w:rsidR="00FA59F9" w:rsidRPr="00546A19" w:rsidP="00FA59F9">
      <w:pPr>
        <w:pStyle w:val="ListParagraph"/>
        <w:numPr>
          <w:numId w:val="8"/>
        </w:numPr>
        <w:autoSpaceDE/>
        <w:autoSpaceDN/>
        <w:bidi w:val="0"/>
        <w:spacing w:after="200" w:line="276" w:lineRule="auto"/>
        <w:jc w:val="both"/>
        <w:rPr>
          <w:rFonts w:ascii="Times New Roman" w:hAnsi="Times New Roman"/>
        </w:rPr>
      </w:pPr>
      <w:r w:rsidRPr="007254DA">
        <w:rPr>
          <w:rStyle w:val="Strong"/>
          <w:rFonts w:ascii="Times New Roman" w:hAnsi="Times New Roman"/>
          <w:b w:val="0"/>
        </w:rPr>
        <w:t>Nariadenie Komisie (EÚ) č. 651/2014 zo 17. júna 2014 o vyhlásení určitých kategórií pomoci za zlučiteľné s vnútorným trhom podľa článkov 107 a 108 zmluvy (</w:t>
      </w:r>
      <w:r w:rsidRPr="00B509E9">
        <w:rPr>
          <w:rFonts w:ascii="Times New Roman" w:hAnsi="Times New Roman"/>
          <w:iCs/>
        </w:rPr>
        <w:t xml:space="preserve">Ú. v. EÚ L </w:t>
      </w:r>
      <w:r>
        <w:rPr>
          <w:rFonts w:ascii="Times New Roman" w:hAnsi="Times New Roman"/>
          <w:iCs/>
        </w:rPr>
        <w:t>187, 26.6.2014) v platnom znení</w:t>
      </w:r>
      <w:r w:rsidR="0046440C">
        <w:rPr>
          <w:rFonts w:ascii="Times New Roman" w:hAnsi="Times New Roman"/>
          <w:iCs/>
        </w:rPr>
        <w:t>.</w:t>
      </w:r>
    </w:p>
    <w:p w:rsidR="001B4DD8" w:rsidP="001B4DD8">
      <w:pPr>
        <w:pStyle w:val="ListParagraph"/>
        <w:numPr>
          <w:numId w:val="8"/>
        </w:numPr>
        <w:autoSpaceDE/>
        <w:autoSpaceDN/>
        <w:bidi w:val="0"/>
        <w:spacing w:after="200" w:line="276" w:lineRule="auto"/>
        <w:jc w:val="both"/>
        <w:rPr>
          <w:rFonts w:ascii="Times New Roman" w:hAnsi="Times New Roman"/>
        </w:rPr>
      </w:pPr>
      <w:r w:rsidRPr="00546A19">
        <w:rPr>
          <w:rFonts w:ascii="Times New Roman" w:hAnsi="Times New Roman"/>
        </w:rPr>
        <w:t>Smernica Európskeho parlamentu a Rady 2014/94/EÚ z 22. októbra 2014 o zavádzaní infraštruktúry pre alternatívne palivá (Ú. v. EÚ L 307, 28.</w:t>
      </w:r>
      <w:r w:rsidR="00296876">
        <w:rPr>
          <w:rFonts w:ascii="Times New Roman" w:hAnsi="Times New Roman"/>
        </w:rPr>
        <w:t xml:space="preserve"> </w:t>
      </w:r>
      <w:r w:rsidRPr="00546A19">
        <w:rPr>
          <w:rFonts w:ascii="Times New Roman" w:hAnsi="Times New Roman"/>
        </w:rPr>
        <w:t>10.</w:t>
      </w:r>
      <w:r w:rsidR="00296876">
        <w:rPr>
          <w:rFonts w:ascii="Times New Roman" w:hAnsi="Times New Roman"/>
        </w:rPr>
        <w:t xml:space="preserve"> </w:t>
      </w:r>
      <w:r w:rsidRPr="00546A19">
        <w:rPr>
          <w:rFonts w:ascii="Times New Roman" w:hAnsi="Times New Roman"/>
        </w:rPr>
        <w:t>2014)</w:t>
      </w:r>
      <w:r w:rsidR="0046440C">
        <w:rPr>
          <w:rFonts w:ascii="Times New Roman" w:hAnsi="Times New Roman"/>
        </w:rPr>
        <w:t>.</w:t>
      </w:r>
    </w:p>
    <w:p w:rsidR="00A423E2" w:rsidP="00A423E2">
      <w:pPr>
        <w:pStyle w:val="ListParagraph"/>
        <w:autoSpaceDE/>
        <w:autoSpaceDN/>
        <w:bidi w:val="0"/>
        <w:spacing w:after="200" w:line="276" w:lineRule="auto"/>
        <w:jc w:val="both"/>
        <w:rPr>
          <w:rFonts w:ascii="Times New Roman" w:hAnsi="Times New Roman"/>
        </w:rPr>
      </w:pPr>
      <w:r>
        <w:rPr>
          <w:rFonts w:ascii="Times New Roman" w:hAnsi="Times New Roman"/>
        </w:rPr>
        <w:t>Gestor: MH SR</w:t>
      </w:r>
    </w:p>
    <w:p w:rsidR="001B4DD8" w:rsidRPr="00E45666" w:rsidP="00DA2349">
      <w:pPr>
        <w:pStyle w:val="Default"/>
        <w:bidi w:val="0"/>
        <w:ind w:left="1276" w:hanging="283"/>
        <w:jc w:val="both"/>
        <w:rPr>
          <w:rFonts w:ascii="Times New Roman" w:hAnsi="Times New Roman"/>
        </w:rPr>
      </w:pPr>
    </w:p>
    <w:p w:rsidR="00DA2349" w:rsidRPr="00E45666" w:rsidP="00DA2349">
      <w:pPr>
        <w:pStyle w:val="Default"/>
        <w:bidi w:val="0"/>
        <w:ind w:left="1276" w:hanging="283"/>
        <w:jc w:val="both"/>
        <w:rPr>
          <w:rFonts w:ascii="Times New Roman" w:hAnsi="Times New Roman"/>
        </w:rPr>
      </w:pPr>
      <w:r w:rsidRPr="00E45666">
        <w:rPr>
          <w:rFonts w:ascii="Times New Roman" w:hAnsi="Times New Roman"/>
        </w:rPr>
        <w:t xml:space="preserve">c) </w:t>
      </w:r>
      <w:r w:rsidR="0046440C">
        <w:rPr>
          <w:rFonts w:ascii="Times New Roman" w:hAnsi="Times New Roman"/>
        </w:rPr>
        <w:t xml:space="preserve">nie je </w:t>
      </w:r>
      <w:r w:rsidRPr="00E45666">
        <w:rPr>
          <w:rFonts w:ascii="Times New Roman" w:hAnsi="Times New Roman"/>
        </w:rPr>
        <w:t xml:space="preserve">v judikatúre Súdneho dvora Európskej únie </w:t>
      </w:r>
    </w:p>
    <w:p w:rsidR="00DA2349" w:rsidRPr="00E45666" w:rsidP="00DA2349">
      <w:pPr>
        <w:pStyle w:val="Default"/>
        <w:bidi w:val="0"/>
        <w:ind w:left="567" w:firstLine="426"/>
        <w:jc w:val="both"/>
        <w:rPr>
          <w:rFonts w:ascii="Times New Roman" w:hAnsi="Times New Roman"/>
        </w:rPr>
      </w:pPr>
    </w:p>
    <w:p w:rsidR="00DA2349" w:rsidRPr="00E45666" w:rsidP="00DA2349">
      <w:pPr>
        <w:pStyle w:val="Default"/>
        <w:bidi w:val="0"/>
        <w:ind w:firstLine="426"/>
        <w:rPr>
          <w:rFonts w:ascii="Times New Roman" w:hAnsi="Times New Roman"/>
        </w:rPr>
      </w:pPr>
      <w:r w:rsidRPr="00E45666">
        <w:rPr>
          <w:rFonts w:ascii="Times New Roman" w:hAnsi="Times New Roman"/>
        </w:rPr>
        <w:t xml:space="preserve">4. </w:t>
      </w:r>
      <w:r w:rsidRPr="00E45666">
        <w:rPr>
          <w:rFonts w:ascii="Times New Roman" w:hAnsi="Times New Roman"/>
          <w:b/>
          <w:bCs/>
        </w:rPr>
        <w:t>Záväzky Slovenskej republiky vo vzťahu k Európskej únii</w:t>
      </w:r>
      <w:r w:rsidRPr="00E45666">
        <w:rPr>
          <w:rFonts w:ascii="Times New Roman" w:hAnsi="Times New Roman"/>
        </w:rPr>
        <w:t xml:space="preserve">: </w:t>
      </w:r>
    </w:p>
    <w:p w:rsidR="00A423E2" w:rsidP="00DA2349">
      <w:pPr>
        <w:pStyle w:val="Default"/>
        <w:bidi w:val="0"/>
        <w:ind w:left="1276" w:hanging="283"/>
        <w:jc w:val="both"/>
        <w:rPr>
          <w:rFonts w:ascii="Times New Roman" w:hAnsi="Times New Roman"/>
        </w:rPr>
      </w:pPr>
      <w:r w:rsidRPr="00E45666" w:rsidR="00DA2349">
        <w:rPr>
          <w:rFonts w:ascii="Times New Roman" w:hAnsi="Times New Roman"/>
        </w:rPr>
        <w:t>a) uviesť lehotu na prebranie príslušného právneho aktu Európskej únie, príp. aj osobitnú le</w:t>
      </w:r>
      <w:r w:rsidR="00E11AAD">
        <w:rPr>
          <w:rFonts w:ascii="Times New Roman" w:hAnsi="Times New Roman"/>
        </w:rPr>
        <w:t>hotu účinnosti jeho ustanovení</w:t>
      </w:r>
      <w:r>
        <w:rPr>
          <w:rFonts w:ascii="Times New Roman" w:hAnsi="Times New Roman"/>
        </w:rPr>
        <w:t>:</w:t>
      </w:r>
    </w:p>
    <w:p w:rsidR="00DA2349" w:rsidP="00DA2349">
      <w:pPr>
        <w:pStyle w:val="Default"/>
        <w:bidi w:val="0"/>
        <w:ind w:left="1276" w:hanging="283"/>
        <w:jc w:val="both"/>
        <w:rPr>
          <w:rFonts w:ascii="Times New Roman" w:hAnsi="Times New Roman"/>
        </w:rPr>
      </w:pPr>
      <w:r w:rsidR="00A423E2">
        <w:rPr>
          <w:rFonts w:ascii="Times New Roman" w:hAnsi="Times New Roman"/>
        </w:rPr>
        <w:t xml:space="preserve">- </w:t>
      </w:r>
      <w:r w:rsidR="00A423E2">
        <w:rPr>
          <w:rFonts w:ascii="Times New Roman" w:hAnsi="Times New Roman"/>
          <w:color w:val="auto"/>
        </w:rPr>
        <w:t xml:space="preserve">Smernica </w:t>
      </w:r>
      <w:r w:rsidRPr="00546A19" w:rsidR="00A423E2">
        <w:rPr>
          <w:rFonts w:ascii="Times New Roman" w:hAnsi="Times New Roman"/>
        </w:rPr>
        <w:t>Európskeho parlamentu a Rady 2012/27/EÚ</w:t>
      </w:r>
      <w:r w:rsidR="00A423E2">
        <w:rPr>
          <w:rFonts w:ascii="Times New Roman" w:hAnsi="Times New Roman"/>
        </w:rPr>
        <w:t>: 5. júna 2014</w:t>
      </w:r>
    </w:p>
    <w:p w:rsidR="00A423E2" w:rsidRPr="00A423E2" w:rsidP="00DA2349">
      <w:pPr>
        <w:pStyle w:val="Default"/>
        <w:bidi w:val="0"/>
        <w:ind w:left="1276" w:hanging="283"/>
        <w:jc w:val="both"/>
        <w:rPr>
          <w:rFonts w:ascii="Times New Roman" w:hAnsi="Times New Roman"/>
        </w:rPr>
      </w:pPr>
      <w:r>
        <w:rPr>
          <w:rFonts w:ascii="Times New Roman" w:hAnsi="Times New Roman"/>
        </w:rPr>
        <w:t xml:space="preserve">- </w:t>
      </w:r>
      <w:r w:rsidRPr="00546A19">
        <w:rPr>
          <w:rFonts w:ascii="Times New Roman" w:hAnsi="Times New Roman"/>
        </w:rPr>
        <w:t>Smernica Európskeho parlamentu a Rady 2014/94/EÚ</w:t>
      </w:r>
      <w:r>
        <w:rPr>
          <w:rFonts w:ascii="Times New Roman" w:hAnsi="Times New Roman"/>
        </w:rPr>
        <w:t>: 18. novembra 2016</w:t>
      </w:r>
    </w:p>
    <w:p w:rsidR="00A423E2" w:rsidP="00DA2349">
      <w:pPr>
        <w:pStyle w:val="Default"/>
        <w:bidi w:val="0"/>
        <w:ind w:left="1276" w:hanging="283"/>
        <w:jc w:val="both"/>
        <w:rPr>
          <w:rFonts w:ascii="Times New Roman" w:hAnsi="Times New Roman"/>
        </w:rPr>
      </w:pPr>
    </w:p>
    <w:p w:rsidR="00DA2349" w:rsidRPr="00E45666" w:rsidP="00DA2349">
      <w:pPr>
        <w:pStyle w:val="Default"/>
        <w:bidi w:val="0"/>
        <w:ind w:left="1276" w:hanging="283"/>
        <w:jc w:val="both"/>
        <w:rPr>
          <w:rFonts w:ascii="Times New Roman" w:hAnsi="Times New Roman"/>
        </w:rPr>
      </w:pPr>
      <w:r w:rsidRPr="00E45666">
        <w:rPr>
          <w:rFonts w:ascii="Times New Roman" w:hAnsi="Times New Roman"/>
        </w:rPr>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E45666">
        <w:rPr>
          <w:rStyle w:val="Strong"/>
          <w:rFonts w:ascii="Times New Roman" w:hAnsi="Times New Roman"/>
          <w:b w:val="0"/>
          <w:color w:val="auto"/>
        </w:rPr>
        <w:t>ariadenie Európskeho parlamentu a Rady (ES) č. 1049/2001 z 30. mája 2001 o prístupe verejnosti k dokumentom Európskeho parlamentu, Rady a</w:t>
      </w:r>
      <w:r w:rsidR="00E11AAD">
        <w:rPr>
          <w:rStyle w:val="Strong"/>
          <w:rFonts w:ascii="Times New Roman" w:hAnsi="Times New Roman"/>
          <w:b w:val="0"/>
          <w:color w:val="auto"/>
        </w:rPr>
        <w:t> </w:t>
      </w:r>
      <w:r w:rsidRPr="00E45666">
        <w:rPr>
          <w:rStyle w:val="Strong"/>
          <w:rFonts w:ascii="Times New Roman" w:hAnsi="Times New Roman"/>
          <w:b w:val="0"/>
          <w:color w:val="auto"/>
        </w:rPr>
        <w:t>Komisie</w:t>
      </w:r>
      <w:r w:rsidR="00E11AAD">
        <w:rPr>
          <w:rFonts w:ascii="Times New Roman" w:hAnsi="Times New Roman"/>
        </w:rPr>
        <w:t xml:space="preserve"> </w:t>
      </w:r>
      <w:r w:rsidR="000F784D">
        <w:rPr>
          <w:rFonts w:ascii="Times New Roman" w:hAnsi="Times New Roman"/>
        </w:rPr>
        <w:t>–</w:t>
      </w:r>
      <w:r w:rsidR="00E11AAD">
        <w:rPr>
          <w:rFonts w:ascii="Times New Roman" w:hAnsi="Times New Roman"/>
        </w:rPr>
        <w:t xml:space="preserve"> </w:t>
      </w:r>
      <w:r w:rsidR="000F784D">
        <w:rPr>
          <w:rFonts w:ascii="Times New Roman" w:hAnsi="Times New Roman"/>
        </w:rPr>
        <w:t>nie je</w:t>
      </w:r>
    </w:p>
    <w:p w:rsidR="0065026B" w:rsidP="00A423E2">
      <w:pPr>
        <w:pStyle w:val="Default"/>
        <w:bidi w:val="0"/>
        <w:ind w:left="1276" w:hanging="283"/>
        <w:jc w:val="both"/>
        <w:rPr>
          <w:rFonts w:ascii="Times New Roman" w:hAnsi="Times New Roman"/>
        </w:rPr>
      </w:pPr>
      <w:r w:rsidRPr="00E45666" w:rsidR="00DA2349">
        <w:rPr>
          <w:rFonts w:ascii="Times New Roman" w:hAnsi="Times New Roman"/>
        </w:rPr>
        <w:t xml:space="preserve">c) uviesť informáciu o právnych predpisoch, v ktorých sú uvádzané právne akty Európskej únie už prebrané, spolu s uvedením rozsahu ich prebrania, príp. </w:t>
      </w:r>
      <w:r w:rsidR="00E80DDF">
        <w:rPr>
          <w:rFonts w:ascii="Times New Roman" w:hAnsi="Times New Roman"/>
        </w:rPr>
        <w:t>potreby prijatia ďalších úprav:</w:t>
      </w:r>
    </w:p>
    <w:p w:rsidR="00833E4B" w:rsidP="00833E4B">
      <w:pPr>
        <w:pStyle w:val="Default"/>
        <w:numPr>
          <w:numId w:val="9"/>
        </w:numPr>
        <w:bidi w:val="0"/>
        <w:jc w:val="both"/>
        <w:rPr>
          <w:rFonts w:ascii="Times New Roman" w:hAnsi="Times New Roman"/>
          <w:color w:val="auto"/>
        </w:rPr>
      </w:pPr>
      <w:r w:rsidR="00A423E2">
        <w:rPr>
          <w:rFonts w:ascii="Times New Roman" w:hAnsi="Times New Roman"/>
          <w:color w:val="auto"/>
        </w:rPr>
        <w:t xml:space="preserve">Smernica </w:t>
      </w:r>
      <w:r w:rsidRPr="00546A19" w:rsidR="00A423E2">
        <w:rPr>
          <w:rFonts w:ascii="Times New Roman" w:hAnsi="Times New Roman"/>
        </w:rPr>
        <w:t>Európskeho parlamentu a Rady 2012/27/EÚ</w:t>
      </w:r>
      <w:r w:rsidRPr="00E80DDF" w:rsidR="00A423E2">
        <w:rPr>
          <w:rFonts w:ascii="Times New Roman" w:hAnsi="Times New Roman"/>
          <w:color w:val="auto"/>
        </w:rPr>
        <w:t xml:space="preserve"> </w:t>
      </w:r>
      <w:r w:rsidR="00A423E2">
        <w:rPr>
          <w:rFonts w:ascii="Times New Roman" w:hAnsi="Times New Roman"/>
          <w:color w:val="auto"/>
        </w:rPr>
        <w:t xml:space="preserve">: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575/2001 Z. z. o organizácii činnosti vlády a organizácii ústrednej štátnej správy Zákon č. 657/20</w:t>
      </w:r>
      <w:r>
        <w:rPr>
          <w:rFonts w:ascii="Times New Roman" w:hAnsi="Times New Roman"/>
          <w:color w:val="auto"/>
        </w:rPr>
        <w:t xml:space="preserve">04 Z. z. o tepelnej energetike </w:t>
      </w:r>
      <w:r w:rsidRPr="00833E4B">
        <w:rPr>
          <w:rFonts w:ascii="Times New Roman" w:hAnsi="Times New Roman"/>
          <w:color w:val="auto"/>
        </w:rPr>
        <w:t>Zákon č. 555/2005 Z. z. o energetickej hospodárnosti budov a o zmene a doplne</w:t>
      </w:r>
      <w:r>
        <w:rPr>
          <w:rFonts w:ascii="Times New Roman" w:hAnsi="Times New Roman"/>
          <w:color w:val="auto"/>
        </w:rPr>
        <w:t xml:space="preserve">ní niektorých zákonov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25/2006 Z. z. o verejnom obstarávaní a o zmene</w:t>
      </w:r>
      <w:r>
        <w:rPr>
          <w:rFonts w:ascii="Times New Roman" w:hAnsi="Times New Roman"/>
          <w:color w:val="auto"/>
        </w:rPr>
        <w:t xml:space="preserve"> a doplnení niektorých zákonov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309/2009 Z. z. o podpore obnoviteľných zdrojov energie a vysoko účinnej kombinovanej výroby a o zmene</w:t>
      </w:r>
      <w:r>
        <w:rPr>
          <w:rFonts w:ascii="Times New Roman" w:hAnsi="Times New Roman"/>
          <w:color w:val="auto"/>
        </w:rPr>
        <w:t xml:space="preserve"> a doplnení niektorých zákonov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158/2011 Z. z. o podpore energeticky a environmentálne úsporných motorových vozidiel a o zmene</w:t>
      </w:r>
      <w:r>
        <w:rPr>
          <w:rFonts w:ascii="Times New Roman" w:hAnsi="Times New Roman"/>
          <w:color w:val="auto"/>
        </w:rPr>
        <w:t xml:space="preserve"> a doplnení niektorých zákonov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250/2012 Z. z. o re</w:t>
      </w:r>
      <w:r>
        <w:rPr>
          <w:rFonts w:ascii="Times New Roman" w:hAnsi="Times New Roman"/>
          <w:color w:val="auto"/>
        </w:rPr>
        <w:t xml:space="preserve">gulácii v sieťových odvetviach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251/2012 Z. z. o energetike a o zmene</w:t>
      </w:r>
      <w:r>
        <w:rPr>
          <w:rFonts w:ascii="Times New Roman" w:hAnsi="Times New Roman"/>
          <w:color w:val="auto"/>
        </w:rPr>
        <w:t xml:space="preserve"> a doplnení niektorých zákonov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321/2014 Z. z. o energetickej efektívnosti a o zmene</w:t>
      </w:r>
      <w:r>
        <w:rPr>
          <w:rFonts w:ascii="Times New Roman" w:hAnsi="Times New Roman"/>
          <w:color w:val="auto"/>
        </w:rPr>
        <w:t xml:space="preserve"> a doplnení niektorých zákonov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Vyhláška Ministerstva hospodárstva Slovenskej republiky č. 192/2016 Z. z. o monitorovaní energetic</w:t>
      </w:r>
      <w:r>
        <w:rPr>
          <w:rFonts w:ascii="Times New Roman" w:hAnsi="Times New Roman"/>
          <w:color w:val="auto"/>
        </w:rPr>
        <w:t xml:space="preserve">kej náročnosti verejných budov </w:t>
      </w:r>
    </w:p>
    <w:p w:rsidR="00833E4B" w:rsidP="00833E4B">
      <w:pPr>
        <w:pStyle w:val="Default"/>
        <w:bidi w:val="0"/>
        <w:ind w:left="360"/>
        <w:jc w:val="both"/>
        <w:rPr>
          <w:rFonts w:ascii="Times New Roman" w:hAnsi="Times New Roman"/>
          <w:color w:val="auto"/>
        </w:rPr>
      </w:pPr>
    </w:p>
    <w:p w:rsidR="00833E4B" w:rsidP="00833E4B">
      <w:pPr>
        <w:pStyle w:val="Default"/>
        <w:bidi w:val="0"/>
        <w:ind w:left="360"/>
        <w:jc w:val="both"/>
        <w:rPr>
          <w:rFonts w:ascii="Times New Roman" w:hAnsi="Times New Roman"/>
          <w:color w:val="auto"/>
        </w:rPr>
      </w:pPr>
      <w:r w:rsidRPr="00546A19" w:rsidR="007254DA">
        <w:rPr>
          <w:rFonts w:ascii="Times New Roman" w:hAnsi="Times New Roman"/>
        </w:rPr>
        <w:t>Smernica Európskeho parlamentu a Rady 2014/94/EÚ</w:t>
      </w:r>
      <w:r w:rsidRPr="00833E4B" w:rsidR="007254DA">
        <w:rPr>
          <w:rFonts w:ascii="Times New Roman" w:hAnsi="Times New Roman"/>
          <w:color w:val="auto"/>
        </w:rPr>
        <w:t xml:space="preserve">: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 xml:space="preserve">Zákon č. </w:t>
      </w:r>
      <w:r>
        <w:rPr>
          <w:rFonts w:ascii="Times New Roman" w:hAnsi="Times New Roman"/>
          <w:color w:val="auto"/>
        </w:rPr>
        <w:t xml:space="preserve">40/1964 Zb. Občiansky zákonník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Národnej rady Slovenskej repub</w:t>
      </w:r>
      <w:r>
        <w:rPr>
          <w:rFonts w:ascii="Times New Roman" w:hAnsi="Times New Roman"/>
          <w:color w:val="auto"/>
        </w:rPr>
        <w:t xml:space="preserve">liky č. 18/1996 Z. z. o cenách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150/2004 Z. z. ktorým sa mení a dopĺňa zákon č. 40/1964 Zb. Občiansky zákonní</w:t>
      </w:r>
      <w:r>
        <w:rPr>
          <w:rFonts w:ascii="Times New Roman" w:hAnsi="Times New Roman"/>
          <w:color w:val="auto"/>
        </w:rPr>
        <w:t xml:space="preserve">k v znení neskorších predpisov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365/2004 Z. z. o rovnakom zaobchádzaní v niektorých oblastiach a o ochrane pred diskrimináciou a o zmene a doplnení niektorých zák</w:t>
      </w:r>
      <w:r>
        <w:rPr>
          <w:rFonts w:ascii="Times New Roman" w:hAnsi="Times New Roman"/>
          <w:color w:val="auto"/>
        </w:rPr>
        <w:t xml:space="preserve">onov (antidiskriminačný zákon)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250/2007 Z. z. o ochrane spotrebiteľa a o zmene zákona Slovenskej národnej rady č. 372/1990 Zb. o priestupkoc</w:t>
      </w:r>
      <w:r>
        <w:rPr>
          <w:rFonts w:ascii="Times New Roman" w:hAnsi="Times New Roman"/>
          <w:color w:val="auto"/>
        </w:rPr>
        <w:t xml:space="preserve">h v znení neskorších predpisov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 xml:space="preserve">Vyhláška Ministerstva dopravy, pôšt a telekomunikácií Slovenskej republiky č. 169/2010 Z. z. o osvedčení o evidencii časť I, osvedčení o evidencii časť II </w:t>
      </w:r>
      <w:r>
        <w:rPr>
          <w:rFonts w:ascii="Times New Roman" w:hAnsi="Times New Roman"/>
          <w:color w:val="auto"/>
        </w:rPr>
        <w:t xml:space="preserve">a technickom osvedčení vozidla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Zákon č. 251/2012 Z. z. o energetike a o zmene</w:t>
      </w:r>
      <w:r>
        <w:rPr>
          <w:rFonts w:ascii="Times New Roman" w:hAnsi="Times New Roman"/>
          <w:color w:val="auto"/>
        </w:rPr>
        <w:t xml:space="preserve"> a doplnení niektorých zákonov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Vyhláška Ministerstva hospodárstva Slovenskej republiky č. 358/2013 Z. z., ktorou sa ustanovuje postup a podmienky v oblasti zavádzania a prevádzky inteligentných meracíc</w:t>
      </w:r>
      <w:r>
        <w:rPr>
          <w:rFonts w:ascii="Times New Roman" w:hAnsi="Times New Roman"/>
          <w:color w:val="auto"/>
        </w:rPr>
        <w:t xml:space="preserve">h systémov v elektroenergetike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Vyhláška Ministerstva životného prostredia Slovenskej republiky č. 228/2014 Z. z., ktorou sa ustanovujú požiadavky na kvalitu palív a vedenie pre</w:t>
      </w:r>
      <w:r>
        <w:rPr>
          <w:rFonts w:ascii="Times New Roman" w:hAnsi="Times New Roman"/>
          <w:color w:val="auto"/>
        </w:rPr>
        <w:t xml:space="preserve">vádzkovej evidencie o palivách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Vyhláška Ministerstva hospodárstva Slovenskej republiky č. 168/2015 Z. z., ktorou sa mení vyhláška Ministerstva hospodárstva Slovenskej republiky č. 358/2013 Z. z., ktorou sa ustanovuje postup a podmienky v oblasti zavádzania a prevádzky inteligentných meracíc</w:t>
      </w:r>
      <w:r>
        <w:rPr>
          <w:rFonts w:ascii="Times New Roman" w:hAnsi="Times New Roman"/>
          <w:color w:val="auto"/>
        </w:rPr>
        <w:t xml:space="preserve">h systémov v elektroenergetike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Vyhláška Ministerstva životného prostredia Slovenskej republiky č. 367/2015 Z. z., ktorou sa mení a dopĺňa vyhláška Ministerstva životného prostredia Slovenskej republiky č. 228/2014 Z. z., ktorou sa ustanovujú požiadavky na kvalitu palív a vedenie pre</w:t>
      </w:r>
      <w:r>
        <w:rPr>
          <w:rFonts w:ascii="Times New Roman" w:hAnsi="Times New Roman"/>
          <w:color w:val="auto"/>
        </w:rPr>
        <w:t xml:space="preserve">vádzkovej evidencie o palivách </w:t>
      </w:r>
    </w:p>
    <w:p w:rsidR="00833E4B" w:rsidP="00833E4B">
      <w:pPr>
        <w:pStyle w:val="Default"/>
        <w:bidi w:val="0"/>
        <w:ind w:left="360"/>
        <w:jc w:val="both"/>
        <w:rPr>
          <w:rFonts w:ascii="Times New Roman" w:hAnsi="Times New Roman"/>
          <w:color w:val="auto"/>
        </w:rPr>
      </w:pPr>
      <w:r w:rsidRPr="00833E4B">
        <w:rPr>
          <w:rFonts w:ascii="Times New Roman" w:hAnsi="Times New Roman"/>
          <w:color w:val="auto"/>
        </w:rPr>
        <w:t xml:space="preserve">Národný politický rámec pre rozvoj </w:t>
      </w:r>
      <w:r>
        <w:rPr>
          <w:rFonts w:ascii="Times New Roman" w:hAnsi="Times New Roman"/>
          <w:color w:val="auto"/>
        </w:rPr>
        <w:t xml:space="preserve">trhu s alternatívnymi palivami </w:t>
      </w:r>
    </w:p>
    <w:p w:rsidR="00833E4B" w:rsidRPr="00833E4B" w:rsidP="00833E4B">
      <w:pPr>
        <w:pStyle w:val="Default"/>
        <w:bidi w:val="0"/>
        <w:ind w:left="360"/>
        <w:jc w:val="both"/>
        <w:rPr>
          <w:rFonts w:ascii="Times New Roman" w:hAnsi="Times New Roman"/>
          <w:color w:val="auto"/>
        </w:rPr>
      </w:pPr>
      <w:r w:rsidRPr="00833E4B">
        <w:rPr>
          <w:rFonts w:ascii="Times New Roman" w:hAnsi="Times New Roman"/>
          <w:color w:val="auto"/>
        </w:rPr>
        <w:t xml:space="preserve">Národná politika zavádzania infraštruktúry pre alternatívne palivá v podmienkach Slovenskej republiky </w:t>
      </w:r>
    </w:p>
    <w:p w:rsidR="00833E4B" w:rsidRPr="00833E4B" w:rsidP="00833E4B">
      <w:pPr>
        <w:pStyle w:val="Default"/>
        <w:bidi w:val="0"/>
        <w:ind w:left="360"/>
        <w:jc w:val="both"/>
        <w:rPr>
          <w:rFonts w:ascii="Times New Roman" w:hAnsi="Times New Roman"/>
          <w:color w:val="auto"/>
        </w:rPr>
      </w:pPr>
    </w:p>
    <w:p w:rsidR="00833E4B" w:rsidRPr="00833E4B" w:rsidP="00833E4B">
      <w:pPr>
        <w:pStyle w:val="Default"/>
        <w:bidi w:val="0"/>
        <w:ind w:left="360"/>
        <w:jc w:val="both"/>
        <w:rPr>
          <w:rFonts w:ascii="Times New Roman" w:hAnsi="Times New Roman"/>
          <w:color w:val="auto"/>
        </w:rPr>
      </w:pPr>
    </w:p>
    <w:p w:rsidR="00833E4B" w:rsidRPr="00833E4B" w:rsidP="00833E4B">
      <w:pPr>
        <w:pStyle w:val="Default"/>
        <w:bidi w:val="0"/>
        <w:ind w:left="360"/>
        <w:jc w:val="both"/>
        <w:rPr>
          <w:rFonts w:ascii="Times New Roman" w:hAnsi="Times New Roman"/>
          <w:color w:val="auto"/>
        </w:rPr>
      </w:pPr>
    </w:p>
    <w:p w:rsidR="00DA2349" w:rsidRPr="00E45666" w:rsidP="00E80DDF">
      <w:pPr>
        <w:pStyle w:val="Default"/>
        <w:bidi w:val="0"/>
        <w:ind w:left="426"/>
        <w:rPr>
          <w:rFonts w:ascii="Times New Roman" w:hAnsi="Times New Roman"/>
        </w:rPr>
      </w:pPr>
      <w:r w:rsidRPr="00E45666">
        <w:rPr>
          <w:rFonts w:ascii="Times New Roman" w:hAnsi="Times New Roman"/>
        </w:rPr>
        <w:t xml:space="preserve">5. </w:t>
      </w:r>
      <w:r w:rsidRPr="00E45666">
        <w:rPr>
          <w:rFonts w:ascii="Times New Roman" w:hAnsi="Times New Roman"/>
          <w:b/>
          <w:bCs/>
        </w:rPr>
        <w:t>Návrh zákona je zlučiteľný s právom Európskej únie</w:t>
      </w:r>
      <w:r w:rsidRPr="00E45666">
        <w:rPr>
          <w:rFonts w:ascii="Times New Roman" w:hAnsi="Times New Roman"/>
        </w:rPr>
        <w:t xml:space="preserve">: </w:t>
      </w:r>
    </w:p>
    <w:p w:rsidR="00DA2349" w:rsidRPr="00E45666" w:rsidP="00DA2349">
      <w:pPr>
        <w:pStyle w:val="Default"/>
        <w:bidi w:val="0"/>
        <w:ind w:left="1276" w:hanging="283"/>
        <w:jc w:val="both"/>
        <w:rPr>
          <w:rFonts w:ascii="Times New Roman" w:hAnsi="Times New Roman"/>
        </w:rPr>
      </w:pPr>
      <w:r w:rsidRPr="00E45666">
        <w:rPr>
          <w:rFonts w:ascii="Times New Roman" w:hAnsi="Times New Roman"/>
        </w:rPr>
        <w:t xml:space="preserve">úplne </w:t>
      </w:r>
    </w:p>
    <w:sectPr w:rsidSect="00A423E2">
      <w:pgSz w:w="11906" w:h="16838"/>
      <w:pgMar w:top="993" w:right="1417" w:bottom="993"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w:altName w:val="Times New Roman"/>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484D"/>
    <w:multiLevelType w:val="hybridMultilevel"/>
    <w:tmpl w:val="81A87962"/>
    <w:lvl w:ilvl="0">
      <w:start w:val="3"/>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start w:val="1"/>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4613B58"/>
    <w:multiLevelType w:val="hybridMultilevel"/>
    <w:tmpl w:val="1EF280DA"/>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53E4958"/>
    <w:multiLevelType w:val="hybridMultilevel"/>
    <w:tmpl w:val="65FE38D2"/>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8A41216"/>
    <w:multiLevelType w:val="hybridMultilevel"/>
    <w:tmpl w:val="F0F8F5A0"/>
    <w:lvl w:ilvl="0">
      <w:start w:val="1"/>
      <w:numFmt w:val="decimal"/>
      <w:lvlText w:val="%1."/>
      <w:lvlJc w:val="left"/>
      <w:pPr>
        <w:ind w:left="720" w:hanging="360"/>
      </w:pPr>
      <w:rPr>
        <w:rFonts w:ascii="Times" w:hAnsi="Times" w:cs="Times" w:hint="default"/>
        <w:sz w:val="25"/>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25B21DE"/>
    <w:multiLevelType w:val="hybridMultilevel"/>
    <w:tmpl w:val="2078F9F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E5642E0"/>
    <w:multiLevelType w:val="hybridMultilevel"/>
    <w:tmpl w:val="0E729AC6"/>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E8B16FD"/>
    <w:multiLevelType w:val="hybridMultilevel"/>
    <w:tmpl w:val="A0F68696"/>
    <w:lvl w:ilvl="0">
      <w:start w:val="2"/>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5"/>
  </w:num>
  <w:num w:numId="2">
    <w:abstractNumId w:val="1"/>
  </w:num>
  <w:num w:numId="3">
    <w:abstractNumId w:val="7"/>
  </w:num>
  <w:num w:numId="4">
    <w:abstractNumId w:val="2"/>
  </w:num>
  <w:num w:numId="5">
    <w:abstractNumId w:val="0"/>
  </w:num>
  <w:num w:numId="6">
    <w:abstractNumId w:val="6"/>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
  <w:rsids>
    <w:rsidRoot w:val="00824CCF"/>
    <w:rsid w:val="00010D7F"/>
    <w:rsid w:val="00054456"/>
    <w:rsid w:val="000C03E4"/>
    <w:rsid w:val="000C5887"/>
    <w:rsid w:val="000F784D"/>
    <w:rsid w:val="00117A7E"/>
    <w:rsid w:val="001B4DD8"/>
    <w:rsid w:val="001D60ED"/>
    <w:rsid w:val="001F0AA3"/>
    <w:rsid w:val="0020025E"/>
    <w:rsid w:val="0023485C"/>
    <w:rsid w:val="00282ED3"/>
    <w:rsid w:val="00296876"/>
    <w:rsid w:val="002B14DD"/>
    <w:rsid w:val="002E6AC0"/>
    <w:rsid w:val="003841E0"/>
    <w:rsid w:val="003D0DA4"/>
    <w:rsid w:val="00444EC1"/>
    <w:rsid w:val="0046440C"/>
    <w:rsid w:val="00482868"/>
    <w:rsid w:val="004A3CCB"/>
    <w:rsid w:val="004B1E6E"/>
    <w:rsid w:val="004C0DF2"/>
    <w:rsid w:val="004E7F23"/>
    <w:rsid w:val="00546A19"/>
    <w:rsid w:val="00596545"/>
    <w:rsid w:val="005A7998"/>
    <w:rsid w:val="00632C56"/>
    <w:rsid w:val="0065026B"/>
    <w:rsid w:val="006C0FA0"/>
    <w:rsid w:val="006C65BD"/>
    <w:rsid w:val="006E1D9C"/>
    <w:rsid w:val="006F3E6F"/>
    <w:rsid w:val="007254DA"/>
    <w:rsid w:val="00785F65"/>
    <w:rsid w:val="007F5B72"/>
    <w:rsid w:val="00814DF5"/>
    <w:rsid w:val="00824CCF"/>
    <w:rsid w:val="00833E4B"/>
    <w:rsid w:val="00847169"/>
    <w:rsid w:val="008570D4"/>
    <w:rsid w:val="008655C8"/>
    <w:rsid w:val="008A31DB"/>
    <w:rsid w:val="008E2891"/>
    <w:rsid w:val="00970F68"/>
    <w:rsid w:val="009C63EB"/>
    <w:rsid w:val="00A423E2"/>
    <w:rsid w:val="00B128CD"/>
    <w:rsid w:val="00B326AA"/>
    <w:rsid w:val="00B509E9"/>
    <w:rsid w:val="00B6474A"/>
    <w:rsid w:val="00C12975"/>
    <w:rsid w:val="00C90146"/>
    <w:rsid w:val="00CA5D08"/>
    <w:rsid w:val="00D14B99"/>
    <w:rsid w:val="00D465F6"/>
    <w:rsid w:val="00D5344B"/>
    <w:rsid w:val="00D7275F"/>
    <w:rsid w:val="00D75FDD"/>
    <w:rsid w:val="00DA2349"/>
    <w:rsid w:val="00DB3DB1"/>
    <w:rsid w:val="00DC377E"/>
    <w:rsid w:val="00DC3BFE"/>
    <w:rsid w:val="00E11AAD"/>
    <w:rsid w:val="00E45666"/>
    <w:rsid w:val="00E80DDF"/>
    <w:rsid w:val="00E85F6B"/>
    <w:rsid w:val="00EC5BF8"/>
    <w:rsid w:val="00F675FE"/>
    <w:rsid w:val="00FA32F7"/>
    <w:rsid w:val="00FA59F9"/>
    <w:rsid w:val="00FD43C5"/>
    <w:rsid w:val="00FD64B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
    <w:qFormat/>
    <w:rsid w:val="009C63EB"/>
    <w:pPr>
      <w:widowControl/>
      <w:autoSpaceDE/>
      <w:autoSpaceDN/>
      <w:adjustRightInd/>
      <w:spacing w:before="100" w:beforeAutospacing="1" w:after="100" w:afterAutospacing="1"/>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5BF8"/>
    <w:rPr>
      <w:rFonts w:cs="Times New Roman"/>
      <w:sz w:val="16"/>
      <w:szCs w:val="16"/>
      <w:rtl w:val="0"/>
      <w:cs w:val="0"/>
    </w:rPr>
  </w:style>
  <w:style w:type="paragraph" w:styleId="CommentText">
    <w:name w:val="annotation text"/>
    <w:basedOn w:val="Normal"/>
    <w:link w:val="TextkomentraChar"/>
    <w:uiPriority w:val="99"/>
    <w:semiHidden/>
    <w:unhideWhenUsed/>
    <w:rsid w:val="00EC5BF8"/>
    <w:pPr>
      <w:jc w:val="left"/>
    </w:pPr>
    <w:rPr>
      <w:sz w:val="20"/>
      <w:szCs w:val="20"/>
    </w:rPr>
  </w:style>
  <w:style w:type="character" w:customStyle="1" w:styleId="TextkomentraChar">
    <w:name w:val="Text komentára Char"/>
    <w:basedOn w:val="DefaultParagraphFont"/>
    <w:link w:val="CommentText"/>
    <w:uiPriority w:val="99"/>
    <w:semiHidden/>
    <w:locked/>
    <w:rsid w:val="00EC5BF8"/>
    <w:rPr>
      <w:rFonts w:cs="Times New Roman"/>
      <w:sz w:val="20"/>
      <w:szCs w:val="20"/>
      <w:rtl w:val="0"/>
      <w:cs w:val="0"/>
      <w:lang w:val="ru-RU" w:eastAsia="x-none"/>
    </w:rPr>
  </w:style>
  <w:style w:type="paragraph" w:styleId="CommentSubject">
    <w:name w:val="annotation subject"/>
    <w:basedOn w:val="CommentText"/>
    <w:next w:val="CommentText"/>
    <w:link w:val="PredmetkomentraChar"/>
    <w:uiPriority w:val="99"/>
    <w:semiHidden/>
    <w:unhideWhenUsed/>
    <w:rsid w:val="00EC5BF8"/>
    <w:pPr>
      <w:jc w:val="left"/>
    </w:pPr>
    <w:rPr>
      <w:b/>
      <w:bCs/>
    </w:rPr>
  </w:style>
  <w:style w:type="character" w:customStyle="1" w:styleId="PredmetkomentraChar">
    <w:name w:val="Predmet komentára Char"/>
    <w:basedOn w:val="TextkomentraChar"/>
    <w:link w:val="CommentSubject"/>
    <w:uiPriority w:val="99"/>
    <w:semiHidden/>
    <w:locked/>
    <w:rsid w:val="00EC5BF8"/>
    <w:rPr>
      <w:b/>
      <w:bCs/>
    </w:rPr>
  </w:style>
  <w:style w:type="paragraph" w:styleId="BalloonText">
    <w:name w:val="Balloon Text"/>
    <w:basedOn w:val="Normal"/>
    <w:link w:val="TextbublinyChar"/>
    <w:uiPriority w:val="99"/>
    <w:semiHidden/>
    <w:unhideWhenUsed/>
    <w:rsid w:val="00EC5BF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C5BF8"/>
    <w:rPr>
      <w:rFonts w:ascii="Tahoma" w:hAnsi="Tahoma" w:cs="Tahoma"/>
      <w:sz w:val="16"/>
      <w:szCs w:val="16"/>
      <w:rtl w:val="0"/>
      <w:cs w:val="0"/>
      <w:lang w:val="ru-RU" w:eastAsia="x-none"/>
    </w:rPr>
  </w:style>
  <w:style w:type="paragraph" w:styleId="ListParagraph">
    <w:name w:val="List Paragraph"/>
    <w:basedOn w:val="Normal"/>
    <w:uiPriority w:val="34"/>
    <w:qFormat/>
    <w:rsid w:val="00E85F6B"/>
    <w:pPr>
      <w:ind w:left="720"/>
      <w:contextualSpacing/>
      <w:jc w:val="left"/>
    </w:pPr>
  </w:style>
  <w:style w:type="character" w:customStyle="1" w:styleId="Nadpis5Char">
    <w:name w:val="Nadpis 5 Char"/>
    <w:basedOn w:val="DefaultParagraphFont"/>
    <w:link w:val="Heading5"/>
    <w:uiPriority w:val="9"/>
    <w:locked/>
    <w:rsid w:val="009C63EB"/>
    <w:rPr>
      <w:rFonts w:cs="Times New Roman"/>
      <w:b/>
      <w:bCs/>
      <w:sz w:val="20"/>
      <w:szCs w:val="20"/>
      <w:rtl w:val="0"/>
      <w:cs w:val="0"/>
    </w:rPr>
  </w:style>
  <w:style w:type="table" w:styleId="TableGrid">
    <w:name w:val="Table Grid"/>
    <w:basedOn w:val="TableNormal"/>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349"/>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Strong">
    <w:name w:val="Strong"/>
    <w:basedOn w:val="DefaultParagraphFont"/>
    <w:uiPriority w:val="22"/>
    <w:qFormat/>
    <w:rsid w:val="00DA2349"/>
    <w:rPr>
      <w:rFonts w:cs="Times New Roman"/>
      <w:b/>
      <w:bCs/>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12.9.2017 13:18:11"/>
    <f:field ref="objchangedby" par="" text="Administrator, System"/>
    <f:field ref="objmodifiedat" par="" text="12.9.2017 13:18:16"/>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EC4F7EE-43EC-4600-862A-B2A8CCA3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831</Words>
  <Characters>4741</Characters>
  <Application>Microsoft Office Word</Application>
  <DocSecurity>0</DocSecurity>
  <Lines>0</Lines>
  <Paragraphs>0</Paragraphs>
  <ScaleCrop>false</ScaleCrop>
  <Company>Hewlett-Packard Company</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Borovska Michala</dc:creator>
  <cp:lastModifiedBy>Borovska Michala</cp:lastModifiedBy>
  <cp:revision>2</cp:revision>
  <dcterms:created xsi:type="dcterms:W3CDTF">2018-08-24T11:35:00Z</dcterms:created>
  <dcterms:modified xsi:type="dcterms:W3CDTF">2018-08-24T11:35:00Z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COO.2145.1000.3.2154256</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28. 6. 2017</vt:lpwstr>
  </property>
  <property fmtid="{D5CDD505-2E9C-101B-9397-08002B2CF9AE}" pid="6" name="FSC#SKEDITIONSLOVLEX@103.510:AttrDateDocPropZaciatokPKK">
    <vt:lpwstr>15. 6. 2017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Pozitívne
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V prípade nezaplatenia ročnej platby za biocídny výrobok sprístupnený na trhu v Slovenskej republike podľa § 20 biocídneho zákona bolo alternatívnym riešením ponechať postup podľa správneho poriadku, ktorý vyžaduje otvorenie správneho konania a vydanie ro</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hospodárstva Slovenskej republiky</vt:lpwstr>
  </property>
  <property fmtid="{D5CDD505-2E9C-101B-9397-08002B2CF9AE}" pid="15" name="FSC#SKEDITIONSLOVLEX@103.510:AttrStrListDocPropInfoUzPreberanePP">
    <vt:lpwstr>Zákon č. 319/2013 Z. z. o pôsobnosti orgánov štátnej správy pre sprístupňovanie biocídnych výrobkov na trh a ich používanie a o zmene a doplnení niektorých zákonov (biocídny zákon)</vt:lpwstr>
  </property>
  <property fmtid="{D5CDD505-2E9C-101B-9397-08002B2CF9AE}" pid="16" name="FSC#SKEDITIONSLOVLEX@103.510:AttrStrListDocPropInfoZaciatokKonania">
    <vt:lpwstr>bezpredmetné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bezpredmetné</vt:lpwstr>
  </property>
  <property fmtid="{D5CDD505-2E9C-101B-9397-08002B2CF9AE}" pid="20" name="FSC#SKEDITIONSLOVLEX@103.510:AttrStrListDocPropLehotaPrebratieSmernice">
    <vt:lpwstr>01. 09. 2013</vt:lpwstr>
  </property>
  <property fmtid="{D5CDD505-2E9C-101B-9397-08002B2CF9AE}" pid="21" name="FSC#SKEDITIONSLOVLEX@103.510:AttrStrListDocPropNazovPredpisuEU">
    <vt:lpwstr/>
  </property>
  <property fmtid="{D5CDD505-2E9C-101B-9397-08002B2CF9AE}" pid="22" name="FSC#SKEDITIONSLOVLEX@103.510:AttrStrListDocPropPoznamkaVplyv">
    <vt:lpwstr>Cieľom zdvojnásobenia príslušnej ročnej platby za sprístupňovanie biocídneho výrobku je primárne zlepšiť platobnú disciplínu podnikateľských subjektov tak, aby boli ročné platby uhradené do 30. júna príslušného roka. Toto opatrenie podporuje pôvodný zámer</vt:lpwstr>
  </property>
  <property fmtid="{D5CDD505-2E9C-101B-9397-08002B2CF9AE}" pid="23" name="FSC#SKEDITIONSLOVLEX@103.510:AttrStrListDocPropPrimarnePravoEU">
    <vt:lpwstr>Zmluva o fungovaní Európskej únie (čl. 114)</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Nariadenie Európskeho parlamentu a Rady (EÚ) č. 528/2012 z 22. mája 2012 o sprístupňovaní biocídnych výrobkov na trhu a ich používaní</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319/2013 Z. z. o pôsobnosti orgánov štátnej správy pre sprístupňovanie biocídnych výrobkov na trh a ich použív</vt:lpwstr>
  </property>
  <property fmtid="{D5CDD505-2E9C-101B-9397-08002B2CF9AE}" pid="32" name="FSC#SKEDITIONSLOVLEX@103.510:AttrStrListDocPropTextPredklSpravy">
    <vt:lpwstr>&lt;p style="text-align: justify;"&gt;&amp;nbsp;&amp;nbsp;&amp;nbsp;&amp;nbsp; Návrh zákona, ktorým sa mení a dopĺňa zákon č. 319/2013 Z. z. o&amp;nbsp;pôsobnosti orgánov štátnej správy pre sprístupňovanie biocídnych výrobkov na trhu a&amp;nbsp;ich používanie a&amp;nbsp;o&amp;nbsp;zmene a&amp;nbs</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hospodárstva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LP/2017/494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319/2013 Z. z. o pôsobnosti orgánov štátnej správy pre sprístupňovanie biocídnych výrobkov na trh a ich používanie a o zmene a doplnení niektorých zákonov (biocídny zákon)</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319/2013 Z. z. o pôsobnosti orgánov štátnej správy pre sprístupňovanie biocídnych výrobkov na trh a ich používanie a o zmene a doplnení niektorých zákonov (biocídny zákon)</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Mgr. Michala Borovská</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21461/2017-2062-34902</vt:lpwstr>
  </property>
  <property fmtid="{D5CDD505-2E9C-101B-9397-08002B2CF9AE}" pid="141" name="FSC#SKEDITIONSLOVLEX@103.510:spiscislouv">
    <vt:lpwstr/>
  </property>
  <property fmtid="{D5CDD505-2E9C-101B-9397-08002B2CF9AE}" pid="142" name="FSC#SKEDITIONSLOVLEX@103.510:spravaucastverej">
    <vt:lpwstr>&lt;table border="1" cellpadding="0" cellspacing="0" width="631"&gt;	&lt;tbody&gt;		&lt;tr&gt;			&lt;td colspan="5" style="width: 631px; height: 16px;"&gt;			&lt;p align="center"&gt;&lt;strong&gt;Správa o účasti verejnosti na tvorbe právneho predpisu&lt;/strong&gt;&lt;/p&gt;			&lt;p&gt;&lt;strong&gt;Scenár 1: Vere</vt:lpwstr>
  </property>
  <property fmtid="{D5CDD505-2E9C-101B-9397-08002B2CF9AE}" pid="143" name="FSC#SKEDITIONSLOVLEX@103.510:stavpredpis">
    <vt:lpwstr>Rokovanie poradných orgánov vlády SR</vt:lpwstr>
  </property>
  <property fmtid="{D5CDD505-2E9C-101B-9397-08002B2CF9AE}" pid="144" name="FSC#SKEDITIONSLOVLEX@103.510:typpredpis">
    <vt:lpwstr>Zákon</vt:lpwstr>
  </property>
  <property fmtid="{D5CDD505-2E9C-101B-9397-08002B2CF9AE}" pid="145" name="FSC#SKEDITIONSLOVLEX@103.510:typsprievdok">
    <vt:lpwstr>Doložka zlučiteľnosti</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12. 9. 2017</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