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1D9E" w:rsidRPr="00526A02" w:rsidP="00D41D9E">
      <w:pPr>
        <w:bidi w:val="0"/>
        <w:spacing w:after="0"/>
        <w:ind w:firstLine="708"/>
        <w:jc w:val="center"/>
        <w:rPr>
          <w:rFonts w:ascii="Times New Roman" w:hAnsi="Times New Roman"/>
          <w:b/>
          <w:sz w:val="24"/>
          <w:szCs w:val="24"/>
        </w:rPr>
      </w:pPr>
      <w:r w:rsidRPr="00526A02">
        <w:rPr>
          <w:rFonts w:ascii="Times New Roman" w:hAnsi="Times New Roman"/>
          <w:b/>
          <w:sz w:val="24"/>
          <w:szCs w:val="24"/>
        </w:rPr>
        <w:t>D</w:t>
      </w:r>
      <w:r w:rsidRPr="00526A02" w:rsidR="00FA64E1">
        <w:rPr>
          <w:rFonts w:ascii="Times New Roman" w:hAnsi="Times New Roman"/>
          <w:b/>
          <w:sz w:val="24"/>
          <w:szCs w:val="24"/>
        </w:rPr>
        <w:t xml:space="preserve"> </w:t>
      </w:r>
      <w:r w:rsidRPr="00526A02">
        <w:rPr>
          <w:rFonts w:ascii="Times New Roman" w:hAnsi="Times New Roman"/>
          <w:b/>
          <w:sz w:val="24"/>
          <w:szCs w:val="24"/>
        </w:rPr>
        <w:t>ô</w:t>
      </w:r>
      <w:r w:rsidRPr="00526A02" w:rsidR="00FA64E1">
        <w:rPr>
          <w:rFonts w:ascii="Times New Roman" w:hAnsi="Times New Roman"/>
          <w:b/>
          <w:sz w:val="24"/>
          <w:szCs w:val="24"/>
        </w:rPr>
        <w:t xml:space="preserve"> </w:t>
      </w:r>
      <w:r w:rsidRPr="00526A02">
        <w:rPr>
          <w:rFonts w:ascii="Times New Roman" w:hAnsi="Times New Roman"/>
          <w:b/>
          <w:sz w:val="24"/>
          <w:szCs w:val="24"/>
        </w:rPr>
        <w:t>v</w:t>
      </w:r>
      <w:r w:rsidRPr="00526A02" w:rsidR="00FA64E1">
        <w:rPr>
          <w:rFonts w:ascii="Times New Roman" w:hAnsi="Times New Roman"/>
          <w:b/>
          <w:sz w:val="24"/>
          <w:szCs w:val="24"/>
        </w:rPr>
        <w:t> </w:t>
      </w:r>
      <w:r w:rsidRPr="00526A02">
        <w:rPr>
          <w:rFonts w:ascii="Times New Roman" w:hAnsi="Times New Roman"/>
          <w:b/>
          <w:sz w:val="24"/>
          <w:szCs w:val="24"/>
        </w:rPr>
        <w:t>o</w:t>
      </w:r>
      <w:r w:rsidRPr="00526A02" w:rsidR="00FA64E1">
        <w:rPr>
          <w:rFonts w:ascii="Times New Roman" w:hAnsi="Times New Roman"/>
          <w:b/>
          <w:sz w:val="24"/>
          <w:szCs w:val="24"/>
        </w:rPr>
        <w:t> </w:t>
      </w:r>
      <w:r w:rsidRPr="00526A02">
        <w:rPr>
          <w:rFonts w:ascii="Times New Roman" w:hAnsi="Times New Roman"/>
          <w:b/>
          <w:sz w:val="24"/>
          <w:szCs w:val="24"/>
        </w:rPr>
        <w:t>d</w:t>
      </w:r>
      <w:r w:rsidRPr="00526A02" w:rsidR="00FA64E1">
        <w:rPr>
          <w:rFonts w:ascii="Times New Roman" w:hAnsi="Times New Roman"/>
          <w:b/>
          <w:sz w:val="24"/>
          <w:szCs w:val="24"/>
        </w:rPr>
        <w:t xml:space="preserve"> </w:t>
      </w:r>
      <w:r w:rsidRPr="00526A02">
        <w:rPr>
          <w:rFonts w:ascii="Times New Roman" w:hAnsi="Times New Roman"/>
          <w:b/>
          <w:sz w:val="24"/>
          <w:szCs w:val="24"/>
        </w:rPr>
        <w:t>o</w:t>
      </w:r>
      <w:r w:rsidRPr="00526A02" w:rsidR="00FA64E1">
        <w:rPr>
          <w:rFonts w:ascii="Times New Roman" w:hAnsi="Times New Roman"/>
          <w:b/>
          <w:sz w:val="24"/>
          <w:szCs w:val="24"/>
        </w:rPr>
        <w:t> </w:t>
      </w:r>
      <w:r w:rsidRPr="00526A02">
        <w:rPr>
          <w:rFonts w:ascii="Times New Roman" w:hAnsi="Times New Roman"/>
          <w:b/>
          <w:sz w:val="24"/>
          <w:szCs w:val="24"/>
        </w:rPr>
        <w:t>v</w:t>
      </w:r>
      <w:r w:rsidRPr="00526A02" w:rsidR="00FA64E1">
        <w:rPr>
          <w:rFonts w:ascii="Times New Roman" w:hAnsi="Times New Roman"/>
          <w:b/>
          <w:sz w:val="24"/>
          <w:szCs w:val="24"/>
        </w:rPr>
        <w:t> </w:t>
      </w:r>
      <w:r w:rsidRPr="00526A02">
        <w:rPr>
          <w:rFonts w:ascii="Times New Roman" w:hAnsi="Times New Roman"/>
          <w:b/>
          <w:sz w:val="24"/>
          <w:szCs w:val="24"/>
        </w:rPr>
        <w:t>á</w:t>
      </w:r>
      <w:r w:rsidRPr="00526A02" w:rsidR="00FA64E1">
        <w:rPr>
          <w:rFonts w:ascii="Times New Roman" w:hAnsi="Times New Roman"/>
          <w:b/>
          <w:sz w:val="24"/>
          <w:szCs w:val="24"/>
        </w:rPr>
        <w:t xml:space="preserve"> </w:t>
      </w:r>
      <w:r w:rsidRPr="00526A02">
        <w:rPr>
          <w:rFonts w:ascii="Times New Roman" w:hAnsi="Times New Roman"/>
          <w:b/>
          <w:sz w:val="24"/>
          <w:szCs w:val="24"/>
        </w:rPr>
        <w:t xml:space="preserve"> </w:t>
      </w:r>
      <w:r w:rsidRPr="00526A02" w:rsidR="00FA64E1">
        <w:rPr>
          <w:rFonts w:ascii="Times New Roman" w:hAnsi="Times New Roman"/>
          <w:b/>
          <w:sz w:val="24"/>
          <w:szCs w:val="24"/>
        </w:rPr>
        <w:t xml:space="preserve"> </w:t>
      </w:r>
      <w:r w:rsidRPr="00526A02">
        <w:rPr>
          <w:rFonts w:ascii="Times New Roman" w:hAnsi="Times New Roman"/>
          <w:b/>
          <w:sz w:val="24"/>
          <w:szCs w:val="24"/>
        </w:rPr>
        <w:t>s</w:t>
      </w:r>
      <w:r w:rsidRPr="00526A02" w:rsidR="00FA64E1">
        <w:rPr>
          <w:rFonts w:ascii="Times New Roman" w:hAnsi="Times New Roman"/>
          <w:b/>
          <w:sz w:val="24"/>
          <w:szCs w:val="24"/>
        </w:rPr>
        <w:t> </w:t>
      </w:r>
      <w:r w:rsidRPr="00526A02">
        <w:rPr>
          <w:rFonts w:ascii="Times New Roman" w:hAnsi="Times New Roman"/>
          <w:b/>
          <w:sz w:val="24"/>
          <w:szCs w:val="24"/>
        </w:rPr>
        <w:t>p</w:t>
      </w:r>
      <w:r w:rsidRPr="00526A02" w:rsidR="00FA64E1">
        <w:rPr>
          <w:rFonts w:ascii="Times New Roman" w:hAnsi="Times New Roman"/>
          <w:b/>
          <w:sz w:val="24"/>
          <w:szCs w:val="24"/>
        </w:rPr>
        <w:t xml:space="preserve"> </w:t>
      </w:r>
      <w:r w:rsidRPr="00526A02">
        <w:rPr>
          <w:rFonts w:ascii="Times New Roman" w:hAnsi="Times New Roman"/>
          <w:b/>
          <w:sz w:val="24"/>
          <w:szCs w:val="24"/>
        </w:rPr>
        <w:t>r</w:t>
      </w:r>
      <w:r w:rsidRPr="00526A02" w:rsidR="00FA64E1">
        <w:rPr>
          <w:rFonts w:ascii="Times New Roman" w:hAnsi="Times New Roman"/>
          <w:b/>
          <w:sz w:val="24"/>
          <w:szCs w:val="24"/>
        </w:rPr>
        <w:t xml:space="preserve"> </w:t>
      </w:r>
      <w:r w:rsidRPr="00526A02">
        <w:rPr>
          <w:rFonts w:ascii="Times New Roman" w:hAnsi="Times New Roman"/>
          <w:b/>
          <w:sz w:val="24"/>
          <w:szCs w:val="24"/>
        </w:rPr>
        <w:t>á</w:t>
      </w:r>
      <w:r w:rsidRPr="00526A02" w:rsidR="00FA64E1">
        <w:rPr>
          <w:rFonts w:ascii="Times New Roman" w:hAnsi="Times New Roman"/>
          <w:b/>
          <w:sz w:val="24"/>
          <w:szCs w:val="24"/>
        </w:rPr>
        <w:t xml:space="preserve"> </w:t>
      </w:r>
      <w:r w:rsidRPr="00526A02">
        <w:rPr>
          <w:rFonts w:ascii="Times New Roman" w:hAnsi="Times New Roman"/>
          <w:b/>
          <w:sz w:val="24"/>
          <w:szCs w:val="24"/>
        </w:rPr>
        <w:t>v</w:t>
      </w:r>
      <w:r w:rsidRPr="00526A02" w:rsidR="00FA64E1">
        <w:rPr>
          <w:rFonts w:ascii="Times New Roman" w:hAnsi="Times New Roman"/>
          <w:b/>
          <w:sz w:val="24"/>
          <w:szCs w:val="24"/>
        </w:rPr>
        <w:t xml:space="preserve"> </w:t>
      </w:r>
      <w:r w:rsidRPr="00526A02">
        <w:rPr>
          <w:rFonts w:ascii="Times New Roman" w:hAnsi="Times New Roman"/>
          <w:b/>
          <w:sz w:val="24"/>
          <w:szCs w:val="24"/>
        </w:rPr>
        <w:t xml:space="preserve">a </w:t>
      </w:r>
    </w:p>
    <w:p w:rsidR="00D41D9E" w:rsidRPr="00526A02" w:rsidP="00D41D9E">
      <w:pPr>
        <w:bidi w:val="0"/>
        <w:spacing w:after="0"/>
        <w:ind w:firstLine="708"/>
        <w:jc w:val="both"/>
        <w:rPr>
          <w:rFonts w:ascii="Times New Roman" w:hAnsi="Times New Roman"/>
          <w:sz w:val="24"/>
          <w:szCs w:val="24"/>
        </w:rPr>
      </w:pPr>
    </w:p>
    <w:p w:rsidR="00D41D9E" w:rsidRPr="00526A02" w:rsidP="00D41D9E">
      <w:pPr>
        <w:numPr>
          <w:numId w:val="43"/>
        </w:numPr>
        <w:bidi w:val="0"/>
        <w:spacing w:after="0"/>
        <w:jc w:val="both"/>
        <w:rPr>
          <w:rFonts w:ascii="Times New Roman" w:hAnsi="Times New Roman"/>
          <w:b/>
          <w:sz w:val="24"/>
          <w:szCs w:val="24"/>
        </w:rPr>
      </w:pPr>
      <w:r w:rsidRPr="00526A02">
        <w:rPr>
          <w:rFonts w:ascii="Times New Roman" w:hAnsi="Times New Roman"/>
          <w:b/>
          <w:sz w:val="24"/>
          <w:szCs w:val="24"/>
        </w:rPr>
        <w:t>Všeobecná časť</w:t>
      </w:r>
    </w:p>
    <w:p w:rsidR="00B22748" w:rsidRPr="00526A02" w:rsidP="00B22748">
      <w:pPr>
        <w:pStyle w:val="BodyText"/>
        <w:bidi w:val="0"/>
        <w:ind w:firstLine="708"/>
        <w:jc w:val="left"/>
        <w:rPr>
          <w:rFonts w:ascii="Times New Roman" w:hAnsi="Times New Roman"/>
        </w:rPr>
      </w:pPr>
    </w:p>
    <w:p w:rsidR="00B22748" w:rsidRPr="00526A02" w:rsidP="00EB1401">
      <w:pPr>
        <w:pStyle w:val="Heading1"/>
        <w:bidi w:val="0"/>
        <w:spacing w:before="0" w:beforeAutospacing="0" w:after="4"/>
        <w:ind w:right="185" w:firstLine="708"/>
        <w:jc w:val="both"/>
        <w:rPr>
          <w:rFonts w:ascii="Times New Roman" w:hAnsi="Times New Roman"/>
          <w:b w:val="0"/>
          <w:sz w:val="24"/>
          <w:szCs w:val="24"/>
        </w:rPr>
      </w:pPr>
      <w:r w:rsidRPr="00526A02">
        <w:rPr>
          <w:rFonts w:ascii="Times New Roman" w:hAnsi="Times New Roman"/>
          <w:b w:val="0"/>
          <w:sz w:val="24"/>
          <w:szCs w:val="24"/>
        </w:rPr>
        <w:t xml:space="preserve">Návrh zákona, </w:t>
      </w:r>
      <w:r w:rsidRPr="00526A02" w:rsidR="004A1CEC">
        <w:rPr>
          <w:rFonts w:ascii="Times New Roman" w:hAnsi="Times New Roman"/>
          <w:b w:val="0"/>
          <w:sz w:val="24"/>
          <w:szCs w:val="24"/>
        </w:rPr>
        <w:t>ktorým sa mení a dopĺňa zákon č. 233/1995 Z. z. o súdnych exekútoroch a exekučnej činnosti (Exekučný poriadok) a o zmene a doplnení ďalších zákonov v znení neskorších predpisov a ktorým sa menia a dopĺňajú niektoré zákony</w:t>
      </w:r>
      <w:r w:rsidRPr="00526A02">
        <w:rPr>
          <w:rFonts w:ascii="Times New Roman" w:hAnsi="Times New Roman"/>
          <w:b w:val="0"/>
          <w:sz w:val="24"/>
          <w:szCs w:val="24"/>
        </w:rPr>
        <w:t xml:space="preserve"> predklad</w:t>
      </w:r>
      <w:r w:rsidRPr="00526A02" w:rsidR="004A1CEC">
        <w:rPr>
          <w:rFonts w:ascii="Times New Roman" w:hAnsi="Times New Roman"/>
          <w:b w:val="0"/>
          <w:sz w:val="24"/>
          <w:szCs w:val="24"/>
        </w:rPr>
        <w:t>á</w:t>
      </w:r>
      <w:r w:rsidRPr="00526A02">
        <w:rPr>
          <w:rFonts w:ascii="Times New Roman" w:hAnsi="Times New Roman"/>
          <w:b w:val="0"/>
          <w:sz w:val="24"/>
          <w:szCs w:val="24"/>
        </w:rPr>
        <w:t xml:space="preserve"> na rokovanie Národnej rady Slovenskej republiky  poslan</w:t>
      </w:r>
      <w:r w:rsidRPr="00526A02" w:rsidR="004A1CEC">
        <w:rPr>
          <w:rFonts w:ascii="Times New Roman" w:hAnsi="Times New Roman"/>
          <w:b w:val="0"/>
          <w:sz w:val="24"/>
          <w:szCs w:val="24"/>
        </w:rPr>
        <w:t>ec Ná</w:t>
      </w:r>
      <w:r w:rsidRPr="00526A02">
        <w:rPr>
          <w:rFonts w:ascii="Times New Roman" w:hAnsi="Times New Roman"/>
          <w:b w:val="0"/>
          <w:sz w:val="24"/>
          <w:szCs w:val="24"/>
        </w:rPr>
        <w:t>rodnej rady Slovenskej republiky za stranu Sloboda a Solidarita A</w:t>
      </w:r>
      <w:r w:rsidRPr="00526A02" w:rsidR="004A1CEC">
        <w:rPr>
          <w:rFonts w:ascii="Times New Roman" w:hAnsi="Times New Roman"/>
          <w:b w:val="0"/>
          <w:sz w:val="24"/>
          <w:szCs w:val="24"/>
        </w:rPr>
        <w:t>lojz Baránik</w:t>
      </w:r>
      <w:r w:rsidRPr="00526A02">
        <w:rPr>
          <w:rFonts w:ascii="Times New Roman" w:hAnsi="Times New Roman"/>
          <w:b w:val="0"/>
          <w:sz w:val="24"/>
          <w:szCs w:val="24"/>
        </w:rPr>
        <w:t>.</w:t>
      </w:r>
    </w:p>
    <w:p w:rsidR="004E633B" w:rsidRPr="00526A02" w:rsidP="004E633B">
      <w:pPr>
        <w:pStyle w:val="BodyText"/>
        <w:bidi w:val="0"/>
        <w:ind w:firstLine="708"/>
        <w:jc w:val="both"/>
        <w:rPr>
          <w:rFonts w:ascii="Times New Roman" w:hAnsi="Times New Roman"/>
        </w:rPr>
      </w:pPr>
      <w:r w:rsidRPr="00526A02">
        <w:rPr>
          <w:rFonts w:ascii="Times New Roman" w:hAnsi="Times New Roman"/>
        </w:rPr>
        <w:t xml:space="preserve">Cieľom predloženého návrhu je </w:t>
      </w:r>
      <w:r w:rsidRPr="00526A02" w:rsidR="00CB23E0">
        <w:rPr>
          <w:rFonts w:ascii="Times New Roman" w:hAnsi="Times New Roman"/>
        </w:rPr>
        <w:t xml:space="preserve">zaviesť sadu opatrení v exekučnej oblasti v prospech exekuovaných osôb bez toho, aby došlo k tzv. exekučnej amnestii. </w:t>
      </w:r>
    </w:p>
    <w:p w:rsidR="004E633B" w:rsidRPr="00526A02" w:rsidP="004E633B">
      <w:pPr>
        <w:bidi w:val="0"/>
        <w:spacing w:after="0" w:line="240" w:lineRule="auto"/>
        <w:ind w:firstLine="708"/>
        <w:jc w:val="both"/>
        <w:rPr>
          <w:rFonts w:ascii="Times New Roman" w:hAnsi="Times New Roman"/>
          <w:sz w:val="24"/>
          <w:szCs w:val="24"/>
        </w:rPr>
      </w:pPr>
    </w:p>
    <w:p w:rsidR="004E633B" w:rsidRPr="00526A02" w:rsidP="004E633B">
      <w:pPr>
        <w:bidi w:val="0"/>
        <w:spacing w:after="0" w:line="240" w:lineRule="auto"/>
        <w:ind w:firstLine="708"/>
        <w:jc w:val="both"/>
        <w:rPr>
          <w:rFonts w:ascii="Times New Roman" w:hAnsi="Times New Roman"/>
          <w:sz w:val="24"/>
          <w:szCs w:val="24"/>
        </w:rPr>
      </w:pPr>
      <w:r w:rsidRPr="00526A02">
        <w:rPr>
          <w:rFonts w:ascii="Times New Roman" w:hAnsi="Times New Roman"/>
          <w:sz w:val="24"/>
          <w:szCs w:val="24"/>
        </w:rPr>
        <w:t>Problém dlhodobo nevymožiteľných pohľadávok voči fyzickým osobám narástol do rozmeru, ktorý má objektívne rozsiahle dopady na pracovný trh, deformuje sociálne prostredie a zaťažuje justičný systém.  Časť dlžníkov z nízkopríjmových skupín sa v snahe o vyhnutie sa exekúcii zrážkami zo mzdy vyhýbajú vstupu na legálny trh práce a pohybujú sa v čiernej ekonomike. Zamestnávatelia naopak začínajú pociťovať nedostatok pracovnej sily na obsadenie nižších pracovných pozícií.</w:t>
      </w:r>
    </w:p>
    <w:p w:rsidR="004E633B" w:rsidRPr="00526A02" w:rsidP="004E633B">
      <w:pPr>
        <w:bidi w:val="0"/>
        <w:spacing w:after="0" w:line="240" w:lineRule="auto"/>
        <w:jc w:val="both"/>
        <w:rPr>
          <w:rFonts w:ascii="Times New Roman" w:hAnsi="Times New Roman"/>
          <w:sz w:val="24"/>
          <w:szCs w:val="24"/>
        </w:rPr>
      </w:pPr>
    </w:p>
    <w:p w:rsidR="004E633B" w:rsidRPr="00526A02" w:rsidP="004E633B">
      <w:pPr>
        <w:bidi w:val="0"/>
        <w:spacing w:after="0" w:line="240" w:lineRule="auto"/>
        <w:ind w:firstLine="708"/>
        <w:jc w:val="both"/>
        <w:rPr>
          <w:rFonts w:ascii="Times New Roman" w:hAnsi="Times New Roman"/>
          <w:sz w:val="24"/>
          <w:szCs w:val="24"/>
        </w:rPr>
      </w:pPr>
      <w:r w:rsidRPr="00526A02">
        <w:rPr>
          <w:rFonts w:ascii="Times New Roman" w:hAnsi="Times New Roman"/>
          <w:sz w:val="24"/>
          <w:szCs w:val="24"/>
        </w:rPr>
        <w:t xml:space="preserve">Súdy v súčasnosti evidujú približne 3,7 milióna nedokončených starých exekučných konaní.  Exekúciou je zaťažených takmer 20% populácie. </w:t>
      </w:r>
      <w:r w:rsidRPr="00526A02">
        <w:rPr>
          <w:rFonts w:ascii="Times New Roman" w:hAnsi="Times New Roman"/>
          <w:b/>
          <w:sz w:val="24"/>
          <w:szCs w:val="24"/>
        </w:rPr>
        <w:t>Z veľkej časti je príčinou vzniku tejto situácie nedostatočná a navyše v prospech záujmových skupín nevynucovaná minulá legislatíva, čím sa umožňovalo zneužívanie nízkej finančnej gramotnosti niektorých skupín obyvateľstva.</w:t>
      </w:r>
      <w:r w:rsidRPr="00526A02">
        <w:rPr>
          <w:rFonts w:ascii="Times New Roman" w:hAnsi="Times New Roman"/>
          <w:sz w:val="24"/>
          <w:szCs w:val="24"/>
        </w:rPr>
        <w:t xml:space="preserve"> Dlhodobo nevymožiteľné sú ale aj pohľadávky z daní a odvodov, čo svedčí  o ich neefektívnej správe.   </w:t>
      </w:r>
      <w:r w:rsidRPr="00526A02">
        <w:rPr>
          <w:rFonts w:ascii="Times New Roman" w:hAnsi="Times New Roman"/>
          <w:b/>
          <w:sz w:val="24"/>
          <w:szCs w:val="24"/>
        </w:rPr>
        <w:t>Za zlou situáciou dlžníkov je však predovšetkým ich vedomé opakované nezodpovedné správanie.</w:t>
      </w:r>
      <w:r w:rsidRPr="00526A02">
        <w:rPr>
          <w:rFonts w:ascii="Times New Roman" w:hAnsi="Times New Roman"/>
          <w:sz w:val="24"/>
          <w:szCs w:val="24"/>
        </w:rPr>
        <w:t xml:space="preserve"> Podľa štatistiky Národnej banky Slovenska sa rozsah nesplácania spotrebiteľských úverov za predchádzajúce štyri roky viac ako zdvojnásobil a dlžníci riadne neuhrádzajú 8,8 percenta úverov. Podľa údajov z Centrálneho registra exekúcií zverejnených Slovenskou komorou exekútorov sa exekúcie v súčasnosti týkajú spolu 968 986 fyzických osôb.3 Z toho voči 517 908 fyzickým osobám sa vedie jedna exekúcia, voči 152 154 fyzickým osobám sa vedú súčasne dve exekúcie a voči 79 243 fyzickým osobám  sa vedú súčasne tri exekúcie. Sedem a viac exekúcií sa vedie voči 107 141 fyzickým osobám.</w:t>
      </w:r>
    </w:p>
    <w:p w:rsidR="004E633B" w:rsidRPr="00526A02" w:rsidP="004E633B">
      <w:pPr>
        <w:bidi w:val="0"/>
        <w:spacing w:after="0" w:line="240" w:lineRule="auto"/>
        <w:jc w:val="both"/>
        <w:rPr>
          <w:rFonts w:ascii="Times New Roman" w:hAnsi="Times New Roman"/>
          <w:sz w:val="24"/>
          <w:szCs w:val="24"/>
        </w:rPr>
      </w:pPr>
    </w:p>
    <w:p w:rsidR="004E633B" w:rsidRPr="00526A02" w:rsidP="004E633B">
      <w:pPr>
        <w:bidi w:val="0"/>
        <w:spacing w:after="0" w:line="240" w:lineRule="auto"/>
        <w:ind w:firstLine="708"/>
        <w:jc w:val="both"/>
        <w:rPr>
          <w:rFonts w:ascii="Times New Roman" w:hAnsi="Times New Roman"/>
          <w:b/>
          <w:sz w:val="24"/>
          <w:szCs w:val="24"/>
        </w:rPr>
      </w:pPr>
      <w:r w:rsidRPr="00526A02">
        <w:rPr>
          <w:rFonts w:ascii="Times New Roman" w:hAnsi="Times New Roman"/>
          <w:b/>
          <w:sz w:val="24"/>
          <w:szCs w:val="24"/>
        </w:rPr>
        <w:t>Osobná zodpovednosť je neoddeliteľnou súčasťou  osobnej slobody.</w:t>
      </w:r>
      <w:r w:rsidRPr="00526A02">
        <w:rPr>
          <w:rFonts w:ascii="Times New Roman" w:hAnsi="Times New Roman"/>
          <w:sz w:val="24"/>
          <w:szCs w:val="24"/>
        </w:rPr>
        <w:t xml:space="preserve">  </w:t>
      </w:r>
      <w:r w:rsidRPr="00526A02">
        <w:rPr>
          <w:rFonts w:ascii="Times New Roman" w:hAnsi="Times New Roman"/>
          <w:b/>
          <w:sz w:val="24"/>
          <w:szCs w:val="24"/>
        </w:rPr>
        <w:t xml:space="preserve">V súlade s tým je vzniknutý problém potrebné riešiť tak, aby sme na jednej strane umožnili ľuďom v dlhovej pasci návrat do ekonomiky, na druhej strane však musíme primerane rešpektovať práva veriteľov. </w:t>
      </w:r>
      <w:r w:rsidRPr="00526A02">
        <w:rPr>
          <w:rFonts w:ascii="Times New Roman" w:hAnsi="Times New Roman"/>
          <w:sz w:val="24"/>
          <w:szCs w:val="24"/>
        </w:rPr>
        <w:t xml:space="preserve">Tam,  kde to je efektívne, uprednostňujeme individuálne posúdenie každého prípadu.  Nesmieme dopustiť, aby zvolené paušálne riešenie nabádalo k nezodpovednému a podvodnému správaniu pre očakávanie paušálneho odpúšťania dlhov.  </w:t>
      </w:r>
      <w:r w:rsidRPr="00526A02">
        <w:rPr>
          <w:rFonts w:ascii="Times New Roman" w:hAnsi="Times New Roman"/>
          <w:b/>
          <w:sz w:val="24"/>
          <w:szCs w:val="24"/>
        </w:rPr>
        <w:t>Plošná exekučná amnestia by bola nespravodlivá voči osobám splácajúcim svoje záväzky ako aj voči veriteľom vrátane štátu, ktorý ako veriteľ de facto zastupuje všetkých daňovníkov.</w:t>
      </w:r>
    </w:p>
    <w:p w:rsidR="004E633B" w:rsidRPr="00526A02" w:rsidP="004E633B">
      <w:pPr>
        <w:bidi w:val="0"/>
        <w:spacing w:after="0" w:line="240" w:lineRule="auto"/>
        <w:jc w:val="both"/>
        <w:rPr>
          <w:rFonts w:ascii="Times New Roman" w:hAnsi="Times New Roman"/>
          <w:sz w:val="24"/>
          <w:szCs w:val="24"/>
        </w:rPr>
      </w:pPr>
    </w:p>
    <w:p w:rsidR="004E633B" w:rsidRPr="00526A02" w:rsidP="004E633B">
      <w:pPr>
        <w:bidi w:val="0"/>
        <w:spacing w:after="0" w:line="240" w:lineRule="auto"/>
        <w:ind w:firstLine="708"/>
        <w:jc w:val="both"/>
        <w:rPr>
          <w:rFonts w:ascii="Times New Roman" w:hAnsi="Times New Roman"/>
          <w:sz w:val="24"/>
          <w:szCs w:val="24"/>
        </w:rPr>
      </w:pPr>
      <w:r w:rsidRPr="00526A02">
        <w:rPr>
          <w:rFonts w:ascii="Times New Roman" w:hAnsi="Times New Roman"/>
          <w:sz w:val="24"/>
          <w:szCs w:val="24"/>
        </w:rPr>
        <w:t>Exekučná amnestia v žiadnom prípade nesmie byť trvalým nástrojom na opakované oddlženie akéhokoľvek dlžníka a rozhodne by nemala bez rozdielu postihovať všetkých veriteľov starých pohľadávok. Prípadná exekučná amnestia by mala postihovať výlučne príslušenstvo exekučne vymáhaných pohľadávok. Exekučná amnestia by sa nemala týkať  niektorých pohľadávok ako napr. pohľadávka zo zodpovednosti za škodu na zdraví alebo spôsobenú úmyselným konaním, pohľadávka dieťaťa na výživné, pracovnoprávne nároky, peňažné tresty uložené podľa Trestného zákona. Exekučná amnestia v akejkoľvek podobe má veľké ekonomické a sociálne úskalia a z pohľadu práva predstavuje exces zo strany štátu, ktorý zasahuje do vzťahu medzi veriteľom a dlžníkom.</w:t>
      </w:r>
    </w:p>
    <w:p w:rsidR="004E633B" w:rsidRPr="00526A02" w:rsidP="004E633B">
      <w:pPr>
        <w:bidi w:val="0"/>
        <w:spacing w:after="0" w:line="240" w:lineRule="auto"/>
        <w:jc w:val="both"/>
        <w:rPr>
          <w:rFonts w:ascii="Times New Roman" w:hAnsi="Times New Roman"/>
          <w:sz w:val="24"/>
          <w:szCs w:val="24"/>
        </w:rPr>
      </w:pPr>
    </w:p>
    <w:p w:rsidR="004E633B" w:rsidRPr="00526A02" w:rsidP="004E633B">
      <w:pPr>
        <w:bidi w:val="0"/>
        <w:spacing w:after="0" w:line="240" w:lineRule="auto"/>
        <w:ind w:firstLine="708"/>
        <w:jc w:val="both"/>
        <w:rPr>
          <w:rFonts w:ascii="Times New Roman" w:hAnsi="Times New Roman"/>
          <w:sz w:val="24"/>
          <w:szCs w:val="24"/>
        </w:rPr>
      </w:pPr>
      <w:r w:rsidRPr="00526A02">
        <w:rPr>
          <w:rFonts w:ascii="Times New Roman" w:hAnsi="Times New Roman"/>
          <w:sz w:val="24"/>
          <w:szCs w:val="24"/>
        </w:rPr>
        <w:t xml:space="preserve">Za štandardné systémové riešenie insolventnosti považujeme osobný bankrot, ktorý predstavuje individuálne posúdenie každého prípadu a vyžaduje iniciatívu na strane dlžníka.  Od zavedenia inštitútu oddlženia a osobného bankrotu sa zvyšuje počet dlžníkov, ktorí vyhlásili úpadok. Prax ukazuje, že inštitút osobného bankrotu je v zásade vhodným nástrojom. Súčasnú právnu úpravu osobného bankrotu ale bude nutné podrobiť revízii vzhľadom na celkový počet osôb, ktoré by tento inštitút mohli využiť v budúcnosti. Túto agendu v súčasnosti zabezpečujú Centrá právnej pomoci, ktoré sú v tomto ohľade kapacitne poddimenzované. Tieto kapacity bude nutné posilniť.  Súčasný systém prideľovania exekúcií jednotlivým exekútorom náhodným výberom považujeme za krok späť. V prípade pohľadávok štátu či verejnoprávnych inštitúcií má svoje opodstatnenie. Z pohľadu bežného občana resp. súkromného podnikateľského subjektu ako veriteľa ale obmedzenie slobody voľby exekútora prináša zníženie efektívnosti vymoženia pohľadávok. Exekučný poriadok už bol doplnený o nové inštitúty, ktoré mali pôsobiť ako prevencia pred nárastom nevybavených exekúcií v budúcnosti. Podľa nášho názoru však nie sú postačujúce. Aby sa predišlo opakovaniu vzniknutej situácie v budúcnosti, navrhujeme prijať legislatívne zmeny, ktoré by obsahovali nasledovné pravidlá a princípy: </w:t>
      </w:r>
    </w:p>
    <w:p w:rsidR="004E633B" w:rsidRPr="00526A02" w:rsidP="004E633B">
      <w:pPr>
        <w:bidi w:val="0"/>
        <w:spacing w:after="0" w:line="240" w:lineRule="auto"/>
        <w:jc w:val="both"/>
        <w:rPr>
          <w:rFonts w:ascii="Times New Roman" w:hAnsi="Times New Roman"/>
          <w:sz w:val="24"/>
          <w:szCs w:val="24"/>
        </w:rPr>
      </w:pPr>
    </w:p>
    <w:p w:rsidR="00825354" w:rsidRPr="00526A02" w:rsidP="00CB23E0">
      <w:pPr>
        <w:bidi w:val="0"/>
        <w:spacing w:after="0" w:line="240" w:lineRule="auto"/>
        <w:jc w:val="both"/>
        <w:rPr>
          <w:rFonts w:ascii="Times New Roman" w:hAnsi="Times New Roman"/>
          <w:sz w:val="24"/>
          <w:szCs w:val="24"/>
        </w:rPr>
      </w:pPr>
      <w:r w:rsidRPr="00526A02" w:rsidR="004E633B">
        <w:rPr>
          <w:rFonts w:ascii="Times New Roman" w:hAnsi="Times New Roman"/>
          <w:sz w:val="24"/>
          <w:szCs w:val="24"/>
        </w:rPr>
        <w:t xml:space="preserve">1) Tam, kde veriteľ vstúpi do záväzkového vzťahu s dlžníkom - fyzickou osobou nepodnikateľom, </w:t>
      </w:r>
      <w:r w:rsidRPr="00526A02" w:rsidR="00EB11D4">
        <w:rPr>
          <w:rFonts w:ascii="Times New Roman" w:hAnsi="Times New Roman"/>
          <w:sz w:val="24"/>
          <w:szCs w:val="24"/>
        </w:rPr>
        <w:t xml:space="preserve">voči </w:t>
      </w:r>
      <w:r w:rsidRPr="00526A02">
        <w:rPr>
          <w:rFonts w:ascii="Times New Roman" w:hAnsi="Times New Roman"/>
          <w:sz w:val="24"/>
          <w:szCs w:val="24"/>
        </w:rPr>
        <w:t>ktorej</w:t>
      </w:r>
      <w:r w:rsidRPr="00526A02" w:rsidR="004E633B">
        <w:rPr>
          <w:rFonts w:ascii="Times New Roman" w:hAnsi="Times New Roman"/>
          <w:sz w:val="24"/>
          <w:szCs w:val="24"/>
        </w:rPr>
        <w:t xml:space="preserve"> v čase menej ako 5 rokov pred vznikom takého záväzku </w:t>
      </w:r>
      <w:r w:rsidRPr="00526A02">
        <w:rPr>
          <w:rFonts w:ascii="Times New Roman" w:hAnsi="Times New Roman"/>
          <w:sz w:val="24"/>
          <w:szCs w:val="24"/>
        </w:rPr>
        <w:t xml:space="preserve">exekúcia </w:t>
      </w:r>
    </w:p>
    <w:p w:rsidR="00825354" w:rsidRPr="00526A02" w:rsidP="00CB23E0">
      <w:pPr>
        <w:bidi w:val="0"/>
        <w:spacing w:after="0" w:line="240" w:lineRule="auto"/>
        <w:jc w:val="both"/>
        <w:rPr>
          <w:rFonts w:ascii="Times New Roman" w:hAnsi="Times New Roman"/>
          <w:sz w:val="24"/>
          <w:szCs w:val="24"/>
        </w:rPr>
      </w:pPr>
      <w:r w:rsidRPr="00526A02">
        <w:rPr>
          <w:rFonts w:ascii="Times New Roman" w:hAnsi="Times New Roman"/>
          <w:sz w:val="24"/>
          <w:szCs w:val="24"/>
        </w:rPr>
        <w:t xml:space="preserve">a) bola </w:t>
      </w:r>
      <w:r w:rsidRPr="00526A02" w:rsidR="004E633B">
        <w:rPr>
          <w:rFonts w:ascii="Times New Roman" w:hAnsi="Times New Roman"/>
          <w:sz w:val="24"/>
          <w:szCs w:val="24"/>
        </w:rPr>
        <w:t>zastavená pre nedostatok majetku alebo</w:t>
      </w:r>
      <w:r w:rsidRPr="00526A02">
        <w:rPr>
          <w:rFonts w:ascii="Times New Roman" w:hAnsi="Times New Roman"/>
          <w:sz w:val="24"/>
          <w:szCs w:val="24"/>
        </w:rPr>
        <w:t xml:space="preserve"> </w:t>
      </w:r>
    </w:p>
    <w:p w:rsidR="00825354" w:rsidRPr="00526A02" w:rsidP="00CB23E0">
      <w:pPr>
        <w:bidi w:val="0"/>
        <w:spacing w:after="0" w:line="240" w:lineRule="auto"/>
        <w:jc w:val="both"/>
        <w:rPr>
          <w:rFonts w:ascii="Times New Roman" w:hAnsi="Times New Roman"/>
          <w:sz w:val="24"/>
          <w:szCs w:val="24"/>
        </w:rPr>
      </w:pPr>
      <w:r w:rsidRPr="00526A02">
        <w:rPr>
          <w:rFonts w:ascii="Times New Roman" w:hAnsi="Times New Roman"/>
          <w:sz w:val="24"/>
          <w:szCs w:val="24"/>
        </w:rPr>
        <w:t xml:space="preserve">b) </w:t>
      </w:r>
      <w:r w:rsidRPr="00526A02" w:rsidR="004E633B">
        <w:rPr>
          <w:rFonts w:ascii="Times New Roman" w:hAnsi="Times New Roman"/>
          <w:sz w:val="24"/>
          <w:szCs w:val="24"/>
        </w:rPr>
        <w:t xml:space="preserve">prebehla riadne a úspešne, </w:t>
      </w:r>
    </w:p>
    <w:p w:rsidR="004E633B" w:rsidRPr="00526A02" w:rsidP="004E633B">
      <w:pPr>
        <w:bidi w:val="0"/>
        <w:spacing w:after="0" w:line="240" w:lineRule="auto"/>
        <w:jc w:val="both"/>
        <w:rPr>
          <w:rFonts w:ascii="Times New Roman" w:hAnsi="Times New Roman"/>
          <w:sz w:val="24"/>
          <w:szCs w:val="24"/>
        </w:rPr>
      </w:pPr>
      <w:r w:rsidRPr="00526A02" w:rsidR="00825354">
        <w:rPr>
          <w:rFonts w:ascii="Times New Roman" w:hAnsi="Times New Roman"/>
          <w:sz w:val="24"/>
          <w:szCs w:val="24"/>
        </w:rPr>
        <w:t xml:space="preserve">bude </w:t>
      </w:r>
      <w:r w:rsidRPr="00526A02">
        <w:rPr>
          <w:rFonts w:ascii="Times New Roman" w:hAnsi="Times New Roman"/>
          <w:sz w:val="24"/>
          <w:szCs w:val="24"/>
        </w:rPr>
        <w:t xml:space="preserve">veriteľ sám v celosti znášať všetky náklady  na exekúciu pohľadávok </w:t>
      </w:r>
      <w:r w:rsidRPr="00526A02" w:rsidR="00825354">
        <w:rPr>
          <w:rFonts w:ascii="Times New Roman" w:hAnsi="Times New Roman"/>
          <w:sz w:val="24"/>
          <w:szCs w:val="24"/>
        </w:rPr>
        <w:t>z takého vzťahu</w:t>
      </w:r>
      <w:r w:rsidRPr="00526A02">
        <w:rPr>
          <w:rFonts w:ascii="Times New Roman" w:hAnsi="Times New Roman"/>
          <w:sz w:val="24"/>
          <w:szCs w:val="24"/>
        </w:rPr>
        <w:t xml:space="preserve">. </w:t>
      </w:r>
    </w:p>
    <w:p w:rsidR="00880237" w:rsidRPr="00526A02" w:rsidP="004E633B">
      <w:pPr>
        <w:bidi w:val="0"/>
        <w:spacing w:after="0" w:line="240" w:lineRule="auto"/>
        <w:jc w:val="both"/>
        <w:rPr>
          <w:rFonts w:ascii="Times New Roman" w:hAnsi="Times New Roman"/>
          <w:sz w:val="24"/>
          <w:szCs w:val="24"/>
        </w:rPr>
      </w:pPr>
    </w:p>
    <w:p w:rsidR="004E633B" w:rsidRPr="00526A02" w:rsidP="004E633B">
      <w:pPr>
        <w:bidi w:val="0"/>
        <w:spacing w:after="0" w:line="240" w:lineRule="auto"/>
        <w:jc w:val="both"/>
        <w:rPr>
          <w:rFonts w:ascii="Times New Roman" w:hAnsi="Times New Roman"/>
          <w:sz w:val="24"/>
          <w:szCs w:val="24"/>
        </w:rPr>
      </w:pPr>
      <w:r w:rsidRPr="00526A02" w:rsidR="00CB23E0">
        <w:rPr>
          <w:rFonts w:ascii="Times New Roman" w:hAnsi="Times New Roman"/>
          <w:sz w:val="24"/>
          <w:szCs w:val="24"/>
        </w:rPr>
        <w:t>2</w:t>
      </w:r>
      <w:r w:rsidRPr="00526A02">
        <w:rPr>
          <w:rFonts w:ascii="Times New Roman" w:hAnsi="Times New Roman"/>
          <w:sz w:val="24"/>
          <w:szCs w:val="24"/>
        </w:rPr>
        <w:t>) Striktné zachovávanie hospodárnosti exekučného konania zo strany veriteľa voči dlžníkovi.   Exekúcie v ktorých sa uspokojujú nároky rovnakého veriteľa voči rovnakému dlžníkovi budú spojené   do jedného konania. Pokiaľ veriteľ voči dlžníkovi v období 6 mesiacov vymáha pohľadávky vyplývajúce   z totožného titulu samostatnými návrhmi na vykonanie exekúcie, bude mať nárok na náhradu trov exekúcie voči dlžníkovi iba v jednom konaní.</w:t>
      </w:r>
    </w:p>
    <w:p w:rsidR="004E633B" w:rsidRPr="00526A02" w:rsidP="004E633B">
      <w:pPr>
        <w:bidi w:val="0"/>
        <w:spacing w:after="0" w:line="240" w:lineRule="auto"/>
        <w:jc w:val="both"/>
        <w:rPr>
          <w:rFonts w:ascii="Times New Roman" w:hAnsi="Times New Roman"/>
          <w:sz w:val="24"/>
          <w:szCs w:val="24"/>
        </w:rPr>
      </w:pPr>
    </w:p>
    <w:p w:rsidR="004E633B" w:rsidRPr="00526A02" w:rsidP="004E633B">
      <w:pPr>
        <w:bidi w:val="0"/>
        <w:spacing w:after="0" w:line="240" w:lineRule="auto"/>
        <w:jc w:val="both"/>
        <w:rPr>
          <w:rFonts w:ascii="Times New Roman" w:hAnsi="Times New Roman"/>
          <w:sz w:val="24"/>
          <w:szCs w:val="24"/>
        </w:rPr>
      </w:pPr>
      <w:r w:rsidRPr="00526A02" w:rsidR="00393731">
        <w:rPr>
          <w:rFonts w:ascii="Times New Roman" w:hAnsi="Times New Roman"/>
          <w:sz w:val="24"/>
          <w:szCs w:val="24"/>
        </w:rPr>
        <w:t>3</w:t>
      </w:r>
      <w:r w:rsidRPr="00526A02">
        <w:rPr>
          <w:rFonts w:ascii="Times New Roman" w:hAnsi="Times New Roman"/>
          <w:sz w:val="24"/>
          <w:szCs w:val="24"/>
        </w:rPr>
        <w:t xml:space="preserve">) Navrhujeme </w:t>
      </w:r>
      <w:r w:rsidRPr="00526A02" w:rsidR="00EB4533">
        <w:rPr>
          <w:rFonts w:ascii="Times New Roman" w:hAnsi="Times New Roman"/>
          <w:sz w:val="24"/>
          <w:szCs w:val="24"/>
        </w:rPr>
        <w:t xml:space="preserve">redukciu uplatnenia </w:t>
      </w:r>
      <w:r w:rsidRPr="00526A02">
        <w:rPr>
          <w:rFonts w:ascii="Times New Roman" w:hAnsi="Times New Roman"/>
          <w:sz w:val="24"/>
          <w:szCs w:val="24"/>
        </w:rPr>
        <w:t xml:space="preserve">inštitútu prideľovania vecí exekútorom náhodným výberom </w:t>
      </w:r>
      <w:r w:rsidRPr="00526A02" w:rsidR="00EB4533">
        <w:rPr>
          <w:rFonts w:ascii="Times New Roman" w:hAnsi="Times New Roman"/>
          <w:sz w:val="24"/>
          <w:szCs w:val="24"/>
        </w:rPr>
        <w:t xml:space="preserve">na </w:t>
      </w:r>
      <w:r w:rsidRPr="00526A02">
        <w:rPr>
          <w:rFonts w:ascii="Times New Roman" w:hAnsi="Times New Roman"/>
          <w:sz w:val="24"/>
          <w:szCs w:val="24"/>
        </w:rPr>
        <w:t>prípad</w:t>
      </w:r>
      <w:r w:rsidRPr="00526A02" w:rsidR="00EB4533">
        <w:rPr>
          <w:rFonts w:ascii="Times New Roman" w:hAnsi="Times New Roman"/>
          <w:sz w:val="24"/>
          <w:szCs w:val="24"/>
        </w:rPr>
        <w:t>y</w:t>
      </w:r>
      <w:r w:rsidRPr="00526A02">
        <w:rPr>
          <w:rFonts w:ascii="Times New Roman" w:hAnsi="Times New Roman"/>
          <w:sz w:val="24"/>
          <w:szCs w:val="24"/>
        </w:rPr>
        <w:t>, kedy je v postavení oprávneného</w:t>
      </w:r>
      <w:r w:rsidRPr="00526A02" w:rsidR="000E2DDA">
        <w:rPr>
          <w:rFonts w:ascii="Times New Roman" w:hAnsi="Times New Roman"/>
          <w:sz w:val="24"/>
          <w:szCs w:val="24"/>
        </w:rPr>
        <w:t xml:space="preserve"> štátna </w:t>
      </w:r>
      <w:r w:rsidRPr="00526A02" w:rsidR="00EB4533">
        <w:rPr>
          <w:rFonts w:ascii="Times New Roman" w:hAnsi="Times New Roman"/>
          <w:sz w:val="24"/>
          <w:szCs w:val="24"/>
        </w:rPr>
        <w:t>organizácia alebo štátom väčšinovo vlastnen</w:t>
      </w:r>
      <w:r w:rsidRPr="00526A02" w:rsidR="00880237">
        <w:rPr>
          <w:rFonts w:ascii="Times New Roman" w:hAnsi="Times New Roman"/>
          <w:sz w:val="24"/>
          <w:szCs w:val="24"/>
        </w:rPr>
        <w:t>ý subjekt</w:t>
      </w:r>
      <w:r w:rsidRPr="00526A02" w:rsidR="000E2DDA">
        <w:rPr>
          <w:rFonts w:ascii="Times New Roman" w:hAnsi="Times New Roman"/>
          <w:sz w:val="24"/>
          <w:szCs w:val="24"/>
        </w:rPr>
        <w:t xml:space="preserve">. </w:t>
      </w:r>
    </w:p>
    <w:p w:rsidR="004E633B" w:rsidRPr="00526A02" w:rsidP="004E633B">
      <w:pPr>
        <w:bidi w:val="0"/>
        <w:spacing w:after="0" w:line="240" w:lineRule="auto"/>
        <w:jc w:val="both"/>
        <w:rPr>
          <w:rFonts w:ascii="Times New Roman" w:hAnsi="Times New Roman"/>
          <w:sz w:val="24"/>
          <w:szCs w:val="24"/>
        </w:rPr>
      </w:pPr>
    </w:p>
    <w:p w:rsidR="00CB23E0" w:rsidRPr="00526A02" w:rsidP="00CB23E0">
      <w:pPr>
        <w:bidi w:val="0"/>
        <w:spacing w:after="0" w:line="240" w:lineRule="auto"/>
        <w:jc w:val="both"/>
        <w:rPr>
          <w:rFonts w:ascii="Times New Roman" w:hAnsi="Times New Roman"/>
          <w:sz w:val="24"/>
          <w:szCs w:val="24"/>
        </w:rPr>
      </w:pPr>
      <w:r w:rsidRPr="00526A02" w:rsidR="00393731">
        <w:rPr>
          <w:rFonts w:ascii="Times New Roman" w:hAnsi="Times New Roman"/>
          <w:sz w:val="24"/>
          <w:szCs w:val="24"/>
        </w:rPr>
        <w:t>4</w:t>
      </w:r>
      <w:r w:rsidRPr="00526A02" w:rsidR="004E633B">
        <w:rPr>
          <w:rFonts w:ascii="Times New Roman" w:hAnsi="Times New Roman"/>
          <w:sz w:val="24"/>
          <w:szCs w:val="24"/>
        </w:rPr>
        <w:t>) Navrhujeme zmenu v tzv. osobnom bankrote, ktorá dlžníkom umožní tento inštitút využiť aj mimo   povinného zastúpenia Centrom právnej pomoci pri zachovaní povinného zastúpenia advokátom. Zároveň navrhujeme odstrániť tvrdosť zákona a chceme umožniť, aby v prípadoch hodných osobitného zreteľa na strane dlžníka centrum mohlo predĺžiť lehotu splatnosti preddavku na úhradu paušálnej odmeny správcu na 5 rokov, prípadne tento dlh dlžníkovi odpustiť. Osobný bankrot tak bude prijateľnejším pre dlžníkov v ťažkej životnej situácii.</w:t>
      </w:r>
    </w:p>
    <w:p w:rsidR="00CB23E0" w:rsidRPr="00526A02" w:rsidP="00CB23E0">
      <w:pPr>
        <w:bidi w:val="0"/>
        <w:spacing w:after="0" w:line="240" w:lineRule="auto"/>
        <w:jc w:val="both"/>
        <w:rPr>
          <w:rFonts w:ascii="Times New Roman" w:hAnsi="Times New Roman"/>
          <w:sz w:val="24"/>
          <w:szCs w:val="24"/>
        </w:rPr>
      </w:pPr>
    </w:p>
    <w:p w:rsidR="00CB23E0" w:rsidRPr="00526A02" w:rsidP="00CB23E0">
      <w:pPr>
        <w:pStyle w:val="BodyText"/>
        <w:bidi w:val="0"/>
        <w:ind w:firstLine="708"/>
        <w:jc w:val="both"/>
        <w:rPr>
          <w:rFonts w:ascii="Times New Roman" w:hAnsi="Times New Roman"/>
          <w:b w:val="0"/>
        </w:rPr>
      </w:pPr>
      <w:r w:rsidRPr="00526A02">
        <w:rPr>
          <w:rFonts w:ascii="Times New Roman" w:hAnsi="Times New Roman"/>
          <w:b w:val="0"/>
        </w:rPr>
        <w:t xml:space="preserve">Na tieto opatrenia nadväzuje ďalšie opatrenie, ktorým je zavedenie princípu, že prístup do Centrálneho registra exekúcií bude bezplatný, pokiaľ objem prístupov neprekročí 50 ročne. </w:t>
      </w:r>
      <w:r w:rsidRPr="00526A02">
        <w:rPr>
          <w:rFonts w:ascii="Times New Roman" w:hAnsi="Times New Roman"/>
          <w:b w:val="0"/>
          <w:shd w:val="clear" w:color="auto" w:fill="FFFFFF"/>
        </w:rPr>
        <w:t xml:space="preserve">Podľa súčasnej úpravy Slovenskej komore exekútorov patrí za každý prístup do registra exekúcií odmena, ktorej výška sa určuje v závislosti od počtu prístupov jedného používateľa v období kalendárneho roka, pričom dnes sa za pásmo od 0 do 500 prístupov ročne platí úhrada 2 eurá za každý prístup. Toto opatrenie však už nie je predmetom tohto návrh zákona, ale predmetom novely </w:t>
      </w:r>
      <w:r w:rsidRPr="00526A02">
        <w:rPr>
          <w:rFonts w:ascii="Times New Roman" w:hAnsi="Times New Roman"/>
          <w:b w:val="0"/>
        </w:rPr>
        <w:t>vyhlášky Ministerstva spravodlivosti Slovenskej republiky č. 355/2014 Z. z. o centrálnom registri exekúcií, návrh ktorej sa predkladá ako informatívna príloha t</w:t>
      </w:r>
      <w:r w:rsidRPr="00526A02" w:rsidR="00241A27">
        <w:rPr>
          <w:rFonts w:ascii="Times New Roman" w:hAnsi="Times New Roman"/>
          <w:b w:val="0"/>
        </w:rPr>
        <w:t>ejto dôvodovej správy</w:t>
      </w:r>
      <w:r w:rsidRPr="00526A02">
        <w:rPr>
          <w:rFonts w:ascii="Times New Roman" w:hAnsi="Times New Roman"/>
          <w:b w:val="0"/>
        </w:rPr>
        <w:t xml:space="preserve"> </w:t>
      </w:r>
    </w:p>
    <w:p w:rsidR="00CB23E0" w:rsidRPr="00526A02" w:rsidP="00CB23E0">
      <w:pPr>
        <w:bidi w:val="0"/>
        <w:spacing w:after="0" w:line="240" w:lineRule="auto"/>
        <w:jc w:val="both"/>
        <w:rPr>
          <w:rFonts w:ascii="Times New Roman" w:hAnsi="Times New Roman"/>
          <w:sz w:val="24"/>
          <w:szCs w:val="24"/>
        </w:rPr>
      </w:pPr>
    </w:p>
    <w:p w:rsidR="00D41D9E" w:rsidRPr="00526A02" w:rsidP="00B22748">
      <w:pPr>
        <w:bidi w:val="0"/>
        <w:spacing w:after="0" w:line="240" w:lineRule="auto"/>
        <w:ind w:firstLine="708"/>
        <w:jc w:val="both"/>
        <w:rPr>
          <w:rFonts w:ascii="Times New Roman" w:hAnsi="Times New Roman"/>
          <w:sz w:val="24"/>
          <w:szCs w:val="24"/>
        </w:rPr>
      </w:pPr>
      <w:r w:rsidRPr="00526A02" w:rsidR="00CB23E0">
        <w:rPr>
          <w:rFonts w:ascii="Times New Roman" w:hAnsi="Times New Roman"/>
          <w:sz w:val="24"/>
          <w:szCs w:val="24"/>
        </w:rPr>
        <w:t>N</w:t>
      </w:r>
      <w:r w:rsidRPr="00526A02">
        <w:rPr>
          <w:rFonts w:ascii="Times New Roman" w:hAnsi="Times New Roman"/>
          <w:sz w:val="24"/>
          <w:szCs w:val="24"/>
        </w:rPr>
        <w:t xml:space="preserve">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D41D9E" w:rsidRPr="00526A02" w:rsidP="00B22748">
      <w:pPr>
        <w:bidi w:val="0"/>
        <w:spacing w:after="0" w:line="240" w:lineRule="auto"/>
        <w:jc w:val="both"/>
        <w:rPr>
          <w:rFonts w:ascii="Times New Roman" w:hAnsi="Times New Roman"/>
          <w:sz w:val="24"/>
          <w:szCs w:val="24"/>
        </w:rPr>
      </w:pPr>
    </w:p>
    <w:p w:rsidR="00D41D9E" w:rsidRPr="00526A02" w:rsidP="00B22748">
      <w:pPr>
        <w:bidi w:val="0"/>
        <w:spacing w:after="0" w:line="240" w:lineRule="auto"/>
        <w:jc w:val="both"/>
        <w:rPr>
          <w:rFonts w:ascii="Times New Roman" w:hAnsi="Times New Roman"/>
          <w:sz w:val="24"/>
          <w:szCs w:val="24"/>
        </w:rPr>
      </w:pPr>
      <w:r w:rsidRPr="00526A02">
        <w:rPr>
          <w:rFonts w:ascii="Times New Roman" w:hAnsi="Times New Roman"/>
          <w:sz w:val="24"/>
          <w:szCs w:val="24"/>
        </w:rPr>
        <w:tab/>
        <w:t xml:space="preserve">Návrh zákona nebude mať </w:t>
      </w:r>
      <w:r w:rsidRPr="00526A02" w:rsidR="00FA64E1">
        <w:rPr>
          <w:rFonts w:ascii="Times New Roman" w:hAnsi="Times New Roman"/>
          <w:sz w:val="24"/>
          <w:szCs w:val="24"/>
        </w:rPr>
        <w:t xml:space="preserve">negatívny </w:t>
      </w:r>
      <w:r w:rsidRPr="00526A02">
        <w:rPr>
          <w:rFonts w:ascii="Times New Roman" w:hAnsi="Times New Roman"/>
          <w:sz w:val="24"/>
          <w:szCs w:val="24"/>
        </w:rPr>
        <w:t xml:space="preserve">vplyv na verejné financie, podnikateľské prostredie </w:t>
      </w:r>
      <w:r w:rsidRPr="00526A02" w:rsidR="00FA64E1">
        <w:rPr>
          <w:rFonts w:ascii="Times New Roman" w:hAnsi="Times New Roman"/>
          <w:sz w:val="24"/>
          <w:szCs w:val="24"/>
        </w:rPr>
        <w:t xml:space="preserve">životné prostredie a nebude mať ani negatívny vplyv na </w:t>
      </w:r>
      <w:r w:rsidRPr="00526A02">
        <w:rPr>
          <w:rFonts w:ascii="Times New Roman" w:hAnsi="Times New Roman"/>
          <w:sz w:val="24"/>
          <w:szCs w:val="24"/>
        </w:rPr>
        <w:t xml:space="preserve">informatizáciu spoločnosti. </w:t>
      </w:r>
      <w:r w:rsidRPr="00526A02" w:rsidR="00FA64E1">
        <w:rPr>
          <w:rFonts w:ascii="Times New Roman" w:hAnsi="Times New Roman"/>
          <w:sz w:val="24"/>
          <w:szCs w:val="24"/>
        </w:rPr>
        <w:t>Návrh zákona b</w:t>
      </w:r>
      <w:r w:rsidRPr="00526A02">
        <w:rPr>
          <w:rFonts w:ascii="Times New Roman" w:hAnsi="Times New Roman"/>
          <w:sz w:val="24"/>
          <w:szCs w:val="24"/>
        </w:rPr>
        <w:t>ude mať pozitívny  sociálny vplyv</w:t>
      </w:r>
      <w:r w:rsidRPr="00526A02" w:rsidR="00FA64E1">
        <w:rPr>
          <w:rFonts w:ascii="Times New Roman" w:hAnsi="Times New Roman"/>
          <w:sz w:val="24"/>
          <w:szCs w:val="24"/>
        </w:rPr>
        <w:t>.</w:t>
      </w:r>
      <w:r w:rsidRPr="00526A02">
        <w:rPr>
          <w:rFonts w:ascii="Times New Roman" w:hAnsi="Times New Roman"/>
          <w:sz w:val="24"/>
          <w:szCs w:val="24"/>
        </w:rPr>
        <w:t xml:space="preserve"> </w:t>
      </w:r>
    </w:p>
    <w:p w:rsidR="00D41D9E" w:rsidRPr="00526A02" w:rsidP="00B22748">
      <w:pPr>
        <w:bidi w:val="0"/>
        <w:spacing w:after="0" w:line="240" w:lineRule="auto"/>
        <w:jc w:val="both"/>
        <w:rPr>
          <w:rFonts w:ascii="Times New Roman" w:hAnsi="Times New Roman"/>
          <w:sz w:val="24"/>
          <w:szCs w:val="24"/>
        </w:rPr>
      </w:pPr>
    </w:p>
    <w:p w:rsidR="00016980" w:rsidRPr="00526A02" w:rsidP="00B22748">
      <w:pPr>
        <w:bidi w:val="0"/>
        <w:spacing w:after="0" w:line="240" w:lineRule="auto"/>
        <w:jc w:val="both"/>
        <w:rPr>
          <w:rFonts w:ascii="Times New Roman" w:hAnsi="Times New Roman"/>
          <w:sz w:val="24"/>
          <w:szCs w:val="24"/>
        </w:rPr>
      </w:pPr>
    </w:p>
    <w:p w:rsidR="00016980" w:rsidRPr="00526A02" w:rsidP="00B22748">
      <w:pPr>
        <w:bidi w:val="0"/>
        <w:spacing w:after="0" w:line="240" w:lineRule="auto"/>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016980" w:rsidRPr="00526A02" w:rsidP="00D41D9E">
      <w:pPr>
        <w:bidi w:val="0"/>
        <w:spacing w:after="0"/>
        <w:jc w:val="both"/>
        <w:rPr>
          <w:rFonts w:ascii="Times New Roman" w:hAnsi="Times New Roman"/>
          <w:sz w:val="24"/>
          <w:szCs w:val="24"/>
        </w:rPr>
      </w:pPr>
    </w:p>
    <w:p w:rsidR="00CB23E0" w:rsidRPr="00526A02" w:rsidP="00D41D9E">
      <w:pPr>
        <w:bidi w:val="0"/>
        <w:spacing w:after="0"/>
        <w:jc w:val="both"/>
        <w:rPr>
          <w:rFonts w:ascii="Times New Roman" w:hAnsi="Times New Roman"/>
          <w:sz w:val="24"/>
          <w:szCs w:val="24"/>
        </w:rPr>
      </w:pPr>
    </w:p>
    <w:p w:rsidR="00CB23E0"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2C7F91" w:rsidRPr="00526A02" w:rsidP="00D41D9E">
      <w:pPr>
        <w:bidi w:val="0"/>
        <w:spacing w:after="0"/>
        <w:jc w:val="both"/>
        <w:rPr>
          <w:rFonts w:ascii="Times New Roman" w:hAnsi="Times New Roman"/>
          <w:sz w:val="24"/>
          <w:szCs w:val="24"/>
        </w:rPr>
      </w:pPr>
    </w:p>
    <w:p w:rsidR="00CB23E0" w:rsidRPr="00526A02" w:rsidP="00D41D9E">
      <w:pPr>
        <w:bidi w:val="0"/>
        <w:spacing w:after="0"/>
        <w:jc w:val="both"/>
        <w:rPr>
          <w:rFonts w:ascii="Times New Roman" w:hAnsi="Times New Roman"/>
          <w:sz w:val="24"/>
          <w:szCs w:val="24"/>
        </w:rPr>
      </w:pPr>
    </w:p>
    <w:p w:rsidR="00CB23E0" w:rsidRPr="00526A02" w:rsidP="00D41D9E">
      <w:pPr>
        <w:bidi w:val="0"/>
        <w:spacing w:after="0"/>
        <w:jc w:val="both"/>
        <w:rPr>
          <w:rFonts w:ascii="Times New Roman" w:hAnsi="Times New Roman"/>
          <w:sz w:val="24"/>
          <w:szCs w:val="24"/>
        </w:rPr>
      </w:pPr>
    </w:p>
    <w:p w:rsidR="00D41D9E" w:rsidRPr="00526A02" w:rsidP="00437642">
      <w:pPr>
        <w:bidi w:val="0"/>
        <w:spacing w:after="0" w:line="240" w:lineRule="auto"/>
        <w:ind w:firstLine="708"/>
        <w:jc w:val="both"/>
        <w:rPr>
          <w:rFonts w:ascii="Times New Roman" w:hAnsi="Times New Roman"/>
          <w:b/>
          <w:sz w:val="24"/>
          <w:szCs w:val="24"/>
        </w:rPr>
      </w:pPr>
      <w:r w:rsidRPr="00526A02">
        <w:rPr>
          <w:rFonts w:ascii="Times New Roman" w:hAnsi="Times New Roman"/>
          <w:b/>
          <w:sz w:val="24"/>
          <w:szCs w:val="24"/>
        </w:rPr>
        <w:t>B. Osobitná časť</w:t>
      </w:r>
    </w:p>
    <w:p w:rsidR="00D41D9E" w:rsidRPr="00526A02" w:rsidP="00437642">
      <w:pPr>
        <w:bidi w:val="0"/>
        <w:spacing w:after="0" w:line="240" w:lineRule="auto"/>
        <w:jc w:val="both"/>
        <w:rPr>
          <w:rFonts w:ascii="Times New Roman" w:hAnsi="Times New Roman"/>
          <w:sz w:val="24"/>
          <w:szCs w:val="24"/>
        </w:rPr>
      </w:pPr>
    </w:p>
    <w:p w:rsidR="004A1CEC" w:rsidRPr="00526A02" w:rsidP="004A1CEC">
      <w:pPr>
        <w:bidi w:val="0"/>
        <w:ind w:firstLine="708"/>
        <w:rPr>
          <w:rFonts w:ascii="Times New Roman" w:hAnsi="Times New Roman"/>
          <w:b/>
          <w:sz w:val="24"/>
          <w:szCs w:val="24"/>
        </w:rPr>
      </w:pPr>
      <w:r w:rsidRPr="00526A02">
        <w:rPr>
          <w:rFonts w:ascii="Times New Roman" w:hAnsi="Times New Roman"/>
          <w:b/>
          <w:sz w:val="24"/>
          <w:szCs w:val="24"/>
        </w:rPr>
        <w:t>K čl. I:</w:t>
      </w:r>
    </w:p>
    <w:p w:rsidR="004A1CEC" w:rsidRPr="00526A02" w:rsidP="004A1CEC">
      <w:pPr>
        <w:bidi w:val="0"/>
        <w:spacing w:after="0" w:line="259" w:lineRule="auto"/>
        <w:ind w:firstLine="708"/>
        <w:jc w:val="both"/>
        <w:rPr>
          <w:rFonts w:ascii="Times New Roman" w:hAnsi="Times New Roman"/>
          <w:b/>
          <w:sz w:val="24"/>
          <w:szCs w:val="24"/>
        </w:rPr>
      </w:pPr>
      <w:r w:rsidRPr="00526A02">
        <w:rPr>
          <w:rFonts w:ascii="Times New Roman" w:hAnsi="Times New Roman"/>
          <w:b/>
          <w:sz w:val="24"/>
          <w:szCs w:val="24"/>
        </w:rPr>
        <w:t>K bodu 1</w:t>
      </w:r>
    </w:p>
    <w:p w:rsidR="004A1CEC" w:rsidRPr="00526A02" w:rsidP="004A1CEC">
      <w:pPr>
        <w:bidi w:val="0"/>
        <w:spacing w:after="0" w:line="259" w:lineRule="auto"/>
        <w:ind w:firstLine="708"/>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sz w:val="24"/>
          <w:szCs w:val="24"/>
        </w:rPr>
      </w:pPr>
      <w:r w:rsidRPr="00526A02">
        <w:rPr>
          <w:rFonts w:ascii="Times New Roman" w:hAnsi="Times New Roman"/>
          <w:sz w:val="24"/>
          <w:szCs w:val="24"/>
        </w:rPr>
        <w:t xml:space="preserve">Upravujú sa podstatné náležitosti návrhu na vykonanie exekúcie, kde </w:t>
      </w:r>
      <w:r w:rsidRPr="00526A02" w:rsidR="009D2116">
        <w:rPr>
          <w:rFonts w:ascii="Times New Roman" w:hAnsi="Times New Roman"/>
          <w:sz w:val="24"/>
          <w:szCs w:val="24"/>
        </w:rPr>
        <w:t xml:space="preserve">bude potrebné </w:t>
      </w:r>
      <w:r w:rsidRPr="00526A02">
        <w:rPr>
          <w:rFonts w:ascii="Times New Roman" w:hAnsi="Times New Roman"/>
          <w:sz w:val="24"/>
          <w:szCs w:val="24"/>
        </w:rPr>
        <w:t>okrem súdu označiť aj exekútora, ktorý má byť poverený výkonom exekúcie.</w:t>
      </w:r>
    </w:p>
    <w:p w:rsidR="004A1CEC" w:rsidRPr="00526A02" w:rsidP="004A1CEC">
      <w:pPr>
        <w:bidi w:val="0"/>
        <w:spacing w:after="0" w:line="259" w:lineRule="auto"/>
        <w:ind w:left="360"/>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b/>
          <w:sz w:val="24"/>
          <w:szCs w:val="24"/>
        </w:rPr>
      </w:pPr>
      <w:r w:rsidRPr="00526A02">
        <w:rPr>
          <w:rFonts w:ascii="Times New Roman" w:hAnsi="Times New Roman"/>
          <w:b/>
          <w:sz w:val="24"/>
          <w:szCs w:val="24"/>
        </w:rPr>
        <w:t>K bodu 2</w:t>
      </w:r>
    </w:p>
    <w:p w:rsidR="004A1CEC" w:rsidRPr="00526A02" w:rsidP="004A1CEC">
      <w:pPr>
        <w:bidi w:val="0"/>
        <w:spacing w:after="0" w:line="259" w:lineRule="auto"/>
        <w:ind w:firstLine="708"/>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sz w:val="24"/>
          <w:szCs w:val="24"/>
        </w:rPr>
      </w:pPr>
      <w:r w:rsidRPr="00526A02" w:rsidR="002A0EB3">
        <w:rPr>
          <w:rFonts w:ascii="Times New Roman" w:hAnsi="Times New Roman"/>
          <w:sz w:val="24"/>
          <w:szCs w:val="24"/>
        </w:rPr>
        <w:t>V záujme hospodárnosti konania sa u</w:t>
      </w:r>
      <w:r w:rsidRPr="00526A02">
        <w:rPr>
          <w:rFonts w:ascii="Times New Roman" w:hAnsi="Times New Roman"/>
          <w:sz w:val="24"/>
          <w:szCs w:val="24"/>
        </w:rPr>
        <w:t>pravuje ustanovenie týkajúce sa poverenia na vykonanie exekúcie a prideľovanie vecí</w:t>
      </w:r>
      <w:r w:rsidRPr="00526A02" w:rsidR="002A0EB3">
        <w:rPr>
          <w:rFonts w:ascii="Times New Roman" w:hAnsi="Times New Roman"/>
          <w:sz w:val="24"/>
          <w:szCs w:val="24"/>
        </w:rPr>
        <w:t xml:space="preserve">. </w:t>
      </w:r>
      <w:r w:rsidRPr="00526A02">
        <w:rPr>
          <w:rFonts w:ascii="Times New Roman" w:hAnsi="Times New Roman"/>
          <w:sz w:val="24"/>
          <w:szCs w:val="24"/>
        </w:rPr>
        <w:t xml:space="preserve"> </w:t>
      </w:r>
      <w:r w:rsidRPr="00526A02" w:rsidR="002A0EB3">
        <w:rPr>
          <w:rFonts w:ascii="Times New Roman" w:hAnsi="Times New Roman"/>
          <w:sz w:val="24"/>
          <w:szCs w:val="24"/>
        </w:rPr>
        <w:t>Ustanovuje sa, že každá ďalšia vec toho istého oprávneného voči tomu istému povinnému pridelená exekútorovi podľa predchádzajúcej vety sa spojí na spoločné exekučné konanie</w:t>
      </w:r>
      <w:r w:rsidRPr="00526A02" w:rsidR="00781D21">
        <w:rPr>
          <w:rFonts w:ascii="Times New Roman" w:hAnsi="Times New Roman"/>
          <w:sz w:val="24"/>
          <w:szCs w:val="24"/>
        </w:rPr>
        <w:t xml:space="preserve"> s výnimkou prípadov, že by to </w:t>
      </w:r>
      <w:r w:rsidRPr="00526A02" w:rsidR="002A0EB3">
        <w:rPr>
          <w:rFonts w:ascii="Times New Roman" w:hAnsi="Times New Roman"/>
          <w:sz w:val="24"/>
          <w:szCs w:val="24"/>
        </w:rPr>
        <w:t xml:space="preserve">to vzhľadom na okolnosti zlučovaných vecí </w:t>
      </w:r>
      <w:r w:rsidRPr="00526A02" w:rsidR="00781D21">
        <w:rPr>
          <w:rFonts w:ascii="Times New Roman" w:hAnsi="Times New Roman"/>
          <w:sz w:val="24"/>
          <w:szCs w:val="24"/>
        </w:rPr>
        <w:t xml:space="preserve">nebolo </w:t>
      </w:r>
      <w:r w:rsidRPr="00526A02" w:rsidR="002A0EB3">
        <w:rPr>
          <w:rFonts w:ascii="Times New Roman" w:hAnsi="Times New Roman"/>
          <w:sz w:val="24"/>
          <w:szCs w:val="24"/>
        </w:rPr>
        <w:t>účelné. Proti uzneseniu o spojení vecí môže oprávnený aj povinný podať námietku v lehote 15 dní od jeho doručenia.</w:t>
      </w:r>
    </w:p>
    <w:p w:rsidR="004A1CEC" w:rsidRPr="00526A02" w:rsidP="004A1CEC">
      <w:pPr>
        <w:bidi w:val="0"/>
        <w:spacing w:after="0" w:line="259" w:lineRule="auto"/>
        <w:ind w:left="360"/>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b/>
          <w:sz w:val="24"/>
          <w:szCs w:val="24"/>
        </w:rPr>
      </w:pPr>
      <w:r w:rsidRPr="00526A02">
        <w:rPr>
          <w:rFonts w:ascii="Times New Roman" w:hAnsi="Times New Roman"/>
          <w:b/>
          <w:sz w:val="24"/>
          <w:szCs w:val="24"/>
        </w:rPr>
        <w:t>K bodu 3</w:t>
      </w:r>
    </w:p>
    <w:p w:rsidR="004A1CEC" w:rsidRPr="00526A02" w:rsidP="004A1CEC">
      <w:pPr>
        <w:bidi w:val="0"/>
        <w:spacing w:after="0" w:line="259" w:lineRule="auto"/>
        <w:ind w:firstLine="708"/>
        <w:jc w:val="both"/>
        <w:rPr>
          <w:rFonts w:ascii="Times New Roman" w:hAnsi="Times New Roman"/>
          <w:sz w:val="24"/>
          <w:szCs w:val="24"/>
        </w:rPr>
      </w:pPr>
    </w:p>
    <w:p w:rsidR="002A0EB3" w:rsidRPr="00526A02" w:rsidP="00017B7A">
      <w:pPr>
        <w:bidi w:val="0"/>
        <w:spacing w:after="0" w:line="240" w:lineRule="auto"/>
        <w:ind w:firstLine="708"/>
        <w:jc w:val="both"/>
        <w:rPr>
          <w:rFonts w:ascii="Times New Roman" w:hAnsi="Times New Roman"/>
          <w:sz w:val="24"/>
          <w:szCs w:val="24"/>
        </w:rPr>
      </w:pPr>
      <w:r w:rsidRPr="00526A02" w:rsidR="004A1CEC">
        <w:rPr>
          <w:rFonts w:ascii="Times New Roman" w:hAnsi="Times New Roman"/>
          <w:sz w:val="24"/>
          <w:szCs w:val="24"/>
        </w:rPr>
        <w:t>Upravujú sa nové pravidlá týkajúce sa poverenia na vykonanie exekúcie a prideľovania vecí.</w:t>
      </w:r>
      <w:r w:rsidRPr="00526A02">
        <w:rPr>
          <w:rFonts w:ascii="Times New Roman" w:hAnsi="Times New Roman"/>
          <w:sz w:val="24"/>
          <w:szCs w:val="24"/>
        </w:rPr>
        <w:t xml:space="preserve"> Navrhuje</w:t>
      </w:r>
      <w:r w:rsidRPr="00526A02" w:rsidR="00017B7A">
        <w:rPr>
          <w:rFonts w:ascii="Times New Roman" w:hAnsi="Times New Roman"/>
          <w:sz w:val="24"/>
          <w:szCs w:val="24"/>
        </w:rPr>
        <w:t xml:space="preserve"> sa </w:t>
      </w:r>
      <w:r w:rsidRPr="00526A02">
        <w:rPr>
          <w:rFonts w:ascii="Times New Roman" w:hAnsi="Times New Roman"/>
          <w:sz w:val="24"/>
          <w:szCs w:val="24"/>
        </w:rPr>
        <w:t xml:space="preserve">zrušenie inštitútu prideľovania vecí exekútorom náhodným výberom okrem prípadov,   kedy je v postavení oprávneného </w:t>
      </w:r>
      <w:r w:rsidRPr="00526A02" w:rsidR="00017B7A">
        <w:rPr>
          <w:rFonts w:ascii="Times New Roman" w:hAnsi="Times New Roman"/>
          <w:sz w:val="24"/>
          <w:szCs w:val="24"/>
        </w:rPr>
        <w:t>štátna rozpočtová organizácia a štátna príspevková organizácia,  štátny fond,  štátny orgán bez právnej subjektivity spravujúci majetok štátu</w:t>
      </w:r>
      <w:r w:rsidRPr="00526A02" w:rsidR="00781D21">
        <w:rPr>
          <w:rFonts w:ascii="Times New Roman" w:hAnsi="Times New Roman"/>
          <w:sz w:val="24"/>
          <w:szCs w:val="24"/>
        </w:rPr>
        <w:t>, právnická osoba, ktorej väčšinovým vlastníkom alebo ovládajúcou osobou je štát alebo ktorá je zriadená osobitným právnym predpisom, alebo právny nástupca takýchto organizácií, fondov a osôb.</w:t>
      </w:r>
    </w:p>
    <w:p w:rsidR="004A1CEC" w:rsidRPr="00526A02" w:rsidP="004A1CEC">
      <w:pPr>
        <w:bidi w:val="0"/>
        <w:spacing w:after="0" w:line="259" w:lineRule="auto"/>
        <w:ind w:firstLine="708"/>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b/>
          <w:sz w:val="24"/>
          <w:szCs w:val="24"/>
        </w:rPr>
      </w:pPr>
      <w:r w:rsidRPr="00526A02">
        <w:rPr>
          <w:rFonts w:ascii="Times New Roman" w:hAnsi="Times New Roman"/>
          <w:b/>
          <w:sz w:val="24"/>
          <w:szCs w:val="24"/>
        </w:rPr>
        <w:t>K bodu 4</w:t>
      </w:r>
    </w:p>
    <w:p w:rsidR="004A1CEC" w:rsidRPr="00526A02" w:rsidP="004A1CEC">
      <w:pPr>
        <w:bidi w:val="0"/>
        <w:spacing w:after="0" w:line="259" w:lineRule="auto"/>
        <w:ind w:firstLine="708"/>
        <w:jc w:val="both"/>
        <w:rPr>
          <w:rFonts w:ascii="Times New Roman" w:hAnsi="Times New Roman"/>
          <w:sz w:val="24"/>
          <w:szCs w:val="24"/>
        </w:rPr>
      </w:pPr>
    </w:p>
    <w:p w:rsidR="00FF2ED8" w:rsidRPr="00526A02" w:rsidP="004A1CEC">
      <w:pPr>
        <w:bidi w:val="0"/>
        <w:spacing w:after="0" w:line="259" w:lineRule="auto"/>
        <w:ind w:firstLine="708"/>
        <w:jc w:val="both"/>
        <w:rPr>
          <w:rFonts w:ascii="Times New Roman" w:hAnsi="Times New Roman"/>
          <w:sz w:val="24"/>
          <w:szCs w:val="24"/>
        </w:rPr>
      </w:pPr>
      <w:r w:rsidRPr="00526A02" w:rsidR="004A1CEC">
        <w:rPr>
          <w:rFonts w:ascii="Times New Roman" w:hAnsi="Times New Roman"/>
          <w:sz w:val="24"/>
          <w:szCs w:val="24"/>
        </w:rPr>
        <w:t>Dopĺňajú sa nové pravidlá týkajúce sa trov konania.</w:t>
      </w:r>
      <w:r w:rsidRPr="00526A02" w:rsidR="00EB11D4">
        <w:rPr>
          <w:rFonts w:ascii="Times New Roman" w:hAnsi="Times New Roman"/>
          <w:sz w:val="24"/>
          <w:szCs w:val="24"/>
        </w:rPr>
        <w:t xml:space="preserve"> </w:t>
      </w:r>
    </w:p>
    <w:p w:rsidR="004A1CEC" w:rsidRPr="00526A02" w:rsidP="004A1CEC">
      <w:pPr>
        <w:bidi w:val="0"/>
        <w:spacing w:after="0" w:line="259" w:lineRule="auto"/>
        <w:ind w:firstLine="708"/>
        <w:jc w:val="both"/>
        <w:rPr>
          <w:rFonts w:ascii="Times New Roman" w:hAnsi="Times New Roman"/>
          <w:sz w:val="24"/>
          <w:szCs w:val="24"/>
        </w:rPr>
      </w:pPr>
      <w:r w:rsidRPr="00526A02" w:rsidR="00FF2ED8">
        <w:rPr>
          <w:rFonts w:ascii="Times New Roman" w:hAnsi="Times New Roman"/>
          <w:sz w:val="24"/>
          <w:szCs w:val="24"/>
        </w:rPr>
        <w:t>V odseku 2 sa stanovuje pravidlo, že t</w:t>
      </w:r>
      <w:r w:rsidRPr="00526A02" w:rsidR="00EB11D4">
        <w:rPr>
          <w:rFonts w:ascii="Times New Roman" w:hAnsi="Times New Roman"/>
          <w:sz w:val="24"/>
          <w:szCs w:val="24"/>
        </w:rPr>
        <w:t>am, kde veriteľ vstúpi do záväzkového vzťahu s dlžníkom - fyzickou osobou nepodnikateľom,   pričom exekúcia voči takémuto dlžníkovi bola v čase menej ako 5 rokov pred vznikom takého záväzku  zastavená pre nedostatok majetku alebo v čase menej ako 5 rokov pred vznikom takého záväzku exekúcia voči nemu prebehla riadne a úspešne, veriteľ bude sám v celosti znášať všetky náklady  na exekúciu pohľadávok voči dlžníkovi.</w:t>
      </w:r>
    </w:p>
    <w:p w:rsidR="00FF2ED8" w:rsidRPr="00526A02" w:rsidP="000E2DDA">
      <w:pPr>
        <w:bidi w:val="0"/>
        <w:spacing w:after="0" w:line="240" w:lineRule="auto"/>
        <w:ind w:firstLine="708"/>
        <w:jc w:val="both"/>
        <w:rPr>
          <w:rFonts w:ascii="Times New Roman" w:hAnsi="Times New Roman"/>
          <w:sz w:val="24"/>
          <w:szCs w:val="24"/>
        </w:rPr>
      </w:pPr>
      <w:r w:rsidRPr="00526A02">
        <w:rPr>
          <w:rFonts w:ascii="Times New Roman" w:hAnsi="Times New Roman"/>
          <w:sz w:val="24"/>
          <w:szCs w:val="24"/>
        </w:rPr>
        <w:t>V odseku 3 sa stanovuje</w:t>
      </w:r>
      <w:r w:rsidRPr="00526A02" w:rsidR="000E2DDA">
        <w:rPr>
          <w:rFonts w:ascii="Times New Roman" w:hAnsi="Times New Roman"/>
          <w:sz w:val="24"/>
          <w:szCs w:val="24"/>
        </w:rPr>
        <w:t xml:space="preserve"> pravidlo podľa ktorého ak </w:t>
      </w:r>
      <w:r w:rsidRPr="00526A02">
        <w:rPr>
          <w:rFonts w:ascii="Times New Roman" w:hAnsi="Times New Roman"/>
          <w:sz w:val="24"/>
          <w:szCs w:val="24"/>
        </w:rPr>
        <w:t>veriteľ voči dlžníkovi v období 6 mesiacov vymáha pohľadávky vyplývajúce z totožného titulu samostatnými návrhmi na vykonanie exekúcie, bude mať nárok na náhradu trov exekúcie voči dlžníkovi iba v jednom konaní.</w:t>
      </w:r>
    </w:p>
    <w:p w:rsidR="004A1CEC" w:rsidRPr="00526A02" w:rsidP="004A1CEC">
      <w:pPr>
        <w:bidi w:val="0"/>
        <w:spacing w:after="0" w:line="259" w:lineRule="auto"/>
        <w:ind w:left="360"/>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b/>
          <w:sz w:val="24"/>
          <w:szCs w:val="24"/>
        </w:rPr>
      </w:pPr>
      <w:r w:rsidRPr="00526A02">
        <w:rPr>
          <w:rFonts w:ascii="Times New Roman" w:hAnsi="Times New Roman"/>
          <w:b/>
          <w:sz w:val="24"/>
          <w:szCs w:val="24"/>
        </w:rPr>
        <w:t>K bodu 5</w:t>
      </w:r>
    </w:p>
    <w:p w:rsidR="004A1CEC" w:rsidRPr="00526A02" w:rsidP="004A1CEC">
      <w:pPr>
        <w:bidi w:val="0"/>
        <w:spacing w:after="0" w:line="259" w:lineRule="auto"/>
        <w:ind w:firstLine="708"/>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sz w:val="24"/>
          <w:szCs w:val="24"/>
        </w:rPr>
      </w:pPr>
      <w:r w:rsidRPr="00526A02">
        <w:rPr>
          <w:rFonts w:ascii="Times New Roman" w:hAnsi="Times New Roman"/>
          <w:sz w:val="24"/>
          <w:szCs w:val="24"/>
        </w:rPr>
        <w:t xml:space="preserve">Navrhuje sa doplnenie ustanovenia týkajúceho sa výmazu z registra exekúcií v prípade zastavenia exekúcie </w:t>
      </w:r>
      <w:r w:rsidRPr="00526A02" w:rsidR="000E2DDA">
        <w:rPr>
          <w:rFonts w:ascii="Times New Roman" w:hAnsi="Times New Roman"/>
          <w:sz w:val="24"/>
          <w:szCs w:val="24"/>
        </w:rPr>
        <w:t xml:space="preserve">podľa § 61n ods. 1 písm. d) </w:t>
      </w:r>
      <w:r w:rsidRPr="00526A02">
        <w:rPr>
          <w:rFonts w:ascii="Times New Roman" w:hAnsi="Times New Roman"/>
          <w:sz w:val="24"/>
          <w:szCs w:val="24"/>
        </w:rPr>
        <w:t xml:space="preserve"> </w:t>
      </w:r>
      <w:r w:rsidRPr="00526A02" w:rsidR="000E2DDA">
        <w:rPr>
          <w:rFonts w:ascii="Times New Roman" w:hAnsi="Times New Roman"/>
          <w:sz w:val="24"/>
          <w:szCs w:val="24"/>
        </w:rPr>
        <w:t xml:space="preserve">(nedostatok majetku) </w:t>
      </w:r>
      <w:r w:rsidRPr="00526A02">
        <w:rPr>
          <w:rFonts w:ascii="Times New Roman" w:hAnsi="Times New Roman"/>
          <w:sz w:val="24"/>
          <w:szCs w:val="24"/>
        </w:rPr>
        <w:t>alebo ukončenia exekúcie</w:t>
      </w:r>
      <w:r w:rsidRPr="00526A02" w:rsidR="000E2DDA">
        <w:rPr>
          <w:rFonts w:ascii="Times New Roman" w:hAnsi="Times New Roman"/>
          <w:sz w:val="24"/>
          <w:szCs w:val="24"/>
        </w:rPr>
        <w:t xml:space="preserve"> podľa § 61o (vymoženie) tým spôsobom, že exekútor vymaže z registra všetky údaje   najskôr po uplynutí 5 rokov od jej zastavenia.</w:t>
      </w:r>
    </w:p>
    <w:p w:rsidR="004A1CEC" w:rsidRPr="00526A02" w:rsidP="004A1CEC">
      <w:pPr>
        <w:bidi w:val="0"/>
        <w:spacing w:after="0" w:line="259" w:lineRule="auto"/>
        <w:ind w:left="360"/>
        <w:jc w:val="both"/>
        <w:rPr>
          <w:rFonts w:ascii="Times New Roman" w:hAnsi="Times New Roman"/>
          <w:sz w:val="24"/>
          <w:szCs w:val="24"/>
        </w:rPr>
      </w:pPr>
    </w:p>
    <w:p w:rsidR="004A1CEC" w:rsidRPr="00526A02" w:rsidP="004A1CEC">
      <w:pPr>
        <w:bidi w:val="0"/>
        <w:spacing w:after="0" w:line="259" w:lineRule="auto"/>
        <w:ind w:firstLine="708"/>
        <w:jc w:val="both"/>
        <w:rPr>
          <w:rFonts w:ascii="Times New Roman" w:hAnsi="Times New Roman"/>
          <w:b/>
          <w:sz w:val="24"/>
          <w:szCs w:val="24"/>
        </w:rPr>
      </w:pPr>
      <w:r w:rsidRPr="00526A02">
        <w:rPr>
          <w:rFonts w:ascii="Times New Roman" w:hAnsi="Times New Roman"/>
          <w:b/>
          <w:sz w:val="24"/>
          <w:szCs w:val="24"/>
        </w:rPr>
        <w:t>K bodu 6</w:t>
      </w:r>
    </w:p>
    <w:p w:rsidR="004A1CEC" w:rsidRPr="00526A02" w:rsidP="004A1CEC">
      <w:pPr>
        <w:bidi w:val="0"/>
        <w:spacing w:after="0" w:line="259" w:lineRule="auto"/>
        <w:ind w:firstLine="708"/>
        <w:jc w:val="both"/>
        <w:rPr>
          <w:rFonts w:ascii="Times New Roman" w:hAnsi="Times New Roman"/>
          <w:sz w:val="24"/>
          <w:szCs w:val="24"/>
        </w:rPr>
      </w:pPr>
    </w:p>
    <w:p w:rsidR="009B2FB9" w:rsidRPr="00526A02" w:rsidP="009B2FB9">
      <w:pPr>
        <w:bidi w:val="0"/>
        <w:spacing w:after="5" w:line="269" w:lineRule="auto"/>
        <w:ind w:firstLine="708"/>
        <w:jc w:val="both"/>
        <w:rPr>
          <w:rFonts w:ascii="Times New Roman" w:hAnsi="Times New Roman"/>
          <w:i/>
          <w:sz w:val="24"/>
          <w:szCs w:val="24"/>
        </w:rPr>
      </w:pPr>
      <w:r w:rsidRPr="00526A02">
        <w:rPr>
          <w:rFonts w:ascii="Times New Roman" w:hAnsi="Times New Roman"/>
          <w:sz w:val="24"/>
          <w:szCs w:val="24"/>
        </w:rPr>
        <w:t xml:space="preserve">Zakotvuje sa zásada, že do 50 prístupov za jeden kalendárny rok má bezplatný prístup do registra exekúcií každý subjekt, pričom sa udeľuje zákonné splnomocnenie Ministerstvu spravodlivosti Slovenskej republiky vykonávacím predpisom ustanoviť aj vyšší rozsah týchto prístupov. </w:t>
      </w:r>
    </w:p>
    <w:p w:rsidR="004A1CEC" w:rsidRPr="00526A02" w:rsidP="004A1CEC">
      <w:pPr>
        <w:bidi w:val="0"/>
        <w:spacing w:after="0" w:line="259" w:lineRule="auto"/>
        <w:ind w:left="360"/>
        <w:jc w:val="both"/>
        <w:rPr>
          <w:rFonts w:ascii="Times New Roman" w:hAnsi="Times New Roman"/>
          <w:sz w:val="24"/>
          <w:szCs w:val="24"/>
        </w:rPr>
      </w:pPr>
    </w:p>
    <w:p w:rsidR="004A1CEC" w:rsidRPr="00526A02" w:rsidP="004A1CEC">
      <w:pPr>
        <w:bidi w:val="0"/>
        <w:spacing w:after="0" w:line="259" w:lineRule="auto"/>
        <w:ind w:firstLine="708"/>
        <w:rPr>
          <w:rFonts w:ascii="Times New Roman" w:hAnsi="Times New Roman"/>
          <w:b/>
          <w:sz w:val="24"/>
          <w:szCs w:val="24"/>
        </w:rPr>
      </w:pPr>
      <w:r w:rsidRPr="00526A02">
        <w:rPr>
          <w:rFonts w:ascii="Times New Roman" w:hAnsi="Times New Roman"/>
          <w:b/>
          <w:sz w:val="24"/>
          <w:szCs w:val="24"/>
        </w:rPr>
        <w:t>K  čl. II</w:t>
      </w:r>
    </w:p>
    <w:p w:rsidR="004A1CEC" w:rsidRPr="00526A02" w:rsidP="004A1CEC">
      <w:pPr>
        <w:bidi w:val="0"/>
        <w:spacing w:after="0" w:line="259" w:lineRule="auto"/>
        <w:ind w:left="360"/>
        <w:rPr>
          <w:rFonts w:ascii="Times New Roman" w:hAnsi="Times New Roman"/>
          <w:sz w:val="24"/>
          <w:szCs w:val="24"/>
        </w:rPr>
      </w:pPr>
    </w:p>
    <w:p w:rsidR="004A1CEC" w:rsidRPr="00526A02" w:rsidP="004A1CEC">
      <w:pPr>
        <w:bidi w:val="0"/>
        <w:spacing w:after="0" w:line="259" w:lineRule="auto"/>
        <w:ind w:firstLine="708"/>
        <w:rPr>
          <w:rFonts w:ascii="Times New Roman" w:hAnsi="Times New Roman"/>
          <w:b/>
          <w:sz w:val="24"/>
          <w:szCs w:val="24"/>
        </w:rPr>
      </w:pPr>
      <w:r w:rsidRPr="00526A02">
        <w:rPr>
          <w:rFonts w:ascii="Times New Roman" w:hAnsi="Times New Roman"/>
          <w:b/>
          <w:sz w:val="24"/>
          <w:szCs w:val="24"/>
        </w:rPr>
        <w:t>K bodu 1</w:t>
      </w:r>
    </w:p>
    <w:p w:rsidR="003438F4" w:rsidRPr="00526A02" w:rsidP="003438F4">
      <w:pPr>
        <w:bidi w:val="0"/>
        <w:spacing w:after="0" w:line="259" w:lineRule="auto"/>
        <w:rPr>
          <w:rFonts w:ascii="Times New Roman" w:hAnsi="Times New Roman"/>
          <w:sz w:val="24"/>
          <w:szCs w:val="24"/>
        </w:rPr>
      </w:pPr>
    </w:p>
    <w:p w:rsidR="004A1CEC" w:rsidRPr="00526A02" w:rsidP="003438F4">
      <w:pPr>
        <w:bidi w:val="0"/>
        <w:spacing w:after="0" w:line="259" w:lineRule="auto"/>
        <w:ind w:firstLine="708"/>
        <w:rPr>
          <w:rFonts w:ascii="Times New Roman" w:hAnsi="Times New Roman"/>
          <w:sz w:val="24"/>
          <w:szCs w:val="24"/>
        </w:rPr>
      </w:pPr>
      <w:r w:rsidRPr="00526A02" w:rsidR="003438F4">
        <w:rPr>
          <w:rFonts w:ascii="Times New Roman" w:hAnsi="Times New Roman"/>
          <w:sz w:val="24"/>
          <w:szCs w:val="24"/>
        </w:rPr>
        <w:t>Upravuje sa ustanovenie týkajúce sa povinného zastúpenia dlžníka tak, aby ním mohol byť aj advokát.</w:t>
      </w:r>
    </w:p>
    <w:p w:rsidR="003438F4" w:rsidRPr="00526A02" w:rsidP="004A1CEC">
      <w:pPr>
        <w:bidi w:val="0"/>
        <w:spacing w:after="0" w:line="259" w:lineRule="auto"/>
        <w:ind w:left="360"/>
        <w:rPr>
          <w:rFonts w:ascii="Times New Roman" w:hAnsi="Times New Roman"/>
          <w:sz w:val="24"/>
          <w:szCs w:val="24"/>
        </w:rPr>
      </w:pPr>
    </w:p>
    <w:p w:rsidR="004A1CEC" w:rsidRPr="00526A02" w:rsidP="004A1CEC">
      <w:pPr>
        <w:bidi w:val="0"/>
        <w:spacing w:after="0" w:line="259" w:lineRule="auto"/>
        <w:ind w:firstLine="708"/>
        <w:rPr>
          <w:rFonts w:ascii="Times New Roman" w:hAnsi="Times New Roman"/>
          <w:b/>
          <w:sz w:val="24"/>
          <w:szCs w:val="24"/>
        </w:rPr>
      </w:pPr>
      <w:r w:rsidRPr="00526A02">
        <w:rPr>
          <w:rFonts w:ascii="Times New Roman" w:hAnsi="Times New Roman"/>
          <w:b/>
          <w:sz w:val="24"/>
          <w:szCs w:val="24"/>
        </w:rPr>
        <w:t>K bodu 2</w:t>
      </w:r>
    </w:p>
    <w:p w:rsidR="004A1CEC" w:rsidRPr="00526A02" w:rsidP="004A1CEC">
      <w:pPr>
        <w:bidi w:val="0"/>
        <w:spacing w:after="0" w:line="259" w:lineRule="auto"/>
        <w:ind w:firstLine="708"/>
        <w:rPr>
          <w:rFonts w:ascii="Times New Roman" w:hAnsi="Times New Roman"/>
          <w:sz w:val="24"/>
          <w:szCs w:val="24"/>
        </w:rPr>
      </w:pPr>
    </w:p>
    <w:p w:rsidR="003438F4" w:rsidRPr="00526A02" w:rsidP="003438F4">
      <w:pPr>
        <w:bidi w:val="0"/>
        <w:spacing w:after="0" w:line="259" w:lineRule="auto"/>
        <w:ind w:firstLine="708"/>
        <w:jc w:val="both"/>
        <w:rPr>
          <w:rFonts w:ascii="Times New Roman" w:hAnsi="Times New Roman"/>
          <w:sz w:val="24"/>
          <w:szCs w:val="24"/>
        </w:rPr>
      </w:pPr>
      <w:r w:rsidRPr="00526A02" w:rsidR="003C33E3">
        <w:rPr>
          <w:rFonts w:ascii="Times New Roman" w:hAnsi="Times New Roman"/>
          <w:sz w:val="24"/>
          <w:szCs w:val="24"/>
        </w:rPr>
        <w:t xml:space="preserve">V novele </w:t>
      </w:r>
      <w:r w:rsidRPr="00526A02">
        <w:rPr>
          <w:rFonts w:ascii="Times New Roman" w:hAnsi="Times New Roman"/>
          <w:sz w:val="24"/>
          <w:szCs w:val="24"/>
        </w:rPr>
        <w:t>zákona o konkurze a</w:t>
      </w:r>
      <w:r w:rsidRPr="00526A02" w:rsidR="003C33E3">
        <w:rPr>
          <w:rFonts w:ascii="Times New Roman" w:hAnsi="Times New Roman"/>
          <w:sz w:val="24"/>
          <w:szCs w:val="24"/>
        </w:rPr>
        <w:t> </w:t>
      </w:r>
      <w:r w:rsidRPr="00526A02">
        <w:rPr>
          <w:rFonts w:ascii="Times New Roman" w:hAnsi="Times New Roman"/>
          <w:sz w:val="24"/>
          <w:szCs w:val="24"/>
        </w:rPr>
        <w:t>reštrukturalizácii</w:t>
      </w:r>
      <w:r w:rsidRPr="00526A02" w:rsidR="003C33E3">
        <w:rPr>
          <w:rFonts w:ascii="Times New Roman" w:hAnsi="Times New Roman"/>
          <w:sz w:val="24"/>
          <w:szCs w:val="24"/>
        </w:rPr>
        <w:t xml:space="preserve"> sa d</w:t>
      </w:r>
      <w:r w:rsidRPr="00526A02">
        <w:rPr>
          <w:rFonts w:ascii="Times New Roman" w:hAnsi="Times New Roman"/>
          <w:sz w:val="24"/>
          <w:szCs w:val="24"/>
        </w:rPr>
        <w:t xml:space="preserve">opĺňajú sa procesné postupy súdu pri vyhlasovaní konkurzu o skutočnosť, že preddavok nebude podľa novej úpravy skladať len Centrum právnej pomoci, ale aj oprávnená osoba. </w:t>
      </w:r>
    </w:p>
    <w:p w:rsidR="004A1CEC" w:rsidRPr="00526A02" w:rsidP="004A1CEC">
      <w:pPr>
        <w:bidi w:val="0"/>
        <w:spacing w:after="0" w:line="259" w:lineRule="auto"/>
        <w:ind w:firstLine="708"/>
        <w:rPr>
          <w:rFonts w:ascii="Times New Roman" w:hAnsi="Times New Roman"/>
          <w:sz w:val="24"/>
          <w:szCs w:val="24"/>
        </w:rPr>
      </w:pPr>
    </w:p>
    <w:p w:rsidR="004A1CEC" w:rsidRPr="00526A02" w:rsidP="004A1CEC">
      <w:pPr>
        <w:bidi w:val="0"/>
        <w:spacing w:after="0" w:line="259" w:lineRule="auto"/>
        <w:ind w:firstLine="708"/>
        <w:rPr>
          <w:rFonts w:ascii="Times New Roman" w:hAnsi="Times New Roman"/>
          <w:b/>
          <w:sz w:val="24"/>
          <w:szCs w:val="24"/>
        </w:rPr>
      </w:pPr>
      <w:r w:rsidRPr="00526A02">
        <w:rPr>
          <w:rFonts w:ascii="Times New Roman" w:hAnsi="Times New Roman"/>
          <w:b/>
          <w:sz w:val="24"/>
          <w:szCs w:val="24"/>
        </w:rPr>
        <w:t>K čl. III</w:t>
      </w:r>
    </w:p>
    <w:p w:rsidR="004A1CEC" w:rsidRPr="00526A02" w:rsidP="004A1CEC">
      <w:pPr>
        <w:bidi w:val="0"/>
        <w:spacing w:after="0" w:line="259" w:lineRule="auto"/>
        <w:ind w:left="360"/>
        <w:rPr>
          <w:rFonts w:ascii="Times New Roman" w:hAnsi="Times New Roman"/>
          <w:sz w:val="24"/>
          <w:szCs w:val="24"/>
        </w:rPr>
      </w:pPr>
    </w:p>
    <w:p w:rsidR="004A1CEC" w:rsidRPr="00526A02" w:rsidP="004A1CEC">
      <w:pPr>
        <w:bidi w:val="0"/>
        <w:spacing w:after="19" w:line="259" w:lineRule="auto"/>
        <w:ind w:firstLine="708"/>
        <w:jc w:val="both"/>
        <w:rPr>
          <w:rFonts w:ascii="Times New Roman" w:hAnsi="Times New Roman"/>
          <w:sz w:val="24"/>
          <w:szCs w:val="24"/>
        </w:rPr>
      </w:pPr>
      <w:r w:rsidRPr="00526A02">
        <w:rPr>
          <w:rFonts w:ascii="Times New Roman" w:hAnsi="Times New Roman"/>
          <w:sz w:val="24"/>
          <w:szCs w:val="24"/>
        </w:rPr>
        <w:t xml:space="preserve">Navrhuje sa doplnenie </w:t>
      </w:r>
      <w:r w:rsidRPr="00526A02" w:rsidR="003C33E3">
        <w:rPr>
          <w:rFonts w:ascii="Times New Roman" w:hAnsi="Times New Roman"/>
          <w:sz w:val="24"/>
          <w:szCs w:val="24"/>
        </w:rPr>
        <w:t xml:space="preserve">zákona o poskytovaní právnej pomoci osobám v materiálnej núdzi </w:t>
      </w:r>
      <w:r w:rsidRPr="00526A02">
        <w:rPr>
          <w:rFonts w:ascii="Times New Roman" w:hAnsi="Times New Roman"/>
          <w:sz w:val="24"/>
          <w:szCs w:val="24"/>
        </w:rPr>
        <w:t>ustanovenia týkajúceho sa spôsobu úhrady preddavku tak, aby</w:t>
      </w:r>
      <w:r w:rsidRPr="00526A02" w:rsidR="003C33E3">
        <w:rPr>
          <w:rFonts w:ascii="Times New Roman" w:hAnsi="Times New Roman"/>
          <w:sz w:val="24"/>
          <w:szCs w:val="24"/>
        </w:rPr>
        <w:t xml:space="preserve"> splátkový kalendár bolo možné v prípadoch hodných osobitného zreteľa predĺžiť na 5 rokov alebo odpustiť. </w:t>
      </w:r>
    </w:p>
    <w:p w:rsidR="004A1CEC" w:rsidRPr="00526A02" w:rsidP="004A1CEC">
      <w:pPr>
        <w:bidi w:val="0"/>
        <w:spacing w:after="0" w:line="259" w:lineRule="auto"/>
        <w:ind w:left="360"/>
        <w:rPr>
          <w:rFonts w:ascii="Times New Roman" w:hAnsi="Times New Roman"/>
          <w:sz w:val="24"/>
          <w:szCs w:val="24"/>
        </w:rPr>
      </w:pPr>
    </w:p>
    <w:p w:rsidR="004A1CEC" w:rsidRPr="00526A02" w:rsidP="004A1CEC">
      <w:pPr>
        <w:bidi w:val="0"/>
        <w:spacing w:after="0" w:line="259" w:lineRule="auto"/>
        <w:ind w:firstLine="708"/>
        <w:rPr>
          <w:rFonts w:ascii="Times New Roman" w:hAnsi="Times New Roman"/>
          <w:b/>
          <w:sz w:val="24"/>
          <w:szCs w:val="24"/>
        </w:rPr>
      </w:pPr>
      <w:r w:rsidRPr="00526A02">
        <w:rPr>
          <w:rFonts w:ascii="Times New Roman" w:hAnsi="Times New Roman"/>
          <w:b/>
          <w:sz w:val="24"/>
          <w:szCs w:val="24"/>
        </w:rPr>
        <w:t>K čl. IV</w:t>
      </w:r>
    </w:p>
    <w:p w:rsidR="00D41D9E" w:rsidRPr="00526A02" w:rsidP="00437642">
      <w:pPr>
        <w:bidi w:val="0"/>
        <w:spacing w:after="0" w:line="240" w:lineRule="auto"/>
        <w:jc w:val="both"/>
        <w:rPr>
          <w:rFonts w:ascii="Times New Roman" w:hAnsi="Times New Roman"/>
          <w:b/>
          <w:sz w:val="24"/>
          <w:szCs w:val="24"/>
        </w:rPr>
      </w:pPr>
    </w:p>
    <w:p w:rsidR="00D41D9E" w:rsidRPr="00526A02" w:rsidP="00437642">
      <w:pPr>
        <w:bidi w:val="0"/>
        <w:spacing w:after="0" w:line="240" w:lineRule="auto"/>
        <w:ind w:firstLine="708"/>
        <w:jc w:val="both"/>
        <w:rPr>
          <w:rFonts w:ascii="Times New Roman" w:hAnsi="Times New Roman"/>
          <w:sz w:val="24"/>
          <w:szCs w:val="24"/>
        </w:rPr>
      </w:pPr>
      <w:r w:rsidRPr="00526A02">
        <w:rPr>
          <w:rFonts w:ascii="Times New Roman" w:hAnsi="Times New Roman"/>
          <w:sz w:val="24"/>
          <w:szCs w:val="24"/>
        </w:rPr>
        <w:t xml:space="preserve">Navrhuje sa nadobudnutie účinnosti novely zákona na 1. </w:t>
      </w:r>
      <w:r w:rsidRPr="00526A02" w:rsidR="0055749D">
        <w:rPr>
          <w:rFonts w:ascii="Times New Roman" w:hAnsi="Times New Roman"/>
          <w:sz w:val="24"/>
          <w:szCs w:val="24"/>
        </w:rPr>
        <w:t xml:space="preserve">december </w:t>
      </w:r>
      <w:r w:rsidRPr="00526A02">
        <w:rPr>
          <w:rFonts w:ascii="Times New Roman" w:hAnsi="Times New Roman"/>
          <w:sz w:val="24"/>
          <w:szCs w:val="24"/>
        </w:rPr>
        <w:t>201</w:t>
      </w:r>
      <w:r w:rsidRPr="00526A02" w:rsidR="0055749D">
        <w:rPr>
          <w:rFonts w:ascii="Times New Roman" w:hAnsi="Times New Roman"/>
          <w:sz w:val="24"/>
          <w:szCs w:val="24"/>
        </w:rPr>
        <w:t>8</w:t>
      </w:r>
      <w:r w:rsidRPr="00526A02">
        <w:rPr>
          <w:rFonts w:ascii="Times New Roman" w:hAnsi="Times New Roman"/>
          <w:sz w:val="24"/>
          <w:szCs w:val="24"/>
        </w:rPr>
        <w:t>.</w:t>
      </w:r>
    </w:p>
    <w:p w:rsidR="00D41D9E"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p>
    <w:p w:rsidR="00C978DA" w:rsidRPr="00526A02" w:rsidP="00437642">
      <w:pPr>
        <w:bidi w:val="0"/>
        <w:spacing w:after="0" w:line="240" w:lineRule="auto"/>
        <w:ind w:firstLine="708"/>
        <w:jc w:val="both"/>
        <w:rPr>
          <w:rFonts w:ascii="Times New Roman" w:hAnsi="Times New Roman"/>
          <w:sz w:val="24"/>
          <w:szCs w:val="24"/>
        </w:rPr>
      </w:pPr>
      <w:r w:rsidRPr="00526A02" w:rsidR="00C25F9C">
        <w:rPr>
          <w:rFonts w:ascii="Times New Roman" w:hAnsi="Times New Roman"/>
          <w:sz w:val="24"/>
          <w:szCs w:val="24"/>
        </w:rPr>
        <w:tab/>
      </w:r>
      <w:r w:rsidRPr="00526A02">
        <w:rPr>
          <w:rFonts w:ascii="Times New Roman" w:hAnsi="Times New Roman"/>
          <w:sz w:val="24"/>
          <w:szCs w:val="24"/>
        </w:rPr>
        <w:tab/>
        <w:tab/>
        <w:tab/>
        <w:tab/>
        <w:tab/>
        <w:tab/>
        <w:tab/>
        <w:tab/>
        <w:tab/>
      </w:r>
      <w:r w:rsidRPr="00526A02" w:rsidR="00C25F9C">
        <w:rPr>
          <w:rFonts w:ascii="Times New Roman" w:hAnsi="Times New Roman"/>
          <w:sz w:val="24"/>
          <w:szCs w:val="24"/>
        </w:rPr>
        <w:t xml:space="preserve">      </w:t>
      </w:r>
      <w:r w:rsidRPr="00526A02">
        <w:rPr>
          <w:rFonts w:ascii="Times New Roman" w:hAnsi="Times New Roman"/>
          <w:sz w:val="24"/>
          <w:szCs w:val="24"/>
        </w:rPr>
        <w:t>Príloha</w:t>
      </w:r>
    </w:p>
    <w:p w:rsidR="00C978DA" w:rsidRPr="00526A02" w:rsidP="00C978DA">
      <w:pPr>
        <w:pStyle w:val="Heading2"/>
        <w:bidi w:val="0"/>
        <w:spacing w:after="0"/>
        <w:jc w:val="center"/>
        <w:rPr>
          <w:rFonts w:ascii="Times New Roman" w:hAnsi="Times New Roman"/>
          <w:b w:val="0"/>
          <w:i/>
          <w:sz w:val="24"/>
        </w:rPr>
      </w:pPr>
      <w:r w:rsidRPr="00526A02">
        <w:rPr>
          <w:rFonts w:ascii="Times New Roman" w:hAnsi="Times New Roman"/>
          <w:b w:val="0"/>
          <w:i/>
          <w:sz w:val="24"/>
        </w:rPr>
        <w:t>Informatívny návrh podzákonnej normy</w:t>
      </w:r>
    </w:p>
    <w:p w:rsidR="00C978DA" w:rsidRPr="00526A02" w:rsidP="00C978DA">
      <w:pPr>
        <w:pStyle w:val="Heading2"/>
        <w:bidi w:val="0"/>
        <w:spacing w:after="0"/>
        <w:jc w:val="center"/>
        <w:rPr>
          <w:rFonts w:ascii="Times New Roman" w:hAnsi="Times New Roman"/>
          <w:sz w:val="24"/>
        </w:rPr>
      </w:pPr>
      <w:r w:rsidRPr="00526A02">
        <w:rPr>
          <w:rFonts w:ascii="Times New Roman" w:hAnsi="Times New Roman"/>
          <w:sz w:val="24"/>
        </w:rPr>
        <w:t xml:space="preserve">Vyhláška </w:t>
      </w:r>
    </w:p>
    <w:p w:rsidR="00C978DA" w:rsidRPr="00526A02" w:rsidP="00C978DA">
      <w:pPr>
        <w:widowControl w:val="0"/>
        <w:autoSpaceDE w:val="0"/>
        <w:autoSpaceDN w:val="0"/>
        <w:bidi w:val="0"/>
        <w:adjustRightInd w:val="0"/>
        <w:spacing w:after="0" w:line="240" w:lineRule="auto"/>
        <w:jc w:val="center"/>
        <w:rPr>
          <w:rFonts w:ascii="Times New Roman" w:hAnsi="Times New Roman"/>
          <w:b/>
          <w:sz w:val="24"/>
        </w:rPr>
      </w:pPr>
      <w:r w:rsidRPr="00526A02">
        <w:rPr>
          <w:rFonts w:ascii="Times New Roman" w:hAnsi="Times New Roman"/>
          <w:b/>
          <w:sz w:val="24"/>
        </w:rPr>
        <w:t xml:space="preserve">Ministerstva spravodlivosti Slovenskej republiky </w:t>
      </w:r>
    </w:p>
    <w:p w:rsidR="00C978DA" w:rsidRPr="00526A02" w:rsidP="00C978DA">
      <w:pPr>
        <w:widowControl w:val="0"/>
        <w:autoSpaceDE w:val="0"/>
        <w:autoSpaceDN w:val="0"/>
        <w:bidi w:val="0"/>
        <w:adjustRightInd w:val="0"/>
        <w:spacing w:after="0" w:line="240" w:lineRule="auto"/>
        <w:jc w:val="center"/>
        <w:rPr>
          <w:rFonts w:ascii="Times New Roman" w:hAnsi="Times New Roman"/>
          <w:b/>
          <w:bCs/>
        </w:rPr>
      </w:pPr>
    </w:p>
    <w:p w:rsidR="00C978DA" w:rsidRPr="00526A02" w:rsidP="00C978DA">
      <w:pPr>
        <w:bidi w:val="0"/>
        <w:spacing w:after="4" w:line="240" w:lineRule="auto"/>
        <w:ind w:left="388" w:right="23"/>
        <w:jc w:val="center"/>
        <w:rPr>
          <w:b/>
        </w:rPr>
      </w:pPr>
      <w:r w:rsidRPr="00526A02">
        <w:rPr>
          <w:rFonts w:ascii="Times New Roman" w:hAnsi="Times New Roman"/>
          <w:b/>
          <w:sz w:val="24"/>
        </w:rPr>
        <w:t xml:space="preserve">z .............. 2018, </w:t>
      </w:r>
    </w:p>
    <w:p w:rsidR="00C978DA" w:rsidRPr="00526A02" w:rsidP="00C978DA">
      <w:pPr>
        <w:bidi w:val="0"/>
        <w:spacing w:after="0" w:line="240" w:lineRule="auto"/>
        <w:ind w:left="417"/>
        <w:jc w:val="center"/>
        <w:rPr>
          <w:b/>
        </w:rPr>
      </w:pPr>
      <w:r w:rsidRPr="00526A02">
        <w:rPr>
          <w:rFonts w:ascii="Times New Roman" w:hAnsi="Times New Roman"/>
          <w:b/>
          <w:sz w:val="24"/>
        </w:rPr>
        <w:t xml:space="preserve"> </w:t>
      </w:r>
    </w:p>
    <w:p w:rsidR="00C978DA" w:rsidRPr="00526A02" w:rsidP="00C978DA">
      <w:pPr>
        <w:bidi w:val="0"/>
        <w:spacing w:after="0" w:line="240" w:lineRule="auto"/>
        <w:ind w:left="417"/>
        <w:jc w:val="center"/>
        <w:rPr>
          <w:b/>
        </w:rPr>
      </w:pPr>
      <w:r w:rsidRPr="00526A02">
        <w:rPr>
          <w:rFonts w:ascii="Times New Roman" w:hAnsi="Times New Roman"/>
          <w:b/>
          <w:sz w:val="24"/>
        </w:rPr>
        <w:t xml:space="preserve"> ktorou sa mení a dopĺňa Vyhláška Ministerstva spravodlivosti Slovenskej republiky č. 355/2014 Z. z. o centrálnom registri exekúcií </w:t>
      </w:r>
    </w:p>
    <w:p w:rsidR="00C978DA" w:rsidRPr="00526A02" w:rsidP="00C978DA">
      <w:pPr>
        <w:bidi w:val="0"/>
        <w:spacing w:after="0" w:line="240" w:lineRule="auto"/>
        <w:ind w:left="417"/>
        <w:jc w:val="center"/>
        <w:rPr>
          <w:b/>
        </w:rPr>
      </w:pPr>
      <w:r w:rsidRPr="00526A02">
        <w:rPr>
          <w:rFonts w:ascii="Times New Roman" w:hAnsi="Times New Roman"/>
          <w:b/>
          <w:sz w:val="24"/>
        </w:rPr>
        <w:t xml:space="preserve"> </w:t>
      </w:r>
    </w:p>
    <w:p w:rsidR="00C978DA" w:rsidRPr="00526A02" w:rsidP="00C978DA">
      <w:pPr>
        <w:bidi w:val="0"/>
        <w:spacing w:after="0" w:line="240" w:lineRule="auto"/>
        <w:ind w:left="360"/>
      </w:pPr>
      <w:r w:rsidRPr="00526A02">
        <w:rPr>
          <w:rFonts w:ascii="Times New Roman" w:hAnsi="Times New Roman"/>
          <w:b/>
          <w:sz w:val="24"/>
        </w:rPr>
        <w:t xml:space="preserve"> </w:t>
        <w:tab/>
      </w:r>
      <w:r w:rsidRPr="00526A02">
        <w:rPr>
          <w:rFonts w:ascii="Times New Roman" w:hAnsi="Times New Roman"/>
          <w:sz w:val="24"/>
        </w:rPr>
        <w:t xml:space="preserve">Ministerstvo spravodlivosti Slovenskej republiky ustanovuje:  </w:t>
      </w:r>
    </w:p>
    <w:p w:rsidR="00C978DA" w:rsidRPr="00526A02" w:rsidP="00C978DA">
      <w:pPr>
        <w:bidi w:val="0"/>
        <w:spacing w:after="0" w:line="240" w:lineRule="auto"/>
        <w:ind w:left="360"/>
      </w:pPr>
      <w:r w:rsidRPr="00526A02">
        <w:rPr>
          <w:rFonts w:ascii="Times New Roman" w:hAnsi="Times New Roman"/>
          <w:sz w:val="24"/>
        </w:rPr>
        <w:t xml:space="preserve"> </w:t>
      </w:r>
    </w:p>
    <w:p w:rsidR="00C978DA" w:rsidRPr="00526A02" w:rsidP="00C978DA">
      <w:pPr>
        <w:bidi w:val="0"/>
        <w:spacing w:after="17" w:line="240" w:lineRule="auto"/>
        <w:ind w:left="360"/>
        <w:jc w:val="center"/>
        <w:rPr>
          <w:b/>
        </w:rPr>
      </w:pPr>
      <w:r w:rsidRPr="00526A02">
        <w:rPr>
          <w:rFonts w:ascii="Times New Roman" w:hAnsi="Times New Roman"/>
          <w:b/>
          <w:sz w:val="24"/>
        </w:rPr>
        <w:t>Čl. I</w:t>
      </w:r>
    </w:p>
    <w:p w:rsidR="00C978DA" w:rsidRPr="00526A02" w:rsidP="00C978DA">
      <w:pPr>
        <w:bidi w:val="0"/>
        <w:spacing w:after="0" w:line="240" w:lineRule="auto"/>
        <w:ind w:left="360"/>
      </w:pPr>
      <w:r w:rsidRPr="00526A02">
        <w:rPr>
          <w:rFonts w:ascii="Times New Roman" w:hAnsi="Times New Roman"/>
          <w:sz w:val="24"/>
        </w:rPr>
        <w:t xml:space="preserve"> </w:t>
      </w:r>
    </w:p>
    <w:p w:rsidR="00C978DA" w:rsidRPr="00526A02" w:rsidP="00C978DA">
      <w:pPr>
        <w:bidi w:val="0"/>
        <w:spacing w:after="5" w:line="240" w:lineRule="auto"/>
        <w:ind w:firstLine="708"/>
        <w:jc w:val="both"/>
      </w:pPr>
      <w:r w:rsidRPr="00526A02">
        <w:rPr>
          <w:rFonts w:ascii="Times New Roman" w:hAnsi="Times New Roman"/>
          <w:sz w:val="24"/>
        </w:rPr>
        <w:t xml:space="preserve">Vyhláška Ministerstva spravodlivosti Slovenskej republiky č. 355/2014 Z. z.                       o centrálnom registri exekúcií sa mení a dopĺňa takto: </w:t>
      </w:r>
    </w:p>
    <w:p w:rsidR="00C978DA" w:rsidRPr="00526A02" w:rsidP="00C978DA">
      <w:pPr>
        <w:bidi w:val="0"/>
        <w:spacing w:after="0" w:line="240" w:lineRule="auto"/>
        <w:ind w:left="360"/>
        <w:rPr>
          <w:rFonts w:ascii="Times New Roman" w:hAnsi="Times New Roman"/>
          <w:sz w:val="24"/>
          <w:szCs w:val="24"/>
        </w:rPr>
      </w:pPr>
      <w:r w:rsidRPr="00526A02">
        <w:rPr>
          <w:rFonts w:ascii="Times New Roman" w:hAnsi="Times New Roman"/>
          <w:sz w:val="24"/>
        </w:rPr>
        <w:t xml:space="preserve">  </w:t>
      </w:r>
    </w:p>
    <w:p w:rsidR="00C978DA" w:rsidRPr="00526A02" w:rsidP="00C978DA">
      <w:pPr>
        <w:pStyle w:val="ListParagraph"/>
        <w:numPr>
          <w:numId w:val="44"/>
        </w:numPr>
        <w:tabs>
          <w:tab w:val="center" w:pos="450"/>
          <w:tab w:val="center" w:pos="2332"/>
        </w:tabs>
        <w:bidi w:val="0"/>
        <w:spacing w:after="5" w:line="240" w:lineRule="auto"/>
        <w:rPr>
          <w:rFonts w:ascii="Times New Roman" w:hAnsi="Times New Roman"/>
          <w:sz w:val="24"/>
          <w:szCs w:val="24"/>
        </w:rPr>
      </w:pPr>
      <w:r w:rsidRPr="00526A02">
        <w:rPr>
          <w:rFonts w:ascii="Times New Roman" w:hAnsi="Times New Roman"/>
          <w:sz w:val="24"/>
          <w:szCs w:val="24"/>
        </w:rPr>
        <w:t xml:space="preserve">V § 3 ods. 2 písmeno a) znie: </w:t>
      </w:r>
    </w:p>
    <w:p w:rsidR="00C978DA" w:rsidRPr="00526A02" w:rsidP="00C978DA">
      <w:pPr>
        <w:bidi w:val="0"/>
        <w:spacing w:after="5" w:line="240" w:lineRule="auto"/>
        <w:ind w:left="355"/>
        <w:rPr>
          <w:rFonts w:ascii="Times New Roman" w:hAnsi="Times New Roman"/>
          <w:sz w:val="24"/>
          <w:szCs w:val="24"/>
        </w:rPr>
      </w:pPr>
    </w:p>
    <w:p w:rsidR="00C978DA" w:rsidRPr="00526A02" w:rsidP="00C978DA">
      <w:pPr>
        <w:bidi w:val="0"/>
        <w:spacing w:after="5" w:line="240" w:lineRule="auto"/>
        <w:ind w:left="355"/>
        <w:rPr>
          <w:rFonts w:ascii="Times New Roman" w:hAnsi="Times New Roman"/>
          <w:sz w:val="24"/>
          <w:szCs w:val="24"/>
        </w:rPr>
      </w:pPr>
      <w:r w:rsidRPr="00526A02">
        <w:rPr>
          <w:rFonts w:ascii="Times New Roman" w:hAnsi="Times New Roman"/>
          <w:sz w:val="24"/>
          <w:szCs w:val="24"/>
        </w:rPr>
        <w:t>„a) do 50 prístupov.....................................bezplatne,“.</w:t>
      </w:r>
    </w:p>
    <w:p w:rsidR="00C978DA" w:rsidRPr="00526A02" w:rsidP="00C978DA">
      <w:pPr>
        <w:bidi w:val="0"/>
        <w:spacing w:after="23" w:line="240" w:lineRule="auto"/>
        <w:ind w:left="360"/>
        <w:rPr>
          <w:rFonts w:ascii="Times New Roman" w:hAnsi="Times New Roman"/>
          <w:sz w:val="24"/>
          <w:szCs w:val="24"/>
        </w:rPr>
      </w:pPr>
      <w:r w:rsidRPr="00526A02">
        <w:rPr>
          <w:rFonts w:ascii="Times New Roman" w:hAnsi="Times New Roman"/>
          <w:sz w:val="24"/>
          <w:szCs w:val="24"/>
        </w:rPr>
        <w:t xml:space="preserve"> </w:t>
      </w:r>
    </w:p>
    <w:p w:rsidR="00C978DA" w:rsidRPr="00526A02" w:rsidP="00C978DA">
      <w:pPr>
        <w:pStyle w:val="ListParagraph"/>
        <w:numPr>
          <w:numId w:val="44"/>
        </w:numPr>
        <w:bidi w:val="0"/>
        <w:spacing w:after="5" w:line="240" w:lineRule="auto"/>
        <w:jc w:val="both"/>
        <w:rPr>
          <w:rFonts w:ascii="Times New Roman" w:hAnsi="Times New Roman"/>
          <w:sz w:val="24"/>
          <w:szCs w:val="24"/>
        </w:rPr>
      </w:pPr>
      <w:r w:rsidRPr="00526A02">
        <w:rPr>
          <w:rFonts w:ascii="Times New Roman" w:hAnsi="Times New Roman"/>
          <w:sz w:val="24"/>
          <w:szCs w:val="24"/>
        </w:rPr>
        <w:t xml:space="preserve">V § 3 ods. 2 sa za písmeno a) vkladá nové písmeno b), ktoré znie: </w:t>
      </w:r>
    </w:p>
    <w:p w:rsidR="00C978DA" w:rsidRPr="00526A02" w:rsidP="00C978DA">
      <w:pPr>
        <w:bidi w:val="0"/>
        <w:spacing w:after="23" w:line="240" w:lineRule="auto"/>
        <w:ind w:left="360"/>
        <w:rPr>
          <w:rFonts w:ascii="Times New Roman" w:hAnsi="Times New Roman"/>
          <w:sz w:val="24"/>
          <w:szCs w:val="24"/>
        </w:rPr>
      </w:pPr>
      <w:r w:rsidRPr="00526A02">
        <w:rPr>
          <w:rFonts w:ascii="Times New Roman" w:hAnsi="Times New Roman"/>
          <w:sz w:val="24"/>
          <w:szCs w:val="24"/>
        </w:rPr>
        <w:t xml:space="preserve"> </w:t>
      </w:r>
    </w:p>
    <w:p w:rsidR="00C978DA" w:rsidRPr="00526A02" w:rsidP="00C978DA">
      <w:pPr>
        <w:bidi w:val="0"/>
        <w:spacing w:after="23" w:line="240" w:lineRule="auto"/>
        <w:ind w:left="360"/>
        <w:rPr>
          <w:rFonts w:ascii="Times New Roman" w:hAnsi="Times New Roman"/>
          <w:sz w:val="24"/>
          <w:szCs w:val="24"/>
        </w:rPr>
      </w:pPr>
      <w:r w:rsidRPr="00526A02">
        <w:rPr>
          <w:rFonts w:ascii="Times New Roman" w:hAnsi="Times New Roman"/>
          <w:sz w:val="24"/>
          <w:szCs w:val="24"/>
        </w:rPr>
        <w:t xml:space="preserve">„b) od 51 do 500 prístupov..................................... 2 eurá,“. </w:t>
      </w:r>
    </w:p>
    <w:p w:rsidR="00C978DA" w:rsidRPr="00526A02" w:rsidP="00C978DA">
      <w:pPr>
        <w:bidi w:val="0"/>
        <w:spacing w:after="23" w:line="240" w:lineRule="auto"/>
        <w:ind w:left="1080"/>
        <w:rPr>
          <w:rFonts w:ascii="Times New Roman" w:hAnsi="Times New Roman"/>
          <w:sz w:val="24"/>
          <w:szCs w:val="24"/>
        </w:rPr>
      </w:pPr>
      <w:r w:rsidRPr="00526A02">
        <w:rPr>
          <w:rFonts w:ascii="Times New Roman" w:hAnsi="Times New Roman"/>
          <w:sz w:val="24"/>
          <w:szCs w:val="24"/>
        </w:rPr>
        <w:t xml:space="preserve"> </w:t>
      </w:r>
    </w:p>
    <w:p w:rsidR="00C978DA" w:rsidRPr="00526A02" w:rsidP="00C978DA">
      <w:pPr>
        <w:bidi w:val="0"/>
        <w:spacing w:after="5" w:line="240" w:lineRule="auto"/>
        <w:ind w:left="355"/>
        <w:rPr>
          <w:rFonts w:ascii="Times New Roman" w:hAnsi="Times New Roman"/>
          <w:sz w:val="24"/>
          <w:szCs w:val="24"/>
        </w:rPr>
      </w:pPr>
      <w:r w:rsidRPr="00526A02">
        <w:rPr>
          <w:rFonts w:ascii="Times New Roman" w:hAnsi="Times New Roman"/>
          <w:sz w:val="24"/>
          <w:szCs w:val="24"/>
        </w:rPr>
        <w:t xml:space="preserve">Doterajšie písmená b) až e) sa označujú ako c) až f) . </w:t>
      </w:r>
    </w:p>
    <w:p w:rsidR="00C978DA" w:rsidRPr="00526A02" w:rsidP="00C978DA">
      <w:pPr>
        <w:bidi w:val="0"/>
        <w:spacing w:after="0" w:line="240" w:lineRule="auto"/>
        <w:ind w:left="360"/>
        <w:rPr>
          <w:rFonts w:ascii="Times New Roman" w:hAnsi="Times New Roman"/>
          <w:sz w:val="24"/>
          <w:szCs w:val="24"/>
        </w:rPr>
      </w:pPr>
      <w:r w:rsidRPr="00526A02">
        <w:rPr>
          <w:rFonts w:ascii="Times New Roman" w:hAnsi="Times New Roman"/>
          <w:sz w:val="24"/>
          <w:szCs w:val="24"/>
        </w:rPr>
        <w:t xml:space="preserve"> </w:t>
      </w:r>
    </w:p>
    <w:p w:rsidR="00C978DA" w:rsidRPr="00526A02" w:rsidP="00C978DA">
      <w:pPr>
        <w:bidi w:val="0"/>
        <w:spacing w:after="0" w:line="240" w:lineRule="auto"/>
        <w:ind w:left="360"/>
        <w:jc w:val="center"/>
        <w:rPr>
          <w:b/>
        </w:rPr>
      </w:pPr>
      <w:r w:rsidRPr="00526A02">
        <w:rPr>
          <w:rFonts w:ascii="Times New Roman" w:hAnsi="Times New Roman"/>
          <w:b/>
          <w:sz w:val="24"/>
        </w:rPr>
        <w:t>Čl. II</w:t>
      </w:r>
    </w:p>
    <w:p w:rsidR="00C978DA" w:rsidRPr="00526A02" w:rsidP="00C978DA">
      <w:pPr>
        <w:bidi w:val="0"/>
        <w:spacing w:after="21" w:line="240" w:lineRule="auto"/>
        <w:ind w:left="360"/>
      </w:pPr>
      <w:r w:rsidRPr="00526A02">
        <w:rPr>
          <w:rFonts w:ascii="Times New Roman" w:hAnsi="Times New Roman"/>
          <w:sz w:val="24"/>
        </w:rPr>
        <w:t xml:space="preserve">     </w:t>
      </w:r>
    </w:p>
    <w:p w:rsidR="00C978DA" w:rsidRPr="00526A02" w:rsidP="00C978DA">
      <w:pPr>
        <w:bidi w:val="0"/>
        <w:spacing w:after="5" w:line="240" w:lineRule="auto"/>
        <w:ind w:left="355" w:firstLine="353"/>
        <w:rPr>
          <w:rFonts w:ascii="Times New Roman" w:hAnsi="Times New Roman"/>
          <w:sz w:val="24"/>
        </w:rPr>
      </w:pPr>
      <w:r w:rsidRPr="00526A02">
        <w:rPr>
          <w:rFonts w:ascii="Times New Roman" w:hAnsi="Times New Roman"/>
          <w:sz w:val="24"/>
        </w:rPr>
        <w:t xml:space="preserve">Táto vyhláška nadobúda účinnosť 1. decembra 2018. </w:t>
      </w:r>
    </w:p>
    <w:p w:rsidR="00C978DA" w:rsidRPr="00526A02" w:rsidP="00C978DA">
      <w:pPr>
        <w:bidi w:val="0"/>
        <w:spacing w:after="5" w:line="269" w:lineRule="auto"/>
        <w:ind w:left="355"/>
        <w:rPr>
          <w:rFonts w:ascii="Times New Roman" w:hAnsi="Times New Roman"/>
          <w:sz w:val="24"/>
        </w:rPr>
      </w:pPr>
    </w:p>
    <w:p w:rsidR="00C978DA" w:rsidRPr="00526A02" w:rsidP="00C978DA">
      <w:pPr>
        <w:bidi w:val="0"/>
        <w:spacing w:after="5" w:line="269" w:lineRule="auto"/>
        <w:ind w:left="355" w:firstLine="353"/>
        <w:rPr>
          <w:rFonts w:ascii="Times New Roman" w:hAnsi="Times New Roman"/>
          <w:sz w:val="24"/>
          <w:u w:val="single"/>
        </w:rPr>
      </w:pPr>
      <w:r w:rsidRPr="00526A02" w:rsidR="00241A27">
        <w:rPr>
          <w:rFonts w:ascii="Times New Roman" w:hAnsi="Times New Roman"/>
          <w:sz w:val="24"/>
          <w:u w:val="single"/>
        </w:rPr>
        <w:t>Poznámka</w:t>
      </w:r>
      <w:r w:rsidRPr="00526A02">
        <w:rPr>
          <w:rFonts w:ascii="Times New Roman" w:hAnsi="Times New Roman"/>
          <w:sz w:val="24"/>
          <w:u w:val="single"/>
        </w:rPr>
        <w:t>:</w:t>
      </w:r>
    </w:p>
    <w:p w:rsidR="00C978DA" w:rsidRPr="00526A02" w:rsidP="00C978DA">
      <w:pPr>
        <w:bidi w:val="0"/>
        <w:spacing w:after="5" w:line="269" w:lineRule="auto"/>
        <w:ind w:left="355"/>
        <w:rPr>
          <w:rFonts w:ascii="Times New Roman" w:hAnsi="Times New Roman"/>
          <w:sz w:val="24"/>
          <w:u w:val="single"/>
        </w:rPr>
      </w:pPr>
    </w:p>
    <w:p w:rsidR="00C978DA" w:rsidRPr="00526A02" w:rsidP="00C978DA">
      <w:pPr>
        <w:pStyle w:val="BodyText"/>
        <w:bidi w:val="0"/>
        <w:ind w:firstLine="708"/>
        <w:jc w:val="both"/>
        <w:rPr>
          <w:rFonts w:ascii="Times New Roman" w:hAnsi="Times New Roman"/>
          <w:b w:val="0"/>
        </w:rPr>
      </w:pPr>
      <w:r w:rsidRPr="00526A02">
        <w:rPr>
          <w:rFonts w:ascii="Times New Roman" w:hAnsi="Times New Roman"/>
          <w:b w:val="0"/>
        </w:rPr>
        <w:t xml:space="preserve">Predložený návrh vyhlášky nadväzuje na samotný poslanecký návrh, ktorým sa navrhuje sada opatrení na zlepšenie právneho postavenia exekuovaných osôb bez toho, aby došlo k exekučnej amnestii. Informatívny charakter navrhovanej vyhlášky spočíva v tom, že kompetentným subjektom na jej vydanie je Ministerstvo spravodlivosti Slovenskej republiky a nie Národná rada Slovenskej republiky. </w:t>
      </w:r>
    </w:p>
    <w:p w:rsidR="00C978DA" w:rsidRPr="00526A02" w:rsidP="00C978DA">
      <w:pPr>
        <w:pStyle w:val="BodyText"/>
        <w:bidi w:val="0"/>
        <w:ind w:firstLine="708"/>
        <w:jc w:val="both"/>
        <w:rPr>
          <w:rFonts w:ascii="Times New Roman" w:hAnsi="Times New Roman"/>
          <w:b w:val="0"/>
        </w:rPr>
      </w:pPr>
    </w:p>
    <w:p w:rsidR="00C978DA" w:rsidRPr="00526A02" w:rsidP="00437642">
      <w:pPr>
        <w:bidi w:val="0"/>
        <w:spacing w:after="0" w:line="240" w:lineRule="auto"/>
        <w:ind w:firstLine="708"/>
        <w:jc w:val="both"/>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FF" w:csb1="00000000"/>
  </w:font>
  <w:font w:name="Segoe UI">
    <w:altName w:val="Arial"/>
    <w:panose1 w:val="00000000000000000000"/>
    <w:charset w:val="EE"/>
    <w:family w:val="swiss"/>
    <w:pitch w:val="variable"/>
    <w:sig w:usb0="00000000" w:usb1="00000000" w:usb2="00000000" w:usb3="00000000" w:csb0="000001FF" w:csb1="00000000"/>
  </w:font>
  <w:font w:name="Trebuchet MS">
    <w:panose1 w:val="00000000000000000000"/>
    <w:charset w:val="EE"/>
    <w:family w:val="swiss"/>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48">
    <w:pPr>
      <w:pStyle w:val="Header"/>
      <w:bidi w:val="0"/>
    </w:pPr>
  </w:p>
  <w:p w:rsidR="00835248">
    <w:pPr>
      <w:pStyle w:val="Header"/>
      <w:bidi w:val="0"/>
    </w:pPr>
  </w:p>
  <w:p w:rsidR="00835248">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831"/>
    <w:multiLevelType w:val="hybridMultilevel"/>
    <w:tmpl w:val="C4C43D30"/>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BC3FFE"/>
    <w:multiLevelType w:val="hybridMultilevel"/>
    <w:tmpl w:val="32C64E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56310C"/>
    <w:multiLevelType w:val="hybridMultilevel"/>
    <w:tmpl w:val="12629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A8437F"/>
    <w:multiLevelType w:val="hybridMultilevel"/>
    <w:tmpl w:val="DD0A6F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93411E"/>
    <w:multiLevelType w:val="hybridMultilevel"/>
    <w:tmpl w:val="36BC35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4E0AEB"/>
    <w:multiLevelType w:val="hybridMultilevel"/>
    <w:tmpl w:val="4E9C2CE8"/>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3C82409"/>
    <w:multiLevelType w:val="hybridMultilevel"/>
    <w:tmpl w:val="150020D8"/>
    <w:lvl w:ilvl="0">
      <w:start w:val="0"/>
      <w:numFmt w:val="bullet"/>
      <w:lvlText w:val="-"/>
      <w:lvlJc w:val="left"/>
      <w:pPr>
        <w:ind w:left="1065" w:hanging="360"/>
      </w:pPr>
      <w:rPr>
        <w:rFonts w:ascii="Calibri" w:eastAsia="Times New Roman" w:hAnsi="Calibri"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7">
    <w:nsid w:val="18F94D92"/>
    <w:multiLevelType w:val="hybridMultilevel"/>
    <w:tmpl w:val="99AA93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5054C1"/>
    <w:multiLevelType w:val="hybridMultilevel"/>
    <w:tmpl w:val="4F7E149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7020F6"/>
    <w:multiLevelType w:val="hybridMultilevel"/>
    <w:tmpl w:val="F15602E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0BF0552"/>
    <w:multiLevelType w:val="hybridMultilevel"/>
    <w:tmpl w:val="D2CA2C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1045447"/>
    <w:multiLevelType w:val="hybridMultilevel"/>
    <w:tmpl w:val="7B7806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A82161"/>
    <w:multiLevelType w:val="hybridMultilevel"/>
    <w:tmpl w:val="B63A4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7C8541A"/>
    <w:multiLevelType w:val="hybridMultilevel"/>
    <w:tmpl w:val="7B68CF46"/>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81A274C"/>
    <w:multiLevelType w:val="hybridMultilevel"/>
    <w:tmpl w:val="67EA0C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9C7660E"/>
    <w:multiLevelType w:val="hybridMultilevel"/>
    <w:tmpl w:val="B824DCC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D537417"/>
    <w:multiLevelType w:val="hybridMultilevel"/>
    <w:tmpl w:val="7294242A"/>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F661663"/>
    <w:multiLevelType w:val="hybridMultilevel"/>
    <w:tmpl w:val="9CDACAFC"/>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5F836C9"/>
    <w:multiLevelType w:val="hybridMultilevel"/>
    <w:tmpl w:val="2C9EF3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CBD640A"/>
    <w:multiLevelType w:val="hybridMultilevel"/>
    <w:tmpl w:val="02641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D9131AF"/>
    <w:multiLevelType w:val="hybridMultilevel"/>
    <w:tmpl w:val="7ED8BC4A"/>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E0328C1"/>
    <w:multiLevelType w:val="hybridMultilevel"/>
    <w:tmpl w:val="984C1D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3F83ADE"/>
    <w:multiLevelType w:val="hybridMultilevel"/>
    <w:tmpl w:val="BD10901E"/>
    <w:lvl w:ilvl="0">
      <w:start w:val="900"/>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3">
    <w:nsid w:val="456C0209"/>
    <w:multiLevelType w:val="hybridMultilevel"/>
    <w:tmpl w:val="EF985B2A"/>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6AE57C2"/>
    <w:multiLevelType w:val="hybridMultilevel"/>
    <w:tmpl w:val="9D38DA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8AE0BFC"/>
    <w:multiLevelType w:val="hybridMultilevel"/>
    <w:tmpl w:val="A0B23CD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14872DB"/>
    <w:multiLevelType w:val="hybridMultilevel"/>
    <w:tmpl w:val="78F6D65E"/>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2C04759"/>
    <w:multiLevelType w:val="hybridMultilevel"/>
    <w:tmpl w:val="160C0A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5B953E0"/>
    <w:multiLevelType w:val="hybridMultilevel"/>
    <w:tmpl w:val="7390DF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6CE6AC5"/>
    <w:multiLevelType w:val="hybridMultilevel"/>
    <w:tmpl w:val="FAB463F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30">
    <w:nsid w:val="577F69C9"/>
    <w:multiLevelType w:val="hybridMultilevel"/>
    <w:tmpl w:val="3A5AE8C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C905795"/>
    <w:multiLevelType w:val="hybridMultilevel"/>
    <w:tmpl w:val="0550133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E396ADA"/>
    <w:multiLevelType w:val="hybridMultilevel"/>
    <w:tmpl w:val="842ACA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0F0246A"/>
    <w:multiLevelType w:val="hybridMultilevel"/>
    <w:tmpl w:val="818A28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25A68E6"/>
    <w:multiLevelType w:val="hybridMultilevel"/>
    <w:tmpl w:val="B4DE4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9070FA6"/>
    <w:multiLevelType w:val="hybridMultilevel"/>
    <w:tmpl w:val="0352B4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B0A1BA3"/>
    <w:multiLevelType w:val="hybridMultilevel"/>
    <w:tmpl w:val="0486F4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0984598"/>
    <w:multiLevelType w:val="hybridMultilevel"/>
    <w:tmpl w:val="65D879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0E25C48"/>
    <w:multiLevelType w:val="hybridMultilevel"/>
    <w:tmpl w:val="89806F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86F7C5A"/>
    <w:multiLevelType w:val="hybridMultilevel"/>
    <w:tmpl w:val="CAF23C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94E77C3"/>
    <w:multiLevelType w:val="hybridMultilevel"/>
    <w:tmpl w:val="217CE0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B542BCA"/>
    <w:multiLevelType w:val="hybridMultilevel"/>
    <w:tmpl w:val="6AE65E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D9059E4"/>
    <w:multiLevelType w:val="hybridMultilevel"/>
    <w:tmpl w:val="2F344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E501D8E"/>
    <w:multiLevelType w:val="hybridMultilevel"/>
    <w:tmpl w:val="2AE28B82"/>
    <w:lvl w:ilvl="0">
      <w:start w:val="90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8"/>
  </w:num>
  <w:num w:numId="4">
    <w:abstractNumId w:val="29"/>
  </w:num>
  <w:num w:numId="5">
    <w:abstractNumId w:val="19"/>
  </w:num>
  <w:num w:numId="6">
    <w:abstractNumId w:val="43"/>
  </w:num>
  <w:num w:numId="7">
    <w:abstractNumId w:val="22"/>
  </w:num>
  <w:num w:numId="8">
    <w:abstractNumId w:val="36"/>
  </w:num>
  <w:num w:numId="9">
    <w:abstractNumId w:val="40"/>
  </w:num>
  <w:num w:numId="10">
    <w:abstractNumId w:val="25"/>
  </w:num>
  <w:num w:numId="11">
    <w:abstractNumId w:val="15"/>
  </w:num>
  <w:num w:numId="12">
    <w:abstractNumId w:val="8"/>
  </w:num>
  <w:num w:numId="13">
    <w:abstractNumId w:val="2"/>
  </w:num>
  <w:num w:numId="14">
    <w:abstractNumId w:val="0"/>
  </w:num>
  <w:num w:numId="15">
    <w:abstractNumId w:val="20"/>
  </w:num>
  <w:num w:numId="16">
    <w:abstractNumId w:val="37"/>
  </w:num>
  <w:num w:numId="17">
    <w:abstractNumId w:val="34"/>
  </w:num>
  <w:num w:numId="18">
    <w:abstractNumId w:val="30"/>
  </w:num>
  <w:num w:numId="19">
    <w:abstractNumId w:val="13"/>
  </w:num>
  <w:num w:numId="20">
    <w:abstractNumId w:val="24"/>
  </w:num>
  <w:num w:numId="21">
    <w:abstractNumId w:val="3"/>
  </w:num>
  <w:num w:numId="22">
    <w:abstractNumId w:val="14"/>
  </w:num>
  <w:num w:numId="23">
    <w:abstractNumId w:val="17"/>
  </w:num>
  <w:num w:numId="24">
    <w:abstractNumId w:val="32"/>
  </w:num>
  <w:num w:numId="25">
    <w:abstractNumId w:val="10"/>
  </w:num>
  <w:num w:numId="26">
    <w:abstractNumId w:val="42"/>
  </w:num>
  <w:num w:numId="27">
    <w:abstractNumId w:val="11"/>
  </w:num>
  <w:num w:numId="28">
    <w:abstractNumId w:val="21"/>
  </w:num>
  <w:num w:numId="29">
    <w:abstractNumId w:val="39"/>
  </w:num>
  <w:num w:numId="30">
    <w:abstractNumId w:val="9"/>
  </w:num>
  <w:num w:numId="31">
    <w:abstractNumId w:val="5"/>
  </w:num>
  <w:num w:numId="32">
    <w:abstractNumId w:val="41"/>
  </w:num>
  <w:num w:numId="33">
    <w:abstractNumId w:val="35"/>
  </w:num>
  <w:num w:numId="34">
    <w:abstractNumId w:val="7"/>
  </w:num>
  <w:num w:numId="35">
    <w:abstractNumId w:val="4"/>
  </w:num>
  <w:num w:numId="36">
    <w:abstractNumId w:val="33"/>
  </w:num>
  <w:num w:numId="37">
    <w:abstractNumId w:val="12"/>
  </w:num>
  <w:num w:numId="38">
    <w:abstractNumId w:val="27"/>
  </w:num>
  <w:num w:numId="39">
    <w:abstractNumId w:val="18"/>
  </w:num>
  <w:num w:numId="40">
    <w:abstractNumId w:val="26"/>
  </w:num>
  <w:num w:numId="41">
    <w:abstractNumId w:val="1"/>
  </w:num>
  <w:num w:numId="42">
    <w:abstractNumId w:val="31"/>
  </w:num>
  <w:num w:numId="43">
    <w:abstractNumId w:val="23"/>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13721"/>
    <w:rsid w:val="00014CF2"/>
    <w:rsid w:val="0001502D"/>
    <w:rsid w:val="00016980"/>
    <w:rsid w:val="00017B7A"/>
    <w:rsid w:val="00020030"/>
    <w:rsid w:val="00026DB2"/>
    <w:rsid w:val="00031079"/>
    <w:rsid w:val="00033919"/>
    <w:rsid w:val="00037A5C"/>
    <w:rsid w:val="00050008"/>
    <w:rsid w:val="00057810"/>
    <w:rsid w:val="00061ACA"/>
    <w:rsid w:val="00062D48"/>
    <w:rsid w:val="000643DE"/>
    <w:rsid w:val="00064E91"/>
    <w:rsid w:val="000659D6"/>
    <w:rsid w:val="000676E0"/>
    <w:rsid w:val="000770BF"/>
    <w:rsid w:val="00081585"/>
    <w:rsid w:val="00083C18"/>
    <w:rsid w:val="000857C6"/>
    <w:rsid w:val="0009031E"/>
    <w:rsid w:val="00091C12"/>
    <w:rsid w:val="000A3BFD"/>
    <w:rsid w:val="000A4116"/>
    <w:rsid w:val="000A44A4"/>
    <w:rsid w:val="000B1F42"/>
    <w:rsid w:val="000C10CE"/>
    <w:rsid w:val="000C58A7"/>
    <w:rsid w:val="000C5B6A"/>
    <w:rsid w:val="000D0172"/>
    <w:rsid w:val="000D1ED8"/>
    <w:rsid w:val="000D2947"/>
    <w:rsid w:val="000D49E1"/>
    <w:rsid w:val="000E2DDA"/>
    <w:rsid w:val="000E575D"/>
    <w:rsid w:val="000E58A2"/>
    <w:rsid w:val="000E71E5"/>
    <w:rsid w:val="000F7062"/>
    <w:rsid w:val="001025B6"/>
    <w:rsid w:val="00104BDF"/>
    <w:rsid w:val="001161AE"/>
    <w:rsid w:val="00116B7E"/>
    <w:rsid w:val="00117910"/>
    <w:rsid w:val="00122EAD"/>
    <w:rsid w:val="00133EB9"/>
    <w:rsid w:val="0013733B"/>
    <w:rsid w:val="00142C37"/>
    <w:rsid w:val="001477F4"/>
    <w:rsid w:val="00162C42"/>
    <w:rsid w:val="001631F7"/>
    <w:rsid w:val="00163F06"/>
    <w:rsid w:val="001674B0"/>
    <w:rsid w:val="0017381A"/>
    <w:rsid w:val="001763CF"/>
    <w:rsid w:val="00181F56"/>
    <w:rsid w:val="00182107"/>
    <w:rsid w:val="00184FCA"/>
    <w:rsid w:val="0018740A"/>
    <w:rsid w:val="00194060"/>
    <w:rsid w:val="00194639"/>
    <w:rsid w:val="001A37B1"/>
    <w:rsid w:val="001A650D"/>
    <w:rsid w:val="001B06B5"/>
    <w:rsid w:val="001B3408"/>
    <w:rsid w:val="001B37AF"/>
    <w:rsid w:val="001B41A9"/>
    <w:rsid w:val="001B6607"/>
    <w:rsid w:val="001B796A"/>
    <w:rsid w:val="001C2FC2"/>
    <w:rsid w:val="001D5215"/>
    <w:rsid w:val="001E07A0"/>
    <w:rsid w:val="001F68A2"/>
    <w:rsid w:val="00206C4F"/>
    <w:rsid w:val="002120E9"/>
    <w:rsid w:val="002157C9"/>
    <w:rsid w:val="002164E8"/>
    <w:rsid w:val="002302DF"/>
    <w:rsid w:val="00237FD5"/>
    <w:rsid w:val="00241A27"/>
    <w:rsid w:val="00242F77"/>
    <w:rsid w:val="002446BA"/>
    <w:rsid w:val="00244EDC"/>
    <w:rsid w:val="002506FF"/>
    <w:rsid w:val="0025679C"/>
    <w:rsid w:val="002635A0"/>
    <w:rsid w:val="00264A4F"/>
    <w:rsid w:val="00267B24"/>
    <w:rsid w:val="0027076F"/>
    <w:rsid w:val="00272E7B"/>
    <w:rsid w:val="0027413A"/>
    <w:rsid w:val="0028328C"/>
    <w:rsid w:val="00290896"/>
    <w:rsid w:val="00294F53"/>
    <w:rsid w:val="0029580B"/>
    <w:rsid w:val="00295C55"/>
    <w:rsid w:val="002974A0"/>
    <w:rsid w:val="002A0EB3"/>
    <w:rsid w:val="002A36D9"/>
    <w:rsid w:val="002B0999"/>
    <w:rsid w:val="002B38D6"/>
    <w:rsid w:val="002B7550"/>
    <w:rsid w:val="002C7F91"/>
    <w:rsid w:val="002D3B9B"/>
    <w:rsid w:val="002D58BD"/>
    <w:rsid w:val="002D6F3E"/>
    <w:rsid w:val="002D72AE"/>
    <w:rsid w:val="002F34B4"/>
    <w:rsid w:val="002F525B"/>
    <w:rsid w:val="002F627A"/>
    <w:rsid w:val="002F713E"/>
    <w:rsid w:val="002F7C72"/>
    <w:rsid w:val="00300BB4"/>
    <w:rsid w:val="00302A8A"/>
    <w:rsid w:val="00302EF2"/>
    <w:rsid w:val="003038DE"/>
    <w:rsid w:val="00305C9F"/>
    <w:rsid w:val="00320181"/>
    <w:rsid w:val="00322E83"/>
    <w:rsid w:val="00326108"/>
    <w:rsid w:val="003268F7"/>
    <w:rsid w:val="0032740E"/>
    <w:rsid w:val="00327C21"/>
    <w:rsid w:val="0034202C"/>
    <w:rsid w:val="003438F4"/>
    <w:rsid w:val="00346CCA"/>
    <w:rsid w:val="003471F7"/>
    <w:rsid w:val="00347E15"/>
    <w:rsid w:val="00352057"/>
    <w:rsid w:val="00364A6B"/>
    <w:rsid w:val="003661D9"/>
    <w:rsid w:val="003675C1"/>
    <w:rsid w:val="00373B58"/>
    <w:rsid w:val="00375ECE"/>
    <w:rsid w:val="00376B71"/>
    <w:rsid w:val="00383144"/>
    <w:rsid w:val="00384E35"/>
    <w:rsid w:val="00387151"/>
    <w:rsid w:val="00393731"/>
    <w:rsid w:val="003A581D"/>
    <w:rsid w:val="003A76F2"/>
    <w:rsid w:val="003B04D5"/>
    <w:rsid w:val="003B16FC"/>
    <w:rsid w:val="003B72BE"/>
    <w:rsid w:val="003C3087"/>
    <w:rsid w:val="003C33E3"/>
    <w:rsid w:val="003C4E41"/>
    <w:rsid w:val="003D4212"/>
    <w:rsid w:val="003D48FA"/>
    <w:rsid w:val="003D5E5C"/>
    <w:rsid w:val="003D6D7F"/>
    <w:rsid w:val="003D6D93"/>
    <w:rsid w:val="003D7ED9"/>
    <w:rsid w:val="003F5970"/>
    <w:rsid w:val="00402806"/>
    <w:rsid w:val="004034E0"/>
    <w:rsid w:val="00423C66"/>
    <w:rsid w:val="004242D4"/>
    <w:rsid w:val="00437642"/>
    <w:rsid w:val="00445296"/>
    <w:rsid w:val="00450685"/>
    <w:rsid w:val="00454A01"/>
    <w:rsid w:val="004576ED"/>
    <w:rsid w:val="00462F78"/>
    <w:rsid w:val="0047002D"/>
    <w:rsid w:val="004778DE"/>
    <w:rsid w:val="00482B84"/>
    <w:rsid w:val="0049467C"/>
    <w:rsid w:val="00497830"/>
    <w:rsid w:val="004A1470"/>
    <w:rsid w:val="004A1CEC"/>
    <w:rsid w:val="004A2FAC"/>
    <w:rsid w:val="004A314E"/>
    <w:rsid w:val="004B0BC8"/>
    <w:rsid w:val="004B1FB8"/>
    <w:rsid w:val="004C3B45"/>
    <w:rsid w:val="004C579F"/>
    <w:rsid w:val="004C71F9"/>
    <w:rsid w:val="004C7918"/>
    <w:rsid w:val="004D25DA"/>
    <w:rsid w:val="004D2A4F"/>
    <w:rsid w:val="004D7F9F"/>
    <w:rsid w:val="004E28A9"/>
    <w:rsid w:val="004E3749"/>
    <w:rsid w:val="004E633B"/>
    <w:rsid w:val="004F5E6A"/>
    <w:rsid w:val="004F7271"/>
    <w:rsid w:val="00500B14"/>
    <w:rsid w:val="00511757"/>
    <w:rsid w:val="00512C8C"/>
    <w:rsid w:val="00513C83"/>
    <w:rsid w:val="00526A02"/>
    <w:rsid w:val="00527FBD"/>
    <w:rsid w:val="005319E3"/>
    <w:rsid w:val="00533957"/>
    <w:rsid w:val="00533BDC"/>
    <w:rsid w:val="005348C1"/>
    <w:rsid w:val="00535F8F"/>
    <w:rsid w:val="0053761B"/>
    <w:rsid w:val="00543708"/>
    <w:rsid w:val="005440CE"/>
    <w:rsid w:val="00544778"/>
    <w:rsid w:val="00550EB3"/>
    <w:rsid w:val="00552B5C"/>
    <w:rsid w:val="00556626"/>
    <w:rsid w:val="00556997"/>
    <w:rsid w:val="0055749D"/>
    <w:rsid w:val="0055766C"/>
    <w:rsid w:val="00562F99"/>
    <w:rsid w:val="00570B93"/>
    <w:rsid w:val="005734A0"/>
    <w:rsid w:val="00581AA6"/>
    <w:rsid w:val="005842E4"/>
    <w:rsid w:val="005844CE"/>
    <w:rsid w:val="005A06B0"/>
    <w:rsid w:val="005A23D7"/>
    <w:rsid w:val="005B07C8"/>
    <w:rsid w:val="005B6571"/>
    <w:rsid w:val="005B7A3E"/>
    <w:rsid w:val="005C17C6"/>
    <w:rsid w:val="005C70E8"/>
    <w:rsid w:val="005D1C1A"/>
    <w:rsid w:val="005D29DF"/>
    <w:rsid w:val="005D3F90"/>
    <w:rsid w:val="005E0AEF"/>
    <w:rsid w:val="005E3069"/>
    <w:rsid w:val="005E598F"/>
    <w:rsid w:val="005F1B83"/>
    <w:rsid w:val="005F6CFC"/>
    <w:rsid w:val="00602E03"/>
    <w:rsid w:val="00604245"/>
    <w:rsid w:val="00606610"/>
    <w:rsid w:val="0061094A"/>
    <w:rsid w:val="00610993"/>
    <w:rsid w:val="0061346C"/>
    <w:rsid w:val="006146D7"/>
    <w:rsid w:val="00615B60"/>
    <w:rsid w:val="00621A7A"/>
    <w:rsid w:val="00622F95"/>
    <w:rsid w:val="0062495E"/>
    <w:rsid w:val="00626AA4"/>
    <w:rsid w:val="00626CE7"/>
    <w:rsid w:val="00630DDF"/>
    <w:rsid w:val="006315B4"/>
    <w:rsid w:val="00635EF6"/>
    <w:rsid w:val="0065207F"/>
    <w:rsid w:val="006551D1"/>
    <w:rsid w:val="0065612B"/>
    <w:rsid w:val="0065741D"/>
    <w:rsid w:val="0066330B"/>
    <w:rsid w:val="00663B38"/>
    <w:rsid w:val="0068196D"/>
    <w:rsid w:val="00683E7E"/>
    <w:rsid w:val="006876D3"/>
    <w:rsid w:val="00693726"/>
    <w:rsid w:val="006939E2"/>
    <w:rsid w:val="00693C99"/>
    <w:rsid w:val="00695081"/>
    <w:rsid w:val="006A38B1"/>
    <w:rsid w:val="006A664B"/>
    <w:rsid w:val="006B4ACD"/>
    <w:rsid w:val="006B7FC6"/>
    <w:rsid w:val="006C1E9D"/>
    <w:rsid w:val="006C2093"/>
    <w:rsid w:val="006C2AEA"/>
    <w:rsid w:val="006C66E9"/>
    <w:rsid w:val="006D0A47"/>
    <w:rsid w:val="006D3CC9"/>
    <w:rsid w:val="006D7A5C"/>
    <w:rsid w:val="006D7F81"/>
    <w:rsid w:val="006E0742"/>
    <w:rsid w:val="006E1239"/>
    <w:rsid w:val="006E25AA"/>
    <w:rsid w:val="006E5228"/>
    <w:rsid w:val="006F40F0"/>
    <w:rsid w:val="007030FF"/>
    <w:rsid w:val="00705540"/>
    <w:rsid w:val="00706008"/>
    <w:rsid w:val="00714988"/>
    <w:rsid w:val="007150C7"/>
    <w:rsid w:val="007163DC"/>
    <w:rsid w:val="0071717D"/>
    <w:rsid w:val="00722BFE"/>
    <w:rsid w:val="00723803"/>
    <w:rsid w:val="007239F1"/>
    <w:rsid w:val="00727C73"/>
    <w:rsid w:val="007300E8"/>
    <w:rsid w:val="007315B7"/>
    <w:rsid w:val="00732A18"/>
    <w:rsid w:val="00735A18"/>
    <w:rsid w:val="0073790F"/>
    <w:rsid w:val="007519BD"/>
    <w:rsid w:val="00756A92"/>
    <w:rsid w:val="00772D23"/>
    <w:rsid w:val="00773C7A"/>
    <w:rsid w:val="00777FD1"/>
    <w:rsid w:val="007812F7"/>
    <w:rsid w:val="00781D21"/>
    <w:rsid w:val="00783161"/>
    <w:rsid w:val="00787F51"/>
    <w:rsid w:val="007972E9"/>
    <w:rsid w:val="007A0902"/>
    <w:rsid w:val="007A1D12"/>
    <w:rsid w:val="007A4337"/>
    <w:rsid w:val="007A548A"/>
    <w:rsid w:val="007A7088"/>
    <w:rsid w:val="007A70AC"/>
    <w:rsid w:val="007B20F6"/>
    <w:rsid w:val="007B3A4D"/>
    <w:rsid w:val="007B47BF"/>
    <w:rsid w:val="007B73B8"/>
    <w:rsid w:val="007C1940"/>
    <w:rsid w:val="007C525A"/>
    <w:rsid w:val="007C71BF"/>
    <w:rsid w:val="007D0E10"/>
    <w:rsid w:val="007E101B"/>
    <w:rsid w:val="007F048E"/>
    <w:rsid w:val="008004B5"/>
    <w:rsid w:val="0080521A"/>
    <w:rsid w:val="008100CA"/>
    <w:rsid w:val="00810F55"/>
    <w:rsid w:val="00821163"/>
    <w:rsid w:val="00822B9E"/>
    <w:rsid w:val="00824B31"/>
    <w:rsid w:val="00825354"/>
    <w:rsid w:val="00831C9F"/>
    <w:rsid w:val="00835248"/>
    <w:rsid w:val="008360D3"/>
    <w:rsid w:val="00845671"/>
    <w:rsid w:val="00855DDA"/>
    <w:rsid w:val="00861578"/>
    <w:rsid w:val="00862834"/>
    <w:rsid w:val="00864861"/>
    <w:rsid w:val="00880237"/>
    <w:rsid w:val="008807E1"/>
    <w:rsid w:val="00882C76"/>
    <w:rsid w:val="00884209"/>
    <w:rsid w:val="00885E3B"/>
    <w:rsid w:val="008870D4"/>
    <w:rsid w:val="008922FC"/>
    <w:rsid w:val="00895A52"/>
    <w:rsid w:val="00896A13"/>
    <w:rsid w:val="00896AFD"/>
    <w:rsid w:val="00897B21"/>
    <w:rsid w:val="008A1097"/>
    <w:rsid w:val="008B064C"/>
    <w:rsid w:val="008D106A"/>
    <w:rsid w:val="008D1AC8"/>
    <w:rsid w:val="008D41B1"/>
    <w:rsid w:val="008D4B95"/>
    <w:rsid w:val="008E56CC"/>
    <w:rsid w:val="008F3B43"/>
    <w:rsid w:val="008F4698"/>
    <w:rsid w:val="00900AD7"/>
    <w:rsid w:val="00905922"/>
    <w:rsid w:val="009073FE"/>
    <w:rsid w:val="009148C6"/>
    <w:rsid w:val="0092481E"/>
    <w:rsid w:val="00924F7C"/>
    <w:rsid w:val="0092791A"/>
    <w:rsid w:val="009347CF"/>
    <w:rsid w:val="00937A67"/>
    <w:rsid w:val="00944A52"/>
    <w:rsid w:val="009507D6"/>
    <w:rsid w:val="009544AD"/>
    <w:rsid w:val="00954829"/>
    <w:rsid w:val="00954BC4"/>
    <w:rsid w:val="00954BF4"/>
    <w:rsid w:val="009557A5"/>
    <w:rsid w:val="00962E1B"/>
    <w:rsid w:val="00970818"/>
    <w:rsid w:val="00982C22"/>
    <w:rsid w:val="009B13D7"/>
    <w:rsid w:val="009B2FB9"/>
    <w:rsid w:val="009B5156"/>
    <w:rsid w:val="009C31B0"/>
    <w:rsid w:val="009C6026"/>
    <w:rsid w:val="009C7D07"/>
    <w:rsid w:val="009D1803"/>
    <w:rsid w:val="009D2116"/>
    <w:rsid w:val="009D25FA"/>
    <w:rsid w:val="009D4228"/>
    <w:rsid w:val="009E6779"/>
    <w:rsid w:val="009F06C3"/>
    <w:rsid w:val="009F4826"/>
    <w:rsid w:val="009F6AFD"/>
    <w:rsid w:val="009F7FD6"/>
    <w:rsid w:val="00A023AE"/>
    <w:rsid w:val="00A05D4F"/>
    <w:rsid w:val="00A06727"/>
    <w:rsid w:val="00A11728"/>
    <w:rsid w:val="00A14D28"/>
    <w:rsid w:val="00A20657"/>
    <w:rsid w:val="00A2227D"/>
    <w:rsid w:val="00A22B03"/>
    <w:rsid w:val="00A23059"/>
    <w:rsid w:val="00A2700A"/>
    <w:rsid w:val="00A3176A"/>
    <w:rsid w:val="00A36233"/>
    <w:rsid w:val="00A374DD"/>
    <w:rsid w:val="00A40D93"/>
    <w:rsid w:val="00A422BE"/>
    <w:rsid w:val="00A46B75"/>
    <w:rsid w:val="00A54DC7"/>
    <w:rsid w:val="00A556F1"/>
    <w:rsid w:val="00A56DD8"/>
    <w:rsid w:val="00A679A3"/>
    <w:rsid w:val="00A70BC0"/>
    <w:rsid w:val="00A71996"/>
    <w:rsid w:val="00A74CDD"/>
    <w:rsid w:val="00A76599"/>
    <w:rsid w:val="00A8384D"/>
    <w:rsid w:val="00A86C3E"/>
    <w:rsid w:val="00A96688"/>
    <w:rsid w:val="00AA7A00"/>
    <w:rsid w:val="00AB466D"/>
    <w:rsid w:val="00AB5412"/>
    <w:rsid w:val="00AB55AA"/>
    <w:rsid w:val="00AC0292"/>
    <w:rsid w:val="00AE47B3"/>
    <w:rsid w:val="00AE71AF"/>
    <w:rsid w:val="00AF2838"/>
    <w:rsid w:val="00B0051D"/>
    <w:rsid w:val="00B05268"/>
    <w:rsid w:val="00B14F99"/>
    <w:rsid w:val="00B15A4C"/>
    <w:rsid w:val="00B165D0"/>
    <w:rsid w:val="00B1695D"/>
    <w:rsid w:val="00B208D0"/>
    <w:rsid w:val="00B20F14"/>
    <w:rsid w:val="00B22748"/>
    <w:rsid w:val="00B27CFE"/>
    <w:rsid w:val="00B30535"/>
    <w:rsid w:val="00B31D24"/>
    <w:rsid w:val="00B327D1"/>
    <w:rsid w:val="00B41EDD"/>
    <w:rsid w:val="00B42608"/>
    <w:rsid w:val="00B46142"/>
    <w:rsid w:val="00B50CCE"/>
    <w:rsid w:val="00B56BBA"/>
    <w:rsid w:val="00B63C3C"/>
    <w:rsid w:val="00B654A6"/>
    <w:rsid w:val="00B71DC8"/>
    <w:rsid w:val="00B7490D"/>
    <w:rsid w:val="00B75A23"/>
    <w:rsid w:val="00B76536"/>
    <w:rsid w:val="00B81114"/>
    <w:rsid w:val="00B83DB6"/>
    <w:rsid w:val="00B87479"/>
    <w:rsid w:val="00B878FC"/>
    <w:rsid w:val="00B923F9"/>
    <w:rsid w:val="00B92BF5"/>
    <w:rsid w:val="00B92C44"/>
    <w:rsid w:val="00B96CB2"/>
    <w:rsid w:val="00BA45EF"/>
    <w:rsid w:val="00BA503C"/>
    <w:rsid w:val="00BB64C8"/>
    <w:rsid w:val="00BB7ABF"/>
    <w:rsid w:val="00BC0D31"/>
    <w:rsid w:val="00BC4CDF"/>
    <w:rsid w:val="00BC4E6A"/>
    <w:rsid w:val="00BD112F"/>
    <w:rsid w:val="00BD5FFB"/>
    <w:rsid w:val="00BE5009"/>
    <w:rsid w:val="00BE71B3"/>
    <w:rsid w:val="00BF3487"/>
    <w:rsid w:val="00BF3ED2"/>
    <w:rsid w:val="00BF4948"/>
    <w:rsid w:val="00C02C05"/>
    <w:rsid w:val="00C05414"/>
    <w:rsid w:val="00C069C7"/>
    <w:rsid w:val="00C12A92"/>
    <w:rsid w:val="00C25F9C"/>
    <w:rsid w:val="00C303EB"/>
    <w:rsid w:val="00C31601"/>
    <w:rsid w:val="00C321B4"/>
    <w:rsid w:val="00C33164"/>
    <w:rsid w:val="00C33C2B"/>
    <w:rsid w:val="00C37E73"/>
    <w:rsid w:val="00C41B81"/>
    <w:rsid w:val="00C45D9A"/>
    <w:rsid w:val="00C47123"/>
    <w:rsid w:val="00C47EB4"/>
    <w:rsid w:val="00C522C1"/>
    <w:rsid w:val="00C570BF"/>
    <w:rsid w:val="00C65493"/>
    <w:rsid w:val="00C70283"/>
    <w:rsid w:val="00C755CF"/>
    <w:rsid w:val="00C7631F"/>
    <w:rsid w:val="00C9193A"/>
    <w:rsid w:val="00C97100"/>
    <w:rsid w:val="00C978DA"/>
    <w:rsid w:val="00CB2293"/>
    <w:rsid w:val="00CB23E0"/>
    <w:rsid w:val="00CC4C24"/>
    <w:rsid w:val="00CD1340"/>
    <w:rsid w:val="00CD1722"/>
    <w:rsid w:val="00CD5951"/>
    <w:rsid w:val="00CE003A"/>
    <w:rsid w:val="00CE7236"/>
    <w:rsid w:val="00CF0F6C"/>
    <w:rsid w:val="00CF33D8"/>
    <w:rsid w:val="00CF3D24"/>
    <w:rsid w:val="00D10281"/>
    <w:rsid w:val="00D12E36"/>
    <w:rsid w:val="00D15F6F"/>
    <w:rsid w:val="00D17744"/>
    <w:rsid w:val="00D23A25"/>
    <w:rsid w:val="00D30E92"/>
    <w:rsid w:val="00D36A21"/>
    <w:rsid w:val="00D37FFA"/>
    <w:rsid w:val="00D41D9E"/>
    <w:rsid w:val="00D42986"/>
    <w:rsid w:val="00D43369"/>
    <w:rsid w:val="00D43655"/>
    <w:rsid w:val="00D43E53"/>
    <w:rsid w:val="00D43EE9"/>
    <w:rsid w:val="00D44BF9"/>
    <w:rsid w:val="00D477F1"/>
    <w:rsid w:val="00D50A5E"/>
    <w:rsid w:val="00D50E7B"/>
    <w:rsid w:val="00D52C93"/>
    <w:rsid w:val="00D52FFE"/>
    <w:rsid w:val="00D620C4"/>
    <w:rsid w:val="00D64CE6"/>
    <w:rsid w:val="00D66B6C"/>
    <w:rsid w:val="00D70ED0"/>
    <w:rsid w:val="00D77B1F"/>
    <w:rsid w:val="00DA07F7"/>
    <w:rsid w:val="00DA41BD"/>
    <w:rsid w:val="00DA5243"/>
    <w:rsid w:val="00DB271B"/>
    <w:rsid w:val="00DC3A2D"/>
    <w:rsid w:val="00DC3BB1"/>
    <w:rsid w:val="00DC4BF0"/>
    <w:rsid w:val="00DD79C3"/>
    <w:rsid w:val="00DE5F7A"/>
    <w:rsid w:val="00E0070B"/>
    <w:rsid w:val="00E02905"/>
    <w:rsid w:val="00E116E4"/>
    <w:rsid w:val="00E11BAF"/>
    <w:rsid w:val="00E2196F"/>
    <w:rsid w:val="00E22F5A"/>
    <w:rsid w:val="00E2717D"/>
    <w:rsid w:val="00E346FB"/>
    <w:rsid w:val="00E3740C"/>
    <w:rsid w:val="00E408B2"/>
    <w:rsid w:val="00E443A7"/>
    <w:rsid w:val="00E5134E"/>
    <w:rsid w:val="00E51B1E"/>
    <w:rsid w:val="00E52BED"/>
    <w:rsid w:val="00E52FC1"/>
    <w:rsid w:val="00E61ACA"/>
    <w:rsid w:val="00E61D46"/>
    <w:rsid w:val="00E62EEE"/>
    <w:rsid w:val="00E63086"/>
    <w:rsid w:val="00E672E5"/>
    <w:rsid w:val="00E7268D"/>
    <w:rsid w:val="00E77FA0"/>
    <w:rsid w:val="00E84139"/>
    <w:rsid w:val="00E9158C"/>
    <w:rsid w:val="00EB11D4"/>
    <w:rsid w:val="00EB1401"/>
    <w:rsid w:val="00EB4533"/>
    <w:rsid w:val="00EB5CF3"/>
    <w:rsid w:val="00EC12DC"/>
    <w:rsid w:val="00EC1701"/>
    <w:rsid w:val="00EC4964"/>
    <w:rsid w:val="00ED1FA6"/>
    <w:rsid w:val="00ED3E30"/>
    <w:rsid w:val="00ED54B1"/>
    <w:rsid w:val="00EE28C5"/>
    <w:rsid w:val="00EE3CB1"/>
    <w:rsid w:val="00EE45DB"/>
    <w:rsid w:val="00EF3E98"/>
    <w:rsid w:val="00F06B5E"/>
    <w:rsid w:val="00F14C33"/>
    <w:rsid w:val="00F15A12"/>
    <w:rsid w:val="00F15E9B"/>
    <w:rsid w:val="00F161B8"/>
    <w:rsid w:val="00F301D6"/>
    <w:rsid w:val="00F310AC"/>
    <w:rsid w:val="00F319EF"/>
    <w:rsid w:val="00F406DA"/>
    <w:rsid w:val="00F45D81"/>
    <w:rsid w:val="00F478B2"/>
    <w:rsid w:val="00F50D8A"/>
    <w:rsid w:val="00F51344"/>
    <w:rsid w:val="00F51449"/>
    <w:rsid w:val="00F526C5"/>
    <w:rsid w:val="00F60E59"/>
    <w:rsid w:val="00F640D8"/>
    <w:rsid w:val="00F64504"/>
    <w:rsid w:val="00F71B4D"/>
    <w:rsid w:val="00F73776"/>
    <w:rsid w:val="00F75573"/>
    <w:rsid w:val="00F759A3"/>
    <w:rsid w:val="00F75CCB"/>
    <w:rsid w:val="00F872C1"/>
    <w:rsid w:val="00F87AE8"/>
    <w:rsid w:val="00F900DD"/>
    <w:rsid w:val="00F9328E"/>
    <w:rsid w:val="00F932C3"/>
    <w:rsid w:val="00FA10F2"/>
    <w:rsid w:val="00FA387E"/>
    <w:rsid w:val="00FA64E1"/>
    <w:rsid w:val="00FB26EA"/>
    <w:rsid w:val="00FC5EB3"/>
    <w:rsid w:val="00FC7F2C"/>
    <w:rsid w:val="00FD1F08"/>
    <w:rsid w:val="00FD3A17"/>
    <w:rsid w:val="00FD5480"/>
    <w:rsid w:val="00FE2E0B"/>
    <w:rsid w:val="00FE4D09"/>
    <w:rsid w:val="00FE5C9A"/>
    <w:rsid w:val="00FF1EAE"/>
    <w:rsid w:val="00FF2ED8"/>
    <w:rsid w:val="00FF4BF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styleId="BodyText">
    <w:name w:val="Body Text"/>
    <w:basedOn w:val="Normal"/>
    <w:link w:val="ZkladntextChar"/>
    <w:uiPriority w:val="99"/>
    <w:rsid w:val="00B22748"/>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B22748"/>
    <w:rPr>
      <w:rFonts w:ascii="Times New Roman" w:hAnsi="Times New Roman" w:cs="Times New Roman"/>
      <w:b/>
      <w:bCs/>
      <w:sz w:val="24"/>
      <w:szCs w:val="24"/>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alloonText">
    <w:name w:val="Balloon Text"/>
    <w:basedOn w:val="Normal"/>
    <w:link w:val="TextbublinyChar"/>
    <w:uiPriority w:val="99"/>
    <w:semiHidden/>
    <w:unhideWhenUsed/>
    <w:rsid w:val="0088023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80237"/>
    <w:rPr>
      <w:rFonts w:ascii="Segoe UI" w:hAnsi="Segoe UI" w:cs="Segoe UI"/>
      <w:sz w:val="18"/>
      <w:szCs w:val="18"/>
      <w:rtl w:val="0"/>
      <w:cs w:val="0"/>
    </w:rPr>
  </w:style>
  <w:style w:type="character" w:styleId="Emphasis">
    <w:name w:val="Emphasis"/>
    <w:basedOn w:val="DefaultParagraphFont"/>
    <w:uiPriority w:val="20"/>
    <w:qFormat/>
    <w:rsid w:val="00543708"/>
    <w:rPr>
      <w:rFonts w:cs="Times New Roman"/>
      <w:i/>
      <w:iCs/>
      <w:rtl w:val="0"/>
      <w:cs w:val="0"/>
    </w:rPr>
  </w:style>
  <w:style w:type="paragraph" w:styleId="FootnoteText">
    <w:name w:val="footnote text"/>
    <w:basedOn w:val="Normal"/>
    <w:link w:val="TextpoznmkypodiarouChar"/>
    <w:uiPriority w:val="99"/>
    <w:rsid w:val="00781D21"/>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781D21"/>
    <w:rPr>
      <w:rFonts w:ascii="Calibri" w:hAnsi="Calibri" w:cs="Times New Roman"/>
      <w:sz w:val="20"/>
      <w:szCs w:val="20"/>
      <w:rtl w:val="0"/>
      <w:cs w:val="0"/>
    </w:rPr>
  </w:style>
  <w:style w:type="character" w:styleId="FootnoteReference">
    <w:name w:val="footnote reference"/>
    <w:basedOn w:val="DefaultParagraphFont"/>
    <w:uiPriority w:val="99"/>
    <w:rsid w:val="00781D21"/>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14</TotalTime>
  <Pages>6</Pages>
  <Words>1841</Words>
  <Characters>10494</Characters>
  <Application>Microsoft Office Word</Application>
  <DocSecurity>0</DocSecurity>
  <Lines>0</Lines>
  <Paragraphs>0</Paragraphs>
  <ScaleCrop>false</ScaleCrop>
  <Company>MVSR</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cp:lastModifiedBy>
  <cp:revision>7</cp:revision>
  <cp:lastPrinted>2018-08-23T15:12:00Z</cp:lastPrinted>
  <dcterms:created xsi:type="dcterms:W3CDTF">2018-08-23T14:36:00Z</dcterms:created>
  <dcterms:modified xsi:type="dcterms:W3CDTF">2018-08-23T15:16:00Z</dcterms:modified>
</cp:coreProperties>
</file>