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47F6" w:rsidRPr="00120D33" w:rsidP="000A47F6">
      <w:pPr>
        <w:bidi w:val="0"/>
        <w:spacing w:after="0"/>
        <w:jc w:val="center"/>
        <w:rPr>
          <w:rFonts w:ascii="Times New Roman" w:hAnsi="Times New Roman"/>
          <w:b/>
          <w:bCs/>
        </w:rPr>
      </w:pPr>
      <w:r w:rsidRPr="00120D33">
        <w:rPr>
          <w:rFonts w:ascii="Times New Roman" w:hAnsi="Times New Roman"/>
          <w:b/>
          <w:bCs/>
        </w:rPr>
        <w:t>NÁRODNÁ RADA SLOVENSKEJ REPUBLIKY</w:t>
      </w:r>
    </w:p>
    <w:p w:rsidR="000A47F6" w:rsidRPr="00120D33" w:rsidP="000A47F6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</w:rPr>
      </w:pPr>
      <w:r w:rsidRPr="00120D33">
        <w:rPr>
          <w:rFonts w:ascii="Times New Roman" w:hAnsi="Times New Roman"/>
          <w:b/>
          <w:bCs/>
        </w:rPr>
        <w:t>VII. volebné obdobie</w:t>
      </w:r>
    </w:p>
    <w:p w:rsidR="000A47F6" w:rsidRPr="00120D33" w:rsidP="000A47F6">
      <w:pPr>
        <w:bidi w:val="0"/>
        <w:spacing w:after="0"/>
        <w:jc w:val="center"/>
        <w:rPr>
          <w:rFonts w:ascii="Times New Roman" w:hAnsi="Times New Roman"/>
        </w:rPr>
      </w:pPr>
    </w:p>
    <w:p w:rsidR="000A47F6" w:rsidRPr="00120D33" w:rsidP="000A47F6">
      <w:pPr>
        <w:pStyle w:val="Heading2"/>
        <w:bidi w:val="0"/>
        <w:spacing w:after="0"/>
        <w:jc w:val="center"/>
        <w:rPr>
          <w:rFonts w:ascii="Times New Roman" w:hAnsi="Times New Roman"/>
          <w:b w:val="0"/>
          <w:i/>
          <w:sz w:val="24"/>
        </w:rPr>
      </w:pPr>
      <w:r w:rsidRPr="00120D33">
        <w:rPr>
          <w:rFonts w:ascii="Times New Roman" w:hAnsi="Times New Roman"/>
          <w:b w:val="0"/>
          <w:i/>
          <w:sz w:val="24"/>
        </w:rPr>
        <w:t>Návrh</w:t>
      </w:r>
    </w:p>
    <w:p w:rsidR="000A47F6" w:rsidRPr="00120D33" w:rsidP="000A47F6">
      <w:pPr>
        <w:pStyle w:val="Heading2"/>
        <w:bidi w:val="0"/>
        <w:spacing w:after="0"/>
        <w:jc w:val="center"/>
        <w:rPr>
          <w:rFonts w:ascii="Times New Roman" w:hAnsi="Times New Roman"/>
          <w:i/>
          <w:sz w:val="24"/>
        </w:rPr>
      </w:pPr>
      <w:r w:rsidRPr="00120D33">
        <w:rPr>
          <w:rFonts w:ascii="Times New Roman" w:hAnsi="Times New Roman"/>
          <w:i/>
          <w:sz w:val="24"/>
        </w:rPr>
        <w:t>Zákon</w:t>
      </w:r>
    </w:p>
    <w:p w:rsidR="000A47F6" w:rsidRPr="00120D33" w:rsidP="000A47F6">
      <w:pPr>
        <w:bidi w:val="0"/>
        <w:spacing w:after="0"/>
        <w:jc w:val="center"/>
        <w:rPr>
          <w:rFonts w:ascii="Times New Roman" w:hAnsi="Times New Roman"/>
        </w:rPr>
      </w:pPr>
    </w:p>
    <w:p w:rsidR="000A47F6" w:rsidRPr="00120D33" w:rsidP="000A47F6">
      <w:pPr>
        <w:bidi w:val="0"/>
        <w:spacing w:after="0"/>
        <w:jc w:val="center"/>
        <w:rPr>
          <w:rFonts w:ascii="Times New Roman" w:hAnsi="Times New Roman"/>
        </w:rPr>
      </w:pPr>
      <w:r w:rsidRPr="00120D33">
        <w:rPr>
          <w:rFonts w:ascii="Times New Roman" w:hAnsi="Times New Roman"/>
        </w:rPr>
        <w:t>z ...................201</w:t>
      </w:r>
      <w:r w:rsidRPr="00120D33" w:rsidR="0025656B">
        <w:rPr>
          <w:rFonts w:ascii="Times New Roman" w:hAnsi="Times New Roman"/>
        </w:rPr>
        <w:t>8</w:t>
      </w:r>
      <w:r w:rsidRPr="00120D33">
        <w:rPr>
          <w:rFonts w:ascii="Times New Roman" w:hAnsi="Times New Roman"/>
        </w:rPr>
        <w:t>,</w:t>
      </w: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</w:rPr>
      </w:pPr>
      <w:r w:rsidRPr="00120D33">
        <w:rPr>
          <w:rFonts w:ascii="Times New Roman" w:hAnsi="Times New Roman"/>
          <w:b/>
          <w:bCs/>
        </w:rPr>
        <w:t xml:space="preserve">ktorým sa mení a dopĺňa zákon </w:t>
      </w:r>
      <w:r w:rsidRPr="00120D33">
        <w:rPr>
          <w:rFonts w:ascii="Times New Roman" w:hAnsi="Times New Roman"/>
          <w:b/>
        </w:rPr>
        <w:t xml:space="preserve"> Slovenskej národnej rady č. 51/1988 Zb. o banskej činnosti, výbušninách a o štátnej banskej správe v znení neskorších predpisov</w:t>
      </w: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Národná rada Slovenskej republiky sa uzniesla na tomto zákone:</w:t>
      </w:r>
    </w:p>
    <w:p w:rsidR="000A47F6" w:rsidRPr="00120D33" w:rsidP="000A47F6">
      <w:pPr>
        <w:widowControl w:val="0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tabs>
          <w:tab w:val="left" w:pos="8080"/>
          <w:tab w:val="left" w:pos="8222"/>
        </w:tabs>
        <w:bidi w:val="0"/>
        <w:spacing w:after="0"/>
        <w:jc w:val="center"/>
        <w:rPr>
          <w:rFonts w:ascii="Times New Roman" w:hAnsi="Times New Roman"/>
          <w:b/>
        </w:rPr>
      </w:pPr>
      <w:r w:rsidRPr="00120D33">
        <w:rPr>
          <w:rFonts w:ascii="Times New Roman" w:hAnsi="Times New Roman"/>
          <w:b/>
        </w:rPr>
        <w:t>Čl. I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  <w:b/>
        </w:rPr>
      </w:pP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Zákon Slovenskej národnej rady č. 51/1988 Zb. o banskej činnosti, výbušninách a o štátnej banskej správe v znení zákona Slovenskej národnej rady č. 499/1991 Zb., zákona Národnej rady Slovenskej republiky č. 154/1995 Z. z., zákona č. 58/1998 Z. z., zákona č. 533/2004 Z. z., zákona č. 577/2007 Z. z., zákona č. 292/2009 Z. z., zákona č. 136/2010 Z. z., zákona č. 145/2010 Z. z., zákona č. 258/2011 Z. z., zákona č. 350/2012 Z. z., zákona č. 58/2014 Z. z., zákona č. 314/2014 Z. z., zákona č. 91/2016 Z. z.</w:t>
      </w:r>
      <w:r w:rsidRPr="00120D33" w:rsidR="0025656B">
        <w:rPr>
          <w:rFonts w:ascii="Times New Roman" w:hAnsi="Times New Roman"/>
        </w:rPr>
        <w:t xml:space="preserve">, </w:t>
      </w:r>
      <w:r w:rsidRPr="00120D33">
        <w:rPr>
          <w:rFonts w:ascii="Times New Roman" w:hAnsi="Times New Roman"/>
        </w:rPr>
        <w:t xml:space="preserve">zákona č. 315/2016 Z. z. </w:t>
      </w:r>
      <w:r w:rsidRPr="00120D33" w:rsidR="0025656B">
        <w:rPr>
          <w:rFonts w:ascii="Times New Roman" w:hAnsi="Times New Roman"/>
        </w:rPr>
        <w:t xml:space="preserve">a zákona č. 177/2018 Z. z. </w:t>
      </w:r>
      <w:r w:rsidRPr="00120D33">
        <w:rPr>
          <w:rFonts w:ascii="Times New Roman" w:hAnsi="Times New Roman"/>
        </w:rPr>
        <w:t xml:space="preserve">sa mení a dopĺňa takto:  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5 ods. 5 sa za slovo „činnosti“ vkladajú slová „a činnosti vykonávanej banským spôsobom“.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5a ods. 4 sa na konci pripája táto veta: „Pri činnosti vykonávanej banským spôsobom uvedenej v § 3 písm. h) je organizácia povinná ohlásiť začatie, prerušenie na dobu dlhšiu ako 30 dní a ukončenie vykonávania tejto činnosti najneskôr 24 hodín vopred.“.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6 ods. 1 sa  slová „zodpovedného vedúceho pracovníka“ nahrádzajú slovami „vedúceho bane, vedúceho lomu alebo vedúceho inej banskej činnosti podľa druhu vykonávanej činnosti a s odbornou spôsobilosťou podľa osobitného predpisu</w:t>
      </w:r>
      <w:r w:rsidRPr="00120D33">
        <w:rPr>
          <w:rFonts w:ascii="Times New Roman" w:hAnsi="Times New Roman"/>
          <w:vertAlign w:val="superscript"/>
        </w:rPr>
        <w:t>3b</w:t>
      </w:r>
      <w:r w:rsidRPr="00120D33">
        <w:rPr>
          <w:rFonts w:ascii="Times New Roman" w:hAnsi="Times New Roman"/>
        </w:rPr>
        <w:t>) (ďalej len „zodpovedný vedúci zamestnanec“)“ a na konci sa pripájajú tieto vety: „Ak zodpovedný vedúci zamestnanec nemôže priamo riadiť banskú činnosť alebo činnosť vykonávanú banským spôsobom, organizácia je povinná určiť ďalšieho zamestnanca alebo zamestnancov s odbornou spôsobilosťou na požadovanú činnosť</w:t>
      </w:r>
      <w:r w:rsidRPr="00120D33">
        <w:rPr>
          <w:rFonts w:ascii="Times New Roman" w:hAnsi="Times New Roman"/>
          <w:vertAlign w:val="superscript"/>
        </w:rPr>
        <w:t>3b</w:t>
      </w:r>
      <w:r w:rsidRPr="00120D33">
        <w:rPr>
          <w:rFonts w:ascii="Times New Roman" w:hAnsi="Times New Roman"/>
        </w:rPr>
        <w:t>) na priame riadenie činnosti v prevádzkovej jednotke organizácie, ako zástupcu zodpovedného vedúceho zamestnanca. Zástupcu zodpovedného vedúceho zamestnanca podľa predchádzajúcej vety je organizácia povinná mať zapísaného v banskom oprávnení. Viacnásobné vymenovanie zodpovedným vedúcim zamestnancom v rôznych organizáciách alebo v rôznych prevádzkových jednotkách organizácie je možné len na základe súhlasu obvodného banského úradu príslušného podľa miesta vykonávanej činnosti.“.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 § 10 ods. 2 sa slová „možno vypracovať aj na určité“ nahrádzajú slovami „organizácia vypracuje na“.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 xml:space="preserve">V  § 10 sa za odsek 7 vkladá nový odsek 8, ktorý znie: 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„(8) Povinnosť vykonať likvidáciu a rekultiváciu poľnohospodárskej pôdy a lesných pozemkov podľa odseku 5 organizácii nezaniká ani v prípade zániku banského oprávnenia podľa § 4b ods. 1 písm. c) a ani zánikom oprávnenia na dobývanie výhradného ložiska v dobývacom priestore podľa osobitného predpisu.</w:t>
      </w:r>
      <w:r w:rsidRPr="00120D33">
        <w:rPr>
          <w:rFonts w:ascii="Times New Roman" w:hAnsi="Times New Roman"/>
          <w:vertAlign w:val="superscript"/>
        </w:rPr>
        <w:t>8e)</w:t>
      </w:r>
      <w:r w:rsidRPr="00120D33">
        <w:rPr>
          <w:rFonts w:ascii="Times New Roman" w:hAnsi="Times New Roman"/>
        </w:rPr>
        <w:t xml:space="preserve"> Táto povinnosť organizácii zanikne až po tom, čo túto povinnosť prevezme na seba iná organizácia v rámci zmluvného prevodu dobývacieho priestoru</w:t>
      </w:r>
      <w:r w:rsidRPr="00120D33">
        <w:rPr>
          <w:rFonts w:ascii="Times New Roman" w:hAnsi="Times New Roman"/>
          <w:vertAlign w:val="superscript"/>
        </w:rPr>
        <w:t xml:space="preserve">8f) </w:t>
      </w:r>
      <w:r w:rsidRPr="00120D33">
        <w:rPr>
          <w:rFonts w:ascii="Times New Roman" w:hAnsi="Times New Roman"/>
        </w:rPr>
        <w:t>alebo v rámci prevodu dobývacieho priestoru na inú organizáciu.</w:t>
      </w:r>
      <w:r w:rsidRPr="00120D33">
        <w:rPr>
          <w:rFonts w:ascii="Times New Roman" w:hAnsi="Times New Roman"/>
          <w:vertAlign w:val="superscript"/>
        </w:rPr>
        <w:t>8g)</w:t>
      </w:r>
      <w:r w:rsidRPr="00120D33">
        <w:rPr>
          <w:rFonts w:ascii="Times New Roman" w:hAnsi="Times New Roman"/>
        </w:rPr>
        <w:t xml:space="preserve"> “.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Doterajší odsek 8 sa označuje ako odsek 9.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 xml:space="preserve">Poznámky pod čiarou k odkazom 8e až 8g znejú: </w:t>
      </w: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„8e) § 27 ods. 13 zákona č. 44/1988 Zb.</w:t>
      </w: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8f) § 27 ods. 7 zákona č. 44/1988 Zb.</w:t>
      </w: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8g) § 27a zákona č. 44/1988 Zb.“.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18d ods. 1 sa na konci pripájajú tieto vety: „Organizácia je povinná o zmene technickej dokumentácie podľa prvej vety informovať obvodný banský úrad podľa § 5 ods. 5. V prípade nesplnenia tejto informačnej povinnosti sa takáto zmena považuje za neúčinnú.“.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19 ods. 3 sa za slovo „predkladá“ vkladá slovo „právoplatné“.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 xml:space="preserve">§ 39 sa dopĺňa odsekom 6, ktorý znie: 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„(6) Hlavný banský úrad a obvodné banské úrady pri výkone hlavného dozoru poskytujú bezplatné poradenstvo v rozsahu základných odborných informácií a rád o spôsoboch, ako najúčinnejšie dodržiavať predpisy na úseku bezpečnosti a ochrane zdravia pri práci a bezpečnosti prevádzky.“.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40 sa odsek 3 dopĺňa písmenom d), ktoré znie: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„d) kontroluje vyšetrovanie, ktoré vedú obvodné banské úrady podľa § 41 ods. ods. 1 písm. b) a ak má pochybnosti o správnosti postupu obvodného banského úradu, alebo na základe iného zreteľa hodného podnetu, preskúmava postup a závery tohto vyšetrovania; pri zistení nedostatkov vo vyšetrovaní, je oprávnený nariadiť obvodnému banskému úradu zistené nedostatky odstrániť“.</w:t>
      </w:r>
    </w:p>
    <w:p w:rsidR="000A47F6" w:rsidRPr="00120D33" w:rsidP="000A47F6">
      <w:pPr>
        <w:bidi w:val="0"/>
        <w:spacing w:after="0"/>
        <w:ind w:left="720"/>
        <w:jc w:val="both"/>
        <w:rPr>
          <w:rFonts w:ascii="Times New Roman" w:hAnsi="Times New Roman"/>
        </w:rPr>
      </w:pPr>
    </w:p>
    <w:p w:rsidR="000A47F6" w:rsidRPr="00120D33" w:rsidP="000A47F6">
      <w:pPr>
        <w:numPr>
          <w:numId w:val="43"/>
        </w:numPr>
        <w:bidi w:val="0"/>
        <w:spacing w:after="0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>V § 41 ods. 1 písm. b) sa čiarka na konci nahrádza bodkočiarkou a pripájajú sa tieto slová: „v prípade potreby je obvodný banský úrad oprávnený požiadať pri vyšetrovaní o súčinnosť orgány činné v trestnom konaní,“.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</w:rPr>
      </w:pPr>
    </w:p>
    <w:p w:rsidR="000A47F6" w:rsidRPr="00120D33" w:rsidP="000A47F6">
      <w:pPr>
        <w:bidi w:val="0"/>
        <w:spacing w:after="0"/>
        <w:jc w:val="center"/>
        <w:rPr>
          <w:rFonts w:ascii="Times New Roman" w:hAnsi="Times New Roman"/>
          <w:b/>
        </w:rPr>
      </w:pPr>
      <w:r w:rsidRPr="00120D33">
        <w:rPr>
          <w:rFonts w:ascii="Times New Roman" w:hAnsi="Times New Roman"/>
          <w:b/>
        </w:rPr>
        <w:t>Čl. II</w:t>
      </w:r>
    </w:p>
    <w:p w:rsidR="000A47F6" w:rsidRPr="00120D33" w:rsidP="000A47F6">
      <w:pPr>
        <w:bidi w:val="0"/>
        <w:spacing w:after="0"/>
        <w:jc w:val="both"/>
        <w:rPr>
          <w:rFonts w:ascii="Times New Roman" w:hAnsi="Times New Roman"/>
          <w:b/>
        </w:rPr>
      </w:pP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120D33">
        <w:rPr>
          <w:rFonts w:ascii="Times New Roman" w:hAnsi="Times New Roman"/>
        </w:rPr>
        <w:t xml:space="preserve">Tento zákon nadobúda účinnosť 1. </w:t>
      </w:r>
      <w:r w:rsidRPr="00120D33" w:rsidR="0025656B">
        <w:rPr>
          <w:rFonts w:ascii="Times New Roman" w:hAnsi="Times New Roman"/>
        </w:rPr>
        <w:t>decembra 2018</w:t>
      </w:r>
      <w:r w:rsidRPr="00120D33">
        <w:rPr>
          <w:rFonts w:ascii="Times New Roman" w:hAnsi="Times New Roman"/>
        </w:rPr>
        <w:t>.</w:t>
      </w:r>
    </w:p>
    <w:p w:rsidR="000A47F6" w:rsidRPr="00120D33" w:rsidP="000A47F6">
      <w:pPr>
        <w:bidi w:val="0"/>
        <w:spacing w:after="0"/>
        <w:ind w:firstLine="708"/>
        <w:jc w:val="both"/>
        <w:rPr>
          <w:rFonts w:ascii="Times New Roman" w:hAnsi="Times New Roman"/>
        </w:rPr>
      </w:pPr>
    </w:p>
    <w:p w:rsidR="000A47F6" w:rsidRPr="00120D33" w:rsidP="000A47F6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9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F6E5A0A"/>
    <w:multiLevelType w:val="hybridMultilevel"/>
    <w:tmpl w:val="84D67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8"/>
  </w:num>
  <w:num w:numId="5">
    <w:abstractNumId w:val="19"/>
  </w:num>
  <w:num w:numId="6">
    <w:abstractNumId w:val="42"/>
  </w:num>
  <w:num w:numId="7">
    <w:abstractNumId w:val="22"/>
  </w:num>
  <w:num w:numId="8">
    <w:abstractNumId w:val="36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4"/>
  </w:num>
  <w:num w:numId="18">
    <w:abstractNumId w:val="29"/>
  </w:num>
  <w:num w:numId="19">
    <w:abstractNumId w:val="13"/>
  </w:num>
  <w:num w:numId="20">
    <w:abstractNumId w:val="23"/>
  </w:num>
  <w:num w:numId="21">
    <w:abstractNumId w:val="3"/>
  </w:num>
  <w:num w:numId="22">
    <w:abstractNumId w:val="14"/>
  </w:num>
  <w:num w:numId="23">
    <w:abstractNumId w:val="17"/>
  </w:num>
  <w:num w:numId="24">
    <w:abstractNumId w:val="31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5"/>
  </w:num>
  <w:num w:numId="34">
    <w:abstractNumId w:val="7"/>
  </w:num>
  <w:num w:numId="35">
    <w:abstractNumId w:val="4"/>
  </w:num>
  <w:num w:numId="36">
    <w:abstractNumId w:val="33"/>
  </w:num>
  <w:num w:numId="37">
    <w:abstractNumId w:val="12"/>
  </w:num>
  <w:num w:numId="38">
    <w:abstractNumId w:val="26"/>
  </w:num>
  <w:num w:numId="39">
    <w:abstractNumId w:val="18"/>
  </w:num>
  <w:num w:numId="40">
    <w:abstractNumId w:val="25"/>
  </w:num>
  <w:num w:numId="41">
    <w:abstractNumId w:val="1"/>
  </w:num>
  <w:num w:numId="42">
    <w:abstractNumId w:val="30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0D33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56B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45FFE"/>
    <w:rsid w:val="007519BD"/>
    <w:rsid w:val="007567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72C00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08A0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7236"/>
    <w:rsid w:val="00CF0F6C"/>
    <w:rsid w:val="00CF33D8"/>
    <w:rsid w:val="00CF3D24"/>
    <w:rsid w:val="00CF765C"/>
    <w:rsid w:val="00D10281"/>
    <w:rsid w:val="00D12E36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57250"/>
    <w:rsid w:val="00E61ACA"/>
    <w:rsid w:val="00E61D46"/>
    <w:rsid w:val="00E62EEE"/>
    <w:rsid w:val="00E63086"/>
    <w:rsid w:val="00E672E5"/>
    <w:rsid w:val="00E7268D"/>
    <w:rsid w:val="00E77FA0"/>
    <w:rsid w:val="00E84139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0381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67B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676</Words>
  <Characters>3856</Characters>
  <Application>Microsoft Office Word</Application>
  <DocSecurity>0</DocSecurity>
  <Lines>0</Lines>
  <Paragraphs>0</Paragraphs>
  <ScaleCrop>false</ScaleCrop>
  <Company>MVSR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</cp:lastModifiedBy>
  <cp:revision>4</cp:revision>
  <cp:lastPrinted>2018-08-23T12:13:00Z</cp:lastPrinted>
  <dcterms:created xsi:type="dcterms:W3CDTF">2018-08-11T11:54:00Z</dcterms:created>
  <dcterms:modified xsi:type="dcterms:W3CDTF">2018-08-23T12:14:00Z</dcterms:modified>
</cp:coreProperties>
</file>