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37D6" w:rsidRPr="00904FE2" w:rsidP="00C737D6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color w:val="000000" w:themeColor="tx1" w:themeShade="FF"/>
          <w:spacing w:val="20"/>
        </w:rPr>
      </w:pPr>
      <w:r w:rsidRPr="00904FE2">
        <w:rPr>
          <w:rFonts w:ascii="Book Antiqua" w:hAnsi="Book Antiqua"/>
          <w:b/>
          <w:color w:val="000000" w:themeColor="tx1" w:themeShade="FF"/>
          <w:spacing w:val="20"/>
        </w:rPr>
        <w:t>NÁRODNÁ  RADA  SLOVENSKEJ  REPUBLIKY</w:t>
      </w:r>
    </w:p>
    <w:p w:rsidR="00C5238B" w:rsidRPr="00904FE2" w:rsidP="00C737D6">
      <w:pPr>
        <w:widowControl w:val="0"/>
        <w:tabs>
          <w:tab w:val="left" w:leader="dot" w:pos="3515"/>
        </w:tabs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/>
          <w:color w:val="000000" w:themeColor="tx1" w:themeShade="FF"/>
          <w:spacing w:val="20"/>
        </w:rPr>
      </w:pPr>
      <w:r w:rsidRPr="00904FE2" w:rsidR="000B2FAE">
        <w:rPr>
          <w:rFonts w:ascii="Times New Roman" w:hAnsi="Times New Roman"/>
          <w:color w:val="000000" w:themeColor="tx1" w:themeShade="FF"/>
          <w:sz w:val="28"/>
          <w:szCs w:val="28"/>
        </w:rPr>
        <w:br/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  <w:r w:rsidRPr="00904FE2">
        <w:rPr>
          <w:rFonts w:ascii="Book Antiqua" w:hAnsi="Book Antiqua"/>
          <w:color w:val="000000" w:themeColor="tx1" w:themeShade="FF"/>
          <w:spacing w:val="20"/>
        </w:rPr>
        <w:t>VII. volebné obdobie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  <w:r w:rsidRPr="00904FE2">
        <w:rPr>
          <w:rFonts w:ascii="Book Antiqua" w:hAnsi="Book Antiqua"/>
          <w:b/>
          <w:color w:val="000000" w:themeColor="tx1" w:themeShade="FF"/>
          <w:spacing w:val="30"/>
        </w:rPr>
        <w:t>Návrh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  <w:spacing w:val="30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color w:val="000000" w:themeColor="tx1" w:themeShade="FF"/>
        </w:rPr>
      </w:pPr>
      <w:r w:rsidR="002A67AE">
        <w:rPr>
          <w:rFonts w:ascii="Book Antiqua" w:hAnsi="Book Antiqua"/>
          <w:b/>
          <w:caps/>
          <w:color w:val="000000" w:themeColor="tx1" w:themeShade="FF"/>
          <w:spacing w:val="30"/>
        </w:rPr>
        <w:t xml:space="preserve">ÚSTAVNÝ </w:t>
      </w:r>
      <w:r w:rsidRPr="00904FE2">
        <w:rPr>
          <w:rFonts w:ascii="Book Antiqua" w:hAnsi="Book Antiqua"/>
          <w:b/>
          <w:caps/>
          <w:color w:val="000000" w:themeColor="tx1" w:themeShade="FF"/>
          <w:spacing w:val="30"/>
        </w:rPr>
        <w:t>zákon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color w:val="000000" w:themeColor="tx1" w:themeShade="FF"/>
        </w:rPr>
      </w:pP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</w:rPr>
      </w:pPr>
      <w:r w:rsidRPr="00904FE2">
        <w:rPr>
          <w:rFonts w:ascii="Book Antiqua" w:hAnsi="Book Antiqua"/>
          <w:color w:val="000000" w:themeColor="tx1" w:themeShade="FF"/>
        </w:rPr>
        <w:t>z ... 201</w:t>
      </w:r>
      <w:r w:rsidR="00971CF1">
        <w:rPr>
          <w:rFonts w:ascii="Book Antiqua" w:hAnsi="Book Antiqua"/>
          <w:color w:val="000000" w:themeColor="tx1" w:themeShade="FF"/>
        </w:rPr>
        <w:t>8</w:t>
      </w:r>
      <w:r w:rsidRPr="00904FE2">
        <w:rPr>
          <w:rFonts w:ascii="Book Antiqua" w:hAnsi="Book Antiqua"/>
          <w:color w:val="000000" w:themeColor="tx1" w:themeShade="FF"/>
        </w:rPr>
        <w:t>,</w:t>
      </w:r>
    </w:p>
    <w:p w:rsidR="00C5238B" w:rsidRPr="00904FE2" w:rsidP="00C5238B">
      <w:pPr>
        <w:bidi w:val="0"/>
        <w:spacing w:before="120" w:after="0"/>
        <w:jc w:val="center"/>
        <w:rPr>
          <w:rFonts w:ascii="Book Antiqua" w:hAnsi="Book Antiqua"/>
          <w:b/>
          <w:color w:val="000000" w:themeColor="tx1" w:themeShade="FF"/>
        </w:rPr>
      </w:pPr>
    </w:p>
    <w:p w:rsidR="002A67AE" w:rsidRPr="002A67AE" w:rsidP="002A67AE">
      <w:pPr>
        <w:widowControl w:val="0"/>
        <w:autoSpaceDE w:val="0"/>
        <w:bidi w:val="0"/>
        <w:spacing w:after="140" w:line="288" w:lineRule="auto"/>
        <w:jc w:val="both"/>
        <w:rPr>
          <w:rFonts w:ascii="Book Antiqua" w:hAnsi="Book Antiqua" w:cs="Liberation Serif"/>
          <w:b/>
          <w:color w:val="000000"/>
          <w:kern w:val="1"/>
          <w:sz w:val="28"/>
          <w:szCs w:val="28"/>
        </w:rPr>
      </w:pPr>
      <w:r w:rsidRPr="002A67AE">
        <w:rPr>
          <w:rFonts w:ascii="Book Antiqua" w:hAnsi="Book Antiqua"/>
          <w:b/>
          <w:color w:val="000000"/>
          <w:kern w:val="1"/>
        </w:rPr>
        <w:t xml:space="preserve">ktorým sa dopĺňa </w:t>
      </w:r>
      <w:r w:rsidRPr="002A67AE">
        <w:rPr>
          <w:rFonts w:ascii="Book Antiqua" w:hAnsi="Book Antiqua" w:cs="Liberation Serif"/>
          <w:b/>
          <w:color w:val="000000"/>
          <w:kern w:val="1"/>
          <w:szCs w:val="28"/>
        </w:rPr>
        <w:t xml:space="preserve">Ústava Slovenskej republiky č. 460/1992 Zb. v znení neskorších predpisov </w:t>
      </w:r>
    </w:p>
    <w:p w:rsidR="00C5238B" w:rsidRPr="00904FE2" w:rsidP="00C5238B">
      <w:pPr>
        <w:pStyle w:val="TextBody"/>
        <w:bidi w:val="0"/>
        <w:jc w:val="center"/>
        <w:rPr>
          <w:rFonts w:ascii="Book Antiqua" w:hAnsi="Book Antiqua" w:cs="Times New Roman"/>
          <w:color w:themeColor="tx1" w:themeShade="FF"/>
          <w:sz w:val="22"/>
          <w:szCs w:val="22"/>
        </w:rPr>
      </w:pPr>
    </w:p>
    <w:p w:rsidR="00C5238B" w:rsidP="00C5238B">
      <w:pPr>
        <w:pStyle w:val="TextBody"/>
        <w:bidi w:val="0"/>
        <w:rPr>
          <w:rFonts w:ascii="Book Antiqua" w:hAnsi="Book Antiqua" w:cs="Times New Roman"/>
          <w:color w:themeColor="tx1" w:themeShade="FF"/>
          <w:sz w:val="22"/>
          <w:szCs w:val="22"/>
        </w:rPr>
      </w:pPr>
      <w:r w:rsidRPr="00904FE2">
        <w:rPr>
          <w:rFonts w:ascii="Book Antiqua" w:hAnsi="Book Antiqua" w:cs="Times New Roman"/>
          <w:color w:themeColor="tx1" w:themeShade="FF"/>
          <w:sz w:val="22"/>
          <w:szCs w:val="22"/>
        </w:rPr>
        <w:t>Národná rada Slovenskej republiky sa uzniesla na tomto</w:t>
      </w:r>
      <w:r w:rsidRPr="00904FE2" w:rsidR="0032109D">
        <w:rPr>
          <w:rFonts w:ascii="Book Antiqua" w:hAnsi="Book Antiqua" w:cs="Times New Roman"/>
          <w:color w:themeColor="tx1" w:themeShade="FF"/>
          <w:sz w:val="22"/>
          <w:szCs w:val="22"/>
        </w:rPr>
        <w:t xml:space="preserve"> </w:t>
      </w:r>
      <w:r w:rsidR="002A67AE">
        <w:rPr>
          <w:rFonts w:ascii="Book Antiqua" w:hAnsi="Book Antiqua" w:cs="Times New Roman"/>
          <w:color w:themeColor="tx1" w:themeShade="FF"/>
          <w:sz w:val="22"/>
          <w:szCs w:val="22"/>
        </w:rPr>
        <w:t xml:space="preserve">ústavnom </w:t>
      </w:r>
      <w:r w:rsidRPr="00904FE2">
        <w:rPr>
          <w:rFonts w:ascii="Book Antiqua" w:hAnsi="Book Antiqua" w:cs="Times New Roman"/>
          <w:color w:themeColor="tx1" w:themeShade="FF"/>
          <w:sz w:val="22"/>
          <w:szCs w:val="22"/>
        </w:rPr>
        <w:t>zákone:</w:t>
      </w:r>
    </w:p>
    <w:p w:rsidR="00076701" w:rsidRPr="00904FE2" w:rsidP="00C5238B">
      <w:pPr>
        <w:pStyle w:val="TextBody"/>
        <w:bidi w:val="0"/>
        <w:rPr>
          <w:rFonts w:ascii="Book Antiqua" w:hAnsi="Book Antiqua" w:cs="Times New Roman"/>
          <w:color w:themeColor="tx1" w:themeShade="FF"/>
          <w:sz w:val="22"/>
          <w:szCs w:val="22"/>
        </w:rPr>
      </w:pPr>
    </w:p>
    <w:p w:rsidR="00C5238B" w:rsidRPr="00904FE2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C5238B" w:rsidRPr="00904FE2" w:rsidP="00C5238B">
      <w:pPr>
        <w:pStyle w:val="Default"/>
        <w:bidi w:val="0"/>
        <w:jc w:val="center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themeColor="tx1" w:themeShade="FF"/>
          <w:sz w:val="22"/>
          <w:szCs w:val="22"/>
          <w:lang w:eastAsia="en-US" w:bidi="ar-SA"/>
        </w:rPr>
        <w:t>Čl. I</w:t>
      </w:r>
    </w:p>
    <w:p w:rsidR="00C5238B" w:rsidRPr="004719AB" w:rsidP="00C5238B">
      <w:pPr>
        <w:pStyle w:val="Default"/>
        <w:bidi w:val="0"/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</w:pPr>
    </w:p>
    <w:p w:rsidR="002A67AE" w:rsidRPr="002A67AE" w:rsidP="002A67AE">
      <w:pPr>
        <w:widowControl w:val="0"/>
        <w:autoSpaceDE w:val="0"/>
        <w:bidi w:val="0"/>
        <w:spacing w:after="0" w:line="240" w:lineRule="auto"/>
        <w:jc w:val="both"/>
        <w:rPr>
          <w:rFonts w:ascii="Book Antiqua" w:hAnsi="Book Antiqua"/>
          <w:color w:val="000000" w:themeColor="tx1" w:themeShade="FF"/>
          <w:kern w:val="1"/>
          <w:lang w:eastAsia="en-US"/>
        </w:rPr>
      </w:pPr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>Ústava Slovenskej republiky č. 460/1992 Zb. v znení</w:t>
      </w:r>
      <w:r w:rsidRPr="002A67AE">
        <w:rPr>
          <w:rFonts w:ascii="Book Antiqua" w:hAnsi="Book Antiqua"/>
          <w:b/>
          <w:color w:val="000000" w:themeColor="tx1" w:themeShade="FF"/>
          <w:kern w:val="1"/>
          <w:lang w:bidi="hi-IN"/>
        </w:rPr>
        <w:t xml:space="preserve"> </w:t>
      </w:r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ústavného zákona č. </w:t>
      </w:r>
      <w:hyperlink r:id="rId5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244/1998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č. </w:t>
      </w:r>
      <w:hyperlink r:id="rId6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9/1999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č. </w:t>
      </w:r>
      <w:hyperlink r:id="rId7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90/2001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</w:t>
        <w:br/>
        <w:t xml:space="preserve">č.  </w:t>
      </w:r>
      <w:hyperlink r:id="rId8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140/2004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č. </w:t>
      </w:r>
      <w:hyperlink r:id="rId9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323/2004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č. </w:t>
      </w:r>
      <w:hyperlink r:id="rId10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463/2005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č. </w:t>
      </w:r>
      <w:hyperlink r:id="rId11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92/2006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č. </w:t>
      </w:r>
      <w:hyperlink r:id="rId12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210/2006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</w:t>
        <w:br/>
        <w:t xml:space="preserve">č.  </w:t>
      </w:r>
      <w:hyperlink r:id="rId13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100/2010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č. </w:t>
      </w:r>
      <w:hyperlink r:id="rId14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356/2011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č. </w:t>
      </w:r>
      <w:hyperlink r:id="rId15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232/2012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č. </w:t>
      </w:r>
      <w:hyperlink r:id="rId16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161/2014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ústavného zákona č. </w:t>
      </w:r>
      <w:hyperlink r:id="rId17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306/2014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 a ústavného zákona </w:t>
        <w:br/>
        <w:t xml:space="preserve">č. </w:t>
      </w:r>
      <w:hyperlink r:id="rId18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427/2015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, </w:t>
      </w:r>
      <w:hyperlink r:id="rId19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44/2017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 a </w:t>
      </w:r>
      <w:hyperlink r:id="rId20" w:history="1">
        <w:r w:rsidRPr="002A67AE">
          <w:rPr>
            <w:rFonts w:ascii="Book Antiqua" w:hAnsi="Book Antiqua"/>
            <w:color w:val="000000" w:themeColor="tx1" w:themeShade="FF"/>
            <w:kern w:val="1"/>
            <w:lang w:bidi="hi-IN"/>
          </w:rPr>
          <w:t>71/2017 Z. z.</w:t>
        </w:r>
      </w:hyperlink>
      <w:r w:rsidRPr="002A67AE">
        <w:rPr>
          <w:rFonts w:ascii="Book Antiqua" w:hAnsi="Book Antiqua"/>
          <w:color w:val="000000" w:themeColor="tx1" w:themeShade="FF"/>
          <w:kern w:val="1"/>
          <w:lang w:bidi="hi-IN"/>
        </w:rPr>
        <w:t xml:space="preserve"> sa</w:t>
      </w:r>
      <w:r>
        <w:rPr>
          <w:rFonts w:ascii="Book Antiqua" w:hAnsi="Book Antiqua"/>
          <w:color w:val="000000" w:themeColor="tx1" w:themeShade="FF"/>
          <w:kern w:val="1"/>
          <w:lang w:bidi="hi-IN"/>
        </w:rPr>
        <w:t xml:space="preserve"> mení a</w:t>
      </w:r>
      <w:r w:rsidRPr="002A67AE">
        <w:rPr>
          <w:rFonts w:ascii="Book Antiqua" w:hAnsi="Book Antiqua"/>
          <w:color w:val="000000" w:themeColor="tx1" w:themeShade="FF"/>
          <w:kern w:val="1"/>
          <w:lang w:eastAsia="en-US"/>
        </w:rPr>
        <w:t xml:space="preserve"> dopĺňa takto:</w:t>
      </w:r>
    </w:p>
    <w:p w:rsidR="00D21EA9" w:rsidRPr="00D21EA9" w:rsidP="00D21EA9">
      <w:pPr>
        <w:pStyle w:val="Default"/>
        <w:bidi w:val="0"/>
        <w:jc w:val="both"/>
        <w:rPr>
          <w:rFonts w:ascii="Book Antiqua" w:hAnsi="Book Antiqua" w:cs="Times New Roman"/>
          <w:kern w:val="2"/>
          <w:sz w:val="22"/>
          <w:szCs w:val="22"/>
          <w:lang w:bidi="ar-SA"/>
        </w:rPr>
      </w:pPr>
    </w:p>
    <w:p w:rsidR="00D21EA9" w:rsidP="00BD4297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2A67AE" w:rsidRPr="002A67AE" w:rsidP="002F28F7">
      <w:pPr>
        <w:numPr>
          <w:numId w:val="9"/>
        </w:numPr>
        <w:suppressAutoHyphens w:val="0"/>
        <w:bidi w:val="0"/>
        <w:spacing w:after="240" w:line="240" w:lineRule="auto"/>
        <w:jc w:val="both"/>
        <w:rPr>
          <w:rFonts w:ascii="Book Antiqua" w:hAnsi="Book Antiqua"/>
          <w:lang w:eastAsia="en-US"/>
        </w:rPr>
      </w:pPr>
      <w:r w:rsidR="00AC1932">
        <w:rPr>
          <w:rFonts w:ascii="Book Antiqua" w:hAnsi="Book Antiqua"/>
          <w:lang w:eastAsia="en-US"/>
        </w:rPr>
        <w:t>V</w:t>
      </w:r>
      <w:r>
        <w:rPr>
          <w:rFonts w:ascii="Book Antiqua" w:hAnsi="Book Antiqua"/>
          <w:lang w:eastAsia="en-US"/>
        </w:rPr>
        <w:t> čl. 89 ods. 2 písm. d) sa za slová  „</w:t>
      </w:r>
      <w:r w:rsidRPr="002A67AE">
        <w:rPr>
          <w:rFonts w:ascii="Book Antiqua" w:hAnsi="Book Antiqua"/>
          <w:lang w:eastAsia="en-US"/>
        </w:rPr>
        <w:t>voľbu prezidenta Slovenskej republiky</w:t>
      </w:r>
      <w:r>
        <w:rPr>
          <w:rFonts w:ascii="Book Antiqua" w:hAnsi="Book Antiqua"/>
          <w:lang w:eastAsia="en-US"/>
        </w:rPr>
        <w:t xml:space="preserve">“ vkladajú slová </w:t>
      </w:r>
      <w:r w:rsidR="002F28F7">
        <w:rPr>
          <w:rFonts w:ascii="Book Antiqua" w:hAnsi="Book Antiqua"/>
          <w:lang w:eastAsia="en-US"/>
        </w:rPr>
        <w:br/>
      </w:r>
      <w:r>
        <w:rPr>
          <w:rFonts w:ascii="Book Antiqua" w:hAnsi="Book Antiqua"/>
          <w:lang w:eastAsia="en-US"/>
        </w:rPr>
        <w:t>„</w:t>
      </w:r>
      <w:r w:rsidRPr="002A67AE">
        <w:rPr>
          <w:rFonts w:ascii="Book Antiqua" w:hAnsi="Book Antiqua"/>
          <w:lang w:eastAsia="en-US"/>
        </w:rPr>
        <w:t>,</w:t>
      </w:r>
      <w:r w:rsidR="001B62C2">
        <w:rPr>
          <w:rFonts w:ascii="Book Antiqua" w:hAnsi="Book Antiqua"/>
          <w:lang w:eastAsia="en-US"/>
        </w:rPr>
        <w:t xml:space="preserve"> </w:t>
      </w:r>
      <w:r w:rsidRPr="002A67AE">
        <w:rPr>
          <w:rFonts w:ascii="Book Antiqua" w:hAnsi="Book Antiqua"/>
          <w:lang w:eastAsia="en-US"/>
        </w:rPr>
        <w:t>voľbu generálneho prokurátora</w:t>
      </w:r>
      <w:r>
        <w:rPr>
          <w:rFonts w:ascii="Book Antiqua" w:hAnsi="Book Antiqua"/>
          <w:lang w:eastAsia="en-US"/>
        </w:rPr>
        <w:t>“.</w:t>
      </w:r>
    </w:p>
    <w:p w:rsidR="002A67AE" w:rsidRPr="002A67AE" w:rsidP="002F28F7">
      <w:pPr>
        <w:numPr>
          <w:numId w:val="9"/>
        </w:numPr>
        <w:suppressAutoHyphens w:val="0"/>
        <w:bidi w:val="0"/>
        <w:spacing w:after="240" w:line="240" w:lineRule="auto"/>
        <w:jc w:val="both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 čl. 89 ods. 2 písm. e) sa za slová  „</w:t>
      </w:r>
      <w:r w:rsidRPr="002A67AE">
        <w:rPr>
          <w:rFonts w:ascii="Book Antiqua" w:hAnsi="Book Antiqua"/>
          <w:lang w:eastAsia="en-US"/>
        </w:rPr>
        <w:t>prezidenta Slovenskej republiky,</w:t>
      </w:r>
      <w:r>
        <w:rPr>
          <w:rFonts w:ascii="Book Antiqua" w:hAnsi="Book Antiqua"/>
          <w:lang w:eastAsia="en-US"/>
        </w:rPr>
        <w:t>“ vkladajú slová</w:t>
      </w:r>
      <w:r w:rsidR="002F28F7">
        <w:rPr>
          <w:rFonts w:ascii="Book Antiqua" w:hAnsi="Book Antiqua"/>
          <w:lang w:eastAsia="en-US"/>
        </w:rPr>
        <w:t xml:space="preserve"> </w:t>
      </w:r>
      <w:r w:rsidR="001B62C2">
        <w:rPr>
          <w:rFonts w:ascii="Book Antiqua" w:hAnsi="Book Antiqua"/>
          <w:lang w:eastAsia="en-US"/>
        </w:rPr>
        <w:br/>
      </w:r>
      <w:r>
        <w:rPr>
          <w:rFonts w:ascii="Book Antiqua" w:hAnsi="Book Antiqua"/>
          <w:lang w:eastAsia="en-US"/>
        </w:rPr>
        <w:t>„</w:t>
      </w:r>
      <w:r w:rsidR="001B62C2">
        <w:rPr>
          <w:rFonts w:ascii="Book Antiqua" w:hAnsi="Book Antiqua"/>
          <w:lang w:eastAsia="en-US"/>
        </w:rPr>
        <w:t xml:space="preserve">a </w:t>
      </w:r>
      <w:r>
        <w:rPr>
          <w:rFonts w:ascii="Book Antiqua" w:hAnsi="Book Antiqua"/>
          <w:lang w:eastAsia="en-US"/>
        </w:rPr>
        <w:t>referendum o odvolaní</w:t>
      </w:r>
      <w:r w:rsidRPr="002A67AE">
        <w:rPr>
          <w:rFonts w:ascii="Book Antiqua" w:hAnsi="Book Antiqua"/>
          <w:lang w:eastAsia="en-US"/>
        </w:rPr>
        <w:t xml:space="preserve"> generálneho prokurátora</w:t>
      </w:r>
      <w:r w:rsidR="001B62C2">
        <w:rPr>
          <w:rFonts w:ascii="Book Antiqua" w:hAnsi="Book Antiqua"/>
          <w:lang w:eastAsia="en-US"/>
        </w:rPr>
        <w:t>,</w:t>
      </w:r>
      <w:r>
        <w:rPr>
          <w:rFonts w:ascii="Book Antiqua" w:hAnsi="Book Antiqua"/>
          <w:lang w:eastAsia="en-US"/>
        </w:rPr>
        <w:t>“.</w:t>
      </w:r>
    </w:p>
    <w:p w:rsidR="002A67AE" w:rsidP="00AC1932">
      <w:pPr>
        <w:numPr>
          <w:numId w:val="9"/>
        </w:numPr>
        <w:suppressAutoHyphens w:val="0"/>
        <w:bidi w:val="0"/>
        <w:spacing w:after="240" w:line="240" w:lineRule="auto"/>
        <w:rPr>
          <w:rFonts w:ascii="Book Antiqua" w:hAnsi="Book Antiqua"/>
          <w:lang w:eastAsia="en-US"/>
        </w:rPr>
      </w:pPr>
      <w:r w:rsidR="002F28F7">
        <w:rPr>
          <w:rFonts w:ascii="Book Antiqua" w:hAnsi="Book Antiqua"/>
          <w:lang w:eastAsia="en-US"/>
        </w:rPr>
        <w:t>V čl. 102 ods. 1 písm. t) sa vypúšťajú slová „, generálneho prokurátora“.</w:t>
      </w:r>
    </w:p>
    <w:p w:rsidR="002F28F7" w:rsidRPr="00B95850" w:rsidP="002F28F7">
      <w:pPr>
        <w:widowControl w:val="0"/>
        <w:numPr>
          <w:numId w:val="9"/>
        </w:numPr>
        <w:tabs>
          <w:tab w:val="left" w:pos="2835"/>
        </w:tabs>
        <w:autoSpaceDE w:val="0"/>
        <w:autoSpaceDN w:val="0"/>
        <w:bidi w:val="0"/>
        <w:adjustRightInd w:val="0"/>
        <w:spacing w:after="240" w:line="240" w:lineRule="auto"/>
        <w:jc w:val="both"/>
        <w:rPr>
          <w:rFonts w:ascii="Book Antiqua" w:hAnsi="Book Antiqua"/>
          <w:color w:val="000000"/>
          <w:kern w:val="1"/>
          <w:lang w:bidi="hi-IN"/>
        </w:rPr>
      </w:pPr>
      <w:r w:rsidRPr="00B95850">
        <w:rPr>
          <w:rFonts w:ascii="Book Antiqua" w:hAnsi="Book Antiqua"/>
          <w:lang w:eastAsia="en-US"/>
        </w:rPr>
        <w:t>V</w:t>
      </w:r>
      <w:r w:rsidR="00754BE7">
        <w:rPr>
          <w:rFonts w:ascii="Book Antiqua" w:hAnsi="Book Antiqua"/>
          <w:lang w:eastAsia="en-US"/>
        </w:rPr>
        <w:t> čl.</w:t>
      </w:r>
      <w:r w:rsidRPr="00B95850"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102 ods. 1</w:t>
      </w:r>
      <w:r w:rsidR="00754BE7">
        <w:rPr>
          <w:rFonts w:ascii="Book Antiqua" w:hAnsi="Book Antiqua"/>
          <w:lang w:eastAsia="en-US"/>
        </w:rPr>
        <w:t xml:space="preserve"> písm. u)</w:t>
      </w:r>
      <w:r w:rsidRPr="00B95850">
        <w:rPr>
          <w:rFonts w:ascii="Book Antiqua" w:hAnsi="Book Antiqua"/>
          <w:lang w:eastAsia="en-US"/>
        </w:rPr>
        <w:t xml:space="preserve"> sa bodka na konci vety nahrádza čiarkou</w:t>
      </w:r>
      <w:r>
        <w:rPr>
          <w:rFonts w:ascii="Book Antiqua" w:hAnsi="Book Antiqua"/>
          <w:lang w:eastAsia="en-US"/>
        </w:rPr>
        <w:t>.</w:t>
      </w:r>
    </w:p>
    <w:p w:rsidR="002F28F7" w:rsidP="00AC1932">
      <w:pPr>
        <w:numPr>
          <w:numId w:val="9"/>
        </w:numPr>
        <w:suppressAutoHyphens w:val="0"/>
        <w:bidi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Čl. 102 ods. 1 sa dopĺňa písmenom v), ktoré znie:</w:t>
      </w:r>
    </w:p>
    <w:p w:rsidR="002F28F7" w:rsidP="002F28F7">
      <w:pPr>
        <w:suppressAutoHyphens w:val="0"/>
        <w:bidi w:val="0"/>
        <w:spacing w:after="240" w:line="240" w:lineRule="auto"/>
        <w:ind w:left="360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„odvoláva generálneho prokurátora.“.</w:t>
      </w:r>
    </w:p>
    <w:p w:rsidR="003E5FD4" w:rsidRPr="003E5FD4" w:rsidP="003E5FD4">
      <w:pPr>
        <w:numPr>
          <w:numId w:val="9"/>
        </w:numPr>
        <w:suppressAutoHyphens w:val="0"/>
        <w:bidi w:val="0"/>
        <w:spacing w:after="240" w:line="240" w:lineRule="auto"/>
        <w:jc w:val="both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 xml:space="preserve">V čl. 129 ods. 2 sa za slová </w:t>
      </w:r>
      <w:r w:rsidRPr="003E5FD4">
        <w:rPr>
          <w:rFonts w:ascii="Book Antiqua" w:hAnsi="Book Antiqua"/>
          <w:lang w:eastAsia="en-US"/>
        </w:rPr>
        <w:t>„prezidenta Slovenskej republiky,“ vkladajú slová</w:t>
      </w:r>
      <w:r>
        <w:rPr>
          <w:rFonts w:ascii="Book Antiqua" w:hAnsi="Book Antiqua"/>
          <w:lang w:eastAsia="en-US"/>
        </w:rPr>
        <w:t xml:space="preserve"> </w:t>
        <w:br/>
        <w:t>„volieb generálneho prokurátora Slovenskej republiky,“.</w:t>
      </w:r>
    </w:p>
    <w:p w:rsidR="003E5FD4" w:rsidRPr="003E5FD4" w:rsidP="003E5FD4">
      <w:pPr>
        <w:numPr>
          <w:numId w:val="9"/>
        </w:numPr>
        <w:suppressAutoHyphens w:val="0"/>
        <w:bidi w:val="0"/>
        <w:spacing w:after="240" w:line="240" w:lineRule="auto"/>
        <w:jc w:val="both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 xml:space="preserve">V čl. 129 ods. 3 sa za slová </w:t>
      </w:r>
      <w:r w:rsidRPr="003E5FD4">
        <w:rPr>
          <w:rFonts w:ascii="Book Antiqua" w:hAnsi="Book Antiqua"/>
          <w:lang w:eastAsia="en-US"/>
        </w:rPr>
        <w:t>„</w:t>
      </w:r>
      <w:r>
        <w:rPr>
          <w:rFonts w:ascii="Book Antiqua" w:hAnsi="Book Antiqua"/>
          <w:lang w:eastAsia="en-US"/>
        </w:rPr>
        <w:t>referenda</w:t>
      </w:r>
      <w:r w:rsidRPr="003E5FD4">
        <w:rPr>
          <w:rFonts w:ascii="Book Antiqua" w:hAnsi="Book Antiqua"/>
          <w:lang w:eastAsia="en-US"/>
        </w:rPr>
        <w:t>“ vkladajú slová</w:t>
      </w:r>
      <w:r>
        <w:rPr>
          <w:rFonts w:ascii="Book Antiqua" w:hAnsi="Book Antiqua"/>
          <w:lang w:eastAsia="en-US"/>
        </w:rPr>
        <w:t xml:space="preserve"> „, referenda o odvolaní generálneho prokurátora Slovenskej republiky“.</w:t>
      </w:r>
    </w:p>
    <w:p w:rsidR="00AC1932" w:rsidP="00AC1932">
      <w:pPr>
        <w:numPr>
          <w:numId w:val="9"/>
        </w:numPr>
        <w:suppressAutoHyphens w:val="0"/>
        <w:bidi w:val="0"/>
        <w:spacing w:after="240" w:line="240" w:lineRule="auto"/>
        <w:rPr>
          <w:rFonts w:ascii="Book Antiqua" w:hAnsi="Book Antiqua"/>
          <w:lang w:eastAsia="en-US"/>
        </w:rPr>
      </w:pPr>
      <w:r w:rsidR="002F28F7">
        <w:rPr>
          <w:rFonts w:ascii="Book Antiqua" w:hAnsi="Book Antiqua"/>
          <w:lang w:eastAsia="en-US"/>
        </w:rPr>
        <w:t>Čl. 150</w:t>
      </w:r>
      <w:r w:rsidR="004E109D">
        <w:rPr>
          <w:rFonts w:ascii="Book Antiqua" w:hAnsi="Book Antiqua"/>
          <w:lang w:eastAsia="en-US"/>
        </w:rPr>
        <w:t xml:space="preserve"> znie</w:t>
      </w:r>
      <w:r>
        <w:rPr>
          <w:rFonts w:ascii="Book Antiqua" w:hAnsi="Book Antiqua"/>
          <w:lang w:eastAsia="en-US"/>
        </w:rPr>
        <w:t>:</w:t>
      </w:r>
    </w:p>
    <w:p w:rsidR="00343279" w:rsidP="00343279">
      <w:pPr>
        <w:suppressAutoHyphens w:val="0"/>
        <w:bidi w:val="0"/>
        <w:spacing w:after="240"/>
        <w:ind w:left="357"/>
        <w:jc w:val="both"/>
        <w:rPr>
          <w:rFonts w:ascii="Book Antiqua" w:hAnsi="Book Antiqua"/>
          <w:lang w:eastAsia="en-US"/>
        </w:rPr>
      </w:pPr>
      <w:r w:rsidR="002F28F7">
        <w:rPr>
          <w:rFonts w:ascii="Book Antiqua" w:hAnsi="Book Antiqua"/>
          <w:lang w:eastAsia="en-US"/>
        </w:rPr>
        <w:t>„</w:t>
      </w:r>
      <w:r>
        <w:rPr>
          <w:rFonts w:ascii="Book Antiqua" w:hAnsi="Book Antiqua"/>
          <w:lang w:eastAsia="en-US"/>
        </w:rPr>
        <w:t xml:space="preserve">(1) </w:t>
      </w:r>
      <w:r w:rsidRPr="002F28F7" w:rsidR="002F28F7">
        <w:rPr>
          <w:rFonts w:ascii="Book Antiqua" w:hAnsi="Book Antiqua"/>
          <w:lang w:eastAsia="en-US"/>
        </w:rPr>
        <w:t>Na čele prokuratúry je generálny prokurátor, ktorého volia</w:t>
      </w:r>
      <w:r w:rsidRPr="00343279">
        <w:rPr>
          <w:rFonts w:ascii="Book Antiqua" w:hAnsi="Book Antiqua"/>
          <w:lang w:eastAsia="en-US"/>
        </w:rPr>
        <w:t xml:space="preserve"> prokurátori Slovenskej republiky, sudcovia Slovenskej republiky, notári Slovenskej republiky, advokáti Slovenskej republiky a exekútori Slovenskej republiky</w:t>
      </w:r>
      <w:r w:rsidR="005852FB">
        <w:rPr>
          <w:rFonts w:ascii="Book Antiqua" w:hAnsi="Book Antiqua"/>
          <w:lang w:eastAsia="en-US"/>
        </w:rPr>
        <w:t xml:space="preserve"> (ďalej len „voliči GP“)</w:t>
      </w:r>
      <w:r w:rsidRPr="00343279">
        <w:rPr>
          <w:rFonts w:ascii="Book Antiqua" w:hAnsi="Book Antiqua"/>
          <w:lang w:eastAsia="en-US"/>
        </w:rPr>
        <w:t xml:space="preserve"> na návrh ktoréhokoľvek z</w:t>
      </w:r>
      <w:r>
        <w:rPr>
          <w:rFonts w:ascii="Book Antiqua" w:hAnsi="Book Antiqua"/>
          <w:lang w:eastAsia="en-US"/>
        </w:rPr>
        <w:t> </w:t>
      </w:r>
      <w:r w:rsidRPr="00343279">
        <w:rPr>
          <w:rFonts w:ascii="Book Antiqua" w:hAnsi="Book Antiqua"/>
          <w:lang w:eastAsia="en-US"/>
        </w:rPr>
        <w:t>nich</w:t>
      </w:r>
      <w:r>
        <w:rPr>
          <w:rFonts w:ascii="Book Antiqua" w:hAnsi="Book Antiqua"/>
          <w:lang w:eastAsia="en-US"/>
        </w:rPr>
        <w:t xml:space="preserve"> </w:t>
      </w:r>
      <w:r w:rsidRPr="002F28F7" w:rsidR="002F28F7">
        <w:rPr>
          <w:rFonts w:ascii="Book Antiqua" w:hAnsi="Book Antiqua"/>
          <w:lang w:eastAsia="en-US"/>
        </w:rPr>
        <w:t xml:space="preserve">v priamych voľbách tajným hlasovaním. </w:t>
      </w:r>
    </w:p>
    <w:p w:rsidR="00343279" w:rsidRPr="00343279" w:rsidP="00343279">
      <w:pPr>
        <w:suppressAutoHyphens w:val="0"/>
        <w:bidi w:val="0"/>
        <w:spacing w:after="240"/>
        <w:ind w:left="357"/>
        <w:jc w:val="both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 xml:space="preserve">(2) </w:t>
      </w:r>
      <w:r w:rsidRPr="002F28F7" w:rsidR="002F28F7">
        <w:rPr>
          <w:rFonts w:ascii="Book Antiqua" w:hAnsi="Book Antiqua"/>
          <w:lang w:eastAsia="en-US"/>
        </w:rPr>
        <w:t>Generálneho prokurátora odvoláva prezident Slovenskej republiky alebo</w:t>
      </w:r>
      <w:r>
        <w:rPr>
          <w:rFonts w:ascii="Book Antiqua" w:hAnsi="Book Antiqua"/>
          <w:lang w:eastAsia="en-US"/>
        </w:rPr>
        <w:t xml:space="preserve"> na základe referenda o odvolaní generálneho prokurátora </w:t>
      </w:r>
      <w:r w:rsidR="00596375">
        <w:rPr>
          <w:rFonts w:ascii="Book Antiqua" w:hAnsi="Book Antiqua"/>
          <w:lang w:eastAsia="en-US"/>
        </w:rPr>
        <w:t>voliči GP</w:t>
      </w:r>
      <w:r w:rsidR="00F14A0E">
        <w:rPr>
          <w:rFonts w:ascii="Book Antiqua" w:hAnsi="Book Antiqua"/>
          <w:lang w:eastAsia="en-US"/>
        </w:rPr>
        <w:t>.</w:t>
      </w:r>
      <w:r>
        <w:rPr>
          <w:rFonts w:ascii="Book Antiqua" w:hAnsi="Book Antiqua"/>
          <w:lang w:eastAsia="en-US"/>
        </w:rPr>
        <w:t xml:space="preserve"> Referendum o </w:t>
      </w:r>
      <w:r w:rsidRPr="00343279">
        <w:rPr>
          <w:rFonts w:ascii="Book Antiqua" w:hAnsi="Book Antiqua"/>
          <w:lang w:eastAsia="en-US"/>
        </w:rPr>
        <w:t>odvolaní generálneho prokurátora</w:t>
      </w:r>
      <w:r>
        <w:rPr>
          <w:rFonts w:ascii="Book Antiqua" w:hAnsi="Book Antiqua"/>
          <w:lang w:eastAsia="en-US"/>
        </w:rPr>
        <w:t xml:space="preserve"> vyhlasuje predseda Národnej rady Slovenskej republiky, ak o to petíciou požiada </w:t>
      </w:r>
      <w:r w:rsidRPr="00343279">
        <w:rPr>
          <w:rFonts w:ascii="Book Antiqua" w:hAnsi="Book Antiqua"/>
          <w:lang w:eastAsia="en-US"/>
        </w:rPr>
        <w:t xml:space="preserve">aspoň 33% z celkového počtu </w:t>
      </w:r>
      <w:r w:rsidR="005852FB">
        <w:rPr>
          <w:rFonts w:ascii="Book Antiqua" w:hAnsi="Book Antiqua"/>
          <w:lang w:eastAsia="en-US"/>
        </w:rPr>
        <w:t>voličov GP</w:t>
      </w:r>
      <w:r>
        <w:rPr>
          <w:rFonts w:ascii="Book Antiqua" w:hAnsi="Book Antiqua"/>
          <w:lang w:eastAsia="en-US"/>
        </w:rPr>
        <w:t xml:space="preserve">, </w:t>
      </w:r>
      <w:r w:rsidRPr="00343279">
        <w:rPr>
          <w:rFonts w:ascii="Book Antiqua" w:hAnsi="Book Antiqua"/>
          <w:lang w:eastAsia="en-US"/>
        </w:rPr>
        <w:t xml:space="preserve">a to do 30 dní od prijatia ich petície tak, </w:t>
      </w:r>
      <w:r w:rsidR="00596375">
        <w:rPr>
          <w:rFonts w:ascii="Book Antiqua" w:hAnsi="Book Antiqua"/>
          <w:lang w:eastAsia="en-US"/>
        </w:rPr>
        <w:br/>
      </w:r>
      <w:r w:rsidRPr="00343279">
        <w:rPr>
          <w:rFonts w:ascii="Book Antiqua" w:hAnsi="Book Antiqua"/>
          <w:lang w:eastAsia="en-US"/>
        </w:rPr>
        <w:t>aby sa referendum vykonalo do 60 dní od jeho vyhlásenia.</w:t>
      </w:r>
      <w:r>
        <w:rPr>
          <w:rFonts w:ascii="Book Antiqua" w:hAnsi="Book Antiqua"/>
          <w:lang w:eastAsia="en-US"/>
        </w:rPr>
        <w:t xml:space="preserve"> </w:t>
      </w:r>
      <w:r w:rsidRPr="00343279">
        <w:rPr>
          <w:rFonts w:ascii="Book Antiqua" w:hAnsi="Book Antiqua"/>
          <w:lang w:eastAsia="en-US"/>
        </w:rPr>
        <w:t xml:space="preserve">Výsledky referenda sú platné, </w:t>
      </w:r>
      <w:r w:rsidR="00596375">
        <w:rPr>
          <w:rFonts w:ascii="Book Antiqua" w:hAnsi="Book Antiqua"/>
          <w:lang w:eastAsia="en-US"/>
        </w:rPr>
        <w:br/>
      </w:r>
      <w:r w:rsidRPr="00343279">
        <w:rPr>
          <w:rFonts w:ascii="Book Antiqua" w:hAnsi="Book Antiqua"/>
          <w:lang w:eastAsia="en-US"/>
        </w:rPr>
        <w:t>ak sa na ňom zúčastnila nadpolovičná väčšina oprávnených voličov a ak bolo rozhodnutie prijaté nadpolovičnou väčšinou účastníkov referenda.</w:t>
      </w:r>
      <w:r>
        <w:rPr>
          <w:rFonts w:ascii="Book Antiqua" w:hAnsi="Book Antiqua"/>
          <w:lang w:eastAsia="en-US"/>
        </w:rPr>
        <w:t>“.</w:t>
      </w:r>
      <w:r w:rsidRPr="00343279">
        <w:rPr>
          <w:rFonts w:ascii="Book Antiqua" w:hAnsi="Book Antiqua"/>
          <w:lang w:eastAsia="en-US"/>
        </w:rPr>
        <w:t xml:space="preserve"> </w:t>
      </w:r>
    </w:p>
    <w:p w:rsidR="00F14A0E" w:rsidRPr="00D741BF" w:rsidP="00D741BF">
      <w:pPr>
        <w:pStyle w:val="ListParagraph"/>
        <w:numPr>
          <w:numId w:val="9"/>
        </w:numPr>
        <w:suppressAutoHyphens w:val="0"/>
        <w:bidi w:val="0"/>
        <w:spacing w:after="240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 xml:space="preserve">V čl. 151 sa </w:t>
      </w:r>
      <w:r w:rsidR="00D741BF">
        <w:rPr>
          <w:rFonts w:ascii="Book Antiqua" w:hAnsi="Book Antiqua"/>
          <w:lang w:eastAsia="en-US"/>
        </w:rPr>
        <w:t xml:space="preserve">za slová </w:t>
      </w:r>
      <w:r w:rsidRPr="00D741BF">
        <w:rPr>
          <w:rFonts w:ascii="Book Antiqua" w:hAnsi="Book Antiqua"/>
          <w:lang w:eastAsia="en-US"/>
        </w:rPr>
        <w:t>„o vymenúvaní“</w:t>
      </w:r>
      <w:r w:rsidR="00D741BF">
        <w:rPr>
          <w:rFonts w:ascii="Book Antiqua" w:hAnsi="Book Antiqua"/>
          <w:lang w:eastAsia="en-US"/>
        </w:rPr>
        <w:t xml:space="preserve"> vkladajú slová</w:t>
      </w:r>
      <w:r w:rsidRPr="00D741BF">
        <w:rPr>
          <w:rFonts w:ascii="Book Antiqua" w:hAnsi="Book Antiqua"/>
          <w:lang w:eastAsia="en-US"/>
        </w:rPr>
        <w:t xml:space="preserve"> „</w:t>
      </w:r>
      <w:r w:rsidR="00D741BF">
        <w:rPr>
          <w:rFonts w:ascii="Book Antiqua" w:hAnsi="Book Antiqua"/>
          <w:lang w:eastAsia="en-US"/>
        </w:rPr>
        <w:t xml:space="preserve">, </w:t>
      </w:r>
      <w:r w:rsidRPr="00D741BF">
        <w:rPr>
          <w:rFonts w:ascii="Book Antiqua" w:hAnsi="Book Antiqua"/>
          <w:lang w:eastAsia="en-US"/>
        </w:rPr>
        <w:t xml:space="preserve">o voľbe“. </w:t>
        <w:br/>
      </w:r>
    </w:p>
    <w:p w:rsidR="007A002C" w:rsidRPr="007A002C" w:rsidP="007A002C">
      <w:pPr>
        <w:pStyle w:val="Default"/>
        <w:bidi w:val="0"/>
        <w:jc w:val="center"/>
        <w:rPr>
          <w:rFonts w:ascii="Book Antiqua" w:hAnsi="Book Antiqua"/>
          <w:b/>
          <w:color w:themeColor="tx1" w:themeShade="FF"/>
        </w:rPr>
      </w:pPr>
      <w:r w:rsidRPr="007A002C">
        <w:rPr>
          <w:rFonts w:ascii="Book Antiqua" w:hAnsi="Book Antiqua"/>
          <w:b/>
          <w:color w:themeColor="tx1" w:themeShade="FF"/>
        </w:rPr>
        <w:t xml:space="preserve">Čl. </w:t>
      </w:r>
      <w:r w:rsidR="00C97D8D">
        <w:rPr>
          <w:rFonts w:ascii="Book Antiqua" w:hAnsi="Book Antiqua"/>
          <w:b/>
          <w:color w:themeColor="tx1" w:themeShade="FF"/>
        </w:rPr>
        <w:t>II</w:t>
      </w:r>
    </w:p>
    <w:p w:rsidR="001A3FA4" w:rsidRPr="00904FE2" w:rsidP="00C5238B">
      <w:pPr>
        <w:pStyle w:val="Default"/>
        <w:bidi w:val="0"/>
        <w:jc w:val="center"/>
        <w:rPr>
          <w:rFonts w:ascii="Book Antiqua" w:hAnsi="Book Antiqua" w:cs="Times New Roman"/>
          <w:b/>
          <w:color w:themeColor="tx1" w:themeShade="FF"/>
          <w:sz w:val="22"/>
          <w:szCs w:val="22"/>
          <w:lang w:bidi="ar-SA"/>
        </w:rPr>
      </w:pPr>
    </w:p>
    <w:p w:rsidR="00D30BED" w:rsidRPr="00D30BED" w:rsidP="00D30BED">
      <w:pPr>
        <w:pStyle w:val="Default"/>
        <w:bidi w:val="0"/>
        <w:rPr>
          <w:rFonts w:ascii="Book Antiqua" w:hAnsi="Book Antiqua"/>
          <w:color w:themeColor="tx1" w:themeShade="FF"/>
          <w:sz w:val="22"/>
          <w:lang w:bidi="ar-SA"/>
        </w:rPr>
      </w:pPr>
      <w:r w:rsidRPr="00D30BED">
        <w:rPr>
          <w:rFonts w:ascii="Book Antiqua" w:hAnsi="Book Antiqua"/>
          <w:color w:themeColor="tx1" w:themeShade="FF"/>
          <w:sz w:val="22"/>
          <w:lang w:bidi="ar-SA"/>
        </w:rPr>
        <w:t>Tento ústavný zákon nadobúda účinnosť pätnástym dňom po jeho vyhlásení v Zbierke zákonov.</w:t>
      </w:r>
    </w:p>
    <w:p w:rsidR="00343279" w:rsidRPr="00343279" w:rsidP="00343279">
      <w:pPr>
        <w:pStyle w:val="Default"/>
        <w:bidi w:val="0"/>
        <w:jc w:val="both"/>
        <w:rPr>
          <w:rFonts w:ascii="Book Antiqua" w:hAnsi="Book Antiqua"/>
          <w:color w:themeColor="tx1" w:themeShade="FF"/>
          <w:sz w:val="20"/>
        </w:rPr>
      </w:pPr>
      <w:r w:rsidRPr="00D30BED" w:rsidR="00D30BED">
        <w:rPr>
          <w:rFonts w:ascii="Book Antiqua" w:hAnsi="Book Antiqua"/>
          <w:color w:themeColor="tx1" w:themeShade="FF"/>
          <w:sz w:val="20"/>
        </w:rPr>
        <w:tab/>
      </w:r>
      <w:r w:rsidRPr="00343279">
        <w:rPr>
          <w:rFonts w:ascii="Book Antiqua" w:hAnsi="Book Antiqua"/>
          <w:color w:themeColor="tx1" w:themeShade="FF"/>
          <w:sz w:val="20"/>
        </w:rPr>
        <w:t xml:space="preserve"> </w:t>
      </w:r>
    </w:p>
    <w:p w:rsidR="00511D6B" w:rsidRPr="00D30BED" w:rsidP="00D30BED">
      <w:pPr>
        <w:pStyle w:val="Default"/>
        <w:bidi w:val="0"/>
        <w:jc w:val="both"/>
        <w:rPr>
          <w:rFonts w:ascii="Book Antiqua" w:hAnsi="Book Antiqua"/>
          <w:color w:themeColor="tx1" w:themeShade="FF"/>
          <w:sz w:val="20"/>
        </w:rPr>
      </w:pPr>
    </w:p>
    <w:sectPr w:rsidSect="00B46F1D">
      <w:pgSz w:w="11906" w:h="16838"/>
      <w:pgMar w:top="1134" w:right="1134" w:bottom="709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3CD1E6"/>
    <w:name w:val="WW8Num1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7C87D83"/>
    <w:multiLevelType w:val="hybridMultilevel"/>
    <w:tmpl w:val="8B6E9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7187AFB"/>
    <w:multiLevelType w:val="hybridMultilevel"/>
    <w:tmpl w:val="1868D6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AA656BA"/>
    <w:multiLevelType w:val="hybridMultilevel"/>
    <w:tmpl w:val="B602E2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4A84989"/>
    <w:multiLevelType w:val="hybridMultilevel"/>
    <w:tmpl w:val="8B6E9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6146904"/>
    <w:multiLevelType w:val="hybridMultilevel"/>
    <w:tmpl w:val="22E41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8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AF00035"/>
    <w:multiLevelType w:val="hybridMultilevel"/>
    <w:tmpl w:val="8B6E9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65B63589"/>
    <w:multiLevelType w:val="hybridMultilevel"/>
    <w:tmpl w:val="22E41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136AE"/>
    <w:rsid w:val="000156BB"/>
    <w:rsid w:val="00024802"/>
    <w:rsid w:val="00040DE1"/>
    <w:rsid w:val="00046A2D"/>
    <w:rsid w:val="00046C58"/>
    <w:rsid w:val="00050F30"/>
    <w:rsid w:val="00076701"/>
    <w:rsid w:val="00093552"/>
    <w:rsid w:val="000944BB"/>
    <w:rsid w:val="000B2FAE"/>
    <w:rsid w:val="000B6F55"/>
    <w:rsid w:val="000C156B"/>
    <w:rsid w:val="000E4DF9"/>
    <w:rsid w:val="00114D93"/>
    <w:rsid w:val="00122BC9"/>
    <w:rsid w:val="00126CC1"/>
    <w:rsid w:val="00142F44"/>
    <w:rsid w:val="00150F80"/>
    <w:rsid w:val="00162D55"/>
    <w:rsid w:val="001632E7"/>
    <w:rsid w:val="00170248"/>
    <w:rsid w:val="00186F2D"/>
    <w:rsid w:val="001A3FA4"/>
    <w:rsid w:val="001B62C2"/>
    <w:rsid w:val="001C329B"/>
    <w:rsid w:val="001D178D"/>
    <w:rsid w:val="001F012C"/>
    <w:rsid w:val="00205740"/>
    <w:rsid w:val="00265C56"/>
    <w:rsid w:val="002952F8"/>
    <w:rsid w:val="002A67AE"/>
    <w:rsid w:val="002C47FB"/>
    <w:rsid w:val="002F28F7"/>
    <w:rsid w:val="00300633"/>
    <w:rsid w:val="00310106"/>
    <w:rsid w:val="0032109D"/>
    <w:rsid w:val="00334AA1"/>
    <w:rsid w:val="003400DA"/>
    <w:rsid w:val="00343279"/>
    <w:rsid w:val="00361473"/>
    <w:rsid w:val="00361BB3"/>
    <w:rsid w:val="00365DBE"/>
    <w:rsid w:val="00377562"/>
    <w:rsid w:val="003857AC"/>
    <w:rsid w:val="003A3A79"/>
    <w:rsid w:val="003C1391"/>
    <w:rsid w:val="003E5FD4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93233"/>
    <w:rsid w:val="004B6DCB"/>
    <w:rsid w:val="004B7E36"/>
    <w:rsid w:val="004C5E2D"/>
    <w:rsid w:val="004D2B56"/>
    <w:rsid w:val="004E109D"/>
    <w:rsid w:val="004F09B2"/>
    <w:rsid w:val="00511D6B"/>
    <w:rsid w:val="0052606C"/>
    <w:rsid w:val="005270AD"/>
    <w:rsid w:val="0054171B"/>
    <w:rsid w:val="00551C8B"/>
    <w:rsid w:val="005852FB"/>
    <w:rsid w:val="00591AE0"/>
    <w:rsid w:val="00596375"/>
    <w:rsid w:val="005A59C2"/>
    <w:rsid w:val="005B4FBA"/>
    <w:rsid w:val="005C1514"/>
    <w:rsid w:val="005C4313"/>
    <w:rsid w:val="005E3ACF"/>
    <w:rsid w:val="006061FE"/>
    <w:rsid w:val="00626E0E"/>
    <w:rsid w:val="00634B93"/>
    <w:rsid w:val="00643142"/>
    <w:rsid w:val="006728FA"/>
    <w:rsid w:val="006974DD"/>
    <w:rsid w:val="006C1AE0"/>
    <w:rsid w:val="006C2592"/>
    <w:rsid w:val="006D167F"/>
    <w:rsid w:val="006F2586"/>
    <w:rsid w:val="0072063B"/>
    <w:rsid w:val="007239B0"/>
    <w:rsid w:val="00754BE7"/>
    <w:rsid w:val="00760B7D"/>
    <w:rsid w:val="0076667B"/>
    <w:rsid w:val="00786005"/>
    <w:rsid w:val="007A002C"/>
    <w:rsid w:val="007A63D5"/>
    <w:rsid w:val="007B47D4"/>
    <w:rsid w:val="007C25D3"/>
    <w:rsid w:val="007F08B9"/>
    <w:rsid w:val="00806CCD"/>
    <w:rsid w:val="00812F93"/>
    <w:rsid w:val="00820496"/>
    <w:rsid w:val="008224A0"/>
    <w:rsid w:val="008342EF"/>
    <w:rsid w:val="00852C90"/>
    <w:rsid w:val="008676DA"/>
    <w:rsid w:val="00880C25"/>
    <w:rsid w:val="00885E13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22C21"/>
    <w:rsid w:val="00923346"/>
    <w:rsid w:val="009436E6"/>
    <w:rsid w:val="00952DE4"/>
    <w:rsid w:val="00955481"/>
    <w:rsid w:val="009605D9"/>
    <w:rsid w:val="00971CF1"/>
    <w:rsid w:val="009A0093"/>
    <w:rsid w:val="009C0F61"/>
    <w:rsid w:val="009C73C3"/>
    <w:rsid w:val="009E1696"/>
    <w:rsid w:val="009F231C"/>
    <w:rsid w:val="00A15BC0"/>
    <w:rsid w:val="00A215B8"/>
    <w:rsid w:val="00A245E1"/>
    <w:rsid w:val="00A24B3C"/>
    <w:rsid w:val="00A553C3"/>
    <w:rsid w:val="00A63B57"/>
    <w:rsid w:val="00A66E22"/>
    <w:rsid w:val="00A8600F"/>
    <w:rsid w:val="00A96D4C"/>
    <w:rsid w:val="00AC1932"/>
    <w:rsid w:val="00AD21AC"/>
    <w:rsid w:val="00AE79FA"/>
    <w:rsid w:val="00B105A0"/>
    <w:rsid w:val="00B46F1D"/>
    <w:rsid w:val="00B5595C"/>
    <w:rsid w:val="00B845D6"/>
    <w:rsid w:val="00B85BD1"/>
    <w:rsid w:val="00B95850"/>
    <w:rsid w:val="00BB1482"/>
    <w:rsid w:val="00BB3EA3"/>
    <w:rsid w:val="00BB59C0"/>
    <w:rsid w:val="00BD4297"/>
    <w:rsid w:val="00C46AE6"/>
    <w:rsid w:val="00C5238B"/>
    <w:rsid w:val="00C71D1D"/>
    <w:rsid w:val="00C737D6"/>
    <w:rsid w:val="00C84EED"/>
    <w:rsid w:val="00C97D8D"/>
    <w:rsid w:val="00CA4E1A"/>
    <w:rsid w:val="00CB31F0"/>
    <w:rsid w:val="00CB42AB"/>
    <w:rsid w:val="00CD1F39"/>
    <w:rsid w:val="00CD5855"/>
    <w:rsid w:val="00D017AB"/>
    <w:rsid w:val="00D21EA9"/>
    <w:rsid w:val="00D23EF6"/>
    <w:rsid w:val="00D30BED"/>
    <w:rsid w:val="00D5015C"/>
    <w:rsid w:val="00D57E24"/>
    <w:rsid w:val="00D63EA2"/>
    <w:rsid w:val="00D70F0C"/>
    <w:rsid w:val="00D741BF"/>
    <w:rsid w:val="00D74E2D"/>
    <w:rsid w:val="00D809D0"/>
    <w:rsid w:val="00D93BED"/>
    <w:rsid w:val="00DA1A51"/>
    <w:rsid w:val="00DA38A7"/>
    <w:rsid w:val="00E43ADB"/>
    <w:rsid w:val="00E54985"/>
    <w:rsid w:val="00E92958"/>
    <w:rsid w:val="00E93C27"/>
    <w:rsid w:val="00EC3DE4"/>
    <w:rsid w:val="00ED7B5A"/>
    <w:rsid w:val="00EE3DBA"/>
    <w:rsid w:val="00EF71AD"/>
    <w:rsid w:val="00F14804"/>
    <w:rsid w:val="00F1494A"/>
    <w:rsid w:val="00F14A0E"/>
    <w:rsid w:val="00F216AA"/>
    <w:rsid w:val="00F31CDB"/>
    <w:rsid w:val="00F32E59"/>
    <w:rsid w:val="00F36282"/>
    <w:rsid w:val="00F40863"/>
    <w:rsid w:val="00F40EDF"/>
    <w:rsid w:val="00F4158F"/>
    <w:rsid w:val="00F41953"/>
    <w:rsid w:val="00F43BA8"/>
    <w:rsid w:val="00F450DA"/>
    <w:rsid w:val="00F47159"/>
    <w:rsid w:val="00F657D4"/>
    <w:rsid w:val="00F84A26"/>
    <w:rsid w:val="00FA155D"/>
    <w:rsid w:val="00FA6FFF"/>
    <w:rsid w:val="00FD19D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932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74E2D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  <w:lang w:val="x-none" w:eastAsia="zh-CN"/>
    </w:r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2F44"/>
    <w:rPr>
      <w:rFonts w:cs="Times New Roman"/>
      <w:color w:val="605E5C"/>
      <w:shd w:val="clear" w:color="auto" w:fill="E1DFDD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lov-lex.sk/pravne-predpisy/SK/ZZ/2005/463/20060101.html" TargetMode="External" /><Relationship Id="rId11" Type="http://schemas.openxmlformats.org/officeDocument/2006/relationships/hyperlink" Target="https://www.slov-lex.sk/pravne-predpisy/SK/ZZ/2006/92/20060401.html" TargetMode="External" /><Relationship Id="rId12" Type="http://schemas.openxmlformats.org/officeDocument/2006/relationships/hyperlink" Target="https://www.slov-lex.sk/pravne-predpisy/SK/ZZ/2006/210/20060501.html" TargetMode="External" /><Relationship Id="rId13" Type="http://schemas.openxmlformats.org/officeDocument/2006/relationships/hyperlink" Target="https://www.slov-lex.sk/pravne-predpisy/SK/ZZ/2010/100/20110101.html" TargetMode="External" /><Relationship Id="rId14" Type="http://schemas.openxmlformats.org/officeDocument/2006/relationships/hyperlink" Target="https://www.slov-lex.sk/pravne-predpisy/SK/ZZ/2011/356/20111025.html" TargetMode="External" /><Relationship Id="rId15" Type="http://schemas.openxmlformats.org/officeDocument/2006/relationships/hyperlink" Target="https://www.slov-lex.sk/pravne-predpisy/SK/ZZ/2012/232/20120901.html" TargetMode="External" /><Relationship Id="rId16" Type="http://schemas.openxmlformats.org/officeDocument/2006/relationships/hyperlink" Target="https://www.slov-lex.sk/pravne-predpisy/SK/ZZ/2014/161/20140901.html" TargetMode="External" /><Relationship Id="rId17" Type="http://schemas.openxmlformats.org/officeDocument/2006/relationships/hyperlink" Target="https://www.slov-lex.sk/pravne-predpisy/SK/ZZ/2014/306/20141201.html" TargetMode="External" /><Relationship Id="rId18" Type="http://schemas.openxmlformats.org/officeDocument/2006/relationships/hyperlink" Target="https://www.slov-lex.sk/pravne-predpisy/SK/ZZ/2015/427/20160101.html" TargetMode="External" /><Relationship Id="rId19" Type="http://schemas.openxmlformats.org/officeDocument/2006/relationships/hyperlink" Target="https://www.slov-lex.sk/pravne-predpisy/SK/ZZ/2017/44/20170227.htm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slov-lex.sk/pravne-predpisy/SK/ZZ/2017/71/20170404.html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1998/244/19980805.html" TargetMode="External" /><Relationship Id="rId6" Type="http://schemas.openxmlformats.org/officeDocument/2006/relationships/hyperlink" Target="https://www.slov-lex.sk/pravne-predpisy/SK/ZZ/1999/9/19990127.html" TargetMode="External" /><Relationship Id="rId7" Type="http://schemas.openxmlformats.org/officeDocument/2006/relationships/hyperlink" Target="https://www.slov-lex.sk/pravne-predpisy/SK/ZZ/2001/90/20010701.html" TargetMode="External" /><Relationship Id="rId8" Type="http://schemas.openxmlformats.org/officeDocument/2006/relationships/hyperlink" Target="https://www.slov-lex.sk/pravne-predpisy/SK/ZZ/2004/140/20040318.html" TargetMode="External" /><Relationship Id="rId9" Type="http://schemas.openxmlformats.org/officeDocument/2006/relationships/hyperlink" Target="https://www.slov-lex.sk/pravne-predpisy/SK/ZZ/2004/323/20040601.htm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0AD1-049A-4847-96F5-B66D0FE2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2</Pages>
  <Words>611</Words>
  <Characters>3483</Characters>
  <Application>Microsoft Office Word</Application>
  <DocSecurity>0</DocSecurity>
  <Lines>0</Lines>
  <Paragraphs>0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10</cp:revision>
  <cp:lastPrinted>2018-02-20T09:29:00Z</cp:lastPrinted>
  <dcterms:created xsi:type="dcterms:W3CDTF">2018-07-27T13:39:00Z</dcterms:created>
  <dcterms:modified xsi:type="dcterms:W3CDTF">2018-08-22T10:26:00Z</dcterms:modified>
</cp:coreProperties>
</file>