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E1E66" w:rsidRPr="004E1E66" w:rsidP="004E1E66">
      <w:pPr>
        <w:widowControl/>
        <w:autoSpaceDE/>
        <w:autoSpaceDN/>
        <w:bidi w:val="0"/>
        <w:spacing w:after="200" w:line="276" w:lineRule="auto"/>
        <w:jc w:val="center"/>
        <w:textAlignment w:val="auto"/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</w:pPr>
      <w:r w:rsidRPr="004E1E66"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>Dôvodová správa</w:t>
      </w:r>
    </w:p>
    <w:p w:rsidR="00212AA0" w:rsidRPr="009F6924" w:rsidP="00212AA0">
      <w:pPr>
        <w:widowControl/>
        <w:numPr>
          <w:numId w:val="1"/>
        </w:numPr>
        <w:autoSpaceDE/>
        <w:autoSpaceDN/>
        <w:bidi w:val="0"/>
        <w:spacing w:after="200" w:line="276" w:lineRule="auto"/>
        <w:ind w:left="270" w:hanging="270"/>
        <w:textAlignment w:val="auto"/>
        <w:rPr>
          <w:rFonts w:ascii="Book Antiqua" w:hAnsi="Book Antiqua" w:cs="Arial"/>
          <w:b/>
          <w:i/>
          <w:color w:val="000000"/>
          <w:kern w:val="0"/>
          <w:sz w:val="22"/>
          <w:szCs w:val="22"/>
          <w:lang w:bidi="ar-SA"/>
        </w:rPr>
      </w:pPr>
      <w:r>
        <w:rPr>
          <w:rFonts w:ascii="Book Antiqua" w:hAnsi="Book Antiqua" w:cs="Arial"/>
          <w:b/>
          <w:i/>
          <w:color w:val="000000"/>
          <w:kern w:val="0"/>
          <w:sz w:val="22"/>
          <w:szCs w:val="22"/>
          <w:lang w:bidi="ar-SA"/>
        </w:rPr>
        <w:t>Všeobecná časť</w:t>
      </w:r>
    </w:p>
    <w:p w:rsidR="00212AA0" w:rsidRPr="009F6924" w:rsidP="00212AA0">
      <w:pPr>
        <w:widowControl/>
        <w:autoSpaceDE/>
        <w:autoSpaceDN/>
        <w:bidi w:val="0"/>
        <w:spacing w:after="200" w:line="276" w:lineRule="auto"/>
        <w:ind w:left="360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>
        <w:rPr>
          <w:rFonts w:ascii="Times New Roman" w:hAnsi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Rovná spojovacia šípka 1" o:spid="_x0000_s1025" type="#_x0000_t32" style="width:455pt;height:0;margin-top:2.75pt;margin-left:-0.35pt;mso-wrap-distance-bottom:0pt;mso-wrap-distance-top:0pt;position:absolute;visibility:visible;z-index:251659264" filled="f" stroked="t">
            <v:path arrowok="t"/>
            <o:lock v:ext="edit" aspectratio="f" shapetype="t"/>
          </v:shape>
        </w:pict>
      </w:r>
    </w:p>
    <w:p w:rsidR="00212AA0" w:rsidRPr="00212AA0" w:rsidP="00212AA0">
      <w:pPr>
        <w:widowControl/>
        <w:autoSpaceDE/>
        <w:autoSpaceDN/>
        <w:bidi w:val="0"/>
        <w:spacing w:after="200" w:line="276" w:lineRule="auto"/>
        <w:ind w:firstLine="270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 w:rsidRPr="00212AA0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Poslanci za stranu Kotleba – Ľudová strana Naše Slovensko Marian Kotleba, Ján Kecskés</w:t>
      </w:r>
      <w:r w:rsidR="00682454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, Martin Beluský</w:t>
      </w:r>
      <w:r w:rsidRPr="00212AA0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a</w:t>
      </w:r>
      <w:r w:rsidR="00682454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 Milan Uhrík</w:t>
      </w:r>
      <w:r w:rsidRPr="00212AA0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predkladajú do Národnej rady Slovenskej republiky návrh zákona, ktorým sa men</w:t>
      </w:r>
      <w:r w:rsidR="00682454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ia a dopĺňajú zákon </w:t>
      </w:r>
      <w:r w:rsidRPr="00212AA0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č. </w:t>
      </w:r>
      <w:r w:rsidR="00682454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361/2004 Z. z. o dani z motorových vozidiel v znení neskorších predpisov a zákon č. </w:t>
      </w:r>
      <w:r w:rsidRPr="002642EA" w:rsidR="002642EA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587/2004 Z. z. o Environmentálnom fonde v znení neskorších predpisov</w:t>
      </w:r>
      <w:r w:rsidRPr="00212AA0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. </w:t>
      </w:r>
    </w:p>
    <w:p w:rsidR="00212AA0" w:rsidP="00212AA0">
      <w:pPr>
        <w:widowControl/>
        <w:autoSpaceDE/>
        <w:autoSpaceDN/>
        <w:bidi w:val="0"/>
        <w:spacing w:after="200" w:line="276" w:lineRule="auto"/>
        <w:ind w:firstLine="270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 w:rsidRPr="00212AA0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Cieľom uvedenej novely zákona je</w:t>
      </w:r>
      <w:r w:rsidR="001A55AD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zatraktívniť </w:t>
      </w:r>
      <w:r w:rsidR="009C044D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pre podnikateľské prostredie </w:t>
      </w:r>
      <w:r w:rsidR="00FC7ABD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nákup a registráciu </w:t>
      </w:r>
      <w:r w:rsidR="009C044D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vozid</w:t>
      </w:r>
      <w:r w:rsidR="00FC7ABD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iel</w:t>
      </w:r>
      <w:r w:rsidR="009C044D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, ktoré využívajú alternatívne druhy paliva alebo iný, alternatívny spôsob ich pohonu. </w:t>
      </w:r>
      <w:r w:rsidR="00D37E72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Ďalším cieľom je zaviesť dotácie na prestavbu vozidiel na dostupné alternatívne palivá pre fyzické osoby. </w:t>
      </w:r>
      <w:r w:rsidR="009C044D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Alternatívne palivá, ako LPG, CNG či iné druhy plynov sú z ekologického hľadiska oproti benzínu či nafte čistejšie palivá, ktoré výrazne menej zaťažujú životné prostredie. </w:t>
      </w:r>
    </w:p>
    <w:p w:rsidR="009C044D" w:rsidP="00212AA0">
      <w:pPr>
        <w:widowControl/>
        <w:autoSpaceDE/>
        <w:autoSpaceDN/>
        <w:bidi w:val="0"/>
        <w:spacing w:after="200" w:line="276" w:lineRule="auto"/>
        <w:ind w:firstLine="270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V septembri 2015 začala celý svetom rezonovať kauza s emisiami, tzv. „diesel gate“. Išlo o používanie sporného softvéru, ktorý ovplyvňoval emisné výsledky testov automobilov. </w:t>
      </w:r>
      <w:r w:rsidR="00681AF9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br/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Po prepuknutí tejto kauzy sa začali objavovať ďalšie pochybnosti v metodike testovania automobilov na nimi produkované emisie a</w:t>
      </w:r>
      <w:r w:rsidR="0012480C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 zaviedol sa nový cyklus s názvom WLTP. Tento cyklus má dlhšie skúšobné trasy a vyššie priemerné rýchlosti testovaných vozidiel. Výsledky testovania a zavedenie nového limitu vyprodukovaných emisií jednotlivých automobilov spustilo vlnu vyradenia motorizácií, resp. doplnenie ďalších aktívnych prvkov znižovania emisií </w:t>
      </w:r>
      <w:r w:rsidR="00681AF9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br/>
      </w:r>
      <w:r w:rsidR="0012480C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do automobilov. Kým dodnes museli mať namontovaný tzv. filter pevných častíc len </w:t>
      </w:r>
      <w:r w:rsidR="0036607B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naftový</w:t>
      </w:r>
      <w:r w:rsidR="0012480C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motory, po novom ich musia mať aj tie benzínové.</w:t>
      </w:r>
    </w:p>
    <w:p w:rsidR="00D37E72" w:rsidP="00212AA0">
      <w:pPr>
        <w:widowControl/>
        <w:autoSpaceDE/>
        <w:autoSpaceDN/>
        <w:bidi w:val="0"/>
        <w:spacing w:after="200" w:line="276" w:lineRule="auto"/>
        <w:ind w:firstLine="270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 w:rsidR="00AF78F2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Prestavby vozidiel jazdiacich na benzín na LPG, CNG či LNG nie sú na Slovensku žiadnou novinkou. Za niekoľko desiatok rokov sa tieto systémy zdokonaľujú a zefektívňujú. Dnes sú na </w:t>
      </w:r>
      <w:r w:rsidR="00872CE0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takej </w:t>
      </w:r>
      <w:r w:rsidR="00AF78F2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úrovni, že jazda na LPG, CNG či LNG nie je prakticky rozoznateľná ako jazda na benzín.</w:t>
      </w:r>
      <w:r w:rsidR="00872CE0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Výhoda prevádzky vozidla na plynový pohon má nielen ekonomický ale aj ekologický charakter.</w:t>
      </w:r>
    </w:p>
    <w:tbl>
      <w:tblPr>
        <w:tblStyle w:val="TableGrid"/>
        <w:tblW w:w="5000" w:type="pct"/>
        <w:tblLook w:val="04A0"/>
      </w:tblPr>
      <w:tblGrid>
        <w:gridCol w:w="3029"/>
        <w:gridCol w:w="2324"/>
        <w:gridCol w:w="2268"/>
        <w:gridCol w:w="2233"/>
      </w:tblGrid>
      <w:tr>
        <w:tblPrEx>
          <w:tblW w:w="5000" w:type="pct"/>
          <w:tblLook w:val="04A0"/>
        </w:tblPrEx>
        <w:trPr>
          <w:trHeight w:val="52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9622E" w:rsidP="0079622E">
            <w:pPr>
              <w:widowControl/>
              <w:autoSpaceDE/>
              <w:autoSpaceDN/>
              <w:bidi w:val="0"/>
              <w:spacing w:after="200" w:line="276" w:lineRule="auto"/>
              <w:jc w:val="center"/>
              <w:textAlignment w:val="auto"/>
              <w:rPr>
                <w:rFonts w:ascii="Book Antiqua" w:hAnsi="Book Antiqua" w:cs="Arial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Book Antiqua" w:hAnsi="Book Antiqua" w:cs="Arial"/>
                <w:color w:val="000000"/>
                <w:kern w:val="0"/>
                <w:sz w:val="22"/>
                <w:szCs w:val="22"/>
                <w:lang w:bidi="ar-SA"/>
              </w:rPr>
              <w:t>Ekologický prehľad jednotlivých typov palív vozidiel</w:t>
            </w:r>
          </w:p>
        </w:tc>
      </w:tr>
      <w:tr>
        <w:tblPrEx>
          <w:tblW w:w="5000" w:type="pct"/>
          <w:tblLook w:val="04A0"/>
        </w:tblPrEx>
        <w:trPr>
          <w:trHeight w:val="522"/>
        </w:trPr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6607B" w:rsidP="0079622E">
            <w:pPr>
              <w:widowControl/>
              <w:autoSpaceDE/>
              <w:autoSpaceDN/>
              <w:bidi w:val="0"/>
              <w:spacing w:after="200" w:line="276" w:lineRule="auto"/>
              <w:textAlignment w:val="auto"/>
              <w:rPr>
                <w:rFonts w:ascii="Book Antiqua" w:hAnsi="Book Antiqua" w:cs="Arial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Book Antiqua" w:hAnsi="Book Antiqua" w:cs="Arial"/>
                <w:color w:val="000000"/>
                <w:kern w:val="0"/>
                <w:sz w:val="22"/>
                <w:szCs w:val="22"/>
                <w:lang w:bidi="ar-SA"/>
              </w:rPr>
              <w:t>typ paliva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6607B" w:rsidP="0079622E">
            <w:pPr>
              <w:widowControl/>
              <w:autoSpaceDE/>
              <w:autoSpaceDN/>
              <w:bidi w:val="0"/>
              <w:spacing w:after="200" w:line="276" w:lineRule="auto"/>
              <w:jc w:val="center"/>
              <w:textAlignment w:val="auto"/>
              <w:rPr>
                <w:rFonts w:ascii="Book Antiqua" w:hAnsi="Book Antiqua" w:cs="Arial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Book Antiqua" w:hAnsi="Book Antiqua" w:cs="Arial"/>
                <w:color w:val="000000"/>
                <w:kern w:val="0"/>
                <w:sz w:val="22"/>
                <w:szCs w:val="22"/>
                <w:lang w:bidi="ar-SA"/>
              </w:rPr>
              <w:t>motorová nafta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6607B" w:rsidP="0079622E">
            <w:pPr>
              <w:widowControl/>
              <w:autoSpaceDE/>
              <w:autoSpaceDN/>
              <w:bidi w:val="0"/>
              <w:spacing w:after="200" w:line="276" w:lineRule="auto"/>
              <w:jc w:val="center"/>
              <w:textAlignment w:val="auto"/>
              <w:rPr>
                <w:rFonts w:ascii="Book Antiqua" w:hAnsi="Book Antiqua" w:cs="Arial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Book Antiqua" w:hAnsi="Book Antiqua" w:cs="Arial"/>
                <w:color w:val="000000"/>
                <w:kern w:val="0"/>
                <w:sz w:val="22"/>
                <w:szCs w:val="22"/>
                <w:lang w:bidi="ar-SA"/>
              </w:rPr>
              <w:t>benzín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6607B" w:rsidP="0079622E">
            <w:pPr>
              <w:widowControl/>
              <w:autoSpaceDE/>
              <w:autoSpaceDN/>
              <w:bidi w:val="0"/>
              <w:spacing w:after="200" w:line="276" w:lineRule="auto"/>
              <w:jc w:val="center"/>
              <w:textAlignment w:val="auto"/>
              <w:rPr>
                <w:rFonts w:ascii="Book Antiqua" w:hAnsi="Book Antiqua" w:cs="Arial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Book Antiqua" w:hAnsi="Book Antiqua" w:cs="Arial"/>
                <w:color w:val="000000"/>
                <w:kern w:val="0"/>
                <w:sz w:val="22"/>
                <w:szCs w:val="22"/>
                <w:lang w:bidi="ar-SA"/>
              </w:rPr>
              <w:t>LPG/CNG</w:t>
            </w:r>
          </w:p>
        </w:tc>
      </w:tr>
      <w:tr>
        <w:tblPrEx>
          <w:tblW w:w="5000" w:type="pct"/>
          <w:tblLook w:val="04A0"/>
        </w:tblPrEx>
        <w:trPr>
          <w:trHeight w:val="522"/>
        </w:trPr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6607B" w:rsidP="0079622E">
            <w:pPr>
              <w:widowControl/>
              <w:autoSpaceDE/>
              <w:autoSpaceDN/>
              <w:bidi w:val="0"/>
              <w:spacing w:after="200" w:line="276" w:lineRule="auto"/>
              <w:textAlignment w:val="auto"/>
              <w:rPr>
                <w:rFonts w:ascii="Book Antiqua" w:hAnsi="Book Antiqua" w:cs="Arial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Book Antiqua" w:hAnsi="Book Antiqua" w:cs="Arial"/>
                <w:color w:val="000000"/>
                <w:kern w:val="0"/>
                <w:sz w:val="22"/>
                <w:szCs w:val="22"/>
                <w:lang w:bidi="ar-SA"/>
              </w:rPr>
              <w:t>produkcia sadzí alebo pevných častíc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6607B" w:rsidP="0079622E">
            <w:pPr>
              <w:widowControl/>
              <w:autoSpaceDE/>
              <w:autoSpaceDN/>
              <w:bidi w:val="0"/>
              <w:spacing w:after="200" w:line="276" w:lineRule="auto"/>
              <w:jc w:val="center"/>
              <w:textAlignment w:val="auto"/>
              <w:rPr>
                <w:rFonts w:ascii="Book Antiqua" w:hAnsi="Book Antiqua" w:cs="Arial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Book Antiqua" w:hAnsi="Book Antiqua" w:cs="Arial"/>
                <w:color w:val="000000"/>
                <w:kern w:val="0"/>
                <w:sz w:val="22"/>
                <w:szCs w:val="22"/>
                <w:lang w:bidi="ar-SA"/>
              </w:rPr>
              <w:t>áno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6607B" w:rsidP="0079622E">
            <w:pPr>
              <w:widowControl/>
              <w:autoSpaceDE/>
              <w:autoSpaceDN/>
              <w:bidi w:val="0"/>
              <w:spacing w:after="200" w:line="276" w:lineRule="auto"/>
              <w:jc w:val="center"/>
              <w:textAlignment w:val="auto"/>
              <w:rPr>
                <w:rFonts w:ascii="Book Antiqua" w:hAnsi="Book Antiqua" w:cs="Arial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Book Antiqua" w:hAnsi="Book Antiqua" w:cs="Arial"/>
                <w:color w:val="000000"/>
                <w:kern w:val="0"/>
                <w:sz w:val="22"/>
                <w:szCs w:val="22"/>
                <w:lang w:bidi="ar-SA"/>
              </w:rPr>
              <w:t>áno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6607B" w:rsidP="0079622E">
            <w:pPr>
              <w:widowControl/>
              <w:autoSpaceDE/>
              <w:autoSpaceDN/>
              <w:bidi w:val="0"/>
              <w:spacing w:after="200" w:line="276" w:lineRule="auto"/>
              <w:jc w:val="center"/>
              <w:textAlignment w:val="auto"/>
              <w:rPr>
                <w:rFonts w:ascii="Book Antiqua" w:hAnsi="Book Antiqua" w:cs="Arial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Book Antiqua" w:hAnsi="Book Antiqua" w:cs="Arial"/>
                <w:color w:val="000000"/>
                <w:kern w:val="0"/>
                <w:sz w:val="22"/>
                <w:szCs w:val="22"/>
                <w:lang w:bidi="ar-SA"/>
              </w:rPr>
              <w:t>nie</w:t>
            </w:r>
          </w:p>
        </w:tc>
      </w:tr>
      <w:tr>
        <w:tblPrEx>
          <w:tblW w:w="5000" w:type="pct"/>
          <w:tblLook w:val="04A0"/>
        </w:tblPrEx>
        <w:trPr>
          <w:trHeight w:val="522"/>
        </w:trPr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6607B" w:rsidP="0079622E">
            <w:pPr>
              <w:widowControl/>
              <w:autoSpaceDE/>
              <w:autoSpaceDN/>
              <w:bidi w:val="0"/>
              <w:spacing w:after="200" w:line="276" w:lineRule="auto"/>
              <w:textAlignment w:val="auto"/>
              <w:rPr>
                <w:rFonts w:ascii="Book Antiqua" w:hAnsi="Book Antiqua" w:cs="Arial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Book Antiqua" w:hAnsi="Book Antiqua" w:cs="Arial"/>
                <w:color w:val="000000"/>
                <w:kern w:val="0"/>
                <w:sz w:val="22"/>
                <w:szCs w:val="22"/>
                <w:lang w:bidi="ar-SA"/>
              </w:rPr>
              <w:t>produkcia CO (EURO 5)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6607B" w:rsidP="0079622E">
            <w:pPr>
              <w:widowControl/>
              <w:autoSpaceDE/>
              <w:autoSpaceDN/>
              <w:bidi w:val="0"/>
              <w:spacing w:after="200" w:line="276" w:lineRule="auto"/>
              <w:jc w:val="center"/>
              <w:textAlignment w:val="auto"/>
              <w:rPr>
                <w:rFonts w:ascii="Book Antiqua" w:hAnsi="Book Antiqua" w:cs="Arial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Book Antiqua" w:hAnsi="Book Antiqua" w:cs="Arial"/>
                <w:color w:val="000000"/>
                <w:kern w:val="0"/>
                <w:sz w:val="22"/>
                <w:szCs w:val="22"/>
                <w:lang w:bidi="ar-SA"/>
              </w:rPr>
              <w:t>0,50 g/km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6607B" w:rsidP="0079622E">
            <w:pPr>
              <w:widowControl/>
              <w:autoSpaceDE/>
              <w:autoSpaceDN/>
              <w:bidi w:val="0"/>
              <w:spacing w:after="200" w:line="276" w:lineRule="auto"/>
              <w:jc w:val="center"/>
              <w:textAlignment w:val="auto"/>
              <w:rPr>
                <w:rFonts w:ascii="Book Antiqua" w:hAnsi="Book Antiqua" w:cs="Arial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Book Antiqua" w:hAnsi="Book Antiqua" w:cs="Arial"/>
                <w:color w:val="000000"/>
                <w:kern w:val="0"/>
                <w:sz w:val="22"/>
                <w:szCs w:val="22"/>
                <w:lang w:bidi="ar-SA"/>
              </w:rPr>
              <w:t>1,00 g/km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6607B" w:rsidP="0079622E">
            <w:pPr>
              <w:widowControl/>
              <w:autoSpaceDE/>
              <w:autoSpaceDN/>
              <w:bidi w:val="0"/>
              <w:spacing w:after="200" w:line="276" w:lineRule="auto"/>
              <w:jc w:val="center"/>
              <w:textAlignment w:val="auto"/>
              <w:rPr>
                <w:rFonts w:ascii="Book Antiqua" w:hAnsi="Book Antiqua" w:cs="Arial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Book Antiqua" w:hAnsi="Book Antiqua" w:cs="Arial"/>
                <w:color w:val="000000"/>
                <w:kern w:val="0"/>
                <w:sz w:val="22"/>
                <w:szCs w:val="22"/>
                <w:lang w:bidi="ar-SA"/>
              </w:rPr>
              <w:t>0,80 g/km</w:t>
            </w:r>
          </w:p>
        </w:tc>
      </w:tr>
      <w:tr>
        <w:tblPrEx>
          <w:tblW w:w="5000" w:type="pct"/>
          <w:tblLook w:val="04A0"/>
        </w:tblPrEx>
        <w:trPr>
          <w:trHeight w:val="522"/>
        </w:trPr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6607B" w:rsidP="0079622E">
            <w:pPr>
              <w:widowControl/>
              <w:autoSpaceDE/>
              <w:autoSpaceDN/>
              <w:bidi w:val="0"/>
              <w:spacing w:after="200" w:line="276" w:lineRule="auto"/>
              <w:textAlignment w:val="auto"/>
              <w:rPr>
                <w:rFonts w:ascii="Book Antiqua" w:hAnsi="Book Antiqua" w:cs="Arial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Book Antiqua" w:hAnsi="Book Antiqua" w:cs="Arial"/>
                <w:color w:val="000000"/>
                <w:kern w:val="0"/>
                <w:sz w:val="22"/>
                <w:szCs w:val="22"/>
                <w:lang w:bidi="ar-SA"/>
              </w:rPr>
              <w:t>produkcia CO (EURO 6)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6607B" w:rsidP="0079622E">
            <w:pPr>
              <w:widowControl/>
              <w:autoSpaceDE/>
              <w:autoSpaceDN/>
              <w:bidi w:val="0"/>
              <w:spacing w:after="200" w:line="276" w:lineRule="auto"/>
              <w:jc w:val="center"/>
              <w:textAlignment w:val="auto"/>
              <w:rPr>
                <w:rFonts w:ascii="Book Antiqua" w:hAnsi="Book Antiqua" w:cs="Arial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Book Antiqua" w:hAnsi="Book Antiqua" w:cs="Arial"/>
                <w:color w:val="000000"/>
                <w:kern w:val="0"/>
                <w:sz w:val="22"/>
                <w:szCs w:val="22"/>
                <w:lang w:bidi="ar-SA"/>
              </w:rPr>
              <w:t>0,50 g/km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6607B" w:rsidP="0079622E">
            <w:pPr>
              <w:widowControl/>
              <w:autoSpaceDE/>
              <w:autoSpaceDN/>
              <w:bidi w:val="0"/>
              <w:spacing w:after="200" w:line="276" w:lineRule="auto"/>
              <w:jc w:val="center"/>
              <w:textAlignment w:val="auto"/>
              <w:rPr>
                <w:rFonts w:ascii="Book Antiqua" w:hAnsi="Book Antiqua" w:cs="Arial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Book Antiqua" w:hAnsi="Book Antiqua" w:cs="Arial"/>
                <w:color w:val="000000"/>
                <w:kern w:val="0"/>
                <w:sz w:val="22"/>
                <w:szCs w:val="22"/>
                <w:lang w:bidi="ar-SA"/>
              </w:rPr>
              <w:t>1,00 g/km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6607B" w:rsidP="0079622E">
            <w:pPr>
              <w:widowControl/>
              <w:autoSpaceDE/>
              <w:autoSpaceDN/>
              <w:bidi w:val="0"/>
              <w:spacing w:after="200" w:line="276" w:lineRule="auto"/>
              <w:jc w:val="center"/>
              <w:textAlignment w:val="auto"/>
              <w:rPr>
                <w:rFonts w:ascii="Book Antiqua" w:hAnsi="Book Antiqua" w:cs="Arial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Book Antiqua" w:hAnsi="Book Antiqua" w:cs="Arial"/>
                <w:color w:val="000000"/>
                <w:kern w:val="0"/>
                <w:sz w:val="22"/>
                <w:szCs w:val="22"/>
                <w:lang w:bidi="ar-SA"/>
              </w:rPr>
              <w:t>0,80 g/km</w:t>
            </w:r>
          </w:p>
        </w:tc>
      </w:tr>
      <w:tr>
        <w:tblPrEx>
          <w:tblW w:w="5000" w:type="pct"/>
          <w:tblLook w:val="04A0"/>
        </w:tblPrEx>
        <w:trPr>
          <w:trHeight w:val="522"/>
        </w:trPr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6607B" w:rsidP="0079622E">
            <w:pPr>
              <w:widowControl/>
              <w:autoSpaceDE/>
              <w:autoSpaceDN/>
              <w:bidi w:val="0"/>
              <w:spacing w:after="200" w:line="276" w:lineRule="auto"/>
              <w:textAlignment w:val="auto"/>
              <w:rPr>
                <w:rFonts w:ascii="Book Antiqua" w:hAnsi="Book Antiqua" w:cs="Arial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Book Antiqua" w:hAnsi="Book Antiqua" w:cs="Arial"/>
                <w:color w:val="000000"/>
                <w:kern w:val="0"/>
                <w:sz w:val="22"/>
                <w:szCs w:val="22"/>
                <w:lang w:bidi="ar-SA"/>
              </w:rPr>
              <w:t>produkcia NO</w:t>
            </w:r>
            <w:r w:rsidRPr="00E23887">
              <w:rPr>
                <w:rFonts w:ascii="Book Antiqua" w:hAnsi="Book Antiqua" w:cs="Arial"/>
                <w:color w:val="000000"/>
                <w:kern w:val="0"/>
                <w:sz w:val="22"/>
                <w:szCs w:val="22"/>
                <w:vertAlign w:val="subscript"/>
                <w:lang w:bidi="ar-SA"/>
              </w:rPr>
              <w:t>x</w:t>
            </w:r>
            <w:r>
              <w:rPr>
                <w:rFonts w:ascii="Book Antiqua" w:hAnsi="Book Antiqua" w:cs="Arial"/>
                <w:color w:val="000000"/>
                <w:kern w:val="0"/>
                <w:sz w:val="22"/>
                <w:szCs w:val="22"/>
                <w:lang w:bidi="ar-SA"/>
              </w:rPr>
              <w:t xml:space="preserve"> (EURO 5)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6607B" w:rsidP="0079622E">
            <w:pPr>
              <w:widowControl/>
              <w:autoSpaceDE/>
              <w:autoSpaceDN/>
              <w:bidi w:val="0"/>
              <w:spacing w:after="200" w:line="276" w:lineRule="auto"/>
              <w:jc w:val="center"/>
              <w:textAlignment w:val="auto"/>
              <w:rPr>
                <w:rFonts w:ascii="Book Antiqua" w:hAnsi="Book Antiqua" w:cs="Arial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Book Antiqua" w:hAnsi="Book Antiqua" w:cs="Arial"/>
                <w:color w:val="000000"/>
                <w:kern w:val="0"/>
                <w:sz w:val="22"/>
                <w:szCs w:val="22"/>
                <w:lang w:bidi="ar-SA"/>
              </w:rPr>
              <w:t>0,18 g/km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6607B" w:rsidP="0079622E">
            <w:pPr>
              <w:widowControl/>
              <w:autoSpaceDE/>
              <w:autoSpaceDN/>
              <w:bidi w:val="0"/>
              <w:spacing w:after="200" w:line="276" w:lineRule="auto"/>
              <w:jc w:val="center"/>
              <w:textAlignment w:val="auto"/>
              <w:rPr>
                <w:rFonts w:ascii="Book Antiqua" w:hAnsi="Book Antiqua" w:cs="Arial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Book Antiqua" w:hAnsi="Book Antiqua" w:cs="Arial"/>
                <w:color w:val="000000"/>
                <w:kern w:val="0"/>
                <w:sz w:val="22"/>
                <w:szCs w:val="22"/>
                <w:lang w:bidi="ar-SA"/>
              </w:rPr>
              <w:t>0,06 g/km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6607B" w:rsidP="0079622E">
            <w:pPr>
              <w:widowControl/>
              <w:autoSpaceDE/>
              <w:autoSpaceDN/>
              <w:bidi w:val="0"/>
              <w:spacing w:after="200" w:line="276" w:lineRule="auto"/>
              <w:jc w:val="center"/>
              <w:textAlignment w:val="auto"/>
              <w:rPr>
                <w:rFonts w:ascii="Book Antiqua" w:hAnsi="Book Antiqua" w:cs="Arial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Book Antiqua" w:hAnsi="Book Antiqua" w:cs="Arial"/>
                <w:color w:val="000000"/>
                <w:kern w:val="0"/>
                <w:sz w:val="22"/>
                <w:szCs w:val="22"/>
                <w:lang w:bidi="ar-SA"/>
              </w:rPr>
              <w:t>0,03 g/km</w:t>
            </w:r>
          </w:p>
        </w:tc>
      </w:tr>
      <w:tr>
        <w:tblPrEx>
          <w:tblW w:w="5000" w:type="pct"/>
          <w:tblLook w:val="04A0"/>
        </w:tblPrEx>
        <w:trPr>
          <w:trHeight w:val="522"/>
        </w:trPr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6607B" w:rsidP="0079622E">
            <w:pPr>
              <w:widowControl/>
              <w:autoSpaceDE/>
              <w:autoSpaceDN/>
              <w:bidi w:val="0"/>
              <w:spacing w:after="200" w:line="276" w:lineRule="auto"/>
              <w:textAlignment w:val="auto"/>
              <w:rPr>
                <w:rFonts w:ascii="Book Antiqua" w:hAnsi="Book Antiqua" w:cs="Arial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Book Antiqua" w:hAnsi="Book Antiqua" w:cs="Arial"/>
                <w:color w:val="000000"/>
                <w:kern w:val="0"/>
                <w:sz w:val="22"/>
                <w:szCs w:val="22"/>
                <w:lang w:bidi="ar-SA"/>
              </w:rPr>
              <w:t>produkcia NO</w:t>
            </w:r>
            <w:r w:rsidRPr="00E23887">
              <w:rPr>
                <w:rFonts w:ascii="Book Antiqua" w:hAnsi="Book Antiqua" w:cs="Arial"/>
                <w:color w:val="000000"/>
                <w:kern w:val="0"/>
                <w:sz w:val="22"/>
                <w:szCs w:val="22"/>
                <w:vertAlign w:val="subscript"/>
                <w:lang w:bidi="ar-SA"/>
              </w:rPr>
              <w:t>x</w:t>
            </w:r>
            <w:r>
              <w:rPr>
                <w:rFonts w:ascii="Book Antiqua" w:hAnsi="Book Antiqua" w:cs="Arial"/>
                <w:color w:val="000000"/>
                <w:kern w:val="0"/>
                <w:sz w:val="22"/>
                <w:szCs w:val="22"/>
                <w:lang w:bidi="ar-SA"/>
              </w:rPr>
              <w:t xml:space="preserve"> (EURO 6)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6607B" w:rsidP="0079622E">
            <w:pPr>
              <w:widowControl/>
              <w:autoSpaceDE/>
              <w:autoSpaceDN/>
              <w:bidi w:val="0"/>
              <w:spacing w:after="200" w:line="276" w:lineRule="auto"/>
              <w:jc w:val="center"/>
              <w:textAlignment w:val="auto"/>
              <w:rPr>
                <w:rFonts w:ascii="Book Antiqua" w:hAnsi="Book Antiqua" w:cs="Arial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Book Antiqua" w:hAnsi="Book Antiqua" w:cs="Arial"/>
                <w:color w:val="000000"/>
                <w:kern w:val="0"/>
                <w:sz w:val="22"/>
                <w:szCs w:val="22"/>
                <w:lang w:bidi="ar-SA"/>
              </w:rPr>
              <w:t>0,08 g/km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6607B" w:rsidP="0079622E">
            <w:pPr>
              <w:widowControl/>
              <w:autoSpaceDE/>
              <w:autoSpaceDN/>
              <w:bidi w:val="0"/>
              <w:spacing w:after="200" w:line="276" w:lineRule="auto"/>
              <w:jc w:val="center"/>
              <w:textAlignment w:val="auto"/>
              <w:rPr>
                <w:rFonts w:ascii="Book Antiqua" w:hAnsi="Book Antiqua" w:cs="Arial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Book Antiqua" w:hAnsi="Book Antiqua" w:cs="Arial"/>
                <w:color w:val="000000"/>
                <w:kern w:val="0"/>
                <w:sz w:val="22"/>
                <w:szCs w:val="22"/>
                <w:lang w:bidi="ar-SA"/>
              </w:rPr>
              <w:t>0,06 g/km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6607B" w:rsidP="0079622E">
            <w:pPr>
              <w:widowControl/>
              <w:autoSpaceDE/>
              <w:autoSpaceDN/>
              <w:bidi w:val="0"/>
              <w:spacing w:after="200" w:line="276" w:lineRule="auto"/>
              <w:jc w:val="center"/>
              <w:textAlignment w:val="auto"/>
              <w:rPr>
                <w:rFonts w:ascii="Book Antiqua" w:hAnsi="Book Antiqua" w:cs="Arial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Book Antiqua" w:hAnsi="Book Antiqua" w:cs="Arial"/>
                <w:color w:val="000000"/>
                <w:kern w:val="0"/>
                <w:sz w:val="22"/>
                <w:szCs w:val="22"/>
                <w:lang w:bidi="ar-SA"/>
              </w:rPr>
              <w:t>0,03 g/km</w:t>
            </w:r>
          </w:p>
        </w:tc>
      </w:tr>
    </w:tbl>
    <w:p w:rsidR="00AF78F2" w:rsidP="00212AA0">
      <w:pPr>
        <w:widowControl/>
        <w:autoSpaceDE/>
        <w:autoSpaceDN/>
        <w:bidi w:val="0"/>
        <w:spacing w:after="200" w:line="276" w:lineRule="auto"/>
        <w:ind w:firstLine="270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 w:rsidR="00872CE0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</w:t>
      </w:r>
      <w:r w:rsidR="00547196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Tabuľka č. 1 Prehľad typov palív vozidiel</w:t>
      </w:r>
    </w:p>
    <w:p w:rsidR="00AF78F2" w:rsidRPr="00924F8D" w:rsidP="00212AA0">
      <w:pPr>
        <w:widowControl/>
        <w:autoSpaceDE/>
        <w:autoSpaceDN/>
        <w:bidi w:val="0"/>
        <w:spacing w:after="200" w:line="276" w:lineRule="auto"/>
        <w:ind w:firstLine="270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 w:rsidR="00D37E72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br w:type="page"/>
      </w:r>
      <w:r w:rsidR="00547196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Ako vyplýva z uvedenej tabuľky, s</w:t>
      </w:r>
      <w:r w:rsidR="00872CE0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paľovacie motory využívajúce LPG alebo CNG na rozdiel </w:t>
      </w:r>
      <w:r w:rsidR="00681AF9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br/>
      </w:r>
      <w:r w:rsidR="00872CE0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od benzínových, či naftových motorov neprodukujú tuhé emisie, ako sú sadze, dym, prach a oxidy síry a ani olovnaté zlúčeniny. Obsahujú menej oxidu uhoľnatého CO, menej karcinogénov a jedovatých aromatických uhľovodíkov, napr. benzén alebo benzpyrén. Oproti jazde na benzín vyprodukuje </w:t>
      </w:r>
      <w:r w:rsidR="00924F8D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jazda na LPG alebo CNG</w:t>
      </w:r>
      <w:r w:rsidR="00872CE0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na jeden kilometer až </w:t>
      </w:r>
      <w:r w:rsidR="00924F8D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o</w:t>
      </w:r>
      <w:r w:rsidR="00AD563D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 </w:t>
      </w:r>
      <w:r w:rsidR="00872CE0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2</w:t>
      </w:r>
      <w:r w:rsidR="00924F8D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0</w:t>
      </w:r>
      <w:r w:rsidR="00AD563D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</w:t>
      </w:r>
      <w:r w:rsidR="00924F8D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% menej </w:t>
      </w:r>
      <w:r w:rsidR="00872CE0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g</w:t>
      </w:r>
      <w:r w:rsidR="00681AF9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ramov</w:t>
      </w:r>
      <w:r w:rsidR="00872CE0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CO</w:t>
      </w:r>
      <w:r w:rsidR="00872CE0">
        <w:rPr>
          <w:rFonts w:ascii="Book Antiqua" w:hAnsi="Book Antiqua" w:cs="Arial"/>
          <w:color w:val="000000"/>
          <w:kern w:val="0"/>
          <w:sz w:val="22"/>
          <w:szCs w:val="22"/>
          <w:vertAlign w:val="subscript"/>
          <w:lang w:bidi="ar-SA"/>
        </w:rPr>
        <w:t>2</w:t>
      </w:r>
      <w:r w:rsidR="00924F8D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.</w:t>
      </w:r>
    </w:p>
    <w:p w:rsidR="00924F8D" w:rsidP="00212AA0">
      <w:pPr>
        <w:widowControl/>
        <w:autoSpaceDE/>
        <w:autoSpaceDN/>
        <w:bidi w:val="0"/>
        <w:spacing w:after="200" w:line="276" w:lineRule="auto"/>
        <w:ind w:firstLine="270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Európska únia si určila cieľ, že do roku 2020 bude </w:t>
      </w:r>
      <w:r w:rsidR="002D180A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každé jedno vozidlo vypúšťať najviac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</w:t>
      </w:r>
      <w:r w:rsidR="00AD563D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br/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95</w:t>
      </w:r>
      <w:r w:rsidR="00AD563D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gramov</w:t>
      </w:r>
      <w:r w:rsidR="002D180A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CO</w:t>
      </w:r>
      <w:r w:rsidRPr="002D180A" w:rsidR="002D180A">
        <w:rPr>
          <w:rFonts w:ascii="Book Antiqua" w:hAnsi="Book Antiqua" w:cs="Arial"/>
          <w:color w:val="000000"/>
          <w:kern w:val="0"/>
          <w:sz w:val="22"/>
          <w:szCs w:val="22"/>
          <w:vertAlign w:val="subscript"/>
          <w:lang w:bidi="ar-SA"/>
        </w:rPr>
        <w:t>2</w:t>
      </w:r>
      <w:r w:rsidR="002D180A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na kilometer.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</w:t>
      </w:r>
      <w:r w:rsidR="002D180A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V roku 2016 podľa analýzy Európskej environmentálnej agentúry priemerná hodnota produkovaného CO</w:t>
      </w:r>
      <w:r w:rsidRPr="002D180A" w:rsidR="002D180A">
        <w:rPr>
          <w:rFonts w:ascii="Book Antiqua" w:hAnsi="Book Antiqua" w:cs="Arial"/>
          <w:color w:val="000000"/>
          <w:kern w:val="0"/>
          <w:sz w:val="22"/>
          <w:szCs w:val="22"/>
          <w:vertAlign w:val="subscript"/>
          <w:lang w:bidi="ar-SA"/>
        </w:rPr>
        <w:t>2</w:t>
      </w:r>
      <w:r w:rsidR="002D180A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na Slovensku dosahovala 124,8 g</w:t>
      </w:r>
      <w:r w:rsidR="00AD563D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ramov na </w:t>
      </w:r>
      <w:r w:rsidR="002D180A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k</w:t>
      </w:r>
      <w:r w:rsidR="00AD563D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ilometer</w:t>
      </w:r>
      <w:r w:rsidR="002D180A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. S cieľom znižovať vyprodukované emisie sa Slovensko prihlásilo k záväzku Európskej únie a sľúbilo, že do roku 2020 bude jazdiť minimálne 10</w:t>
      </w:r>
      <w:r w:rsidR="00AD563D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</w:t>
      </w:r>
      <w:r w:rsidR="002D180A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% vozidiel na alternatívne palivá. Keďže v roku 2016 bolo na Slovensku evidovaných len 2,1</w:t>
      </w:r>
      <w:r w:rsidR="00AD563D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</w:t>
      </w:r>
      <w:r w:rsidR="002D180A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% vozidiel jazdiacich na alternatívne palivá, je evidentné, že svoj záväzok voči EÚ Slovensko nesplní.</w:t>
      </w:r>
    </w:p>
    <w:p w:rsidR="002D180A" w:rsidP="002D180A">
      <w:pPr>
        <w:widowControl/>
        <w:autoSpaceDE/>
        <w:autoSpaceDN/>
        <w:bidi w:val="0"/>
        <w:spacing w:after="200" w:line="276" w:lineRule="auto"/>
        <w:ind w:firstLine="270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 w:rsidR="00FC7ABD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Vzhľadom na vývoj ekologickej záťaže u nás, či vo svete navrhujeme zatraktívniť nákup a prevádzku vozidiel jazdiacich na alternatívny pohon či palivo najväčšej skupine vlastníkov vozidiel, teda podnikateľom</w:t>
      </w:r>
      <w:r w:rsidR="00437F93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, a to tým spôsobom, že vozidlá jazdiace na LPG, CNG, LNG alebo využívajú iné alternatívne palivo ako spôsob pohonu, budú oslobodené od dane z motorových vozidiel.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</w:t>
      </w:r>
      <w:r w:rsidR="00437F93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Prerábka už existujúcich benzínových vozidiel na LPG, CNG, LNG či iné alternatívne palivo sa stane pre podnikateľské subjekty ekonomicky zaujímavá. Ako z hľadiska znižovania nákladov na prevádzku vozidiel, tak k z hľadiska znižovania produkovaných emisií.</w:t>
      </w:r>
    </w:p>
    <w:p w:rsidR="00437F93" w:rsidP="002D180A">
      <w:pPr>
        <w:widowControl/>
        <w:autoSpaceDE/>
        <w:autoSpaceDN/>
        <w:bidi w:val="0"/>
        <w:spacing w:after="200" w:line="276" w:lineRule="auto"/>
        <w:ind w:firstLine="270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Keďže fyzické osoby nie sú spravidla platcami dane z motorových vozidiel, zavádzame novú formu dotácie na prerábku </w:t>
      </w:r>
      <w:r w:rsidR="00294D6D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vozidiel na inštalácie plynových technických zariadení. Každej fyzickej osobe tak vznikne nárok na dotáciu vo výške </w:t>
      </w:r>
      <w:r w:rsidR="00600409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5</w:t>
      </w:r>
      <w:r w:rsidR="00294D6D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00 eur pri prerábke vozidla na LPG </w:t>
      </w:r>
      <w:r w:rsidR="00600409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alebo na</w:t>
      </w:r>
      <w:r w:rsidR="00294D6D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CNG.</w:t>
      </w:r>
    </w:p>
    <w:p w:rsidR="00294D6D" w:rsidP="002D180A">
      <w:pPr>
        <w:widowControl/>
        <w:autoSpaceDE/>
        <w:autoSpaceDN/>
        <w:bidi w:val="0"/>
        <w:spacing w:after="200" w:line="276" w:lineRule="auto"/>
        <w:ind w:firstLine="270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Predkladaný návrh zákona má veľmi pozitívny vplyv na životné prostredie.</w:t>
      </w:r>
    </w:p>
    <w:p w:rsidR="009F6924" w:rsidRPr="009F6924" w:rsidP="008B1985">
      <w:pPr>
        <w:widowControl/>
        <w:autoSpaceDE/>
        <w:autoSpaceDN/>
        <w:bidi w:val="0"/>
        <w:spacing w:after="200" w:line="276" w:lineRule="auto"/>
        <w:ind w:firstLine="270"/>
        <w:jc w:val="both"/>
        <w:textAlignment w:val="auto"/>
        <w:rPr>
          <w:rFonts w:ascii="Book Antiqua" w:hAnsi="Book Antiqua" w:cs="Arial"/>
          <w:b/>
          <w:i/>
          <w:color w:val="000000"/>
          <w:kern w:val="0"/>
          <w:sz w:val="22"/>
          <w:szCs w:val="22"/>
          <w:lang w:bidi="ar-SA"/>
        </w:rPr>
      </w:pPr>
      <w:r w:rsidRPr="00212AA0" w:rsidR="00212AA0">
        <w:rPr>
          <w:rFonts w:ascii="Book Antiqua" w:hAnsi="Book Antiqua" w:cs="Arial"/>
          <w:sz w:val="22"/>
          <w:szCs w:val="22"/>
          <w:lang w:bidi="ar-SA"/>
        </w:rPr>
        <w:br w:type="page"/>
      </w:r>
      <w:r w:rsidRPr="009F6924">
        <w:rPr>
          <w:rFonts w:ascii="Book Antiqua" w:hAnsi="Book Antiqua" w:cs="Arial"/>
          <w:b/>
          <w:i/>
          <w:color w:val="000000"/>
          <w:kern w:val="0"/>
          <w:sz w:val="22"/>
          <w:szCs w:val="22"/>
          <w:lang w:bidi="ar-SA"/>
        </w:rPr>
        <w:t>Osobitná časť</w:t>
      </w:r>
    </w:p>
    <w:p w:rsidR="009F6924" w:rsidRPr="009F6924" w:rsidP="009F6924">
      <w:pPr>
        <w:widowControl/>
        <w:autoSpaceDE/>
        <w:autoSpaceDN/>
        <w:bidi w:val="0"/>
        <w:spacing w:after="200" w:line="276" w:lineRule="auto"/>
        <w:ind w:left="360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>
        <w:rPr>
          <w:rFonts w:ascii="Times New Roman" w:hAnsi="Times New Roman"/>
          <w:noProof/>
        </w:rPr>
        <w:pict>
          <v:shape id="Rovná spojovacia šípka 1" o:spid="_x0000_s1026" type="#_x0000_t32" style="width:455pt;height:0;margin-top:2.75pt;margin-left:-0.35pt;mso-wrap-distance-bottom:0pt;mso-wrap-distance-top:0pt;position:absolute;visibility:visible;z-index:251658240" filled="f" stroked="t">
            <v:path arrowok="t"/>
            <o:lock v:ext="edit" aspectratio="f" shapetype="t"/>
          </v:shape>
        </w:pict>
      </w:r>
    </w:p>
    <w:p w:rsidR="009F6924" w:rsidRPr="009F6924" w:rsidP="009F6924">
      <w:pPr>
        <w:widowControl/>
        <w:autoSpaceDE/>
        <w:autoSpaceDN/>
        <w:bidi w:val="0"/>
        <w:spacing w:after="200" w:line="276" w:lineRule="auto"/>
        <w:jc w:val="both"/>
        <w:textAlignment w:val="auto"/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</w:pPr>
      <w:r w:rsidRPr="009F6924"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>Čl. I</w:t>
      </w:r>
    </w:p>
    <w:p w:rsidR="009F6924" w:rsidRPr="009F6924" w:rsidP="009F6924">
      <w:pPr>
        <w:widowControl/>
        <w:autoSpaceDE/>
        <w:autoSpaceDN/>
        <w:bidi w:val="0"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</w:pPr>
      <w:r w:rsidRPr="009F6924"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>K</w:t>
      </w:r>
      <w:r w:rsidR="00B35845"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> </w:t>
      </w:r>
      <w:r w:rsidRPr="009F6924"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>bod</w:t>
      </w:r>
      <w:r w:rsidR="00B35845"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>om 1 až 3</w:t>
      </w:r>
    </w:p>
    <w:p w:rsidR="002A345F" w:rsidP="00682454">
      <w:pPr>
        <w:widowControl/>
        <w:autoSpaceDE/>
        <w:autoSpaceDN/>
        <w:bidi w:val="0"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 w:rsidR="003254A1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ab/>
      </w:r>
      <w:r w:rsidRPr="00B35845" w:rsidR="00B35845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Rozširuje sa oslobodenie od dane z motorových vozidiel na vozidlá</w:t>
      </w:r>
      <w:r w:rsidR="00682454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s alternatívnym pohonom.</w:t>
      </w:r>
    </w:p>
    <w:p w:rsidR="00A6220D" w:rsidRPr="00A6220D" w:rsidP="00A6220D">
      <w:pPr>
        <w:widowControl/>
        <w:autoSpaceDE/>
        <w:autoSpaceDN/>
        <w:bidi w:val="0"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</w:pPr>
      <w:r w:rsidRPr="00A6220D"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 xml:space="preserve">K bodu </w:t>
      </w:r>
      <w:r w:rsidR="00682454"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>4</w:t>
      </w:r>
    </w:p>
    <w:p w:rsidR="00A6220D" w:rsidP="009F6924">
      <w:pPr>
        <w:widowControl/>
        <w:autoSpaceDE/>
        <w:autoSpaceDN/>
        <w:bidi w:val="0"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ab/>
      </w:r>
      <w:r w:rsidRPr="00682454" w:rsidR="00682454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Legislatívno-technická zmena nadväzujúca na body 1 až 3 (zohľadňuje rozšírenie oslobodenia od dane z motorových vozidiel)</w:t>
      </w:r>
      <w:r w:rsidR="006F1FEF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.</w:t>
      </w:r>
      <w:r w:rsidR="00613831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</w:t>
      </w:r>
    </w:p>
    <w:p w:rsidR="00682454" w:rsidP="009F6924">
      <w:pPr>
        <w:widowControl/>
        <w:autoSpaceDE/>
        <w:autoSpaceDN/>
        <w:bidi w:val="0"/>
        <w:spacing w:after="200" w:line="276" w:lineRule="auto"/>
        <w:jc w:val="both"/>
        <w:textAlignment w:val="auto"/>
        <w:rPr>
          <w:rFonts w:ascii="Book Antiqua" w:hAnsi="Book Antiqua" w:cs="Arial"/>
          <w:b/>
          <w:color w:val="000000"/>
          <w:kern w:val="0"/>
          <w:sz w:val="22"/>
          <w:szCs w:val="22"/>
          <w:u w:val="single"/>
          <w:lang w:bidi="ar-SA"/>
        </w:rPr>
      </w:pPr>
      <w:r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>K bodu 5</w:t>
      </w:r>
    </w:p>
    <w:p w:rsidR="00682454" w:rsidP="009F6924">
      <w:pPr>
        <w:widowControl/>
        <w:autoSpaceDE/>
        <w:autoSpaceDN/>
        <w:bidi w:val="0"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ab/>
      </w:r>
      <w:r w:rsidRPr="00682454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Legislatívno-technická zmena nadväzujúca na body 1 až 3.  Vypúšťa sa odsek, ktorý stratil opodstatnenie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.</w:t>
      </w:r>
    </w:p>
    <w:p w:rsidR="00682454" w:rsidRPr="00682454" w:rsidP="009F6924">
      <w:pPr>
        <w:widowControl/>
        <w:autoSpaceDE/>
        <w:autoSpaceDN/>
        <w:bidi w:val="0"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</w:pPr>
      <w:r w:rsidRPr="00682454"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>K bodu 6</w:t>
      </w:r>
    </w:p>
    <w:p w:rsidR="00682454" w:rsidRPr="00682454" w:rsidP="00682454">
      <w:pPr>
        <w:widowControl/>
        <w:autoSpaceDE/>
        <w:autoSpaceDN/>
        <w:bidi w:val="0"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ab/>
      </w:r>
      <w:r w:rsidRPr="00682454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Legislatívno-technická zmena nadväzujúca na body 1 až 3.  Vypúšťa sa odsek, ktorý stratil opodstatnenie. Primerane sa tiež mení číslovanie odsekov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.</w:t>
      </w:r>
    </w:p>
    <w:p w:rsidR="009F6924" w:rsidP="009F6924">
      <w:pPr>
        <w:widowControl/>
        <w:autoSpaceDE/>
        <w:autoSpaceDN/>
        <w:bidi w:val="0"/>
        <w:spacing w:after="200" w:line="276" w:lineRule="auto"/>
        <w:jc w:val="both"/>
        <w:textAlignment w:val="auto"/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</w:pPr>
      <w:r w:rsidRPr="009F6924"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>Čl. II</w:t>
      </w:r>
    </w:p>
    <w:p w:rsidR="006F1FEF" w:rsidRPr="006F1FEF" w:rsidP="006F1FEF">
      <w:pPr>
        <w:widowControl/>
        <w:autoSpaceDE/>
        <w:autoSpaceDN/>
        <w:bidi w:val="0"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</w:pPr>
      <w:r w:rsidRPr="006F1FEF"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>K bodu 1</w:t>
      </w:r>
    </w:p>
    <w:p w:rsidR="00D03215" w:rsidP="006F1FEF">
      <w:pPr>
        <w:widowControl/>
        <w:autoSpaceDE/>
        <w:autoSpaceDN/>
        <w:bidi w:val="0"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 w:rsidRPr="006F1FEF" w:rsidR="006F1FEF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ab/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Legislatívno-technická zmena nadväzujúca na body 2 až 6.</w:t>
      </w:r>
    </w:p>
    <w:p w:rsidR="00D03215" w:rsidRPr="00807C32" w:rsidP="006F1FEF">
      <w:pPr>
        <w:widowControl/>
        <w:autoSpaceDE/>
        <w:autoSpaceDN/>
        <w:bidi w:val="0"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</w:pPr>
      <w:r w:rsidRPr="00807C32"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>K bodu 2</w:t>
      </w:r>
    </w:p>
    <w:p w:rsidR="00D03215" w:rsidP="006F1FEF">
      <w:pPr>
        <w:widowControl/>
        <w:autoSpaceDE/>
        <w:autoSpaceDN/>
        <w:bidi w:val="0"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ab/>
        <w:t>Rozširuje sa podpora o inštalácie plynových zariadení do vozidiel kategórie L, M a N.</w:t>
      </w:r>
    </w:p>
    <w:p w:rsidR="00D03215" w:rsidRPr="00807C32" w:rsidP="006F1FEF">
      <w:pPr>
        <w:widowControl/>
        <w:autoSpaceDE/>
        <w:autoSpaceDN/>
        <w:bidi w:val="0"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</w:pPr>
      <w:r w:rsidRPr="00807C32"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>K bodu 3</w:t>
      </w:r>
    </w:p>
    <w:p w:rsidR="006F1FEF" w:rsidP="006F1FEF">
      <w:pPr>
        <w:widowControl/>
        <w:autoSpaceDE/>
        <w:autoSpaceDN/>
        <w:bidi w:val="0"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 w:rsidR="00D03215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ab/>
        <w:t>Definuje sa kompetencia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</w:t>
      </w:r>
      <w:r w:rsidR="00D03215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riaditeľa fondu v</w:t>
      </w:r>
      <w:r w:rsidR="003932B3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 </w:t>
      </w:r>
      <w:r w:rsidR="00D03215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prípade</w:t>
      </w:r>
      <w:r w:rsidR="003932B3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podpory inštalácie plynových technických zariadení do vozidiel.</w:t>
      </w:r>
    </w:p>
    <w:p w:rsidR="003932B3" w:rsidRPr="00807C32" w:rsidP="006F1FEF">
      <w:pPr>
        <w:widowControl/>
        <w:autoSpaceDE/>
        <w:autoSpaceDN/>
        <w:bidi w:val="0"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</w:pPr>
      <w:r w:rsidRPr="00807C32"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>K bodom 4 a 5</w:t>
      </w:r>
    </w:p>
    <w:p w:rsidR="003932B3" w:rsidP="006F1FEF">
      <w:pPr>
        <w:widowControl/>
        <w:autoSpaceDE/>
        <w:autoSpaceDN/>
        <w:bidi w:val="0"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ab/>
        <w:t>Legislatívno-technická zmena nadväzujúca na bod 2.</w:t>
      </w:r>
    </w:p>
    <w:p w:rsidR="003932B3" w:rsidRPr="00807C32" w:rsidP="006F1FEF">
      <w:pPr>
        <w:widowControl/>
        <w:autoSpaceDE/>
        <w:autoSpaceDN/>
        <w:bidi w:val="0"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</w:pPr>
      <w:r w:rsidRPr="00807C32"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>K bodu 6</w:t>
      </w:r>
    </w:p>
    <w:p w:rsidR="003932B3" w:rsidRPr="006F1FEF" w:rsidP="006F1FEF">
      <w:pPr>
        <w:widowControl/>
        <w:autoSpaceDE/>
        <w:autoSpaceDN/>
        <w:bidi w:val="0"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ab/>
        <w:t>Zavádza sa forma žiadosti o podporu na inštalácie plynových zariadení do vozidiel, jej výška a právny nárok žiadateľa.</w:t>
      </w:r>
    </w:p>
    <w:p w:rsidR="006F1FEF" w:rsidRPr="006F1FEF" w:rsidP="006F1FEF">
      <w:pPr>
        <w:widowControl/>
        <w:autoSpaceDE/>
        <w:autoSpaceDN/>
        <w:bidi w:val="0"/>
        <w:spacing w:after="200" w:line="276" w:lineRule="auto"/>
        <w:jc w:val="both"/>
        <w:textAlignment w:val="auto"/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</w:pPr>
      <w:r w:rsidRPr="006F1FEF"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>Čl. I</w:t>
      </w:r>
      <w:r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>II</w:t>
      </w:r>
    </w:p>
    <w:p w:rsidR="009F6924" w:rsidRPr="00E84888" w:rsidP="003254A1">
      <w:pPr>
        <w:autoSpaceDN/>
        <w:bidi w:val="0"/>
        <w:ind w:firstLine="708"/>
        <w:jc w:val="both"/>
        <w:textAlignment w:val="auto"/>
        <w:rPr>
          <w:rFonts w:ascii="Book Antiqua" w:hAnsi="Book Antiqua" w:cs="Book Antiqua"/>
          <w:color w:val="000000"/>
          <w:kern w:val="1"/>
          <w:sz w:val="22"/>
          <w:szCs w:val="22"/>
        </w:rPr>
      </w:pPr>
      <w:r w:rsidR="00682454">
        <w:rPr>
          <w:rFonts w:ascii="Book Antiqua" w:hAnsi="Book Antiqua" w:cs="Arial"/>
          <w:color w:val="000000"/>
          <w:kern w:val="1"/>
          <w:sz w:val="22"/>
          <w:szCs w:val="22"/>
        </w:rPr>
        <w:t>Navrhuje sa účinnosť návrhu zákona od 1. januára 2019</w:t>
      </w:r>
      <w:r w:rsidRPr="003254A1" w:rsidR="003254A1">
        <w:rPr>
          <w:rFonts w:ascii="Book Antiqua" w:hAnsi="Book Antiqua" w:cs="Arial"/>
          <w:color w:val="000000"/>
          <w:kern w:val="1"/>
          <w:sz w:val="22"/>
          <w:szCs w:val="22"/>
        </w:rPr>
        <w:t>.</w:t>
      </w:r>
    </w:p>
    <w:sectPr w:rsidSect="00BB35E1">
      <w:type w:val="continuous"/>
      <w:pgSz w:w="11906" w:h="16838"/>
      <w:pgMar w:top="1134" w:right="1134" w:bottom="1134" w:left="1134" w:header="709" w:footer="709" w:gutter="0"/>
      <w:lnNumType w:distance="0"/>
      <w:cols w:space="0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0" w:usb1="00000000" w:usb2="00000000" w:usb3="00000000" w:csb0="00000001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altName w:val="Century Gothic"/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Liberation Serif">
    <w:altName w:val="Times New Roman"/>
    <w:panose1 w:val="00000000000000000000"/>
    <w:charset w:val="EE"/>
    <w:family w:val="roman"/>
    <w:pitch w:val="variable"/>
    <w:sig w:usb0="00000000" w:usb1="00000000" w:usb2="00000000" w:usb3="00000000" w:csb0="00000003" w:csb1="00000000"/>
  </w:font>
  <w:font w:name="Microsoft YaHei">
    <w:panose1 w:val="00000000000000000000"/>
    <w:charset w:val="86"/>
    <w:family w:val="swiss"/>
    <w:pitch w:val="variable"/>
    <w:sig w:usb0="00000000" w:usb1="00000000" w:usb2="00000000" w:usb3="00000000" w:csb0="0004001F" w:csb1="00000000"/>
  </w:font>
  <w:font w:name="@Microsoft YaHei">
    <w:charset w:val="86"/>
    <w:family w:val="swiss"/>
    <w:pitch w:val="variable"/>
    <w:sig w:usb0="00000000" w:usb1="00000000" w:usb2="00000000" w:usb3="00000000" w:csb0="0004001F" w:csb1="00000000"/>
  </w:font>
  <w:font w:name="Wingdings, Symbol">
    <w:panose1 w:val="00000000000000000000"/>
    <w:charset w:val="02"/>
    <w:family w:val="auto"/>
    <w:pitch w:val="variable"/>
    <w:sig w:usb0="00000000" w:usb1="00000000" w:usb2="00000000" w:usb3="00000000" w:csb0="80000000" w:csb1="00000000"/>
  </w:font>
  <w:font w:name="Symbol, 'Times New Roman'">
    <w:panose1 w:val="00000000000000000000"/>
    <w:charset w:val="02"/>
    <w:family w:val="roman"/>
    <w:pitch w:val="variable"/>
    <w:sig w:usb0="00000000" w:usb1="00000000" w:usb2="00000000" w:usb3="00000000" w:csb0="8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14A8D"/>
    <w:multiLevelType w:val="hybridMultilevel"/>
    <w:tmpl w:val="7F3809D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">
    <w:nsid w:val="473C0834"/>
    <w:multiLevelType w:val="hybridMultilevel"/>
    <w:tmpl w:val="9F1CA23C"/>
    <w:lvl w:ilvl="0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autoHyphenation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B653D"/>
    <w:rsid w:val="0001147F"/>
    <w:rsid w:val="00013ABE"/>
    <w:rsid w:val="000470E8"/>
    <w:rsid w:val="00075798"/>
    <w:rsid w:val="000B5C2B"/>
    <w:rsid w:val="000C166D"/>
    <w:rsid w:val="000E26FA"/>
    <w:rsid w:val="000F4C13"/>
    <w:rsid w:val="0012480C"/>
    <w:rsid w:val="00145142"/>
    <w:rsid w:val="00153B16"/>
    <w:rsid w:val="001A55AD"/>
    <w:rsid w:val="001C334C"/>
    <w:rsid w:val="001C442D"/>
    <w:rsid w:val="001D2B93"/>
    <w:rsid w:val="001E4F50"/>
    <w:rsid w:val="001E6479"/>
    <w:rsid w:val="00212AA0"/>
    <w:rsid w:val="002163D3"/>
    <w:rsid w:val="00260531"/>
    <w:rsid w:val="002642EA"/>
    <w:rsid w:val="00294D6D"/>
    <w:rsid w:val="00297050"/>
    <w:rsid w:val="002A0A56"/>
    <w:rsid w:val="002A345F"/>
    <w:rsid w:val="002D180A"/>
    <w:rsid w:val="002E3CB8"/>
    <w:rsid w:val="00300757"/>
    <w:rsid w:val="00312F49"/>
    <w:rsid w:val="00322CBC"/>
    <w:rsid w:val="003254A1"/>
    <w:rsid w:val="003506A2"/>
    <w:rsid w:val="0036607B"/>
    <w:rsid w:val="003932B3"/>
    <w:rsid w:val="00393A7C"/>
    <w:rsid w:val="003C4853"/>
    <w:rsid w:val="003E4969"/>
    <w:rsid w:val="003F2C29"/>
    <w:rsid w:val="00401CEF"/>
    <w:rsid w:val="00403429"/>
    <w:rsid w:val="0043142A"/>
    <w:rsid w:val="00437F93"/>
    <w:rsid w:val="0044017D"/>
    <w:rsid w:val="00445805"/>
    <w:rsid w:val="00470E08"/>
    <w:rsid w:val="004C7790"/>
    <w:rsid w:val="004C7C57"/>
    <w:rsid w:val="004D08D2"/>
    <w:rsid w:val="004E1E66"/>
    <w:rsid w:val="00531C6F"/>
    <w:rsid w:val="00544D0E"/>
    <w:rsid w:val="005469A9"/>
    <w:rsid w:val="00547196"/>
    <w:rsid w:val="0058452E"/>
    <w:rsid w:val="00600409"/>
    <w:rsid w:val="0060614C"/>
    <w:rsid w:val="00612323"/>
    <w:rsid w:val="00613831"/>
    <w:rsid w:val="006329D9"/>
    <w:rsid w:val="00676D7A"/>
    <w:rsid w:val="00681AF9"/>
    <w:rsid w:val="00682454"/>
    <w:rsid w:val="006C15F7"/>
    <w:rsid w:val="006F1FEF"/>
    <w:rsid w:val="00705202"/>
    <w:rsid w:val="00716123"/>
    <w:rsid w:val="007374A8"/>
    <w:rsid w:val="00755E04"/>
    <w:rsid w:val="0077381B"/>
    <w:rsid w:val="00784B25"/>
    <w:rsid w:val="0079622E"/>
    <w:rsid w:val="007B25B8"/>
    <w:rsid w:val="007E1102"/>
    <w:rsid w:val="00807C32"/>
    <w:rsid w:val="00854118"/>
    <w:rsid w:val="00872CE0"/>
    <w:rsid w:val="00880065"/>
    <w:rsid w:val="008B1985"/>
    <w:rsid w:val="008D50B9"/>
    <w:rsid w:val="009047AD"/>
    <w:rsid w:val="00924BA2"/>
    <w:rsid w:val="00924F8D"/>
    <w:rsid w:val="009532D4"/>
    <w:rsid w:val="0096295C"/>
    <w:rsid w:val="00981E41"/>
    <w:rsid w:val="009C044D"/>
    <w:rsid w:val="009C1FB6"/>
    <w:rsid w:val="009E09E8"/>
    <w:rsid w:val="009F58A5"/>
    <w:rsid w:val="009F6924"/>
    <w:rsid w:val="00A3277D"/>
    <w:rsid w:val="00A6220D"/>
    <w:rsid w:val="00AA3D59"/>
    <w:rsid w:val="00AB758F"/>
    <w:rsid w:val="00AC1E33"/>
    <w:rsid w:val="00AC4D1E"/>
    <w:rsid w:val="00AD563D"/>
    <w:rsid w:val="00AE6541"/>
    <w:rsid w:val="00AF6E51"/>
    <w:rsid w:val="00AF78F2"/>
    <w:rsid w:val="00B35845"/>
    <w:rsid w:val="00B52ABA"/>
    <w:rsid w:val="00B553D2"/>
    <w:rsid w:val="00BB06C3"/>
    <w:rsid w:val="00BB09A2"/>
    <w:rsid w:val="00BB35E1"/>
    <w:rsid w:val="00BD4273"/>
    <w:rsid w:val="00C07276"/>
    <w:rsid w:val="00C10C95"/>
    <w:rsid w:val="00C1413F"/>
    <w:rsid w:val="00C176E4"/>
    <w:rsid w:val="00C63173"/>
    <w:rsid w:val="00C63DA0"/>
    <w:rsid w:val="00CA3BF2"/>
    <w:rsid w:val="00CB653D"/>
    <w:rsid w:val="00CB79B8"/>
    <w:rsid w:val="00CF1C12"/>
    <w:rsid w:val="00CF3A95"/>
    <w:rsid w:val="00D03215"/>
    <w:rsid w:val="00D2694F"/>
    <w:rsid w:val="00D3056C"/>
    <w:rsid w:val="00D37E72"/>
    <w:rsid w:val="00D458E1"/>
    <w:rsid w:val="00D46245"/>
    <w:rsid w:val="00D87946"/>
    <w:rsid w:val="00DA21B1"/>
    <w:rsid w:val="00DB39CF"/>
    <w:rsid w:val="00E10995"/>
    <w:rsid w:val="00E13DF0"/>
    <w:rsid w:val="00E23887"/>
    <w:rsid w:val="00E771A7"/>
    <w:rsid w:val="00E81AD7"/>
    <w:rsid w:val="00E82BC3"/>
    <w:rsid w:val="00E84888"/>
    <w:rsid w:val="00ED6347"/>
    <w:rsid w:val="00EE702A"/>
    <w:rsid w:val="00EE74AB"/>
    <w:rsid w:val="00EF2548"/>
    <w:rsid w:val="00F45A13"/>
    <w:rsid w:val="00F55A58"/>
    <w:rsid w:val="00F70A0C"/>
    <w:rsid w:val="00F7206F"/>
    <w:rsid w:val="00FA57BF"/>
    <w:rsid w:val="00FC234C"/>
    <w:rsid w:val="00FC7AB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List 4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Strong" w:uiPriority="22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 w:val="0"/>
      <w:suppressAutoHyphens/>
      <w:autoSpaceDE w:val="0"/>
      <w:autoSpaceDN w:val="0"/>
      <w:adjustRightInd/>
      <w:ind w:left="0" w:right="0"/>
      <w:jc w:val="left"/>
      <w:textAlignment w:val="baseline"/>
    </w:pPr>
    <w:rPr>
      <w:rFonts w:cs="Times New Roman"/>
      <w:kern w:val="3"/>
      <w:sz w:val="24"/>
      <w:szCs w:val="24"/>
      <w:rtl w:val="0"/>
      <w:cs w:val="0"/>
      <w:lang w:val="sk-SK" w:eastAsia="zh-CN" w:bidi="hi-I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uiPriority w:val="99"/>
    <w:pPr>
      <w:framePr w:wrap="auto"/>
      <w:widowControl w:val="0"/>
      <w:suppressAutoHyphens/>
      <w:autoSpaceDE w:val="0"/>
      <w:autoSpaceDN w:val="0"/>
      <w:adjustRightInd/>
      <w:ind w:left="0" w:right="0"/>
      <w:jc w:val="left"/>
      <w:textAlignment w:val="baseline"/>
    </w:pPr>
    <w:rPr>
      <w:rFonts w:cs="Times New Roman"/>
      <w:kern w:val="3"/>
      <w:sz w:val="24"/>
      <w:szCs w:val="24"/>
      <w:rtl w:val="0"/>
      <w:cs w:val="0"/>
      <w:lang w:val="sk-SK" w:eastAsia="sk-SK" w:bidi="hi-IN"/>
    </w:rPr>
  </w:style>
  <w:style w:type="paragraph" w:styleId="Title">
    <w:name w:val="Title"/>
    <w:basedOn w:val="Standard"/>
    <w:next w:val="Textbody"/>
    <w:link w:val="NzevChar"/>
    <w:uiPriority w:val="99"/>
    <w:qFormat/>
    <w:pPr>
      <w:keepNext/>
      <w:spacing w:before="240" w:after="120"/>
      <w:jc w:val="left"/>
    </w:pPr>
    <w:rPr>
      <w:rFonts w:ascii="Arial" w:hAnsi="Arial" w:cs="Microsoft YaHei"/>
      <w:sz w:val="28"/>
      <w:lang w:eastAsia="zh-CN"/>
    </w:rPr>
  </w:style>
  <w:style w:type="character" w:customStyle="1" w:styleId="NzevChar">
    <w:name w:val="Název Char"/>
    <w:basedOn w:val="DefaultParagraphFont"/>
    <w:link w:val="Title"/>
    <w:uiPriority w:val="10"/>
    <w:locked/>
    <w:rPr>
      <w:rFonts w:asciiTheme="majorHAnsi" w:eastAsiaTheme="majorEastAsia" w:hAnsiTheme="majorHAnsi" w:cs="Mangal"/>
      <w:b/>
      <w:bCs/>
      <w:kern w:val="28"/>
      <w:sz w:val="29"/>
      <w:szCs w:val="29"/>
      <w:rtl w:val="0"/>
      <w:cs w:val="0"/>
      <w:lang w:val="x-none" w:eastAsia="zh-CN" w:bidi="hi-IN"/>
    </w:rPr>
  </w:style>
  <w:style w:type="paragraph" w:customStyle="1" w:styleId="Textbody">
    <w:name w:val="Text body"/>
    <w:basedOn w:val="Standard"/>
    <w:uiPriority w:val="99"/>
    <w:pPr>
      <w:spacing w:after="120"/>
      <w:jc w:val="left"/>
    </w:pPr>
    <w:rPr>
      <w:lang w:eastAsia="zh-CN"/>
    </w:rPr>
  </w:style>
  <w:style w:type="paragraph" w:styleId="List">
    <w:name w:val="List"/>
    <w:basedOn w:val="Textbody"/>
    <w:uiPriority w:val="99"/>
    <w:pPr>
      <w:jc w:val="left"/>
    </w:pPr>
  </w:style>
  <w:style w:type="paragraph" w:styleId="Caption">
    <w:name w:val="caption"/>
    <w:basedOn w:val="Standard"/>
    <w:uiPriority w:val="99"/>
    <w:qFormat/>
    <w:pPr>
      <w:spacing w:before="120" w:after="120"/>
      <w:jc w:val="left"/>
    </w:pPr>
    <w:rPr>
      <w:i/>
      <w:iCs/>
      <w:lang w:eastAsia="zh-CN"/>
    </w:rPr>
  </w:style>
  <w:style w:type="paragraph" w:customStyle="1" w:styleId="Index">
    <w:name w:val="Index"/>
    <w:basedOn w:val="Standard"/>
    <w:uiPriority w:val="99"/>
    <w:pPr>
      <w:jc w:val="left"/>
    </w:pPr>
    <w:rPr>
      <w:lang w:eastAsia="zh-CN"/>
    </w:rPr>
  </w:style>
  <w:style w:type="character" w:customStyle="1" w:styleId="RTFNum21">
    <w:name w:val="RTF_Num 2 1"/>
    <w:uiPriority w:val="99"/>
    <w:rPr>
      <w:rFonts w:eastAsia="Times New Roman"/>
    </w:rPr>
  </w:style>
  <w:style w:type="character" w:customStyle="1" w:styleId="RTFNum22">
    <w:name w:val="RTF_Num 2 2"/>
    <w:uiPriority w:val="99"/>
    <w:rPr>
      <w:rFonts w:eastAsia="Times New Roman"/>
    </w:rPr>
  </w:style>
  <w:style w:type="character" w:customStyle="1" w:styleId="RTFNum23">
    <w:name w:val="RTF_Num 2 3"/>
    <w:uiPriority w:val="99"/>
    <w:rPr>
      <w:rFonts w:eastAsia="Times New Roman"/>
    </w:rPr>
  </w:style>
  <w:style w:type="character" w:customStyle="1" w:styleId="RTFNum24">
    <w:name w:val="RTF_Num 2 4"/>
    <w:uiPriority w:val="99"/>
    <w:rPr>
      <w:rFonts w:eastAsia="Times New Roman"/>
    </w:rPr>
  </w:style>
  <w:style w:type="character" w:customStyle="1" w:styleId="RTFNum25">
    <w:name w:val="RTF_Num 2 5"/>
    <w:uiPriority w:val="99"/>
    <w:rPr>
      <w:rFonts w:eastAsia="Times New Roman"/>
    </w:rPr>
  </w:style>
  <w:style w:type="character" w:customStyle="1" w:styleId="RTFNum26">
    <w:name w:val="RTF_Num 2 6"/>
    <w:uiPriority w:val="99"/>
    <w:rPr>
      <w:rFonts w:eastAsia="Times New Roman"/>
    </w:rPr>
  </w:style>
  <w:style w:type="character" w:customStyle="1" w:styleId="RTFNum27">
    <w:name w:val="RTF_Num 2 7"/>
    <w:uiPriority w:val="99"/>
    <w:rPr>
      <w:rFonts w:eastAsia="Times New Roman"/>
    </w:rPr>
  </w:style>
  <w:style w:type="character" w:customStyle="1" w:styleId="RTFNum28">
    <w:name w:val="RTF_Num 2 8"/>
    <w:uiPriority w:val="99"/>
    <w:rPr>
      <w:rFonts w:eastAsia="Times New Roman"/>
    </w:rPr>
  </w:style>
  <w:style w:type="character" w:customStyle="1" w:styleId="RTFNum29">
    <w:name w:val="RTF_Num 2 9"/>
    <w:uiPriority w:val="99"/>
    <w:rPr>
      <w:rFonts w:eastAsia="Times New Roman"/>
    </w:rPr>
  </w:style>
  <w:style w:type="character" w:customStyle="1" w:styleId="RTFNum31">
    <w:name w:val="RTF_Num 3 1"/>
    <w:uiPriority w:val="99"/>
    <w:rPr>
      <w:rFonts w:eastAsia="Times New Roman"/>
    </w:rPr>
  </w:style>
  <w:style w:type="character" w:customStyle="1" w:styleId="RTFNum32">
    <w:name w:val="RTF_Num 3 2"/>
    <w:uiPriority w:val="99"/>
    <w:rPr>
      <w:rFonts w:eastAsia="Times New Roman"/>
    </w:rPr>
  </w:style>
  <w:style w:type="character" w:customStyle="1" w:styleId="RTFNum33">
    <w:name w:val="RTF_Num 3 3"/>
    <w:uiPriority w:val="99"/>
    <w:rPr>
      <w:rFonts w:eastAsia="Times New Roman"/>
    </w:rPr>
  </w:style>
  <w:style w:type="character" w:customStyle="1" w:styleId="RTFNum34">
    <w:name w:val="RTF_Num 3 4"/>
    <w:uiPriority w:val="99"/>
    <w:rPr>
      <w:rFonts w:eastAsia="Times New Roman"/>
    </w:rPr>
  </w:style>
  <w:style w:type="character" w:customStyle="1" w:styleId="RTFNum35">
    <w:name w:val="RTF_Num 3 5"/>
    <w:uiPriority w:val="99"/>
    <w:rPr>
      <w:rFonts w:eastAsia="Times New Roman"/>
    </w:rPr>
  </w:style>
  <w:style w:type="character" w:customStyle="1" w:styleId="RTFNum36">
    <w:name w:val="RTF_Num 3 6"/>
    <w:uiPriority w:val="99"/>
    <w:rPr>
      <w:rFonts w:eastAsia="Times New Roman"/>
    </w:rPr>
  </w:style>
  <w:style w:type="character" w:customStyle="1" w:styleId="RTFNum37">
    <w:name w:val="RTF_Num 3 7"/>
    <w:uiPriority w:val="99"/>
    <w:rPr>
      <w:rFonts w:eastAsia="Times New Roman"/>
    </w:rPr>
  </w:style>
  <w:style w:type="character" w:customStyle="1" w:styleId="RTFNum38">
    <w:name w:val="RTF_Num 3 8"/>
    <w:uiPriority w:val="99"/>
    <w:rPr>
      <w:rFonts w:eastAsia="Times New Roman"/>
    </w:rPr>
  </w:style>
  <w:style w:type="character" w:customStyle="1" w:styleId="RTFNum39">
    <w:name w:val="RTF_Num 3 9"/>
    <w:uiPriority w:val="99"/>
    <w:rPr>
      <w:rFonts w:eastAsia="Times New Roman"/>
    </w:rPr>
  </w:style>
  <w:style w:type="character" w:customStyle="1" w:styleId="RTFNum41">
    <w:name w:val="RTF_Num 4 1"/>
    <w:uiPriority w:val="99"/>
    <w:rPr>
      <w:rFonts w:eastAsia="Times New Roman"/>
    </w:rPr>
  </w:style>
  <w:style w:type="character" w:customStyle="1" w:styleId="RTFNum42">
    <w:name w:val="RTF_Num 4 2"/>
    <w:uiPriority w:val="99"/>
    <w:rPr>
      <w:rFonts w:eastAsia="Times New Roman"/>
    </w:rPr>
  </w:style>
  <w:style w:type="character" w:customStyle="1" w:styleId="RTFNum43">
    <w:name w:val="RTF_Num 4 3"/>
    <w:uiPriority w:val="99"/>
    <w:rPr>
      <w:rFonts w:eastAsia="Times New Roman"/>
    </w:rPr>
  </w:style>
  <w:style w:type="character" w:customStyle="1" w:styleId="RTFNum44">
    <w:name w:val="RTF_Num 4 4"/>
    <w:uiPriority w:val="99"/>
    <w:rPr>
      <w:rFonts w:eastAsia="Times New Roman"/>
    </w:rPr>
  </w:style>
  <w:style w:type="character" w:customStyle="1" w:styleId="RTFNum45">
    <w:name w:val="RTF_Num 4 5"/>
    <w:uiPriority w:val="99"/>
    <w:rPr>
      <w:rFonts w:eastAsia="Times New Roman"/>
    </w:rPr>
  </w:style>
  <w:style w:type="character" w:customStyle="1" w:styleId="RTFNum46">
    <w:name w:val="RTF_Num 4 6"/>
    <w:uiPriority w:val="99"/>
    <w:rPr>
      <w:rFonts w:eastAsia="Times New Roman"/>
    </w:rPr>
  </w:style>
  <w:style w:type="character" w:customStyle="1" w:styleId="RTFNum47">
    <w:name w:val="RTF_Num 4 7"/>
    <w:uiPriority w:val="99"/>
    <w:rPr>
      <w:rFonts w:eastAsia="Times New Roman"/>
    </w:rPr>
  </w:style>
  <w:style w:type="character" w:customStyle="1" w:styleId="RTFNum48">
    <w:name w:val="RTF_Num 4 8"/>
    <w:uiPriority w:val="99"/>
    <w:rPr>
      <w:rFonts w:eastAsia="Times New Roman"/>
    </w:rPr>
  </w:style>
  <w:style w:type="character" w:customStyle="1" w:styleId="RTFNum49">
    <w:name w:val="RTF_Num 4 9"/>
    <w:uiPriority w:val="99"/>
    <w:rPr>
      <w:rFonts w:eastAsia="Times New Roman"/>
    </w:rPr>
  </w:style>
  <w:style w:type="character" w:customStyle="1" w:styleId="RTFNum51">
    <w:name w:val="RTF_Num 5 1"/>
    <w:uiPriority w:val="99"/>
    <w:rPr>
      <w:rFonts w:ascii="Times New Roman" w:hAnsi="Times New Roman" w:cs="Times New Roman"/>
    </w:rPr>
  </w:style>
  <w:style w:type="character" w:customStyle="1" w:styleId="RTFNum52">
    <w:name w:val="RTF_Num 5 2"/>
    <w:uiPriority w:val="99"/>
    <w:rPr>
      <w:rFonts w:ascii="Courier New" w:hAnsi="Courier New" w:cs="Courier New"/>
    </w:rPr>
  </w:style>
  <w:style w:type="character" w:customStyle="1" w:styleId="RTFNum53">
    <w:name w:val="RTF_Num 5 3"/>
    <w:uiPriority w:val="99"/>
    <w:rPr>
      <w:rFonts w:ascii="Wingdings, Symbol" w:hAnsi="Wingdings, Symbol" w:cs="Wingdings, Symbol"/>
    </w:rPr>
  </w:style>
  <w:style w:type="character" w:customStyle="1" w:styleId="RTFNum54">
    <w:name w:val="RTF_Num 5 4"/>
    <w:uiPriority w:val="99"/>
    <w:rPr>
      <w:rFonts w:ascii="Symbol, 'Times New Roman'" w:hAnsi="Symbol, 'Times New Roman'" w:cs="Symbol, 'Times New Roman'"/>
    </w:rPr>
  </w:style>
  <w:style w:type="character" w:customStyle="1" w:styleId="RTFNum55">
    <w:name w:val="RTF_Num 5 5"/>
    <w:uiPriority w:val="99"/>
    <w:rPr>
      <w:rFonts w:ascii="Courier New" w:hAnsi="Courier New" w:cs="Courier New"/>
    </w:rPr>
  </w:style>
  <w:style w:type="character" w:customStyle="1" w:styleId="RTFNum56">
    <w:name w:val="RTF_Num 5 6"/>
    <w:uiPriority w:val="99"/>
    <w:rPr>
      <w:rFonts w:ascii="Wingdings, Symbol" w:hAnsi="Wingdings, Symbol" w:cs="Wingdings, Symbol"/>
    </w:rPr>
  </w:style>
  <w:style w:type="character" w:customStyle="1" w:styleId="RTFNum57">
    <w:name w:val="RTF_Num 5 7"/>
    <w:uiPriority w:val="99"/>
    <w:rPr>
      <w:rFonts w:ascii="Symbol, 'Times New Roman'" w:hAnsi="Symbol, 'Times New Roman'" w:cs="Symbol, 'Times New Roman'"/>
    </w:rPr>
  </w:style>
  <w:style w:type="character" w:customStyle="1" w:styleId="RTFNum58">
    <w:name w:val="RTF_Num 5 8"/>
    <w:uiPriority w:val="99"/>
    <w:rPr>
      <w:rFonts w:ascii="Courier New" w:hAnsi="Courier New" w:cs="Courier New"/>
    </w:rPr>
  </w:style>
  <w:style w:type="character" w:customStyle="1" w:styleId="RTFNum59">
    <w:name w:val="RTF_Num 5 9"/>
    <w:uiPriority w:val="99"/>
    <w:rPr>
      <w:rFonts w:ascii="Wingdings, Symbol" w:hAnsi="Wingdings, Symbol" w:cs="Wingdings, Symbol"/>
    </w:rPr>
  </w:style>
  <w:style w:type="paragraph" w:customStyle="1" w:styleId="Default">
    <w:name w:val="Default"/>
    <w:uiPriority w:val="99"/>
    <w:rsid w:val="009F6924"/>
    <w:pPr>
      <w:framePr w:wrap="auto"/>
      <w:widowControl w:val="0"/>
      <w:suppressAutoHyphens/>
      <w:autoSpaceDE w:val="0"/>
      <w:autoSpaceDN/>
      <w:adjustRightInd/>
      <w:ind w:left="0" w:right="0"/>
      <w:jc w:val="left"/>
      <w:textAlignment w:val="auto"/>
    </w:pPr>
    <w:rPr>
      <w:rFonts w:ascii="Liberation Serif" w:hAnsi="Liberation Serif" w:cs="Liberation Serif"/>
      <w:color w:val="000000"/>
      <w:kern w:val="1"/>
      <w:sz w:val="24"/>
      <w:szCs w:val="24"/>
      <w:rtl w:val="0"/>
      <w:cs w:val="0"/>
      <w:lang w:val="sk-SK" w:eastAsia="zh-CN" w:bidi="hi-IN"/>
    </w:rPr>
  </w:style>
  <w:style w:type="character" w:styleId="Hyperlink">
    <w:name w:val="Hyperlink"/>
    <w:basedOn w:val="DefaultParagraphFont"/>
    <w:uiPriority w:val="99"/>
    <w:locked/>
    <w:rsid w:val="001E6479"/>
    <w:rPr>
      <w:rFonts w:cs="Times New Roman"/>
      <w:color w:val="0000FF" w:themeColor="hlink" w:themeShade="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locked/>
    <w:rsid w:val="00013ABE"/>
    <w:pPr>
      <w:jc w:val="left"/>
    </w:pPr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013ABE"/>
    <w:rPr>
      <w:rFonts w:ascii="Segoe UI" w:hAnsi="Segoe UI" w:cs="Mangal"/>
      <w:kern w:val="3"/>
      <w:sz w:val="16"/>
      <w:szCs w:val="16"/>
      <w:rtl w:val="0"/>
      <w:cs w:val="0"/>
      <w:lang w:val="x-none" w:eastAsia="zh-CN" w:bidi="hi-IN"/>
    </w:rPr>
  </w:style>
  <w:style w:type="table" w:styleId="TableGrid">
    <w:name w:val="Table Grid"/>
    <w:basedOn w:val="TableNormal"/>
    <w:uiPriority w:val="59"/>
    <w:locked/>
    <w:rsid w:val="00D37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6280F-8989-4B78-A638-B3EC8703D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155</TotalTime>
  <Pages>3</Pages>
  <Words>823</Words>
  <Characters>4692</Characters>
  <Application>Microsoft Office Word</Application>
  <DocSecurity>0</DocSecurity>
  <Lines>0</Lines>
  <Paragraphs>0</Paragraphs>
  <ScaleCrop>false</ScaleCrop>
  <Company/>
  <LinksUpToDate>false</LinksUpToDate>
  <CharactersWithSpaces>5504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Bc. Ján Kecskés</dc:creator>
  <cp:lastModifiedBy>Ján Kecskés</cp:lastModifiedBy>
  <cp:revision>10</cp:revision>
  <cp:lastPrinted>2017-11-08T14:19:00Z</cp:lastPrinted>
  <dcterms:created xsi:type="dcterms:W3CDTF">2018-08-10T14:54:00Z</dcterms:created>
  <dcterms:modified xsi:type="dcterms:W3CDTF">2018-08-22T10:25:00Z</dcterms:modified>
</cp:coreProperties>
</file>