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051" w:rsidRPr="00380774" w:rsidP="00023051">
      <w:pPr>
        <w:bidi w:val="0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P="00023051">
      <w:pPr>
        <w:numPr>
          <w:numId w:val="1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P="00023051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position:absolute;visibility:visible;z-index:251658240"/>
        </w:pict>
      </w:r>
    </w:p>
    <w:p w:rsidR="009E7DAA" w:rsidRPr="00AE1C4E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 w:rsidRPr="00AE1C4E">
        <w:rPr>
          <w:rFonts w:ascii="Book Antiqua" w:hAnsi="Book Antiqua" w:cs="Arial"/>
        </w:rPr>
        <w:t xml:space="preserve">Poslanci za stranu Kotleba – Ľudová strana Naše Slovensko Marian Kotleba, </w:t>
      </w:r>
      <w:r>
        <w:rPr>
          <w:rFonts w:ascii="Book Antiqua" w:hAnsi="Book Antiqua" w:cs="Arial"/>
        </w:rPr>
        <w:br/>
      </w:r>
      <w:r w:rsidRPr="00AE1C4E">
        <w:rPr>
          <w:rFonts w:ascii="Book Antiqua" w:hAnsi="Book Antiqua" w:cs="Arial"/>
        </w:rPr>
        <w:t>Milan Uhrík</w:t>
      </w:r>
      <w:r w:rsidR="00D52163">
        <w:rPr>
          <w:rFonts w:ascii="Book Antiqua" w:hAnsi="Book Antiqua" w:cs="Arial"/>
        </w:rPr>
        <w:t xml:space="preserve">, </w:t>
      </w:r>
      <w:r w:rsidRPr="00AE1C4E" w:rsidR="00F70BF2">
        <w:rPr>
          <w:rFonts w:ascii="Book Antiqua" w:hAnsi="Book Antiqua" w:cs="Arial"/>
        </w:rPr>
        <w:t xml:space="preserve">Ján Mora, </w:t>
      </w:r>
      <w:r w:rsidR="00D52163">
        <w:rPr>
          <w:rFonts w:ascii="Book Antiqua" w:hAnsi="Book Antiqua" w:cs="Arial"/>
        </w:rPr>
        <w:t>Rastislav Schlosár</w:t>
      </w:r>
      <w:r w:rsidRPr="00AE1C4E">
        <w:rPr>
          <w:rFonts w:ascii="Book Antiqua" w:hAnsi="Book Antiqua" w:cs="Arial"/>
        </w:rPr>
        <w:t xml:space="preserve"> a</w:t>
      </w:r>
      <w:r>
        <w:rPr>
          <w:rFonts w:ascii="Book Antiqua" w:hAnsi="Book Antiqua" w:cs="Arial"/>
        </w:rPr>
        <w:t xml:space="preserve"> </w:t>
      </w:r>
      <w:r w:rsidRPr="00AE1C4E">
        <w:rPr>
          <w:rFonts w:ascii="Book Antiqua" w:hAnsi="Book Antiqua" w:cs="Arial"/>
        </w:rPr>
        <w:t>Peter Krupa predkladajú do Národnej rady Slovenskej republiky návrh zákona, ktorým sa mení a</w:t>
      </w:r>
      <w:r w:rsidR="008F42CF">
        <w:rPr>
          <w:rFonts w:ascii="Book Antiqua" w:hAnsi="Book Antiqua" w:cs="Arial"/>
        </w:rPr>
        <w:t xml:space="preserve"> </w:t>
      </w:r>
      <w:r w:rsidRPr="00AE1C4E">
        <w:rPr>
          <w:rFonts w:ascii="Book Antiqua" w:hAnsi="Book Antiqua" w:cs="Arial"/>
        </w:rPr>
        <w:t>dopĺňa zákon č. 308/2000 Z. z. o vysielaní a retransmisii v znení neskorších predpisov.</w:t>
      </w:r>
    </w:p>
    <w:p w:rsidR="009E7DAA" w:rsidRPr="00C5688D" w:rsidP="009E7DAA">
      <w:pPr>
        <w:bidi w:val="0"/>
        <w:spacing w:after="120"/>
        <w:ind w:firstLine="709"/>
        <w:jc w:val="both"/>
        <w:rPr>
          <w:rFonts w:ascii="Book Antiqua" w:hAnsi="Book Antiqua" w:cs="Arial"/>
          <w:b/>
        </w:rPr>
      </w:pPr>
      <w:r w:rsidRPr="00C5688D">
        <w:rPr>
          <w:rFonts w:ascii="Book Antiqua" w:hAnsi="Book Antiqua" w:cs="Arial"/>
          <w:b/>
        </w:rPr>
        <w:t>Hlavným cieľom predloženého legislatívneho návrhu je obmedzenie množstva reklamy vysielanej</w:t>
      </w:r>
      <w:r w:rsidR="008F42CF"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>v</w:t>
      </w:r>
      <w:r w:rsidR="00F70BF2"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>televíznom a</w:t>
      </w:r>
      <w:r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 xml:space="preserve">rozhlasovom vysielaní. Zníženie podielu reklamy </w:t>
      </w:r>
      <w:r>
        <w:rPr>
          <w:rFonts w:ascii="Book Antiqua" w:hAnsi="Book Antiqua" w:cs="Arial"/>
          <w:b/>
        </w:rPr>
        <w:br/>
      </w:r>
      <w:r w:rsidRPr="00C5688D">
        <w:rPr>
          <w:rFonts w:ascii="Book Antiqua" w:hAnsi="Book Antiqua" w:cs="Arial"/>
          <w:b/>
        </w:rPr>
        <w:t>vo vysielaní verejnoprávnych a</w:t>
      </w:r>
      <w:r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>súkromných médií povedie nielen</w:t>
      </w:r>
      <w:r w:rsidR="00D01EE4"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>k</w:t>
      </w:r>
      <w:r>
        <w:rPr>
          <w:rFonts w:ascii="Book Antiqua" w:hAnsi="Book Antiqua" w:cs="Arial"/>
          <w:b/>
        </w:rPr>
        <w:t xml:space="preserve"> </w:t>
      </w:r>
      <w:r w:rsidRPr="00C5688D">
        <w:rPr>
          <w:rFonts w:ascii="Book Antiqua" w:hAnsi="Book Antiqua" w:cs="Arial"/>
          <w:b/>
        </w:rPr>
        <w:t>zlepšeniu sledovateľnosti vysielaného programu ale aj k zmierneniu negatívnych vplyvov reklám na obyvateľstvo.</w:t>
      </w:r>
    </w:p>
    <w:p w:rsidR="0090099E" w:rsidRPr="00D01EE4" w:rsidP="00171115">
      <w:pPr>
        <w:bidi w:val="0"/>
        <w:spacing w:after="120"/>
        <w:ind w:firstLine="709"/>
        <w:jc w:val="both"/>
        <w:rPr>
          <w:rFonts w:ascii="Book Antiqua" w:hAnsi="Book Antiqua" w:cs="Arial"/>
          <w:color w:val="FF0000"/>
        </w:rPr>
      </w:pPr>
      <w:r w:rsidR="00F70BF2">
        <w:rPr>
          <w:rFonts w:ascii="Book Antiqua" w:hAnsi="Book Antiqua" w:cs="Arial"/>
        </w:rPr>
        <w:t>Množstvo reklamy vo verejnom priestore prekročilo únosnú hranicu. Obyvatelia Slovenskej republiky sú vystavovaní masívnej reklame</w:t>
      </w:r>
      <w:r w:rsidR="006A0B18">
        <w:rPr>
          <w:rFonts w:ascii="Book Antiqua" w:hAnsi="Book Antiqua" w:cs="Arial"/>
        </w:rPr>
        <w:t xml:space="preserve"> na každom kroku –</w:t>
      </w:r>
      <w:r w:rsidR="00171115">
        <w:rPr>
          <w:rFonts w:ascii="Book Antiqua" w:hAnsi="Book Antiqua" w:cs="Arial"/>
        </w:rPr>
        <w:t xml:space="preserve"> </w:t>
      </w:r>
      <w:r w:rsidR="00F70BF2">
        <w:rPr>
          <w:rFonts w:ascii="Book Antiqua" w:hAnsi="Book Antiqua" w:cs="Arial"/>
        </w:rPr>
        <w:t>v novinách a časopisoch, na internete, v autobusoch, vo vlakoch, na zastávkach,</w:t>
      </w:r>
      <w:r w:rsidRPr="001D4EDA" w:rsidR="001D4EDA">
        <w:rPr>
          <w:rFonts w:ascii="Book Antiqua" w:hAnsi="Book Antiqua" w:cs="Arial"/>
        </w:rPr>
        <w:t xml:space="preserve"> </w:t>
      </w:r>
      <w:r w:rsidR="001D4EDA">
        <w:rPr>
          <w:rFonts w:ascii="Book Antiqua" w:hAnsi="Book Antiqua" w:cs="Arial"/>
        </w:rPr>
        <w:t>na cestách,</w:t>
      </w:r>
      <w:r w:rsidR="00F70BF2">
        <w:rPr>
          <w:rFonts w:ascii="Book Antiqua" w:hAnsi="Book Antiqua" w:cs="Arial"/>
        </w:rPr>
        <w:t xml:space="preserve"> v</w:t>
      </w:r>
      <w:r w:rsidR="00171115">
        <w:rPr>
          <w:rFonts w:ascii="Book Antiqua" w:hAnsi="Book Antiqua" w:cs="Arial"/>
        </w:rPr>
        <w:t xml:space="preserve"> </w:t>
      </w:r>
      <w:r w:rsidR="00F70BF2">
        <w:rPr>
          <w:rFonts w:ascii="Book Antiqua" w:hAnsi="Book Antiqua" w:cs="Arial"/>
        </w:rPr>
        <w:t>poštových schránkach, atď.</w:t>
      </w:r>
      <w:r w:rsidR="00171115">
        <w:rPr>
          <w:rFonts w:ascii="Book Antiqua" w:hAnsi="Book Antiqua" w:cs="Arial"/>
        </w:rPr>
        <w:t xml:space="preserve"> Obzvlášť intenzívne sa</w:t>
      </w:r>
      <w:r w:rsidR="001D4EDA">
        <w:rPr>
          <w:rFonts w:ascii="Book Antiqua" w:hAnsi="Book Antiqua" w:cs="Arial"/>
        </w:rPr>
        <w:t xml:space="preserve"> však</w:t>
      </w:r>
      <w:r w:rsidR="00171115">
        <w:rPr>
          <w:rFonts w:ascii="Book Antiqua" w:hAnsi="Book Antiqua" w:cs="Arial"/>
        </w:rPr>
        <w:t xml:space="preserve"> vysielanie reklamy rozmohlo v</w:t>
      </w:r>
      <w:r w:rsidR="00610DF4">
        <w:rPr>
          <w:rFonts w:ascii="Book Antiqua" w:hAnsi="Book Antiqua" w:cs="Arial"/>
        </w:rPr>
        <w:t xml:space="preserve"> </w:t>
      </w:r>
      <w:r w:rsidR="00171115">
        <w:rPr>
          <w:rFonts w:ascii="Book Antiqua" w:hAnsi="Book Antiqua" w:cs="Arial"/>
        </w:rPr>
        <w:t>televíznom a rozhlasovom vysielaní.</w:t>
      </w:r>
      <w:r w:rsidR="00F70BF2">
        <w:rPr>
          <w:rFonts w:ascii="Book Antiqua" w:hAnsi="Book Antiqua" w:cs="Arial"/>
        </w:rPr>
        <w:t xml:space="preserve"> </w:t>
      </w:r>
      <w:r w:rsidR="009E09FB">
        <w:rPr>
          <w:rFonts w:ascii="Book Antiqua" w:hAnsi="Book Antiqua" w:cs="Arial"/>
        </w:rPr>
        <w:t xml:space="preserve">Televízny divák už často ani nevie, či na televíznej stanici pozerá film prerušovaný reklamami alebo sériu reklám prerušovanú filmom. Reklamný smog </w:t>
      </w:r>
      <w:r w:rsidR="00171115">
        <w:rPr>
          <w:rFonts w:ascii="Book Antiqua" w:hAnsi="Book Antiqua" w:cs="Arial"/>
        </w:rPr>
        <w:t>zahltil celú spoločnosť, pretože súčasná legislatíva nekladie na objem verejne publikovanej reklamy takmer žiadne obmedzenia.</w:t>
      </w:r>
      <w:r w:rsidR="00D43EE7">
        <w:rPr>
          <w:rFonts w:ascii="Book Antiqua" w:hAnsi="Book Antiqua" w:cs="Arial"/>
        </w:rPr>
        <w:t xml:space="preserve"> </w:t>
      </w:r>
    </w:p>
    <w:p w:rsidR="009E7DAA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Prax ukazuje, že cieľom väčšiny reklám vysielaných v</w:t>
      </w:r>
      <w:r w:rsidR="0050683B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súčasnosti nie je pozitívne motivovať diváka, resp. poslucháča k sebazdokonaľovaniu, vzdelávaniu, športu </w:t>
      </w:r>
      <w:r w:rsidR="008F42CF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či verejnoprospešnej práci. Naopak, väčšina reklám je zameraných na konzum a umelo vytvára ilúziu, že šťastný život je možné prežiť vďaka hromadeniu vecí a často úplne zbytočných materiálnych statkov. Mnohí ľudia podľahnú tejto ilúzii a následne, ovplyvnení reklamami na úvery a</w:t>
      </w:r>
      <w:r w:rsidR="00971676">
        <w:rPr>
          <w:rFonts w:ascii="Book Antiqua" w:hAnsi="Book Antiqua" w:cs="Arial"/>
        </w:rPr>
        <w:t> </w:t>
      </w:r>
      <w:r>
        <w:rPr>
          <w:rFonts w:ascii="Book Antiqua" w:hAnsi="Book Antiqua" w:cs="Arial"/>
        </w:rPr>
        <w:t>pôžičky</w:t>
      </w:r>
      <w:r w:rsidR="00971676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sa v honbe za spotrebou a majetkom neudržateľne zadlžujú.</w:t>
      </w:r>
    </w:p>
    <w:p w:rsidR="009E7DAA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Za spoločensky nebezpečné považujeme tiež reklamy, ktoré podnecujú spotrebu cigariet či alkoholu, ktorý je častou príčinou rozpadu manželstiev, nešťastí </w:t>
        <w:br/>
        <w:t xml:space="preserve">na cestách alebo násilných trestných činov. Spoločensky nebezpečné sú takisto reklamy, </w:t>
        <w:br/>
        <w:t>ktoré vzbudzujú stratu rešpektu voči tradíciám či skryte znevažujú ženy alebo mužov.</w:t>
      </w:r>
    </w:p>
    <w:p w:rsidR="009E7DAA" w:rsidRPr="00A44787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Obzvlášť citlivo treba vnímať tzv. detské reklamy, t.j. reklamy </w:t>
      </w:r>
      <w:r w:rsidR="00971676">
        <w:rPr>
          <w:rFonts w:ascii="Book Antiqua" w:hAnsi="Book Antiqua" w:cs="Arial"/>
        </w:rPr>
        <w:t xml:space="preserve">v ktorých vystupujú deti s </w:t>
      </w:r>
      <w:r>
        <w:rPr>
          <w:rFonts w:ascii="Book Antiqua" w:hAnsi="Book Antiqua" w:cs="Arial"/>
        </w:rPr>
        <w:t>cieľom zmanipulovať nákupné správanie dospelých</w:t>
      </w:r>
      <w:r w:rsidR="00971676">
        <w:rPr>
          <w:rFonts w:ascii="Book Antiqua" w:hAnsi="Book Antiqua" w:cs="Arial"/>
        </w:rPr>
        <w:t xml:space="preserve"> alebo ktoré sú určené priamo </w:t>
        <w:br/>
        <w:t>pre detského diváka</w:t>
      </w:r>
      <w:r>
        <w:rPr>
          <w:rFonts w:ascii="Book Antiqua" w:hAnsi="Book Antiqua" w:cs="Arial"/>
        </w:rPr>
        <w:t xml:space="preserve">. </w:t>
      </w:r>
      <w:r w:rsidRPr="004A1CBD">
        <w:rPr>
          <w:rFonts w:ascii="Book Antiqua" w:hAnsi="Book Antiqua" w:cs="Book Antiqua"/>
        </w:rPr>
        <w:t>Dieťa si nedokáže od prezentovanej reality držať racionálny odstup. Informácie, ktoré sa k nemu prostredníctvom reklamy dostanú spracováva emocionálne</w:t>
      </w:r>
      <w:r w:rsidR="008F42CF">
        <w:rPr>
          <w:rFonts w:ascii="Book Antiqua" w:hAnsi="Book Antiqua" w:cs="Book Antiqua"/>
        </w:rPr>
        <w:t>,</w:t>
      </w:r>
      <w:r w:rsidRPr="004A1CBD">
        <w:rPr>
          <w:rFonts w:ascii="Book Antiqua" w:hAnsi="Book Antiqua" w:cs="Book Antiqua"/>
        </w:rPr>
        <w:t xml:space="preserve"> </w:t>
      </w:r>
      <w:r w:rsidR="00971676">
        <w:rPr>
          <w:rFonts w:ascii="Book Antiqua" w:hAnsi="Book Antiqua" w:cs="Book Antiqua"/>
        </w:rPr>
        <w:br/>
      </w:r>
      <w:r w:rsidRPr="004A1CBD">
        <w:rPr>
          <w:rFonts w:ascii="Book Antiqua" w:hAnsi="Book Antiqua" w:cs="Book Antiqua"/>
        </w:rPr>
        <w:t xml:space="preserve">a preto nedokáže racionálne prijať ani rodičovské rozhodnutie o nepotrebnosti, </w:t>
      </w:r>
      <w:r w:rsidR="00971676">
        <w:rPr>
          <w:rFonts w:ascii="Book Antiqua" w:hAnsi="Book Antiqua" w:cs="Book Antiqua"/>
        </w:rPr>
        <w:br/>
      </w:r>
      <w:r w:rsidRPr="004A1CBD">
        <w:rPr>
          <w:rFonts w:ascii="Book Antiqua" w:hAnsi="Book Antiqua" w:cs="Book Antiqua"/>
        </w:rPr>
        <w:t xml:space="preserve">prípadne škodlivosti </w:t>
      </w:r>
      <w:r w:rsidRPr="00A44787">
        <w:rPr>
          <w:rFonts w:ascii="Book Antiqua" w:hAnsi="Book Antiqua" w:cs="Book Antiqua"/>
        </w:rPr>
        <w:t>prezentovaného produktu.</w:t>
      </w:r>
    </w:p>
    <w:p w:rsidR="00A44787" w:rsidP="00A44787">
      <w:pPr>
        <w:bidi w:val="0"/>
        <w:spacing w:after="120"/>
        <w:ind w:firstLine="709"/>
        <w:jc w:val="both"/>
        <w:rPr>
          <w:rFonts w:ascii="Book Antiqua" w:hAnsi="Book Antiqua" w:cs="Arial"/>
          <w:b/>
        </w:rPr>
      </w:pPr>
      <w:r w:rsidRPr="008F42CF">
        <w:rPr>
          <w:rFonts w:ascii="Book Antiqua" w:hAnsi="Book Antiqua" w:cs="Arial"/>
          <w:b/>
        </w:rPr>
        <w:t>V rámci predloženej novely zákona preto</w:t>
      </w:r>
      <w:r w:rsidR="008F42CF">
        <w:rPr>
          <w:rFonts w:ascii="Book Antiqua" w:hAnsi="Book Antiqua" w:cs="Arial"/>
          <w:b/>
        </w:rPr>
        <w:t xml:space="preserve"> plošne</w:t>
      </w:r>
      <w:r w:rsidRPr="008F42CF">
        <w:rPr>
          <w:rFonts w:ascii="Book Antiqua" w:hAnsi="Book Antiqua" w:cs="Arial"/>
          <w:b/>
        </w:rPr>
        <w:t xml:space="preserve"> obmedzujeme množstvo reklamy vysielanej v televíznom alebo rozhlasovom vysielaní na maximálne 5 % z celkového denného vysielacieho času. Zároveň sa oproti pôvodnej legislatíve skracuje vysielací čas vyhradený reklamným šotom a telenákupným šotom počas jednej celej hodiny z 20 % </w:t>
      </w:r>
      <w:r w:rsidR="008F42CF">
        <w:rPr>
          <w:rFonts w:ascii="Book Antiqua" w:hAnsi="Book Antiqua" w:cs="Arial"/>
          <w:b/>
        </w:rPr>
        <w:br/>
      </w:r>
      <w:r w:rsidRPr="008F42CF">
        <w:rPr>
          <w:rFonts w:ascii="Book Antiqua" w:hAnsi="Book Antiqua" w:cs="Arial"/>
          <w:b/>
        </w:rPr>
        <w:t>(12 min) na</w:t>
      </w:r>
      <w:r w:rsidR="008F42CF">
        <w:rPr>
          <w:rFonts w:ascii="Book Antiqua" w:hAnsi="Book Antiqua" w:cs="Arial"/>
          <w:b/>
        </w:rPr>
        <w:t xml:space="preserve"> maximálne</w:t>
      </w:r>
      <w:r w:rsidRPr="008F42CF">
        <w:rPr>
          <w:rFonts w:ascii="Book Antiqua" w:hAnsi="Book Antiqua" w:cs="Arial"/>
          <w:b/>
        </w:rPr>
        <w:t xml:space="preserve"> 10 % (6 min), a to s</w:t>
      </w:r>
      <w:r w:rsidR="00971676">
        <w:rPr>
          <w:rFonts w:ascii="Book Antiqua" w:hAnsi="Book Antiqua" w:cs="Arial"/>
          <w:b/>
        </w:rPr>
        <w:t> </w:t>
      </w:r>
      <w:r w:rsidRPr="008F42CF">
        <w:rPr>
          <w:rFonts w:ascii="Book Antiqua" w:hAnsi="Book Antiqua" w:cs="Arial"/>
          <w:b/>
        </w:rPr>
        <w:t>platnosťou</w:t>
      </w:r>
      <w:r w:rsidR="00971676">
        <w:rPr>
          <w:rFonts w:ascii="Book Antiqua" w:hAnsi="Book Antiqua" w:cs="Arial"/>
          <w:b/>
        </w:rPr>
        <w:t xml:space="preserve"> pre všetky médiá</w:t>
      </w:r>
      <w:r w:rsidRPr="008F42CF">
        <w:rPr>
          <w:rFonts w:ascii="Book Antiqua" w:hAnsi="Book Antiqua" w:cs="Arial"/>
          <w:b/>
        </w:rPr>
        <w:t xml:space="preserve"> počas celého dňa.</w:t>
      </w:r>
      <w:r w:rsidR="00437FAF">
        <w:rPr>
          <w:rFonts w:ascii="Book Antiqua" w:hAnsi="Book Antiqua" w:cs="Arial"/>
          <w:b/>
        </w:rPr>
        <w:t xml:space="preserve"> </w:t>
      </w:r>
    </w:p>
    <w:p w:rsidR="00437FAF" w:rsidP="00A44787">
      <w:pPr>
        <w:bidi w:val="0"/>
        <w:spacing w:after="120"/>
        <w:ind w:firstLine="709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V praxi to znamená, že televízna alebo rozhlasová stanica bude môcť za hodinu odvysielať najviac 6 minút reklamy, pričom celková doba reklamy odvysielanej za celý deň môže byť maximálne 72 minút.</w:t>
      </w:r>
    </w:p>
    <w:p w:rsidR="00A44787" w:rsidRPr="00A44787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 w:rsidRPr="00A44787">
        <w:rPr>
          <w:rFonts w:ascii="Book Antiqua" w:hAnsi="Book Antiqua" w:cs="Arial"/>
        </w:rPr>
        <w:t>Prevádzkovatelia televíznych spoločností budú po nadobudnutí účinnos</w:t>
      </w:r>
      <w:r w:rsidR="00751A24">
        <w:rPr>
          <w:rFonts w:ascii="Book Antiqua" w:hAnsi="Book Antiqua" w:cs="Arial"/>
        </w:rPr>
        <w:t xml:space="preserve">ti novely zákona taktiež </w:t>
      </w:r>
      <w:r w:rsidRPr="00E80951" w:rsidR="00751A24">
        <w:rPr>
          <w:rFonts w:ascii="Book Antiqua" w:hAnsi="Book Antiqua" w:cs="Arial"/>
          <w:b/>
        </w:rPr>
        <w:t>povinní</w:t>
      </w:r>
      <w:r w:rsidRPr="00E80951">
        <w:rPr>
          <w:rFonts w:ascii="Book Antiqua" w:hAnsi="Book Antiqua" w:cs="Arial"/>
          <w:b/>
        </w:rPr>
        <w:t xml:space="preserve"> zobrazovať počas vysielania reklamy alebo telenákupu na obrazovke </w:t>
      </w:r>
      <w:r w:rsidR="00E80951">
        <w:rPr>
          <w:rFonts w:ascii="Book Antiqua" w:hAnsi="Book Antiqua" w:cs="Arial"/>
          <w:b/>
        </w:rPr>
        <w:t xml:space="preserve">aj </w:t>
      </w:r>
      <w:r w:rsidRPr="00E80951">
        <w:rPr>
          <w:rFonts w:ascii="Book Antiqua" w:hAnsi="Book Antiqua" w:cs="Arial"/>
          <w:b/>
        </w:rPr>
        <w:t>čas zostávajúci do skončenia reklamnej prestávky</w:t>
      </w:r>
      <w:r>
        <w:rPr>
          <w:rFonts w:ascii="Book Antiqua" w:hAnsi="Book Antiqua" w:cs="Arial"/>
        </w:rPr>
        <w:t>. Zobrazovanie tohto času považujeme za praktické najmä preto, že diváci, ktorí nemajú záujem o sledovanie reklamy si budú môcť lepšie naplánovať využitie svojho voľného času počas reklamnej prestávky.</w:t>
      </w:r>
    </w:p>
    <w:p w:rsidR="001845AF" w:rsidRPr="00A44787" w:rsidP="009E7DAA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 w:rsidRPr="00A44787">
        <w:rPr>
          <w:rFonts w:ascii="Book Antiqua" w:hAnsi="Book Antiqua" w:cs="Arial"/>
        </w:rPr>
        <w:t>Novela zákona zároveň desaťnásobne zvyšuje pokuty</w:t>
      </w:r>
      <w:r w:rsidRPr="00A44787" w:rsidR="004719D6">
        <w:rPr>
          <w:rFonts w:ascii="Book Antiqua" w:hAnsi="Book Antiqua" w:cs="Arial"/>
        </w:rPr>
        <w:t xml:space="preserve"> pre prevádzkovateľov televíznych a rozhlasových staníc</w:t>
      </w:r>
      <w:r w:rsidRPr="00A44787">
        <w:rPr>
          <w:rFonts w:ascii="Book Antiqua" w:hAnsi="Book Antiqua" w:cs="Arial"/>
        </w:rPr>
        <w:t xml:space="preserve"> za nedodržanie ustanovení </w:t>
      </w:r>
      <w:r w:rsidRPr="00A44787" w:rsidR="004719D6">
        <w:rPr>
          <w:rFonts w:ascii="Book Antiqua" w:hAnsi="Book Antiqua" w:cs="Arial"/>
        </w:rPr>
        <w:t xml:space="preserve">o </w:t>
      </w:r>
      <w:r w:rsidRPr="00A44787">
        <w:rPr>
          <w:rFonts w:ascii="Book Antiqua" w:hAnsi="Book Antiqua" w:cs="Arial"/>
        </w:rPr>
        <w:t xml:space="preserve">obmedzení reklamy </w:t>
      </w:r>
      <w:r w:rsidR="00751A24">
        <w:rPr>
          <w:rFonts w:ascii="Book Antiqua" w:hAnsi="Book Antiqua" w:cs="Arial"/>
        </w:rPr>
        <w:br/>
      </w:r>
      <w:r w:rsidRPr="00A44787">
        <w:rPr>
          <w:rFonts w:ascii="Book Antiqua" w:hAnsi="Book Antiqua" w:cs="Arial"/>
        </w:rPr>
        <w:t>vo vysielaní. Súčasnú výšku pokút totiž považujeme za neprimerane nízku a</w:t>
      </w:r>
      <w:r w:rsidRPr="00A44787" w:rsidR="004719D6">
        <w:rPr>
          <w:rFonts w:ascii="Book Antiqua" w:hAnsi="Book Antiqua" w:cs="Arial"/>
        </w:rPr>
        <w:t xml:space="preserve"> </w:t>
      </w:r>
      <w:r w:rsidRPr="00A44787">
        <w:rPr>
          <w:rFonts w:ascii="Book Antiqua" w:hAnsi="Book Antiqua" w:cs="Arial"/>
        </w:rPr>
        <w:t>pre veľké mediálne spoločnosti za nedostatočne odstrašujúcu.</w:t>
      </w:r>
      <w:r w:rsidRPr="00A44787" w:rsidR="00556F15">
        <w:rPr>
          <w:rFonts w:ascii="Book Antiqua" w:hAnsi="Book Antiqua" w:cs="Arial"/>
        </w:rPr>
        <w:t xml:space="preserve"> </w:t>
      </w:r>
    </w:p>
    <w:p w:rsidR="00061C9C" w:rsidP="00A310F6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 w:rsidR="00751A24">
        <w:rPr>
          <w:rFonts w:ascii="Book Antiqua" w:hAnsi="Book Antiqua" w:cs="Arial"/>
        </w:rPr>
        <w:t>O</w:t>
      </w:r>
      <w:r w:rsidR="0062614B">
        <w:rPr>
          <w:rFonts w:ascii="Book Antiqua" w:hAnsi="Book Antiqua" w:cs="Arial"/>
        </w:rPr>
        <w:t>čakávame</w:t>
      </w:r>
      <w:r w:rsidR="00A310F6">
        <w:rPr>
          <w:rFonts w:ascii="Book Antiqua" w:hAnsi="Book Antiqua" w:cs="Arial"/>
        </w:rPr>
        <w:t xml:space="preserve">, že obmedzenie množstva reklamy bude mať </w:t>
      </w:r>
      <w:r w:rsidR="00751A24">
        <w:rPr>
          <w:rFonts w:ascii="Book Antiqua" w:hAnsi="Book Antiqua" w:cs="Arial"/>
        </w:rPr>
        <w:t xml:space="preserve">mierne </w:t>
      </w:r>
      <w:r w:rsidR="0062614B">
        <w:rPr>
          <w:rFonts w:ascii="Book Antiqua" w:hAnsi="Book Antiqua" w:cs="Arial"/>
        </w:rPr>
        <w:t>negatívne</w:t>
      </w:r>
      <w:r w:rsidR="00A310F6">
        <w:rPr>
          <w:rFonts w:ascii="Book Antiqua" w:hAnsi="Book Antiqua" w:cs="Arial"/>
        </w:rPr>
        <w:t xml:space="preserve"> vplyv</w:t>
      </w:r>
      <w:r w:rsidR="0062614B">
        <w:rPr>
          <w:rFonts w:ascii="Book Antiqua" w:hAnsi="Book Antiqua" w:cs="Arial"/>
        </w:rPr>
        <w:t>y</w:t>
      </w:r>
      <w:r w:rsidR="00A310F6">
        <w:rPr>
          <w:rFonts w:ascii="Book Antiqua" w:hAnsi="Book Antiqua" w:cs="Arial"/>
        </w:rPr>
        <w:t xml:space="preserve"> </w:t>
        <w:br/>
        <w:t>na podnikateľské prostredie</w:t>
      </w:r>
      <w:r w:rsidR="00751A24">
        <w:rPr>
          <w:rFonts w:ascii="Book Antiqua" w:hAnsi="Book Antiqua" w:cs="Arial"/>
        </w:rPr>
        <w:t xml:space="preserve">, keďže </w:t>
      </w:r>
      <w:r w:rsidR="00F652A0">
        <w:rPr>
          <w:rFonts w:ascii="Book Antiqua" w:hAnsi="Book Antiqua" w:cs="Arial"/>
        </w:rPr>
        <w:t xml:space="preserve">vzhľadom k zníženiu </w:t>
      </w:r>
      <w:r w:rsidR="00080DB9">
        <w:rPr>
          <w:rFonts w:ascii="Book Antiqua" w:hAnsi="Book Antiqua" w:cs="Arial"/>
        </w:rPr>
        <w:t xml:space="preserve">celkového </w:t>
      </w:r>
      <w:r w:rsidR="00F652A0">
        <w:rPr>
          <w:rFonts w:ascii="Book Antiqua" w:hAnsi="Book Antiqua" w:cs="Arial"/>
        </w:rPr>
        <w:t>objemu reklamného priestoru</w:t>
      </w:r>
      <w:r w:rsidR="00080DB9">
        <w:rPr>
          <w:rFonts w:ascii="Book Antiqua" w:hAnsi="Book Antiqua" w:cs="Arial"/>
        </w:rPr>
        <w:t xml:space="preserve"> v médiách</w:t>
      </w:r>
      <w:r w:rsidR="00F652A0">
        <w:rPr>
          <w:rFonts w:ascii="Book Antiqua" w:hAnsi="Book Antiqua" w:cs="Arial"/>
        </w:rPr>
        <w:t xml:space="preserve"> pravdepodobne príde k zvýšeniu jednotkových cien za minútu reklamy.</w:t>
      </w:r>
      <w:r>
        <w:rPr>
          <w:rFonts w:ascii="Book Antiqua" w:hAnsi="Book Antiqua" w:cs="Arial"/>
        </w:rPr>
        <w:t xml:space="preserve"> Celkový dopad na podnikateľské prostredie však bude závisieť od ochoty inzerentov objednávať si lukratívnejší, ale drahší reklamný čas.</w:t>
      </w:r>
      <w:r w:rsidR="00F652A0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Zároveň príde k miernemu zvýšeniu regulačného zaťaženia pre súkromných prevádzkovateľov televíznych</w:t>
      </w:r>
      <w:r w:rsidR="00E80951">
        <w:rPr>
          <w:rFonts w:ascii="Book Antiqua" w:hAnsi="Book Antiqua" w:cs="Arial"/>
        </w:rPr>
        <w:t xml:space="preserve"> a rozhlasových</w:t>
      </w:r>
      <w:r>
        <w:rPr>
          <w:rFonts w:ascii="Book Antiqua" w:hAnsi="Book Antiqua" w:cs="Arial"/>
        </w:rPr>
        <w:t xml:space="preserve"> </w:t>
      </w:r>
      <w:r w:rsidR="00E80951">
        <w:rPr>
          <w:rFonts w:ascii="Book Antiqua" w:hAnsi="Book Antiqua" w:cs="Arial"/>
        </w:rPr>
        <w:t>staníc</w:t>
      </w:r>
      <w:r>
        <w:rPr>
          <w:rFonts w:ascii="Book Antiqua" w:hAnsi="Book Antiqua" w:cs="Arial"/>
        </w:rPr>
        <w:t xml:space="preserve">, na ktoré sa doposiaľ takáto regulácia nevzťahovala. </w:t>
      </w:r>
    </w:p>
    <w:p w:rsidR="00A44787" w:rsidRPr="00A44787" w:rsidP="00A44787">
      <w:pPr>
        <w:bidi w:val="0"/>
        <w:spacing w:after="120"/>
        <w:ind w:firstLine="709"/>
        <w:jc w:val="both"/>
        <w:rPr>
          <w:rFonts w:ascii="Book Antiqua" w:hAnsi="Book Antiqua" w:cs="Arial"/>
        </w:rPr>
      </w:pPr>
      <w:r w:rsidRPr="00A44787">
        <w:rPr>
          <w:rFonts w:ascii="Book Antiqua" w:hAnsi="Book Antiqua" w:cs="Arial"/>
        </w:rPr>
        <w:t>N</w:t>
      </w:r>
      <w:r w:rsidR="00544BA6">
        <w:rPr>
          <w:rFonts w:ascii="Book Antiqua" w:hAnsi="Book Antiqua" w:cs="Arial"/>
        </w:rPr>
        <w:t>a druhej strane, n</w:t>
      </w:r>
      <w:r w:rsidRPr="00A44787">
        <w:rPr>
          <w:rFonts w:ascii="Book Antiqua" w:hAnsi="Book Antiqua" w:cs="Arial"/>
        </w:rPr>
        <w:t>ávrh zákona bude mať jednoznačne pozitívne sociálne a spoločenské vplyvy.</w:t>
      </w:r>
    </w:p>
    <w:p w:rsidR="00A44787" w:rsidRPr="0062614B" w:rsidP="00A310F6">
      <w:pPr>
        <w:bidi w:val="0"/>
        <w:spacing w:after="120"/>
        <w:ind w:firstLine="709"/>
        <w:jc w:val="both"/>
        <w:rPr>
          <w:rFonts w:ascii="Book Antiqua" w:hAnsi="Book Antiqua" w:cs="Arial"/>
        </w:rPr>
      </w:pPr>
    </w:p>
    <w:p w:rsidR="00A310F6" w:rsidRPr="0062614B" w:rsidP="00A310F6">
      <w:pPr>
        <w:bidi w:val="0"/>
        <w:spacing w:before="120" w:after="0"/>
        <w:rPr>
          <w:rFonts w:ascii="Book Antiqua" w:hAnsi="Book Antiqua" w:cs="Arial"/>
        </w:rPr>
      </w:pPr>
    </w:p>
    <w:p w:rsidR="00A310F6" w:rsidRPr="0062614B" w:rsidP="009E7DAA">
      <w:pPr>
        <w:bidi w:val="0"/>
        <w:spacing w:before="120" w:after="0"/>
        <w:jc w:val="center"/>
        <w:rPr>
          <w:rFonts w:ascii="Book Antiqua" w:hAnsi="Book Antiqua" w:cs="Arial"/>
        </w:rPr>
      </w:pPr>
    </w:p>
    <w:p w:rsidR="0062614B" w:rsidRPr="00236456" w:rsidP="0062614B">
      <w:pPr>
        <w:bidi w:val="0"/>
        <w:spacing w:after="120"/>
        <w:ind w:firstLine="709"/>
        <w:jc w:val="both"/>
        <w:rPr>
          <w:rFonts w:ascii="Book Antiqua" w:hAnsi="Book Antiqua" w:cs="Arial"/>
          <w:lang w:val="en-US"/>
        </w:rPr>
      </w:pPr>
    </w:p>
    <w:p w:rsidR="0062614B" w:rsidRPr="000B4D22" w:rsidP="0062614B">
      <w:pPr>
        <w:bidi w:val="0"/>
        <w:spacing w:after="120"/>
        <w:ind w:firstLine="709"/>
        <w:jc w:val="both"/>
        <w:rPr>
          <w:rFonts w:ascii="Book Antiqua" w:hAnsi="Book Antiqua" w:cs="Arial"/>
          <w:color w:val="FF0000"/>
        </w:rPr>
      </w:pPr>
    </w:p>
    <w:p w:rsidR="009E7DAA" w:rsidRPr="0062614B" w:rsidP="00023051">
      <w:pPr>
        <w:bidi w:val="0"/>
        <w:spacing w:before="120" w:after="0"/>
        <w:jc w:val="center"/>
        <w:rPr>
          <w:rFonts w:ascii="Book Antiqua" w:hAnsi="Book Antiqua" w:cs="Arial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9E7DAA" w:rsidP="00023051">
      <w:pPr>
        <w:bidi w:val="0"/>
        <w:spacing w:before="120" w:after="0"/>
        <w:jc w:val="center"/>
        <w:rPr>
          <w:rFonts w:ascii="Book Antiqua" w:hAnsi="Book Antiqua" w:cs="Arial"/>
          <w:color w:val="000000" w:themeColor="tx1" w:themeShade="FF"/>
        </w:rPr>
      </w:pPr>
    </w:p>
    <w:p w:rsidR="00462474">
      <w:pPr>
        <w:suppressAutoHyphens w:val="0"/>
        <w:bidi w:val="0"/>
        <w:rPr>
          <w:rFonts w:ascii="Book Antiqua" w:hAnsi="Book Antiqua" w:cs="Arial"/>
          <w:b/>
          <w:i/>
          <w:color w:val="000000"/>
        </w:rPr>
      </w:pPr>
      <w:r>
        <w:rPr>
          <w:rFonts w:ascii="Book Antiqua" w:hAnsi="Book Antiqua" w:cs="Arial"/>
          <w:b/>
          <w:i/>
          <w:color w:val="000000"/>
        </w:rPr>
        <w:br w:type="page"/>
      </w:r>
    </w:p>
    <w:p w:rsidR="001D6141" w:rsidRPr="009F6924" w:rsidP="001D6141">
      <w:pPr>
        <w:numPr>
          <w:numId w:val="1"/>
        </w:numPr>
        <w:bidi w:val="0"/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t>Osobitná časť</w:t>
      </w:r>
    </w:p>
    <w:p w:rsidR="001D6141" w:rsidRPr="009F6924" w:rsidP="001D6141">
      <w:pPr>
        <w:bidi w:val="0"/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/>
        </w:pict>
      </w:r>
    </w:p>
    <w:p w:rsidR="001D6141" w:rsidRPr="00B94FBD" w:rsidP="001D6141">
      <w:pPr>
        <w:bidi w:val="0"/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FC2A09" w:rsidRPr="00B94FBD" w:rsidP="00FC2A09">
      <w:pPr>
        <w:bidi w:val="0"/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FC2A09" w:rsidRPr="003A1B64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Pr="003A1B64">
        <w:rPr>
          <w:rFonts w:ascii="Book Antiqua" w:hAnsi="Book Antiqua" w:cs="Arial"/>
          <w:bCs/>
          <w:color w:val="000000"/>
        </w:rPr>
        <w:t xml:space="preserve">Časový rozsah vysielanej reklamy a telenákupu vo vysielaní televíznej programovej služby </w:t>
      </w:r>
      <w:r>
        <w:rPr>
          <w:rFonts w:ascii="Book Antiqua" w:hAnsi="Book Antiqua" w:cs="Arial"/>
          <w:bCs/>
          <w:color w:val="000000"/>
        </w:rPr>
        <w:t xml:space="preserve">sa stanovuje jednotne na maximálne </w:t>
      </w:r>
      <w:r w:rsidRPr="003A1B64">
        <w:rPr>
          <w:rFonts w:ascii="Book Antiqua" w:hAnsi="Book Antiqua" w:cs="Arial"/>
          <w:bCs/>
          <w:color w:val="000000"/>
        </w:rPr>
        <w:t>5 % denného vysielacieho času</w:t>
      </w:r>
      <w:r>
        <w:rPr>
          <w:rFonts w:ascii="Book Antiqua" w:hAnsi="Book Antiqua" w:cs="Arial"/>
          <w:bCs/>
          <w:color w:val="000000"/>
        </w:rPr>
        <w:t xml:space="preserve">, bez ohľadu na to či ide o vysielateľa na základe zákona alebo vysielateľa s licenciou. </w:t>
      </w:r>
    </w:p>
    <w:p w:rsidR="00FC2A09" w:rsidRPr="00B94FBD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>K bodu 2</w:t>
      </w:r>
    </w:p>
    <w:p w:rsidR="00FC2A09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 w:rsidRPr="00B94FBD">
        <w:rPr>
          <w:rFonts w:ascii="Book Antiqua" w:hAnsi="Book Antiqua" w:cs="Arial"/>
          <w:bCs/>
          <w:color w:val="000000"/>
        </w:rPr>
        <w:tab/>
      </w:r>
      <w:r>
        <w:rPr>
          <w:rFonts w:ascii="Book Antiqua" w:hAnsi="Book Antiqua" w:cs="Arial"/>
          <w:bCs/>
          <w:color w:val="000000"/>
        </w:rPr>
        <w:t>Oproti pôvodnej legislatíve sa skracuje v</w:t>
      </w:r>
      <w:r w:rsidRPr="00541A33">
        <w:rPr>
          <w:rFonts w:ascii="Book Antiqua" w:hAnsi="Book Antiqua" w:cs="Arial"/>
          <w:bCs/>
          <w:color w:val="000000"/>
        </w:rPr>
        <w:t xml:space="preserve">ysielací čas vyhradený reklamným šotom </w:t>
      </w:r>
      <w:r>
        <w:rPr>
          <w:rFonts w:ascii="Book Antiqua" w:hAnsi="Book Antiqua" w:cs="Arial"/>
          <w:bCs/>
          <w:color w:val="000000"/>
        </w:rPr>
        <w:br/>
      </w:r>
      <w:r w:rsidRPr="00541A33">
        <w:rPr>
          <w:rFonts w:ascii="Book Antiqua" w:hAnsi="Book Antiqua" w:cs="Arial"/>
          <w:bCs/>
          <w:color w:val="000000"/>
        </w:rPr>
        <w:t>a telenákupným šotom</w:t>
      </w:r>
      <w:r>
        <w:rPr>
          <w:rFonts w:ascii="Book Antiqua" w:hAnsi="Book Antiqua" w:cs="Arial"/>
          <w:bCs/>
          <w:color w:val="000000"/>
        </w:rPr>
        <w:t xml:space="preserve">  vo vysielaní televíznej programovej služby</w:t>
      </w:r>
      <w:r w:rsidRPr="00541A33">
        <w:rPr>
          <w:rFonts w:ascii="Book Antiqua" w:hAnsi="Book Antiqua" w:cs="Arial"/>
          <w:bCs/>
          <w:color w:val="000000"/>
        </w:rPr>
        <w:t xml:space="preserve"> počas jednej celej hodiny </w:t>
      </w:r>
      <w:r>
        <w:rPr>
          <w:rFonts w:ascii="Book Antiqua" w:hAnsi="Book Antiqua" w:cs="Arial"/>
          <w:bCs/>
          <w:color w:val="000000"/>
        </w:rPr>
        <w:t xml:space="preserve">z 20 % (12 min) na 10 % (6 min), a to s platnosťou počas celého dňa. </w:t>
      </w:r>
    </w:p>
    <w:p w:rsidR="00FC2A09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 xml:space="preserve">K bodu 3 </w:t>
      </w:r>
    </w:p>
    <w:p w:rsidR="00FC2A09" w:rsidRPr="00541A33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 w:rsidRPr="00541A33">
        <w:rPr>
          <w:rFonts w:ascii="Book Antiqua" w:hAnsi="Book Antiqua" w:cs="Arial"/>
          <w:bCs/>
          <w:color w:val="000000"/>
        </w:rPr>
        <w:tab/>
      </w:r>
      <w:r>
        <w:rPr>
          <w:rFonts w:ascii="Book Antiqua" w:hAnsi="Book Antiqua" w:cs="Arial"/>
          <w:bCs/>
          <w:color w:val="000000"/>
        </w:rPr>
        <w:t>Vysielací čas v</w:t>
      </w:r>
      <w:r w:rsidRPr="00541A33">
        <w:rPr>
          <w:rFonts w:ascii="Book Antiqua" w:hAnsi="Book Antiqua" w:cs="Arial"/>
          <w:bCs/>
          <w:color w:val="000000"/>
        </w:rPr>
        <w:t>yhradený telenákupným šotom počas jednej celej hodiny</w:t>
      </w:r>
      <w:r>
        <w:rPr>
          <w:rFonts w:ascii="Book Antiqua" w:hAnsi="Book Antiqua" w:cs="Arial"/>
          <w:bCs/>
          <w:color w:val="000000"/>
        </w:rPr>
        <w:t xml:space="preserve"> sa bude </w:t>
        <w:br/>
        <w:t xml:space="preserve">po novom vzťahovať aj na vysielateľov s licenciou. </w:t>
      </w:r>
    </w:p>
    <w:p w:rsidR="00FC2A09" w:rsidRPr="00837398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>
        <w:rPr>
          <w:rFonts w:ascii="Book Antiqua" w:hAnsi="Book Antiqua" w:cs="Arial"/>
          <w:bCs/>
          <w:color w:val="000000"/>
          <w:u w:val="single"/>
        </w:rPr>
        <w:t xml:space="preserve">K bodu 4 </w:t>
      </w:r>
    </w:p>
    <w:p w:rsidR="00FC2A09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</w:r>
      <w:r w:rsidRPr="00CC09A7">
        <w:rPr>
          <w:rFonts w:ascii="Book Antiqua" w:hAnsi="Book Antiqua" w:cs="Arial"/>
          <w:bCs/>
          <w:color w:val="000000"/>
        </w:rPr>
        <w:t>Časový rozsah vysielanej reklamy a telenákupu vo vysielaní rozhlasovej programovej služby</w:t>
      </w:r>
      <w:r>
        <w:rPr>
          <w:rFonts w:ascii="Book Antiqua" w:hAnsi="Book Antiqua" w:cs="Arial"/>
          <w:bCs/>
          <w:color w:val="000000"/>
        </w:rPr>
        <w:t xml:space="preserve"> sa stanovuj jednotne na maximálne </w:t>
      </w:r>
      <w:r w:rsidRPr="00CC09A7">
        <w:rPr>
          <w:rFonts w:ascii="Book Antiqua" w:hAnsi="Book Antiqua" w:cs="Arial"/>
          <w:bCs/>
          <w:color w:val="000000"/>
        </w:rPr>
        <w:t>5</w:t>
      </w:r>
      <w:r>
        <w:rPr>
          <w:rFonts w:ascii="Book Antiqua" w:hAnsi="Book Antiqua" w:cs="Arial"/>
          <w:bCs/>
          <w:color w:val="000000"/>
        </w:rPr>
        <w:t xml:space="preserve"> % denného vysielacieho času</w:t>
      </w:r>
      <w:r w:rsidRPr="00CC09A7">
        <w:rPr>
          <w:rFonts w:ascii="Book Antiqua" w:hAnsi="Book Antiqua" w:cs="Arial"/>
          <w:bCs/>
          <w:color w:val="000000"/>
        </w:rPr>
        <w:t>, bez ohľadu na to či ide o vysielateľa na základe zákona alebo vysielateľa s licenciou.</w:t>
      </w:r>
    </w:p>
    <w:p w:rsidR="00FC2A09" w:rsidRPr="00FD0E1D" w:rsidP="00FC2A09">
      <w:pPr>
        <w:bidi w:val="0"/>
        <w:rPr>
          <w:rFonts w:ascii="Book Antiqua" w:hAnsi="Book Antiqua" w:cs="Arial"/>
          <w:bCs/>
          <w:color w:val="000000"/>
          <w:u w:val="single"/>
        </w:rPr>
      </w:pPr>
      <w:r w:rsidRPr="00FD0E1D">
        <w:rPr>
          <w:rFonts w:ascii="Book Antiqua" w:hAnsi="Book Antiqua" w:cs="Arial"/>
          <w:bCs/>
          <w:color w:val="000000"/>
          <w:u w:val="single"/>
        </w:rPr>
        <w:t xml:space="preserve">K bodu 5 </w:t>
      </w:r>
    </w:p>
    <w:p w:rsidR="00FC2A09" w:rsidP="00FC2A09">
      <w:pPr>
        <w:bidi w:val="0"/>
        <w:ind w:firstLine="708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>Č</w:t>
      </w:r>
      <w:r w:rsidRPr="00FD0E1D">
        <w:rPr>
          <w:rFonts w:ascii="Book Antiqua" w:hAnsi="Book Antiqua" w:cs="Arial"/>
          <w:bCs/>
          <w:color w:val="000000"/>
        </w:rPr>
        <w:t>as vyhradený reklamným šotom a telenákupným šotom</w:t>
      </w:r>
      <w:r w:rsidR="00885B84">
        <w:rPr>
          <w:rFonts w:ascii="Book Antiqua" w:hAnsi="Book Antiqua" w:cs="Arial"/>
          <w:bCs/>
          <w:color w:val="000000"/>
        </w:rPr>
        <w:t xml:space="preserve"> </w:t>
      </w:r>
      <w:r w:rsidRPr="00FD0E1D">
        <w:rPr>
          <w:rFonts w:ascii="Book Antiqua" w:hAnsi="Book Antiqua" w:cs="Arial"/>
          <w:bCs/>
          <w:color w:val="000000"/>
        </w:rPr>
        <w:t>počas jednej celej hodiny</w:t>
      </w:r>
      <w:r>
        <w:rPr>
          <w:rFonts w:ascii="Book Antiqua" w:hAnsi="Book Antiqua" w:cs="Arial"/>
          <w:bCs/>
          <w:color w:val="000000"/>
        </w:rPr>
        <w:t xml:space="preserve"> bude obmedzený aj vo </w:t>
      </w:r>
      <w:r w:rsidRPr="00FD0E1D">
        <w:rPr>
          <w:rFonts w:ascii="Book Antiqua" w:hAnsi="Book Antiqua" w:cs="Arial"/>
          <w:bCs/>
          <w:color w:val="000000"/>
        </w:rPr>
        <w:t>vysielaní rozhlasovej programovej služby</w:t>
      </w:r>
      <w:r>
        <w:rPr>
          <w:rFonts w:ascii="Book Antiqua" w:hAnsi="Book Antiqua" w:cs="Arial"/>
          <w:bCs/>
          <w:color w:val="000000"/>
        </w:rPr>
        <w:t>, a to na 10 % (6 min)</w:t>
      </w:r>
      <w:r w:rsidRPr="00FD0E1D">
        <w:rPr>
          <w:rFonts w:ascii="Book Antiqua" w:hAnsi="Book Antiqua" w:cs="Arial"/>
          <w:bCs/>
          <w:color w:val="000000"/>
        </w:rPr>
        <w:t>.</w:t>
      </w:r>
    </w:p>
    <w:p w:rsidR="00FC2A09" w:rsidRPr="00837398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>
        <w:rPr>
          <w:rFonts w:ascii="Book Antiqua" w:hAnsi="Book Antiqua" w:cs="Arial"/>
          <w:bCs/>
          <w:color w:val="000000"/>
          <w:u w:val="single"/>
        </w:rPr>
        <w:t>K bodu 6</w:t>
      </w:r>
    </w:p>
    <w:p w:rsidR="00FC2A09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</w:r>
      <w:r w:rsidRPr="00FD0E1D">
        <w:rPr>
          <w:rFonts w:ascii="Book Antiqua" w:hAnsi="Book Antiqua" w:cs="Arial"/>
          <w:bCs/>
          <w:color w:val="000000"/>
        </w:rPr>
        <w:t xml:space="preserve">Do vysielacieho času vyhradeného reklame sa na účely </w:t>
      </w:r>
      <w:hyperlink r:id="rId4" w:anchor="paragraf-36" w:tooltip="Odkaz na predpis alebo ustanovenie" w:history="1">
        <w:r w:rsidRPr="00FD0E1D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>§ 36 a 37</w:t>
        </w:r>
      </w:hyperlink>
      <w:r w:rsidRPr="00FD0E1D">
        <w:rPr>
          <w:rFonts w:ascii="Book Antiqua" w:hAnsi="Book Antiqua" w:cs="Arial"/>
          <w:bCs/>
          <w:color w:val="000000" w:themeColor="tx1" w:themeShade="FF"/>
        </w:rPr>
        <w:t xml:space="preserve"> bude započítavať aj čas venovaný označeniu sponzora programu vysielaného podľa </w:t>
      </w:r>
      <w:hyperlink r:id="rId4" w:anchor="paragraf-38.odsek-2" w:tooltip="Odkaz na predpis alebo ustanovenie" w:history="1">
        <w:r w:rsidRPr="00FD0E1D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>§ 38 ods. 2</w:t>
        </w:r>
      </w:hyperlink>
      <w:r w:rsidRPr="00FD0E1D">
        <w:rPr>
          <w:rFonts w:ascii="Book Antiqua" w:hAnsi="Book Antiqua" w:cs="Arial"/>
          <w:bCs/>
          <w:color w:val="000000" w:themeColor="tx1" w:themeShade="FF"/>
        </w:rPr>
        <w:t>.</w:t>
      </w:r>
    </w:p>
    <w:p w:rsidR="00FC2A09" w:rsidRPr="00FD0E1D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 w:rsidRPr="00FD0E1D">
        <w:rPr>
          <w:rFonts w:ascii="Book Antiqua" w:hAnsi="Book Antiqua" w:cs="Arial"/>
          <w:bCs/>
          <w:color w:val="000000"/>
          <w:u w:val="single"/>
        </w:rPr>
        <w:t>K bodu 7</w:t>
      </w:r>
    </w:p>
    <w:p w:rsidR="00FC2A09" w:rsidP="00FC2A09">
      <w:pPr>
        <w:bidi w:val="0"/>
        <w:ind w:firstLine="708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Zavádza sa nová povinnosť vysielateľa </w:t>
      </w:r>
      <w:r w:rsidRPr="00CC09A7">
        <w:rPr>
          <w:rFonts w:ascii="Book Antiqua" w:hAnsi="Book Antiqua" w:cs="Arial"/>
          <w:bCs/>
          <w:color w:val="000000"/>
        </w:rPr>
        <w:t>televíznej programovej služby</w:t>
      </w:r>
      <w:r w:rsidR="00885B84">
        <w:rPr>
          <w:rFonts w:ascii="Book Antiqua" w:hAnsi="Book Antiqua" w:cs="Arial"/>
          <w:bCs/>
          <w:color w:val="000000"/>
        </w:rPr>
        <w:t xml:space="preserve"> </w:t>
      </w:r>
      <w:r w:rsidRPr="00CC09A7">
        <w:rPr>
          <w:rFonts w:ascii="Book Antiqua" w:hAnsi="Book Antiqua" w:cs="Arial"/>
          <w:bCs/>
          <w:color w:val="000000"/>
        </w:rPr>
        <w:t xml:space="preserve">zobrazovať </w:t>
      </w:r>
      <w:r>
        <w:rPr>
          <w:rFonts w:ascii="Book Antiqua" w:hAnsi="Book Antiqua" w:cs="Arial"/>
          <w:bCs/>
          <w:color w:val="000000"/>
        </w:rPr>
        <w:br/>
      </w:r>
      <w:r w:rsidRPr="00CC09A7">
        <w:rPr>
          <w:rFonts w:ascii="Book Antiqua" w:hAnsi="Book Antiqua" w:cs="Arial"/>
          <w:bCs/>
          <w:color w:val="000000"/>
        </w:rPr>
        <w:t>vo vysielaní reklamy a telenákupu čas zostávajúci do skončenia reklamy a</w:t>
      </w:r>
      <w:r>
        <w:rPr>
          <w:rFonts w:ascii="Book Antiqua" w:hAnsi="Book Antiqua" w:cs="Arial"/>
          <w:bCs/>
          <w:color w:val="000000"/>
        </w:rPr>
        <w:t> </w:t>
      </w:r>
      <w:r w:rsidRPr="00CC09A7">
        <w:rPr>
          <w:rFonts w:ascii="Book Antiqua" w:hAnsi="Book Antiqua" w:cs="Arial"/>
          <w:bCs/>
          <w:color w:val="000000"/>
        </w:rPr>
        <w:t>telenákupu</w:t>
      </w:r>
      <w:r>
        <w:rPr>
          <w:rFonts w:ascii="Book Antiqua" w:hAnsi="Book Antiqua" w:cs="Arial"/>
          <w:bCs/>
          <w:color w:val="000000"/>
        </w:rPr>
        <w:t>.</w:t>
      </w:r>
    </w:p>
    <w:p w:rsidR="00FC2A09" w:rsidRPr="00A97B11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 w:rsidRPr="00A97B11">
        <w:rPr>
          <w:rFonts w:ascii="Book Antiqua" w:hAnsi="Book Antiqua" w:cs="Arial"/>
          <w:bCs/>
          <w:color w:val="000000"/>
          <w:u w:val="single"/>
        </w:rPr>
        <w:t>K</w:t>
      </w:r>
      <w:r>
        <w:rPr>
          <w:rFonts w:ascii="Book Antiqua" w:hAnsi="Book Antiqua" w:cs="Arial"/>
          <w:bCs/>
          <w:color w:val="000000"/>
          <w:u w:val="single"/>
        </w:rPr>
        <w:t> </w:t>
      </w:r>
      <w:r w:rsidRPr="00A97B11">
        <w:rPr>
          <w:rFonts w:ascii="Book Antiqua" w:hAnsi="Book Antiqua" w:cs="Arial"/>
          <w:bCs/>
          <w:color w:val="000000"/>
          <w:u w:val="single"/>
        </w:rPr>
        <w:t>bodu</w:t>
      </w:r>
      <w:r>
        <w:rPr>
          <w:rFonts w:ascii="Book Antiqua" w:hAnsi="Book Antiqua" w:cs="Arial"/>
          <w:bCs/>
          <w:color w:val="000000"/>
          <w:u w:val="single"/>
        </w:rPr>
        <w:t xml:space="preserve"> 8</w:t>
      </w:r>
    </w:p>
    <w:p w:rsidR="00FC2A09" w:rsidP="00FC2A09">
      <w:pPr>
        <w:bidi w:val="0"/>
        <w:ind w:firstLine="708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Dolná sadzba pokuty za porušenie povinností vysielateľa taxatívne vymenovaných </w:t>
        <w:br/>
        <w:t>v § 67 ods. 5, napríklad za porušenie</w:t>
      </w:r>
      <w:r w:rsidRPr="00CC09A7">
        <w:rPr>
          <w:rFonts w:ascii="Book Antiqua" w:hAnsi="Book Antiqua" w:cs="Arial"/>
          <w:bCs/>
          <w:color w:val="000000"/>
        </w:rPr>
        <w:t xml:space="preserve"> podmienky na vysielanie mediálnej komerčnej komunikácie vrátane reklamy a</w:t>
      </w:r>
      <w:r w:rsidR="00885B84">
        <w:rPr>
          <w:rFonts w:ascii="Book Antiqua" w:hAnsi="Book Antiqua" w:cs="Arial"/>
          <w:bCs/>
          <w:color w:val="000000"/>
        </w:rPr>
        <w:t xml:space="preserve"> </w:t>
      </w:r>
      <w:r w:rsidRPr="00CC09A7">
        <w:rPr>
          <w:rFonts w:ascii="Book Antiqua" w:hAnsi="Book Antiqua" w:cs="Arial"/>
          <w:bCs/>
          <w:color w:val="000000"/>
        </w:rPr>
        <w:t>telenákupu</w:t>
      </w:r>
      <w:r>
        <w:rPr>
          <w:rFonts w:ascii="Book Antiqua" w:hAnsi="Book Antiqua" w:cs="Arial"/>
          <w:bCs/>
          <w:color w:val="000000"/>
        </w:rPr>
        <w:t>, sa zvyšuje pri vysielateľovi televíznej programovej služby z pôvodných 3 319 eur na 33 190 eur a pri vysielateľovi rozhlasovej programovej služby z pôvodných 497 eur na 4 970 eur.</w:t>
      </w:r>
    </w:p>
    <w:p w:rsidR="00FC2A09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</w:p>
    <w:p w:rsidR="00FC2A09" w:rsidRPr="00837398" w:rsidP="00FC2A09">
      <w:pPr>
        <w:bidi w:val="0"/>
        <w:jc w:val="both"/>
        <w:rPr>
          <w:rFonts w:ascii="Book Antiqua" w:hAnsi="Book Antiqua" w:cs="Arial"/>
          <w:bCs/>
          <w:color w:val="000000"/>
          <w:u w:val="single"/>
        </w:rPr>
      </w:pPr>
      <w:r w:rsidRPr="00837398">
        <w:rPr>
          <w:rFonts w:ascii="Book Antiqua" w:hAnsi="Book Antiqua" w:cs="Arial"/>
          <w:bCs/>
          <w:color w:val="000000"/>
          <w:u w:val="single"/>
        </w:rPr>
        <w:t xml:space="preserve">K bodu </w:t>
      </w:r>
      <w:r>
        <w:rPr>
          <w:rFonts w:ascii="Book Antiqua" w:hAnsi="Book Antiqua" w:cs="Arial"/>
          <w:bCs/>
          <w:color w:val="000000"/>
          <w:u w:val="single"/>
        </w:rPr>
        <w:t>9</w:t>
      </w:r>
    </w:p>
    <w:p w:rsidR="00FC2A09" w:rsidRPr="00B94FBD" w:rsidP="00FC2A09">
      <w:pPr>
        <w:bidi w:val="0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  <w:t xml:space="preserve">V nadväznosti na novú povinnosť vysielateľa televíznej programovej služby, uvedenú v bode 7, sa zavádza sankcia za jej porušenie vo výške </w:t>
      </w:r>
      <w:r w:rsidRPr="006B4D92">
        <w:rPr>
          <w:rFonts w:ascii="Book Antiqua" w:hAnsi="Book Antiqua" w:cs="Arial"/>
          <w:bCs/>
          <w:color w:val="000000"/>
        </w:rPr>
        <w:t xml:space="preserve">od 33 190 eur </w:t>
        <w:br/>
        <w:t>do 165 969 eur</w:t>
      </w:r>
      <w:r>
        <w:rPr>
          <w:rFonts w:ascii="Book Antiqua" w:hAnsi="Book Antiqua" w:cs="Arial"/>
          <w:bCs/>
          <w:color w:val="000000"/>
        </w:rPr>
        <w:t>.</w:t>
      </w:r>
    </w:p>
    <w:p w:rsidR="001D6141" w:rsidRPr="00B94FBD" w:rsidP="001D6141">
      <w:pPr>
        <w:bidi w:val="0"/>
        <w:jc w:val="both"/>
        <w:rPr>
          <w:rFonts w:ascii="Book Antiqua" w:hAnsi="Book Antiqua" w:cs="Arial"/>
          <w:bCs/>
          <w:color w:val="000000"/>
        </w:rPr>
      </w:pPr>
    </w:p>
    <w:p w:rsidR="001D6141" w:rsidRPr="00B94FBD" w:rsidP="001D6141">
      <w:pPr>
        <w:bidi w:val="0"/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1D6141" w:rsidRPr="001D6141" w:rsidP="001D6141">
      <w:pPr>
        <w:bidi w:val="0"/>
        <w:ind w:firstLine="708"/>
        <w:jc w:val="both"/>
        <w:rPr>
          <w:rFonts w:ascii="Book Antiqua" w:hAnsi="Book Antiqua" w:cs="Book Antiqua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 xml:space="preserve">Navrhuje sa účinnosťzákona </w:t>
      </w:r>
      <w:r w:rsidR="006B4D92">
        <w:rPr>
          <w:rFonts w:ascii="Book Antiqua" w:hAnsi="Book Antiqua" w:cs="Arial"/>
          <w:color w:val="000000"/>
          <w:kern w:val="1"/>
        </w:rPr>
        <w:t>1</w:t>
      </w:r>
      <w:r>
        <w:rPr>
          <w:rFonts w:ascii="Book Antiqua" w:hAnsi="Book Antiqua" w:cs="Arial"/>
          <w:color w:val="000000"/>
          <w:kern w:val="1"/>
        </w:rPr>
        <w:t>. septembra 2018</w:t>
      </w:r>
      <w:r w:rsidRPr="003254A1">
        <w:rPr>
          <w:rFonts w:ascii="Book Antiqua" w:hAnsi="Book Antiqua" w:cs="Arial"/>
          <w:color w:val="000000"/>
          <w:kern w:val="1"/>
        </w:rPr>
        <w:t>.</w:t>
      </w:r>
    </w:p>
    <w:sectPr w:rsidSect="001D6141">
      <w:pgSz w:w="11906" w:h="16838"/>
      <w:pgMar w:top="1417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">
    <w:nsid w:val="4F705074"/>
    <w:multiLevelType w:val="hybridMultilevel"/>
    <w:tmpl w:val="AAC6E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/>
  <w:rsids>
    <w:rsidRoot w:val="00023051"/>
    <w:rsid w:val="00023051"/>
    <w:rsid w:val="00061C9C"/>
    <w:rsid w:val="00080DB9"/>
    <w:rsid w:val="0009321E"/>
    <w:rsid w:val="000B4D22"/>
    <w:rsid w:val="00171115"/>
    <w:rsid w:val="001845AF"/>
    <w:rsid w:val="001D4EDA"/>
    <w:rsid w:val="001D6141"/>
    <w:rsid w:val="00236456"/>
    <w:rsid w:val="003254A1"/>
    <w:rsid w:val="00373DDF"/>
    <w:rsid w:val="00380774"/>
    <w:rsid w:val="003A1B64"/>
    <w:rsid w:val="003B7615"/>
    <w:rsid w:val="003F2CF8"/>
    <w:rsid w:val="00403822"/>
    <w:rsid w:val="00430035"/>
    <w:rsid w:val="00437FAF"/>
    <w:rsid w:val="00462474"/>
    <w:rsid w:val="004719D6"/>
    <w:rsid w:val="004A1CBD"/>
    <w:rsid w:val="004C3B5F"/>
    <w:rsid w:val="004F10C9"/>
    <w:rsid w:val="0050683B"/>
    <w:rsid w:val="00514316"/>
    <w:rsid w:val="00520652"/>
    <w:rsid w:val="00541A33"/>
    <w:rsid w:val="00544BA6"/>
    <w:rsid w:val="00556F15"/>
    <w:rsid w:val="005A7E0E"/>
    <w:rsid w:val="005C5AF5"/>
    <w:rsid w:val="00610DF4"/>
    <w:rsid w:val="0062614B"/>
    <w:rsid w:val="006A0B18"/>
    <w:rsid w:val="006B2058"/>
    <w:rsid w:val="006B4D92"/>
    <w:rsid w:val="00751A24"/>
    <w:rsid w:val="007B046C"/>
    <w:rsid w:val="00837398"/>
    <w:rsid w:val="00885B84"/>
    <w:rsid w:val="008F42CF"/>
    <w:rsid w:val="0090099E"/>
    <w:rsid w:val="00971676"/>
    <w:rsid w:val="009E09FB"/>
    <w:rsid w:val="009E7DAA"/>
    <w:rsid w:val="009F6924"/>
    <w:rsid w:val="00A310F6"/>
    <w:rsid w:val="00A44787"/>
    <w:rsid w:val="00A97B11"/>
    <w:rsid w:val="00AB6D5B"/>
    <w:rsid w:val="00AC7C7A"/>
    <w:rsid w:val="00AE1C4E"/>
    <w:rsid w:val="00B86A4A"/>
    <w:rsid w:val="00B94FBD"/>
    <w:rsid w:val="00BF3AE9"/>
    <w:rsid w:val="00C5688D"/>
    <w:rsid w:val="00CA4978"/>
    <w:rsid w:val="00CC09A7"/>
    <w:rsid w:val="00D01EE4"/>
    <w:rsid w:val="00D43EE7"/>
    <w:rsid w:val="00D52163"/>
    <w:rsid w:val="00D83C06"/>
    <w:rsid w:val="00DA122F"/>
    <w:rsid w:val="00E80951"/>
    <w:rsid w:val="00F652A0"/>
    <w:rsid w:val="00F70BF2"/>
    <w:rsid w:val="00FC2A09"/>
    <w:rsid w:val="00FD0E1D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51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2305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3051"/>
    <w:rPr>
      <w:rFonts w:ascii="Tahoma" w:hAnsi="Tahoma" w:cs="Tahoma"/>
      <w:sz w:val="16"/>
      <w:szCs w:val="16"/>
      <w:rtl w:val="0"/>
      <w:cs w:val="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C2A09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0/308/201607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1034</Words>
  <Characters>5899</Characters>
  <Application>Microsoft Office Word</Application>
  <DocSecurity>0</DocSecurity>
  <Lines>0</Lines>
  <Paragraphs>0</Paragraphs>
  <ScaleCrop>false</ScaleCrop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Gašparíková, Jarmila</cp:lastModifiedBy>
  <cp:revision>2</cp:revision>
  <dcterms:created xsi:type="dcterms:W3CDTF">2018-05-25T12:39:00Z</dcterms:created>
  <dcterms:modified xsi:type="dcterms:W3CDTF">2018-05-25T12:39:00Z</dcterms:modified>
</cp:coreProperties>
</file>