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452C" w:rsidRPr="000A794F" w:rsidP="00FD452C">
      <w:pPr>
        <w:bidi w:val="0"/>
        <w:jc w:val="center"/>
        <w:rPr>
          <w:rFonts w:ascii="Times New Roman" w:hAnsi="Times New Roman" w:cs="Times New Roman"/>
          <w:b/>
          <w:caps/>
          <w:color w:val="000000"/>
          <w:spacing w:val="30"/>
          <w:sz w:val="24"/>
          <w:szCs w:val="24"/>
        </w:rPr>
      </w:pPr>
      <w:r>
        <w:rPr>
          <w:rFonts w:ascii="Times New Roman" w:hAnsi="Times New Roman" w:cs="Times New Roman"/>
          <w:b/>
          <w:caps/>
          <w:color w:val="000000"/>
          <w:spacing w:val="30"/>
          <w:sz w:val="24"/>
          <w:szCs w:val="24"/>
        </w:rPr>
        <w:t>DoloŽka ZluČiteĽnosti</w:t>
      </w:r>
    </w:p>
    <w:p w:rsidR="00FD452C" w:rsidRPr="009869EB" w:rsidP="00FD452C">
      <w:pPr>
        <w:bidi w:val="0"/>
        <w:jc w:val="center"/>
        <w:rPr>
          <w:rFonts w:ascii="Times New Roman" w:hAnsi="Times New Roman" w:cs="Times New Roman"/>
          <w:sz w:val="24"/>
          <w:szCs w:val="24"/>
        </w:rPr>
      </w:pPr>
      <w:r>
        <w:rPr>
          <w:rFonts w:ascii="Times New Roman" w:hAnsi="Times New Roman" w:cs="Times New Roman"/>
          <w:sz w:val="24"/>
          <w:szCs w:val="24"/>
        </w:rPr>
        <w:t>n</w:t>
      </w:r>
      <w:r w:rsidRPr="009869EB">
        <w:rPr>
          <w:rFonts w:ascii="Times New Roman" w:hAnsi="Times New Roman" w:cs="Times New Roman"/>
          <w:sz w:val="24"/>
          <w:szCs w:val="24"/>
        </w:rPr>
        <w:t>ávrhu právneho predpisu s právom Európskej únie</w:t>
      </w:r>
    </w:p>
    <w:p w:rsidR="00FD452C" w:rsidRPr="009869EB" w:rsidP="00FD452C">
      <w:pPr>
        <w:bidi w:val="0"/>
        <w:jc w:val="both"/>
        <w:rPr>
          <w:rFonts w:ascii="Times New Roman" w:hAnsi="Times New Roman" w:cs="Times New Roman"/>
          <w:sz w:val="24"/>
          <w:szCs w:val="24"/>
        </w:rPr>
      </w:pPr>
    </w:p>
    <w:p w:rsidR="00FD452C" w:rsidRPr="009869EB" w:rsidP="00FD452C">
      <w:pPr>
        <w:pStyle w:val="ListParagraph"/>
        <w:numPr>
          <w:numId w:val="1"/>
        </w:numPr>
        <w:bidi w:val="0"/>
        <w:spacing w:after="0"/>
        <w:ind w:hanging="720"/>
        <w:jc w:val="both"/>
        <w:rPr>
          <w:rFonts w:ascii="Times New Roman" w:hAnsi="Times New Roman" w:cs="Times New Roman"/>
          <w:sz w:val="24"/>
          <w:szCs w:val="24"/>
        </w:rPr>
      </w:pPr>
      <w:r w:rsidRPr="009869EB">
        <w:rPr>
          <w:rFonts w:ascii="Times New Roman" w:hAnsi="Times New Roman" w:cs="Times New Roman"/>
          <w:sz w:val="24"/>
          <w:szCs w:val="24"/>
        </w:rPr>
        <w:t>Predkladateľ návrhu právneho predpisu:</w:t>
      </w:r>
    </w:p>
    <w:p w:rsidR="00FD452C" w:rsidRPr="009869EB" w:rsidP="00FD452C">
      <w:pPr>
        <w:pStyle w:val="ListParagraph"/>
        <w:bidi w:val="0"/>
        <w:spacing w:after="0"/>
        <w:jc w:val="both"/>
        <w:rPr>
          <w:rFonts w:ascii="Times New Roman" w:hAnsi="Times New Roman" w:cs="Times New Roman"/>
          <w:sz w:val="24"/>
          <w:szCs w:val="24"/>
        </w:rPr>
      </w:pPr>
      <w:r w:rsidRPr="009869EB">
        <w:rPr>
          <w:rFonts w:ascii="Times New Roman" w:hAnsi="Times New Roman" w:cs="Times New Roman"/>
          <w:sz w:val="24"/>
          <w:szCs w:val="24"/>
        </w:rPr>
        <w:t>Vláda Slovenskej republiky</w:t>
      </w:r>
    </w:p>
    <w:p w:rsidR="00FD452C" w:rsidRPr="009869EB" w:rsidP="00FD452C">
      <w:pPr>
        <w:bidi w:val="0"/>
        <w:spacing w:after="0"/>
        <w:contextualSpacing/>
        <w:jc w:val="both"/>
        <w:rPr>
          <w:rFonts w:ascii="Times New Roman" w:hAnsi="Times New Roman" w:cs="Times New Roman"/>
          <w:sz w:val="24"/>
          <w:szCs w:val="24"/>
        </w:rPr>
      </w:pPr>
    </w:p>
    <w:p w:rsidR="00FD452C" w:rsidRPr="009869EB" w:rsidP="00FD452C">
      <w:pPr>
        <w:pStyle w:val="ListParagraph"/>
        <w:numPr>
          <w:numId w:val="1"/>
        </w:numPr>
        <w:bidi w:val="0"/>
        <w:spacing w:after="0"/>
        <w:ind w:hanging="720"/>
        <w:jc w:val="both"/>
        <w:rPr>
          <w:rFonts w:ascii="Times New Roman" w:hAnsi="Times New Roman" w:cs="Times New Roman"/>
          <w:sz w:val="24"/>
          <w:szCs w:val="24"/>
        </w:rPr>
      </w:pPr>
      <w:r w:rsidRPr="009869EB">
        <w:rPr>
          <w:rFonts w:ascii="Times New Roman" w:hAnsi="Times New Roman" w:cs="Times New Roman"/>
          <w:sz w:val="24"/>
          <w:szCs w:val="24"/>
        </w:rPr>
        <w:t>Názov návrhu právneho predpisu:</w:t>
      </w:r>
    </w:p>
    <w:p w:rsidR="00FD452C" w:rsidRPr="00FD452C" w:rsidP="00FD452C">
      <w:pPr>
        <w:pStyle w:val="ListParagraph"/>
        <w:bidi w:val="0"/>
        <w:spacing w:after="0"/>
        <w:jc w:val="both"/>
        <w:rPr>
          <w:rFonts w:ascii="Times New Roman" w:hAnsi="Times New Roman" w:cs="Times New Roman"/>
          <w:sz w:val="24"/>
          <w:szCs w:val="24"/>
        </w:rPr>
      </w:pPr>
      <w:r w:rsidRPr="00FD452C">
        <w:rPr>
          <w:rFonts w:ascii="Times New Roman" w:hAnsi="Times New Roman" w:cs="Times New Roman"/>
          <w:sz w:val="24"/>
          <w:szCs w:val="24"/>
        </w:rPr>
        <w:t>Návrh zákona, ktorým sa mení a dopĺňa zákon č. 506/2009 Z. z. o ochranných známkach v znení neskorších predpisov a ktorým sa menia a dopĺňajú niektoré zákony</w:t>
      </w:r>
    </w:p>
    <w:p w:rsidR="00FD452C" w:rsidRPr="009869EB" w:rsidP="00FD452C">
      <w:pPr>
        <w:pStyle w:val="ListParagraph"/>
        <w:bidi w:val="0"/>
        <w:spacing w:after="0"/>
        <w:jc w:val="both"/>
        <w:rPr>
          <w:rFonts w:ascii="Times New Roman" w:hAnsi="Times New Roman" w:cs="Times New Roman"/>
          <w:sz w:val="24"/>
          <w:szCs w:val="24"/>
        </w:rPr>
      </w:pPr>
    </w:p>
    <w:p w:rsidR="00FD452C" w:rsidRPr="009869EB" w:rsidP="00FD452C">
      <w:pPr>
        <w:pStyle w:val="ListParagraph"/>
        <w:numPr>
          <w:numId w:val="1"/>
        </w:numPr>
        <w:bidi w:val="0"/>
        <w:ind w:hanging="720"/>
        <w:jc w:val="both"/>
        <w:rPr>
          <w:rFonts w:ascii="Times New Roman" w:hAnsi="Times New Roman" w:cs="Times New Roman"/>
          <w:sz w:val="24"/>
          <w:szCs w:val="24"/>
        </w:rPr>
      </w:pPr>
      <w:r w:rsidRPr="009869EB">
        <w:rPr>
          <w:rFonts w:ascii="Times New Roman" w:hAnsi="Times New Roman" w:cs="Times New Roman"/>
          <w:sz w:val="24"/>
          <w:szCs w:val="24"/>
        </w:rPr>
        <w:t>Problematika návrhu právneho predpisu:</w:t>
      </w:r>
    </w:p>
    <w:p w:rsidR="00FD452C" w:rsidRPr="009869EB" w:rsidP="00FD452C">
      <w:pPr>
        <w:pStyle w:val="ListParagraph"/>
        <w:numPr>
          <w:numId w:val="2"/>
        </w:numPr>
        <w:bidi w:val="0"/>
        <w:jc w:val="both"/>
        <w:rPr>
          <w:rFonts w:ascii="Times New Roman" w:hAnsi="Times New Roman" w:cs="Times New Roman"/>
          <w:sz w:val="24"/>
          <w:szCs w:val="24"/>
        </w:rPr>
      </w:pPr>
      <w:r w:rsidR="003375FE">
        <w:rPr>
          <w:rFonts w:ascii="Times New Roman" w:hAnsi="Times New Roman" w:cs="Times New Roman"/>
          <w:sz w:val="24"/>
          <w:szCs w:val="24"/>
        </w:rPr>
        <w:t>j</w:t>
      </w:r>
      <w:r w:rsidRPr="007A6BF5">
        <w:rPr>
          <w:rFonts w:ascii="Times New Roman" w:hAnsi="Times New Roman" w:cs="Times New Roman"/>
          <w:sz w:val="24"/>
          <w:szCs w:val="24"/>
        </w:rPr>
        <w:t>e</w:t>
      </w:r>
      <w:r>
        <w:rPr>
          <w:rFonts w:ascii="Times New Roman" w:hAnsi="Times New Roman" w:cs="Times New Roman"/>
          <w:sz w:val="24"/>
          <w:szCs w:val="24"/>
        </w:rPr>
        <w:t xml:space="preserve"> </w:t>
      </w:r>
      <w:r w:rsidRPr="009869EB">
        <w:rPr>
          <w:rFonts w:ascii="Times New Roman" w:hAnsi="Times New Roman" w:cs="Times New Roman"/>
          <w:sz w:val="24"/>
          <w:szCs w:val="24"/>
        </w:rPr>
        <w:t>upravená v práve Európskej únie</w:t>
      </w:r>
    </w:p>
    <w:p w:rsidR="00FD452C" w:rsidRPr="009869EB" w:rsidP="00FD452C">
      <w:pPr>
        <w:pStyle w:val="ListParagraph"/>
        <w:numPr>
          <w:numId w:val="3"/>
        </w:numPr>
        <w:bidi w:val="0"/>
        <w:jc w:val="both"/>
        <w:rPr>
          <w:rFonts w:ascii="Times New Roman" w:hAnsi="Times New Roman" w:cs="Times New Roman"/>
          <w:sz w:val="24"/>
          <w:szCs w:val="24"/>
        </w:rPr>
      </w:pPr>
      <w:r w:rsidRPr="009869EB">
        <w:rPr>
          <w:rFonts w:ascii="Times New Roman" w:hAnsi="Times New Roman" w:cs="Times New Roman"/>
          <w:sz w:val="24"/>
          <w:szCs w:val="24"/>
        </w:rPr>
        <w:t>primárnom</w:t>
      </w:r>
    </w:p>
    <w:p w:rsidR="00FD452C" w:rsidRPr="009869EB" w:rsidP="00FD452C">
      <w:pPr>
        <w:pStyle w:val="ListParagraph"/>
        <w:numPr>
          <w:numId w:val="3"/>
        </w:numPr>
        <w:bidi w:val="0"/>
        <w:jc w:val="both"/>
        <w:rPr>
          <w:rFonts w:ascii="Times New Roman" w:hAnsi="Times New Roman" w:cs="Times New Roman"/>
          <w:sz w:val="24"/>
          <w:szCs w:val="24"/>
        </w:rPr>
      </w:pPr>
      <w:r w:rsidRPr="009869EB">
        <w:rPr>
          <w:rFonts w:ascii="Times New Roman" w:hAnsi="Times New Roman" w:cs="Times New Roman"/>
          <w:sz w:val="24"/>
          <w:szCs w:val="24"/>
        </w:rPr>
        <w:t>Čl. 118 ZFEÚ</w:t>
      </w:r>
    </w:p>
    <w:p w:rsidR="00FD452C" w:rsidRPr="009869EB" w:rsidP="00FD452C">
      <w:pPr>
        <w:pStyle w:val="ListParagraph"/>
        <w:bidi w:val="0"/>
        <w:ind w:left="1440"/>
        <w:jc w:val="both"/>
        <w:rPr>
          <w:rFonts w:ascii="Times New Roman" w:hAnsi="Times New Roman" w:cs="Times New Roman"/>
          <w:sz w:val="24"/>
          <w:szCs w:val="24"/>
        </w:rPr>
      </w:pPr>
    </w:p>
    <w:p w:rsidR="00FD452C" w:rsidP="00FD452C">
      <w:pPr>
        <w:pStyle w:val="ListParagraph"/>
        <w:numPr>
          <w:numId w:val="3"/>
        </w:numPr>
        <w:bidi w:val="0"/>
        <w:jc w:val="both"/>
        <w:rPr>
          <w:rFonts w:ascii="Times New Roman" w:hAnsi="Times New Roman" w:cs="Times New Roman"/>
          <w:sz w:val="24"/>
          <w:szCs w:val="24"/>
        </w:rPr>
      </w:pPr>
      <w:r w:rsidRPr="009869EB">
        <w:rPr>
          <w:rFonts w:ascii="Times New Roman" w:hAnsi="Times New Roman" w:cs="Times New Roman"/>
          <w:sz w:val="24"/>
          <w:szCs w:val="24"/>
        </w:rPr>
        <w:t>sekundárnom (prijatom po nadobudnutí platnosti Lisabonskej zmluvy, ktorou sa mení a dopĺňa Zmluva o Európskej únii a Zmluva o založení Európskeho spoločenstva</w:t>
      </w:r>
      <w:r>
        <w:rPr>
          <w:rFonts w:ascii="Times New Roman" w:hAnsi="Times New Roman" w:cs="Times New Roman"/>
          <w:sz w:val="24"/>
          <w:szCs w:val="24"/>
        </w:rPr>
        <w:t xml:space="preserve"> – po 30. novembri 2009</w:t>
      </w:r>
      <w:r w:rsidRPr="009869EB">
        <w:rPr>
          <w:rFonts w:ascii="Times New Roman" w:hAnsi="Times New Roman" w:cs="Times New Roman"/>
          <w:sz w:val="24"/>
          <w:szCs w:val="24"/>
        </w:rPr>
        <w:t>)</w:t>
      </w:r>
    </w:p>
    <w:p w:rsidR="00FD452C" w:rsidRPr="009869EB" w:rsidP="00FD452C">
      <w:pPr>
        <w:pStyle w:val="ListParagraph"/>
        <w:bidi w:val="0"/>
        <w:ind w:left="1440"/>
        <w:jc w:val="both"/>
        <w:rPr>
          <w:rFonts w:ascii="Times New Roman" w:hAnsi="Times New Roman" w:cs="Times New Roman"/>
          <w:sz w:val="24"/>
          <w:szCs w:val="24"/>
        </w:rPr>
      </w:pPr>
    </w:p>
    <w:p w:rsidR="00FD452C" w:rsidP="00FD452C">
      <w:pPr>
        <w:pStyle w:val="ListParagraph"/>
        <w:numPr>
          <w:numId w:val="4"/>
        </w:numPr>
        <w:bidi w:val="0"/>
        <w:jc w:val="both"/>
        <w:rPr>
          <w:rFonts w:ascii="Times New Roman" w:hAnsi="Times New Roman" w:cs="Times New Roman"/>
          <w:sz w:val="24"/>
          <w:szCs w:val="24"/>
        </w:rPr>
      </w:pPr>
      <w:r>
        <w:rPr>
          <w:rFonts w:ascii="Times New Roman" w:hAnsi="Times New Roman" w:cs="Times New Roman"/>
          <w:sz w:val="24"/>
          <w:szCs w:val="24"/>
        </w:rPr>
        <w:t>legislatívne akty</w:t>
      </w:r>
    </w:p>
    <w:p w:rsidR="00FD452C" w:rsidRPr="00EB20AE" w:rsidP="00FD452C">
      <w:pPr>
        <w:pStyle w:val="ListParagraph"/>
        <w:numPr>
          <w:numId w:val="8"/>
        </w:numPr>
        <w:bidi w:val="0"/>
        <w:jc w:val="both"/>
        <w:rPr>
          <w:rFonts w:ascii="Times New Roman" w:hAnsi="Times New Roman" w:cs="Times New Roman"/>
          <w:sz w:val="24"/>
          <w:szCs w:val="24"/>
          <w:lang w:eastAsia="sk-SK"/>
        </w:rPr>
      </w:pPr>
      <w:r w:rsidRPr="00B61B36">
        <w:rPr>
          <w:rFonts w:ascii="Times New Roman" w:hAnsi="Times New Roman" w:cs="Times New Roman"/>
          <w:sz w:val="24"/>
          <w:szCs w:val="24"/>
        </w:rPr>
        <w:t>smernica Európskeho parlamentu a Rady (EÚ) 2015/2436 zo 16. decembra 2015 o aproximácii právnych predpisov členských štátov v oblasti ochranných známok</w:t>
      </w:r>
      <w:r w:rsidR="00B05B87">
        <w:rPr>
          <w:rFonts w:ascii="Times New Roman" w:hAnsi="Times New Roman" w:cs="Times New Roman"/>
          <w:sz w:val="24"/>
          <w:szCs w:val="24"/>
        </w:rPr>
        <w:t xml:space="preserve"> (Ú. v. EÚ L 336, 23.12.2015)</w:t>
      </w:r>
    </w:p>
    <w:p w:rsidR="00EB20AE" w:rsidRPr="003375FE" w:rsidP="00EB20AE">
      <w:pPr>
        <w:pStyle w:val="ListParagraph"/>
        <w:numPr>
          <w:numId w:val="8"/>
        </w:numPr>
        <w:tabs>
          <w:tab w:val="left" w:pos="2160"/>
        </w:tabs>
        <w:bidi w:val="0"/>
        <w:jc w:val="both"/>
        <w:rPr>
          <w:rFonts w:ascii="Times New Roman" w:hAnsi="Times New Roman" w:cs="Times New Roman"/>
          <w:sz w:val="24"/>
          <w:szCs w:val="24"/>
          <w:lang w:eastAsia="sk-SK"/>
        </w:rPr>
      </w:pPr>
      <w:r w:rsidRPr="003375FE">
        <w:rPr>
          <w:rFonts w:ascii="Times New Roman" w:hAnsi="Times New Roman" w:cs="Times New Roman"/>
          <w:sz w:val="24"/>
          <w:szCs w:val="24"/>
          <w:lang w:eastAsia="sk-SK"/>
        </w:rPr>
        <w:t xml:space="preserve">nariadenie </w:t>
      </w:r>
      <w:r w:rsidRPr="003375FE">
        <w:rPr>
          <w:rFonts w:ascii="Times New Roman" w:hAnsi="Times New Roman" w:cs="Times New Roman"/>
          <w:sz w:val="24"/>
          <w:szCs w:val="24"/>
        </w:rPr>
        <w:t>Európskeho parlamentu a Rady (EÚ) 2017/1001 zo 14. júna 2017 o ochrannej známke Európskej únie (kodifikované znenie) (Ú. v. EÚ L 154/1, 16.6.2017)</w:t>
      </w:r>
    </w:p>
    <w:p w:rsidR="00FD452C" w:rsidRPr="00B61B36" w:rsidP="00FD452C">
      <w:pPr>
        <w:pStyle w:val="ListParagraph"/>
        <w:bidi w:val="0"/>
        <w:ind w:left="2520"/>
        <w:jc w:val="both"/>
        <w:rPr>
          <w:rFonts w:ascii="Times New Roman" w:hAnsi="Times New Roman" w:cs="Times New Roman"/>
          <w:sz w:val="24"/>
          <w:szCs w:val="24"/>
          <w:lang w:eastAsia="sk-SK"/>
        </w:rPr>
      </w:pPr>
    </w:p>
    <w:p w:rsidR="00FD452C" w:rsidP="00FD452C">
      <w:pPr>
        <w:pStyle w:val="ListParagraph"/>
        <w:numPr>
          <w:numId w:val="4"/>
        </w:numPr>
        <w:bidi w:val="0"/>
        <w:jc w:val="both"/>
        <w:rPr>
          <w:rFonts w:ascii="Times New Roman" w:hAnsi="Times New Roman" w:cs="Times New Roman"/>
          <w:sz w:val="24"/>
          <w:szCs w:val="24"/>
        </w:rPr>
      </w:pPr>
      <w:r>
        <w:rPr>
          <w:rFonts w:ascii="Times New Roman" w:hAnsi="Times New Roman" w:cs="Times New Roman"/>
          <w:sz w:val="24"/>
          <w:szCs w:val="24"/>
        </w:rPr>
        <w:t>nelegislatívne akty</w:t>
      </w:r>
    </w:p>
    <w:p w:rsidR="00FD452C" w:rsidP="00FD452C">
      <w:pPr>
        <w:pStyle w:val="ListParagraph"/>
        <w:numPr>
          <w:ilvl w:val="1"/>
          <w:numId w:val="7"/>
        </w:numPr>
        <w:bidi w:val="0"/>
        <w:jc w:val="both"/>
        <w:rPr>
          <w:rFonts w:ascii="Times New Roman" w:hAnsi="Times New Roman" w:cs="Times New Roman"/>
          <w:sz w:val="24"/>
          <w:szCs w:val="24"/>
        </w:rPr>
      </w:pPr>
      <w:r>
        <w:rPr>
          <w:rFonts w:ascii="Times New Roman" w:hAnsi="Times New Roman" w:cs="Times New Roman"/>
          <w:sz w:val="24"/>
          <w:szCs w:val="24"/>
        </w:rPr>
        <w:t xml:space="preserve"> </w:t>
      </w:r>
      <w:r w:rsidRPr="009869EB">
        <w:rPr>
          <w:rFonts w:ascii="Times New Roman" w:hAnsi="Times New Roman" w:cs="Times New Roman"/>
          <w:sz w:val="24"/>
          <w:szCs w:val="24"/>
        </w:rPr>
        <w:t>---</w:t>
      </w:r>
    </w:p>
    <w:p w:rsidR="00FD452C" w:rsidP="00FD452C">
      <w:pPr>
        <w:pStyle w:val="ListParagraph"/>
        <w:tabs>
          <w:tab w:val="left" w:pos="1080"/>
        </w:tabs>
        <w:bidi w:val="0"/>
        <w:ind w:left="1080"/>
        <w:jc w:val="both"/>
        <w:rPr>
          <w:rFonts w:ascii="Times New Roman" w:hAnsi="Times New Roman" w:cs="Times New Roman"/>
          <w:sz w:val="24"/>
          <w:szCs w:val="24"/>
        </w:rPr>
      </w:pPr>
    </w:p>
    <w:p w:rsidR="00FD452C" w:rsidP="00FD452C">
      <w:pPr>
        <w:pStyle w:val="ListParagraph"/>
        <w:numPr>
          <w:ilvl w:val="1"/>
          <w:numId w:val="7"/>
        </w:numPr>
        <w:tabs>
          <w:tab w:val="left" w:pos="1080"/>
        </w:tabs>
        <w:bidi w:val="0"/>
        <w:ind w:left="1080"/>
        <w:jc w:val="both"/>
        <w:rPr>
          <w:rFonts w:ascii="Times New Roman" w:hAnsi="Times New Roman" w:cs="Times New Roman"/>
          <w:sz w:val="24"/>
          <w:szCs w:val="24"/>
        </w:rPr>
      </w:pPr>
      <w:r>
        <w:rPr>
          <w:rFonts w:ascii="Times New Roman" w:hAnsi="Times New Roman" w:cs="Times New Roman"/>
          <w:sz w:val="24"/>
          <w:szCs w:val="24"/>
        </w:rPr>
        <w:t xml:space="preserve">sekundárnom (prijatom pred nadobudnutím platnosti </w:t>
      </w:r>
      <w:r w:rsidRPr="00A31028">
        <w:rPr>
          <w:rFonts w:ascii="Times New Roman" w:hAnsi="Times New Roman" w:cs="Times New Roman"/>
          <w:sz w:val="24"/>
          <w:szCs w:val="24"/>
        </w:rPr>
        <w:t>Lisabonskej zmluvy, ktorou sa mení a dopĺňa Zmluva o Európskej únii a Zmluva o založení Európskeho spoločenstva</w:t>
      </w:r>
      <w:r>
        <w:rPr>
          <w:rFonts w:ascii="Times New Roman" w:hAnsi="Times New Roman" w:cs="Times New Roman"/>
          <w:sz w:val="24"/>
          <w:szCs w:val="24"/>
        </w:rPr>
        <w:t xml:space="preserve"> – do 30. novembra 2009)</w:t>
      </w:r>
    </w:p>
    <w:p w:rsidR="00FD452C" w:rsidRPr="00A31028" w:rsidP="00FD452C">
      <w:pPr>
        <w:pStyle w:val="ListParagraph"/>
        <w:bidi w:val="0"/>
        <w:rPr>
          <w:rFonts w:ascii="Times New Roman" w:hAnsi="Times New Roman" w:cs="Times New Roman"/>
          <w:sz w:val="24"/>
          <w:szCs w:val="24"/>
        </w:rPr>
      </w:pPr>
    </w:p>
    <w:p w:rsidR="00FD452C" w:rsidRPr="00975B44" w:rsidP="00FD452C">
      <w:pPr>
        <w:pStyle w:val="ListParagraph"/>
        <w:numPr>
          <w:ilvl w:val="1"/>
          <w:numId w:val="7"/>
        </w:numPr>
        <w:bidi w:val="0"/>
        <w:jc w:val="both"/>
        <w:rPr>
          <w:rFonts w:ascii="Times New Roman" w:hAnsi="Times New Roman" w:cs="Times New Roman"/>
          <w:sz w:val="24"/>
          <w:szCs w:val="24"/>
          <w:lang w:eastAsia="sk-SK"/>
        </w:rPr>
      </w:pPr>
      <w:r w:rsidRPr="002E28B6">
        <w:rPr>
          <w:rFonts w:ascii="Times New Roman" w:hAnsi="Times New Roman" w:cs="Times New Roman"/>
          <w:sz w:val="24"/>
          <w:szCs w:val="24"/>
          <w:lang w:eastAsia="sk-SK"/>
        </w:rPr>
        <w:t>smernica Európskeho parlamentu a Rady 98/44/ES zo 6. júla 1998 o právnej ochrane biotechnologických vynálezov (Ú. v. ES L 213, 30.7.1998)</w:t>
      </w:r>
    </w:p>
    <w:p w:rsidR="00FD452C" w:rsidRPr="00975B44" w:rsidP="00FD452C">
      <w:pPr>
        <w:pStyle w:val="ListParagraph"/>
        <w:numPr>
          <w:ilvl w:val="1"/>
          <w:numId w:val="7"/>
        </w:numPr>
        <w:bidi w:val="0"/>
        <w:jc w:val="both"/>
        <w:rPr>
          <w:rFonts w:ascii="Times New Roman" w:hAnsi="Times New Roman" w:cs="Times New Roman"/>
          <w:sz w:val="24"/>
          <w:szCs w:val="24"/>
          <w:lang w:eastAsia="sk-SK"/>
        </w:rPr>
      </w:pPr>
      <w:r w:rsidRPr="00A31028">
        <w:rPr>
          <w:rFonts w:ascii="Times New Roman" w:hAnsi="Times New Roman" w:cs="Times New Roman"/>
          <w:sz w:val="24"/>
          <w:szCs w:val="24"/>
          <w:lang w:eastAsia="sk-SK"/>
        </w:rPr>
        <w:t>smernica 98/71/ES z 13. októbra 1998 o právnej ochrane dizajnov (Ú. v. ES L 289, 28.10.1998)</w:t>
      </w:r>
    </w:p>
    <w:p w:rsidR="00FD452C" w:rsidRPr="00975B44" w:rsidP="00FD452C">
      <w:pPr>
        <w:pStyle w:val="ListParagraph"/>
        <w:numPr>
          <w:ilvl w:val="1"/>
          <w:numId w:val="7"/>
        </w:numPr>
        <w:bidi w:val="0"/>
        <w:spacing w:after="0"/>
        <w:jc w:val="both"/>
        <w:rPr>
          <w:rFonts w:ascii="Times New Roman" w:hAnsi="Times New Roman" w:cs="Times New Roman"/>
          <w:sz w:val="24"/>
          <w:szCs w:val="24"/>
          <w:lang w:eastAsia="sk-SK"/>
        </w:rPr>
      </w:pPr>
      <w:r w:rsidRPr="00A31028">
        <w:rPr>
          <w:rFonts w:ascii="Times New Roman" w:hAnsi="Times New Roman" w:cs="Times New Roman"/>
          <w:sz w:val="24"/>
          <w:szCs w:val="24"/>
          <w:lang w:eastAsia="sk-SK"/>
        </w:rPr>
        <w:t>nariadenie Rady (ES) č. 6/2002 z 12. decembra 2001 o dizajnoch spoločenstva (Ú. v. ES L 3, 5.1.2002)</w:t>
      </w:r>
    </w:p>
    <w:p w:rsidR="00FD452C" w:rsidRPr="00975B44" w:rsidP="00FD452C">
      <w:pPr>
        <w:pStyle w:val="ListParagraph"/>
        <w:numPr>
          <w:ilvl w:val="1"/>
          <w:numId w:val="7"/>
        </w:numPr>
        <w:bidi w:val="0"/>
        <w:jc w:val="both"/>
        <w:rPr>
          <w:rFonts w:ascii="Times New Roman" w:hAnsi="Times New Roman" w:cs="Times New Roman"/>
          <w:sz w:val="24"/>
          <w:szCs w:val="24"/>
          <w:lang w:eastAsia="sk-SK"/>
        </w:rPr>
      </w:pPr>
      <w:r w:rsidRPr="00A31028">
        <w:rPr>
          <w:rFonts w:ascii="Times New Roman" w:hAnsi="Times New Roman" w:cs="Times New Roman"/>
          <w:sz w:val="24"/>
          <w:szCs w:val="24"/>
          <w:lang w:eastAsia="sk-SK"/>
        </w:rPr>
        <w:t>smernica Európskeho parlamentu a Rady 2004/48/ES z 29. apríla 2004 o vymožiteľnosti práv duševného vlastníctva (Ú. v. EÚ L 157, 30.4.2004)</w:t>
      </w:r>
    </w:p>
    <w:p w:rsidR="004E24D9" w:rsidRPr="004E24D9" w:rsidP="004E24D9">
      <w:pPr>
        <w:pStyle w:val="ListParagraph"/>
        <w:bidi w:val="0"/>
        <w:ind w:left="2520"/>
        <w:jc w:val="both"/>
        <w:rPr>
          <w:rFonts w:ascii="Times New Roman" w:hAnsi="Times New Roman" w:cs="Times New Roman"/>
          <w:sz w:val="24"/>
          <w:szCs w:val="24"/>
          <w:highlight w:val="yellow"/>
          <w:lang w:eastAsia="sk-SK"/>
        </w:rPr>
      </w:pPr>
    </w:p>
    <w:p w:rsidR="00FD452C" w:rsidRPr="009869EB" w:rsidP="00FD452C">
      <w:pPr>
        <w:pStyle w:val="ListParagraph"/>
        <w:numPr>
          <w:numId w:val="2"/>
        </w:numPr>
        <w:tabs>
          <w:tab w:val="left" w:pos="720"/>
        </w:tabs>
        <w:bidi w:val="0"/>
        <w:jc w:val="both"/>
        <w:rPr>
          <w:rFonts w:ascii="Times New Roman" w:hAnsi="Times New Roman" w:cs="Times New Roman"/>
          <w:sz w:val="24"/>
          <w:szCs w:val="24"/>
        </w:rPr>
      </w:pPr>
      <w:r w:rsidR="003375FE">
        <w:rPr>
          <w:rFonts w:ascii="Times New Roman" w:hAnsi="Times New Roman" w:cs="Times New Roman"/>
          <w:sz w:val="24"/>
          <w:szCs w:val="24"/>
        </w:rPr>
        <w:t>j</w:t>
      </w:r>
      <w:r w:rsidRPr="007A6BF5">
        <w:rPr>
          <w:rFonts w:ascii="Times New Roman" w:hAnsi="Times New Roman" w:cs="Times New Roman"/>
          <w:sz w:val="24"/>
          <w:szCs w:val="24"/>
        </w:rPr>
        <w:t>e</w:t>
      </w:r>
      <w:r w:rsidRPr="009869EB">
        <w:rPr>
          <w:rFonts w:ascii="Times New Roman" w:hAnsi="Times New Roman" w:cs="Times New Roman"/>
          <w:sz w:val="24"/>
          <w:szCs w:val="24"/>
        </w:rPr>
        <w:t xml:space="preserve"> obsiahnutá v judikatúre Súdneho dvora Európskej únie.</w:t>
      </w:r>
    </w:p>
    <w:p w:rsidR="00FD452C" w:rsidRPr="009869EB" w:rsidP="00FD452C">
      <w:pPr>
        <w:pStyle w:val="ListParagraph"/>
        <w:tabs>
          <w:tab w:val="left" w:pos="720"/>
        </w:tabs>
        <w:bidi w:val="0"/>
        <w:ind w:left="1080"/>
        <w:jc w:val="both"/>
        <w:rPr>
          <w:rFonts w:ascii="Times New Roman" w:hAnsi="Times New Roman" w:cs="Times New Roman"/>
          <w:sz w:val="24"/>
          <w:szCs w:val="24"/>
        </w:rPr>
      </w:pPr>
      <w:r w:rsidRPr="009869EB">
        <w:rPr>
          <w:rFonts w:ascii="Times New Roman" w:hAnsi="Times New Roman" w:cs="Times New Roman"/>
          <w:sz w:val="24"/>
          <w:szCs w:val="24"/>
        </w:rPr>
        <w:t>Existuje rozsiahla judikatúra Súdneho dvora EÚ vo veciach ochranných známok. Viaceré závery Súdneho dvora EÚ vo veci prejudiciálnych otázok týkajúcich sa výkladu práva ochranných známok boli zákonodarcom EÚ inkorporované do smernic</w:t>
      </w:r>
      <w:r w:rsidR="00047D72">
        <w:rPr>
          <w:rFonts w:ascii="Times New Roman" w:hAnsi="Times New Roman" w:cs="Times New Roman"/>
          <w:sz w:val="24"/>
          <w:szCs w:val="24"/>
        </w:rPr>
        <w:t xml:space="preserve">e </w:t>
      </w:r>
      <w:r w:rsidRPr="00194AE3" w:rsidR="00047D72">
        <w:rPr>
          <w:rFonts w:ascii="Times New Roman" w:hAnsi="Times New Roman" w:cs="Times New Roman"/>
          <w:sz w:val="24"/>
          <w:szCs w:val="24"/>
        </w:rPr>
        <w:t xml:space="preserve">(EÚ) </w:t>
      </w:r>
      <w:r w:rsidRPr="00194AE3">
        <w:rPr>
          <w:rFonts w:ascii="Times New Roman" w:hAnsi="Times New Roman" w:cs="Times New Roman"/>
          <w:sz w:val="24"/>
          <w:szCs w:val="24"/>
        </w:rPr>
        <w:t>2015/2436.</w:t>
      </w:r>
    </w:p>
    <w:p w:rsidR="00FD452C" w:rsidRPr="009869EB" w:rsidP="00FD452C">
      <w:pPr>
        <w:pStyle w:val="ListParagraph"/>
        <w:tabs>
          <w:tab w:val="left" w:pos="720"/>
        </w:tabs>
        <w:bidi w:val="0"/>
        <w:ind w:left="1080"/>
        <w:jc w:val="both"/>
        <w:rPr>
          <w:rFonts w:ascii="Times New Roman" w:hAnsi="Times New Roman" w:cs="Times New Roman"/>
          <w:sz w:val="24"/>
          <w:szCs w:val="24"/>
        </w:rPr>
      </w:pPr>
    </w:p>
    <w:p w:rsidR="00FD452C" w:rsidRPr="009869EB" w:rsidP="00FD452C">
      <w:pPr>
        <w:pStyle w:val="ListParagraph"/>
        <w:numPr>
          <w:numId w:val="1"/>
        </w:numPr>
        <w:tabs>
          <w:tab w:val="left" w:pos="720"/>
        </w:tabs>
        <w:bidi w:val="0"/>
        <w:ind w:hanging="720"/>
        <w:jc w:val="both"/>
        <w:rPr>
          <w:rFonts w:ascii="Times New Roman" w:hAnsi="Times New Roman" w:cs="Times New Roman"/>
          <w:sz w:val="24"/>
          <w:szCs w:val="24"/>
        </w:rPr>
      </w:pPr>
      <w:r w:rsidRPr="009869EB">
        <w:rPr>
          <w:rFonts w:ascii="Times New Roman" w:hAnsi="Times New Roman" w:cs="Times New Roman"/>
          <w:sz w:val="24"/>
          <w:szCs w:val="24"/>
        </w:rPr>
        <w:t xml:space="preserve">Záväzky Slovenskej republiky vo vzťahu k Európskej únii: </w:t>
      </w:r>
    </w:p>
    <w:p w:rsidR="00FD452C" w:rsidRPr="009869EB" w:rsidP="00FD452C">
      <w:pPr>
        <w:pStyle w:val="ListParagraph"/>
        <w:numPr>
          <w:numId w:val="5"/>
        </w:numPr>
        <w:bidi w:val="0"/>
        <w:ind w:firstLine="0"/>
        <w:jc w:val="both"/>
        <w:rPr>
          <w:rFonts w:ascii="Times New Roman" w:hAnsi="Times New Roman" w:cs="Times New Roman"/>
          <w:sz w:val="24"/>
          <w:szCs w:val="24"/>
        </w:rPr>
      </w:pPr>
      <w:r w:rsidRPr="009869EB">
        <w:rPr>
          <w:rFonts w:ascii="Times New Roman" w:hAnsi="Times New Roman" w:cs="Times New Roman"/>
          <w:sz w:val="24"/>
          <w:szCs w:val="24"/>
        </w:rPr>
        <w:t xml:space="preserve">lehota na prebratie smernice </w:t>
      </w:r>
      <w:r w:rsidRPr="00194AE3" w:rsidR="00047D72">
        <w:rPr>
          <w:rFonts w:ascii="Times New Roman" w:hAnsi="Times New Roman" w:cs="Times New Roman"/>
          <w:sz w:val="24"/>
          <w:szCs w:val="24"/>
        </w:rPr>
        <w:t>(EÚ) 2015/2436</w:t>
      </w:r>
      <w:r w:rsidRPr="009869EB">
        <w:rPr>
          <w:rFonts w:ascii="Times New Roman" w:hAnsi="Times New Roman" w:cs="Times New Roman"/>
          <w:sz w:val="24"/>
          <w:szCs w:val="24"/>
        </w:rPr>
        <w:t xml:space="preserve"> - 14</w:t>
      </w:r>
      <w:r>
        <w:rPr>
          <w:rFonts w:ascii="Times New Roman" w:hAnsi="Times New Roman" w:cs="Times New Roman"/>
          <w:sz w:val="24"/>
          <w:szCs w:val="24"/>
        </w:rPr>
        <w:t>. január 2019, resp. 14. január</w:t>
      </w:r>
      <w:r w:rsidRPr="009869EB">
        <w:rPr>
          <w:rFonts w:ascii="Times New Roman" w:hAnsi="Times New Roman" w:cs="Times New Roman"/>
          <w:sz w:val="24"/>
          <w:szCs w:val="24"/>
        </w:rPr>
        <w:t xml:space="preserve"> 2023 (vo vzťahu k článku 45 smernice);</w:t>
      </w:r>
    </w:p>
    <w:p w:rsidR="00FD452C" w:rsidRPr="009869EB" w:rsidP="00FD452C">
      <w:pPr>
        <w:pStyle w:val="ListParagraph"/>
        <w:numPr>
          <w:numId w:val="5"/>
        </w:numPr>
        <w:bidi w:val="0"/>
        <w:ind w:firstLine="0"/>
        <w:jc w:val="both"/>
        <w:rPr>
          <w:rFonts w:ascii="Times New Roman" w:hAnsi="Times New Roman" w:cs="Times New Roman"/>
          <w:sz w:val="24"/>
          <w:szCs w:val="24"/>
        </w:rPr>
      </w:pPr>
      <w:r>
        <w:rPr>
          <w:rFonts w:ascii="Times New Roman" w:hAnsi="Times New Roman" w:cs="Times New Roman"/>
          <w:sz w:val="24"/>
          <w:szCs w:val="24"/>
        </w:rPr>
        <w:t>u</w:t>
      </w:r>
      <w:r w:rsidRPr="009869EB">
        <w:rPr>
          <w:rFonts w:ascii="Times New Roman" w:hAnsi="Times New Roman" w:cs="Times New Roman"/>
          <w:sz w:val="24"/>
          <w:szCs w:val="24"/>
        </w:rPr>
        <w:t>znesením vlády Sl</w:t>
      </w:r>
      <w:r>
        <w:rPr>
          <w:rFonts w:ascii="Times New Roman" w:hAnsi="Times New Roman" w:cs="Times New Roman"/>
          <w:sz w:val="24"/>
          <w:szCs w:val="24"/>
        </w:rPr>
        <w:t>ovenskej republiky č. 73 z 24. f</w:t>
      </w:r>
      <w:r w:rsidRPr="009869EB">
        <w:rPr>
          <w:rFonts w:ascii="Times New Roman" w:hAnsi="Times New Roman" w:cs="Times New Roman"/>
          <w:sz w:val="24"/>
          <w:szCs w:val="24"/>
        </w:rPr>
        <w:t>ebruára 2016 bolo predsedovi Úradu priemyselného vlastníctva SR uložené zabe</w:t>
      </w:r>
      <w:r w:rsidR="00047D72">
        <w:rPr>
          <w:rFonts w:ascii="Times New Roman" w:hAnsi="Times New Roman" w:cs="Times New Roman"/>
          <w:sz w:val="24"/>
          <w:szCs w:val="24"/>
        </w:rPr>
        <w:t xml:space="preserve">zpečiť transpozíciu smernice </w:t>
      </w:r>
      <w:r w:rsidRPr="00194AE3" w:rsidR="00047D72">
        <w:rPr>
          <w:rFonts w:ascii="Times New Roman" w:hAnsi="Times New Roman" w:cs="Times New Roman"/>
          <w:sz w:val="24"/>
          <w:szCs w:val="24"/>
        </w:rPr>
        <w:t xml:space="preserve">(EÚ) </w:t>
      </w:r>
      <w:r w:rsidRPr="00194AE3">
        <w:rPr>
          <w:rFonts w:ascii="Times New Roman" w:hAnsi="Times New Roman" w:cs="Times New Roman"/>
          <w:sz w:val="24"/>
          <w:szCs w:val="24"/>
        </w:rPr>
        <w:t>2015/2436</w:t>
      </w:r>
      <w:r w:rsidRPr="009869EB">
        <w:rPr>
          <w:rFonts w:ascii="Times New Roman" w:hAnsi="Times New Roman" w:cs="Times New Roman"/>
          <w:sz w:val="24"/>
          <w:szCs w:val="24"/>
        </w:rPr>
        <w:t xml:space="preserve"> do 31. marca 2018, resp. do 31. marca 2020 (vo vzťahu k článku 45 smernice);</w:t>
      </w:r>
      <w:r w:rsidR="004E24D9">
        <w:rPr>
          <w:rFonts w:ascii="Times New Roman" w:hAnsi="Times New Roman" w:cs="Times New Roman"/>
          <w:sz w:val="24"/>
          <w:szCs w:val="24"/>
        </w:rPr>
        <w:t xml:space="preserve"> </w:t>
      </w:r>
      <w:r w:rsidRPr="003375FE" w:rsidR="004E24D9">
        <w:rPr>
          <w:rFonts w:ascii="Times New Roman" w:hAnsi="Times New Roman" w:cs="Times New Roman"/>
          <w:sz w:val="24"/>
          <w:szCs w:val="24"/>
        </w:rPr>
        <w:t xml:space="preserve">na základe </w:t>
      </w:r>
      <w:r w:rsidRPr="003375FE" w:rsidR="002215A8">
        <w:rPr>
          <w:rFonts w:ascii="Times New Roman" w:hAnsi="Times New Roman" w:cs="Times New Roman"/>
          <w:sz w:val="24"/>
          <w:szCs w:val="24"/>
        </w:rPr>
        <w:t xml:space="preserve">odôvodnenej </w:t>
      </w:r>
      <w:r w:rsidRPr="003375FE" w:rsidR="004E24D9">
        <w:rPr>
          <w:rFonts w:ascii="Times New Roman" w:hAnsi="Times New Roman" w:cs="Times New Roman"/>
          <w:sz w:val="24"/>
          <w:szCs w:val="24"/>
        </w:rPr>
        <w:t xml:space="preserve">žiadosti gestora </w:t>
      </w:r>
      <w:r w:rsidRPr="003375FE" w:rsidR="002215A8">
        <w:rPr>
          <w:rFonts w:ascii="Times New Roman" w:hAnsi="Times New Roman" w:cs="Times New Roman"/>
          <w:sz w:val="24"/>
          <w:szCs w:val="24"/>
        </w:rPr>
        <w:t>predseda vlády Slovenskej republiky súhlasil so zmenou termínu splnenia úlohy z predmetného uznesenia vlády Slovenskej republiky, a to do 31. októbra 2018</w:t>
      </w:r>
      <w:r w:rsidR="002215A8">
        <w:rPr>
          <w:rFonts w:ascii="Times New Roman" w:hAnsi="Times New Roman" w:cs="Times New Roman"/>
          <w:sz w:val="24"/>
          <w:szCs w:val="24"/>
        </w:rPr>
        <w:t>;</w:t>
      </w:r>
    </w:p>
    <w:p w:rsidR="00FD452C" w:rsidRPr="009869EB" w:rsidP="00FD452C">
      <w:pPr>
        <w:pStyle w:val="ListParagraph"/>
        <w:numPr>
          <w:numId w:val="5"/>
        </w:numPr>
        <w:bidi w:val="0"/>
        <w:ind w:firstLine="0"/>
        <w:jc w:val="both"/>
        <w:rPr>
          <w:rFonts w:ascii="Times New Roman" w:hAnsi="Times New Roman" w:cs="Times New Roman"/>
          <w:sz w:val="24"/>
          <w:szCs w:val="24"/>
        </w:rPr>
      </w:pPr>
      <w:r w:rsidRPr="009869EB">
        <w:rPr>
          <w:rFonts w:ascii="Times New Roman" w:hAnsi="Times New Roman" w:cs="Times New Roman"/>
          <w:sz w:val="24"/>
          <w:szCs w:val="24"/>
        </w:rPr>
        <w:t xml:space="preserve"> ---</w:t>
      </w:r>
    </w:p>
    <w:p w:rsidR="00FD452C" w:rsidP="00FD452C">
      <w:pPr>
        <w:pStyle w:val="ListParagraph"/>
        <w:numPr>
          <w:numId w:val="5"/>
        </w:numPr>
        <w:bidi w:val="0"/>
        <w:ind w:firstLine="0"/>
        <w:jc w:val="both"/>
        <w:rPr>
          <w:rFonts w:ascii="Times New Roman" w:hAnsi="Times New Roman" w:cs="Times New Roman"/>
          <w:sz w:val="24"/>
          <w:szCs w:val="24"/>
        </w:rPr>
      </w:pPr>
      <w:r w:rsidRPr="003375FE">
        <w:rPr>
          <w:rFonts w:ascii="Times New Roman" w:hAnsi="Times New Roman" w:cs="Times New Roman"/>
          <w:sz w:val="24"/>
          <w:szCs w:val="24"/>
        </w:rPr>
        <w:t xml:space="preserve">smernica Európskeho parlamentu a Rady (EÚ) 2015/2436 zo 16. decembra 2015 o aproximácii právnych predpisov členských štátov v oblasti ochranných známok je prepracovaným znením smernice Európskeho parlamentu a Rady 2008/95/ES z 22. októbra 2008 o aproximácii právnych predpisov členských štátov v oblasti ochranných známok, ktorá bola úplne transponovaná do zákona č. 506/2009 Z. z. o ochranných známkach. Predkladaný návrh zákona predstavuje </w:t>
      </w:r>
      <w:r w:rsidRPr="003375FE" w:rsidR="003375FE">
        <w:rPr>
          <w:rFonts w:ascii="Times New Roman" w:hAnsi="Times New Roman" w:cs="Times New Roman"/>
          <w:sz w:val="24"/>
          <w:szCs w:val="24"/>
        </w:rPr>
        <w:t xml:space="preserve">úplnú </w:t>
      </w:r>
      <w:r w:rsidRPr="003375FE">
        <w:rPr>
          <w:rFonts w:ascii="Times New Roman" w:hAnsi="Times New Roman" w:cs="Times New Roman"/>
          <w:sz w:val="24"/>
          <w:szCs w:val="24"/>
        </w:rPr>
        <w:t xml:space="preserve">transpozíciu smernice </w:t>
      </w:r>
      <w:r w:rsidRPr="00194AE3" w:rsidR="00047D72">
        <w:rPr>
          <w:rFonts w:ascii="Times New Roman" w:hAnsi="Times New Roman" w:cs="Times New Roman"/>
          <w:sz w:val="24"/>
          <w:szCs w:val="24"/>
        </w:rPr>
        <w:t xml:space="preserve">(EÚ) </w:t>
      </w:r>
      <w:r w:rsidRPr="00194AE3">
        <w:rPr>
          <w:rFonts w:ascii="Times New Roman" w:hAnsi="Times New Roman" w:cs="Times New Roman"/>
          <w:sz w:val="24"/>
          <w:szCs w:val="24"/>
        </w:rPr>
        <w:t>2015/2436.</w:t>
      </w:r>
    </w:p>
    <w:p w:rsidR="003375FE" w:rsidRPr="003375FE" w:rsidP="003375FE">
      <w:pPr>
        <w:pStyle w:val="ListParagraph"/>
        <w:bidi w:val="0"/>
        <w:jc w:val="both"/>
        <w:rPr>
          <w:rFonts w:ascii="Times New Roman" w:hAnsi="Times New Roman" w:cs="Times New Roman"/>
          <w:sz w:val="24"/>
          <w:szCs w:val="24"/>
        </w:rPr>
      </w:pPr>
    </w:p>
    <w:p w:rsidR="00FD452C" w:rsidRPr="009869EB" w:rsidP="00FD452C">
      <w:pPr>
        <w:pStyle w:val="ListParagraph"/>
        <w:numPr>
          <w:numId w:val="1"/>
        </w:numPr>
        <w:bidi w:val="0"/>
        <w:ind w:hanging="720"/>
        <w:jc w:val="both"/>
        <w:rPr>
          <w:rFonts w:ascii="Times New Roman" w:hAnsi="Times New Roman" w:cs="Times New Roman"/>
          <w:sz w:val="24"/>
          <w:szCs w:val="24"/>
        </w:rPr>
      </w:pPr>
      <w:r w:rsidRPr="009869EB">
        <w:rPr>
          <w:rFonts w:ascii="Times New Roman" w:hAnsi="Times New Roman" w:cs="Times New Roman"/>
          <w:sz w:val="24"/>
          <w:szCs w:val="24"/>
        </w:rPr>
        <w:t>Stupeň zlučiteľnosti návrhu právneho predpisu s právom Európskej únie:</w:t>
      </w:r>
    </w:p>
    <w:p w:rsidR="00FD452C" w:rsidRPr="003375FE" w:rsidP="003375FE">
      <w:pPr>
        <w:bidi w:val="0"/>
        <w:ind w:left="708"/>
        <w:jc w:val="both"/>
        <w:rPr>
          <w:rFonts w:ascii="Times New Roman" w:hAnsi="Times New Roman" w:cs="Times New Roman"/>
          <w:sz w:val="24"/>
          <w:szCs w:val="24"/>
        </w:rPr>
      </w:pPr>
      <w:r w:rsidRPr="003375FE" w:rsidR="003375FE">
        <w:rPr>
          <w:rFonts w:ascii="Times New Roman" w:hAnsi="Times New Roman" w:cs="Times New Roman"/>
          <w:sz w:val="24"/>
          <w:szCs w:val="24"/>
        </w:rPr>
        <w:t xml:space="preserve">a) </w:t>
      </w:r>
      <w:r w:rsidRPr="003375FE" w:rsidR="004E24D9">
        <w:rPr>
          <w:rFonts w:ascii="Times New Roman" w:hAnsi="Times New Roman" w:cs="Times New Roman"/>
          <w:sz w:val="24"/>
          <w:szCs w:val="24"/>
        </w:rPr>
        <w:t>úplný</w:t>
      </w:r>
      <w:r w:rsidRPr="003375FE">
        <w:rPr>
          <w:rFonts w:ascii="Times New Roman" w:hAnsi="Times New Roman" w:cs="Times New Roman"/>
          <w:sz w:val="24"/>
          <w:szCs w:val="24"/>
        </w:rPr>
        <w:t>.</w:t>
      </w:r>
    </w:p>
    <w:p w:rsidR="00FD452C" w:rsidRPr="009869EB" w:rsidP="00FD452C">
      <w:pPr>
        <w:pStyle w:val="ListParagraph"/>
        <w:bidi w:val="0"/>
        <w:ind w:left="1068"/>
        <w:jc w:val="both"/>
        <w:rPr>
          <w:rFonts w:ascii="Times New Roman" w:hAnsi="Times New Roman" w:cs="Times New Roman"/>
          <w:sz w:val="24"/>
          <w:szCs w:val="24"/>
        </w:rPr>
      </w:pPr>
    </w:p>
    <w:p w:rsidR="00FD452C" w:rsidRPr="009869EB" w:rsidP="00FD452C">
      <w:pPr>
        <w:pStyle w:val="ListParagraph"/>
        <w:numPr>
          <w:numId w:val="1"/>
        </w:numPr>
        <w:bidi w:val="0"/>
        <w:ind w:hanging="720"/>
        <w:jc w:val="both"/>
        <w:rPr>
          <w:rFonts w:ascii="Times New Roman" w:hAnsi="Times New Roman" w:cs="Times New Roman"/>
          <w:sz w:val="24"/>
          <w:szCs w:val="24"/>
        </w:rPr>
      </w:pPr>
      <w:r w:rsidRPr="009869EB">
        <w:rPr>
          <w:rFonts w:ascii="Times New Roman" w:hAnsi="Times New Roman" w:cs="Times New Roman"/>
          <w:sz w:val="24"/>
          <w:szCs w:val="24"/>
        </w:rPr>
        <w:t>Gestor:</w:t>
      </w:r>
    </w:p>
    <w:p w:rsidR="00FD452C" w:rsidRPr="009869EB" w:rsidP="00FD452C">
      <w:pPr>
        <w:pStyle w:val="ListParagraph"/>
        <w:bidi w:val="0"/>
        <w:jc w:val="both"/>
        <w:rPr>
          <w:rFonts w:ascii="Times New Roman" w:hAnsi="Times New Roman" w:cs="Times New Roman"/>
          <w:sz w:val="24"/>
          <w:szCs w:val="24"/>
        </w:rPr>
      </w:pPr>
      <w:r w:rsidRPr="009869EB">
        <w:rPr>
          <w:rFonts w:ascii="Times New Roman" w:hAnsi="Times New Roman" w:cs="Times New Roman"/>
          <w:sz w:val="24"/>
          <w:szCs w:val="24"/>
        </w:rPr>
        <w:t>Úrad priemyselného vlastníctva Slovenskej republiky.</w:t>
      </w:r>
    </w:p>
    <w:p w:rsidR="00FD452C" w:rsidRPr="009869EB" w:rsidP="00FD452C">
      <w:pPr>
        <w:bidi w:val="0"/>
        <w:jc w:val="both"/>
        <w:rPr>
          <w:rFonts w:ascii="Times New Roman" w:hAnsi="Times New Roman" w:cs="Times New Roman"/>
          <w:sz w:val="24"/>
          <w:szCs w:val="24"/>
        </w:rPr>
      </w:pPr>
    </w:p>
    <w:p w:rsidR="004162AB">
      <w:pPr>
        <w:bidi w:val="0"/>
      </w:pPr>
    </w:p>
    <w:sectPr w:rsidSect="00C06527">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Times New Roman"/>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44">
    <w:pPr>
      <w:pStyle w:val="Footer"/>
      <w:bidi w:val="0"/>
      <w:jc w:val="right"/>
    </w:pPr>
    <w:r w:rsidR="00E81DF6">
      <w:fldChar w:fldCharType="begin"/>
    </w:r>
    <w:r w:rsidR="00E81DF6">
      <w:instrText xml:space="preserve"> PAGE   \* MERGEFORMAT </w:instrText>
    </w:r>
    <w:r w:rsidR="00E81DF6">
      <w:fldChar w:fldCharType="separate"/>
    </w:r>
    <w:r w:rsidR="00194AE3">
      <w:rPr>
        <w:noProof/>
      </w:rPr>
      <w:t>1</w:t>
    </w:r>
    <w:r w:rsidR="00E81DF6">
      <w:fldChar w:fldCharType="end"/>
    </w:r>
  </w:p>
  <w:p w:rsidR="00975B4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049E"/>
    <w:multiLevelType w:val="hybridMultilevel"/>
    <w:tmpl w:val="A17C8128"/>
    <w:lvl w:ilvl="0">
      <w:start w:val="1"/>
      <w:numFmt w:val="bullet"/>
      <w:lvlText w:val="-"/>
      <w:lvlJc w:val="left"/>
      <w:pPr>
        <w:ind w:left="2520" w:hanging="360"/>
      </w:pPr>
      <w:rPr>
        <w:rFonts w:ascii="Times New Roman" w:eastAsia="Times New Roman" w:hAnsi="Times New Roman"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1">
    <w:nsid w:val="16626BAA"/>
    <w:multiLevelType w:val="hybridMultilevel"/>
    <w:tmpl w:val="B984839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3F710C25"/>
    <w:multiLevelType w:val="hybridMultilevel"/>
    <w:tmpl w:val="566268CA"/>
    <w:lvl w:ilvl="0">
      <w:start w:val="1"/>
      <w:numFmt w:val="bullet"/>
      <w:lvlText w:val="-"/>
      <w:lvlJc w:val="left"/>
      <w:pPr>
        <w:ind w:left="1440" w:hanging="360"/>
      </w:pPr>
      <w:rPr>
        <w:rFonts w:ascii="Times New Roman" w:eastAsia="Times New Roman" w:hAnsi="Times New Roman" w:hint="default"/>
      </w:rPr>
    </w:lvl>
    <w:lvl w:ilvl="1">
      <w:start w:val="4"/>
      <w:numFmt w:val="bullet"/>
      <w:lvlText w:val="-"/>
      <w:lvlJc w:val="left"/>
      <w:pPr>
        <w:ind w:left="2160" w:hanging="360"/>
      </w:pPr>
      <w:rPr>
        <w:rFonts w:ascii="Times New Roman" w:eastAsia="Times New Roman" w:hAnsi="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482573AB"/>
    <w:multiLevelType w:val="hybridMultilevel"/>
    <w:tmpl w:val="74AC812E"/>
    <w:lvl w:ilvl="0">
      <w:start w:val="1"/>
      <w:numFmt w:val="lowerLetter"/>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9600AED"/>
    <w:multiLevelType w:val="hybridMultilevel"/>
    <w:tmpl w:val="A1BA0E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3975A95"/>
    <w:multiLevelType w:val="hybridMultilevel"/>
    <w:tmpl w:val="A2A87C2E"/>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6">
    <w:nsid w:val="66744C5D"/>
    <w:multiLevelType w:val="hybridMultilevel"/>
    <w:tmpl w:val="3E64E488"/>
    <w:lvl w:ilvl="0">
      <w:start w:val="2"/>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7BD61DAC"/>
    <w:multiLevelType w:val="hybridMultilevel"/>
    <w:tmpl w:val="2A6855AC"/>
    <w:lvl w:ilvl="0">
      <w:start w:val="1"/>
      <w:numFmt w:val="decimal"/>
      <w:lvlText w:val="%1."/>
      <w:lvlJc w:val="left"/>
      <w:pPr>
        <w:ind w:left="1800" w:hanging="360"/>
      </w:pPr>
      <w:rPr>
        <w:rFonts w:cs="Times New Roman" w:hint="default"/>
        <w:rtl w:val="0"/>
        <w:cs w:val="0"/>
      </w:rPr>
    </w:lvl>
    <w:lvl w:ilvl="1">
      <w:start w:val="4"/>
      <w:numFmt w:val="bullet"/>
      <w:lvlText w:val="-"/>
      <w:lvlJc w:val="left"/>
      <w:pPr>
        <w:ind w:left="2520" w:hanging="360"/>
      </w:pPr>
      <w:rPr>
        <w:rFonts w:ascii="Times New Roman" w:eastAsia="Times New Roman" w:hAnsi="Times New Roman" w:hint="default"/>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D452C"/>
    <w:rsid w:val="00047D72"/>
    <w:rsid w:val="000A794F"/>
    <w:rsid w:val="000B5513"/>
    <w:rsid w:val="00194AE3"/>
    <w:rsid w:val="002215A8"/>
    <w:rsid w:val="002E28B6"/>
    <w:rsid w:val="003375FE"/>
    <w:rsid w:val="003F1F7F"/>
    <w:rsid w:val="004162AB"/>
    <w:rsid w:val="004E24D9"/>
    <w:rsid w:val="00515AED"/>
    <w:rsid w:val="005A38FA"/>
    <w:rsid w:val="007A6BF5"/>
    <w:rsid w:val="00975B44"/>
    <w:rsid w:val="009869EB"/>
    <w:rsid w:val="00A31028"/>
    <w:rsid w:val="00B05B87"/>
    <w:rsid w:val="00B61B36"/>
    <w:rsid w:val="00C06527"/>
    <w:rsid w:val="00E81DF6"/>
    <w:rsid w:val="00EB20AE"/>
    <w:rsid w:val="00FD452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2C"/>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FD452C"/>
    <w:pPr>
      <w:ind w:left="720"/>
      <w:contextualSpacing/>
      <w:jc w:val="left"/>
    </w:pPr>
  </w:style>
  <w:style w:type="paragraph" w:styleId="Footer">
    <w:name w:val="footer"/>
    <w:basedOn w:val="Normal"/>
    <w:link w:val="PtaChar"/>
    <w:uiPriority w:val="99"/>
    <w:unhideWhenUsed/>
    <w:rsid w:val="00FD452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D452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2</Pages>
  <Words>487</Words>
  <Characters>2732</Characters>
  <Application>Microsoft Office Word</Application>
  <DocSecurity>0</DocSecurity>
  <Lines>0</Lines>
  <Paragraphs>0</Paragraphs>
  <ScaleCrop>false</ScaleCrop>
  <Company>Úrad priemyselného vlastníctva SR</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Mikuličová</dc:creator>
  <cp:lastModifiedBy>Mgr. Jitka Mikuličová</cp:lastModifiedBy>
  <cp:revision>4</cp:revision>
  <dcterms:created xsi:type="dcterms:W3CDTF">2018-03-14T11:14:00Z</dcterms:created>
  <dcterms:modified xsi:type="dcterms:W3CDTF">2018-04-27T09:16:00Z</dcterms:modified>
</cp:coreProperties>
</file>