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34DF" w:rsidRPr="00C93212" w:rsidP="001934DF">
      <w:pPr>
        <w:pStyle w:val="Heading1"/>
        <w:bidi w:val="0"/>
        <w:spacing w:before="0" w:after="0"/>
        <w:jc w:val="center"/>
        <w:rPr>
          <w:rFonts w:ascii="Times New Roman" w:hAnsi="Times New Roman" w:cs="Times New Roman"/>
          <w:sz w:val="24"/>
          <w:szCs w:val="24"/>
        </w:rPr>
      </w:pPr>
      <w:r w:rsidRPr="00C93212">
        <w:rPr>
          <w:rFonts w:ascii="Times New Roman" w:hAnsi="Times New Roman" w:cs="Times New Roman"/>
          <w:sz w:val="24"/>
          <w:szCs w:val="24"/>
        </w:rPr>
        <w:t>Dôvodová správa</w:t>
      </w:r>
    </w:p>
    <w:p w:rsidR="007C7C26" w:rsidP="007C7C26">
      <w:pPr>
        <w:bidi w:val="0"/>
        <w:rPr>
          <w:rFonts w:ascii="Times New Roman" w:hAnsi="Times New Roman"/>
        </w:rPr>
      </w:pPr>
    </w:p>
    <w:p w:rsidR="00A62E9A" w:rsidRPr="00C93212" w:rsidP="007C7C26">
      <w:pPr>
        <w:bidi w:val="0"/>
        <w:rPr>
          <w:rFonts w:ascii="Times New Roman" w:hAnsi="Times New Roman"/>
        </w:rPr>
      </w:pPr>
    </w:p>
    <w:p w:rsidR="00713F0C" w:rsidRPr="00C93212" w:rsidP="00713F0C">
      <w:pPr>
        <w:bidi w:val="0"/>
        <w:rPr>
          <w:rFonts w:ascii="Times New Roman" w:hAnsi="Times New Roman"/>
          <w:b/>
          <w:u w:val="single"/>
        </w:rPr>
      </w:pPr>
      <w:r w:rsidRPr="00C93212" w:rsidR="00270C7D">
        <w:rPr>
          <w:rFonts w:ascii="Times New Roman" w:hAnsi="Times New Roman"/>
          <w:b/>
          <w:u w:val="single"/>
        </w:rPr>
        <w:t>V</w:t>
      </w:r>
      <w:r w:rsidRPr="00C93212" w:rsidR="001934DF">
        <w:rPr>
          <w:rFonts w:ascii="Times New Roman" w:hAnsi="Times New Roman"/>
          <w:b/>
          <w:u w:val="single"/>
        </w:rPr>
        <w:t>šeobecná časť</w:t>
      </w:r>
    </w:p>
    <w:p w:rsidR="001934DF" w:rsidRPr="00C93212" w:rsidP="0045280D">
      <w:pPr>
        <w:bidi w:val="0"/>
        <w:ind w:firstLine="708"/>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 xml:space="preserve">Cieľom predloženého návrhu zákona, ktorým sa mení a dopĺňa zákon Slovenskej národnej rady č. 310/1992 Zb. o stavebnom sporení v znení neskorších predpisov </w:t>
      </w:r>
      <w:r w:rsidRPr="00A62E9A">
        <w:rPr>
          <w:rFonts w:ascii="Times New Roman" w:hAnsi="Times New Roman"/>
        </w:rPr>
        <w:t>(ďalej len „zákon o stavebnom sporení“ alebo „zákon“)</w:t>
      </w:r>
      <w:r>
        <w:rPr>
          <w:rFonts w:ascii="Times New Roman" w:hAnsi="Times New Roman"/>
        </w:rPr>
        <w:t>, je zvýšenie účelovosti, adresnosti a efektívnosti štátnej podpory stavebného sporenia. V tomto kontexte predmetom návrhu novely zákona o stavebnom sporení je úprava podmienok poskytovania štátnej prémie na stavebné sporenie a úprava podmienok stavebného sporenia vrátane terminologického vyprecizovania definície stavebného sporenia.</w:t>
      </w:r>
    </w:p>
    <w:p w:rsidR="00A62E9A" w:rsidP="00A62E9A">
      <w:pPr>
        <w:pStyle w:val="BodyTextIndent"/>
        <w:bidi w:val="0"/>
        <w:spacing w:after="0"/>
        <w:ind w:left="0" w:firstLine="709"/>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V rámci úpravy podmienok poskytovania štátnej prémie sa zvýšenie účelovosti, adresnosti a efektívnosti štátnej podpory stavebného sporenia navrhuje dosiahnuť prostredníctvom prijatia týchto opatrení:</w:t>
      </w:r>
    </w:p>
    <w:p w:rsidR="00A62E9A" w:rsidP="00A62E9A">
      <w:pPr>
        <w:pStyle w:val="BodyTextIndent"/>
        <w:bidi w:val="0"/>
        <w:spacing w:after="0"/>
        <w:ind w:left="0" w:firstLine="709"/>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zrušením inštitútu tzv. „priateľských sporiteľov“,</w:t>
      </w:r>
    </w:p>
    <w:p w:rsidR="00A62E9A" w:rsidP="00A62E9A">
      <w:pPr>
        <w:pStyle w:val="BodyTextIndent"/>
        <w:bidi w:val="0"/>
        <w:spacing w:after="0"/>
        <w:ind w:left="0" w:firstLine="709"/>
        <w:jc w:val="both"/>
        <w:rPr>
          <w:rFonts w:ascii="Times New Roman" w:hAnsi="Times New Roman"/>
        </w:rPr>
      </w:pPr>
      <w:r>
        <w:rPr>
          <w:rFonts w:ascii="Times New Roman" w:hAnsi="Times New Roman"/>
        </w:rPr>
        <w:t>zúžením okruhu poberateľov štátnej prémie podľa príjmu,</w:t>
      </w:r>
    </w:p>
    <w:p w:rsidR="00A62E9A" w:rsidP="00A62E9A">
      <w:pPr>
        <w:pStyle w:val="BodyTextIndent"/>
        <w:bidi w:val="0"/>
        <w:spacing w:after="0"/>
        <w:ind w:left="0" w:firstLine="709"/>
        <w:jc w:val="both"/>
        <w:rPr>
          <w:rFonts w:ascii="Times New Roman" w:hAnsi="Times New Roman"/>
        </w:rPr>
      </w:pPr>
      <w:r>
        <w:rPr>
          <w:rFonts w:ascii="Times New Roman" w:hAnsi="Times New Roman"/>
        </w:rPr>
        <w:t>obmedzením poberania štátnej prémie počas čerpania a splácania medziúveru,</w:t>
      </w:r>
    </w:p>
    <w:p w:rsidR="00A62E9A" w:rsidP="00A62E9A">
      <w:pPr>
        <w:pStyle w:val="BodyTextIndent"/>
        <w:bidi w:val="0"/>
        <w:spacing w:after="0"/>
        <w:ind w:left="0" w:firstLine="709"/>
        <w:jc w:val="both"/>
        <w:rPr>
          <w:rFonts w:ascii="Times New Roman" w:hAnsi="Times New Roman"/>
        </w:rPr>
      </w:pPr>
      <w:r>
        <w:rPr>
          <w:rFonts w:ascii="Times New Roman" w:hAnsi="Times New Roman"/>
        </w:rPr>
        <w:t>osobitným limitovaním nároku na štátnu prémiu v prvom roku sporenia,</w:t>
      </w:r>
    </w:p>
    <w:p w:rsidR="00A62E9A" w:rsidP="00A62E9A">
      <w:pPr>
        <w:pStyle w:val="BodyTextIndent"/>
        <w:bidi w:val="0"/>
        <w:spacing w:after="0"/>
        <w:ind w:left="0" w:firstLine="709"/>
        <w:jc w:val="both"/>
        <w:rPr>
          <w:rFonts w:ascii="Times New Roman" w:hAnsi="Times New Roman"/>
        </w:rPr>
      </w:pPr>
      <w:r>
        <w:rPr>
          <w:rFonts w:ascii="Times New Roman" w:hAnsi="Times New Roman"/>
        </w:rPr>
        <w:t>znížením minimálnej percentuálnej výšky štátnej prémie.</w:t>
      </w:r>
    </w:p>
    <w:p w:rsidR="00A62E9A" w:rsidP="00A62E9A">
      <w:pPr>
        <w:pStyle w:val="BodyTextIndent"/>
        <w:bidi w:val="0"/>
        <w:spacing w:after="0"/>
        <w:ind w:left="0" w:firstLine="709"/>
        <w:jc w:val="both"/>
        <w:rPr>
          <w:rFonts w:ascii="Times New Roman" w:hAnsi="Times New Roman"/>
        </w:rPr>
      </w:pPr>
      <w:r>
        <w:rPr>
          <w:rFonts w:ascii="Times New Roman" w:hAnsi="Times New Roman"/>
        </w:rPr>
        <w:t xml:space="preserve">            </w:t>
      </w:r>
    </w:p>
    <w:p w:rsidR="00A62E9A" w:rsidRPr="00A62E9A" w:rsidP="00A62E9A">
      <w:pPr>
        <w:pStyle w:val="BodyTextIndent"/>
        <w:bidi w:val="0"/>
        <w:spacing w:after="0"/>
        <w:ind w:left="0" w:firstLine="709"/>
        <w:jc w:val="both"/>
        <w:rPr>
          <w:rFonts w:ascii="Times New Roman" w:hAnsi="Times New Roman"/>
        </w:rPr>
      </w:pPr>
      <w:r w:rsidRPr="00A62E9A">
        <w:rPr>
          <w:rFonts w:ascii="Times New Roman" w:hAnsi="Times New Roman"/>
        </w:rPr>
        <w:t xml:space="preserve">Zo zhodnotenia súčasného stavu právnej úpravy vyplýva, že prvým závažným problémom štátnej podpory stavebného sporenia je jej nízka účelovosť. Niektorí účastníci stavebného sporenia, tzv. „priateľskí sporitelia“, ktorí sporia viac ako šesť rokov a nebol im poskytnutý stavebný úver, nemusia nasporené prostriedky vrátane pripísanej štátnej prémie použiť na stavebné účely. Ide o jediný inštitút v celkovom spektre štátnej podpory bývania (nástroje a programy Štátneho fondu rozvoja bývania, bonifikácia úrokovej sadzby hypotekárnych úverov pre mladých, nový systém daňového bonusu na zaplatené úroky z úverov na bývanie pre mladých atď.), pri ktorom nie je povinnosť zdokladovať účelové použitie prostriedkov poskytnutých zo štátneho rozpočtu. Ak štátna prémia nie je spojená s účelovým použitím, je využívaná len na zvýšenie úrokových výnosov priateľských sporiteľov. Argument, že „priateľskí sporitelia“ sú nevyhnutní pre zabezpečenie zdrojového krytia poskytovania zvýhodnených stavebných úverov neobstojí, pretože 90 % z celkového úverového portfólia stavebných sporiteľní tvoria komerčné medziúvery, kým zvýhodnené stavebné úvery len 10 % (viď podrobne nižšie popísaný problém nízkej efektívnosti štátnej podpory stavebného sporenia). Preto sa navrhuje viazať poskytnutie štátnej prémie na podmienku, že sa prostriedky získané stavebným sporením vrátane štátnej prémie použijú výlučne na stavebné účely, to znamená, že by sa zo zákona vylúčil tzv. „inštitút priateľských sporiteľov“. </w:t>
      </w:r>
    </w:p>
    <w:p w:rsidR="00A62E9A" w:rsidRPr="00105F2F" w:rsidP="00A62E9A">
      <w:pPr>
        <w:pStyle w:val="BodyTextIndent"/>
        <w:bidi w:val="0"/>
        <w:spacing w:after="0"/>
        <w:ind w:left="0" w:firstLine="709"/>
        <w:jc w:val="both"/>
        <w:rPr>
          <w:rFonts w:ascii="Times New Roman" w:hAnsi="Times New Roman"/>
        </w:rPr>
      </w:pPr>
    </w:p>
    <w:p w:rsidR="00A62E9A" w:rsidRPr="003F3CD8" w:rsidP="00A62E9A">
      <w:pPr>
        <w:pStyle w:val="BodyTextIndent"/>
        <w:bidi w:val="0"/>
        <w:spacing w:after="0"/>
        <w:ind w:left="0" w:firstLine="709"/>
        <w:jc w:val="both"/>
        <w:rPr>
          <w:rFonts w:ascii="Times New Roman" w:hAnsi="Times New Roman"/>
        </w:rPr>
      </w:pPr>
      <w:r>
        <w:rPr>
          <w:rFonts w:ascii="Times New Roman" w:hAnsi="Times New Roman"/>
        </w:rPr>
        <w:t xml:space="preserve">Druhým nesystémovým prvkom štátnej podpory stavebného sporenia je jej slabá </w:t>
      </w:r>
      <w:r w:rsidRPr="00D60AF6">
        <w:rPr>
          <w:rFonts w:ascii="Times New Roman" w:hAnsi="Times New Roman"/>
        </w:rPr>
        <w:t>adresnosť</w:t>
      </w:r>
      <w:r>
        <w:rPr>
          <w:rFonts w:ascii="Times New Roman" w:hAnsi="Times New Roman"/>
        </w:rPr>
        <w:t xml:space="preserve">. Z pohľadu prijímateľov štátnej podpory stavebného sporenia absentuje v rámci tejto podpory akýkoľvek prvok priamej selekcie. Štátnu prémiu na stavebné sporenie môže získať každý bez ohľadu na príjem, stačí v kalendárnom roku vložiť na účet stavebného sporiteľa požadovanú sumu finančných prostriedkov a štátna prémia sa určí percentom z ročného vkladu vypočítaným na základe vzorca uvedeného v prílohe zákona. </w:t>
      </w:r>
      <w:r w:rsidRPr="00AC4F1B">
        <w:rPr>
          <w:rFonts w:ascii="Times New Roman" w:hAnsi="Times New Roman"/>
        </w:rPr>
        <w:t xml:space="preserve"> </w:t>
      </w:r>
      <w:r>
        <w:rPr>
          <w:rFonts w:ascii="Times New Roman" w:hAnsi="Times New Roman"/>
        </w:rPr>
        <w:t xml:space="preserve">Nastavenie sociálnych kritérií je tak v platnom zákone len nepriame, a to prostredníctvom ohraničenia výšky štátnej prémie pevnou sumou 66,39 eura za jeden kalendárny rok. To znamená, že aj napriek vyšším ročným vkladom pripísaným na účet stavebného sporenia môže stavebný sporiteľ za príslušný kalendárny rok získať maximálne túto sumu štátnej prémie. Ak sa však zoberie do úvahy skutočnosť, že systém umožňuje uzavrieť zmluvu o stavebnom sporení aj v prospech maloletých detí, starých rodičov a ďalších príbuzných, ktorým môže byť tiež poskytnutá štátna prémia, rozložením ročných vkladov na viaceré zmluvy môžu výhody štátnej podpory stavebného sporenia využívať aj osoby s vyššími príjmami. Pre porovnanie uvádzame, že v prípade hypotekárneho úveru pre mladých, ako aj novozavedeného úveru na bývanie pre mladých je v zákone o bankách, ako aj v zákone o dani z príjmov nastavenie sociálnych kritérií pre získanie štátneho príspevku pre mladých, resp. daňového bonusu pre mladých poberateľov týchto úverov nielen nepriame – štátny príspevok a daňový bonus sa poskytuje, resp. bude poskytovať najviac zo sumy úveru 50 000 eur, pričom daňový bonus na zaplatené úroky je navyše ohraničený sumou 400 eur ročne, ale aj </w:t>
      </w:r>
      <w:r w:rsidRPr="003F3CD8">
        <w:rPr>
          <w:rFonts w:ascii="Times New Roman" w:hAnsi="Times New Roman"/>
        </w:rPr>
        <w:t xml:space="preserve">priame </w:t>
      </w:r>
      <w:r>
        <w:rPr>
          <w:rFonts w:ascii="Times New Roman" w:hAnsi="Times New Roman"/>
        </w:rPr>
        <w:t xml:space="preserve">– mladý poberateľ takýchto </w:t>
      </w:r>
      <w:r w:rsidRPr="003F3CD8">
        <w:rPr>
          <w:rFonts w:ascii="Times New Roman" w:hAnsi="Times New Roman"/>
        </w:rPr>
        <w:t>úver</w:t>
      </w:r>
      <w:r>
        <w:rPr>
          <w:rFonts w:ascii="Times New Roman" w:hAnsi="Times New Roman"/>
        </w:rPr>
        <w:t xml:space="preserve">ov </w:t>
      </w:r>
      <w:r w:rsidRPr="003F3CD8">
        <w:rPr>
          <w:rFonts w:ascii="Times New Roman" w:hAnsi="Times New Roman"/>
        </w:rPr>
        <w:t>musí mať v čase podania žiadosti o tento úver vek od 18 do 35 rokov a jeho priemerný mesačný príjem nemôže byť vyšší ako je 1,3</w:t>
      </w:r>
      <w:r>
        <w:rPr>
          <w:rFonts w:ascii="Times New Roman" w:hAnsi="Times New Roman"/>
        </w:rPr>
        <w:t>-</w:t>
      </w:r>
      <w:r w:rsidRPr="003F3CD8">
        <w:rPr>
          <w:rFonts w:ascii="Times New Roman" w:hAnsi="Times New Roman"/>
        </w:rPr>
        <w:t xml:space="preserve">násobok priemernej </w:t>
      </w:r>
      <w:r>
        <w:rPr>
          <w:rFonts w:ascii="Times New Roman" w:hAnsi="Times New Roman"/>
        </w:rPr>
        <w:t xml:space="preserve">mesačnej </w:t>
      </w:r>
      <w:r w:rsidRPr="003F3CD8">
        <w:rPr>
          <w:rFonts w:ascii="Times New Roman" w:hAnsi="Times New Roman"/>
        </w:rPr>
        <w:t>mzdy zamestnanca v národnom hospodárstve SR</w:t>
      </w:r>
      <w:r>
        <w:rPr>
          <w:rFonts w:ascii="Times New Roman" w:hAnsi="Times New Roman"/>
        </w:rPr>
        <w:t xml:space="preserve">. Preto sa navrhuje zvýšiť adresnosť štátnej podpory stavebného sporenia formou určitého sociálneho zamerania tejto podpory, a to tak, že by sa </w:t>
      </w:r>
      <w:r w:rsidRPr="00571ED6">
        <w:rPr>
          <w:rFonts w:ascii="Times New Roman" w:hAnsi="Times New Roman"/>
        </w:rPr>
        <w:t xml:space="preserve">štátna prémia vyplácala </w:t>
      </w:r>
      <w:r>
        <w:rPr>
          <w:rFonts w:ascii="Times New Roman" w:hAnsi="Times New Roman"/>
        </w:rPr>
        <w:t xml:space="preserve">plnoletým </w:t>
      </w:r>
      <w:r w:rsidRPr="00571ED6">
        <w:rPr>
          <w:rFonts w:ascii="Times New Roman" w:hAnsi="Times New Roman"/>
        </w:rPr>
        <w:t xml:space="preserve">osobám </w:t>
      </w:r>
      <w:r>
        <w:rPr>
          <w:rFonts w:ascii="Times New Roman" w:hAnsi="Times New Roman"/>
        </w:rPr>
        <w:t xml:space="preserve">iba v prípade, ak ich </w:t>
      </w:r>
      <w:r w:rsidRPr="00571ED6">
        <w:rPr>
          <w:rFonts w:ascii="Times New Roman" w:hAnsi="Times New Roman"/>
        </w:rPr>
        <w:t xml:space="preserve">priemerný mesačný príjem </w:t>
      </w:r>
      <w:r>
        <w:rPr>
          <w:rFonts w:ascii="Times New Roman" w:hAnsi="Times New Roman"/>
        </w:rPr>
        <w:t xml:space="preserve">vypočítaný zo zdaniteľných príjmov za kalendárny rok neprekročí </w:t>
      </w:r>
      <w:r w:rsidRPr="00571ED6">
        <w:rPr>
          <w:rFonts w:ascii="Times New Roman" w:hAnsi="Times New Roman"/>
        </w:rPr>
        <w:t>1,3</w:t>
      </w:r>
      <w:r>
        <w:rPr>
          <w:rFonts w:ascii="Times New Roman" w:hAnsi="Times New Roman"/>
        </w:rPr>
        <w:t>-</w:t>
      </w:r>
      <w:r w:rsidRPr="00571ED6">
        <w:rPr>
          <w:rFonts w:ascii="Times New Roman" w:hAnsi="Times New Roman"/>
        </w:rPr>
        <w:t>násob</w:t>
      </w:r>
      <w:r>
        <w:rPr>
          <w:rFonts w:ascii="Times New Roman" w:hAnsi="Times New Roman"/>
        </w:rPr>
        <w:t>o</w:t>
      </w:r>
      <w:r w:rsidRPr="00571ED6">
        <w:rPr>
          <w:rFonts w:ascii="Times New Roman" w:hAnsi="Times New Roman"/>
        </w:rPr>
        <w:t>k</w:t>
      </w:r>
      <w:r>
        <w:rPr>
          <w:rFonts w:ascii="Times New Roman" w:hAnsi="Times New Roman"/>
        </w:rPr>
        <w:t xml:space="preserve"> </w:t>
      </w:r>
      <w:r w:rsidRPr="00571ED6">
        <w:rPr>
          <w:rFonts w:ascii="Times New Roman" w:hAnsi="Times New Roman"/>
        </w:rPr>
        <w:t xml:space="preserve">priemernej </w:t>
      </w:r>
      <w:r>
        <w:rPr>
          <w:rFonts w:ascii="Times New Roman" w:hAnsi="Times New Roman"/>
        </w:rPr>
        <w:t xml:space="preserve">mesačnej </w:t>
      </w:r>
      <w:r w:rsidRPr="003F3CD8">
        <w:rPr>
          <w:rFonts w:ascii="Times New Roman" w:hAnsi="Times New Roman"/>
        </w:rPr>
        <w:t>mzdy zamestnanca v národnom hospodárstve SR</w:t>
      </w:r>
      <w:r>
        <w:rPr>
          <w:rFonts w:ascii="Times New Roman" w:hAnsi="Times New Roman"/>
        </w:rPr>
        <w:t xml:space="preserve">.     </w:t>
      </w:r>
    </w:p>
    <w:p w:rsidR="00A62E9A" w:rsidP="00A62E9A">
      <w:pPr>
        <w:pStyle w:val="BodyTextIndent"/>
        <w:bidi w:val="0"/>
        <w:spacing w:after="0"/>
        <w:ind w:left="0" w:firstLine="709"/>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 xml:space="preserve">Tretím z významných </w:t>
      </w:r>
      <w:r w:rsidRPr="00357F68">
        <w:rPr>
          <w:rFonts w:ascii="Times New Roman" w:hAnsi="Times New Roman"/>
        </w:rPr>
        <w:t>problémo</w:t>
      </w:r>
      <w:r>
        <w:rPr>
          <w:rFonts w:ascii="Times New Roman" w:hAnsi="Times New Roman"/>
        </w:rPr>
        <w:t>v</w:t>
      </w:r>
      <w:r w:rsidRPr="00357F68">
        <w:rPr>
          <w:rFonts w:ascii="Times New Roman" w:hAnsi="Times New Roman"/>
        </w:rPr>
        <w:t xml:space="preserve"> </w:t>
      </w:r>
      <w:r>
        <w:rPr>
          <w:rFonts w:ascii="Times New Roman" w:hAnsi="Times New Roman"/>
        </w:rPr>
        <w:t>štátnej podpory stavebného sporenia je j</w:t>
      </w:r>
      <w:r w:rsidRPr="00357F68">
        <w:rPr>
          <w:rFonts w:ascii="Times New Roman" w:hAnsi="Times New Roman"/>
        </w:rPr>
        <w:t>e</w:t>
      </w:r>
      <w:r>
        <w:rPr>
          <w:rFonts w:ascii="Times New Roman" w:hAnsi="Times New Roman"/>
        </w:rPr>
        <w:t>j</w:t>
      </w:r>
      <w:r w:rsidRPr="00357F68">
        <w:rPr>
          <w:rFonts w:ascii="Times New Roman" w:hAnsi="Times New Roman"/>
        </w:rPr>
        <w:t xml:space="preserve"> </w:t>
      </w:r>
      <w:r>
        <w:rPr>
          <w:rFonts w:ascii="Times New Roman" w:hAnsi="Times New Roman"/>
        </w:rPr>
        <w:t>nízka efektivita, ktorá sa prejavuje najmä v troch nižšie popísaných oblastiach.</w:t>
      </w:r>
    </w:p>
    <w:p w:rsidR="00A62E9A" w:rsidP="00A62E9A">
      <w:pPr>
        <w:pStyle w:val="BodyTextIndent"/>
        <w:bidi w:val="0"/>
        <w:spacing w:after="0"/>
        <w:ind w:left="0" w:firstLine="709"/>
        <w:jc w:val="both"/>
        <w:rPr>
          <w:rFonts w:ascii="Times New Roman" w:hAnsi="Times New Roman"/>
        </w:rPr>
      </w:pPr>
    </w:p>
    <w:p w:rsidR="00A62E9A" w:rsidRPr="00CC6EA4" w:rsidP="00A62E9A">
      <w:pPr>
        <w:pStyle w:val="BodyTextIndent"/>
        <w:bidi w:val="0"/>
        <w:spacing w:after="0"/>
        <w:ind w:left="0" w:firstLine="709"/>
        <w:jc w:val="both"/>
        <w:rPr>
          <w:rFonts w:ascii="Times New Roman" w:hAnsi="Times New Roman"/>
        </w:rPr>
      </w:pPr>
      <w:r>
        <w:rPr>
          <w:rFonts w:ascii="Times New Roman" w:hAnsi="Times New Roman"/>
        </w:rPr>
        <w:t>O</w:t>
      </w:r>
      <w:r w:rsidRPr="00A62E9A">
        <w:rPr>
          <w:rFonts w:ascii="Times New Roman" w:hAnsi="Times New Roman"/>
        </w:rPr>
        <w:t xml:space="preserve">bjem novoposkytovaných medziúverov veľmi výrazne, približne až 15-násobne prevyšuje objem novoposkytovaných zvýhodnených stavebných úverov a štát tak prostredníctvom štátnej prémie prevažne podporuje poskytovanie komerčných úverov na bývanie, a to na úkor zvýhodnených stavebných úverov, ktorých poskytnutie by malo byť akoby ďalšou „prémiou“ za predchádzajúce dlhodobé sporenie. </w:t>
      </w:r>
      <w:r>
        <w:rPr>
          <w:rFonts w:ascii="Times New Roman" w:hAnsi="Times New Roman"/>
        </w:rPr>
        <w:t>Medziúver je de facto stavebný úver poskytovaný za komerčných podmienok tým stavebným sporiteľom, ktorí ešte len začali sporiť alebo ktorí síce splnili podmienky sporenia svojich vkladov, ale ďalšie podmienky na pridelenie zvýhodneného stavebného úveru ešte nespĺňajú. Súčasná právna úprava však umožňuje čerpať štátnu prémiu aj počas splácania medziúveru, čo významne znižuje ochotu stavebných sporiteľov počkať si na pridelenie zvýhodneného stavebného úveru. Pritom motivácia k dlhodobému sporeniu by mala byť hlavným zmyslom prémiového sporenia na stavebné účely. Preto sa navrhuje prijať také opatrenie</w:t>
      </w:r>
      <w:r w:rsidRPr="00A62E9A">
        <w:rPr>
          <w:rFonts w:ascii="Times New Roman" w:hAnsi="Times New Roman"/>
        </w:rPr>
        <w:t xml:space="preserve">, ktoré by demotivovalo stavebného sporiteľa zobrať si komerčný medziúver, a to tým, že sa vylúči </w:t>
      </w:r>
      <w:r w:rsidRPr="00E63055">
        <w:rPr>
          <w:rFonts w:ascii="Times New Roman" w:hAnsi="Times New Roman"/>
        </w:rPr>
        <w:t>nárok na štátnu prémiu pre stavebného sporiteľa – fyzickú osobu počas čerpania a splácania medziúveru.</w:t>
      </w:r>
      <w:r w:rsidRPr="00357F68">
        <w:rPr>
          <w:rFonts w:ascii="Times New Roman" w:hAnsi="Times New Roman"/>
        </w:rPr>
        <w:t xml:space="preserve"> Priemerná doba splatnosti medziúverov sa pohybuje okolo 10 rokov. </w:t>
      </w:r>
      <w:r>
        <w:rPr>
          <w:rFonts w:ascii="Times New Roman" w:hAnsi="Times New Roman"/>
        </w:rPr>
        <w:t xml:space="preserve">Toto opatrenie bude zároveň viesť sporiteľov k zodpovednému zadlžovaniu sa, pretože budú viac motivovaní k dlhodobému sporeniu, ktoré je podporované štátnou prémiou, pričom po nasporení požadovanej sumy majú možnosť získať aj </w:t>
      </w:r>
      <w:r w:rsidRPr="00DF58A1">
        <w:rPr>
          <w:rFonts w:ascii="Times New Roman" w:hAnsi="Times New Roman"/>
        </w:rPr>
        <w:t>zvýhodnen</w:t>
      </w:r>
      <w:r>
        <w:rPr>
          <w:rFonts w:ascii="Times New Roman" w:hAnsi="Times New Roman"/>
        </w:rPr>
        <w:t xml:space="preserve">ý </w:t>
      </w:r>
      <w:r w:rsidRPr="00DF58A1">
        <w:rPr>
          <w:rFonts w:ascii="Times New Roman" w:hAnsi="Times New Roman"/>
        </w:rPr>
        <w:t>stavebn</w:t>
      </w:r>
      <w:r>
        <w:rPr>
          <w:rFonts w:ascii="Times New Roman" w:hAnsi="Times New Roman"/>
        </w:rPr>
        <w:t>ý</w:t>
      </w:r>
      <w:r w:rsidRPr="00DF58A1">
        <w:rPr>
          <w:rFonts w:ascii="Times New Roman" w:hAnsi="Times New Roman"/>
        </w:rPr>
        <w:t xml:space="preserve"> úver.</w:t>
      </w:r>
      <w:r w:rsidRPr="00A62E9A">
        <w:rPr>
          <w:rFonts w:ascii="Times New Roman" w:hAnsi="Times New Roman"/>
        </w:rPr>
        <w:t xml:space="preserve"> </w:t>
      </w:r>
      <w:r>
        <w:rPr>
          <w:rFonts w:ascii="Times New Roman" w:hAnsi="Times New Roman"/>
        </w:rPr>
        <w:t xml:space="preserve">Celkovo by toto </w:t>
      </w:r>
      <w:r w:rsidRPr="00CC6EA4">
        <w:rPr>
          <w:rFonts w:ascii="Times New Roman" w:hAnsi="Times New Roman"/>
        </w:rPr>
        <w:t xml:space="preserve">opatrenie malo smerovať k postupnému znižovaniu objemu medziúverov, pretože </w:t>
      </w:r>
      <w:r>
        <w:rPr>
          <w:rFonts w:ascii="Times New Roman" w:hAnsi="Times New Roman"/>
        </w:rPr>
        <w:t xml:space="preserve">sa čiastočne znevýhodnia podmienky pre stavebných sporiteľov na čerpanie takýchto úverov. Zároveň by takéto opatrenie mohlo vytvoriť aj tlak na zníženie úrokových sadzieb medziúverov, a to jednak z dôvodu zníženia dopytu po týchto úveroch, ako aj z dôvodu samotného obmedzenia možnosti poberania štátnej podpory počas čerpania a splácania medziúveru, ktorá určitým spôsobom kompenzuje zvýšenú úrokovú sadzbu týchto úverov. </w:t>
      </w:r>
      <w:r w:rsidRPr="00CC6EA4">
        <w:rPr>
          <w:rFonts w:ascii="Times New Roman" w:hAnsi="Times New Roman"/>
        </w:rPr>
        <w:t>Toto opatrenie sa ne</w:t>
      </w:r>
      <w:r>
        <w:rPr>
          <w:rFonts w:ascii="Times New Roman" w:hAnsi="Times New Roman"/>
        </w:rPr>
        <w:t xml:space="preserve">bude </w:t>
      </w:r>
      <w:r w:rsidRPr="00CC6EA4">
        <w:rPr>
          <w:rFonts w:ascii="Times New Roman" w:hAnsi="Times New Roman"/>
        </w:rPr>
        <w:t>týka</w:t>
      </w:r>
      <w:r>
        <w:rPr>
          <w:rFonts w:ascii="Times New Roman" w:hAnsi="Times New Roman"/>
        </w:rPr>
        <w:t>ť</w:t>
      </w:r>
      <w:r w:rsidRPr="00CC6EA4">
        <w:rPr>
          <w:rFonts w:ascii="Times New Roman" w:hAnsi="Times New Roman"/>
        </w:rPr>
        <w:t xml:space="preserve"> stavebných sporiteľov – spoločenstiev vlastníkov bytov, ktor</w:t>
      </w:r>
      <w:r>
        <w:rPr>
          <w:rFonts w:ascii="Times New Roman" w:hAnsi="Times New Roman"/>
        </w:rPr>
        <w:t>í</w:t>
      </w:r>
      <w:r w:rsidRPr="00CC6EA4">
        <w:rPr>
          <w:rFonts w:ascii="Times New Roman" w:hAnsi="Times New Roman"/>
        </w:rPr>
        <w:t xml:space="preserve"> používajú medziúvery na financovanie obnovy, rekonštrukcie, údržby</w:t>
      </w:r>
      <w:r>
        <w:rPr>
          <w:rFonts w:ascii="Times New Roman" w:hAnsi="Times New Roman"/>
        </w:rPr>
        <w:t>,</w:t>
      </w:r>
      <w:r w:rsidRPr="00CC6EA4">
        <w:rPr>
          <w:rFonts w:ascii="Times New Roman" w:hAnsi="Times New Roman"/>
        </w:rPr>
        <w:t xml:space="preserve"> ako aj odstraňovania systémových a iných porúch spoločných častí a spoločných zariadení bytových domov.</w:t>
      </w:r>
    </w:p>
    <w:p w:rsidR="00A62E9A" w:rsidP="00A62E9A">
      <w:pPr>
        <w:pStyle w:val="BodyTextIndent"/>
        <w:bidi w:val="0"/>
        <w:spacing w:after="0"/>
        <w:ind w:left="0" w:firstLine="709"/>
        <w:jc w:val="both"/>
        <w:rPr>
          <w:rFonts w:ascii="Times New Roman" w:hAnsi="Times New Roman"/>
        </w:rPr>
      </w:pPr>
    </w:p>
    <w:p w:rsidR="00A62E9A" w:rsidRPr="00357F68" w:rsidP="00A62E9A">
      <w:pPr>
        <w:pStyle w:val="BodyTextIndent"/>
        <w:bidi w:val="0"/>
        <w:spacing w:after="0"/>
        <w:ind w:left="0" w:firstLine="709"/>
        <w:jc w:val="both"/>
        <w:rPr>
          <w:rFonts w:ascii="Times New Roman" w:hAnsi="Times New Roman"/>
        </w:rPr>
      </w:pPr>
      <w:r>
        <w:rPr>
          <w:rFonts w:ascii="Times New Roman" w:hAnsi="Times New Roman"/>
        </w:rPr>
        <w:t xml:space="preserve">Podmienky nároku na štátnu prémiu za prvý rok sporenia sa vôbec neodvíjajú od dĺžky obdobia platnosti zmluvy o stavebnom sporení v tomto prvom roku sporenia. Podľa súčasnej právnej úpravy je totiž možné na získanie plnej ročnej štátnej prémie uzavrieť zmluvu o stavebnom sporení a vložiť celý požadovaný ročný vklad až v decembri kalendárneho roka, pričom štátna prémia za tento kalendárny rok je v plnej výške pripísaná na účet stavebného sporiteľa takmer hneď na začiatku nasledujúceho kalendárneho roka. To znamená, že ak zoberieme do úvahy skutočnosť, že štátna prémia má charakter úrokovej prémie, súčasný systém nezohľadňuje potrebu adekvátnej platnosti zmluvy ani časovej viazanosti vkladov v prvom roku sporenia s cieľom získania maximálnej štátnej </w:t>
      </w:r>
      <w:r w:rsidRPr="00F93CE3">
        <w:rPr>
          <w:rFonts w:ascii="Times New Roman" w:hAnsi="Times New Roman"/>
        </w:rPr>
        <w:t>prémie.</w:t>
      </w:r>
      <w:r>
        <w:rPr>
          <w:rFonts w:ascii="Times New Roman" w:hAnsi="Times New Roman"/>
        </w:rPr>
        <w:t xml:space="preserve"> Preto sa navrhuje </w:t>
      </w:r>
      <w:r w:rsidRPr="00A62E9A">
        <w:rPr>
          <w:rFonts w:ascii="Times New Roman" w:hAnsi="Times New Roman"/>
        </w:rPr>
        <w:t xml:space="preserve">osobitné limitovanie nároku na štátnu prémiu zo zmluvy o stavebnom sporení uzavretej v priebehu kalendárneho roka v tom zmysle, že ak stavebný sporiteľ uzavrie takúto zmluvu až v druhom polroku, jeho nárok na štátnu prémiu z tejto zmluvy nesmie presiahnuť </w:t>
      </w:r>
      <w:r w:rsidRPr="00A62E9A">
        <w:rPr>
          <w:rFonts w:ascii="Times New Roman" w:hAnsi="Times New Roman"/>
        </w:rPr>
        <w:t xml:space="preserve">½ maximálnej sumy štátnej prémie ustanovenej zákonom. </w:t>
      </w:r>
    </w:p>
    <w:p w:rsidR="00A62E9A" w:rsidP="00A62E9A">
      <w:pPr>
        <w:pStyle w:val="BodyTextIndent"/>
        <w:bidi w:val="0"/>
        <w:spacing w:after="0"/>
        <w:ind w:left="0" w:firstLine="709"/>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Percentuálna výška štátnej prémie na stavebné sporenie výrazne prevyšuje súčasné priemerné trhové úrokové sadzby na vkladových produktoch v komerčných bankách. Percentuálna výška štátnej prémie sa síce určuje na základe výpočtu podľa vzorca uvedeného v prílohe zákona, ktorý vychádza z referenčnej sadzby odvíjajúcej sa od priemerných výnosov štátnych dlhopisov, zákon však zároveň ustanovuje, že nemôže byť nižšia ako 5 % z ročného vkladu a vyššia ako 15 % z ročného vkladu. V súčasnej situácii to znamená, že aj keď percentuálna výška štátnej prémie vychádza podľa vzorca aktuálne na 0,5 % z ročného vkladu, musí sa určiť vo výške 5 % z ročného vkladu, čo je 10-násobne viac. Preto sa navrhuje znížiť spodnú hranicu percentuálnej výšky štátnej prémie z 5 % na 2,5 % z ročného vkladu. Vzhľadom na to, že touto zmenou sa vstupuje do ustanovenia, ktorým je upravená aj maximálna suma ročnej štátnej prémie a ktorá je ešte stále vyjadrená v slovenských korunách (2 000 Sk; v prepočte konverzným kurzom 66,39 eura), navrhuje sa zároveň ustanoviť maximálnu sumu štátnej prémie na 70 eur ročne (zaokrúhlením na celé desiatky nahor v prospech stavebných sporiteľov).</w:t>
      </w:r>
    </w:p>
    <w:p w:rsidR="00A62E9A" w:rsidP="00A62E9A">
      <w:pPr>
        <w:pStyle w:val="BodyTextIndent"/>
        <w:bidi w:val="0"/>
        <w:spacing w:after="0"/>
        <w:ind w:left="0" w:firstLine="709"/>
        <w:jc w:val="both"/>
        <w:rPr>
          <w:rFonts w:ascii="Times New Roman" w:hAnsi="Times New Roman"/>
        </w:rPr>
      </w:pPr>
    </w:p>
    <w:p w:rsidR="00A62E9A" w:rsidP="00A62E9A">
      <w:pPr>
        <w:pStyle w:val="BodyTextIndent"/>
        <w:bidi w:val="0"/>
        <w:spacing w:after="0"/>
        <w:ind w:left="0" w:firstLine="709"/>
        <w:jc w:val="both"/>
        <w:rPr>
          <w:rFonts w:ascii="Times New Roman" w:hAnsi="Times New Roman"/>
        </w:rPr>
      </w:pPr>
      <w:r>
        <w:rPr>
          <w:rFonts w:ascii="Times New Roman" w:hAnsi="Times New Roman"/>
        </w:rPr>
        <w:t>Vyššie uvedenými opatreniami na</w:t>
      </w:r>
      <w:r w:rsidRPr="007D3C7A">
        <w:rPr>
          <w:rFonts w:ascii="Times New Roman" w:hAnsi="Times New Roman"/>
        </w:rPr>
        <w:t xml:space="preserve"> </w:t>
      </w:r>
      <w:r>
        <w:rPr>
          <w:rFonts w:ascii="Times New Roman" w:hAnsi="Times New Roman"/>
        </w:rPr>
        <w:t xml:space="preserve">zvýšenie účelovosti, adresnosti a efektívnosti štátnej podpory stavebného sporenia predložený návrh novely zákona o stavebnom sporení reaguje na Programové vyhlásenie vlády Slovenskej republiky, v ktorom sa vláda v rámci využívania nástrojov finančnej politiky zaviazala zvýšiť efektívnosť alokovania verejných výdavkov.        </w:t>
      </w:r>
    </w:p>
    <w:p w:rsidR="00A62E9A" w:rsidP="00A62E9A">
      <w:pPr>
        <w:pStyle w:val="BodyTextIndent"/>
        <w:bidi w:val="0"/>
        <w:spacing w:after="0"/>
        <w:ind w:left="0" w:firstLine="709"/>
        <w:jc w:val="both"/>
        <w:rPr>
          <w:rFonts w:ascii="Times New Roman" w:hAnsi="Times New Roman"/>
        </w:rPr>
      </w:pPr>
      <w:r>
        <w:rPr>
          <w:rFonts w:ascii="Times New Roman" w:hAnsi="Times New Roman"/>
        </w:rPr>
        <w:t xml:space="preserve">  </w:t>
        <w:tab/>
      </w:r>
    </w:p>
    <w:p w:rsidR="00A62E9A" w:rsidP="00A62E9A">
      <w:pPr>
        <w:pStyle w:val="BodyTextIndent"/>
        <w:bidi w:val="0"/>
        <w:spacing w:after="0"/>
        <w:ind w:left="0" w:firstLine="709"/>
        <w:jc w:val="both"/>
        <w:rPr>
          <w:rFonts w:ascii="Times New Roman" w:hAnsi="Times New Roman"/>
        </w:rPr>
      </w:pPr>
      <w:r>
        <w:rPr>
          <w:rFonts w:ascii="Times New Roman" w:hAnsi="Times New Roman"/>
        </w:rPr>
        <w:t>Čo sa týka úpravy samotnej definície stavebného sporenia, táto reaguje na skutočnosť, že podľa platného znenia zákona sa stavebným sporením rozumie prijímanie vkladov od stavebných sporiteľov a poskytovanie úverov stavebným sporiteľom, čo de facto znamená, že ide o činnosti stavebnej sporiteľne. Z ďalších, nosných častí zákona, ktorými sa upravuje zmluva o stavebnom sporení, druhy stavebného sporenia, podmienky stavebného sporenia atď. však vyplýva, že stavebné sporenie je bankový sporiaci produkt, ku ktorému sa za podmienok ustanovených zákonom môže poskytovať štátna prémia. Preto sa navrhuje zadefinovať stavebné sporenie ako bankový produkt, v rámci ktorého môže stavebný sporiteľ sporiť finančné prostriedky na stavebné účely a na základe ktorého môže za podmienok ustanovených týmto zákonom získať nárok na štátnu prémiu a nárok na stavebný úver. Stavebné sporenie bude môcť poskytovať len stavebná sporiteľa, ktorej predmetom činnosti sú prijímanie vkladov od stavebných sporiteľov alebo v prospech stavebných sporiteľov a poskytovanie stavebných úverov.</w:t>
      </w:r>
    </w:p>
    <w:p w:rsidR="00A62E9A" w:rsidP="00A62E9A">
      <w:pPr>
        <w:pStyle w:val="BodyTextIndent"/>
        <w:bidi w:val="0"/>
        <w:spacing w:after="0"/>
        <w:ind w:left="0" w:firstLine="709"/>
        <w:jc w:val="both"/>
        <w:rPr>
          <w:rFonts w:ascii="Times New Roman" w:hAnsi="Times New Roman"/>
        </w:rPr>
      </w:pPr>
      <w:r>
        <w:rPr>
          <w:rFonts w:ascii="Times New Roman" w:hAnsi="Times New Roman"/>
        </w:rPr>
        <w:t xml:space="preserve">  </w:t>
      </w:r>
    </w:p>
    <w:p w:rsidR="00A62E9A" w:rsidP="00A62E9A">
      <w:pPr>
        <w:pStyle w:val="BodyTextIndent"/>
        <w:bidi w:val="0"/>
        <w:spacing w:after="0"/>
        <w:ind w:left="0" w:firstLine="709"/>
        <w:jc w:val="both"/>
        <w:rPr>
          <w:rFonts w:ascii="Times New Roman" w:hAnsi="Times New Roman"/>
        </w:rPr>
      </w:pPr>
      <w:r>
        <w:rPr>
          <w:rFonts w:ascii="Times New Roman" w:hAnsi="Times New Roman"/>
        </w:rPr>
        <w:t>Vzhľadom na to, že základným cieľom právnej úpravy je už spomínané zvýšenie účelovosti, adresnosti a efektívnosti štátnej podpory stavebného sporenia, návrh novely zákona o stavebnom sporení predpokladá pozitívny finančný vplyv na rozpočet verejnej správy. Návrh novely zákona o stavebnom sporení bude mať čiastočne negatívne sociálne vplyvy a čiastočne negatívne vplyvy na podnikateľské prostredie. Návrh novely zákona o stavebnom sporení nebude mať vplyvy na životné prostredie, na informatizáciu spoločnosti ani na služby verejnej správy pre občana.</w:t>
      </w:r>
    </w:p>
    <w:p w:rsidR="00A62E9A" w:rsidP="00A62E9A">
      <w:pPr>
        <w:pStyle w:val="BodyTextIndent"/>
        <w:bidi w:val="0"/>
        <w:spacing w:after="0"/>
        <w:ind w:left="0" w:firstLine="709"/>
        <w:jc w:val="both"/>
        <w:rPr>
          <w:rFonts w:ascii="Times New Roman" w:hAnsi="Times New Roman"/>
        </w:rPr>
      </w:pPr>
      <w:r>
        <w:rPr>
          <w:rFonts w:ascii="Times New Roman" w:hAnsi="Times New Roman"/>
        </w:rPr>
        <w:tab/>
      </w:r>
    </w:p>
    <w:p w:rsidR="00A62E9A" w:rsidRPr="002B20DE" w:rsidP="00A62E9A">
      <w:pPr>
        <w:pStyle w:val="BodyTextIndent"/>
        <w:bidi w:val="0"/>
        <w:spacing w:after="0"/>
        <w:ind w:left="0" w:firstLine="709"/>
        <w:jc w:val="both"/>
        <w:rPr>
          <w:rFonts w:ascii="Times New Roman" w:hAnsi="Times New Roman"/>
        </w:rPr>
      </w:pPr>
      <w:r>
        <w:rPr>
          <w:rFonts w:ascii="Times New Roman" w:hAnsi="Times New Roman"/>
        </w:rPr>
        <w:t xml:space="preserve">Návrh novely zákona o stavebnom sporení je </w:t>
      </w:r>
      <w:r w:rsidRPr="00A86CEC">
        <w:rPr>
          <w:rFonts w:ascii="Times New Roman" w:hAnsi="Times New Roman"/>
        </w:rPr>
        <w:t xml:space="preserve">v súlade s Ústavou Slovenskej republiky, ústavnými zákonmi </w:t>
      </w:r>
      <w:r>
        <w:rPr>
          <w:rFonts w:ascii="Times New Roman" w:hAnsi="Times New Roman"/>
        </w:rPr>
        <w:t>a nálezmi Ústavného súdu Slovenskej republiky, s</w:t>
      </w:r>
      <w:r w:rsidRPr="00A86CEC">
        <w:rPr>
          <w:rFonts w:ascii="Times New Roman" w:hAnsi="Times New Roman"/>
        </w:rPr>
        <w:t xml:space="preserve"> </w:t>
      </w:r>
      <w:r>
        <w:rPr>
          <w:rFonts w:ascii="Times New Roman" w:hAnsi="Times New Roman"/>
        </w:rPr>
        <w:t>inými</w:t>
      </w:r>
      <w:r w:rsidRPr="00A86CEC">
        <w:rPr>
          <w:rFonts w:ascii="Times New Roman" w:hAnsi="Times New Roman"/>
        </w:rPr>
        <w:t xml:space="preserve"> </w:t>
      </w:r>
      <w:r>
        <w:rPr>
          <w:rFonts w:ascii="Times New Roman" w:hAnsi="Times New Roman"/>
        </w:rPr>
        <w:t>zákonmi a</w:t>
      </w:r>
      <w:r w:rsidRPr="00A86CEC">
        <w:rPr>
          <w:rFonts w:ascii="Times New Roman" w:hAnsi="Times New Roman"/>
        </w:rPr>
        <w:t xml:space="preserve"> medzinárodnými zmluvami a inými medzinárodnými dokumentmi, ktorými je Sl</w:t>
      </w:r>
      <w:r w:rsidRPr="00A86CEC">
        <w:rPr>
          <w:rFonts w:ascii="Times New Roman" w:hAnsi="Times New Roman"/>
        </w:rPr>
        <w:t>o</w:t>
      </w:r>
      <w:r w:rsidRPr="00A86CEC">
        <w:rPr>
          <w:rFonts w:ascii="Times New Roman" w:hAnsi="Times New Roman"/>
        </w:rPr>
        <w:t>ve</w:t>
      </w:r>
      <w:r>
        <w:rPr>
          <w:rFonts w:ascii="Times New Roman" w:hAnsi="Times New Roman"/>
        </w:rPr>
        <w:t>nská republika viazaná a s práv</w:t>
      </w:r>
      <w:r w:rsidRPr="00A86CEC">
        <w:rPr>
          <w:rFonts w:ascii="Times New Roman" w:hAnsi="Times New Roman"/>
        </w:rPr>
        <w:t>om Európskej únie.</w:t>
      </w:r>
    </w:p>
    <w:p w:rsidR="007F2FDF" w:rsidP="00A62E9A">
      <w:pPr>
        <w:pStyle w:val="BodyTextIndent"/>
        <w:bidi w:val="0"/>
        <w:spacing w:after="0"/>
        <w:ind w:left="0" w:firstLine="709"/>
        <w:jc w:val="both"/>
        <w:rPr>
          <w:rFonts w:ascii="Times New Roman" w:hAnsi="Times New Roman"/>
        </w:rPr>
      </w:pPr>
    </w:p>
    <w:p w:rsidR="007F2FDF" w:rsidP="007F2FDF">
      <w:pPr>
        <w:bidi w:val="0"/>
        <w:ind w:firstLine="708"/>
        <w:jc w:val="both"/>
        <w:rPr>
          <w:rFonts w:ascii="Times New Roman" w:hAnsi="Times New Roman"/>
        </w:rPr>
      </w:pPr>
    </w:p>
    <w:p w:rsidR="00124802" w:rsidP="00A62E9A">
      <w:pPr>
        <w:tabs>
          <w:tab w:val="left" w:pos="720"/>
        </w:tabs>
        <w:bidi w:val="0"/>
        <w:jc w:val="both"/>
        <w:rPr>
          <w:rFonts w:ascii="Times New Roman" w:hAnsi="Times New Roman"/>
        </w:rPr>
      </w:pPr>
      <w:r w:rsidR="007F2FDF">
        <w:rPr>
          <w:rFonts w:ascii="Times New Roman" w:hAnsi="Times New Roman"/>
        </w:rPr>
        <w:t xml:space="preserve">               </w:t>
      </w:r>
    </w:p>
    <w:p w:rsidR="00A62E9A" w:rsidP="00A62E9A">
      <w:pPr>
        <w:tabs>
          <w:tab w:val="left" w:pos="720"/>
        </w:tabs>
        <w:bidi w:val="0"/>
        <w:jc w:val="both"/>
        <w:rPr>
          <w:rFonts w:ascii="Times New Roman" w:hAnsi="Times New Roman"/>
        </w:rPr>
      </w:pPr>
    </w:p>
    <w:p w:rsidR="00A62E9A" w:rsidP="00A62E9A">
      <w:pPr>
        <w:tabs>
          <w:tab w:val="left" w:pos="720"/>
        </w:tabs>
        <w:bidi w:val="0"/>
        <w:jc w:val="both"/>
        <w:rPr>
          <w:rFonts w:ascii="Times New Roman" w:hAnsi="Times New Roman"/>
        </w:rPr>
      </w:pPr>
    </w:p>
    <w:p w:rsidR="00A62E9A" w:rsidP="00A62E9A">
      <w:pPr>
        <w:tabs>
          <w:tab w:val="left" w:pos="720"/>
        </w:tabs>
        <w:bidi w:val="0"/>
        <w:jc w:val="both"/>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124802" w:rsidP="00124802">
      <w:pPr>
        <w:pStyle w:val="Quote"/>
        <w:bidi w:val="0"/>
        <w:rPr>
          <w:rFonts w:ascii="Times New Roman" w:hAnsi="Times New Roman"/>
        </w:rPr>
      </w:pPr>
    </w:p>
    <w:p w:rsidR="007867F1" w:rsidP="00124802">
      <w:pPr>
        <w:pStyle w:val="Quote"/>
        <w:bidi w:val="0"/>
        <w:rPr>
          <w:rFonts w:ascii="Times New Roman" w:hAnsi="Times New Roman"/>
        </w:rPr>
      </w:pPr>
    </w:p>
    <w:p w:rsidR="007867F1" w:rsidP="00124802">
      <w:pPr>
        <w:pStyle w:val="Quote"/>
        <w:bidi w:val="0"/>
        <w:rPr>
          <w:rFonts w:ascii="Times New Roman" w:hAnsi="Times New Roman"/>
        </w:rPr>
      </w:pPr>
    </w:p>
    <w:p w:rsidR="000E459C" w:rsidRPr="000E459C" w:rsidP="000E459C">
      <w:pPr>
        <w:bidi w:val="0"/>
        <w:rPr>
          <w:rFonts w:ascii="Times New Roman" w:hAnsi="Times New Roman"/>
        </w:rPr>
      </w:pPr>
    </w:p>
    <w:p w:rsidR="00A62E9A" w:rsidRPr="007F0AB4" w:rsidP="00A62E9A">
      <w:pPr>
        <w:bidi w:val="0"/>
        <w:jc w:val="center"/>
        <w:rPr>
          <w:rFonts w:ascii="Times New Roman" w:hAnsi="Times New Roman"/>
          <w:b/>
          <w:bCs/>
          <w:sz w:val="28"/>
          <w:szCs w:val="28"/>
        </w:rPr>
      </w:pPr>
      <w:r w:rsidRPr="007F0AB4">
        <w:rPr>
          <w:rFonts w:ascii="Times New Roman" w:hAnsi="Times New Roman"/>
          <w:b/>
          <w:bCs/>
          <w:sz w:val="28"/>
          <w:szCs w:val="28"/>
        </w:rPr>
        <w:t>Doložka vybraných vplyvov</w:t>
      </w:r>
    </w:p>
    <w:p w:rsidR="00A62E9A" w:rsidRPr="0073005A" w:rsidP="00A62E9A">
      <w:pPr>
        <w:pStyle w:val="ListParagraph"/>
        <w:bidi w:val="0"/>
        <w:ind w:left="426"/>
        <w:rPr>
          <w:rFonts w:ascii="Times New Roman" w:hAnsi="Times New Roman"/>
          <w:b/>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A62E9A" w:rsidRPr="0073005A" w:rsidP="009C2D1A">
            <w:pPr>
              <w:bidi w:val="0"/>
              <w:rPr>
                <w:rFonts w:ascii="Calibri" w:hAnsi="Calibri"/>
                <w:lang w:eastAsia="en-US"/>
              </w:rPr>
            </w:pPr>
            <w:r w:rsidRPr="0073005A">
              <w:rPr>
                <w:rFonts w:ascii="Calibri" w:hAnsi="Calibri"/>
                <w:bCs/>
                <w:lang w:eastAsia="en-US"/>
              </w:rPr>
              <w:t>Návrh zákona, ktorým sa mení a dopĺňa zákon Slovenskej národnej rady č. 310/1992 Zb.  o stavebnom sporení v znení neskorších predpisov</w:t>
            </w:r>
            <w:r w:rsidRPr="0073005A">
              <w:rPr>
                <w:rFonts w:ascii="Calibri" w:hAnsi="Calibri"/>
                <w:lang w:eastAsia="en-US"/>
              </w:rPr>
              <w:t>.</w:t>
            </w:r>
          </w:p>
          <w:p w:rsidR="00A62E9A" w:rsidRPr="0073005A" w:rsidP="009C2D1A">
            <w:pPr>
              <w:bidi w:val="0"/>
              <w:rPr>
                <w:rFonts w:ascii="Calibri" w:hAnsi="Calibri"/>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rPr>
                <w:rFonts w:ascii="Calibri" w:hAnsi="Calibri"/>
                <w:lang w:eastAsia="en-US"/>
              </w:rPr>
            </w:pPr>
            <w:r w:rsidRPr="0073005A">
              <w:rPr>
                <w:rFonts w:ascii="Calibri" w:hAnsi="Calibri"/>
                <w:lang w:eastAsia="en-US"/>
              </w:rPr>
              <w:t>Ministerstvo financií Slovenskej republiky</w:t>
            </w:r>
          </w:p>
          <w:p w:rsidR="00A62E9A" w:rsidRPr="0073005A" w:rsidP="009C2D1A">
            <w:pPr>
              <w:bidi w:val="0"/>
              <w:rPr>
                <w:rFonts w:ascii="Calibri" w:hAnsi="Calibri"/>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62E9A" w:rsidRPr="0073005A" w:rsidP="009C2D1A">
            <w:pPr>
              <w:bidi w:val="0"/>
              <w:rPr>
                <w:rFonts w:ascii="Calibri" w:hAnsi="Calibri"/>
                <w:lang w:eastAsia="en-US"/>
              </w:rPr>
            </w:pPr>
            <w:r w:rsidRPr="0073005A">
              <w:rPr>
                <w:rFonts w:ascii="Calibri" w:hAnsi="Calibri"/>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bidi w:val="0"/>
              <w:rPr>
                <w:rFonts w:ascii="Calibri" w:hAnsi="Calibri"/>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62E9A" w:rsidRPr="0073005A" w:rsidP="009C2D1A">
            <w:pPr>
              <w:bidi w:val="0"/>
              <w:jc w:val="center"/>
              <w:rPr>
                <w:rFonts w:ascii="Calibri" w:hAnsi="Calibri"/>
                <w:lang w:eastAsia="en-US"/>
              </w:rPr>
            </w:pPr>
            <w:r w:rsidRPr="0073005A">
              <w:rPr>
                <w:rFonts w:ascii="Segoe UI Symbol" w:eastAsia="MS Gothic" w:hAnsi="Segoe UI Symbol" w:cs="Segoe UI Symbol" w:hint="default"/>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62E9A" w:rsidRPr="0073005A" w:rsidP="009C2D1A">
            <w:pPr>
              <w:bidi w:val="0"/>
              <w:ind w:left="175" w:hanging="175"/>
              <w:rPr>
                <w:rFonts w:ascii="Calibri" w:hAnsi="Calibri"/>
                <w:lang w:eastAsia="en-US"/>
              </w:rPr>
            </w:pPr>
            <w:r w:rsidRPr="0073005A">
              <w:rPr>
                <w:rFonts w:ascii="Calibri" w:hAnsi="Calibri"/>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A62E9A" w:rsidRPr="0073005A" w:rsidP="009C2D1A">
            <w:pPr>
              <w:bidi w:val="0"/>
              <w:rPr>
                <w:rFonts w:ascii="Calibri" w:hAnsi="Calibri"/>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62E9A" w:rsidRPr="0073005A" w:rsidP="009C2D1A">
            <w:pPr>
              <w:bidi w:val="0"/>
              <w:rPr>
                <w:rFonts w:ascii="Calibri" w:hAnsi="Calibri"/>
                <w:lang w:eastAsia="en-US"/>
              </w:rPr>
            </w:pPr>
            <w:r w:rsidRPr="0073005A">
              <w:rPr>
                <w:rFonts w:ascii="Calibri" w:hAnsi="Calibri"/>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A62E9A" w:rsidRPr="0073005A" w:rsidP="009C2D1A">
            <w:pPr>
              <w:bidi w:val="0"/>
              <w:rPr>
                <w:rFonts w:ascii="Calibri" w:hAnsi="Calibri"/>
                <w:i/>
                <w:lang w:eastAsia="en-US"/>
              </w:rPr>
            </w:pPr>
            <w:r w:rsidRPr="0073005A">
              <w:rPr>
                <w:rFonts w:ascii="Calibri" w:hAnsi="Calibri"/>
                <w:i/>
                <w:lang w:eastAsia="en-US"/>
              </w:rPr>
              <w:t>V prípade transpozície uveďte zoznam transponovaných predpisov:</w:t>
            </w:r>
          </w:p>
          <w:p w:rsidR="00A62E9A" w:rsidRPr="0073005A" w:rsidP="009C2D1A">
            <w:pPr>
              <w:bidi w:val="0"/>
              <w:rPr>
                <w:rFonts w:ascii="Calibri" w:hAnsi="Calibri"/>
                <w:lang w:eastAsia="en-US"/>
              </w:rPr>
            </w:pPr>
          </w:p>
          <w:p w:rsidR="00A62E9A" w:rsidRPr="0073005A" w:rsidP="009C2D1A">
            <w:pPr>
              <w:bidi w:val="0"/>
              <w:rPr>
                <w:rFonts w:ascii="Calibri" w:hAnsi="Calibri"/>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A62E9A" w:rsidRPr="0073005A" w:rsidP="009C2D1A">
            <w:pPr>
              <w:bidi w:val="0"/>
              <w:rPr>
                <w:rFonts w:ascii="Calibri" w:hAnsi="Calibri"/>
                <w:i/>
                <w:lang w:eastAsia="en-US"/>
              </w:rPr>
            </w:pPr>
            <w:r w:rsidRPr="0073005A">
              <w:rPr>
                <w:rFonts w:ascii="Calibri" w:hAnsi="Calibri"/>
                <w:i/>
                <w:lang w:eastAsia="en-US"/>
              </w:rPr>
              <w:t>December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62E9A" w:rsidRPr="0073005A" w:rsidP="009C2D1A">
            <w:pPr>
              <w:bidi w:val="0"/>
              <w:rPr>
                <w:rFonts w:ascii="Calibri" w:hAnsi="Calibri"/>
                <w:i/>
                <w:lang w:eastAsia="en-US"/>
              </w:rPr>
            </w:pPr>
            <w:r w:rsidRPr="0073005A">
              <w:rPr>
                <w:rFonts w:ascii="Calibri" w:hAnsi="Calibri"/>
                <w:i/>
                <w:lang w:eastAsia="en-US"/>
              </w:rPr>
              <w:t>Január 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9C2D1A">
            <w:pPr>
              <w:pStyle w:val="ListParagraph"/>
              <w:bidi w:val="0"/>
              <w:ind w:left="142"/>
              <w:rPr>
                <w:rFonts w:ascii="Times New Roman" w:hAnsi="Times New Roman"/>
                <w:b/>
                <w:szCs w:val="24"/>
              </w:rPr>
            </w:pPr>
            <w:r w:rsidRPr="0073005A">
              <w:rPr>
                <w:rFonts w:ascii="Times New Roman" w:hAnsi="Times New Roman"/>
                <w:b/>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62E9A" w:rsidRPr="0073005A" w:rsidP="009C2D1A">
            <w:pPr>
              <w:bidi w:val="0"/>
              <w:rPr>
                <w:rFonts w:ascii="Calibri" w:hAnsi="Calibri"/>
                <w:i/>
                <w:lang w:eastAsia="en-US"/>
              </w:rPr>
            </w:pPr>
            <w:r w:rsidRPr="0073005A">
              <w:rPr>
                <w:rFonts w:ascii="Calibri" w:hAnsi="Calibri"/>
                <w:i/>
                <w:lang w:eastAsia="en-US"/>
              </w:rPr>
              <w:t>Máj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A62E9A" w:rsidRPr="0073005A" w:rsidP="009C2D1A">
            <w:pPr>
              <w:bidi w:val="0"/>
              <w:rPr>
                <w:rFonts w:ascii="Calibri" w:hAnsi="Calibri"/>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3005A" w:rsidP="009C2D1A">
            <w:pPr>
              <w:pStyle w:val="Title"/>
              <w:bidi w:val="0"/>
              <w:ind w:left="284"/>
              <w:jc w:val="both"/>
              <w:rPr>
                <w:rFonts w:ascii="Times New Roman" w:hAnsi="Times New Roman"/>
                <w:b w:val="0"/>
                <w:i/>
                <w:sz w:val="22"/>
                <w:lang w:eastAsia="en-US"/>
              </w:rPr>
            </w:pPr>
            <w:r w:rsidRPr="0073005A">
              <w:rPr>
                <w:rFonts w:ascii="Times New Roman" w:hAnsi="Times New Roman"/>
                <w:b w:val="0"/>
                <w:i/>
                <w:sz w:val="22"/>
                <w:lang w:eastAsia="en-US"/>
              </w:rPr>
              <w:t>V súčasnom regulačnom rámci podmienok pre poberanie štátnej podpory stavebného sporenia absentujú prvky účelovosti, adresnosti a efektívnosti, a z tohto dôvodu</w:t>
            </w:r>
          </w:p>
          <w:p w:rsidR="00A62E9A" w:rsidRPr="0073005A" w:rsidP="00A62E9A">
            <w:pPr>
              <w:pStyle w:val="Title"/>
              <w:numPr>
                <w:numId w:val="16"/>
              </w:numPr>
              <w:bidi w:val="0"/>
              <w:jc w:val="both"/>
              <w:rPr>
                <w:rFonts w:ascii="Times New Roman" w:hAnsi="Times New Roman"/>
                <w:b w:val="0"/>
                <w:i/>
                <w:sz w:val="22"/>
                <w:lang w:eastAsia="en-US"/>
              </w:rPr>
            </w:pPr>
            <w:r w:rsidRPr="0073005A">
              <w:rPr>
                <w:rFonts w:ascii="Times New Roman" w:hAnsi="Times New Roman"/>
                <w:b w:val="0"/>
                <w:i/>
                <w:sz w:val="22"/>
                <w:lang w:eastAsia="en-US"/>
              </w:rPr>
              <w:t>štátnu prémiu je možné čerpať aj bez zdokladovania účelového použitia nasporených prostriedkov stavebného sporenia vrátane poskytnutej štátnej prémie,</w:t>
            </w:r>
          </w:p>
          <w:p w:rsidR="00A62E9A" w:rsidRPr="0073005A" w:rsidP="00A62E9A">
            <w:pPr>
              <w:pStyle w:val="Title"/>
              <w:numPr>
                <w:numId w:val="16"/>
              </w:numPr>
              <w:bidi w:val="0"/>
              <w:jc w:val="both"/>
              <w:rPr>
                <w:rFonts w:ascii="Times New Roman" w:hAnsi="Times New Roman"/>
                <w:b w:val="0"/>
                <w:sz w:val="22"/>
                <w:lang w:eastAsia="en-US"/>
              </w:rPr>
            </w:pPr>
            <w:r w:rsidRPr="0073005A">
              <w:rPr>
                <w:rFonts w:ascii="Times New Roman" w:hAnsi="Times New Roman"/>
                <w:b w:val="0"/>
                <w:i/>
                <w:sz w:val="22"/>
                <w:lang w:eastAsia="en-US"/>
              </w:rPr>
              <w:t xml:space="preserve">štátna podpora stavebného sporenia je adresovaná stavebným sporiteľom bez akéhokoľvek prvku selekcie, </w:t>
            </w:r>
          </w:p>
          <w:p w:rsidR="00A62E9A" w:rsidRPr="0073005A" w:rsidP="00A62E9A">
            <w:pPr>
              <w:pStyle w:val="Title"/>
              <w:numPr>
                <w:numId w:val="16"/>
              </w:numPr>
              <w:bidi w:val="0"/>
              <w:jc w:val="both"/>
              <w:rPr>
                <w:rFonts w:ascii="Times New Roman" w:hAnsi="Times New Roman"/>
                <w:b w:val="0"/>
                <w:sz w:val="22"/>
                <w:lang w:eastAsia="en-US"/>
              </w:rPr>
            </w:pPr>
            <w:r w:rsidRPr="0073005A">
              <w:rPr>
                <w:rFonts w:ascii="Times New Roman" w:hAnsi="Times New Roman"/>
                <w:b w:val="0"/>
                <w:i/>
                <w:sz w:val="22"/>
                <w:lang w:eastAsia="en-US"/>
              </w:rPr>
              <w:t>percentuálna výška štátnej prémie na stavebné sporenie výrazne prevyšuje súčasné priemerné trhové úrokové sadzby na vkladových produktoch v komerčných bankách.</w:t>
            </w:r>
            <w:r w:rsidRPr="0073005A">
              <w:rPr>
                <w:rFonts w:ascii="Times New Roman" w:hAnsi="Times New Roman"/>
                <w:b w:val="0"/>
                <w:sz w:val="22"/>
                <w:lang w:eastAsia="en-US"/>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Calibri" w:hAnsi="Calibri"/>
                <w:i/>
                <w:lang w:eastAsia="en-US"/>
              </w:rPr>
              <w:t xml:space="preserve">Základným cieľom pripravovanej právnej úpravy je zvýšenie účelovosti, adresnosti a efektívnosti štátnej podpory stavebného sporenia.            </w:t>
            </w:r>
          </w:p>
          <w:p w:rsidR="00A62E9A" w:rsidRPr="0073005A" w:rsidP="009C2D1A">
            <w:pPr>
              <w:bidi w:val="0"/>
              <w:rPr>
                <w:rFonts w:ascii="Calibri" w:hAnsi="Calibri"/>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C31BE7">
              <w:rPr>
                <w:rFonts w:ascii="Calibri" w:hAnsi="Calibri"/>
                <w:i/>
                <w:lang w:eastAsia="en-US"/>
              </w:rPr>
              <w:t>Prvá stavebná sporiteľňa, a.s., Wüstenrot stavebná sporiteľňa, a.s</w:t>
            </w:r>
            <w:r>
              <w:rPr>
                <w:rFonts w:ascii="Calibri" w:hAnsi="Calibri"/>
                <w:i/>
                <w:lang w:eastAsia="en-US"/>
              </w:rPr>
              <w:t>,</w:t>
            </w:r>
            <w:r w:rsidRPr="00C31BE7">
              <w:rPr>
                <w:rFonts w:ascii="Calibri" w:hAnsi="Calibri"/>
                <w:i/>
                <w:lang w:eastAsia="en-US"/>
              </w:rPr>
              <w:t> ČSOB stavebná sporiteľňa, a.s.</w:t>
            </w:r>
            <w:r>
              <w:rPr>
                <w:rFonts w:ascii="Calibri" w:hAnsi="Calibri"/>
                <w:i/>
                <w:sz w:val="22"/>
                <w:szCs w:val="22"/>
                <w:lang w:eastAsia="en-US"/>
              </w:rPr>
              <w:t xml:space="preserve"> </w:t>
            </w:r>
            <w:r w:rsidRPr="0073005A">
              <w:rPr>
                <w:rFonts w:ascii="Calibri" w:hAnsi="Calibri"/>
                <w:i/>
                <w:lang w:eastAsia="en-US"/>
              </w:rPr>
              <w:t xml:space="preserve"> a stavební sporitelia.</w:t>
            </w:r>
            <w:r>
              <w:rPr>
                <w:rFonts w:ascii="Calibri" w:hAnsi="Calibri"/>
                <w:sz w:val="22"/>
                <w:szCs w:val="22"/>
                <w:lang w:eastAsia="en-US"/>
              </w:rPr>
              <w:t xml:space="preserve"> </w:t>
            </w:r>
            <w:r w:rsidRPr="00373056">
              <w:rPr>
                <w:rFonts w:ascii="Calibri" w:hAnsi="Calibri"/>
                <w:i/>
                <w:lang w:eastAsia="en-US"/>
              </w:rPr>
              <w:t>Opatrenia môžu mať bližšie nešpecifikovaný negatívny vplyv aj na niektoré subjekty v sektore stavebníctva najmä z dôvodu možného poklesu objemu finančných zdrojov alokovaných prostredníctvom stavebného sporenia.</w:t>
            </w:r>
          </w:p>
          <w:p w:rsidR="00A62E9A" w:rsidRPr="0073005A" w:rsidP="009C2D1A">
            <w:pPr>
              <w:bidi w:val="0"/>
              <w:rPr>
                <w:rFonts w:ascii="Calibri" w:hAnsi="Calibri"/>
                <w:i/>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62E9A" w:rsidRPr="00117C56" w:rsidP="009C2D1A">
            <w:pPr>
              <w:bidi w:val="0"/>
              <w:jc w:val="both"/>
              <w:rPr>
                <w:rFonts w:ascii="Calibri" w:hAnsi="Calibri"/>
                <w:i/>
                <w:lang w:eastAsia="en-US"/>
              </w:rPr>
            </w:pPr>
            <w:r>
              <w:rPr>
                <w:rFonts w:ascii="Calibri" w:hAnsi="Calibri"/>
                <w:i/>
                <w:lang w:eastAsia="en-US"/>
              </w:rPr>
              <w:t xml:space="preserve">Alternatíva č. 0 - zachovanie doterajšej právnej úpravy: </w:t>
            </w:r>
            <w:r w:rsidRPr="00117C56">
              <w:rPr>
                <w:rFonts w:ascii="Calibri" w:hAnsi="Calibri"/>
                <w:i/>
                <w:lang w:eastAsia="en-US"/>
              </w:rPr>
              <w:t>Štátna podpora bývania rastie pri hypotekárnych úveroch pre mladých, v nadväznosti na každoročný nárast počtu zmlúv s nárokom na tento štátny príspevok.</w:t>
            </w:r>
          </w:p>
          <w:p w:rsidR="00A62E9A" w:rsidRPr="00117C56" w:rsidP="009C2D1A">
            <w:pPr>
              <w:bidi w:val="0"/>
              <w:jc w:val="both"/>
              <w:rPr>
                <w:rFonts w:ascii="Calibri" w:hAnsi="Calibri"/>
                <w:i/>
                <w:lang w:eastAsia="en-US"/>
              </w:rPr>
            </w:pPr>
            <w:r w:rsidRPr="00117C56">
              <w:rPr>
                <w:rFonts w:ascii="Calibri" w:hAnsi="Calibri"/>
                <w:i/>
                <w:lang w:eastAsia="en-US"/>
              </w:rPr>
              <w:t xml:space="preserve">Štát podporuje rozvoj bývania aj prostredníctvom zvýhodnených úverov zo ŠFRB, pri ktorých ročná úroková sadzba dosahuje 0 - 2 % a je rovnaká počas celej splatnosti úveru. Úrokové sadzby z medziúverov v stavebných sporiteľniach pri fyzických osobách sa pohybujú od 3,19 do 7,29 % a zo stavebných úverov od 2,9 do 7,0 %. Podľa štatistiky NBS v decembri 2015 sa napr. úrokové miery z nových úverov na bývanie v sektore domácností pohybovali od 2,36  do 4,62 % p. a. V prípade stavu uvedených úverov sa úrokové miery pohybovali od 3,5 – 5,01 % p. a. </w:t>
            </w:r>
          </w:p>
          <w:p w:rsidR="00A62E9A" w:rsidRPr="00117C56" w:rsidP="009C2D1A">
            <w:pPr>
              <w:bidi w:val="0"/>
              <w:jc w:val="both"/>
              <w:rPr>
                <w:rFonts w:ascii="Calibri" w:hAnsi="Calibri"/>
                <w:i/>
                <w:lang w:eastAsia="en-US"/>
              </w:rPr>
            </w:pPr>
            <w:r w:rsidRPr="00117C56">
              <w:rPr>
                <w:rFonts w:ascii="Calibri" w:hAnsi="Calibri"/>
                <w:i/>
                <w:lang w:eastAsia="en-US"/>
              </w:rPr>
              <w:t>Štát podporuje formou dotácií zo štátneho rozpočtu a úvermi zo ŠFRB obstarávanie nájomného bývania. V roku 2015 tieto výdavky v porovnaní s rokom 2012 boli vyššie o 39,5 mil. eur, t. j. o 77,2 %.</w:t>
            </w:r>
          </w:p>
          <w:p w:rsidR="00A62E9A" w:rsidP="009C2D1A">
            <w:pPr>
              <w:bidi w:val="0"/>
              <w:jc w:val="both"/>
              <w:rPr>
                <w:rFonts w:ascii="Calibri" w:hAnsi="Calibri"/>
                <w:i/>
                <w:lang w:eastAsia="en-US"/>
              </w:rPr>
            </w:pPr>
            <w:r w:rsidRPr="00117C56">
              <w:rPr>
                <w:rFonts w:ascii="Calibri" w:hAnsi="Calibri"/>
                <w:i/>
                <w:lang w:eastAsia="en-US"/>
              </w:rPr>
              <w:t xml:space="preserve">Štátna podpora </w:t>
            </w:r>
            <w:r>
              <w:rPr>
                <w:rFonts w:ascii="Calibri" w:hAnsi="Calibri"/>
                <w:i/>
                <w:lang w:eastAsia="en-US"/>
              </w:rPr>
              <w:t xml:space="preserve">stavebného sporenia </w:t>
            </w:r>
            <w:r w:rsidRPr="00117C56">
              <w:rPr>
                <w:rFonts w:ascii="Calibri" w:hAnsi="Calibri"/>
                <w:i/>
                <w:lang w:eastAsia="en-US"/>
              </w:rPr>
              <w:t xml:space="preserve">nie je cielená na sociálne slabé skupiny (netestuje sa príjem alebo majetkové pomery). Taktiež je slabá podmienka využitia na stavebné účely (bezúčelné využitie už po 6 rokoch sporenia). V porovnaní s ostatnými komerčnými produktmi </w:t>
            </w:r>
            <w:r>
              <w:rPr>
                <w:rFonts w:ascii="Calibri" w:hAnsi="Calibri"/>
                <w:i/>
                <w:lang w:eastAsia="en-US"/>
              </w:rPr>
              <w:t xml:space="preserve">je stavebné sporenie </w:t>
            </w:r>
            <w:r w:rsidRPr="00117C56">
              <w:rPr>
                <w:rFonts w:ascii="Calibri" w:hAnsi="Calibri"/>
                <w:i/>
                <w:lang w:eastAsia="en-US"/>
              </w:rPr>
              <w:t>nízko reálne úročené po očistení o relatívne vysoké poplatky.</w:t>
            </w:r>
          </w:p>
          <w:p w:rsidR="00A62E9A" w:rsidP="009C2D1A">
            <w:pPr>
              <w:bidi w:val="0"/>
              <w:jc w:val="both"/>
              <w:rPr>
                <w:rFonts w:ascii="Calibri" w:hAnsi="Calibri"/>
                <w:i/>
                <w:lang w:eastAsia="en-US"/>
              </w:rPr>
            </w:pPr>
          </w:p>
          <w:p w:rsidR="00A62E9A" w:rsidRPr="0073005A" w:rsidP="009C2D1A">
            <w:pPr>
              <w:bidi w:val="0"/>
              <w:jc w:val="both"/>
              <w:rPr>
                <w:rFonts w:ascii="Calibri" w:hAnsi="Calibri"/>
                <w:i/>
                <w:lang w:eastAsia="en-US"/>
              </w:rPr>
            </w:pPr>
            <w:r>
              <w:rPr>
                <w:rFonts w:ascii="Calibri" w:hAnsi="Calibri"/>
                <w:i/>
                <w:lang w:eastAsia="en-US"/>
              </w:rPr>
              <w:t xml:space="preserve">Alternatíva č. 1 - prijatie navrhovanej právnej úpravy: Bude to znamenať </w:t>
            </w:r>
            <w:r w:rsidRPr="00117C56">
              <w:rPr>
                <w:rFonts w:ascii="Calibri" w:hAnsi="Calibri"/>
                <w:i/>
                <w:lang w:eastAsia="en-US"/>
              </w:rPr>
              <w:t>zvýšenie adresnosti, účelovosti a efektívnosti štátnej podpory stavebného sporenia</w:t>
            </w:r>
            <w:r>
              <w:rPr>
                <w:rFonts w:ascii="Calibri" w:hAnsi="Calibri"/>
                <w:i/>
                <w:lang w:eastAsia="en-US"/>
              </w:rPr>
              <w:t xml:space="preserve">.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Calibri" w:hAnsi="Calibri"/>
                <w:i/>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Segoe UI Symbol" w:hAnsi="Segoe UI Symbol" w:cs="Segoe UI Symbol"/>
                <w:i/>
                <w:lang w:eastAsia="en-US"/>
              </w:rPr>
              <w:t>☐</w:t>
            </w:r>
            <w:r w:rsidRPr="0073005A">
              <w:rPr>
                <w:rFonts w:ascii="Calibri" w:hAnsi="Calibri"/>
                <w:i/>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Segoe UI Symbol" w:hAnsi="Segoe UI Symbol" w:cs="Segoe UI Symbol"/>
                <w:i/>
                <w:lang w:eastAsia="en-US"/>
              </w:rPr>
              <w:t>☒</w:t>
            </w:r>
            <w:r w:rsidRPr="0073005A">
              <w:rPr>
                <w:rFonts w:ascii="Calibri" w:hAnsi="Calibri"/>
                <w:i/>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Calibri" w:hAnsi="Calibri"/>
                <w:i/>
                <w:lang w:eastAsia="en-US"/>
              </w:rPr>
              <w:t>Ak áno, uveďte ktoré oblasti budú nimi upravené, resp. ktorých vykonávacích predpisov sa zmena dotkne:</w:t>
            </w:r>
          </w:p>
          <w:p w:rsidR="00A62E9A" w:rsidRPr="0073005A" w:rsidP="009C2D1A">
            <w:pPr>
              <w:bidi w:val="0"/>
              <w:ind w:left="360"/>
              <w:jc w:val="both"/>
              <w:rPr>
                <w:rFonts w:ascii="Calibri" w:hAnsi="Calibri"/>
                <w:i/>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Calibri" w:hAnsi="Calibri"/>
                <w:i/>
                <w:lang w:eastAsia="en-US"/>
              </w:rPr>
              <w:t>Nie je.</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A62E9A" w:rsidRPr="0073005A" w:rsidP="009C2D1A">
            <w:pPr>
              <w:bidi w:val="0"/>
              <w:jc w:val="center"/>
              <w:rPr>
                <w:rFonts w:ascii="Calibri" w:hAnsi="Calibri"/>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ind w:left="360"/>
              <w:jc w:val="both"/>
              <w:rPr>
                <w:rFonts w:ascii="Calibri" w:hAnsi="Calibri"/>
                <w:i/>
                <w:lang w:eastAsia="en-US"/>
              </w:rPr>
            </w:pPr>
            <w:r w:rsidRPr="0073005A">
              <w:rPr>
                <w:rFonts w:ascii="Calibri" w:hAnsi="Calibri"/>
                <w:i/>
                <w:lang w:eastAsia="en-US"/>
              </w:rPr>
              <w:t>Nie je.</w:t>
            </w:r>
          </w:p>
          <w:p w:rsidR="00A62E9A" w:rsidRPr="0073005A" w:rsidP="009C2D1A">
            <w:pPr>
              <w:bidi w:val="0"/>
              <w:rPr>
                <w:rFonts w:ascii="Calibri" w:hAnsi="Calibri"/>
                <w:i/>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A62E9A" w:rsidRPr="0073005A" w:rsidP="009C2D1A">
            <w:pPr>
              <w:bidi w:val="0"/>
              <w:ind w:left="142" w:hanging="142"/>
              <w:rPr>
                <w:rFonts w:ascii="Calibri" w:hAnsi="Calibri"/>
                <w:lang w:eastAsia="en-US"/>
              </w:rPr>
            </w:pPr>
          </w:p>
          <w:p w:rsidR="00A62E9A" w:rsidRPr="0073005A" w:rsidP="009C2D1A">
            <w:pPr>
              <w:bidi w:val="0"/>
              <w:ind w:left="142" w:hanging="142"/>
              <w:rPr>
                <w:rFonts w:ascii="Calibri" w:hAnsi="Calibri"/>
                <w:lang w:eastAsia="en-US"/>
              </w:rPr>
            </w:pPr>
          </w:p>
          <w:p w:rsidR="00A62E9A" w:rsidRPr="0073005A" w:rsidP="009C2D1A">
            <w:pPr>
              <w:bidi w:val="0"/>
              <w:ind w:left="142" w:hanging="142"/>
              <w:rPr>
                <w:rFonts w:ascii="Calibri" w:hAnsi="Calibri"/>
                <w:lang w:eastAsia="en-US"/>
              </w:rPr>
            </w:pPr>
            <w:r w:rsidRPr="0073005A">
              <w:rPr>
                <w:rFonts w:ascii="Calibri" w:hAnsi="Calibri"/>
                <w:lang w:eastAsia="en-US"/>
              </w:rPr>
              <w:t xml:space="preserve">* vyplniť iba v prípade, ak materiál nie je zahrnutý do Plánu práce vlády Slovenskej republiky alebo Plánu        legislatívnych úloh vlády Slovenskej republiky. </w:t>
            </w:r>
          </w:p>
          <w:p w:rsidR="00A62E9A" w:rsidP="009C2D1A">
            <w:pPr>
              <w:bidi w:val="0"/>
              <w:rPr>
                <w:rFonts w:ascii="Calibri" w:hAnsi="Calibri"/>
                <w:lang w:eastAsia="en-US"/>
              </w:rPr>
            </w:pPr>
            <w:r w:rsidRPr="0073005A">
              <w:rPr>
                <w:rFonts w:ascii="Calibri" w:hAnsi="Calibri"/>
                <w:lang w:eastAsia="en-US"/>
              </w:rPr>
              <w:t>** nepovinné</w:t>
            </w:r>
          </w:p>
          <w:p w:rsidR="00A62E9A" w:rsidP="009C2D1A">
            <w:pPr>
              <w:bidi w:val="0"/>
              <w:rPr>
                <w:rFonts w:ascii="Calibri" w:hAnsi="Calibri"/>
                <w:lang w:eastAsia="en-US"/>
              </w:rPr>
            </w:pPr>
          </w:p>
          <w:p w:rsidR="00A62E9A" w:rsidRPr="0073005A" w:rsidP="009C2D1A">
            <w:pPr>
              <w:bidi w:val="0"/>
              <w:rPr>
                <w:rFonts w:ascii="Calibri" w:hAnsi="Calibri"/>
                <w:lang w:eastAsia="en-US"/>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A62E9A" w:rsidRPr="0073005A" w:rsidP="009C2D1A">
            <w:pPr>
              <w:bidi w:val="0"/>
              <w:rPr>
                <w:rFonts w:ascii="Calibri" w:hAnsi="Calibri"/>
                <w:b/>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9C2D1A">
            <w:pPr>
              <w:bidi w:val="0"/>
              <w:rPr>
                <w:rFonts w:ascii="Calibri" w:hAnsi="Calibri"/>
                <w:b/>
                <w:lang w:eastAsia="en-US"/>
              </w:rPr>
            </w:pPr>
            <w:r w:rsidRPr="0073005A">
              <w:rPr>
                <w:rFonts w:ascii="Calibri" w:hAnsi="Calibri"/>
                <w:b/>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ind w:left="-107" w:right="-108"/>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34"/>
              <w:rPr>
                <w:rFonts w:ascii="Calibri" w:hAnsi="Calibri"/>
                <w:b/>
                <w:lang w:eastAsia="en-US"/>
              </w:rPr>
            </w:pPr>
            <w:r w:rsidRPr="0073005A">
              <w:rPr>
                <w:rFonts w:ascii="Calibri" w:hAnsi="Calibri"/>
                <w:b/>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A62E9A" w:rsidRPr="0073005A" w:rsidP="009C2D1A">
            <w:pPr>
              <w:bidi w:val="0"/>
              <w:rPr>
                <w:rFonts w:ascii="Calibri" w:hAnsi="Calibri"/>
                <w:lang w:eastAsia="en-US"/>
              </w:rPr>
            </w:pPr>
            <w:r w:rsidRPr="0073005A">
              <w:rPr>
                <w:rFonts w:ascii="Calibri" w:hAnsi="Calibri"/>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lang w:eastAsia="en-US"/>
              </w:rPr>
            </w:pPr>
            <w:r w:rsidRPr="0073005A">
              <w:rPr>
                <w:rFonts w:ascii="Calibri" w:hAnsi="Calibri"/>
                <w:lang w:eastAsia="en-US"/>
              </w:rPr>
              <w:t>Áno</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lang w:eastAsia="en-US"/>
              </w:rPr>
            </w:pPr>
            <w:r w:rsidRPr="0073005A">
              <w:rPr>
                <w:rFonts w:ascii="Calibri" w:hAnsi="Calibri"/>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ind w:left="-107" w:right="-108"/>
              <w:jc w:val="center"/>
              <w:rPr>
                <w:rFonts w:ascii="Calibri" w:hAnsi="Calibri"/>
                <w:lang w:eastAsia="en-US"/>
              </w:rPr>
            </w:pPr>
            <w:r w:rsidRPr="0073005A">
              <w:rPr>
                <w:rFonts w:ascii="Segoe UI Symbol" w:eastAsia="MS Mincho" w:hAnsi="Segoe UI Symbol" w:cs="Segoe UI Symbol" w:hint="default"/>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34"/>
              <w:rPr>
                <w:rFonts w:ascii="Calibri" w:hAnsi="Calibri"/>
                <w:lang w:eastAsia="en-US"/>
              </w:rPr>
            </w:pPr>
            <w:r w:rsidRPr="0073005A">
              <w:rPr>
                <w:rFonts w:ascii="Calibri" w:hAnsi="Calibri"/>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A62E9A" w:rsidRPr="0073005A" w:rsidP="009C2D1A">
            <w:pPr>
              <w:bidi w:val="0"/>
              <w:rPr>
                <w:rFonts w:ascii="Calibri" w:hAnsi="Calibri"/>
                <w:b/>
                <w:lang w:eastAsia="en-US"/>
              </w:rPr>
            </w:pPr>
            <w:r w:rsidRPr="0073005A">
              <w:rPr>
                <w:rFonts w:ascii="Calibri" w:hAnsi="Calibri"/>
                <w:b/>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ind w:right="-108"/>
              <w:rPr>
                <w:rFonts w:ascii="Calibri" w:hAnsi="Calibri"/>
                <w:b/>
                <w:lang w:eastAsia="en-US"/>
              </w:rPr>
            </w:pPr>
            <w:r w:rsidRPr="0073005A">
              <w:rPr>
                <w:rFonts w:ascii="Calibri" w:hAnsi="Calibri"/>
                <w:b/>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54"/>
              <w:rPr>
                <w:rFonts w:ascii="Calibri" w:hAnsi="Calibri"/>
                <w:b/>
                <w:lang w:eastAsia="en-US"/>
              </w:rPr>
            </w:pPr>
            <w:r w:rsidRPr="0073005A">
              <w:rPr>
                <w:rFonts w:ascii="Calibri" w:hAnsi="Calibri"/>
                <w:b/>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A62E9A" w:rsidRPr="0073005A" w:rsidP="009C2D1A">
            <w:pPr>
              <w:bidi w:val="0"/>
              <w:rPr>
                <w:rFonts w:ascii="Calibri" w:hAnsi="Calibri"/>
                <w:lang w:eastAsia="en-US"/>
              </w:rPr>
            </w:pPr>
            <w:r w:rsidRPr="0073005A">
              <w:rPr>
                <w:rFonts w:ascii="Calibri" w:hAnsi="Calibri"/>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ind w:right="-108"/>
              <w:rPr>
                <w:rFonts w:ascii="Calibri" w:hAnsi="Calibri"/>
                <w:lang w:eastAsia="en-US"/>
              </w:rPr>
            </w:pPr>
            <w:r w:rsidRPr="0073005A">
              <w:rPr>
                <w:rFonts w:ascii="Calibri" w:hAnsi="Calibri"/>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lang w:eastAsia="en-US"/>
              </w:rPr>
            </w:pPr>
            <w:r w:rsidRPr="0073005A">
              <w:rPr>
                <w:rFonts w:ascii="Segoe UI Symbol" w:eastAsia="MS Mincho" w:hAnsi="Segoe UI Symbol" w:cs="Segoe UI Symbol" w:hint="default"/>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lang w:eastAsia="en-US"/>
              </w:rPr>
            </w:pPr>
            <w:r w:rsidRPr="0073005A">
              <w:rPr>
                <w:rFonts w:ascii="Calibri" w:hAnsi="Calibri"/>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lang w:eastAsia="en-US"/>
              </w:rPr>
            </w:pPr>
            <w:r w:rsidRPr="0073005A">
              <w:rPr>
                <w:rFonts w:ascii="Segoe UI Symbol" w:eastAsia="MS Gothic" w:hAnsi="Segoe UI Symbol" w:cs="Segoe UI Symbol" w:hint="default"/>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54"/>
              <w:rPr>
                <w:rFonts w:ascii="Calibri" w:hAnsi="Calibri"/>
                <w:lang w:eastAsia="en-US"/>
              </w:rPr>
            </w:pPr>
            <w:r w:rsidRPr="0073005A">
              <w:rPr>
                <w:rFonts w:ascii="Calibri" w:hAnsi="Calibri"/>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A62E9A" w:rsidRPr="0073005A" w:rsidP="009C2D1A">
            <w:pPr>
              <w:bidi w:val="0"/>
              <w:rPr>
                <w:rFonts w:ascii="Calibri" w:hAnsi="Calibri"/>
                <w:b/>
                <w:lang w:eastAsia="en-US"/>
              </w:rPr>
            </w:pPr>
            <w:r w:rsidRPr="0073005A">
              <w:rPr>
                <w:rFonts w:ascii="Calibri" w:hAnsi="Calibri"/>
                <w:b/>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ind w:right="-108"/>
              <w:rPr>
                <w:rFonts w:ascii="Calibri" w:hAnsi="Calibri"/>
                <w:b/>
                <w:lang w:eastAsia="en-US"/>
              </w:rPr>
            </w:pPr>
            <w:r w:rsidRPr="0073005A">
              <w:rPr>
                <w:rFonts w:ascii="Calibri" w:hAnsi="Calibri"/>
                <w:b/>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54"/>
              <w:rPr>
                <w:rFonts w:ascii="Calibri" w:hAnsi="Calibri"/>
                <w:b/>
                <w:lang w:eastAsia="en-US"/>
              </w:rPr>
            </w:pPr>
            <w:r w:rsidRPr="0073005A">
              <w:rPr>
                <w:rFonts w:ascii="Calibri" w:hAnsi="Calibri"/>
                <w:b/>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62E9A" w:rsidRPr="0073005A" w:rsidP="009C2D1A">
            <w:pPr>
              <w:bidi w:val="0"/>
              <w:rPr>
                <w:rFonts w:ascii="Calibri" w:hAnsi="Calibri"/>
                <w:b/>
                <w:lang w:eastAsia="en-US"/>
              </w:rPr>
            </w:pPr>
            <w:r w:rsidRPr="0073005A">
              <w:rPr>
                <w:rFonts w:ascii="Calibri" w:hAnsi="Calibri"/>
                <w:b/>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ind w:right="-108"/>
              <w:rPr>
                <w:rFonts w:ascii="Calibri" w:hAnsi="Calibri"/>
                <w:b/>
                <w:lang w:eastAsia="en-US"/>
              </w:rPr>
            </w:pPr>
            <w:r w:rsidRPr="0073005A">
              <w:rPr>
                <w:rFonts w:ascii="Calibri" w:hAnsi="Calibri"/>
                <w:b/>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54"/>
              <w:rPr>
                <w:rFonts w:ascii="Calibri" w:hAnsi="Calibri"/>
                <w:b/>
                <w:lang w:eastAsia="en-US"/>
              </w:rPr>
            </w:pPr>
            <w:r w:rsidRPr="0073005A">
              <w:rPr>
                <w:rFonts w:ascii="Calibri" w:hAnsi="Calibri"/>
                <w:b/>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62E9A" w:rsidRPr="0073005A" w:rsidP="009C2D1A">
            <w:pPr>
              <w:bidi w:val="0"/>
              <w:rPr>
                <w:rFonts w:ascii="Calibri" w:hAnsi="Calibri"/>
                <w:b/>
                <w:lang w:eastAsia="en-US"/>
              </w:rPr>
            </w:pPr>
            <w:r w:rsidRPr="0073005A">
              <w:rPr>
                <w:rFonts w:ascii="Calibri" w:hAnsi="Calibri"/>
                <w:b/>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81" w:type="dxa"/>
            <w:gridSpan w:val="2"/>
            <w:tcBorders>
              <w:top w:val="single" w:sz="4" w:space="0" w:color="auto"/>
              <w:left w:val="nil"/>
              <w:bottom w:val="single" w:sz="4" w:space="0" w:color="auto"/>
              <w:right w:val="nil"/>
            </w:tcBorders>
            <w:textDirection w:val="lrTb"/>
            <w:vAlign w:val="top"/>
          </w:tcPr>
          <w:p w:rsidR="00A62E9A" w:rsidRPr="0073005A" w:rsidP="009C2D1A">
            <w:pPr>
              <w:bidi w:val="0"/>
              <w:ind w:right="-108"/>
              <w:rPr>
                <w:rFonts w:ascii="Calibri" w:hAnsi="Calibri"/>
                <w:b/>
                <w:lang w:eastAsia="en-US"/>
              </w:rPr>
            </w:pPr>
            <w:r w:rsidRPr="0073005A">
              <w:rPr>
                <w:rFonts w:ascii="Calibri" w:hAnsi="Calibri"/>
                <w:b/>
                <w:lang w:eastAsia="en-US"/>
              </w:rPr>
              <w:t>Pozitívne</w:t>
            </w:r>
          </w:p>
        </w:tc>
        <w:tc>
          <w:tcPr>
            <w:tcW w:w="569" w:type="dxa"/>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Gothic" w:hAnsi="Segoe UI Symbol" w:cs="Segoe UI Symbol" w:hint="default"/>
                <w:b/>
                <w:lang w:eastAsia="en-US"/>
              </w:rPr>
              <w:t>☒</w:t>
            </w:r>
          </w:p>
        </w:tc>
        <w:tc>
          <w:tcPr>
            <w:tcW w:w="1133" w:type="dxa"/>
            <w:tcBorders>
              <w:top w:val="single" w:sz="4" w:space="0" w:color="auto"/>
              <w:left w:val="nil"/>
              <w:bottom w:val="single" w:sz="4" w:space="0" w:color="auto"/>
              <w:right w:val="nil"/>
            </w:tcBorders>
            <w:textDirection w:val="lrTb"/>
            <w:vAlign w:val="top"/>
          </w:tcPr>
          <w:p w:rsidR="00A62E9A" w:rsidRPr="0073005A" w:rsidP="009C2D1A">
            <w:pPr>
              <w:bidi w:val="0"/>
              <w:rPr>
                <w:rFonts w:ascii="Calibri" w:hAnsi="Calibri"/>
                <w:b/>
                <w:lang w:eastAsia="en-US"/>
              </w:rPr>
            </w:pPr>
            <w:r w:rsidRPr="0073005A">
              <w:rPr>
                <w:rFonts w:ascii="Calibri" w:hAnsi="Calibri"/>
                <w:b/>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A62E9A" w:rsidRPr="0073005A" w:rsidP="009C2D1A">
            <w:pPr>
              <w:bidi w:val="0"/>
              <w:jc w:val="center"/>
              <w:rPr>
                <w:rFonts w:ascii="Calibri" w:hAnsi="Calibri"/>
                <w:b/>
                <w:lang w:eastAsia="en-US"/>
              </w:rPr>
            </w:pPr>
            <w:r w:rsidRPr="0073005A">
              <w:rPr>
                <w:rFonts w:ascii="Segoe UI Symbol" w:eastAsia="MS Mincho" w:hAnsi="Segoe UI Symbol" w:cs="Segoe UI Symbol" w:hint="default"/>
                <w:b/>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A62E9A" w:rsidRPr="0073005A" w:rsidP="009C2D1A">
            <w:pPr>
              <w:bidi w:val="0"/>
              <w:ind w:left="54"/>
              <w:rPr>
                <w:rFonts w:ascii="Calibri" w:hAnsi="Calibri"/>
                <w:b/>
                <w:lang w:eastAsia="en-US"/>
              </w:rPr>
            </w:pPr>
            <w:r w:rsidRPr="0073005A">
              <w:rPr>
                <w:rFonts w:ascii="Calibri" w:hAnsi="Calibri"/>
                <w:b/>
                <w:lang w:eastAsia="en-US"/>
              </w:rPr>
              <w:t>Negatívne</w:t>
            </w:r>
          </w:p>
        </w:tc>
      </w:tr>
    </w:tbl>
    <w:p w:rsidR="00A62E9A" w:rsidRPr="00A62E9A" w:rsidP="00A62E9A">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9C2D1A">
            <w:pPr>
              <w:bidi w:val="0"/>
              <w:rPr>
                <w:rFonts w:ascii="Times New Roman" w:hAnsi="Times New Roman"/>
                <w:b/>
              </w:rPr>
            </w:pPr>
            <w:r w:rsidRPr="0073005A">
              <w:rPr>
                <w:rFonts w:ascii="Times New Roman" w:hAnsi="Times New Roman"/>
                <w:b/>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A62E9A" w:rsidRPr="0073005A" w:rsidP="009C2D1A">
            <w:pPr>
              <w:bidi w:val="0"/>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A62E9A" w:rsidRPr="0073005A" w:rsidP="009C2D1A">
            <w:pPr>
              <w:bidi w:val="0"/>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A62E9A" w:rsidRPr="0073005A" w:rsidP="009C2D1A">
            <w:pPr>
              <w:bidi w:val="0"/>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A62E9A" w:rsidRPr="0073005A" w:rsidP="009C2D1A">
            <w:pPr>
              <w:bidi w:val="0"/>
              <w:rPr>
                <w:rFonts w:ascii="Times New Roman" w:hAnsi="Times New Roman"/>
                <w:b/>
              </w:rPr>
            </w:pPr>
          </w:p>
        </w:tc>
        <w:tc>
          <w:tcPr>
            <w:tcW w:w="547" w:type="dxa"/>
            <w:tcBorders>
              <w:top w:val="single" w:sz="4" w:space="0" w:color="auto"/>
              <w:left w:val="nil"/>
              <w:bottom w:val="nil"/>
              <w:right w:val="nil"/>
            </w:tcBorders>
            <w:textDirection w:val="lrTb"/>
            <w:vAlign w:val="top"/>
          </w:tcPr>
          <w:p w:rsidR="00A62E9A" w:rsidRPr="0073005A" w:rsidP="009C2D1A">
            <w:pPr>
              <w:bidi w:val="0"/>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A62E9A" w:rsidRPr="0073005A" w:rsidP="009C2D1A">
            <w:pPr>
              <w:bidi w:val="0"/>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A62E9A" w:rsidRPr="0073005A" w:rsidP="009C2D1A">
            <w:pPr>
              <w:bidi w:val="0"/>
              <w:ind w:left="196" w:hanging="196"/>
              <w:rPr>
                <w:rFonts w:ascii="Times New Roman" w:hAnsi="Times New Roman"/>
                <w:b/>
                <w:lang w:eastAsia="en-US"/>
              </w:rPr>
            </w:pPr>
            <w:r w:rsidRPr="0073005A">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Mincho" w:hAnsi="Segoe UI Symbol" w:cs="Segoe UI Symbol" w:hint="default"/>
                <w:b/>
                <w:lang w:eastAsia="en-US"/>
              </w:rPr>
              <w:t>☐</w:t>
            </w:r>
          </w:p>
        </w:tc>
        <w:tc>
          <w:tcPr>
            <w:tcW w:w="1281" w:type="dxa"/>
            <w:tcBorders>
              <w:top w:val="nil"/>
              <w:left w:val="nil"/>
              <w:bottom w:val="nil"/>
              <w:right w:val="nil"/>
            </w:tcBorders>
            <w:textDirection w:val="lrTb"/>
            <w:vAlign w:val="top"/>
          </w:tcPr>
          <w:p w:rsidR="00A62E9A" w:rsidRPr="0073005A" w:rsidP="009C2D1A">
            <w:pPr>
              <w:bidi w:val="0"/>
              <w:ind w:right="-108"/>
              <w:rPr>
                <w:rFonts w:ascii="Times New Roman" w:hAnsi="Times New Roman"/>
                <w:b/>
                <w:lang w:eastAsia="en-US"/>
              </w:rPr>
            </w:pPr>
            <w:r w:rsidRPr="0073005A">
              <w:rPr>
                <w:rFonts w:ascii="Times New Roman" w:hAnsi="Times New Roman"/>
                <w:b/>
                <w:lang w:eastAsia="en-US"/>
              </w:rPr>
              <w:t>Pozitívne</w:t>
            </w:r>
          </w:p>
        </w:tc>
        <w:tc>
          <w:tcPr>
            <w:tcW w:w="569" w:type="dxa"/>
            <w:tcBorders>
              <w:top w:val="nil"/>
              <w:left w:val="nil"/>
              <w:bottom w:val="nil"/>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Gothic" w:hAnsi="Segoe UI Symbol" w:cs="Segoe UI Symbol" w:hint="default"/>
                <w:b/>
              </w:rPr>
              <w:t>☒</w:t>
            </w:r>
          </w:p>
        </w:tc>
        <w:tc>
          <w:tcPr>
            <w:tcW w:w="1133" w:type="dxa"/>
            <w:tcBorders>
              <w:top w:val="nil"/>
              <w:left w:val="nil"/>
              <w:bottom w:val="nil"/>
              <w:right w:val="nil"/>
            </w:tcBorders>
            <w:textDirection w:val="lrTb"/>
            <w:vAlign w:val="top"/>
          </w:tcPr>
          <w:p w:rsidR="00A62E9A" w:rsidRPr="0073005A" w:rsidP="009C2D1A">
            <w:pPr>
              <w:bidi w:val="0"/>
              <w:rPr>
                <w:rFonts w:ascii="Times New Roman" w:hAnsi="Times New Roman"/>
                <w:b/>
                <w:lang w:eastAsia="en-US"/>
              </w:rPr>
            </w:pPr>
            <w:r w:rsidRPr="0073005A">
              <w:rPr>
                <w:rFonts w:ascii="Times New Roman" w:hAnsi="Times New Roman"/>
                <w:b/>
                <w:lang w:eastAsia="en-US"/>
              </w:rPr>
              <w:t>Žiadne</w:t>
            </w:r>
          </w:p>
        </w:tc>
        <w:tc>
          <w:tcPr>
            <w:tcW w:w="547" w:type="dxa"/>
            <w:tcBorders>
              <w:top w:val="nil"/>
              <w:left w:val="nil"/>
              <w:bottom w:val="nil"/>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Mincho" w:hAnsi="Segoe UI Symbol" w:cs="Segoe UI Symbol" w:hint="default"/>
                <w:b/>
                <w:lang w:eastAsia="en-US"/>
              </w:rPr>
              <w:t>☐</w:t>
            </w:r>
          </w:p>
        </w:tc>
        <w:tc>
          <w:tcPr>
            <w:tcW w:w="1297" w:type="dxa"/>
            <w:tcBorders>
              <w:top w:val="nil"/>
              <w:left w:val="nil"/>
              <w:bottom w:val="nil"/>
              <w:right w:val="single" w:sz="4" w:space="0" w:color="auto"/>
            </w:tcBorders>
            <w:textDirection w:val="lrTb"/>
            <w:vAlign w:val="top"/>
          </w:tcPr>
          <w:p w:rsidR="00A62E9A" w:rsidRPr="0073005A" w:rsidP="009C2D1A">
            <w:pPr>
              <w:bidi w:val="0"/>
              <w:ind w:left="54"/>
              <w:rPr>
                <w:rFonts w:ascii="Times New Roman" w:hAnsi="Times New Roman"/>
                <w:b/>
                <w:lang w:eastAsia="en-US"/>
              </w:rPr>
            </w:pPr>
            <w:r w:rsidRPr="0073005A">
              <w:rPr>
                <w:rFonts w:ascii="Times New Roman" w:hAnsi="Times New Roman"/>
                <w:b/>
                <w:lang w:eastAsia="en-US"/>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A62E9A" w:rsidRPr="0073005A" w:rsidP="009C2D1A">
            <w:pPr>
              <w:bidi w:val="0"/>
              <w:ind w:left="168" w:hanging="168"/>
              <w:rPr>
                <w:rFonts w:ascii="Times New Roman" w:hAnsi="Times New Roman"/>
                <w:b/>
                <w:lang w:eastAsia="en-US"/>
              </w:rPr>
            </w:pPr>
            <w:r w:rsidRPr="0073005A">
              <w:rPr>
                <w:rFonts w:ascii="Times New Roman" w:hAnsi="Times New Roman"/>
                <w:b/>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Mincho" w:hAnsi="Segoe UI Symbol" w:cs="Segoe UI Symbol" w:hint="default"/>
                <w:b/>
                <w:lang w:eastAsia="en-US"/>
              </w:rPr>
              <w:t>☐</w:t>
            </w:r>
          </w:p>
        </w:tc>
        <w:tc>
          <w:tcPr>
            <w:tcW w:w="1281" w:type="dxa"/>
            <w:tcBorders>
              <w:top w:val="nil"/>
              <w:left w:val="nil"/>
              <w:bottom w:val="single" w:sz="4" w:space="0" w:color="auto"/>
              <w:right w:val="nil"/>
            </w:tcBorders>
            <w:textDirection w:val="lrTb"/>
            <w:vAlign w:val="top"/>
          </w:tcPr>
          <w:p w:rsidR="00A62E9A" w:rsidRPr="0073005A" w:rsidP="009C2D1A">
            <w:pPr>
              <w:bidi w:val="0"/>
              <w:ind w:right="-108"/>
              <w:rPr>
                <w:rFonts w:ascii="Times New Roman" w:hAnsi="Times New Roman"/>
                <w:b/>
                <w:lang w:eastAsia="en-US"/>
              </w:rPr>
            </w:pPr>
            <w:r w:rsidRPr="0073005A">
              <w:rPr>
                <w:rFonts w:ascii="Times New Roman" w:hAnsi="Times New Roman"/>
                <w:b/>
                <w:lang w:eastAsia="en-US"/>
              </w:rPr>
              <w:t>Pozitívne</w:t>
            </w:r>
          </w:p>
        </w:tc>
        <w:tc>
          <w:tcPr>
            <w:tcW w:w="569" w:type="dxa"/>
            <w:tcBorders>
              <w:top w:val="nil"/>
              <w:left w:val="nil"/>
              <w:bottom w:val="single" w:sz="4" w:space="0" w:color="auto"/>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Gothic" w:hAnsi="Segoe UI Symbol" w:cs="Segoe UI Symbol" w:hint="default"/>
                <w:b/>
              </w:rPr>
              <w:t>☒</w:t>
            </w:r>
          </w:p>
        </w:tc>
        <w:tc>
          <w:tcPr>
            <w:tcW w:w="1133" w:type="dxa"/>
            <w:tcBorders>
              <w:top w:val="nil"/>
              <w:left w:val="nil"/>
              <w:bottom w:val="single" w:sz="4" w:space="0" w:color="auto"/>
              <w:right w:val="nil"/>
            </w:tcBorders>
            <w:textDirection w:val="lrTb"/>
            <w:vAlign w:val="top"/>
          </w:tcPr>
          <w:p w:rsidR="00A62E9A" w:rsidRPr="0073005A" w:rsidP="009C2D1A">
            <w:pPr>
              <w:bidi w:val="0"/>
              <w:rPr>
                <w:rFonts w:ascii="Times New Roman" w:hAnsi="Times New Roman"/>
                <w:b/>
                <w:lang w:eastAsia="en-US"/>
              </w:rPr>
            </w:pPr>
            <w:r w:rsidRPr="0073005A">
              <w:rPr>
                <w:rFonts w:ascii="Times New Roman" w:hAnsi="Times New Roman"/>
                <w:b/>
                <w:lang w:eastAsia="en-US"/>
              </w:rPr>
              <w:t>Žiadne</w:t>
            </w:r>
          </w:p>
        </w:tc>
        <w:tc>
          <w:tcPr>
            <w:tcW w:w="547" w:type="dxa"/>
            <w:tcBorders>
              <w:top w:val="nil"/>
              <w:left w:val="nil"/>
              <w:bottom w:val="single" w:sz="4" w:space="0" w:color="auto"/>
              <w:right w:val="nil"/>
            </w:tcBorders>
            <w:textDirection w:val="lrTb"/>
            <w:vAlign w:val="top"/>
          </w:tcPr>
          <w:p w:rsidR="00A62E9A" w:rsidRPr="0073005A" w:rsidP="009C2D1A">
            <w:pPr>
              <w:bidi w:val="0"/>
              <w:jc w:val="center"/>
              <w:rPr>
                <w:rFonts w:ascii="Times New Roman" w:eastAsia="MS Mincho" w:hAnsi="Times New Roman"/>
                <w:b/>
                <w:lang w:eastAsia="en-US"/>
              </w:rPr>
            </w:pPr>
            <w:r w:rsidRPr="0073005A">
              <w:rPr>
                <w:rFonts w:ascii="Segoe UI Symbol" w:eastAsia="MS Mincho" w:hAnsi="Segoe UI Symbol" w:cs="Segoe UI Symbol" w:hint="default"/>
                <w:b/>
                <w:lang w:eastAsia="en-US"/>
              </w:rPr>
              <w:t>☐</w:t>
            </w:r>
          </w:p>
        </w:tc>
        <w:tc>
          <w:tcPr>
            <w:tcW w:w="1297" w:type="dxa"/>
            <w:tcBorders>
              <w:top w:val="nil"/>
              <w:left w:val="nil"/>
              <w:bottom w:val="single" w:sz="4" w:space="0" w:color="auto"/>
              <w:right w:val="single" w:sz="4" w:space="0" w:color="auto"/>
            </w:tcBorders>
            <w:textDirection w:val="lrTb"/>
            <w:vAlign w:val="top"/>
          </w:tcPr>
          <w:p w:rsidR="00A62E9A" w:rsidRPr="0073005A" w:rsidP="009C2D1A">
            <w:pPr>
              <w:bidi w:val="0"/>
              <w:ind w:left="54"/>
              <w:rPr>
                <w:rFonts w:ascii="Times New Roman" w:hAnsi="Times New Roman"/>
                <w:b/>
                <w:lang w:eastAsia="en-US"/>
              </w:rPr>
            </w:pPr>
            <w:r w:rsidRPr="0073005A">
              <w:rPr>
                <w:rFonts w:ascii="Times New Roman" w:hAnsi="Times New Roman"/>
                <w:b/>
                <w:lang w:eastAsia="en-US"/>
              </w:rPr>
              <w:t>Negatívne“</w:t>
            </w:r>
          </w:p>
        </w:tc>
      </w:tr>
    </w:tbl>
    <w:p w:rsidR="00A62E9A" w:rsidRPr="0073005A" w:rsidP="00A62E9A">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A62E9A" w:rsidRPr="0073005A" w:rsidP="009C2D1A">
            <w:pPr>
              <w:bidi w:val="0"/>
              <w:rPr>
                <w:rFonts w:ascii="Calibri" w:hAnsi="Calibri"/>
                <w:i/>
                <w:lang w:eastAsia="en-US"/>
              </w:rPr>
            </w:pPr>
            <w:r w:rsidRPr="0073005A">
              <w:rPr>
                <w:rFonts w:ascii="Calibri" w:hAnsi="Calibri"/>
                <w:i/>
                <w:lang w:eastAsia="en-US"/>
              </w:rPr>
              <w:t>V prípade potreby uveďte doplňujúce informácie k návrhu.</w:t>
            </w:r>
          </w:p>
          <w:p w:rsidR="00A62E9A" w:rsidRPr="0073005A" w:rsidP="009C2D1A">
            <w:pPr>
              <w:pStyle w:val="ListParagraph"/>
              <w:bidi w:val="0"/>
              <w:ind w:left="426"/>
              <w:rPr>
                <w:rFonts w:ascii="Times New Roman" w:hAnsi="Times New Roman"/>
                <w:b/>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rPr>
                <w:rFonts w:ascii="Calibri" w:hAnsi="Calibri"/>
                <w:lang w:eastAsia="en-US"/>
              </w:rPr>
            </w:pPr>
            <w:r w:rsidRPr="0073005A">
              <w:rPr>
                <w:rFonts w:ascii="Calibri" w:hAnsi="Calibri"/>
                <w:lang w:eastAsia="en-US"/>
              </w:rPr>
              <w:t>Ing. Gabriel Droba, odbor správy finančného trhu, MF SR</w:t>
            </w:r>
          </w:p>
          <w:p w:rsidR="00A62E9A" w:rsidRPr="0073005A" w:rsidP="009C2D1A">
            <w:pPr>
              <w:bidi w:val="0"/>
              <w:rPr>
                <w:rFonts w:ascii="Calibri" w:hAnsi="Calibri"/>
                <w:lang w:eastAsia="en-US"/>
              </w:rPr>
            </w:pPr>
            <w:r w:rsidRPr="0073005A">
              <w:rPr>
                <w:rFonts w:ascii="Calibri" w:hAnsi="Calibri"/>
                <w:lang w:eastAsia="en-US"/>
              </w:rPr>
              <w:t>tel. č. 02/5958 2507</w:t>
            </w:r>
          </w:p>
          <w:p w:rsidR="00A62E9A" w:rsidRPr="0073005A" w:rsidP="009C2D1A">
            <w:pPr>
              <w:bidi w:val="0"/>
              <w:rPr>
                <w:rFonts w:ascii="Calibri" w:hAnsi="Calibri"/>
                <w:lang w:eastAsia="en-US"/>
              </w:rPr>
            </w:pPr>
            <w:r w:rsidRPr="0073005A">
              <w:rPr>
                <w:rFonts w:ascii="Calibri" w:hAnsi="Calibri"/>
                <w:lang w:eastAsia="en-US"/>
              </w:rPr>
              <w:t xml:space="preserve">e-mail: </w:t>
            </w:r>
            <w:hyperlink r:id="rId4" w:history="1">
              <w:r w:rsidRPr="0073005A">
                <w:rPr>
                  <w:rStyle w:val="Hyperlink"/>
                  <w:rFonts w:ascii="Calibri" w:hAnsi="Calibri"/>
                  <w:lang w:eastAsia="en-US"/>
                </w:rPr>
                <w:t>gabriel.droba@mfsr.sk</w:t>
              </w:r>
            </w:hyperlink>
          </w:p>
          <w:p w:rsidR="00A62E9A" w:rsidRPr="0073005A" w:rsidP="009C2D1A">
            <w:pPr>
              <w:bidi w:val="0"/>
              <w:rPr>
                <w:rFonts w:ascii="Calibri" w:hAnsi="Calibri"/>
                <w:i/>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3005A" w:rsidP="009C2D1A">
            <w:pPr>
              <w:bidi w:val="0"/>
              <w:rPr>
                <w:rFonts w:ascii="Calibri" w:hAnsi="Calibri"/>
                <w:b/>
                <w:lang w:eastAsia="en-US"/>
              </w:rPr>
            </w:pPr>
            <w:r w:rsidRPr="00815217">
              <w:rPr>
                <w:rFonts w:ascii="Calibri" w:hAnsi="Calibri"/>
                <w:i/>
                <w:lang w:eastAsia="en-US"/>
              </w:rPr>
              <w:t>Pri vypracovaní doložky</w:t>
            </w:r>
            <w:r>
              <w:rPr>
                <w:rFonts w:ascii="Calibri" w:hAnsi="Calibri"/>
                <w:i/>
                <w:lang w:eastAsia="en-US"/>
              </w:rPr>
              <w:t xml:space="preserve"> vplyvov vrátane analýzy boli použité údaje Štatistického úradu Slovenskej republiky, Národnej banky Slovenska, ako aj expertné odhady MF SR.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62E9A" w:rsidRPr="0073005A" w:rsidP="00A62E9A">
            <w:pPr>
              <w:pStyle w:val="ListParagraph"/>
              <w:numPr>
                <w:numId w:val="5"/>
              </w:numPr>
              <w:suppressAutoHyphens w:val="0"/>
              <w:bidi w:val="0"/>
              <w:ind w:left="426"/>
              <w:contextualSpacing/>
              <w:rPr>
                <w:rFonts w:ascii="Times New Roman" w:hAnsi="Times New Roman"/>
                <w:b/>
                <w:szCs w:val="24"/>
              </w:rPr>
            </w:pPr>
            <w:r w:rsidRPr="0073005A">
              <w:rPr>
                <w:rFonts w:ascii="Times New Roman" w:hAnsi="Times New Roman"/>
                <w:b/>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62E9A" w:rsidRPr="0072556D" w:rsidP="009C2D1A">
            <w:pPr>
              <w:bidi w:val="0"/>
              <w:jc w:val="both"/>
              <w:rPr>
                <w:rFonts w:ascii="Arial" w:hAnsi="Arial" w:cs="Arial"/>
                <w:bCs/>
                <w:szCs w:val="22"/>
                <w:lang w:eastAsia="en-US"/>
              </w:rPr>
            </w:pPr>
            <w:r w:rsidRPr="0072556D">
              <w:rPr>
                <w:rFonts w:ascii="Arial" w:hAnsi="Arial" w:cs="Arial"/>
                <w:b/>
                <w:bCs/>
                <w:szCs w:val="22"/>
                <w:lang w:eastAsia="en-US"/>
              </w:rPr>
              <w:t xml:space="preserve">I. Úvod: </w:t>
            </w:r>
            <w:r>
              <w:rPr>
                <w:rFonts w:ascii="Arial" w:hAnsi="Arial" w:cs="Arial"/>
                <w:bCs/>
                <w:szCs w:val="22"/>
                <w:lang w:eastAsia="en-US"/>
              </w:rPr>
              <w:t>Ministerstvo financií Slovenskej republiky dňa</w:t>
            </w:r>
            <w:r w:rsidRPr="0072556D">
              <w:rPr>
                <w:rFonts w:ascii="Arial" w:hAnsi="Arial" w:cs="Arial"/>
                <w:bCs/>
                <w:szCs w:val="22"/>
                <w:lang w:eastAsia="en-US"/>
              </w:rPr>
              <w:t xml:space="preserve"> </w:t>
            </w:r>
            <w:r>
              <w:rPr>
                <w:rFonts w:ascii="Arial" w:hAnsi="Arial" w:cs="Arial"/>
                <w:bCs/>
                <w:szCs w:val="22"/>
                <w:lang w:eastAsia="en-US"/>
              </w:rPr>
              <w:t>14</w:t>
            </w:r>
            <w:r w:rsidRPr="0072556D">
              <w:rPr>
                <w:rFonts w:ascii="Arial" w:hAnsi="Arial" w:cs="Arial"/>
                <w:bCs/>
                <w:szCs w:val="22"/>
                <w:lang w:eastAsia="en-US"/>
              </w:rPr>
              <w:t>.</w:t>
            </w:r>
            <w:r>
              <w:rPr>
                <w:rFonts w:ascii="Arial" w:hAnsi="Arial" w:cs="Arial"/>
                <w:bCs/>
                <w:szCs w:val="22"/>
                <w:lang w:eastAsia="en-US"/>
              </w:rPr>
              <w:t xml:space="preserve"> mája </w:t>
            </w:r>
            <w:r w:rsidRPr="0072556D">
              <w:rPr>
                <w:rFonts w:ascii="Arial" w:hAnsi="Arial" w:cs="Arial"/>
                <w:bCs/>
                <w:szCs w:val="22"/>
                <w:lang w:eastAsia="en-US"/>
              </w:rPr>
              <w:t>201</w:t>
            </w:r>
            <w:r>
              <w:rPr>
                <w:rFonts w:ascii="Arial" w:hAnsi="Arial" w:cs="Arial"/>
                <w:bCs/>
                <w:szCs w:val="22"/>
                <w:lang w:eastAsia="en-US"/>
              </w:rPr>
              <w:t>8</w:t>
            </w:r>
            <w:r w:rsidRPr="0072556D">
              <w:rPr>
                <w:rFonts w:ascii="Arial" w:hAnsi="Arial" w:cs="Arial"/>
                <w:bCs/>
                <w:szCs w:val="22"/>
                <w:lang w:eastAsia="en-US"/>
              </w:rPr>
              <w:t xml:space="preserve"> predložil</w:t>
            </w:r>
            <w:r>
              <w:rPr>
                <w:rFonts w:ascii="Arial" w:hAnsi="Arial" w:cs="Arial"/>
                <w:bCs/>
                <w:szCs w:val="22"/>
                <w:lang w:eastAsia="en-US"/>
              </w:rPr>
              <w:t>o Stálej pracovnej komisii</w:t>
            </w:r>
            <w:r w:rsidRPr="0072556D">
              <w:rPr>
                <w:rFonts w:ascii="Arial" w:hAnsi="Arial" w:cs="Arial"/>
                <w:bCs/>
                <w:szCs w:val="22"/>
                <w:lang w:eastAsia="en-US"/>
              </w:rPr>
              <w:t xml:space="preserve"> na posudzovanie vybraných vplyvov (ďalej len „Komisia</w:t>
            </w:r>
            <w:r>
              <w:rPr>
                <w:rFonts w:ascii="Arial" w:hAnsi="Arial" w:cs="Arial"/>
                <w:bCs/>
                <w:szCs w:val="22"/>
                <w:lang w:eastAsia="en-US"/>
              </w:rPr>
              <w:t>“)</w:t>
            </w:r>
            <w:r w:rsidRPr="00A56461">
              <w:rPr>
                <w:rFonts w:ascii="Arial" w:hAnsi="Arial" w:cs="Arial"/>
                <w:bCs/>
                <w:lang w:eastAsia="en-US"/>
              </w:rPr>
              <w:t xml:space="preserve"> </w:t>
            </w:r>
            <w:r>
              <w:rPr>
                <w:rFonts w:ascii="Arial" w:hAnsi="Arial" w:cs="Arial"/>
                <w:bCs/>
                <w:lang w:eastAsia="en-US"/>
              </w:rPr>
              <w:t xml:space="preserve">na záverečné posúdenie vybraných vplyvov materiál </w:t>
            </w:r>
            <w:r w:rsidRPr="00CB3C04">
              <w:rPr>
                <w:rFonts w:ascii="Arial" w:hAnsi="Arial" w:cs="Arial"/>
                <w:bCs/>
                <w:i/>
                <w:lang w:eastAsia="en-US"/>
              </w:rPr>
              <w:t>„</w:t>
            </w:r>
            <w:r w:rsidRPr="00284AAF">
              <w:rPr>
                <w:rFonts w:ascii="Arial" w:hAnsi="Arial" w:cs="Arial"/>
                <w:bCs/>
                <w:i/>
                <w:lang w:eastAsia="en-US"/>
              </w:rPr>
              <w:t>Návrh zákona, ktorým sa mení a dopĺňa zákon Slovenskej národnej rady č. 310/1992 Zb.</w:t>
            </w:r>
            <w:r>
              <w:rPr>
                <w:rFonts w:ascii="Arial" w:hAnsi="Arial" w:cs="Arial"/>
                <w:bCs/>
                <w:i/>
                <w:lang w:eastAsia="en-US"/>
              </w:rPr>
              <w:t xml:space="preserve"> </w:t>
            </w:r>
            <w:r w:rsidRPr="00284AAF">
              <w:rPr>
                <w:rFonts w:ascii="Arial" w:hAnsi="Arial" w:cs="Arial"/>
                <w:bCs/>
                <w:i/>
                <w:lang w:eastAsia="en-US"/>
              </w:rPr>
              <w:t>o stavebnom sporení v znení neskorších predpisov</w:t>
            </w:r>
            <w:r>
              <w:rPr>
                <w:rFonts w:ascii="Arial" w:hAnsi="Arial" w:cs="Arial"/>
                <w:bCs/>
                <w:i/>
                <w:lang w:eastAsia="en-US"/>
              </w:rPr>
              <w:t xml:space="preserve">“. </w:t>
            </w:r>
            <w:r w:rsidRPr="00D87210">
              <w:rPr>
                <w:rFonts w:ascii="Arial" w:hAnsi="Arial" w:cs="Arial"/>
                <w:iCs/>
                <w:szCs w:val="22"/>
                <w:lang w:eastAsia="en-US"/>
              </w:rPr>
              <w:t xml:space="preserve">Materiál predpokladá </w:t>
            </w:r>
            <w:r>
              <w:rPr>
                <w:rFonts w:ascii="Arial" w:hAnsi="Arial" w:cs="Arial"/>
                <w:iCs/>
                <w:szCs w:val="22"/>
                <w:lang w:eastAsia="en-US"/>
              </w:rPr>
              <w:t>pozitívne</w:t>
            </w:r>
            <w:r w:rsidRPr="00D87210">
              <w:rPr>
                <w:rFonts w:ascii="Arial" w:hAnsi="Arial" w:cs="Arial"/>
                <w:iCs/>
                <w:szCs w:val="22"/>
                <w:lang w:eastAsia="en-US"/>
              </w:rPr>
              <w:t xml:space="preserve"> vplyvy na rozpočet verejnej správy</w:t>
            </w:r>
            <w:r>
              <w:rPr>
                <w:rFonts w:ascii="Arial" w:hAnsi="Arial" w:cs="Arial"/>
                <w:iCs/>
                <w:szCs w:val="22"/>
                <w:lang w:eastAsia="en-US"/>
              </w:rPr>
              <w:t>; negatívne vplyvy na podnikateľské prostredie, vrátane negatívnych vplyvov na malé a stredné podniky a negatívne sociálne vplyvy.</w:t>
            </w:r>
          </w:p>
          <w:p w:rsidR="00A62E9A" w:rsidRPr="0072556D" w:rsidP="009C2D1A">
            <w:pPr>
              <w:tabs>
                <w:tab w:val="center" w:pos="6379"/>
              </w:tabs>
              <w:bidi w:val="0"/>
              <w:ind w:right="-2"/>
              <w:jc w:val="both"/>
              <w:rPr>
                <w:rFonts w:ascii="Arial" w:hAnsi="Arial" w:cs="Arial"/>
                <w:bCs/>
                <w:color w:val="FF0000"/>
                <w:szCs w:val="22"/>
                <w:lang w:eastAsia="en-US"/>
              </w:rPr>
            </w:pPr>
          </w:p>
          <w:p w:rsidR="00A62E9A" w:rsidRPr="00B47871" w:rsidP="009C2D1A">
            <w:pPr>
              <w:tabs>
                <w:tab w:val="center" w:pos="6379"/>
              </w:tabs>
              <w:bidi w:val="0"/>
              <w:ind w:right="-2"/>
              <w:jc w:val="both"/>
              <w:rPr>
                <w:rFonts w:ascii="Arial" w:hAnsi="Arial" w:cs="Arial"/>
                <w:bCs/>
                <w:szCs w:val="22"/>
                <w:lang w:eastAsia="en-US"/>
              </w:rPr>
            </w:pPr>
            <w:r w:rsidRPr="00B47871">
              <w:rPr>
                <w:rFonts w:ascii="Arial" w:hAnsi="Arial" w:cs="Arial"/>
                <w:b/>
                <w:bCs/>
                <w:szCs w:val="22"/>
                <w:lang w:eastAsia="en-US"/>
              </w:rPr>
              <w:t>II. P</w:t>
            </w:r>
            <w:r w:rsidRPr="00B47871">
              <w:rPr>
                <w:rFonts w:ascii="Arial" w:hAnsi="Arial" w:cs="Arial"/>
                <w:b/>
                <w:szCs w:val="22"/>
                <w:lang w:eastAsia="en-US"/>
              </w:rPr>
              <w:t>r</w:t>
            </w:r>
            <w:r w:rsidRPr="00B47871">
              <w:rPr>
                <w:rFonts w:ascii="Arial" w:hAnsi="Arial" w:cs="Arial"/>
                <w:b/>
                <w:bCs/>
                <w:szCs w:val="22"/>
                <w:lang w:eastAsia="en-US"/>
              </w:rPr>
              <w:t>ipomienky a návrhy zm</w:t>
            </w:r>
            <w:r w:rsidRPr="00B47871">
              <w:rPr>
                <w:rFonts w:ascii="Arial" w:hAnsi="Arial" w:cs="Arial"/>
                <w:b/>
                <w:szCs w:val="22"/>
                <w:lang w:eastAsia="en-US"/>
              </w:rPr>
              <w:t>ie</w:t>
            </w:r>
            <w:r w:rsidRPr="00B47871">
              <w:rPr>
                <w:rFonts w:ascii="Arial" w:hAnsi="Arial" w:cs="Arial"/>
                <w:b/>
                <w:bCs/>
                <w:szCs w:val="22"/>
                <w:lang w:eastAsia="en-US"/>
              </w:rPr>
              <w:t xml:space="preserve">n: </w:t>
            </w:r>
            <w:r w:rsidRPr="00B47871">
              <w:rPr>
                <w:rFonts w:ascii="Arial" w:hAnsi="Arial" w:cs="Arial"/>
                <w:bCs/>
                <w:szCs w:val="22"/>
                <w:lang w:eastAsia="en-US"/>
              </w:rPr>
              <w:t>Komisia neuplatňuje k materiálu žiadne pripomienky ani odporúčania.</w:t>
            </w:r>
          </w:p>
          <w:p w:rsidR="00A62E9A" w:rsidRPr="00B47871" w:rsidP="009C2D1A">
            <w:pPr>
              <w:tabs>
                <w:tab w:val="center" w:pos="6379"/>
              </w:tabs>
              <w:bidi w:val="0"/>
              <w:ind w:right="-2"/>
              <w:jc w:val="both"/>
              <w:rPr>
                <w:rFonts w:ascii="Arial" w:hAnsi="Arial" w:cs="Arial"/>
                <w:b/>
                <w:bCs/>
                <w:szCs w:val="22"/>
                <w:lang w:eastAsia="en-US"/>
              </w:rPr>
            </w:pPr>
          </w:p>
          <w:p w:rsidR="00A62E9A" w:rsidRPr="00B47871" w:rsidP="009C2D1A">
            <w:pPr>
              <w:tabs>
                <w:tab w:val="center" w:pos="6379"/>
              </w:tabs>
              <w:bidi w:val="0"/>
              <w:ind w:right="-2"/>
              <w:jc w:val="both"/>
              <w:rPr>
                <w:rFonts w:ascii="Arial" w:hAnsi="Arial" w:cs="Arial"/>
                <w:bCs/>
                <w:szCs w:val="22"/>
                <w:lang w:eastAsia="en-US"/>
              </w:rPr>
            </w:pPr>
            <w:r w:rsidRPr="00B47871">
              <w:rPr>
                <w:rFonts w:ascii="Arial" w:hAnsi="Arial" w:cs="Arial"/>
                <w:b/>
                <w:bCs/>
                <w:szCs w:val="22"/>
                <w:lang w:eastAsia="en-US"/>
              </w:rPr>
              <w:t xml:space="preserve">III. Záver: </w:t>
            </w:r>
            <w:r w:rsidRPr="00B47871">
              <w:rPr>
                <w:rFonts w:ascii="Arial" w:hAnsi="Arial" w:cs="Arial"/>
                <w:bCs/>
                <w:szCs w:val="22"/>
                <w:lang w:eastAsia="en-US"/>
              </w:rPr>
              <w:t xml:space="preserve">Stála pracovná komisia na posudzovanie vybraných vplyvov vyjadruje </w:t>
            </w:r>
          </w:p>
          <w:p w:rsidR="00A62E9A" w:rsidP="009C2D1A">
            <w:pPr>
              <w:tabs>
                <w:tab w:val="center" w:pos="6379"/>
              </w:tabs>
              <w:bidi w:val="0"/>
              <w:ind w:right="-2"/>
              <w:jc w:val="center"/>
              <w:rPr>
                <w:rFonts w:ascii="Arial" w:hAnsi="Arial" w:cs="Arial"/>
                <w:b/>
                <w:bCs/>
                <w:szCs w:val="22"/>
                <w:lang w:eastAsia="en-US"/>
              </w:rPr>
            </w:pPr>
          </w:p>
          <w:p w:rsidR="00A62E9A" w:rsidRPr="00B47871" w:rsidP="009C2D1A">
            <w:pPr>
              <w:tabs>
                <w:tab w:val="center" w:pos="6379"/>
              </w:tabs>
              <w:bidi w:val="0"/>
              <w:ind w:right="-2"/>
              <w:jc w:val="center"/>
              <w:rPr>
                <w:rFonts w:ascii="Arial" w:hAnsi="Arial" w:cs="Arial"/>
                <w:b/>
                <w:bCs/>
                <w:szCs w:val="22"/>
                <w:lang w:eastAsia="en-US"/>
              </w:rPr>
            </w:pPr>
          </w:p>
          <w:p w:rsidR="00A62E9A" w:rsidP="009C2D1A">
            <w:pPr>
              <w:tabs>
                <w:tab w:val="center" w:pos="6379"/>
              </w:tabs>
              <w:bidi w:val="0"/>
              <w:ind w:right="-2"/>
              <w:jc w:val="center"/>
              <w:rPr>
                <w:rFonts w:ascii="Arial" w:hAnsi="Arial" w:cs="Arial"/>
                <w:b/>
                <w:bCs/>
                <w:szCs w:val="22"/>
                <w:lang w:eastAsia="en-US"/>
              </w:rPr>
            </w:pPr>
            <w:r w:rsidRPr="00B47871">
              <w:rPr>
                <w:rFonts w:ascii="Arial" w:hAnsi="Arial" w:cs="Arial"/>
                <w:b/>
                <w:bCs/>
                <w:szCs w:val="22"/>
                <w:lang w:eastAsia="en-US"/>
              </w:rPr>
              <w:t>súhlasné stanovisko</w:t>
            </w:r>
          </w:p>
          <w:p w:rsidR="00A62E9A" w:rsidP="009C2D1A">
            <w:pPr>
              <w:tabs>
                <w:tab w:val="center" w:pos="6379"/>
              </w:tabs>
              <w:bidi w:val="0"/>
              <w:ind w:right="-2"/>
              <w:jc w:val="both"/>
              <w:rPr>
                <w:rFonts w:ascii="Arial" w:hAnsi="Arial" w:cs="Arial"/>
                <w:b/>
                <w:bCs/>
                <w:lang w:eastAsia="en-US"/>
              </w:rPr>
            </w:pPr>
          </w:p>
          <w:p w:rsidR="00A62E9A" w:rsidP="009C2D1A">
            <w:pPr>
              <w:tabs>
                <w:tab w:val="center" w:pos="6379"/>
              </w:tabs>
              <w:bidi w:val="0"/>
              <w:ind w:right="-2"/>
              <w:jc w:val="both"/>
              <w:rPr>
                <w:rFonts w:ascii="Arial" w:hAnsi="Arial" w:cs="Arial"/>
                <w:b/>
                <w:bCs/>
                <w:lang w:eastAsia="en-US"/>
              </w:rPr>
            </w:pPr>
          </w:p>
          <w:p w:rsidR="00A62E9A" w:rsidP="009C2D1A">
            <w:pPr>
              <w:tabs>
                <w:tab w:val="center" w:pos="6379"/>
              </w:tabs>
              <w:bidi w:val="0"/>
              <w:ind w:right="-2"/>
              <w:jc w:val="both"/>
              <w:rPr>
                <w:rFonts w:ascii="Arial" w:hAnsi="Arial" w:cs="Arial"/>
                <w:b/>
                <w:bCs/>
                <w:lang w:eastAsia="en-US"/>
              </w:rPr>
            </w:pPr>
            <w:r>
              <w:rPr>
                <w:rFonts w:ascii="Arial" w:hAnsi="Arial" w:cs="Arial"/>
                <w:bCs/>
                <w:szCs w:val="22"/>
                <w:lang w:eastAsia="en-US"/>
              </w:rPr>
              <w:t xml:space="preserve">s materiálom </w:t>
            </w:r>
            <w:r>
              <w:rPr>
                <w:rFonts w:ascii="Arial" w:hAnsi="Arial" w:cs="Arial"/>
                <w:bCs/>
                <w:lang w:eastAsia="en-US"/>
              </w:rPr>
              <w:t xml:space="preserve">predloženým na záverečné posúdenie vybraných vplyvov. </w:t>
            </w:r>
          </w:p>
          <w:p w:rsidR="00A62E9A" w:rsidP="009C2D1A">
            <w:pPr>
              <w:tabs>
                <w:tab w:val="center" w:pos="6379"/>
              </w:tabs>
              <w:bidi w:val="0"/>
              <w:ind w:right="-2"/>
              <w:jc w:val="both"/>
              <w:rPr>
                <w:rFonts w:ascii="Arial" w:hAnsi="Arial" w:cs="Arial"/>
                <w:b/>
                <w:bCs/>
                <w:lang w:eastAsia="en-US"/>
              </w:rPr>
            </w:pPr>
          </w:p>
          <w:p w:rsidR="00A62E9A" w:rsidRPr="00CB3C04" w:rsidP="009C2D1A">
            <w:pPr>
              <w:tabs>
                <w:tab w:val="center" w:pos="6379"/>
              </w:tabs>
              <w:bidi w:val="0"/>
              <w:ind w:right="-2"/>
              <w:jc w:val="both"/>
              <w:rPr>
                <w:rFonts w:ascii="Arial" w:hAnsi="Arial" w:cs="Arial"/>
                <w:b/>
                <w:bCs/>
                <w:lang w:eastAsia="en-US"/>
              </w:rPr>
            </w:pPr>
            <w:r>
              <w:rPr>
                <w:rFonts w:ascii="Arial" w:hAnsi="Arial" w:cs="Arial"/>
                <w:b/>
                <w:bCs/>
                <w:lang w:eastAsia="en-US"/>
              </w:rPr>
              <w:t xml:space="preserve">IV. Poznámka: </w:t>
            </w:r>
            <w:r w:rsidRPr="00C74178">
              <w:rPr>
                <w:rFonts w:ascii="Arial" w:hAnsi="Arial" w:cs="Arial"/>
                <w:bCs/>
                <w:lang w:eastAsia="en-US"/>
              </w:rPr>
              <w:t xml:space="preserve">Stanovisko </w:t>
            </w:r>
            <w:r>
              <w:rPr>
                <w:rFonts w:ascii="Arial" w:hAnsi="Arial" w:cs="Arial"/>
                <w:bCs/>
                <w:lang w:eastAsia="en-US"/>
              </w:rPr>
              <w:t>K</w:t>
            </w:r>
            <w:r w:rsidRPr="00C74178">
              <w:rPr>
                <w:rFonts w:ascii="Arial" w:hAnsi="Arial" w:cs="Arial"/>
                <w:bCs/>
                <w:lang w:eastAsia="en-US"/>
              </w:rPr>
              <w:t>omisie k doložke je súčasťou materiálu predkladaného na rokovanie vlády Slovenskej republiky alebo na schválenie ministrovi, vedúcemu, predsedovi alebo riaditeľovi ostatného ústredného orgánu štátnej správy alebo vedúcemu iného orgánu</w:t>
            </w:r>
          </w:p>
          <w:p w:rsidR="00A62E9A" w:rsidP="009C2D1A">
            <w:pPr>
              <w:tabs>
                <w:tab w:val="center" w:pos="6379"/>
              </w:tabs>
              <w:bidi w:val="0"/>
              <w:ind w:right="-2"/>
              <w:jc w:val="both"/>
              <w:rPr>
                <w:rFonts w:ascii="Arial" w:hAnsi="Arial" w:cs="Arial"/>
                <w:bCs/>
                <w:lang w:eastAsia="en-US"/>
              </w:rPr>
            </w:pPr>
          </w:p>
          <w:p w:rsidR="00A62E9A" w:rsidRPr="00815217" w:rsidP="009C2D1A">
            <w:pPr>
              <w:bidi w:val="0"/>
              <w:jc w:val="both"/>
              <w:rPr>
                <w:rFonts w:ascii="Calibri" w:hAnsi="Calibri"/>
                <w:lang w:eastAsia="en-US"/>
              </w:rPr>
            </w:pPr>
          </w:p>
        </w:tc>
      </w:tr>
    </w:tbl>
    <w:p w:rsidR="00A62E9A" w:rsidRPr="0073005A" w:rsidP="00A62E9A">
      <w:pPr>
        <w:bidi w:val="0"/>
        <w:rPr>
          <w:rFonts w:ascii="Times New Roman" w:hAnsi="Times New Roman"/>
          <w:b/>
        </w:rPr>
      </w:pPr>
    </w:p>
    <w:p w:rsidR="00A62E9A" w:rsidP="00677D1D">
      <w:pPr>
        <w:bidi w:val="0"/>
        <w:jc w:val="center"/>
        <w:rPr>
          <w:rFonts w:ascii="Times New Roman" w:hAnsi="Times New Roman"/>
          <w:b/>
          <w:bCs/>
          <w:sz w:val="28"/>
          <w:szCs w:val="28"/>
        </w:rPr>
      </w:pPr>
    </w:p>
    <w:p w:rsidR="00A62E9A" w:rsidP="00677D1D">
      <w:pPr>
        <w:bidi w:val="0"/>
        <w:jc w:val="center"/>
        <w:rPr>
          <w:rFonts w:ascii="Times New Roman" w:hAnsi="Times New Roman"/>
          <w:b/>
          <w:bCs/>
          <w:sz w:val="28"/>
          <w:szCs w:val="28"/>
        </w:rPr>
      </w:pPr>
    </w:p>
    <w:p w:rsidR="00677D1D" w:rsidRPr="00CE6935" w:rsidP="00677D1D">
      <w:pPr>
        <w:bidi w:val="0"/>
        <w:jc w:val="center"/>
        <w:rPr>
          <w:rFonts w:ascii="Times New Roman" w:hAnsi="Times New Roman"/>
          <w:b/>
          <w:bCs/>
          <w:sz w:val="28"/>
          <w:szCs w:val="28"/>
        </w:rPr>
      </w:pPr>
      <w:r w:rsidRPr="00CE6935">
        <w:rPr>
          <w:rFonts w:ascii="Times New Roman" w:hAnsi="Times New Roman"/>
          <w:b/>
          <w:bCs/>
          <w:sz w:val="28"/>
          <w:szCs w:val="28"/>
        </w:rPr>
        <w:t>Analýza vplyvov na rozpočet verejnej správy,</w:t>
      </w:r>
    </w:p>
    <w:p w:rsidR="00677D1D" w:rsidRPr="00CE6935" w:rsidP="00677D1D">
      <w:pPr>
        <w:bidi w:val="0"/>
        <w:jc w:val="center"/>
        <w:rPr>
          <w:rFonts w:ascii="Times New Roman" w:hAnsi="Times New Roman"/>
          <w:b/>
          <w:bCs/>
          <w:sz w:val="28"/>
          <w:szCs w:val="28"/>
        </w:rPr>
      </w:pPr>
      <w:r w:rsidRPr="00CE6935">
        <w:rPr>
          <w:rFonts w:ascii="Times New Roman" w:hAnsi="Times New Roman"/>
          <w:b/>
          <w:bCs/>
          <w:sz w:val="28"/>
          <w:szCs w:val="28"/>
        </w:rPr>
        <w:t>na zamestnanosť vo verejnej správe a financovanie návrhu</w:t>
      </w:r>
    </w:p>
    <w:p w:rsidR="00677D1D" w:rsidRPr="003B1AD2" w:rsidP="00677D1D">
      <w:pPr>
        <w:bidi w:val="0"/>
        <w:jc w:val="right"/>
        <w:rPr>
          <w:rFonts w:ascii="Arial Narrow" w:hAnsi="Arial Narrow"/>
          <w:b/>
          <w:bCs/>
        </w:rPr>
      </w:pPr>
    </w:p>
    <w:p w:rsidR="00677D1D" w:rsidRPr="00CE6935" w:rsidP="00677D1D">
      <w:pPr>
        <w:bidi w:val="0"/>
        <w:rPr>
          <w:rFonts w:ascii="Times New Roman" w:hAnsi="Times New Roman"/>
          <w:b/>
          <w:bCs/>
        </w:rPr>
      </w:pPr>
    </w:p>
    <w:p w:rsidR="00677D1D" w:rsidRPr="00CE6935" w:rsidP="00677D1D">
      <w:pPr>
        <w:bidi w:val="0"/>
        <w:rPr>
          <w:rFonts w:ascii="Times New Roman" w:hAnsi="Times New Roman"/>
          <w:b/>
          <w:bCs/>
        </w:rPr>
      </w:pPr>
      <w:r w:rsidRPr="00CE6935">
        <w:rPr>
          <w:rFonts w:ascii="Times New Roman" w:hAnsi="Times New Roman"/>
          <w:b/>
          <w:bCs/>
        </w:rPr>
        <w:t>2.1 Zhrnutie vplyvov na rozpočet verejnej správy v návrhu</w:t>
      </w:r>
    </w:p>
    <w:p w:rsidR="00677D1D" w:rsidRPr="00CE6935" w:rsidP="00677D1D">
      <w:pPr>
        <w:bidi w:val="0"/>
        <w:jc w:val="right"/>
        <w:rPr>
          <w:rFonts w:ascii="Times New Roman" w:hAnsi="Times New Roman"/>
        </w:rPr>
      </w:pPr>
    </w:p>
    <w:p w:rsidR="00677D1D" w:rsidRPr="00CE6935" w:rsidP="00677D1D">
      <w:pPr>
        <w:bidi w:val="0"/>
        <w:jc w:val="right"/>
        <w:rPr>
          <w:rFonts w:ascii="Times New Roman" w:hAnsi="Times New Roman"/>
        </w:rPr>
      </w:pPr>
      <w:r w:rsidRPr="00CE6935">
        <w:rPr>
          <w:rFonts w:ascii="Times New Roman" w:hAnsi="Times New Roman"/>
        </w:rPr>
        <w:t xml:space="preserve">Tabuľka č. 1 </w:t>
      </w:r>
    </w:p>
    <w:tbl>
      <w:tblPr>
        <w:tblStyle w:val="TableNormal"/>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485"/>
        <w:gridCol w:w="1417"/>
      </w:tblGrid>
      <w:tr>
        <w:tblPrEx>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bookmarkStart w:id="0" w:name="OLE_LINK1"/>
            <w:r w:rsidRPr="00CE6935">
              <w:rPr>
                <w:rFonts w:ascii="Times New Roman" w:hAnsi="Times New Roman"/>
                <w:b/>
                <w:bCs/>
              </w:rPr>
              <w:t>Vplyvy na rozpočet verejnej správy</w:t>
            </w:r>
          </w:p>
        </w:tc>
        <w:tc>
          <w:tcPr>
            <w:tcW w:w="54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r w:rsidRPr="00CE6935">
              <w:rPr>
                <w:rFonts w:ascii="Times New Roman" w:hAnsi="Times New Roman"/>
                <w:b/>
                <w:bCs/>
              </w:rPr>
              <w:t>Vplyv na rozpočet verejnej správy (v eurách)</w:t>
            </w:r>
          </w:p>
        </w:tc>
      </w:tr>
      <w:tr>
        <w:tblPrEx>
          <w:tblW w:w="10097"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r w:rsidRPr="00CE6935">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r w:rsidRPr="00CE6935">
              <w:rPr>
                <w:rFonts w:ascii="Times New Roman" w:hAnsi="Times New Roman"/>
                <w:b/>
                <w:bCs/>
              </w:rPr>
              <w:t>2019</w:t>
            </w:r>
          </w:p>
        </w:tc>
        <w:tc>
          <w:tcPr>
            <w:tcW w:w="148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r w:rsidRPr="00CE6935">
              <w:rPr>
                <w:rFonts w:ascii="Times New Roman" w:hAnsi="Times New Roman"/>
                <w:b/>
                <w:bCs/>
              </w:rPr>
              <w:t>2020</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bidi w:val="0"/>
              <w:jc w:val="center"/>
              <w:rPr>
                <w:rFonts w:ascii="Times New Roman" w:hAnsi="Times New Roman"/>
                <w:b/>
                <w:bCs/>
              </w:rPr>
            </w:pPr>
            <w:r w:rsidRPr="00CE6935">
              <w:rPr>
                <w:rFonts w:ascii="Times New Roman" w:hAnsi="Times New Roman"/>
                <w:b/>
                <w:bCs/>
              </w:rPr>
              <w:t>2021</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rPr>
                <w:rFonts w:ascii="Times New Roman" w:hAnsi="Times New Roman"/>
              </w:rPr>
            </w:pPr>
            <w:r w:rsidRPr="00CE6935">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r>
      <w:tr>
        <w:tblPrEx>
          <w:tblW w:w="10097"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rPr>
            </w:pPr>
            <w:r w:rsidRPr="00CE6935">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ind w:left="259"/>
              <w:rPr>
                <w:rFonts w:ascii="Times New Roman" w:hAnsi="Times New Roman"/>
                <w:b/>
                <w:bCs/>
                <w:i/>
                <w:iCs/>
              </w:rPr>
            </w:pPr>
            <w:r w:rsidRPr="00CE6935">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ind w:left="259"/>
              <w:rPr>
                <w:rFonts w:ascii="Times New Roman" w:hAnsi="Times New Roman"/>
                <w:bCs/>
                <w:i/>
                <w:iCs/>
              </w:rPr>
            </w:pPr>
            <w:r w:rsidRPr="00CE6935">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Pr>
                <w:rFonts w:ascii="Times New Roman" w:hAnsi="Times New Roman"/>
                <w:b/>
                <w:bCs/>
              </w:rPr>
              <w:t>6</w:t>
            </w:r>
            <w:r w:rsidRPr="00CE6935">
              <w:rPr>
                <w:rFonts w:ascii="Times New Roman" w:hAnsi="Times New Roman"/>
                <w:b/>
                <w:bCs/>
              </w:rPr>
              <w:t> </w:t>
            </w:r>
            <w:r>
              <w:rPr>
                <w:rFonts w:ascii="Times New Roman" w:hAnsi="Times New Roman"/>
                <w:b/>
                <w:bCs/>
              </w:rPr>
              <w:t>3</w:t>
            </w:r>
            <w:r w:rsidRPr="00CE6935">
              <w:rPr>
                <w:rFonts w:ascii="Times New Roman" w:hAnsi="Times New Roman"/>
                <w:b/>
                <w:bCs/>
              </w:rPr>
              <w:t>00 000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Pr>
                <w:rFonts w:ascii="Times New Roman" w:hAnsi="Times New Roman"/>
                <w:b/>
                <w:bCs/>
              </w:rPr>
              <w:t>3</w:t>
            </w:r>
            <w:r w:rsidRPr="00CE6935">
              <w:rPr>
                <w:rFonts w:ascii="Times New Roman" w:hAnsi="Times New Roman"/>
                <w:b/>
                <w:bCs/>
              </w:rPr>
              <w:t> </w:t>
            </w:r>
            <w:r>
              <w:rPr>
                <w:rFonts w:ascii="Times New Roman" w:hAnsi="Times New Roman"/>
                <w:b/>
                <w:bCs/>
              </w:rPr>
              <w:t>5</w:t>
            </w:r>
            <w:r w:rsidRPr="00CE6935">
              <w:rPr>
                <w:rFonts w:ascii="Times New Roman" w:hAnsi="Times New Roman"/>
                <w:b/>
                <w:bCs/>
              </w:rPr>
              <w:t xml:space="preserve">00 000   </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spacing w:line="70" w:lineRule="atLeast"/>
              <w:rPr>
                <w:rFonts w:ascii="Times New Roman" w:hAnsi="Times New Roman"/>
              </w:rPr>
            </w:pPr>
            <w:r w:rsidRPr="00CE6935">
              <w:rPr>
                <w:rFonts w:ascii="Times New Roman" w:hAnsi="Times New Roman"/>
              </w:rPr>
              <w:t>v tom:</w:t>
            </w:r>
            <w:r>
              <w:rPr>
                <w:rFonts w:ascii="Times New Roman" w:hAnsi="Times New Roman"/>
              </w:rPr>
              <w:t xml:space="preserve"> </w:t>
            </w:r>
            <w:r w:rsidRPr="00CE6935">
              <w:rPr>
                <w:rFonts w:ascii="Times New Roman" w:hAnsi="Times New Roman"/>
              </w:rPr>
              <w:t>kapitola MDV SR</w:t>
            </w:r>
          </w:p>
          <w:p w:rsidR="00677D1D" w:rsidP="00E04937">
            <w:pPr>
              <w:bidi w:val="0"/>
              <w:spacing w:line="70" w:lineRule="atLeast"/>
              <w:rPr>
                <w:rFonts w:ascii="Times New Roman" w:hAnsi="Times New Roman"/>
              </w:rPr>
            </w:pPr>
            <w:r w:rsidRPr="00CE6935">
              <w:rPr>
                <w:rFonts w:ascii="Times New Roman" w:hAnsi="Times New Roman"/>
              </w:rPr>
              <w:t>017 - program podpory rozvoja bývania,</w:t>
            </w:r>
          </w:p>
          <w:p w:rsidR="00677D1D" w:rsidRPr="00CE6935" w:rsidP="00E04937">
            <w:pPr>
              <w:bidi w:val="0"/>
              <w:spacing w:line="70" w:lineRule="atLeast"/>
              <w:rPr>
                <w:rFonts w:ascii="Times New Roman" w:hAnsi="Times New Roman"/>
              </w:rPr>
            </w:pPr>
            <w:r w:rsidRPr="00CE6935">
              <w:rPr>
                <w:rFonts w:ascii="Times New Roman" w:hAnsi="Times New Roman"/>
              </w:rPr>
              <w:t>017 06 Štátna prémia v stavebnom sporení</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6</w:t>
            </w:r>
            <w:r w:rsidRPr="00CE6935">
              <w:rPr>
                <w:rFonts w:ascii="Times New Roman" w:hAnsi="Times New Roman"/>
              </w:rPr>
              <w:t> </w:t>
            </w:r>
            <w:r>
              <w:rPr>
                <w:rFonts w:ascii="Times New Roman" w:hAnsi="Times New Roman"/>
              </w:rPr>
              <w:t>3</w:t>
            </w:r>
            <w:r w:rsidRPr="00CE6935">
              <w:rPr>
                <w:rFonts w:ascii="Times New Roman" w:hAnsi="Times New Roman"/>
              </w:rPr>
              <w:t>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3</w:t>
            </w:r>
            <w:r w:rsidRPr="00CE6935">
              <w:rPr>
                <w:rFonts w:ascii="Times New Roman" w:hAnsi="Times New Roman"/>
              </w:rPr>
              <w:t> </w:t>
            </w:r>
            <w:r>
              <w:rPr>
                <w:rFonts w:ascii="Times New Roman" w:hAnsi="Times New Roman"/>
              </w:rPr>
              <w:t>5</w:t>
            </w:r>
            <w:r w:rsidRPr="00CE6935">
              <w:rPr>
                <w:rFonts w:ascii="Times New Roman" w:hAnsi="Times New Roman"/>
              </w:rPr>
              <w:t>00 000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6 300 000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3 500 00</w:t>
            </w: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ind w:left="259"/>
              <w:rPr>
                <w:rFonts w:ascii="Times New Roman" w:hAnsi="Times New Roman"/>
                <w:b/>
                <w:bCs/>
                <w:i/>
                <w:iCs/>
              </w:rPr>
            </w:pPr>
            <w:r w:rsidRPr="00CE6935">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6 3</w:t>
            </w:r>
            <w:r w:rsidRPr="00CE6935">
              <w:rPr>
                <w:rFonts w:ascii="Times New Roman" w:hAnsi="Times New Roman"/>
                <w:b/>
                <w:bCs/>
                <w:iCs/>
              </w:rPr>
              <w:t>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Pr>
                <w:rFonts w:ascii="Times New Roman" w:hAnsi="Times New Roman"/>
                <w:b/>
                <w:bCs/>
                <w:iCs/>
              </w:rPr>
              <w:t>3 5</w:t>
            </w:r>
            <w:r w:rsidRPr="00CE6935">
              <w:rPr>
                <w:rFonts w:ascii="Times New Roman" w:hAnsi="Times New Roman"/>
                <w:b/>
                <w:bCs/>
                <w:iCs/>
              </w:rPr>
              <w:t>00 000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Cs/>
                <w:i/>
                <w:iCs/>
              </w:rPr>
            </w:pPr>
            <w:r w:rsidRPr="00CE6935">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Cs/>
                <w:i/>
                <w:iCs/>
              </w:rPr>
            </w:pPr>
            <w:r w:rsidRPr="00CE6935">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sidRPr="00CE6935">
              <w:rPr>
                <w:rFonts w:ascii="Times New Roman" w:hAnsi="Times New Roman"/>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rPr>
                <w:rFonts w:ascii="Times New Roman" w:hAnsi="Times New Roman"/>
                <w:b/>
              </w:rPr>
            </w:pPr>
            <w:r w:rsidRPr="00CE6935">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rPr>
            </w:pPr>
            <w:r w:rsidRPr="00CE6935">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rPr>
            </w:pPr>
            <w:r w:rsidRPr="00CE6935">
              <w:rPr>
                <w:rFonts w:ascii="Times New Roman" w:hAnsi="Times New Roman"/>
                <w:b/>
              </w:rPr>
              <w:t>0</w:t>
            </w:r>
          </w:p>
        </w:tc>
        <w:tc>
          <w:tcPr>
            <w:tcW w:w="148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rPr>
            </w:pPr>
            <w:r w:rsidRPr="00CE6935">
              <w:rPr>
                <w:rFonts w:ascii="Times New Roman" w:hAnsi="Times New Roman"/>
                <w:b/>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rPr>
            </w:pPr>
            <w:r w:rsidRPr="00CE6935">
              <w:rPr>
                <w:rFonts w:ascii="Times New Roman" w:hAnsi="Times New Roman"/>
                <w:b/>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i/>
                <w:iCs/>
              </w:rPr>
            </w:pPr>
            <w:r w:rsidRPr="00CE6935">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b/>
                <w:bCs/>
                <w:iCs/>
              </w:rPr>
            </w:pPr>
            <w:r w:rsidRPr="00CE6935">
              <w:rPr>
                <w:rFonts w:ascii="Times New Roman" w:hAnsi="Times New Roman"/>
                <w:b/>
                <w:bCs/>
                <w:i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8D3D3A" w:rsidP="00E04937">
            <w:pPr>
              <w:bidi w:val="0"/>
              <w:jc w:val="right"/>
              <w:rPr>
                <w:rFonts w:ascii="Times New Roman" w:hAnsi="Times New Roman"/>
                <w:b/>
              </w:rPr>
            </w:pPr>
            <w:r w:rsidRPr="008D3D3A">
              <w:rPr>
                <w:rFonts w:ascii="Times New Roman" w:hAnsi="Times New Roman"/>
                <w:b/>
              </w:rPr>
              <w:t>21 000 000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7D1D" w:rsidRPr="008D3D3A" w:rsidP="00E04937">
            <w:pPr>
              <w:bidi w:val="0"/>
              <w:jc w:val="right"/>
              <w:rPr>
                <w:rFonts w:ascii="Times New Roman" w:hAnsi="Times New Roman"/>
                <w:b/>
              </w:rPr>
            </w:pPr>
            <w:r w:rsidRPr="008D3D3A">
              <w:rPr>
                <w:rFonts w:ascii="Times New Roman" w:hAnsi="Times New Roman"/>
                <w:b/>
              </w:rPr>
              <w:t>20 000 000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77D1D" w:rsidP="00E04937">
            <w:pPr>
              <w:bidi w:val="0"/>
              <w:spacing w:line="70" w:lineRule="atLeast"/>
              <w:rPr>
                <w:rFonts w:ascii="Times New Roman" w:hAnsi="Times New Roman"/>
              </w:rPr>
            </w:pPr>
            <w:r w:rsidRPr="00CE6935">
              <w:rPr>
                <w:rFonts w:ascii="Times New Roman" w:hAnsi="Times New Roman"/>
              </w:rPr>
              <w:t>v tom: kapitola MDV SR</w:t>
            </w:r>
          </w:p>
          <w:p w:rsidR="00677D1D" w:rsidRPr="00CE6935" w:rsidP="00E04937">
            <w:pPr>
              <w:bidi w:val="0"/>
              <w:spacing w:line="70" w:lineRule="atLeast"/>
              <w:rPr>
                <w:rFonts w:ascii="Times New Roman" w:hAnsi="Times New Roman"/>
              </w:rPr>
            </w:pPr>
            <w:r w:rsidRPr="00CE6935">
              <w:rPr>
                <w:rFonts w:ascii="Times New Roman" w:hAnsi="Times New Roman"/>
              </w:rPr>
              <w:t>017 - program podpory rozvoja bývania,</w:t>
            </w:r>
          </w:p>
          <w:p w:rsidR="00677D1D" w:rsidRPr="00CE6935" w:rsidP="00E04937">
            <w:pPr>
              <w:bidi w:val="0"/>
              <w:rPr>
                <w:rFonts w:ascii="Times New Roman" w:hAnsi="Times New Roman"/>
              </w:rPr>
            </w:pPr>
            <w:r w:rsidRPr="00CE6935">
              <w:rPr>
                <w:rFonts w:ascii="Times New Roman" w:hAnsi="Times New Roman"/>
              </w:rPr>
              <w:t>017 06 Štátna prémia v stavebnom sporení</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0</w:t>
            </w:r>
          </w:p>
        </w:tc>
        <w:tc>
          <w:tcPr>
            <w:tcW w:w="1485"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21 000 000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77D1D" w:rsidRPr="00CE6935" w:rsidP="00E04937">
            <w:pPr>
              <w:bidi w:val="0"/>
              <w:jc w:val="right"/>
              <w:rPr>
                <w:rFonts w:ascii="Times New Roman" w:hAnsi="Times New Roman"/>
              </w:rPr>
            </w:pPr>
            <w:r>
              <w:rPr>
                <w:rFonts w:ascii="Times New Roman" w:hAnsi="Times New Roman"/>
              </w:rPr>
              <w:t>20 000 000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rPr>
                <w:rFonts w:ascii="Times New Roman" w:hAnsi="Times New Roman"/>
                <w:b/>
              </w:rPr>
            </w:pPr>
            <w:r w:rsidRPr="00CE6935">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r>
      <w:tr>
        <w:tblPrEx>
          <w:tblW w:w="10097"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77D1D" w:rsidRPr="00CE6935" w:rsidP="00E04937">
            <w:pPr>
              <w:bidi w:val="0"/>
              <w:rPr>
                <w:rFonts w:ascii="Times New Roman" w:hAnsi="Times New Roman"/>
                <w:b/>
                <w:bCs/>
              </w:rPr>
            </w:pPr>
            <w:r w:rsidRPr="00CE6935">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rPr>
              <w:t>0</w:t>
            </w:r>
          </w:p>
        </w:tc>
        <w:tc>
          <w:tcPr>
            <w:tcW w:w="148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iCs/>
              </w:rPr>
              <w:t xml:space="preserve">- </w:t>
            </w:r>
            <w:r>
              <w:rPr>
                <w:rFonts w:ascii="Times New Roman" w:hAnsi="Times New Roman"/>
                <w:b/>
                <w:bCs/>
                <w:iCs/>
              </w:rPr>
              <w:t>14</w:t>
            </w:r>
            <w:r w:rsidRPr="00CE6935">
              <w:rPr>
                <w:rFonts w:ascii="Times New Roman" w:hAnsi="Times New Roman"/>
                <w:b/>
                <w:bCs/>
                <w:iCs/>
              </w:rPr>
              <w:t> </w:t>
            </w:r>
            <w:r>
              <w:rPr>
                <w:rFonts w:ascii="Times New Roman" w:hAnsi="Times New Roman"/>
                <w:b/>
                <w:bCs/>
                <w:iCs/>
              </w:rPr>
              <w:t>7</w:t>
            </w:r>
            <w:r w:rsidRPr="00CE6935">
              <w:rPr>
                <w:rFonts w:ascii="Times New Roman" w:hAnsi="Times New Roman"/>
                <w:b/>
                <w:bCs/>
                <w:iCs/>
              </w:rPr>
              <w:t>00 000</w:t>
            </w:r>
          </w:p>
        </w:tc>
        <w:tc>
          <w:tcPr>
            <w:tcW w:w="14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77D1D" w:rsidRPr="00CE6935" w:rsidP="00E04937">
            <w:pPr>
              <w:bidi w:val="0"/>
              <w:jc w:val="right"/>
              <w:rPr>
                <w:rFonts w:ascii="Times New Roman" w:hAnsi="Times New Roman"/>
                <w:b/>
                <w:bCs/>
              </w:rPr>
            </w:pPr>
            <w:r w:rsidRPr="00CE6935">
              <w:rPr>
                <w:rFonts w:ascii="Times New Roman" w:hAnsi="Times New Roman"/>
                <w:b/>
                <w:bCs/>
                <w:iCs/>
              </w:rPr>
              <w:t xml:space="preserve">- </w:t>
            </w:r>
            <w:r>
              <w:rPr>
                <w:rFonts w:ascii="Times New Roman" w:hAnsi="Times New Roman"/>
                <w:b/>
                <w:bCs/>
                <w:iCs/>
              </w:rPr>
              <w:t>16</w:t>
            </w:r>
            <w:r w:rsidRPr="00CE6935">
              <w:rPr>
                <w:rFonts w:ascii="Times New Roman" w:hAnsi="Times New Roman"/>
                <w:b/>
                <w:bCs/>
                <w:iCs/>
              </w:rPr>
              <w:t> </w:t>
            </w:r>
            <w:r>
              <w:rPr>
                <w:rFonts w:ascii="Times New Roman" w:hAnsi="Times New Roman"/>
                <w:b/>
                <w:bCs/>
                <w:iCs/>
              </w:rPr>
              <w:t>5</w:t>
            </w:r>
            <w:r w:rsidRPr="00CE6935">
              <w:rPr>
                <w:rFonts w:ascii="Times New Roman" w:hAnsi="Times New Roman"/>
                <w:b/>
                <w:bCs/>
                <w:iCs/>
              </w:rPr>
              <w:t>00 000</w:t>
            </w:r>
          </w:p>
        </w:tc>
      </w:tr>
    </w:tbl>
    <w:p w:rsidR="00677D1D" w:rsidRPr="00CE6935" w:rsidP="00677D1D">
      <w:pPr>
        <w:bidi w:val="0"/>
        <w:rPr>
          <w:rFonts w:ascii="Times New Roman" w:hAnsi="Times New Roman"/>
          <w:b/>
          <w:bCs/>
        </w:rPr>
      </w:pPr>
      <w:bookmarkEnd w:id="0"/>
    </w:p>
    <w:p w:rsidR="00677D1D" w:rsidRPr="00CE6935" w:rsidP="00677D1D">
      <w:pPr>
        <w:bidi w:val="0"/>
        <w:rPr>
          <w:rFonts w:ascii="Times New Roman" w:hAnsi="Times New Roman"/>
          <w:b/>
          <w:bCs/>
        </w:rPr>
      </w:pPr>
      <w:r w:rsidRPr="00CE6935">
        <w:rPr>
          <w:rFonts w:ascii="Times New Roman" w:hAnsi="Times New Roman"/>
          <w:b/>
          <w:bCs/>
        </w:rPr>
        <w:br w:type="page"/>
      </w:r>
    </w:p>
    <w:p w:rsidR="00677D1D" w:rsidRPr="00CE6935" w:rsidP="00677D1D">
      <w:pPr>
        <w:bidi w:val="0"/>
        <w:jc w:val="both"/>
        <w:rPr>
          <w:rFonts w:ascii="Times New Roman" w:hAnsi="Times New Roman"/>
          <w:b/>
          <w:bCs/>
        </w:rPr>
      </w:pPr>
      <w:r w:rsidRPr="00CE6935">
        <w:rPr>
          <w:rFonts w:ascii="Times New Roman" w:hAnsi="Times New Roman"/>
          <w:b/>
          <w:bCs/>
        </w:rPr>
        <w:t>2.1.1. Financovanie návrhu - Návrh na riešenie úbytku príjmov alebo zvýšených výdavkov podľa § 33 ods. 1 zákona č. 523/2004 Z. z. o rozpočtových pravidlách verejnej správy:</w:t>
      </w:r>
    </w:p>
    <w:p w:rsidR="00677D1D" w:rsidRPr="00CE6935" w:rsidP="00677D1D">
      <w:pPr>
        <w:bidi w:val="0"/>
        <w:jc w:val="both"/>
        <w:rPr>
          <w:rFonts w:ascii="Times New Roman" w:hAnsi="Times New Roman"/>
          <w:b/>
          <w:bCs/>
        </w:rPr>
      </w:pPr>
    </w:p>
    <w:p w:rsidR="00677D1D" w:rsidRPr="00CE6935" w:rsidP="00677D1D">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677D1D" w:rsidRPr="00CE6935" w:rsidP="00677D1D">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677D1D" w:rsidRPr="00CE6935" w:rsidP="00677D1D">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677D1D" w:rsidRPr="00CE6935" w:rsidP="00677D1D">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677D1D" w:rsidRPr="00CE6935" w:rsidP="00677D1D">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677D1D" w:rsidRPr="00CE6935" w:rsidP="00677D1D">
      <w:pPr>
        <w:bidi w:val="0"/>
        <w:rPr>
          <w:rFonts w:ascii="Times New Roman" w:hAnsi="Times New Roman"/>
          <w:b/>
          <w:bCs/>
        </w:rPr>
      </w:pPr>
      <w:r w:rsidRPr="00CE6935">
        <w:rPr>
          <w:rFonts w:ascii="Times New Roman" w:hAnsi="Times New Roman"/>
          <w:b/>
          <w:bCs/>
        </w:rPr>
        <w:t>2.2. Popis a charakteristika návrhu</w:t>
      </w:r>
    </w:p>
    <w:p w:rsidR="00677D1D" w:rsidRPr="00CE6935" w:rsidP="00677D1D">
      <w:pPr>
        <w:bidi w:val="0"/>
        <w:rPr>
          <w:rFonts w:ascii="Times New Roman" w:hAnsi="Times New Roman"/>
        </w:rPr>
      </w:pPr>
    </w:p>
    <w:p w:rsidR="00677D1D" w:rsidRPr="00CE6935" w:rsidP="00677D1D">
      <w:pPr>
        <w:bidi w:val="0"/>
        <w:jc w:val="both"/>
        <w:rPr>
          <w:rFonts w:ascii="Times New Roman" w:hAnsi="Times New Roman"/>
          <w:b/>
          <w:bCs/>
        </w:rPr>
      </w:pPr>
      <w:r w:rsidRPr="00CE6935">
        <w:rPr>
          <w:rFonts w:ascii="Times New Roman" w:hAnsi="Times New Roman"/>
          <w:b/>
          <w:bCs/>
        </w:rPr>
        <w:t>2.2.1. Popis návrhu:</w:t>
      </w:r>
    </w:p>
    <w:p w:rsidR="00677D1D" w:rsidRPr="00CE6935" w:rsidP="00677D1D">
      <w:pPr>
        <w:pStyle w:val="BodyText2"/>
        <w:bidi w:val="0"/>
        <w:rPr>
          <w:rFonts w:ascii="Times New Roman" w:hAnsi="Times New Roman"/>
        </w:rPr>
      </w:pPr>
    </w:p>
    <w:p w:rsidR="00677D1D" w:rsidRPr="00CE6935" w:rsidP="00677D1D">
      <w:pPr>
        <w:bidi w:val="0"/>
        <w:spacing w:after="120"/>
        <w:jc w:val="both"/>
        <w:rPr>
          <w:rFonts w:ascii="Times New Roman" w:hAnsi="Times New Roman"/>
        </w:rPr>
      </w:pPr>
      <w:r w:rsidRPr="00CE6935">
        <w:rPr>
          <w:rFonts w:ascii="Times New Roman" w:hAnsi="Times New Roman"/>
        </w:rPr>
        <w:t>Predmetom návrhu zákona, ktorým sa mení a dopĺňa zákon Slovenskej národnej rady</w:t>
        <w:br/>
        <w:t>č. 310/1992 Zb. o stavebnom sporení v znení neskorších predpisov je zvýšenie adresnosti, účelovosti a efektívnosti poskytovanej štátnej podpory na stavebné sporenie formou zrušenia inštitútu tzv. „priateľských sporiteľov“,</w:t>
      </w:r>
      <w:r w:rsidRPr="00677D1D">
        <w:rPr>
          <w:rFonts w:ascii="Times New Roman" w:hAnsi="Times New Roman"/>
        </w:rPr>
        <w:t xml:space="preserve"> zúženia okruhu poberateľov štátnej prémie podľa príjmu</w:t>
      </w:r>
      <w:r w:rsidRPr="00CE6935">
        <w:rPr>
          <w:rFonts w:ascii="Times New Roman" w:hAnsi="Times New Roman"/>
        </w:rPr>
        <w:t>, obmedzenia poberania štátnej prémie počas obdobia čerpania a splácania medziúveru</w:t>
      </w:r>
      <w:r>
        <w:rPr>
          <w:rFonts w:ascii="Times New Roman" w:hAnsi="Times New Roman"/>
        </w:rPr>
        <w:t xml:space="preserve">, osobitným limitovaním </w:t>
      </w:r>
      <w:r w:rsidRPr="00F40EF6">
        <w:rPr>
          <w:rFonts w:ascii="Times New Roman" w:hAnsi="Times New Roman"/>
        </w:rPr>
        <w:t xml:space="preserve">nároku na štátnu prémiu v prvom roku sporenia </w:t>
      </w:r>
      <w:r w:rsidRPr="00677D1D">
        <w:rPr>
          <w:rFonts w:ascii="Times New Roman" w:hAnsi="Times New Roman"/>
        </w:rPr>
        <w:t>a znížením minimálnej percentuálnej výšky štátnej prémie</w:t>
      </w:r>
      <w:r w:rsidRPr="00CE6935">
        <w:rPr>
          <w:rFonts w:ascii="Times New Roman" w:hAnsi="Times New Roman"/>
        </w:rPr>
        <w:t xml:space="preserve">. </w:t>
      </w:r>
    </w:p>
    <w:p w:rsidR="00677D1D" w:rsidRPr="00CE6935" w:rsidP="00677D1D">
      <w:pPr>
        <w:bidi w:val="0"/>
        <w:spacing w:after="120"/>
        <w:jc w:val="both"/>
        <w:rPr>
          <w:rFonts w:ascii="Times New Roman" w:hAnsi="Times New Roman"/>
        </w:rPr>
      </w:pPr>
      <w:r w:rsidRPr="00CE6935">
        <w:rPr>
          <w:rFonts w:ascii="Times New Roman" w:hAnsi="Times New Roman"/>
        </w:rPr>
        <w:t>Opatrením na zvýšenie účelovosti poskytovania štátnej podpory je návrh na použitie prostriedkov zo stavebného sporenia výlučne na stavebné účely. Týmto opatrením sa zruší inštitút tzv. priateľských sporiteľov, t. j.  stavebných sporiteľov, ktorí sporia viac ako šesť rokov, nebol im poskytnutý stavebný úver a nemusia nasporené prostriedky vrátane pripísanej štátnej prémie použiť na stavebné účely. Ide o jediný inštitút v celkovom spektre štátnej podpory bývania, pri ktorom nie je povinnosť zdokladovať účelové použitie prostriedkov poskytnutých zo štátneho rozpočtu. Uvedené opatrenie sa bude týkať len zmlúv o stavebnom sporení uzatvorených po účinnosti novely zákona.</w:t>
      </w:r>
    </w:p>
    <w:p w:rsidR="00677D1D" w:rsidRPr="00CE6935" w:rsidP="00677D1D">
      <w:pPr>
        <w:bidi w:val="0"/>
        <w:spacing w:after="120"/>
        <w:jc w:val="both"/>
        <w:rPr>
          <w:rFonts w:ascii="Times New Roman" w:hAnsi="Times New Roman"/>
        </w:rPr>
      </w:pPr>
      <w:r w:rsidRPr="00CE6935">
        <w:rPr>
          <w:rFonts w:ascii="Times New Roman" w:hAnsi="Times New Roman"/>
        </w:rPr>
        <w:t>Opatrením na zvýšenie adresnosti poskytovanej štátnej podpory na stavebné sporenie je zúženie okruhu poberateľov štátnej prémie na fyzické osoby s </w:t>
      </w:r>
      <w:r>
        <w:rPr>
          <w:rFonts w:ascii="Times New Roman" w:hAnsi="Times New Roman"/>
        </w:rPr>
        <w:t>nižším</w:t>
      </w:r>
      <w:r w:rsidRPr="00CE6935">
        <w:rPr>
          <w:rFonts w:ascii="Times New Roman" w:hAnsi="Times New Roman"/>
        </w:rPr>
        <w:t xml:space="preserve"> príjmom. </w:t>
      </w:r>
      <w:r w:rsidRPr="008C153B">
        <w:rPr>
          <w:rFonts w:ascii="Times New Roman" w:hAnsi="Times New Roman"/>
        </w:rPr>
        <w:t xml:space="preserve">Týmto návrhom </w:t>
      </w:r>
      <w:r>
        <w:rPr>
          <w:rFonts w:ascii="Times New Roman" w:hAnsi="Times New Roman"/>
        </w:rPr>
        <w:t>sa podpora stavebného sporenia priblíži podmienkam podpory úverov na bývanie, kde</w:t>
      </w:r>
      <w:r w:rsidRPr="008C153B">
        <w:rPr>
          <w:rFonts w:ascii="Times New Roman" w:hAnsi="Times New Roman"/>
        </w:rPr>
        <w:t xml:space="preserve"> štát poskytuje </w:t>
      </w:r>
      <w:r>
        <w:rPr>
          <w:rFonts w:ascii="Times New Roman" w:hAnsi="Times New Roman"/>
        </w:rPr>
        <w:t>daňový bonus na zaplatené úroky</w:t>
      </w:r>
      <w:r w:rsidRPr="008C153B">
        <w:rPr>
          <w:rFonts w:ascii="Times New Roman" w:hAnsi="Times New Roman"/>
        </w:rPr>
        <w:t xml:space="preserve"> za presne zadefinovaných </w:t>
      </w:r>
      <w:r>
        <w:rPr>
          <w:rFonts w:ascii="Times New Roman" w:hAnsi="Times New Roman"/>
        </w:rPr>
        <w:t>kritérií podľa</w:t>
      </w:r>
      <w:r w:rsidRPr="008C153B">
        <w:rPr>
          <w:rFonts w:ascii="Times New Roman" w:hAnsi="Times New Roman"/>
        </w:rPr>
        <w:t xml:space="preserve"> výšky príjmu a veku poberateľov podpory.</w:t>
      </w:r>
      <w:r w:rsidRPr="00CE6935">
        <w:rPr>
          <w:rFonts w:ascii="Times New Roman" w:hAnsi="Times New Roman"/>
        </w:rPr>
        <w:t xml:space="preserve"> Uvedená zmena sa bude týkať všetkých platných zmlúv o stavebnom sporení, pričom sa upraví ich nový režim do budúcnosti.</w:t>
      </w:r>
    </w:p>
    <w:p w:rsidR="00677D1D" w:rsidRPr="00CE6935" w:rsidP="00677D1D">
      <w:pPr>
        <w:bidi w:val="0"/>
        <w:spacing w:after="120"/>
        <w:jc w:val="both"/>
        <w:rPr>
          <w:rFonts w:ascii="Times New Roman" w:hAnsi="Times New Roman"/>
        </w:rPr>
      </w:pPr>
      <w:r w:rsidRPr="00CE6935">
        <w:rPr>
          <w:rFonts w:ascii="Times New Roman" w:hAnsi="Times New Roman"/>
        </w:rPr>
        <w:t xml:space="preserve">Opatreniami na zefektívnenie štátnej podpory na stavebné sporenie sú (i) obmedzenie poberania štátnej prémie počas obdobia čerpania a splácania medziúveru, </w:t>
      </w:r>
      <w:r w:rsidRPr="00CE6935">
        <w:rPr>
          <w:rFonts w:ascii="Times New Roman" w:hAnsi="Times New Roman"/>
          <w:bCs/>
        </w:rPr>
        <w:t xml:space="preserve">(ii) </w:t>
      </w:r>
      <w:r w:rsidRPr="00C50250">
        <w:rPr>
          <w:rFonts w:ascii="Times New Roman" w:hAnsi="Times New Roman"/>
        </w:rPr>
        <w:t>osobitn</w:t>
      </w:r>
      <w:r>
        <w:rPr>
          <w:rFonts w:ascii="Times New Roman" w:hAnsi="Times New Roman"/>
        </w:rPr>
        <w:t>é</w:t>
      </w:r>
      <w:r w:rsidRPr="00C50250">
        <w:rPr>
          <w:rFonts w:ascii="Times New Roman" w:hAnsi="Times New Roman"/>
        </w:rPr>
        <w:t xml:space="preserve"> limitovan</w:t>
      </w:r>
      <w:r>
        <w:rPr>
          <w:rFonts w:ascii="Times New Roman" w:hAnsi="Times New Roman"/>
        </w:rPr>
        <w:t>ie</w:t>
      </w:r>
      <w:r w:rsidRPr="00C50250">
        <w:rPr>
          <w:rFonts w:ascii="Times New Roman" w:hAnsi="Times New Roman"/>
        </w:rPr>
        <w:t xml:space="preserve"> nároku na štátnu prémiu v prvom roku sporenia</w:t>
      </w:r>
      <w:r w:rsidRPr="00CE6935">
        <w:rPr>
          <w:rFonts w:ascii="Times New Roman" w:hAnsi="Times New Roman"/>
          <w:bCs/>
        </w:rPr>
        <w:t xml:space="preserve"> a (iii) </w:t>
      </w:r>
      <w:r>
        <w:rPr>
          <w:rFonts w:ascii="Times New Roman" w:hAnsi="Times New Roman"/>
          <w:bCs/>
        </w:rPr>
        <w:t>zníženie minimálnej percentuálnej</w:t>
      </w:r>
      <w:r w:rsidRPr="008C153B">
        <w:rPr>
          <w:rFonts w:ascii="Times New Roman" w:hAnsi="Times New Roman"/>
          <w:bCs/>
        </w:rPr>
        <w:t xml:space="preserve"> výšky štátnej prémie</w:t>
      </w:r>
      <w:r w:rsidRPr="00CE6935">
        <w:rPr>
          <w:rFonts w:ascii="Times New Roman" w:hAnsi="Times New Roman"/>
        </w:rPr>
        <w:t xml:space="preserve">. Obmedzenie poskytovania štátnej prémie stavebnému sporiteľovi - fyzickej osobe za kalendárny rok, v ktorom čerpá stavebný úver poskytnutý za komerčných podmienok, tzv. medziúver, ako aj za každý ďalší kalendárny rok až do úplného splatenia takéhoto úveru sa navrhuje z dôvodu, že objem medziúverov výrazne prevyšuje objem zvýhodnených stavebných úverov a štát tak prostredníctvom štátnej prémie prevažne podporuje poskytovanie komerčných úverov na bývanie. </w:t>
      </w:r>
      <w:r w:rsidRPr="00F40EF6">
        <w:rPr>
          <w:rFonts w:ascii="Times New Roman" w:hAnsi="Times New Roman"/>
        </w:rPr>
        <w:t>Osobitné limitovanie nároku na štátnu prémiu v prvom roku sporenia bude znamenať, že vyplatená štátna prémia v prípade uzatvorenia zmluvy o stavebnom sporení v druhom polroku kalendárneho roku by bola najviac vo výške polovice z jej maximálnej ročnej sumy.</w:t>
      </w:r>
      <w:r w:rsidRPr="00CE6935">
        <w:rPr>
          <w:rFonts w:ascii="Times New Roman" w:hAnsi="Times New Roman"/>
        </w:rPr>
        <w:t xml:space="preserve"> Tieto dve opatrenia sa budú týkať len zmlúv o stavebnom sporení a zmlúv o medziúvere uzatvorených po účinnosti novely zákona. </w:t>
      </w:r>
      <w:r w:rsidRPr="00F40EF6">
        <w:rPr>
          <w:rFonts w:ascii="Times New Roman" w:hAnsi="Times New Roman"/>
        </w:rPr>
        <w:t>Znížením minimálne</w:t>
      </w:r>
      <w:r>
        <w:rPr>
          <w:rFonts w:ascii="Times New Roman" w:hAnsi="Times New Roman"/>
        </w:rPr>
        <w:t>j</w:t>
      </w:r>
      <w:r w:rsidRPr="00F40EF6">
        <w:rPr>
          <w:rFonts w:ascii="Times New Roman" w:hAnsi="Times New Roman"/>
        </w:rPr>
        <w:t xml:space="preserve"> percentuálne</w:t>
      </w:r>
      <w:r>
        <w:rPr>
          <w:rFonts w:ascii="Times New Roman" w:hAnsi="Times New Roman"/>
        </w:rPr>
        <w:t>j</w:t>
      </w:r>
      <w:r w:rsidRPr="00F40EF6">
        <w:rPr>
          <w:rFonts w:ascii="Times New Roman" w:hAnsi="Times New Roman"/>
        </w:rPr>
        <w:t xml:space="preserve"> </w:t>
      </w:r>
      <w:r>
        <w:rPr>
          <w:rFonts w:ascii="Times New Roman" w:hAnsi="Times New Roman"/>
        </w:rPr>
        <w:t>výšky</w:t>
      </w:r>
      <w:r w:rsidRPr="00F40EF6">
        <w:rPr>
          <w:rFonts w:ascii="Times New Roman" w:hAnsi="Times New Roman"/>
        </w:rPr>
        <w:t xml:space="preserve"> štátnej prémie bude efektívnejšie nastavenie parametrov poskytovania štátnej podpory stavebného sporenia.</w:t>
      </w:r>
      <w:r w:rsidRPr="00CE6935">
        <w:rPr>
          <w:rFonts w:ascii="Times New Roman" w:hAnsi="Times New Roman"/>
        </w:rPr>
        <w:t xml:space="preserve"> </w:t>
      </w:r>
      <w:r w:rsidRPr="008C153B">
        <w:rPr>
          <w:rFonts w:ascii="Times New Roman" w:hAnsi="Times New Roman"/>
        </w:rPr>
        <w:t>Vzhľadom na to, že sa touto zmenou vstupuje do ustanovenia, ktorým je upravená aj maximálna suma štátnej prémie a ktorá je ešte stále vyjadrená v </w:t>
      </w:r>
      <w:r>
        <w:rPr>
          <w:rFonts w:ascii="Times New Roman" w:hAnsi="Times New Roman"/>
        </w:rPr>
        <w:t>s</w:t>
      </w:r>
      <w:r w:rsidRPr="008C153B">
        <w:rPr>
          <w:rFonts w:ascii="Times New Roman" w:hAnsi="Times New Roman"/>
        </w:rPr>
        <w:t>lovenských korunách (2 000 Sk; v prepočte konverzným kurzom 66,39 eura), navrhuje sa maximálnu sumu štátnej prémie ustanoviť na 70 eur (zaokrúhlením na celé desiatky nahor v prospech stavebných sporiteľov)</w:t>
      </w:r>
      <w:r>
        <w:rPr>
          <w:rFonts w:ascii="Times New Roman" w:hAnsi="Times New Roman"/>
        </w:rPr>
        <w:t xml:space="preserve">. </w:t>
      </w:r>
      <w:r w:rsidRPr="00CE6935">
        <w:rPr>
          <w:rFonts w:ascii="Times New Roman" w:hAnsi="Times New Roman"/>
        </w:rPr>
        <w:t>Toto tretie opatrenie sa bude týkať všetkých platných zmlúv o stavebnom sporení, pričom sa upraví ich nový režim do budúcnosti.</w:t>
      </w:r>
    </w:p>
    <w:p w:rsidR="00677D1D" w:rsidRPr="00CE6935" w:rsidP="00677D1D">
      <w:pPr>
        <w:bidi w:val="0"/>
        <w:rPr>
          <w:rFonts w:ascii="Times New Roman" w:hAnsi="Times New Roman"/>
        </w:rPr>
      </w:pPr>
    </w:p>
    <w:p w:rsidR="00677D1D" w:rsidRPr="00CE6935" w:rsidP="00677D1D">
      <w:pPr>
        <w:bidi w:val="0"/>
        <w:rPr>
          <w:rFonts w:ascii="Times New Roman" w:hAnsi="Times New Roman"/>
        </w:rPr>
      </w:pPr>
    </w:p>
    <w:p w:rsidR="00677D1D" w:rsidRPr="00CE6935" w:rsidP="00677D1D">
      <w:pPr>
        <w:bidi w:val="0"/>
        <w:rPr>
          <w:rFonts w:ascii="Times New Roman" w:hAnsi="Times New Roman"/>
          <w:b/>
          <w:bCs/>
        </w:rPr>
      </w:pPr>
      <w:r w:rsidRPr="00CE6935">
        <w:rPr>
          <w:rFonts w:ascii="Times New Roman" w:hAnsi="Times New Roman"/>
          <w:b/>
          <w:bCs/>
        </w:rPr>
        <w:t>2.2.2. Charakteristika návrhu:</w:t>
      </w:r>
    </w:p>
    <w:p w:rsidR="00677D1D" w:rsidRPr="00CE6935" w:rsidP="00677D1D">
      <w:pPr>
        <w:bidi w:val="0"/>
        <w:rPr>
          <w:rFonts w:ascii="Times New Roman" w:hAnsi="Times New Roman"/>
        </w:rPr>
      </w:pPr>
    </w:p>
    <w:p w:rsidR="00677D1D" w:rsidRPr="00CE6935" w:rsidP="00677D1D">
      <w:pPr>
        <w:bidi w:val="0"/>
        <w:rPr>
          <w:rFonts w:ascii="Times New Roman" w:hAnsi="Times New Roman"/>
        </w:rPr>
      </w:pPr>
      <w:r w:rsidRPr="00CE6935">
        <w:rPr>
          <w:rFonts w:ascii="Times New Roman" w:hAnsi="Times New Roman"/>
          <w:b/>
          <w:bdr w:val="single" w:sz="4" w:space="0" w:color="auto"/>
        </w:rPr>
        <w:t xml:space="preserve">     </w:t>
      </w:r>
      <w:r w:rsidRPr="00CE6935">
        <w:rPr>
          <w:rFonts w:ascii="Times New Roman" w:hAnsi="Times New Roman"/>
          <w:b/>
        </w:rPr>
        <w:t xml:space="preserve">  </w:t>
      </w:r>
      <w:r w:rsidRPr="00CE6935">
        <w:rPr>
          <w:rFonts w:ascii="Times New Roman" w:hAnsi="Times New Roman"/>
        </w:rPr>
        <w:t>zmena sadzby</w:t>
      </w:r>
    </w:p>
    <w:p w:rsidR="00677D1D" w:rsidRPr="00CE6935" w:rsidP="00677D1D">
      <w:pPr>
        <w:bidi w:val="0"/>
        <w:rPr>
          <w:rFonts w:ascii="Times New Roman" w:hAnsi="Times New Roman"/>
        </w:rPr>
      </w:pPr>
      <w:r w:rsidRPr="00CE6935">
        <w:rPr>
          <w:rFonts w:ascii="Times New Roman" w:hAnsi="Times New Roman"/>
          <w:bdr w:val="single" w:sz="4" w:space="0" w:color="auto"/>
        </w:rPr>
        <w:t xml:space="preserve">  x </w:t>
      </w:r>
      <w:r w:rsidRPr="00CE6935">
        <w:rPr>
          <w:rFonts w:ascii="Times New Roman" w:hAnsi="Times New Roman"/>
        </w:rPr>
        <w:t xml:space="preserve">  zmena v nároku</w:t>
      </w:r>
    </w:p>
    <w:p w:rsidR="00677D1D" w:rsidRPr="00CE6935" w:rsidP="00677D1D">
      <w:pPr>
        <w:bidi w:val="0"/>
        <w:rPr>
          <w:rFonts w:ascii="Times New Roman" w:hAnsi="Times New Roman"/>
        </w:rPr>
      </w:pPr>
      <w:r w:rsidRPr="00CE6935">
        <w:rPr>
          <w:rFonts w:ascii="Times New Roman" w:hAnsi="Times New Roman"/>
          <w:bdr w:val="single" w:sz="4" w:space="0" w:color="auto"/>
        </w:rPr>
        <w:t xml:space="preserve">     </w:t>
      </w:r>
      <w:r w:rsidRPr="00CE6935">
        <w:rPr>
          <w:rFonts w:ascii="Times New Roman" w:hAnsi="Times New Roman"/>
        </w:rPr>
        <w:t xml:space="preserve">  nová služba alebo nariadenie (alebo ich zrušenie)</w:t>
      </w:r>
    </w:p>
    <w:p w:rsidR="00677D1D" w:rsidRPr="00CE6935" w:rsidP="00677D1D">
      <w:pPr>
        <w:bidi w:val="0"/>
        <w:rPr>
          <w:rFonts w:ascii="Times New Roman" w:hAnsi="Times New Roman"/>
        </w:rPr>
      </w:pPr>
      <w:r w:rsidRPr="00CE6935">
        <w:rPr>
          <w:rFonts w:ascii="Times New Roman" w:hAnsi="Times New Roman"/>
          <w:bdr w:val="single" w:sz="4" w:space="0" w:color="auto"/>
        </w:rPr>
        <w:t xml:space="preserve">  x </w:t>
      </w:r>
      <w:r w:rsidRPr="00CE6935">
        <w:rPr>
          <w:rFonts w:ascii="Times New Roman" w:hAnsi="Times New Roman"/>
        </w:rPr>
        <w:t xml:space="preserve">  kombinovaný návrh</w:t>
      </w:r>
    </w:p>
    <w:p w:rsidR="00677D1D" w:rsidRPr="00CE6935" w:rsidP="00677D1D">
      <w:pPr>
        <w:bidi w:val="0"/>
        <w:rPr>
          <w:rFonts w:ascii="Times New Roman" w:hAnsi="Times New Roman"/>
        </w:rPr>
      </w:pPr>
      <w:r w:rsidRPr="00CE6935">
        <w:rPr>
          <w:rFonts w:ascii="Times New Roman" w:hAnsi="Times New Roman"/>
          <w:bdr w:val="single" w:sz="4" w:space="0" w:color="auto"/>
        </w:rPr>
        <w:t xml:space="preserve">     </w:t>
      </w:r>
      <w:r w:rsidRPr="00CE6935">
        <w:rPr>
          <w:rFonts w:ascii="Times New Roman" w:hAnsi="Times New Roman"/>
        </w:rPr>
        <w:t xml:space="preserve">  iné </w:t>
      </w:r>
    </w:p>
    <w:p w:rsidR="00677D1D" w:rsidRPr="00CE6935" w:rsidP="00677D1D">
      <w:pPr>
        <w:bidi w:val="0"/>
        <w:rPr>
          <w:rFonts w:ascii="Times New Roman" w:hAnsi="Times New Roman"/>
        </w:rPr>
      </w:pPr>
    </w:p>
    <w:p w:rsidR="00677D1D" w:rsidRPr="00CE6935" w:rsidP="00677D1D">
      <w:pPr>
        <w:bidi w:val="0"/>
        <w:rPr>
          <w:rFonts w:ascii="Times New Roman" w:hAnsi="Times New Roman"/>
        </w:rPr>
      </w:pPr>
    </w:p>
    <w:p w:rsidR="00677D1D" w:rsidRPr="00CE6935" w:rsidP="00677D1D">
      <w:pPr>
        <w:bidi w:val="0"/>
        <w:rPr>
          <w:rFonts w:ascii="Times New Roman" w:hAnsi="Times New Roman"/>
        </w:rPr>
      </w:pPr>
      <w:r w:rsidRPr="00CE6935">
        <w:rPr>
          <w:rFonts w:ascii="Times New Roman" w:hAnsi="Times New Roman"/>
          <w:b/>
          <w:bCs/>
        </w:rPr>
        <w:t>2.2.3. Predpoklady vývoja objemu aktivít:</w:t>
      </w:r>
    </w:p>
    <w:p w:rsidR="00677D1D" w:rsidRPr="00CE6935" w:rsidP="00677D1D">
      <w:pPr>
        <w:bidi w:val="0"/>
        <w:rPr>
          <w:rFonts w:ascii="Times New Roman" w:hAnsi="Times New Roman"/>
        </w:rPr>
      </w:pPr>
    </w:p>
    <w:p w:rsidR="00677D1D" w:rsidRPr="00CE6935" w:rsidP="00677D1D">
      <w:pPr>
        <w:bidi w:val="0"/>
        <w:ind w:firstLine="708"/>
        <w:jc w:val="both"/>
        <w:rPr>
          <w:rFonts w:ascii="Times New Roman" w:hAnsi="Times New Roman"/>
        </w:rPr>
      </w:pPr>
      <w:r w:rsidRPr="00CE6935">
        <w:rPr>
          <w:rFonts w:ascii="Times New Roman" w:hAnsi="Times New Roman"/>
        </w:rPr>
        <w:t>Jasne popíšte, v prípade potreby použite nižšie uvedenú tabuľku. Uveďte aj odhady základov daní a/alebo poplatkov, ak sa ich táto zmena týka.</w:t>
      </w:r>
    </w:p>
    <w:p w:rsidR="00677D1D" w:rsidRPr="00CE6935" w:rsidP="00677D1D">
      <w:pPr>
        <w:bidi w:val="0"/>
        <w:ind w:firstLine="708"/>
        <w:jc w:val="both"/>
        <w:rPr>
          <w:rFonts w:ascii="Times New Roman" w:hAnsi="Times New Roman"/>
        </w:rPr>
      </w:pPr>
    </w:p>
    <w:p w:rsidR="00677D1D" w:rsidRPr="00CE6935" w:rsidP="00677D1D">
      <w:pPr>
        <w:bidi w:val="0"/>
        <w:ind w:firstLine="708"/>
        <w:jc w:val="both"/>
        <w:rPr>
          <w:rFonts w:ascii="Times New Roman" w:hAnsi="Times New Roman"/>
        </w:rPr>
      </w:pPr>
    </w:p>
    <w:p w:rsidR="00677D1D" w:rsidRPr="00CE6935" w:rsidP="00677D1D">
      <w:pPr>
        <w:bidi w:val="0"/>
        <w:jc w:val="right"/>
        <w:rPr>
          <w:rFonts w:ascii="Times New Roman" w:hAnsi="Times New Roman"/>
        </w:rPr>
      </w:pPr>
      <w:r w:rsidRPr="00CE6935">
        <w:rPr>
          <w:rFonts w:ascii="Times New Roman" w:hAnsi="Times New Roman"/>
        </w:rPr>
        <w:t xml:space="preserve">Tabuľka č. 2 </w:t>
      </w:r>
    </w:p>
    <w:tbl>
      <w:tblPr>
        <w:tblStyle w:val="TableNormal"/>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916"/>
        <w:gridCol w:w="992"/>
        <w:gridCol w:w="1417"/>
        <w:gridCol w:w="1389"/>
      </w:tblGrid>
      <w:tr>
        <w:tblPrEx>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Objem aktivít</w:t>
            </w:r>
          </w:p>
        </w:tc>
        <w:tc>
          <w:tcPr>
            <w:tcW w:w="471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Odhadované objemy</w:t>
            </w:r>
          </w:p>
        </w:tc>
      </w:tr>
      <w:tr>
        <w:tblPrEx>
          <w:tblW w:w="9244"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677D1D" w:rsidRPr="00CE6935" w:rsidP="00E04937">
            <w:pPr>
              <w:autoSpaceDE w:val="0"/>
              <w:autoSpaceDN w:val="0"/>
              <w:bidi w:val="0"/>
              <w:adjustRightInd w:val="0"/>
              <w:jc w:val="center"/>
              <w:rPr>
                <w:rFonts w:ascii="Times New Roman" w:hAnsi="Times New Roman"/>
                <w:b/>
                <w:bCs/>
              </w:rPr>
            </w:pPr>
          </w:p>
        </w:tc>
        <w:tc>
          <w:tcPr>
            <w:tcW w:w="9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2018</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2019</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2020</w:t>
            </w:r>
          </w:p>
        </w:tc>
        <w:tc>
          <w:tcPr>
            <w:tcW w:w="138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77D1D" w:rsidRPr="00CE6935" w:rsidP="00E04937">
            <w:pPr>
              <w:autoSpaceDE w:val="0"/>
              <w:autoSpaceDN w:val="0"/>
              <w:bidi w:val="0"/>
              <w:adjustRightInd w:val="0"/>
              <w:jc w:val="center"/>
              <w:rPr>
                <w:rFonts w:ascii="Times New Roman" w:hAnsi="Times New Roman"/>
                <w:b/>
                <w:bCs/>
              </w:rPr>
            </w:pPr>
            <w:r w:rsidRPr="00CE6935">
              <w:rPr>
                <w:rFonts w:ascii="Times New Roman" w:hAnsi="Times New Roman"/>
                <w:b/>
                <w:bCs/>
              </w:rPr>
              <w:t>2021</w:t>
            </w:r>
          </w:p>
        </w:tc>
      </w:tr>
      <w:tr>
        <w:tblPrEx>
          <w:tblW w:w="9244"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77D1D" w:rsidRPr="00CE6935" w:rsidP="00E04937">
            <w:pPr>
              <w:autoSpaceDE w:val="0"/>
              <w:autoSpaceDN w:val="0"/>
              <w:bidi w:val="0"/>
              <w:adjustRightInd w:val="0"/>
              <w:rPr>
                <w:rFonts w:ascii="Times New Roman" w:hAnsi="Times New Roman"/>
                <w:color w:val="000000"/>
              </w:rPr>
            </w:pPr>
            <w:r w:rsidRPr="00CE6935">
              <w:rPr>
                <w:rFonts w:ascii="Times New Roman" w:hAnsi="Times New Roman"/>
                <w:color w:val="000000"/>
              </w:rPr>
              <w:t>Zníženie nároku na štátnu prémiu</w:t>
            </w:r>
          </w:p>
        </w:tc>
        <w:tc>
          <w:tcPr>
            <w:tcW w:w="916" w:type="dxa"/>
            <w:tcBorders>
              <w:top w:val="single" w:sz="4" w:space="0" w:color="auto"/>
              <w:left w:val="single" w:sz="4" w:space="0" w:color="auto"/>
              <w:bottom w:val="single" w:sz="4" w:space="0" w:color="auto"/>
              <w:right w:val="single" w:sz="4" w:space="0" w:color="auto"/>
            </w:tcBorders>
            <w:textDirection w:val="lrTb"/>
            <w:vAlign w:val="top"/>
          </w:tcPr>
          <w:p w:rsidR="00677D1D" w:rsidRPr="00CE6935" w:rsidP="00E04937">
            <w:pPr>
              <w:autoSpaceDE w:val="0"/>
              <w:autoSpaceDN w:val="0"/>
              <w:bidi w:val="0"/>
              <w:adjustRightInd w:val="0"/>
              <w:jc w:val="right"/>
              <w:rPr>
                <w:rFonts w:ascii="Times New Roman" w:hAnsi="Times New Roman"/>
                <w:color w:val="000000"/>
              </w:rPr>
            </w:pPr>
            <w:r w:rsidRPr="00CE6935">
              <w:rPr>
                <w:rFonts w:ascii="Times New Roman" w:hAnsi="Times New Roman"/>
                <w:color w:val="000000"/>
              </w:rPr>
              <w:t>0</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77D1D" w:rsidRPr="00CE6935" w:rsidP="00E04937">
            <w:pPr>
              <w:autoSpaceDE w:val="0"/>
              <w:autoSpaceDN w:val="0"/>
              <w:bidi w:val="0"/>
              <w:adjustRightInd w:val="0"/>
              <w:jc w:val="right"/>
              <w:rPr>
                <w:rFonts w:ascii="Times New Roman" w:hAnsi="Times New Roman"/>
                <w:color w:val="000000"/>
              </w:rPr>
            </w:pPr>
            <w:r w:rsidRPr="00CE6935">
              <w:rPr>
                <w:rFonts w:ascii="Times New Roman" w:hAnsi="Times New Roman"/>
                <w:color w:val="000000"/>
              </w:rPr>
              <w:t>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677D1D" w:rsidRPr="00CE6935" w:rsidP="00E04937">
            <w:pPr>
              <w:autoSpaceDE w:val="0"/>
              <w:autoSpaceDN w:val="0"/>
              <w:bidi w:val="0"/>
              <w:adjustRightInd w:val="0"/>
              <w:jc w:val="right"/>
              <w:rPr>
                <w:rFonts w:ascii="Times New Roman" w:hAnsi="Times New Roman"/>
                <w:color w:val="000000"/>
              </w:rPr>
            </w:pPr>
            <w:r>
              <w:rPr>
                <w:rFonts w:ascii="Times New Roman" w:hAnsi="Times New Roman"/>
                <w:color w:val="000000"/>
              </w:rPr>
              <w:t>14</w:t>
            </w:r>
            <w:r w:rsidRPr="00CE6935">
              <w:rPr>
                <w:rFonts w:ascii="Times New Roman" w:hAnsi="Times New Roman"/>
                <w:color w:val="000000"/>
              </w:rPr>
              <w:t> </w:t>
            </w:r>
            <w:r>
              <w:rPr>
                <w:rFonts w:ascii="Times New Roman" w:hAnsi="Times New Roman"/>
                <w:color w:val="000000"/>
              </w:rPr>
              <w:t>7</w:t>
            </w:r>
            <w:r w:rsidRPr="00CE6935">
              <w:rPr>
                <w:rFonts w:ascii="Times New Roman" w:hAnsi="Times New Roman"/>
                <w:color w:val="000000"/>
              </w:rPr>
              <w:t>00 000</w:t>
            </w:r>
          </w:p>
        </w:tc>
        <w:tc>
          <w:tcPr>
            <w:tcW w:w="1389" w:type="dxa"/>
            <w:tcBorders>
              <w:top w:val="single" w:sz="4" w:space="0" w:color="auto"/>
              <w:left w:val="single" w:sz="4" w:space="0" w:color="auto"/>
              <w:bottom w:val="single" w:sz="4" w:space="0" w:color="auto"/>
              <w:right w:val="single" w:sz="4" w:space="0" w:color="auto"/>
            </w:tcBorders>
            <w:textDirection w:val="lrTb"/>
            <w:vAlign w:val="top"/>
          </w:tcPr>
          <w:p w:rsidR="00677D1D" w:rsidRPr="00CE6935" w:rsidP="00E04937">
            <w:pPr>
              <w:autoSpaceDE w:val="0"/>
              <w:autoSpaceDN w:val="0"/>
              <w:bidi w:val="0"/>
              <w:adjustRightInd w:val="0"/>
              <w:jc w:val="right"/>
              <w:rPr>
                <w:rFonts w:ascii="Times New Roman" w:hAnsi="Times New Roman"/>
                <w:color w:val="000000"/>
              </w:rPr>
            </w:pPr>
            <w:r>
              <w:rPr>
                <w:rFonts w:ascii="Times New Roman" w:hAnsi="Times New Roman"/>
                <w:color w:val="000000"/>
              </w:rPr>
              <w:t>16</w:t>
            </w:r>
            <w:r w:rsidRPr="00CE6935">
              <w:rPr>
                <w:rFonts w:ascii="Times New Roman" w:hAnsi="Times New Roman"/>
                <w:color w:val="000000"/>
              </w:rPr>
              <w:t> </w:t>
            </w:r>
            <w:r>
              <w:rPr>
                <w:rFonts w:ascii="Times New Roman" w:hAnsi="Times New Roman"/>
                <w:color w:val="000000"/>
              </w:rPr>
              <w:t>5</w:t>
            </w:r>
            <w:r w:rsidRPr="00CE6935">
              <w:rPr>
                <w:rFonts w:ascii="Times New Roman" w:hAnsi="Times New Roman"/>
                <w:color w:val="000000"/>
              </w:rPr>
              <w:t>00 000</w:t>
            </w:r>
          </w:p>
        </w:tc>
      </w:tr>
    </w:tbl>
    <w:p w:rsidR="00677D1D" w:rsidP="00677D1D">
      <w:pPr>
        <w:bidi w:val="0"/>
        <w:rPr>
          <w:rFonts w:ascii="Times New Roman" w:hAnsi="Times New Roman"/>
        </w:rPr>
      </w:pPr>
    </w:p>
    <w:p w:rsidR="00677D1D" w:rsidRPr="00CE6935" w:rsidP="00677D1D">
      <w:pPr>
        <w:bidi w:val="0"/>
        <w:rPr>
          <w:rFonts w:ascii="Times New Roman" w:hAnsi="Times New Roman"/>
        </w:rPr>
      </w:pPr>
      <w:r w:rsidRPr="005C6387">
        <w:rPr>
          <w:rFonts w:ascii="Times New Roman" w:hAnsi="Times New Roman"/>
        </w:rPr>
        <w:t>*rok 2021: predpokladaná úspora pri výdavkoch rozpočtovaných na úrovni roku 2020</w:t>
      </w:r>
    </w:p>
    <w:p w:rsidR="00677D1D" w:rsidRPr="00CE6935" w:rsidP="00677D1D">
      <w:pPr>
        <w:bidi w:val="0"/>
        <w:rPr>
          <w:rFonts w:ascii="Times New Roman" w:hAnsi="Times New Roman"/>
        </w:rPr>
      </w:pPr>
    </w:p>
    <w:p w:rsidR="00677D1D" w:rsidRPr="00CE6935" w:rsidP="00677D1D">
      <w:pPr>
        <w:bidi w:val="0"/>
        <w:rPr>
          <w:rFonts w:ascii="Times New Roman" w:hAnsi="Times New Roman"/>
          <w:b/>
          <w:bCs/>
        </w:rPr>
      </w:pPr>
      <w:r w:rsidRPr="00CE6935">
        <w:rPr>
          <w:rFonts w:ascii="Times New Roman" w:hAnsi="Times New Roman"/>
          <w:b/>
          <w:bCs/>
        </w:rPr>
        <w:t>2.2.4. Výpočty vplyvov na verejné financie</w:t>
      </w:r>
    </w:p>
    <w:p w:rsidR="00677D1D" w:rsidRPr="00CE6935" w:rsidP="00677D1D">
      <w:pPr>
        <w:bidi w:val="0"/>
        <w:rPr>
          <w:rFonts w:ascii="Times New Roman" w:hAnsi="Times New Roman"/>
        </w:rPr>
      </w:pPr>
    </w:p>
    <w:p w:rsidR="00677D1D" w:rsidRPr="00CE6935" w:rsidP="00677D1D">
      <w:pPr>
        <w:pStyle w:val="ListParagraph"/>
        <w:numPr>
          <w:numId w:val="17"/>
        </w:numPr>
        <w:suppressAutoHyphens w:val="0"/>
        <w:bidi w:val="0"/>
        <w:ind w:left="284" w:hanging="284"/>
        <w:jc w:val="both"/>
        <w:rPr>
          <w:rFonts w:ascii="Times New Roman" w:hAnsi="Times New Roman"/>
          <w:szCs w:val="24"/>
        </w:rPr>
      </w:pPr>
      <w:r w:rsidRPr="00CE6935">
        <w:rPr>
          <w:rFonts w:ascii="Times New Roman" w:hAnsi="Times New Roman"/>
          <w:szCs w:val="24"/>
          <w:u w:val="single"/>
        </w:rPr>
        <w:t>zrušenie inštitútu tzv. „priateľských sporiteľov“</w:t>
      </w:r>
      <w:r w:rsidRPr="00CE6935">
        <w:rPr>
          <w:rFonts w:ascii="Times New Roman" w:hAnsi="Times New Roman"/>
          <w:szCs w:val="24"/>
        </w:rPr>
        <w:t xml:space="preserve"> – štátna prémia by sa vyplácala iba v prípade, ak sa prostriedky získané stavebným sporením použijú výlučne na stavebné účely;</w:t>
      </w:r>
    </w:p>
    <w:p w:rsidR="00677D1D" w:rsidRPr="00677D1D" w:rsidP="00677D1D">
      <w:pPr>
        <w:bidi w:val="0"/>
        <w:jc w:val="both"/>
        <w:rPr>
          <w:rFonts w:ascii="Times New Roman" w:hAnsi="Times New Roman"/>
          <w:color w:val="F79646"/>
        </w:rPr>
      </w:pPr>
    </w:p>
    <w:p w:rsidR="00677D1D" w:rsidRPr="00CE6935" w:rsidP="00677D1D">
      <w:pPr>
        <w:bidi w:val="0"/>
        <w:ind w:left="284"/>
        <w:jc w:val="both"/>
        <w:rPr>
          <w:rFonts w:ascii="Times New Roman" w:hAnsi="Times New Roman"/>
        </w:rPr>
      </w:pPr>
      <w:r w:rsidRPr="00CE6935">
        <w:rPr>
          <w:rFonts w:ascii="Times New Roman" w:hAnsi="Times New Roman"/>
        </w:rPr>
        <w:t xml:space="preserve">Zrušenie priateľských sporiteľov bude mať za následok nevyplatenie štátnej prémie sporiteľom, ktorí nedokážu dokladovať stavebný účel. V praxi bude dokladovanie vyžadované až pri čerpaní nasporených prostriedkov sporiteľom, ktorý si založil zmluvu po nadobudnutí účinnosti novely (1.1.2019). Keďže sporiteľ </w:t>
      </w:r>
      <w:r>
        <w:rPr>
          <w:rFonts w:ascii="Times New Roman" w:hAnsi="Times New Roman"/>
        </w:rPr>
        <w:t>nebude môcť</w:t>
      </w:r>
      <w:r w:rsidRPr="00CE6935">
        <w:rPr>
          <w:rFonts w:ascii="Times New Roman" w:hAnsi="Times New Roman"/>
        </w:rPr>
        <w:t xml:space="preserve"> zrušiť zmluvu a čerpať prostriedky skôr ako </w:t>
      </w:r>
      <w:r w:rsidRPr="00F40EF6">
        <w:rPr>
          <w:rFonts w:ascii="Times New Roman" w:hAnsi="Times New Roman"/>
        </w:rPr>
        <w:t>dva</w:t>
      </w:r>
      <w:r w:rsidRPr="00CE6935">
        <w:rPr>
          <w:rFonts w:ascii="Times New Roman" w:hAnsi="Times New Roman"/>
        </w:rPr>
        <w:t xml:space="preserve"> roky po jej založení, neschopnosť dokladovať účel nebude mať priamy vplyv na výdavky ŠR v rokoch 20</w:t>
      </w:r>
      <w:r>
        <w:rPr>
          <w:rFonts w:ascii="Times New Roman" w:hAnsi="Times New Roman"/>
        </w:rPr>
        <w:t>19</w:t>
      </w:r>
      <w:r w:rsidRPr="00CE6935">
        <w:rPr>
          <w:rFonts w:ascii="Times New Roman" w:hAnsi="Times New Roman"/>
        </w:rPr>
        <w:t xml:space="preserve"> a </w:t>
      </w:r>
      <w:r w:rsidRPr="00F40EF6">
        <w:rPr>
          <w:rFonts w:ascii="Times New Roman" w:hAnsi="Times New Roman"/>
        </w:rPr>
        <w:t>2020</w:t>
      </w:r>
      <w:r w:rsidRPr="00CE6935">
        <w:rPr>
          <w:rFonts w:ascii="Times New Roman" w:hAnsi="Times New Roman"/>
        </w:rPr>
        <w:t xml:space="preserve">. </w:t>
      </w:r>
    </w:p>
    <w:p w:rsidR="00677D1D" w:rsidRPr="00CE6935" w:rsidP="00677D1D">
      <w:pPr>
        <w:bidi w:val="0"/>
        <w:ind w:left="284"/>
        <w:jc w:val="both"/>
        <w:rPr>
          <w:rFonts w:ascii="Times New Roman" w:hAnsi="Times New Roman"/>
        </w:rPr>
      </w:pPr>
    </w:p>
    <w:p w:rsidR="00677D1D" w:rsidRPr="00677D1D" w:rsidP="00677D1D">
      <w:pPr>
        <w:bidi w:val="0"/>
        <w:ind w:left="284"/>
        <w:jc w:val="both"/>
        <w:rPr>
          <w:rFonts w:ascii="Times New Roman" w:hAnsi="Times New Roman"/>
          <w:color w:val="000000"/>
        </w:rPr>
      </w:pPr>
      <w:r w:rsidRPr="00677D1D">
        <w:rPr>
          <w:rFonts w:ascii="Times New Roman" w:hAnsi="Times New Roman"/>
          <w:color w:val="000000"/>
        </w:rPr>
        <w:t>V súčasnosti je stavebné sporenie využívané aj ako sporiaci produkt. Očakávame, že zrušenie priateľských sporiteľov mu uberie na atraktivite. Za predpokladu, že toto opatrenie odradí 30% potenciálnych nových sporiteľov, a za predpokladu, že každoročné výdavky ŠR na štátnu prémiu ku novým zmluvám sú 4 mil. EUR, sa predpokladaný dopad na ŠR pohybuje okolo 1,2 mil. EUR v roku 2020 a 2,4 mil. EUR v roku 2021.</w:t>
      </w:r>
    </w:p>
    <w:p w:rsidR="00677D1D" w:rsidRPr="00677D1D" w:rsidP="00677D1D">
      <w:pPr>
        <w:bidi w:val="0"/>
        <w:ind w:left="284"/>
        <w:jc w:val="both"/>
        <w:rPr>
          <w:rFonts w:ascii="Times New Roman" w:hAnsi="Times New Roman"/>
          <w:color w:val="000000"/>
        </w:rPr>
      </w:pPr>
    </w:p>
    <w:p w:rsidR="00677D1D" w:rsidRPr="00CE6935" w:rsidP="00677D1D">
      <w:pPr>
        <w:bidi w:val="0"/>
        <w:jc w:val="both"/>
        <w:rPr>
          <w:rFonts w:ascii="Times New Roman" w:hAnsi="Times New Roman"/>
        </w:rPr>
      </w:pPr>
    </w:p>
    <w:p w:rsidR="00677D1D" w:rsidRPr="00CE6935" w:rsidP="00677D1D">
      <w:pPr>
        <w:bidi w:val="0"/>
        <w:ind w:left="284"/>
        <w:jc w:val="both"/>
        <w:rPr>
          <w:rFonts w:ascii="Times New Roman" w:hAnsi="Times New Roman"/>
        </w:rPr>
      </w:pPr>
      <w:r w:rsidRPr="00CE6935">
        <w:rPr>
          <w:rFonts w:ascii="Times New Roman" w:hAnsi="Times New Roman"/>
        </w:rPr>
        <w:t>predpokladaný vplyv na  ŠR v roku 2020: 1,2 mil. eur</w:t>
      </w:r>
    </w:p>
    <w:p w:rsidR="00677D1D" w:rsidRPr="00CE6935" w:rsidP="00677D1D">
      <w:pPr>
        <w:bidi w:val="0"/>
        <w:ind w:left="284"/>
        <w:jc w:val="both"/>
        <w:rPr>
          <w:rFonts w:ascii="Times New Roman" w:hAnsi="Times New Roman"/>
        </w:rPr>
      </w:pPr>
      <w:r w:rsidRPr="00CE6935">
        <w:rPr>
          <w:rFonts w:ascii="Times New Roman" w:hAnsi="Times New Roman"/>
        </w:rPr>
        <w:t>predpokladaný vplyv na  ŠR v roku 2021: 2,4 mil. eur</w:t>
      </w:r>
    </w:p>
    <w:p w:rsidR="00677D1D" w:rsidRPr="00CE6935" w:rsidP="00677D1D">
      <w:pPr>
        <w:bidi w:val="0"/>
        <w:jc w:val="both"/>
        <w:rPr>
          <w:rFonts w:ascii="Times New Roman" w:hAnsi="Times New Roman"/>
        </w:rPr>
      </w:pPr>
    </w:p>
    <w:p w:rsidR="00677D1D" w:rsidRPr="00CE6935" w:rsidP="00677D1D">
      <w:pPr>
        <w:pStyle w:val="ListParagraph"/>
        <w:numPr>
          <w:numId w:val="17"/>
        </w:numPr>
        <w:suppressAutoHyphens w:val="0"/>
        <w:bidi w:val="0"/>
        <w:ind w:left="284" w:hanging="284"/>
        <w:contextualSpacing/>
        <w:jc w:val="both"/>
        <w:rPr>
          <w:rFonts w:ascii="Times New Roman" w:hAnsi="Times New Roman"/>
          <w:szCs w:val="24"/>
        </w:rPr>
      </w:pPr>
      <w:r w:rsidRPr="00CE6935">
        <w:rPr>
          <w:rFonts w:ascii="Times New Roman" w:hAnsi="Times New Roman"/>
          <w:szCs w:val="24"/>
          <w:u w:val="single"/>
        </w:rPr>
        <w:t>zúženie okruhu poberateľov štátnej prémie podľa príjmu</w:t>
      </w:r>
      <w:r w:rsidRPr="00CE6935">
        <w:rPr>
          <w:rFonts w:ascii="Times New Roman" w:hAnsi="Times New Roman"/>
          <w:szCs w:val="24"/>
        </w:rPr>
        <w:t xml:space="preserve"> – štátna prémia by sa</w:t>
      </w:r>
      <w:r>
        <w:rPr>
          <w:rFonts w:ascii="Times New Roman" w:hAnsi="Times New Roman"/>
          <w:szCs w:val="24"/>
        </w:rPr>
        <w:t>,</w:t>
      </w:r>
      <w:r w:rsidRPr="00CE6935">
        <w:rPr>
          <w:rFonts w:ascii="Times New Roman" w:hAnsi="Times New Roman"/>
          <w:szCs w:val="24"/>
        </w:rPr>
        <w:t xml:space="preserve"> </w:t>
      </w:r>
      <w:r>
        <w:rPr>
          <w:rFonts w:ascii="Times New Roman" w:hAnsi="Times New Roman"/>
          <w:szCs w:val="24"/>
        </w:rPr>
        <w:t xml:space="preserve">s výnimkou neplnoletých osôb, </w:t>
      </w:r>
      <w:r w:rsidRPr="00CE6935">
        <w:rPr>
          <w:rFonts w:ascii="Times New Roman" w:hAnsi="Times New Roman"/>
          <w:szCs w:val="24"/>
        </w:rPr>
        <w:t>vyplácala iba osobám</w:t>
      </w:r>
      <w:r>
        <w:rPr>
          <w:rFonts w:ascii="Times New Roman" w:hAnsi="Times New Roman"/>
          <w:szCs w:val="24"/>
        </w:rPr>
        <w:t>,</w:t>
      </w:r>
      <w:r w:rsidRPr="00CE6935">
        <w:rPr>
          <w:rFonts w:ascii="Times New Roman" w:hAnsi="Times New Roman"/>
          <w:szCs w:val="24"/>
        </w:rPr>
        <w:t xml:space="preserve"> ktorých priemerný mesačný </w:t>
      </w:r>
      <w:r>
        <w:rPr>
          <w:rFonts w:ascii="Times New Roman" w:hAnsi="Times New Roman"/>
          <w:szCs w:val="24"/>
        </w:rPr>
        <w:t xml:space="preserve">zdaniteľný </w:t>
      </w:r>
      <w:r w:rsidRPr="00CE6935">
        <w:rPr>
          <w:rFonts w:ascii="Times New Roman" w:hAnsi="Times New Roman"/>
          <w:szCs w:val="24"/>
        </w:rPr>
        <w:t xml:space="preserve">príjem vypočítaný z príjmu za kalendárny rok predchádzajúci kalendárnemu roku, za ktorý sa uplatňuje nárok na štátnu prémiu, je najviac vo výške 1,3 násobku priemernej mesačnej nominálnej mzdy zamestnanca v národnom hospodárstve Slovenskej republiky zistenej Štatistickým úradom Slovenskej republiky za kalendárny rok predchádzajúci kalendárnemu roku, za ktorý sa uplatňuje nárok na štátnu prémiu;  </w:t>
      </w:r>
    </w:p>
    <w:p w:rsidR="00677D1D" w:rsidRPr="00CE6935" w:rsidP="00677D1D">
      <w:pPr>
        <w:bidi w:val="0"/>
        <w:jc w:val="both"/>
        <w:rPr>
          <w:rFonts w:ascii="Times New Roman" w:hAnsi="Times New Roman"/>
        </w:rPr>
      </w:pPr>
    </w:p>
    <w:p w:rsidR="00677D1D" w:rsidRPr="00CE6935" w:rsidP="00677D1D">
      <w:pPr>
        <w:bidi w:val="0"/>
        <w:ind w:left="284"/>
        <w:jc w:val="both"/>
        <w:rPr>
          <w:rFonts w:ascii="Times New Roman" w:hAnsi="Times New Roman"/>
        </w:rPr>
      </w:pPr>
      <w:r w:rsidRPr="00F40EF6">
        <w:rPr>
          <w:rFonts w:ascii="Times New Roman" w:hAnsi="Times New Roman"/>
        </w:rPr>
        <w:t>Na základe analýzy MF SR (prepojené dáta o príjmoch, veku a výške štátnej prémie každého sporiteľa) pracuje nasledovný výpočet s viacerými expertnými predpokladmi. Analýzou údajov za predchádzajúcich 10 rokov sa odhaduje podiel sporiteľov bez nároku na štátnu prémiu po zavedení novely v rozsahu 15,4 %. Pri plánovaných výdavkoch na štátnu prémiu vo výške 24 mil. EUR v rokoch 2020 a 2021, a za predpokladu, že sa opatrenie dotkne aj existujúcich zmlúv (nepravá retroaktivita), predstavuje predpokladaný vplyv na ŠR v oboch rokoch 3,7 mil. EUR.</w:t>
      </w:r>
    </w:p>
    <w:p w:rsidR="00677D1D" w:rsidRPr="00CE6935" w:rsidP="00677D1D">
      <w:pPr>
        <w:bidi w:val="0"/>
        <w:rPr>
          <w:rFonts w:ascii="Times New Roman" w:hAnsi="Times New Roman"/>
        </w:rPr>
      </w:pPr>
    </w:p>
    <w:p w:rsidR="00677D1D" w:rsidRPr="00CE6935" w:rsidP="00677D1D">
      <w:pPr>
        <w:bidi w:val="0"/>
        <w:ind w:left="284"/>
        <w:jc w:val="both"/>
        <w:rPr>
          <w:rFonts w:ascii="Times New Roman" w:hAnsi="Times New Roman"/>
        </w:rPr>
      </w:pPr>
      <w:r w:rsidRPr="00CE6935">
        <w:rPr>
          <w:rFonts w:ascii="Times New Roman" w:hAnsi="Times New Roman"/>
        </w:rPr>
        <w:t xml:space="preserve">predpokladaný vplyv na ŠR v roku 2020: </w:t>
      </w:r>
      <w:r>
        <w:rPr>
          <w:rFonts w:ascii="Times New Roman" w:hAnsi="Times New Roman"/>
        </w:rPr>
        <w:t>3</w:t>
      </w:r>
      <w:r w:rsidRPr="00CE6935">
        <w:rPr>
          <w:rFonts w:ascii="Times New Roman" w:hAnsi="Times New Roman"/>
        </w:rPr>
        <w:t>,</w:t>
      </w:r>
      <w:r>
        <w:rPr>
          <w:rFonts w:ascii="Times New Roman" w:hAnsi="Times New Roman"/>
        </w:rPr>
        <w:t>7</w:t>
      </w:r>
      <w:r w:rsidRPr="00CE6935">
        <w:rPr>
          <w:rFonts w:ascii="Times New Roman" w:hAnsi="Times New Roman"/>
        </w:rPr>
        <w:t xml:space="preserve"> mil. eur</w:t>
      </w:r>
    </w:p>
    <w:p w:rsidR="00677D1D" w:rsidRPr="00CE6935" w:rsidP="00677D1D">
      <w:pPr>
        <w:bidi w:val="0"/>
        <w:ind w:left="284"/>
        <w:jc w:val="both"/>
        <w:rPr>
          <w:rFonts w:ascii="Times New Roman" w:hAnsi="Times New Roman"/>
        </w:rPr>
      </w:pPr>
      <w:r w:rsidRPr="00CE6935">
        <w:rPr>
          <w:rFonts w:ascii="Times New Roman" w:hAnsi="Times New Roman"/>
        </w:rPr>
        <w:t xml:space="preserve">predpokladaný vplyv na ŠR v roku 2021: </w:t>
      </w:r>
      <w:r>
        <w:rPr>
          <w:rFonts w:ascii="Times New Roman" w:hAnsi="Times New Roman"/>
        </w:rPr>
        <w:t>3</w:t>
      </w:r>
      <w:r w:rsidRPr="00CE6935">
        <w:rPr>
          <w:rFonts w:ascii="Times New Roman" w:hAnsi="Times New Roman"/>
        </w:rPr>
        <w:t>,</w:t>
      </w:r>
      <w:r>
        <w:rPr>
          <w:rFonts w:ascii="Times New Roman" w:hAnsi="Times New Roman"/>
        </w:rPr>
        <w:t>7</w:t>
      </w:r>
      <w:r w:rsidRPr="00CE6935">
        <w:rPr>
          <w:rFonts w:ascii="Times New Roman" w:hAnsi="Times New Roman"/>
        </w:rPr>
        <w:t xml:space="preserve"> mil. eur</w:t>
      </w:r>
    </w:p>
    <w:p w:rsidR="00677D1D" w:rsidRPr="00CE6935" w:rsidP="00677D1D">
      <w:pPr>
        <w:bidi w:val="0"/>
        <w:ind w:left="284"/>
        <w:jc w:val="both"/>
        <w:rPr>
          <w:rFonts w:ascii="Times New Roman" w:hAnsi="Times New Roman"/>
        </w:rPr>
      </w:pPr>
    </w:p>
    <w:p w:rsidR="00677D1D" w:rsidRPr="00CE6935" w:rsidP="00677D1D">
      <w:pPr>
        <w:pStyle w:val="ListParagraph"/>
        <w:numPr>
          <w:numId w:val="17"/>
        </w:numPr>
        <w:suppressAutoHyphens w:val="0"/>
        <w:bidi w:val="0"/>
        <w:ind w:left="284" w:hanging="284"/>
        <w:jc w:val="both"/>
        <w:rPr>
          <w:rFonts w:ascii="Times New Roman" w:hAnsi="Times New Roman"/>
          <w:szCs w:val="24"/>
        </w:rPr>
      </w:pPr>
      <w:r w:rsidRPr="00CE6935">
        <w:rPr>
          <w:rFonts w:ascii="Times New Roman" w:hAnsi="Times New Roman"/>
          <w:szCs w:val="24"/>
          <w:u w:val="single"/>
        </w:rPr>
        <w:t>obmedzenie poberania štátnej prémie počas čerpania a splácania medziúveru</w:t>
      </w:r>
      <w:r w:rsidRPr="00CE6935">
        <w:rPr>
          <w:rFonts w:ascii="Times New Roman" w:hAnsi="Times New Roman"/>
          <w:szCs w:val="24"/>
        </w:rPr>
        <w:t xml:space="preserve"> – stavebný sporiteľ by počas rokov, v ktorých čerpá a spláca medziúver, nemal nárok na štátnu prémiu;</w:t>
      </w:r>
    </w:p>
    <w:p w:rsidR="00677D1D" w:rsidRPr="00CE6935" w:rsidP="00677D1D">
      <w:pPr>
        <w:bidi w:val="0"/>
        <w:jc w:val="both"/>
        <w:rPr>
          <w:rFonts w:ascii="Times New Roman" w:hAnsi="Times New Roman"/>
        </w:rPr>
      </w:pPr>
    </w:p>
    <w:p w:rsidR="00677D1D" w:rsidRPr="00677D1D" w:rsidP="00677D1D">
      <w:pPr>
        <w:bidi w:val="0"/>
        <w:ind w:left="284"/>
        <w:jc w:val="both"/>
        <w:rPr>
          <w:rFonts w:ascii="Times New Roman" w:hAnsi="Times New Roman"/>
          <w:color w:val="000000"/>
        </w:rPr>
      </w:pPr>
      <w:r w:rsidRPr="00CE6935">
        <w:rPr>
          <w:rFonts w:ascii="Times New Roman" w:hAnsi="Times New Roman"/>
        </w:rPr>
        <w:t xml:space="preserve">V roku 2016 bol podiel počtu nových medziúverov ku počtu nových zmlúv stavebného sporenia približne 13,3%. Odhad pracuje s predpokladom, že rovnaký bude podiel nových zmlúv, ktorých majitelia stratia nárok na štátnu prémiu z dôvodu založenia medziúveru. Za predpokladu, </w:t>
      </w:r>
      <w:r w:rsidRPr="00677D1D">
        <w:rPr>
          <w:rFonts w:ascii="Times New Roman" w:hAnsi="Times New Roman"/>
          <w:color w:val="000000"/>
        </w:rPr>
        <w:t>že každoročné výdavky ŠR na štátnu prémiu ku novým zmluvám sú 4 mil. EUR, predstavuje predpokladaný vplyv na ŠR 0,5 mil. EUR v roku 2020 a 1,1 mil. EUR v roku 2021.</w:t>
      </w:r>
    </w:p>
    <w:p w:rsidR="00677D1D" w:rsidRPr="00CE6935" w:rsidP="00677D1D">
      <w:pPr>
        <w:bidi w:val="0"/>
        <w:ind w:left="284"/>
        <w:jc w:val="both"/>
        <w:rPr>
          <w:rFonts w:ascii="Times New Roman" w:hAnsi="Times New Roman"/>
        </w:rPr>
      </w:pPr>
    </w:p>
    <w:p w:rsidR="00677D1D" w:rsidRPr="00CE6935" w:rsidP="00677D1D">
      <w:pPr>
        <w:bidi w:val="0"/>
        <w:ind w:left="284"/>
        <w:jc w:val="both"/>
        <w:rPr>
          <w:rFonts w:ascii="Times New Roman" w:hAnsi="Times New Roman"/>
        </w:rPr>
      </w:pPr>
      <w:r w:rsidRPr="00CE6935">
        <w:rPr>
          <w:rFonts w:ascii="Times New Roman" w:hAnsi="Times New Roman"/>
        </w:rPr>
        <w:t>predpokladaný vplyv na ŠR v roku 2020: 0,5 mil. eur</w:t>
      </w:r>
    </w:p>
    <w:p w:rsidR="00677D1D" w:rsidP="00677D1D">
      <w:pPr>
        <w:bidi w:val="0"/>
        <w:ind w:left="284"/>
        <w:jc w:val="both"/>
        <w:rPr>
          <w:rFonts w:ascii="Times New Roman" w:hAnsi="Times New Roman"/>
        </w:rPr>
      </w:pPr>
      <w:r w:rsidRPr="00CE6935">
        <w:rPr>
          <w:rFonts w:ascii="Times New Roman" w:hAnsi="Times New Roman"/>
        </w:rPr>
        <w:t>predpokladaný vplyv na ŠR v roku 2021: 1,1 mil. eur</w:t>
      </w:r>
    </w:p>
    <w:p w:rsidR="00677D1D" w:rsidP="00677D1D">
      <w:pPr>
        <w:bidi w:val="0"/>
        <w:ind w:left="284"/>
        <w:jc w:val="both"/>
        <w:rPr>
          <w:rFonts w:ascii="Times New Roman" w:hAnsi="Times New Roman"/>
        </w:rPr>
      </w:pPr>
    </w:p>
    <w:p w:rsidR="00677D1D" w:rsidRPr="00CE6935" w:rsidP="00677D1D">
      <w:pPr>
        <w:pStyle w:val="ListParagraph"/>
        <w:numPr>
          <w:numId w:val="17"/>
        </w:numPr>
        <w:suppressAutoHyphens w:val="0"/>
        <w:bidi w:val="0"/>
        <w:ind w:left="284" w:hanging="284"/>
        <w:jc w:val="both"/>
        <w:rPr>
          <w:rFonts w:ascii="Times New Roman" w:hAnsi="Times New Roman"/>
          <w:szCs w:val="24"/>
          <w:lang w:eastAsia="sk-SK"/>
        </w:rPr>
      </w:pPr>
      <w:r w:rsidRPr="00C50250">
        <w:rPr>
          <w:rFonts w:ascii="Times New Roman" w:hAnsi="Times New Roman"/>
          <w:szCs w:val="24"/>
          <w:u w:val="single"/>
        </w:rPr>
        <w:t>osobitné limitovanie nároku na štátnu prémiu v prvom roku sporenia</w:t>
      </w:r>
      <w:r w:rsidRPr="00CE6935">
        <w:rPr>
          <w:rFonts w:ascii="Times New Roman" w:hAnsi="Times New Roman"/>
          <w:szCs w:val="24"/>
        </w:rPr>
        <w:t xml:space="preserve"> –</w:t>
      </w:r>
      <w:r>
        <w:rPr>
          <w:rFonts w:ascii="Times New Roman" w:hAnsi="Times New Roman"/>
          <w:szCs w:val="24"/>
        </w:rPr>
        <w:t xml:space="preserve"> </w:t>
      </w:r>
      <w:r w:rsidRPr="008816F3">
        <w:rPr>
          <w:rFonts w:ascii="Times New Roman" w:hAnsi="Times New Roman"/>
          <w:szCs w:val="24"/>
          <w:lang w:eastAsia="sk-SK"/>
        </w:rPr>
        <w:t xml:space="preserve">štátna prémia bude </w:t>
      </w:r>
      <w:r>
        <w:rPr>
          <w:rFonts w:ascii="Times New Roman" w:hAnsi="Times New Roman"/>
          <w:szCs w:val="24"/>
          <w:lang w:eastAsia="sk-SK"/>
        </w:rPr>
        <w:t xml:space="preserve">najviac </w:t>
      </w:r>
      <w:r w:rsidRPr="008816F3">
        <w:rPr>
          <w:rFonts w:ascii="Times New Roman" w:hAnsi="Times New Roman"/>
          <w:szCs w:val="24"/>
          <w:lang w:eastAsia="sk-SK"/>
        </w:rPr>
        <w:t>polovic</w:t>
      </w:r>
      <w:r>
        <w:rPr>
          <w:rFonts w:ascii="Times New Roman" w:hAnsi="Times New Roman"/>
          <w:szCs w:val="24"/>
          <w:lang w:eastAsia="sk-SK"/>
        </w:rPr>
        <w:t>ou</w:t>
      </w:r>
      <w:r w:rsidRPr="008816F3">
        <w:rPr>
          <w:rFonts w:ascii="Times New Roman" w:hAnsi="Times New Roman"/>
          <w:szCs w:val="24"/>
          <w:lang w:eastAsia="sk-SK"/>
        </w:rPr>
        <w:t xml:space="preserve"> sumy z</w:t>
      </w:r>
      <w:r>
        <w:rPr>
          <w:rFonts w:ascii="Times New Roman" w:hAnsi="Times New Roman"/>
          <w:szCs w:val="24"/>
          <w:lang w:eastAsia="sk-SK"/>
        </w:rPr>
        <w:t xml:space="preserve"> maximálneho </w:t>
      </w:r>
      <w:r w:rsidRPr="008816F3">
        <w:rPr>
          <w:rFonts w:ascii="Times New Roman" w:hAnsi="Times New Roman"/>
          <w:szCs w:val="24"/>
          <w:lang w:eastAsia="sk-SK"/>
        </w:rPr>
        <w:t>ročného limitu v prípade uzatvorenia zmluvy o stavebnom sporení v </w:t>
      </w:r>
      <w:r>
        <w:rPr>
          <w:rFonts w:ascii="Times New Roman" w:hAnsi="Times New Roman"/>
          <w:szCs w:val="24"/>
          <w:lang w:eastAsia="sk-SK"/>
        </w:rPr>
        <w:t>druhom</w:t>
      </w:r>
      <w:r w:rsidRPr="008816F3">
        <w:rPr>
          <w:rFonts w:ascii="Times New Roman" w:hAnsi="Times New Roman"/>
          <w:szCs w:val="24"/>
          <w:lang w:eastAsia="sk-SK"/>
        </w:rPr>
        <w:t xml:space="preserve"> polroku kalendárneho roku</w:t>
      </w:r>
      <w:r w:rsidRPr="00CE6935">
        <w:rPr>
          <w:rFonts w:ascii="Times New Roman" w:hAnsi="Times New Roman"/>
          <w:szCs w:val="24"/>
          <w:lang w:eastAsia="sk-SK"/>
        </w:rPr>
        <w:t>;  </w:t>
      </w:r>
    </w:p>
    <w:p w:rsidR="00677D1D" w:rsidRPr="00CE6935" w:rsidP="00677D1D">
      <w:pPr>
        <w:bidi w:val="0"/>
        <w:rPr>
          <w:rFonts w:ascii="Times New Roman" w:hAnsi="Times New Roman"/>
        </w:rPr>
      </w:pPr>
    </w:p>
    <w:p w:rsidR="00677D1D" w:rsidRPr="00A3274B" w:rsidP="00677D1D">
      <w:pPr>
        <w:bidi w:val="0"/>
        <w:ind w:left="284"/>
        <w:jc w:val="both"/>
        <w:rPr>
          <w:rFonts w:ascii="Times New Roman" w:hAnsi="Times New Roman"/>
        </w:rPr>
      </w:pPr>
      <w:r w:rsidRPr="00CE6935">
        <w:rPr>
          <w:rFonts w:ascii="Times New Roman" w:hAnsi="Times New Roman"/>
        </w:rPr>
        <w:t>Vzhľadom na neexistenciu údajov nevieme predpokladanú mieru vplyvu na ŠR kvantifikovať, pretože nie sú k dispozícii historické údaje týkajúce sa reakcie sporiteľov na navrhovanú zmenu, pretože takáto v minulosti ešte nebola vykonaná.</w:t>
      </w:r>
    </w:p>
    <w:p w:rsidR="00677D1D" w:rsidRPr="00CE6935" w:rsidP="00677D1D">
      <w:pPr>
        <w:bidi w:val="0"/>
        <w:rPr>
          <w:rFonts w:ascii="Times New Roman" w:hAnsi="Times New Roman"/>
        </w:rPr>
      </w:pPr>
    </w:p>
    <w:p w:rsidR="00677D1D" w:rsidRPr="00A3274B" w:rsidP="00677D1D">
      <w:pPr>
        <w:pStyle w:val="ListParagraph"/>
        <w:numPr>
          <w:numId w:val="17"/>
        </w:numPr>
        <w:suppressAutoHyphens w:val="0"/>
        <w:bidi w:val="0"/>
        <w:ind w:left="284" w:hanging="284"/>
        <w:jc w:val="both"/>
        <w:rPr>
          <w:rFonts w:ascii="Times New Roman" w:hAnsi="Times New Roman"/>
          <w:szCs w:val="24"/>
        </w:rPr>
      </w:pPr>
      <w:r w:rsidR="00C64C41">
        <w:rPr>
          <w:rFonts w:ascii="Times New Roman" w:hAnsi="Times New Roman"/>
          <w:szCs w:val="24"/>
          <w:u w:val="single"/>
        </w:rPr>
        <w:t>z</w:t>
      </w:r>
      <w:r>
        <w:rPr>
          <w:rFonts w:ascii="Times New Roman" w:hAnsi="Times New Roman"/>
          <w:szCs w:val="24"/>
          <w:u w:val="single"/>
        </w:rPr>
        <w:t>níženie minimálnej percentuálnej výšky štátnej prémie a zvýšenie maximálnej sumy štátnej prémie</w:t>
      </w:r>
      <w:r w:rsidRPr="0056275F">
        <w:rPr>
          <w:rFonts w:ascii="Times New Roman" w:hAnsi="Times New Roman"/>
          <w:szCs w:val="24"/>
        </w:rPr>
        <w:t xml:space="preserve"> –</w:t>
      </w:r>
      <w:r w:rsidRPr="00F40EF6">
        <w:rPr>
          <w:rFonts w:ascii="Times New Roman" w:hAnsi="Times New Roman"/>
          <w:szCs w:val="24"/>
        </w:rPr>
        <w:t xml:space="preserve"> </w:t>
      </w:r>
      <w:r w:rsidRPr="00F40EF6">
        <w:rPr>
          <w:rFonts w:ascii="Times New Roman" w:hAnsi="Times New Roman"/>
          <w:bCs/>
          <w:szCs w:val="24"/>
        </w:rPr>
        <w:t>minimálna výška percentuálneho podielu štátnej prémie by sa upravila na 2,5 % a súčasne by sa upravila jej maximálna suma na 70 eur.</w:t>
      </w:r>
      <w:r w:rsidRPr="00A3274B">
        <w:rPr>
          <w:rFonts w:ascii="Times New Roman" w:hAnsi="Times New Roman"/>
          <w:bCs/>
          <w:szCs w:val="24"/>
        </w:rPr>
        <w:t xml:space="preserve">      </w:t>
      </w:r>
    </w:p>
    <w:p w:rsidR="00677D1D" w:rsidP="00677D1D">
      <w:pPr>
        <w:bidi w:val="0"/>
        <w:rPr>
          <w:rFonts w:ascii="Times New Roman" w:hAnsi="Times New Roman"/>
          <w:highlight w:val="yellow"/>
        </w:rPr>
      </w:pPr>
    </w:p>
    <w:p w:rsidR="00677D1D" w:rsidRPr="00F40EF6" w:rsidP="00677D1D">
      <w:pPr>
        <w:bidi w:val="0"/>
        <w:ind w:left="284"/>
        <w:jc w:val="both"/>
        <w:rPr>
          <w:rFonts w:ascii="Times New Roman" w:hAnsi="Times New Roman"/>
        </w:rPr>
      </w:pPr>
      <w:r w:rsidRPr="00F40EF6">
        <w:rPr>
          <w:rFonts w:ascii="Times New Roman" w:hAnsi="Times New Roman"/>
        </w:rPr>
        <w:t xml:space="preserve">Uvedená zmena bude pre stavebného sporiteľa znamenať, že pri výške štátnej prémie 2,5 % v kalendárnom roku, bude musieť pre získanie maximálnej ročnej sumy štátnej prémie 70 eur vložiť na účet stavebného sporenia ročne 2 800 eur.  </w:t>
      </w:r>
    </w:p>
    <w:p w:rsidR="00677D1D" w:rsidRPr="00544B32" w:rsidP="00677D1D">
      <w:pPr>
        <w:bidi w:val="0"/>
        <w:rPr>
          <w:rFonts w:ascii="Times New Roman" w:hAnsi="Times New Roman"/>
          <w:highlight w:val="yellow"/>
        </w:rPr>
      </w:pPr>
    </w:p>
    <w:p w:rsidR="00677D1D" w:rsidRPr="00F40EF6" w:rsidP="00677D1D">
      <w:pPr>
        <w:bidi w:val="0"/>
        <w:ind w:left="284"/>
        <w:jc w:val="both"/>
        <w:rPr>
          <w:rFonts w:ascii="Times New Roman" w:hAnsi="Times New Roman"/>
        </w:rPr>
      </w:pPr>
      <w:r w:rsidRPr="00F40EF6">
        <w:rPr>
          <w:rFonts w:ascii="Times New Roman" w:hAnsi="Times New Roman"/>
        </w:rPr>
        <w:t>predpokladaný maximálny vplyv na ŠR v roku 2020: 9,3 mil. eur</w:t>
      </w:r>
    </w:p>
    <w:p w:rsidR="00677D1D" w:rsidRPr="00F40EF6" w:rsidP="00677D1D">
      <w:pPr>
        <w:bidi w:val="0"/>
        <w:ind w:left="284"/>
        <w:jc w:val="both"/>
        <w:rPr>
          <w:rFonts w:ascii="Times New Roman" w:hAnsi="Times New Roman"/>
        </w:rPr>
      </w:pPr>
      <w:r w:rsidRPr="00F40EF6">
        <w:rPr>
          <w:rFonts w:ascii="Times New Roman" w:hAnsi="Times New Roman"/>
        </w:rPr>
        <w:t>predpokladaný maximálny vplyv na ŠR v roku 2021: 9,3 mil. eur</w:t>
      </w:r>
    </w:p>
    <w:p w:rsidR="00677D1D" w:rsidRPr="00F40EF6" w:rsidP="00677D1D">
      <w:pPr>
        <w:bidi w:val="0"/>
        <w:jc w:val="both"/>
        <w:rPr>
          <w:rFonts w:ascii="Times New Roman" w:hAnsi="Times New Roman"/>
        </w:rPr>
      </w:pPr>
    </w:p>
    <w:p w:rsidR="00677D1D" w:rsidP="00677D1D">
      <w:pPr>
        <w:bidi w:val="0"/>
        <w:jc w:val="both"/>
        <w:rPr>
          <w:rFonts w:ascii="Times New Roman" w:hAnsi="Times New Roman"/>
          <w:highlight w:val="yellow"/>
        </w:rPr>
      </w:pPr>
    </w:p>
    <w:p w:rsidR="00677D1D" w:rsidRPr="00F40EF6" w:rsidP="00677D1D">
      <w:pPr>
        <w:bidi w:val="0"/>
        <w:jc w:val="both"/>
        <w:rPr>
          <w:rFonts w:ascii="Times New Roman" w:hAnsi="Times New Roman"/>
        </w:rPr>
      </w:pPr>
      <w:r w:rsidRPr="00F40EF6">
        <w:rPr>
          <w:rFonts w:ascii="Times New Roman" w:hAnsi="Times New Roman"/>
        </w:rPr>
        <w:t>Predpoklad vychádza z kvantifikácie stavebných sporiteľov s nárokom na štátnu prémiu a priemernej vyplatenej štátnej prémie v roku 2016, ktorá bola 37,70 eur pri stanovenej výške štátnej prémie 5 %. Zvýšením maximálnej sumy z</w:t>
      </w:r>
      <w:r>
        <w:rPr>
          <w:rFonts w:ascii="Times New Roman" w:hAnsi="Times New Roman"/>
        </w:rPr>
        <w:t>o</w:t>
      </w:r>
      <w:r w:rsidRPr="00F40EF6">
        <w:rPr>
          <w:rFonts w:ascii="Times New Roman" w:hAnsi="Times New Roman"/>
        </w:rPr>
        <w:t> 66,39 eur</w:t>
      </w:r>
      <w:r>
        <w:rPr>
          <w:rFonts w:ascii="Times New Roman" w:hAnsi="Times New Roman"/>
        </w:rPr>
        <w:t>a</w:t>
      </w:r>
      <w:r w:rsidRPr="00F40EF6">
        <w:rPr>
          <w:rFonts w:ascii="Times New Roman" w:hAnsi="Times New Roman"/>
        </w:rPr>
        <w:t xml:space="preserve"> na 70 eur sa zároveň predpokladá nepatrné zvýšenie priemernej vyplatenej štátnej prémie.  Predpokladaný celkový dopad vo výške 9,3 mil. eur sa dotkne približne 520 000 stavebných sporiteľov.     </w:t>
      </w:r>
    </w:p>
    <w:p w:rsidR="00677D1D" w:rsidRPr="00F40EF6" w:rsidP="00677D1D">
      <w:pPr>
        <w:bidi w:val="0"/>
        <w:jc w:val="both"/>
        <w:rPr>
          <w:rFonts w:ascii="Times New Roman" w:hAnsi="Times New Roman"/>
        </w:rPr>
      </w:pPr>
    </w:p>
    <w:p w:rsidR="00677D1D" w:rsidRPr="00CE6935" w:rsidP="00677D1D">
      <w:pPr>
        <w:pStyle w:val="ListParagraph"/>
        <w:bidi w:val="0"/>
        <w:ind w:left="0"/>
        <w:jc w:val="both"/>
        <w:rPr>
          <w:rFonts w:ascii="Times New Roman" w:hAnsi="Times New Roman"/>
          <w:bCs/>
          <w:szCs w:val="24"/>
        </w:rPr>
      </w:pPr>
      <w:r w:rsidRPr="00F40EF6">
        <w:rPr>
          <w:rFonts w:ascii="Times New Roman" w:hAnsi="Times New Roman"/>
          <w:szCs w:val="24"/>
        </w:rPr>
        <w:t xml:space="preserve">Vplyvy na ŠR za jednotlivé opatrenia sú kvantifikované samostatne, t. j. vždy len za príslušné opatrenie (abstrahuje sa od zmien v rámci iných opatrení). Pri opatreniach č. 1 až 4 sa vychádza z neznemenej výšky štátnej prémie (5 % z ročného vkladu, max. v sume 66,39 eur ročne). Pri opatrení č. 5 sa vychádza s predpokladu, že stavební sporitelia s nárokom na štátnu prémiu nebudú zvyšovať sumy celkových ročných vkladov na dosiahnutie maximálnej sumy štátnej prémie. V prípade zvýšenia týchto súm bude </w:t>
      </w:r>
      <w:r>
        <w:rPr>
          <w:rFonts w:ascii="Times New Roman" w:hAnsi="Times New Roman"/>
          <w:szCs w:val="24"/>
        </w:rPr>
        <w:t>pozitívny</w:t>
      </w:r>
      <w:r w:rsidRPr="00F40EF6">
        <w:rPr>
          <w:rFonts w:ascii="Times New Roman" w:hAnsi="Times New Roman"/>
          <w:szCs w:val="24"/>
        </w:rPr>
        <w:t xml:space="preserve"> vplyv</w:t>
      </w:r>
      <w:r>
        <w:rPr>
          <w:rFonts w:ascii="Times New Roman" w:hAnsi="Times New Roman"/>
          <w:szCs w:val="24"/>
        </w:rPr>
        <w:t xml:space="preserve"> </w:t>
      </w:r>
      <w:r w:rsidRPr="00F40EF6">
        <w:rPr>
          <w:rFonts w:ascii="Times New Roman" w:hAnsi="Times New Roman"/>
          <w:szCs w:val="24"/>
        </w:rPr>
        <w:t>na ŠR nižší.</w:t>
      </w:r>
      <w:r>
        <w:rPr>
          <w:rFonts w:ascii="Times New Roman" w:hAnsi="Times New Roman"/>
          <w:szCs w:val="24"/>
        </w:rPr>
        <w:t xml:space="preserve">   </w:t>
      </w:r>
      <w:r w:rsidRPr="00CE6935">
        <w:rPr>
          <w:rFonts w:ascii="Times New Roman" w:hAnsi="Times New Roman"/>
          <w:szCs w:val="24"/>
        </w:rPr>
        <w:t xml:space="preserve"> </w:t>
      </w:r>
    </w:p>
    <w:p w:rsidR="00677D1D" w:rsidRPr="00CE6935" w:rsidP="00677D1D">
      <w:pPr>
        <w:tabs>
          <w:tab w:val="num" w:pos="1080"/>
        </w:tabs>
        <w:bidi w:val="0"/>
        <w:jc w:val="both"/>
        <w:rPr>
          <w:rFonts w:ascii="Times New Roman" w:hAnsi="Times New Roman"/>
          <w:bCs/>
        </w:rPr>
        <w:sectPr w:rsidSect="001961DF">
          <w:headerReference w:type="even" r:id="rId5"/>
          <w:headerReference w:type="default"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150BE9" w:rsidP="00150BE9">
      <w:pPr>
        <w:bidi w:val="0"/>
        <w:rPr>
          <w:rFonts w:ascii="Times New Roman" w:hAnsi="Times New Roman"/>
          <w:b/>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jc w:val="center"/>
              <w:rPr>
                <w:rFonts w:ascii="Calibri" w:hAnsi="Calibri"/>
                <w:b/>
                <w:lang w:eastAsia="en-US"/>
              </w:rPr>
            </w:pPr>
            <w:r w:rsidRPr="000442C3">
              <w:rPr>
                <w:rFonts w:ascii="Calibri" w:hAnsi="Calibri"/>
                <w:b/>
                <w:lang w:eastAsia="en-US"/>
              </w:rPr>
              <w:t xml:space="preserve">Analýza vplyvov na podnikateľské prostredie </w:t>
            </w:r>
          </w:p>
          <w:p w:rsidR="0016706D" w:rsidRPr="00F04CCD" w:rsidP="00E04937">
            <w:pPr>
              <w:bidi w:val="0"/>
              <w:jc w:val="center"/>
              <w:rPr>
                <w:rFonts w:ascii="Calibri" w:hAnsi="Calibri"/>
                <w:b/>
                <w:sz w:val="22"/>
                <w:szCs w:val="22"/>
                <w:lang w:eastAsia="en-US"/>
              </w:rPr>
            </w:pPr>
            <w:r w:rsidRPr="000442C3">
              <w:rPr>
                <w:rFonts w:ascii="Calibri" w:hAnsi="Calibri"/>
                <w:b/>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jc w:val="center"/>
                    <w:rPr>
                      <w:rFonts w:ascii="Calibri" w:hAnsi="Calibri"/>
                      <w:sz w:val="22"/>
                      <w:szCs w:val="22"/>
                      <w:lang w:eastAsia="en-US"/>
                    </w:rPr>
                  </w:pPr>
                  <w:r w:rsidRPr="000442C3">
                    <w:rPr>
                      <w:rFonts w:ascii="Segoe UI Symbol" w:eastAsia="MS Mincho"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jc w:val="center"/>
                    <w:rPr>
                      <w:rFonts w:ascii="Calibri" w:hAnsi="Calibri"/>
                      <w:sz w:val="22"/>
                      <w:szCs w:val="22"/>
                      <w:lang w:eastAsia="en-US"/>
                    </w:rPr>
                  </w:pPr>
                  <w:r w:rsidRPr="000442C3">
                    <w:rPr>
                      <w:rFonts w:ascii="Segoe UI Symbol" w:eastAsia="MS Mincho"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jc w:val="center"/>
                    <w:rPr>
                      <w:rFonts w:ascii="Calibri" w:hAnsi="Calibri"/>
                      <w:sz w:val="22"/>
                      <w:szCs w:val="22"/>
                      <w:lang w:eastAsia="en-US"/>
                    </w:rPr>
                  </w:pPr>
                  <w:r w:rsidRPr="000442C3">
                    <w:rPr>
                      <w:rFonts w:ascii="Segoe UI Symbol" w:eastAsia="MS Gothic"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16706D" w:rsidRPr="000442C3" w:rsidP="00E04937">
                  <w:pPr>
                    <w:bidi w:val="0"/>
                    <w:rPr>
                      <w:rFonts w:ascii="Calibri" w:hAnsi="Calibri"/>
                      <w:sz w:val="22"/>
                      <w:szCs w:val="22"/>
                      <w:lang w:eastAsia="en-US"/>
                    </w:rPr>
                  </w:pPr>
                  <w:r w:rsidRPr="000442C3">
                    <w:rPr>
                      <w:rFonts w:ascii="Calibri" w:hAnsi="Calibri"/>
                      <w:b/>
                      <w:sz w:val="22"/>
                      <w:szCs w:val="22"/>
                      <w:lang w:eastAsia="en-US"/>
                    </w:rPr>
                    <w:t>na všetky kategórie podnikov</w:t>
                  </w:r>
                </w:p>
              </w:tc>
            </w:tr>
          </w:tbl>
          <w:p w:rsidR="0016706D" w:rsidRPr="000442C3" w:rsidP="00E04937">
            <w:pPr>
              <w:bidi w:val="0"/>
              <w:rPr>
                <w:rFonts w:ascii="Calibri" w:hAnsi="Calibri"/>
                <w:b/>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3.1 Dotknuté podnikateľské subjekty</w:t>
            </w:r>
          </w:p>
          <w:p w:rsidR="0016706D" w:rsidRPr="000442C3" w:rsidP="00E04937">
            <w:pPr>
              <w:bidi w:val="0"/>
              <w:ind w:left="284"/>
              <w:rPr>
                <w:rFonts w:ascii="Calibri" w:hAnsi="Calibri"/>
                <w:b/>
                <w:sz w:val="22"/>
                <w:szCs w:val="22"/>
                <w:lang w:eastAsia="en-US"/>
              </w:rPr>
            </w:pPr>
            <w:r w:rsidRPr="000442C3">
              <w:rPr>
                <w:rFonts w:ascii="Calibri" w:hAnsi="Calibri"/>
                <w:sz w:val="22"/>
                <w:szCs w:val="22"/>
                <w:lang w:eastAsia="en-US"/>
              </w:rPr>
              <w:t xml:space="preserve"> - </w:t>
            </w:r>
            <w:r w:rsidRPr="000442C3">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Uveďte, aké podnikateľské subjekty budú predkladaným návrhom ovplyvnené.</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Pr>
                <w:rFonts w:ascii="Calibri" w:hAnsi="Calibri"/>
                <w:i/>
                <w:sz w:val="22"/>
                <w:szCs w:val="22"/>
                <w:lang w:eastAsia="en-US"/>
              </w:rPr>
              <w:t xml:space="preserve">Prvá stavebná sporiteľňa, a.s., </w:t>
            </w:r>
            <w:r w:rsidRPr="000C15FD">
              <w:rPr>
                <w:rFonts w:ascii="Calibri" w:hAnsi="Calibri"/>
                <w:i/>
                <w:sz w:val="22"/>
                <w:szCs w:val="22"/>
                <w:lang w:eastAsia="en-US"/>
              </w:rPr>
              <w:t>Wüstenrot</w:t>
            </w:r>
            <w:r>
              <w:rPr>
                <w:rFonts w:ascii="Calibri" w:hAnsi="Calibri"/>
                <w:i/>
                <w:sz w:val="22"/>
                <w:szCs w:val="22"/>
                <w:lang w:eastAsia="en-US"/>
              </w:rPr>
              <w:t xml:space="preserve"> stavebná sporiteľňa, a.s a ČSOB stavebná sporiteľňa, a.s. Opatrenia môžu mať bližšie nešpecifikovaný negatívny vplyv aj na niektoré subjekty v sektore stavebníctva najmä z dôvodu možného poklesu objemu finančných zdrojov alokovaných prostredníctvom stavebného sporenia.</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3.2 Vyhodnotenie konzultácií</w:t>
            </w:r>
          </w:p>
          <w:p w:rsidR="0016706D" w:rsidRPr="000442C3" w:rsidP="00E04937">
            <w:pPr>
              <w:bidi w:val="0"/>
              <w:rPr>
                <w:rFonts w:ascii="Calibri" w:hAnsi="Calibri"/>
                <w:b/>
                <w:sz w:val="22"/>
                <w:szCs w:val="22"/>
                <w:lang w:eastAsia="en-US"/>
              </w:rPr>
            </w:pPr>
            <w:r w:rsidRPr="000442C3">
              <w:rPr>
                <w:rFonts w:ascii="Calibri" w:hAnsi="Calibri"/>
                <w:sz w:val="22"/>
                <w:szCs w:val="22"/>
                <w:lang w:eastAsia="en-US"/>
              </w:rPr>
              <w:t xml:space="preserve">       - </w:t>
            </w:r>
            <w:r w:rsidRPr="000442C3">
              <w:rPr>
                <w:rFonts w:ascii="Calibri" w:hAnsi="Calibri"/>
                <w:b/>
                <w:sz w:val="22"/>
                <w:szCs w:val="22"/>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Uveďte, akou formou (verejné alebo cielené konzultácie a prečo) a s kým bol návrh konzultovaný.</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Ako dlho trvali konzultácie?</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1C40D3" w:rsidP="00E04937">
            <w:pPr>
              <w:bidi w:val="0"/>
              <w:rPr>
                <w:rFonts w:ascii="Calibri" w:hAnsi="Calibri"/>
                <w:i/>
                <w:sz w:val="22"/>
                <w:szCs w:val="22"/>
                <w:lang w:eastAsia="en-US"/>
              </w:rPr>
            </w:pPr>
            <w:r w:rsidRPr="001C40D3">
              <w:rPr>
                <w:rFonts w:ascii="Calibri" w:hAnsi="Calibri"/>
                <w:i/>
                <w:sz w:val="22"/>
                <w:szCs w:val="22"/>
                <w:lang w:eastAsia="en-US"/>
              </w:rPr>
              <w:t>Verejnosť bola o príprave návrhu zákona, ktorým sa mení a dopĺňa zákon Slovenskej národnej rady č. 310/1992 Zb. o stavebnom sporení v znení neskorších predpisov, informovaná prostredníctvom predbežnej informácie č. PI/2017/224 zverejnenej v informačnom systéme verejnej správy Slov-Lex od</w:t>
            </w:r>
            <w:r w:rsidRPr="001C40D3">
              <w:rPr>
                <w:rFonts w:ascii="Calibri" w:hAnsi="Calibri"/>
                <w:b/>
                <w:i/>
                <w:sz w:val="22"/>
                <w:szCs w:val="22"/>
                <w:lang w:eastAsia="en-US"/>
              </w:rPr>
              <w:t xml:space="preserve"> 4. 10. 2017 s termínom ukončenia pripomienkového konania dňa 24. 10. 2017</w:t>
            </w:r>
            <w:r>
              <w:rPr>
                <w:rFonts w:ascii="Calibri" w:hAnsi="Calibri"/>
                <w:b/>
                <w:i/>
                <w:sz w:val="22"/>
                <w:szCs w:val="22"/>
                <w:lang w:eastAsia="en-US"/>
              </w:rPr>
              <w:t xml:space="preserve">. </w:t>
            </w:r>
            <w:r w:rsidRPr="001C40D3">
              <w:rPr>
                <w:rFonts w:ascii="Calibri" w:hAnsi="Calibri"/>
                <w:i/>
                <w:sz w:val="22"/>
                <w:szCs w:val="22"/>
                <w:lang w:eastAsia="en-US"/>
              </w:rPr>
              <w:t>Zo strany verejnosti sa k materiálu vyjadril jeden subjekt  - Inštitút ekonomických a spoločenských analýz, s ktorým dňa 27.10.2017 prebehli na Ministerstve financií SR konzultácie k predloženým okruhom právnej úpravy.</w:t>
            </w:r>
            <w:r>
              <w:rPr>
                <w:rFonts w:ascii="Calibri" w:hAnsi="Calibri"/>
                <w:sz w:val="22"/>
                <w:szCs w:val="22"/>
                <w:lang w:eastAsia="en-US"/>
              </w:rPr>
              <w:t xml:space="preserve"> </w:t>
            </w:r>
            <w:r w:rsidRPr="001C40D3">
              <w:rPr>
                <w:rFonts w:ascii="Calibri" w:hAnsi="Calibri"/>
                <w:i/>
                <w:sz w:val="22"/>
                <w:szCs w:val="22"/>
                <w:lang w:eastAsia="en-US"/>
              </w:rPr>
              <w:t xml:space="preserve">Vzhľadom na to, že z doložky vplyvov vyplýva, že dotknutými subjektami sú aj stavebné sporiteľne, dňa 27.10.2017 </w:t>
            </w:r>
            <w:r>
              <w:rPr>
                <w:rFonts w:ascii="Calibri" w:hAnsi="Calibri"/>
                <w:i/>
                <w:sz w:val="22"/>
                <w:szCs w:val="22"/>
                <w:lang w:eastAsia="en-US"/>
              </w:rPr>
              <w:t xml:space="preserve">a 27.11.2017 </w:t>
            </w:r>
            <w:r w:rsidRPr="001C40D3">
              <w:rPr>
                <w:rFonts w:ascii="Calibri" w:hAnsi="Calibri"/>
                <w:i/>
                <w:sz w:val="22"/>
                <w:szCs w:val="22"/>
                <w:lang w:eastAsia="en-US"/>
              </w:rPr>
              <w:t>prebehli na Ministerstve financií SR konzultácie so zástupcami všetkých troch stavebných sporiteľní pôsobiacich v Slovenskej republike.</w:t>
            </w:r>
          </w:p>
          <w:p w:rsidR="0016706D" w:rsidRPr="001C40D3" w:rsidP="00E04937">
            <w:pPr>
              <w:bidi w:val="0"/>
              <w:rPr>
                <w:rFonts w:ascii="Calibri" w:hAnsi="Calibri"/>
                <w:i/>
                <w:sz w:val="22"/>
                <w:szCs w:val="22"/>
                <w:lang w:eastAsia="en-US"/>
              </w:rPr>
            </w:pPr>
            <w:r w:rsidRPr="001C40D3">
              <w:rPr>
                <w:rFonts w:ascii="Calibri" w:hAnsi="Calibri"/>
                <w:i/>
                <w:sz w:val="22"/>
                <w:szCs w:val="22"/>
                <w:lang w:eastAsia="en-US"/>
              </w:rPr>
              <w:t xml:space="preserve">Zo strany Ministerstva financií SR im na stretnutí bolo v krátkosti predstavených všetkých päť okruhov právnej úpravy. </w:t>
            </w:r>
          </w:p>
          <w:p w:rsidR="0016706D" w:rsidRPr="001C40D3" w:rsidP="00E04937">
            <w:pPr>
              <w:bidi w:val="0"/>
              <w:rPr>
                <w:rFonts w:ascii="Calibri" w:hAnsi="Calibri"/>
                <w:i/>
                <w:sz w:val="22"/>
                <w:szCs w:val="22"/>
                <w:lang w:eastAsia="en-US"/>
              </w:rPr>
            </w:pPr>
            <w:r w:rsidRPr="001C40D3">
              <w:rPr>
                <w:rFonts w:ascii="Calibri" w:hAnsi="Calibri"/>
                <w:i/>
                <w:sz w:val="22"/>
                <w:szCs w:val="22"/>
                <w:lang w:eastAsia="en-US"/>
              </w:rPr>
              <w:t>Zástupcovia stavebných sporiteľní po oboznámení sa s okruhmi právnej úpravy mali doplňujúce otázky k prechodným ustanoveniam týkajúcim sa jednotlivých opatrení z pohľadu ich vzťahu k existujúcim alebo budúcim zmluvám o stavebnom sporení, resp. zmluvám o stavebných úveroch.</w:t>
            </w:r>
          </w:p>
          <w:p w:rsidR="0016706D" w:rsidP="00E04937">
            <w:pPr>
              <w:bidi w:val="0"/>
              <w:rPr>
                <w:rFonts w:ascii="Calibri" w:hAnsi="Calibri"/>
                <w:i/>
                <w:sz w:val="22"/>
                <w:szCs w:val="22"/>
                <w:lang w:eastAsia="en-US"/>
              </w:rPr>
            </w:pPr>
          </w:p>
          <w:p w:rsidR="0016706D" w:rsidRPr="000442C3" w:rsidP="00E04937">
            <w:pPr>
              <w:bidi w:val="0"/>
              <w:rPr>
                <w:rFonts w:ascii="Calibri" w:hAnsi="Calibri"/>
                <w:i/>
                <w:sz w:val="22"/>
                <w:szCs w:val="22"/>
                <w:lang w:eastAsia="en-US"/>
              </w:rPr>
            </w:pPr>
            <w:r>
              <w:rPr>
                <w:rFonts w:ascii="Calibri" w:hAnsi="Calibri"/>
                <w:i/>
                <w:sz w:val="22"/>
                <w:szCs w:val="22"/>
                <w:lang w:eastAsia="en-US"/>
              </w:rPr>
              <w:t xml:space="preserve">V rámci rozporových konaní prebehli aj konzultácie so všetkými stavebnými sporiteľňami, v rámci ktorých boli niektoré opatrenia modifikované na základe čiastočných akceptácií určitých zásadných pripomienok, ako aj zohľadnené niektoré technické pripomienky. Iný podnikateľský subjekt neprejavil záujem o konzultácie.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3.3 Náklady regulácie</w:t>
            </w:r>
          </w:p>
          <w:p w:rsidR="0016706D" w:rsidRPr="000442C3" w:rsidP="00E04937">
            <w:pPr>
              <w:bidi w:val="0"/>
              <w:rPr>
                <w:rFonts w:ascii="Calibri" w:hAnsi="Calibri"/>
                <w:b/>
                <w:sz w:val="22"/>
                <w:szCs w:val="22"/>
                <w:lang w:eastAsia="en-US"/>
              </w:rPr>
            </w:pPr>
            <w:r w:rsidRPr="000442C3">
              <w:rPr>
                <w:rFonts w:ascii="Calibri" w:hAnsi="Calibri"/>
                <w:sz w:val="22"/>
                <w:szCs w:val="22"/>
                <w:lang w:eastAsia="en-US"/>
              </w:rPr>
              <w:t xml:space="preserve">      - </w:t>
            </w:r>
            <w:r w:rsidRPr="000442C3">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b/>
                <w:i/>
                <w:sz w:val="22"/>
                <w:szCs w:val="22"/>
                <w:lang w:eastAsia="en-US"/>
              </w:rPr>
            </w:pPr>
            <w:r w:rsidRPr="000442C3">
              <w:rPr>
                <w:rFonts w:ascii="Calibri" w:hAnsi="Calibri"/>
                <w:b/>
                <w:i/>
                <w:sz w:val="22"/>
                <w:szCs w:val="22"/>
                <w:lang w:eastAsia="en-US"/>
              </w:rPr>
              <w:t>3.3.1 Priame finančné náklady</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sz w:val="22"/>
                <w:szCs w:val="22"/>
                <w:lang w:eastAsia="en-US"/>
              </w:rPr>
              <w:t> </w:t>
            </w:r>
            <w:r w:rsidRPr="000442C3">
              <w:rPr>
                <w:rFonts w:ascii="Calibri" w:hAnsi="Calibri"/>
                <w:i/>
                <w:sz w:val="22"/>
                <w:szCs w:val="22"/>
                <w:lang w:eastAsia="en-US"/>
              </w:rPr>
              <w:t>Priame finančné náklady reguláci</w:t>
            </w:r>
            <w:r>
              <w:rPr>
                <w:rFonts w:ascii="Calibri" w:hAnsi="Calibri"/>
                <w:i/>
                <w:sz w:val="22"/>
                <w:szCs w:val="22"/>
                <w:lang w:eastAsia="en-US"/>
              </w:rPr>
              <w:t>a</w:t>
            </w:r>
            <w:r w:rsidRPr="000442C3">
              <w:rPr>
                <w:rFonts w:ascii="Calibri" w:hAnsi="Calibri"/>
                <w:i/>
                <w:sz w:val="22"/>
                <w:szCs w:val="22"/>
                <w:lang w:eastAsia="en-US"/>
              </w:rPr>
              <w:t xml:space="preserve"> </w:t>
            </w:r>
            <w:r>
              <w:rPr>
                <w:rFonts w:ascii="Calibri" w:hAnsi="Calibri"/>
                <w:i/>
                <w:sz w:val="22"/>
                <w:szCs w:val="22"/>
                <w:lang w:eastAsia="en-US"/>
              </w:rPr>
              <w:t>nemá</w:t>
            </w:r>
            <w:r w:rsidRPr="000442C3">
              <w:rPr>
                <w:rFonts w:ascii="Calibri" w:hAnsi="Calibri"/>
                <w:i/>
                <w:sz w:val="22"/>
                <w:szCs w:val="22"/>
                <w:lang w:eastAsia="en-US"/>
              </w:rPr>
              <w:t>.</w:t>
            </w: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b/>
                <w:i/>
                <w:sz w:val="22"/>
                <w:szCs w:val="22"/>
                <w:lang w:eastAsia="en-US"/>
              </w:rPr>
            </w:pPr>
            <w:r w:rsidRPr="000442C3">
              <w:rPr>
                <w:rFonts w:ascii="Calibri" w:hAnsi="Calibri"/>
                <w:b/>
                <w:i/>
                <w:sz w:val="22"/>
                <w:szCs w:val="22"/>
                <w:lang w:eastAsia="en-US"/>
              </w:rPr>
              <w:t>3.3.2 Nepriame finančné náklady</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Nepriame finančné náklady reguláci</w:t>
            </w:r>
            <w:r>
              <w:rPr>
                <w:rFonts w:ascii="Calibri" w:hAnsi="Calibri"/>
                <w:i/>
                <w:sz w:val="22"/>
                <w:szCs w:val="22"/>
                <w:lang w:eastAsia="en-US"/>
              </w:rPr>
              <w:t>a</w:t>
            </w:r>
            <w:r w:rsidRPr="000442C3">
              <w:rPr>
                <w:rFonts w:ascii="Calibri" w:hAnsi="Calibri"/>
                <w:i/>
                <w:sz w:val="22"/>
                <w:szCs w:val="22"/>
                <w:lang w:eastAsia="en-US"/>
              </w:rPr>
              <w:t xml:space="preserve"> </w:t>
            </w:r>
            <w:r>
              <w:rPr>
                <w:rFonts w:ascii="Calibri" w:hAnsi="Calibri"/>
                <w:i/>
                <w:sz w:val="22"/>
                <w:szCs w:val="22"/>
                <w:lang w:eastAsia="en-US"/>
              </w:rPr>
              <w:t>nemá</w:t>
            </w:r>
            <w:r w:rsidRPr="000442C3">
              <w:rPr>
                <w:rFonts w:ascii="Calibri" w:hAnsi="Calibri"/>
                <w:i/>
                <w:sz w:val="22"/>
                <w:szCs w:val="22"/>
                <w:lang w:eastAsia="en-US"/>
              </w:rPr>
              <w:t>.</w:t>
            </w: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p w:rsidR="0016706D" w:rsidRPr="000442C3" w:rsidP="00E04937">
            <w:pPr>
              <w:bidi w:val="0"/>
              <w:rPr>
                <w:rFonts w:ascii="Calibri" w:hAnsi="Calibri"/>
                <w:b/>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b/>
                <w:i/>
                <w:sz w:val="22"/>
                <w:szCs w:val="22"/>
                <w:lang w:eastAsia="en-US"/>
              </w:rPr>
            </w:pPr>
            <w:r w:rsidRPr="000442C3">
              <w:rPr>
                <w:rFonts w:ascii="Calibri" w:hAnsi="Calibri"/>
                <w:b/>
                <w:i/>
                <w:sz w:val="22"/>
                <w:szCs w:val="22"/>
                <w:lang w:eastAsia="en-US"/>
              </w:rPr>
              <w:t>3.3.3 Administratívne náklady</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463F8C" w:rsidP="00E04937">
            <w:pPr>
              <w:bidi w:val="0"/>
              <w:rPr>
                <w:rFonts w:ascii="Calibri" w:hAnsi="Calibri"/>
                <w:i/>
                <w:sz w:val="22"/>
                <w:szCs w:val="22"/>
                <w:lang w:eastAsia="en-US"/>
              </w:rPr>
            </w:pPr>
            <w:r w:rsidRPr="00463F8C">
              <w:rPr>
                <w:rFonts w:ascii="Calibri" w:hAnsi="Calibri"/>
                <w:i/>
                <w:sz w:val="22"/>
                <w:szCs w:val="22"/>
                <w:lang w:eastAsia="en-US"/>
              </w:rPr>
              <w:t xml:space="preserve">Vzhľadom k nutnosti </w:t>
            </w:r>
            <w:r>
              <w:rPr>
                <w:rFonts w:ascii="Calibri" w:hAnsi="Calibri"/>
                <w:i/>
                <w:sz w:val="22"/>
                <w:szCs w:val="22"/>
                <w:lang w:eastAsia="en-US"/>
              </w:rPr>
              <w:t xml:space="preserve">vyhodnocovať </w:t>
            </w:r>
            <w:r w:rsidRPr="00463F8C">
              <w:rPr>
                <w:rFonts w:ascii="Calibri" w:hAnsi="Calibri"/>
                <w:i/>
                <w:sz w:val="22"/>
                <w:szCs w:val="22"/>
                <w:lang w:eastAsia="en-US"/>
              </w:rPr>
              <w:t>pri nárok</w:t>
            </w:r>
            <w:r>
              <w:rPr>
                <w:rFonts w:ascii="Calibri" w:hAnsi="Calibri"/>
                <w:i/>
                <w:sz w:val="22"/>
                <w:szCs w:val="22"/>
                <w:lang w:eastAsia="en-US"/>
              </w:rPr>
              <w:t>ovaní š</w:t>
            </w:r>
            <w:r w:rsidRPr="00463F8C">
              <w:rPr>
                <w:rFonts w:ascii="Calibri" w:hAnsi="Calibri"/>
                <w:i/>
                <w:sz w:val="22"/>
                <w:szCs w:val="22"/>
                <w:lang w:eastAsia="en-US"/>
              </w:rPr>
              <w:t>tátn</w:t>
            </w:r>
            <w:r>
              <w:rPr>
                <w:rFonts w:ascii="Calibri" w:hAnsi="Calibri"/>
                <w:i/>
                <w:sz w:val="22"/>
                <w:szCs w:val="22"/>
                <w:lang w:eastAsia="en-US"/>
              </w:rPr>
              <w:t xml:space="preserve">ej </w:t>
            </w:r>
            <w:r w:rsidRPr="00463F8C">
              <w:rPr>
                <w:rFonts w:ascii="Calibri" w:hAnsi="Calibri"/>
                <w:i/>
                <w:sz w:val="22"/>
                <w:szCs w:val="22"/>
                <w:lang w:eastAsia="en-US"/>
              </w:rPr>
              <w:t>prémi</w:t>
            </w:r>
            <w:r>
              <w:rPr>
                <w:rFonts w:ascii="Calibri" w:hAnsi="Calibri"/>
                <w:i/>
                <w:sz w:val="22"/>
                <w:szCs w:val="22"/>
                <w:lang w:eastAsia="en-US"/>
              </w:rPr>
              <w:t>e</w:t>
            </w:r>
            <w:r w:rsidRPr="00463F8C">
              <w:rPr>
                <w:rFonts w:ascii="Calibri" w:hAnsi="Calibri"/>
                <w:i/>
                <w:sz w:val="22"/>
                <w:szCs w:val="22"/>
                <w:lang w:eastAsia="en-US"/>
              </w:rPr>
              <w:t xml:space="preserve"> </w:t>
            </w:r>
            <w:r>
              <w:rPr>
                <w:rFonts w:ascii="Calibri" w:hAnsi="Calibri"/>
                <w:i/>
                <w:sz w:val="22"/>
                <w:szCs w:val="22"/>
                <w:lang w:eastAsia="en-US"/>
              </w:rPr>
              <w:t>údaje o</w:t>
            </w:r>
            <w:r w:rsidRPr="00463F8C">
              <w:rPr>
                <w:rFonts w:ascii="Calibri" w:hAnsi="Calibri"/>
                <w:i/>
                <w:sz w:val="22"/>
                <w:szCs w:val="22"/>
                <w:lang w:eastAsia="en-US"/>
              </w:rPr>
              <w:t xml:space="preserve"> výške priemerného mesačného </w:t>
            </w:r>
            <w:r>
              <w:rPr>
                <w:rFonts w:ascii="Calibri" w:hAnsi="Calibri"/>
                <w:i/>
                <w:sz w:val="22"/>
                <w:szCs w:val="22"/>
                <w:lang w:eastAsia="en-US"/>
              </w:rPr>
              <w:t xml:space="preserve">zdaniteľného </w:t>
            </w:r>
            <w:r w:rsidRPr="00463F8C">
              <w:rPr>
                <w:rFonts w:ascii="Calibri" w:hAnsi="Calibri"/>
                <w:i/>
                <w:sz w:val="22"/>
                <w:szCs w:val="22"/>
                <w:lang w:eastAsia="en-US"/>
              </w:rPr>
              <w:t>príjmu</w:t>
            </w:r>
            <w:r>
              <w:rPr>
                <w:rFonts w:ascii="Calibri" w:hAnsi="Calibri"/>
                <w:i/>
                <w:sz w:val="22"/>
                <w:szCs w:val="22"/>
                <w:lang w:eastAsia="en-US"/>
              </w:rPr>
              <w:t xml:space="preserve"> budú stavebné sporiteľne raz za kalendárny rok porovnávať tieto údaje získané elektronicky v súbore s 1,3 násobkom priemernej mzdy v národnom hospodárstve, čím im vzniknú určité administratívne náklady. </w:t>
            </w:r>
            <w:r w:rsidRPr="00463F8C">
              <w:rPr>
                <w:rFonts w:ascii="Calibri" w:hAnsi="Calibri"/>
                <w:i/>
                <w:sz w:val="22"/>
                <w:szCs w:val="22"/>
                <w:lang w:eastAsia="en-US"/>
              </w:rPr>
              <w:t xml:space="preserve">  </w:t>
            </w:r>
          </w:p>
          <w:p w:rsidR="0016706D" w:rsidRPr="00463F8C" w:rsidP="00E04937">
            <w:pPr>
              <w:bidi w:val="0"/>
              <w:rPr>
                <w:rFonts w:ascii="Calibri" w:hAnsi="Calibri"/>
                <w:i/>
                <w:sz w:val="22"/>
                <w:szCs w:val="22"/>
                <w:lang w:eastAsia="en-US"/>
              </w:rPr>
            </w:pPr>
            <w:r>
              <w:rPr>
                <w:rFonts w:ascii="Calibri" w:hAnsi="Calibri"/>
                <w:i/>
                <w:sz w:val="22"/>
                <w:szCs w:val="22"/>
                <w:lang w:eastAsia="en-US"/>
              </w:rPr>
              <w:t xml:space="preserve">Na základe zjednodušeného prepočtu pomocou kalkulačky nákladov uvedenej na internetovej stránke  Ministerstva hospodárstva k jednotnej metodike na posudzovanie vybraných  vplyvov je možné približne vyčísliť administratívne náklady stavebnej sporiteľne potrebné na ročné spracovanie uvedených údajov a to vo výške 5,73 eura na jedného stavebného sporiteľa, za ktorého sa bude porovnávať údaj o výške </w:t>
            </w:r>
            <w:r w:rsidRPr="00463F8C">
              <w:rPr>
                <w:rFonts w:ascii="Calibri" w:hAnsi="Calibri"/>
                <w:i/>
                <w:sz w:val="22"/>
                <w:szCs w:val="22"/>
                <w:lang w:eastAsia="en-US"/>
              </w:rPr>
              <w:t xml:space="preserve">priemerného mesačného </w:t>
            </w:r>
            <w:r>
              <w:rPr>
                <w:rFonts w:ascii="Calibri" w:hAnsi="Calibri"/>
                <w:i/>
                <w:sz w:val="22"/>
                <w:szCs w:val="22"/>
                <w:lang w:eastAsia="en-US"/>
              </w:rPr>
              <w:t xml:space="preserve">zdaniteľného </w:t>
            </w:r>
            <w:r w:rsidRPr="00463F8C">
              <w:rPr>
                <w:rFonts w:ascii="Calibri" w:hAnsi="Calibri"/>
                <w:i/>
                <w:sz w:val="22"/>
                <w:szCs w:val="22"/>
                <w:lang w:eastAsia="en-US"/>
              </w:rPr>
              <w:t>príjmu</w:t>
            </w:r>
            <w:r>
              <w:rPr>
                <w:rFonts w:ascii="Calibri" w:hAnsi="Calibri"/>
                <w:i/>
                <w:sz w:val="22"/>
                <w:szCs w:val="22"/>
                <w:lang w:eastAsia="en-US"/>
              </w:rPr>
              <w:t xml:space="preserve">.  </w:t>
            </w:r>
          </w:p>
          <w:p w:rsidR="0016706D" w:rsidRPr="00463F8C" w:rsidP="00E04937">
            <w:pPr>
              <w:bidi w:val="0"/>
              <w:rPr>
                <w:rFonts w:ascii="Calibri" w:hAnsi="Calibri"/>
                <w:b/>
                <w:i/>
                <w:sz w:val="22"/>
                <w:szCs w:val="22"/>
                <w:lang w:eastAsia="en-US"/>
              </w:rPr>
            </w:pPr>
          </w:p>
          <w:p w:rsidR="0016706D" w:rsidRPr="00463F8C" w:rsidP="00E04937">
            <w:pPr>
              <w:bidi w:val="0"/>
              <w:rPr>
                <w:rFonts w:ascii="Calibri" w:hAnsi="Calibri"/>
                <w:b/>
                <w:i/>
                <w:sz w:val="22"/>
                <w:szCs w:val="22"/>
                <w:lang w:eastAsia="en-US"/>
              </w:rPr>
            </w:pPr>
          </w:p>
          <w:p w:rsidR="0016706D" w:rsidRPr="00463F8C" w:rsidP="00E04937">
            <w:pPr>
              <w:bidi w:val="0"/>
              <w:rPr>
                <w:rFonts w:ascii="Calibri" w:hAnsi="Calibri"/>
                <w:b/>
                <w:i/>
                <w:sz w:val="22"/>
                <w:szCs w:val="22"/>
                <w:lang w:eastAsia="en-US"/>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b/>
                <w:i/>
                <w:sz w:val="22"/>
                <w:szCs w:val="22"/>
                <w:lang w:eastAsia="en-US"/>
              </w:rPr>
              <w:t>3.3.4 Súhrnná tabuľka nákladov regulácie</w:t>
            </w:r>
          </w:p>
          <w:p w:rsidR="0016706D" w:rsidRPr="000442C3" w:rsidP="00E04937">
            <w:pPr>
              <w:bidi w:val="0"/>
              <w:rPr>
                <w:rFonts w:ascii="Calibri" w:hAnsi="Calibri"/>
                <w:i/>
                <w:sz w:val="22"/>
                <w:szCs w:val="22"/>
                <w:lang w:eastAsia="en-US"/>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sidRPr="000442C3">
                    <w:rPr>
                      <w:rFonts w:ascii="Calibri" w:hAnsi="Calibri"/>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sidRPr="000442C3">
                    <w:rPr>
                      <w:rFonts w:ascii="Calibri" w:hAnsi="Calibri"/>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Pr>
                      <w:rFonts w:ascii="Calibri" w:hAnsi="Calibri"/>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Pr>
                      <w:rFonts w:ascii="Calibri" w:hAnsi="Calibri"/>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Pr>
                      <w:rFonts w:ascii="Calibri" w:hAnsi="Calibri"/>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Pr>
                      <w:rFonts w:ascii="Calibri" w:hAnsi="Calibri"/>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Pr>
                      <w:rFonts w:ascii="Calibri" w:hAnsi="Calibri"/>
                      <w:i/>
                      <w:sz w:val="22"/>
                      <w:szCs w:val="22"/>
                      <w:lang w:eastAsia="en-US"/>
                    </w:rPr>
                    <w:t>5,73 eura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i/>
                      <w:sz w:val="22"/>
                      <w:szCs w:val="22"/>
                      <w:lang w:eastAsia="en-US"/>
                    </w:rPr>
                  </w:pPr>
                  <w:r w:rsidRPr="000442C3">
                    <w:rPr>
                      <w:rFonts w:ascii="Calibri" w:hAnsi="Calibri"/>
                      <w:i/>
                      <w:sz w:val="22"/>
                      <w:szCs w:val="22"/>
                      <w:lang w:eastAsia="en-US"/>
                    </w:rPr>
                    <w:t>Nie je možné bližšie špecifikovať.</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b/>
                      <w:i/>
                      <w:sz w:val="22"/>
                      <w:szCs w:val="22"/>
                      <w:lang w:eastAsia="en-US"/>
                    </w:rPr>
                  </w:pPr>
                  <w:r w:rsidRPr="000442C3">
                    <w:rPr>
                      <w:rFonts w:ascii="Calibri" w:hAnsi="Calibri"/>
                      <w:b/>
                      <w:i/>
                      <w:sz w:val="22"/>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b/>
                      <w:i/>
                      <w:sz w:val="22"/>
                      <w:szCs w:val="22"/>
                      <w:lang w:eastAsia="en-US"/>
                    </w:rPr>
                  </w:pPr>
                  <w:r w:rsidRPr="000442C3">
                    <w:rPr>
                      <w:rFonts w:ascii="Calibri" w:hAnsi="Calibri"/>
                      <w:b/>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jc w:val="center"/>
                    <w:rPr>
                      <w:rFonts w:ascii="Calibri" w:hAnsi="Calibri"/>
                      <w:b/>
                      <w:i/>
                      <w:sz w:val="22"/>
                      <w:szCs w:val="22"/>
                      <w:lang w:eastAsia="en-US"/>
                    </w:rPr>
                  </w:pPr>
                  <w:r w:rsidRPr="000442C3">
                    <w:rPr>
                      <w:rFonts w:ascii="Calibri" w:hAnsi="Calibri"/>
                      <w:b/>
                      <w:i/>
                      <w:sz w:val="22"/>
                      <w:szCs w:val="22"/>
                      <w:lang w:eastAsia="en-US"/>
                    </w:rPr>
                    <w:t>0</w:t>
                  </w:r>
                </w:p>
              </w:tc>
            </w:tr>
          </w:tbl>
          <w:p w:rsidR="0016706D" w:rsidRPr="000442C3" w:rsidP="00E04937">
            <w:pPr>
              <w:bidi w:val="0"/>
              <w:rPr>
                <w:rFonts w:ascii="Calibri" w:hAnsi="Calibri"/>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3.4 Konkurencieschopnosť a správanie sa podnikov na trhu</w:t>
            </w:r>
          </w:p>
          <w:p w:rsidR="0016706D" w:rsidRPr="000442C3" w:rsidP="00E04937">
            <w:pPr>
              <w:bidi w:val="0"/>
              <w:rPr>
                <w:rFonts w:ascii="Calibri" w:hAnsi="Calibri"/>
                <w:sz w:val="22"/>
                <w:szCs w:val="22"/>
                <w:lang w:eastAsia="en-US"/>
              </w:rPr>
            </w:pPr>
            <w:r w:rsidRPr="000442C3">
              <w:rPr>
                <w:rFonts w:ascii="Calibri" w:hAnsi="Calibri"/>
                <w:b/>
                <w:sz w:val="22"/>
                <w:szCs w:val="22"/>
                <w:lang w:eastAsia="en-US"/>
              </w:rPr>
              <w:t xml:space="preserve">       </w:t>
            </w:r>
            <w:r w:rsidRPr="000442C3">
              <w:rPr>
                <w:rFonts w:ascii="Calibri" w:hAnsi="Calibri"/>
                <w:sz w:val="22"/>
                <w:szCs w:val="22"/>
                <w:lang w:eastAsia="en-US"/>
              </w:rPr>
              <w:t xml:space="preserve">- </w:t>
            </w:r>
            <w:r w:rsidRPr="000442C3">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Ako ovplyvní cenu alebo dostupnosť základných zdrojov (suroviny, mechanizmy, pracovná sila, energie atď.)?</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Nemá vplyv.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16706D" w:rsidRPr="000442C3" w:rsidP="00E04937">
            <w:pPr>
              <w:bidi w:val="0"/>
              <w:rPr>
                <w:rFonts w:ascii="Calibri" w:hAnsi="Calibri"/>
                <w:b/>
                <w:sz w:val="22"/>
                <w:szCs w:val="22"/>
                <w:lang w:eastAsia="en-US"/>
              </w:rPr>
            </w:pPr>
            <w:r w:rsidRPr="000442C3">
              <w:rPr>
                <w:rFonts w:ascii="Calibri" w:hAnsi="Calibri"/>
                <w:b/>
                <w:sz w:val="22"/>
                <w:szCs w:val="22"/>
                <w:lang w:eastAsia="en-US"/>
              </w:rPr>
              <w:t xml:space="preserve">3.5 Inovácie </w:t>
            </w:r>
          </w:p>
          <w:p w:rsidR="0016706D" w:rsidRPr="000442C3" w:rsidP="00E04937">
            <w:pPr>
              <w:bidi w:val="0"/>
              <w:rPr>
                <w:rFonts w:ascii="Calibri" w:hAnsi="Calibri"/>
                <w:b/>
                <w:sz w:val="22"/>
                <w:szCs w:val="22"/>
                <w:lang w:eastAsia="en-US"/>
              </w:rPr>
            </w:pPr>
            <w:r w:rsidRPr="000442C3">
              <w:rPr>
                <w:rFonts w:ascii="Calibri" w:hAnsi="Calibri"/>
                <w:sz w:val="22"/>
                <w:szCs w:val="22"/>
                <w:lang w:eastAsia="en-US"/>
              </w:rPr>
              <w:t xml:space="preserve">       - </w:t>
            </w:r>
            <w:r w:rsidRPr="000442C3">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Uveďte, ako podporuje navrhovaná zmena inovácie.</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Zjednodušuje uvedenie alebo rozšírenie nových výrobných metód, technológií a výrobkov na trh?</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Uveďte, ako vplýva navrhovaná zmena na jednotlivé práva duševného vlastníctva (napr. patenty, ochranné známky, autorské práva, vlastníctvo know-how).</w:t>
            </w:r>
          </w:p>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Podporuje vyššiu efektivitu výroby/využívania zdrojov? Ak áno, ako?</w:t>
            </w:r>
          </w:p>
          <w:p w:rsidR="0016706D" w:rsidRPr="000442C3" w:rsidP="00E04937">
            <w:pPr>
              <w:bidi w:val="0"/>
              <w:rPr>
                <w:rFonts w:ascii="Calibri" w:hAnsi="Calibri"/>
                <w:sz w:val="22"/>
                <w:szCs w:val="22"/>
                <w:lang w:eastAsia="en-US"/>
              </w:rPr>
            </w:pPr>
            <w:r w:rsidRPr="000442C3">
              <w:rPr>
                <w:rFonts w:ascii="Calibri" w:hAnsi="Calibri"/>
                <w:i/>
                <w:sz w:val="22"/>
                <w:szCs w:val="22"/>
                <w:lang w:eastAsia="en-US"/>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6706D" w:rsidRPr="000442C3" w:rsidP="00E04937">
            <w:pPr>
              <w:bidi w:val="0"/>
              <w:rPr>
                <w:rFonts w:ascii="Calibri" w:hAnsi="Calibri"/>
                <w:i/>
                <w:sz w:val="22"/>
                <w:szCs w:val="22"/>
                <w:lang w:eastAsia="en-US"/>
              </w:rPr>
            </w:pPr>
            <w:r w:rsidRPr="000442C3">
              <w:rPr>
                <w:rFonts w:ascii="Calibri" w:hAnsi="Calibri"/>
                <w:i/>
                <w:sz w:val="22"/>
                <w:szCs w:val="22"/>
                <w:lang w:eastAsia="en-US"/>
              </w:rPr>
              <w:t>Cieľom legislatívnej úpravy je zvýšenie   účelovosti, adresnosti a efektívnosti štátnej podpory stavebného sporenia.</w:t>
            </w:r>
          </w:p>
        </w:tc>
      </w:tr>
    </w:tbl>
    <w:p w:rsidR="00150BE9" w:rsidP="00150BE9">
      <w:pPr>
        <w:bidi w:val="0"/>
        <w:rPr>
          <w:rFonts w:ascii="Times New Roman" w:hAnsi="Times New Roman"/>
        </w:rPr>
      </w:pPr>
    </w:p>
    <w:p w:rsidR="00A62E9A" w:rsidP="00150BE9">
      <w:pPr>
        <w:bidi w:val="0"/>
        <w:rPr>
          <w:rFonts w:ascii="Times New Roman" w:hAnsi="Times New Roman"/>
        </w:rPr>
      </w:pPr>
    </w:p>
    <w:p w:rsidR="00A62E9A" w:rsidRPr="00F04CCD" w:rsidP="00150BE9">
      <w:pPr>
        <w:bidi w:val="0"/>
        <w:rPr>
          <w:rFonts w:ascii="Times New Roman" w:hAnsi="Times New Roman"/>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77D1D" w:rsidRPr="00CD4982" w:rsidP="00E04937">
            <w:pPr>
              <w:bidi w:val="0"/>
              <w:ind w:left="-284" w:firstLine="284"/>
              <w:jc w:val="center"/>
              <w:rPr>
                <w:rFonts w:ascii="Times New Roman" w:hAnsi="Times New Roman"/>
                <w:b/>
              </w:rPr>
            </w:pPr>
            <w:r>
              <w:rPr>
                <w:rFonts w:ascii="Times New Roman" w:hAnsi="Times New Roman"/>
                <w:b/>
                <w:sz w:val="28"/>
              </w:rPr>
              <w:t>Analýza s</w:t>
            </w:r>
            <w:r w:rsidRPr="00CD4982">
              <w:rPr>
                <w:rFonts w:ascii="Times New Roman" w:hAnsi="Times New Roman"/>
                <w:b/>
                <w:sz w:val="28"/>
              </w:rPr>
              <w:t>ociáln</w:t>
            </w:r>
            <w:r>
              <w:rPr>
                <w:rFonts w:ascii="Times New Roman" w:hAnsi="Times New Roman"/>
                <w:b/>
                <w:sz w:val="28"/>
              </w:rPr>
              <w:t>ych</w:t>
            </w:r>
            <w:r w:rsidRPr="00CD4982">
              <w:rPr>
                <w:rFonts w:ascii="Times New Roman" w:hAnsi="Times New Roman"/>
                <w:b/>
                <w:sz w:val="28"/>
              </w:rPr>
              <w:t xml:space="preserve"> vplyv</w:t>
            </w:r>
            <w:r>
              <w:rPr>
                <w:rFonts w:ascii="Times New Roman" w:hAnsi="Times New Roman"/>
                <w:b/>
                <w:sz w:val="28"/>
              </w:rPr>
              <w:t>ov</w:t>
            </w:r>
          </w:p>
          <w:p w:rsidR="00677D1D" w:rsidRPr="00CD4982" w:rsidP="00E04937">
            <w:pPr>
              <w:bidi w:val="0"/>
              <w:jc w:val="center"/>
              <w:rPr>
                <w:rFonts w:ascii="Times New Roman" w:hAnsi="Times New Roman"/>
                <w:b/>
              </w:rPr>
            </w:pPr>
            <w:r w:rsidRPr="00CD4982">
              <w:rPr>
                <w:rFonts w:ascii="Times New Roman" w:hAnsi="Times New Roman"/>
                <w:b/>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677D1D" w:rsidRPr="0040544D" w:rsidP="00E04937">
            <w:pPr>
              <w:bidi w:val="0"/>
              <w:rPr>
                <w:rFonts w:ascii="Times New Roman" w:hAnsi="Times New Roman"/>
                <w:b/>
              </w:rPr>
            </w:pPr>
            <w:r w:rsidRPr="00CD4982">
              <w:rPr>
                <w:rFonts w:ascii="Times New Roman" w:hAnsi="Times New Roman"/>
                <w:b/>
              </w:rPr>
              <w:t>4.1 Identifikujte, popíšte a kvantifikujte vplyv na hospodárenie domácností a špecifikujte ovplyvnené skupiny domácností, ktoré budú pozitívne/negatívne ovplyvnené.</w:t>
            </w:r>
          </w:p>
        </w:tc>
      </w:tr>
    </w:tbl>
    <w:p w:rsidR="00677D1D" w:rsidP="00677D1D">
      <w:pPr>
        <w:shd w:val="clear" w:color="auto" w:fill="F2F2F2"/>
        <w:bidi w:val="0"/>
        <w:rPr>
          <w:rFonts w:ascii="Times New Roman" w:hAnsi="Times New Roman"/>
          <w:i/>
          <w:sz w:val="20"/>
          <w:szCs w:val="20"/>
        </w:rPr>
        <w:sectPr w:rsidSect="00677D1D">
          <w:headerReference w:type="default" r:id="rId11"/>
          <w:footerReference w:type="default" r:id="rId12"/>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CD4982" w:rsidP="00E04937">
            <w:pPr>
              <w:shd w:val="clear" w:color="auto" w:fill="F2F2F2"/>
              <w:bidi w:val="0"/>
              <w:rPr>
                <w:rFonts w:ascii="Times New Roman" w:hAnsi="Times New Roman"/>
                <w:i/>
                <w:sz w:val="20"/>
                <w:szCs w:val="20"/>
              </w:rPr>
            </w:pPr>
            <w:r w:rsidRPr="00CD4982">
              <w:rPr>
                <w:rFonts w:ascii="Times New Roman" w:hAnsi="Times New Roman"/>
                <w:i/>
                <w:sz w:val="20"/>
                <w:szCs w:val="20"/>
              </w:rPr>
              <w:t xml:space="preserve">Vedie návrh k zvýšeniu alebo zníženiu príjmov alebo výdavkov domácností? </w:t>
            </w:r>
          </w:p>
          <w:p w:rsidR="00677D1D" w:rsidRPr="00CD4982" w:rsidP="00E04937">
            <w:pPr>
              <w:shd w:val="clear" w:color="auto" w:fill="F2F2F2"/>
              <w:bidi w:val="0"/>
              <w:rPr>
                <w:rFonts w:ascii="Times New Roman" w:hAnsi="Times New Roman"/>
                <w:i/>
                <w:sz w:val="20"/>
                <w:szCs w:val="20"/>
              </w:rPr>
            </w:pPr>
            <w:r w:rsidRPr="00CD4982">
              <w:rPr>
                <w:rFonts w:ascii="Times New Roman" w:hAnsi="Times New Roman"/>
                <w:i/>
                <w:sz w:val="20"/>
                <w:szCs w:val="20"/>
              </w:rPr>
              <w:t xml:space="preserve">Ktoré skupiny domácností/obyvateľstva sú takto ovplyvnené a akým spôsobom? </w:t>
            </w:r>
          </w:p>
          <w:p w:rsidR="00677D1D" w:rsidRPr="00CD4982" w:rsidP="00E04937">
            <w:pPr>
              <w:shd w:val="clear" w:color="auto" w:fill="F2F2F2"/>
              <w:bidi w:val="0"/>
              <w:rPr>
                <w:rFonts w:ascii="Calibri" w:hAnsi="Calibri"/>
                <w:i/>
                <w:sz w:val="20"/>
                <w:szCs w:val="20"/>
              </w:rPr>
            </w:pPr>
            <w:r w:rsidRPr="00CD4982">
              <w:rPr>
                <w:rFonts w:ascii="Times New Roman" w:hAnsi="Times New Roman"/>
                <w:i/>
                <w:sz w:val="20"/>
                <w:szCs w:val="20"/>
              </w:rPr>
              <w:t>Sú medzi potenciálne ovplyvnenými skupinami skupiny v riziku chudoby alebo sociálneho vylúčenia?</w:t>
            </w:r>
          </w:p>
        </w:tc>
      </w:tr>
    </w:tbl>
    <w:p w:rsidR="00677D1D" w:rsidP="00677D1D">
      <w:pPr>
        <w:bidi w:val="0"/>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pozitívny</w:t>
            </w:r>
            <w:r w:rsidRPr="007E0DD6">
              <w:rPr>
                <w:rFonts w:ascii="Times New Roman" w:hAnsi="Times New Roman"/>
                <w:i/>
                <w:sz w:val="20"/>
                <w:szCs w:val="20"/>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677D1D" w:rsidP="00E04937">
            <w:pPr>
              <w:bidi w:val="0"/>
              <w:jc w:val="both"/>
              <w:rPr>
                <w:rFonts w:ascii="Times New Roman" w:hAnsi="Times New Roman"/>
                <w:i/>
                <w:sz w:val="20"/>
                <w:szCs w:val="20"/>
              </w:rPr>
            </w:pPr>
            <w:r w:rsidRPr="009037F3">
              <w:rPr>
                <w:rFonts w:ascii="Times New Roman" w:hAnsi="Times New Roman"/>
                <w:i/>
                <w:sz w:val="20"/>
                <w:szCs w:val="20"/>
              </w:rPr>
              <w:t>Predmetom návrhu je zvýšenie adresnosti, účelovosti a efektívnosti poskytovanej štátnej podpory na stavebné sporenie formou zrušenia inštitútu tzv. „priateľských sporiteľov“, zúženia okruhu poberateľov štátnej prémie podľa príjmu, obmedzenia poberania štátnej prémie počas obdobia čerpania a splácania medziúveru</w:t>
            </w:r>
            <w:r>
              <w:rPr>
                <w:rFonts w:ascii="Times New Roman" w:hAnsi="Times New Roman"/>
                <w:i/>
                <w:sz w:val="20"/>
                <w:szCs w:val="20"/>
              </w:rPr>
              <w:t xml:space="preserve">, </w:t>
            </w:r>
            <w:r w:rsidRPr="00164AA9">
              <w:rPr>
                <w:rFonts w:ascii="Times New Roman" w:hAnsi="Times New Roman"/>
                <w:i/>
                <w:sz w:val="20"/>
                <w:szCs w:val="20"/>
              </w:rPr>
              <w:t xml:space="preserve">osobitným limitovaním nároku na štátnu prémiu v prvom roku sporenia a znížením </w:t>
            </w:r>
            <w:r>
              <w:rPr>
                <w:rFonts w:ascii="Times New Roman" w:hAnsi="Times New Roman"/>
                <w:i/>
                <w:sz w:val="20"/>
                <w:szCs w:val="20"/>
              </w:rPr>
              <w:t>minimálnej výšky</w:t>
            </w:r>
            <w:r w:rsidRPr="00164AA9">
              <w:rPr>
                <w:rFonts w:ascii="Times New Roman" w:hAnsi="Times New Roman"/>
                <w:i/>
                <w:sz w:val="20"/>
                <w:szCs w:val="20"/>
              </w:rPr>
              <w:t xml:space="preserve"> štátnej prémie a zvýšením maximálnej sumy štátnej prémie.</w:t>
            </w:r>
            <w:r w:rsidRPr="009037F3">
              <w:rPr>
                <w:rFonts w:ascii="Times New Roman" w:hAnsi="Times New Roman"/>
                <w:i/>
                <w:sz w:val="20"/>
                <w:szCs w:val="20"/>
              </w:rPr>
              <w:t xml:space="preserve"> </w:t>
            </w:r>
          </w:p>
          <w:p w:rsidR="00677D1D" w:rsidRPr="009037F3" w:rsidP="00E04937">
            <w:pPr>
              <w:bidi w:val="0"/>
              <w:jc w:val="both"/>
              <w:rPr>
                <w:rFonts w:ascii="Times New Roman" w:hAnsi="Times New Roman"/>
                <w:i/>
                <w:sz w:val="20"/>
                <w:szCs w:val="20"/>
              </w:rPr>
            </w:pPr>
          </w:p>
          <w:p w:rsidR="00677D1D" w:rsidRPr="00930813" w:rsidP="00677D1D">
            <w:pPr>
              <w:pStyle w:val="ListParagraph"/>
              <w:numPr>
                <w:numId w:val="19"/>
              </w:numPr>
              <w:suppressAutoHyphens w:val="0"/>
              <w:bidi w:val="0"/>
              <w:contextualSpacing/>
              <w:jc w:val="both"/>
              <w:rPr>
                <w:rFonts w:ascii="Times New Roman" w:hAnsi="Times New Roman"/>
                <w:sz w:val="20"/>
                <w:szCs w:val="20"/>
                <w:lang w:eastAsia="sk-SK"/>
              </w:rPr>
            </w:pPr>
            <w:r w:rsidRPr="00560BB9">
              <w:rPr>
                <w:rFonts w:ascii="Times New Roman" w:hAnsi="Times New Roman"/>
                <w:i/>
                <w:sz w:val="20"/>
                <w:szCs w:val="20"/>
                <w:u w:val="single"/>
                <w:lang w:eastAsia="sk-SK"/>
              </w:rPr>
              <w:t>Obmedzenie poberania štátnej prémie počas čerpania a splácania medziúveru</w:t>
            </w:r>
            <w:r w:rsidRPr="005413D3">
              <w:rPr>
                <w:rFonts w:ascii="Times New Roman" w:hAnsi="Times New Roman"/>
                <w:i/>
                <w:sz w:val="20"/>
                <w:szCs w:val="20"/>
                <w:lang w:eastAsia="sk-SK"/>
              </w:rPr>
              <w:t xml:space="preserve"> bude viesť sporiteľov k zodpovednému zadlžovaniu sa, pretože budú viac motivovaní k dlhodobému sporeniu, ktoré je podporované štátnou prémiou, pričom po nasporení požadovanej sumy majú možnosť získať aj zvýhodnený stavebný úver. Celkovo by toto opatrenie malo smerovať k postupnému znižovaniu objemu medziúverov, pretože sa čiastočne znevýhodnia podmienky pre stavebných sporiteľov na čerpanie takýchto úverov. Zároveň by takéto opatrenie mohlo vytvoriť aj tlak na zníženie úrokových sadzieb medziúverov, a to jednak z dôvodu zníženia dopytu po týchto úveroch, ako aj z dôvodu samotného obmedzenia možnosti poberania štátnej podpory počas čerpania a splácania medziúveru, ktorá určitým spôsobom kompenzuje zvýšenú úrokovú sadzbu týchto úverov.</w:t>
            </w:r>
            <w:r>
              <w:rPr>
                <w:rFonts w:ascii="Times New Roman" w:hAnsi="Times New Roman"/>
                <w:i/>
                <w:sz w:val="20"/>
                <w:szCs w:val="20"/>
                <w:lang w:eastAsia="sk-SK"/>
              </w:rPr>
              <w:t xml:space="preserve"> Opatrenie sa pozitívne prejaví v znížení výdavkov domácností. </w:t>
            </w:r>
          </w:p>
        </w:tc>
      </w:tr>
      <w:tr>
        <w:tblPrEx>
          <w:tblW w:w="5172" w:type="pct"/>
          <w:jc w:val="center"/>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pozitívne</w:t>
            </w:r>
            <w:r w:rsidRPr="007E0DD6">
              <w:rPr>
                <w:rFonts w:ascii="Times New Roman" w:hAnsi="Times New Roman"/>
                <w:i/>
                <w:sz w:val="20"/>
                <w:szCs w:val="20"/>
              </w:rPr>
              <w:t xml:space="preserve"> ovplyvnené skupiny:</w:t>
            </w:r>
          </w:p>
        </w:tc>
        <w:tc>
          <w:tcPr>
            <w:tcW w:w="2500" w:type="pct"/>
            <w:tcBorders>
              <w:top w:val="nil"/>
              <w:left w:val="single" w:sz="4" w:space="0" w:color="auto"/>
              <w:bottom w:val="dotted" w:sz="4" w:space="0" w:color="auto"/>
              <w:right w:val="single" w:sz="4" w:space="0" w:color="auto"/>
            </w:tcBorders>
            <w:textDirection w:val="lrTb"/>
            <w:vAlign w:val="top"/>
          </w:tcPr>
          <w:p w:rsidR="00677D1D" w:rsidRPr="0044751C" w:rsidP="00E04937">
            <w:pPr>
              <w:bidi w:val="0"/>
              <w:jc w:val="both"/>
              <w:rPr>
                <w:rFonts w:ascii="Times New Roman" w:hAnsi="Times New Roman"/>
                <w:sz w:val="20"/>
                <w:szCs w:val="20"/>
              </w:rPr>
            </w:pPr>
            <w:r w:rsidRPr="0044751C">
              <w:rPr>
                <w:rFonts w:ascii="Times New Roman" w:hAnsi="Times New Roman"/>
                <w:i/>
                <w:sz w:val="20"/>
                <w:szCs w:val="20"/>
              </w:rPr>
              <w:t>Toto opatrenie sa bude vzťahovať len na nové zmluvy o medziúvere, to znamená, že pozitívne ovplyvnenou skupinou budú domácnosti, ktoré majú uzavretú zmluvu o stavebnom sporení alebo ju uzatvoria, ale po účinnosti zákona neuzavrú zmluvu o medziúvere.</w:t>
            </w:r>
          </w:p>
        </w:tc>
      </w:tr>
      <w:tr>
        <w:tblPrEx>
          <w:tblW w:w="5172" w:type="pct"/>
          <w:jc w:val="center"/>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pozitívny</w:t>
            </w:r>
            <w:r w:rsidRPr="007E0DD6">
              <w:rPr>
                <w:rFonts w:ascii="Times New Roman" w:hAnsi="Times New Roman"/>
                <w:i/>
                <w:sz w:val="20"/>
                <w:szCs w:val="20"/>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677D1D" w:rsidRPr="00560BB9" w:rsidP="00677D1D">
            <w:pPr>
              <w:pStyle w:val="ListParagraph"/>
              <w:numPr>
                <w:numId w:val="19"/>
              </w:numPr>
              <w:suppressAutoHyphens w:val="0"/>
              <w:bidi w:val="0"/>
              <w:contextualSpacing/>
              <w:jc w:val="both"/>
              <w:rPr>
                <w:rFonts w:ascii="Times New Roman" w:hAnsi="Times New Roman"/>
                <w:i/>
                <w:sz w:val="20"/>
                <w:szCs w:val="20"/>
                <w:u w:val="single"/>
                <w:lang w:eastAsia="sk-SK"/>
              </w:rPr>
            </w:pPr>
            <w:r w:rsidRPr="00164AA9">
              <w:rPr>
                <w:rFonts w:ascii="Times New Roman" w:hAnsi="Times New Roman"/>
                <w:i/>
                <w:sz w:val="20"/>
                <w:szCs w:val="20"/>
                <w:u w:val="single"/>
                <w:lang w:eastAsia="sk-SK"/>
              </w:rPr>
              <w:t xml:space="preserve">Zvýšenie maximálnej sumy štátnej prémie </w:t>
            </w:r>
            <w:r w:rsidRPr="00164AA9">
              <w:rPr>
                <w:rFonts w:ascii="Times New Roman" w:hAnsi="Times New Roman"/>
                <w:i/>
                <w:sz w:val="20"/>
                <w:szCs w:val="20"/>
                <w:lang w:eastAsia="sk-SK"/>
              </w:rPr>
              <w:t>z</w:t>
            </w:r>
            <w:r>
              <w:rPr>
                <w:rFonts w:ascii="Times New Roman" w:hAnsi="Times New Roman"/>
                <w:i/>
                <w:sz w:val="20"/>
                <w:szCs w:val="20"/>
                <w:lang w:eastAsia="sk-SK"/>
              </w:rPr>
              <w:t>o</w:t>
            </w:r>
            <w:r w:rsidRPr="00164AA9">
              <w:rPr>
                <w:rFonts w:ascii="Times New Roman" w:hAnsi="Times New Roman"/>
                <w:i/>
                <w:sz w:val="20"/>
                <w:szCs w:val="20"/>
                <w:lang w:eastAsia="sk-SK"/>
              </w:rPr>
              <w:t> 66,39 eur</w:t>
            </w:r>
            <w:r>
              <w:rPr>
                <w:rFonts w:ascii="Times New Roman" w:hAnsi="Times New Roman"/>
                <w:i/>
                <w:sz w:val="20"/>
                <w:szCs w:val="20"/>
                <w:lang w:eastAsia="sk-SK"/>
              </w:rPr>
              <w:t>a</w:t>
            </w:r>
            <w:r w:rsidRPr="00164AA9">
              <w:rPr>
                <w:rFonts w:ascii="Times New Roman" w:hAnsi="Times New Roman"/>
                <w:i/>
                <w:sz w:val="20"/>
                <w:szCs w:val="20"/>
                <w:lang w:eastAsia="sk-SK"/>
              </w:rPr>
              <w:t xml:space="preserve"> na 70 eur sa pozitívne prejaví v zvýšení príjmov domácností, kedy stavební sporitelia pri vložení vyššieho efektívneho vkladu na účet stavebného sporenia môžu získať vyššiu sumu štátnej prémie.</w:t>
            </w:r>
            <w:r>
              <w:rPr>
                <w:rFonts w:ascii="Times New Roman" w:hAnsi="Times New Roman"/>
                <w:i/>
                <w:sz w:val="20"/>
                <w:szCs w:val="20"/>
                <w:lang w:eastAsia="sk-SK"/>
              </w:rPr>
              <w:t xml:space="preserve"> Opatrenie sa pozitívne prejaví vo  zvýšení príjmov domácností.</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pozitívne</w:t>
            </w:r>
            <w:r w:rsidRPr="007E0DD6">
              <w:rPr>
                <w:rFonts w:ascii="Times New Roman" w:hAnsi="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44751C" w:rsidP="00E04937">
            <w:pPr>
              <w:bidi w:val="0"/>
              <w:jc w:val="both"/>
              <w:rPr>
                <w:rFonts w:ascii="Times New Roman" w:hAnsi="Times New Roman"/>
                <w:sz w:val="20"/>
                <w:szCs w:val="20"/>
              </w:rPr>
            </w:pPr>
            <w:r>
              <w:rPr>
                <w:rFonts w:ascii="Times New Roman" w:hAnsi="Times New Roman"/>
                <w:i/>
                <w:sz w:val="20"/>
                <w:szCs w:val="20"/>
              </w:rPr>
              <w:t xml:space="preserve">Toto opatrenie </w:t>
            </w:r>
            <w:r w:rsidRPr="0044751C">
              <w:rPr>
                <w:rFonts w:ascii="Times New Roman" w:hAnsi="Times New Roman"/>
                <w:i/>
                <w:sz w:val="20"/>
                <w:szCs w:val="20"/>
              </w:rPr>
              <w:t>sa bude vzťahovať na nové zmluvy, ako aj na uzatvorené zmluvy o stavebnom sporení, t. j. pozitívne ovplyvnenou skupinou budú všetci stavební sporitelia.</w:t>
            </w:r>
          </w:p>
        </w:tc>
      </w:tr>
      <w:tr>
        <w:tblPrEx>
          <w:tblW w:w="5172" w:type="pct"/>
          <w:jc w:val="center"/>
          <w:tblCellMar>
            <w:top w:w="28" w:type="dxa"/>
            <w:bottom w:w="28" w:type="dxa"/>
          </w:tblCellMar>
          <w:tblLook w:val="04A0"/>
        </w:tblPrEx>
        <w:trPr>
          <w:trHeight w:val="3113"/>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 xml:space="preserve">negatívny </w:t>
            </w:r>
            <w:r w:rsidRPr="007E0DD6">
              <w:rPr>
                <w:rFonts w:ascii="Times New Roman" w:hAnsi="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677D1D" w:rsidRPr="009613FF"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5A2A72">
              <w:rPr>
                <w:rFonts w:ascii="Times New Roman" w:hAnsi="Times New Roman"/>
                <w:i/>
                <w:sz w:val="20"/>
                <w:szCs w:val="20"/>
                <w:u w:val="single"/>
                <w:lang w:eastAsia="sk-SK"/>
              </w:rPr>
              <w:t>Zrušenie priateľských sporiteľov</w:t>
            </w:r>
            <w:r w:rsidRPr="00496640">
              <w:rPr>
                <w:rFonts w:ascii="Times New Roman" w:hAnsi="Times New Roman"/>
                <w:i/>
                <w:sz w:val="20"/>
                <w:szCs w:val="20"/>
                <w:lang w:eastAsia="sk-SK"/>
              </w:rPr>
              <w:t xml:space="preserve"> bude mať za následok nevyplatenie štátnej prémie sporiteľom, ktorí nedokážu dokladovať stavebný účel. Keďže sporiteľ </w:t>
            </w:r>
            <w:r>
              <w:rPr>
                <w:rFonts w:ascii="Times New Roman" w:hAnsi="Times New Roman"/>
                <w:i/>
                <w:sz w:val="20"/>
                <w:szCs w:val="20"/>
                <w:lang w:eastAsia="sk-SK"/>
              </w:rPr>
              <w:t>nebude môcť</w:t>
            </w:r>
            <w:r w:rsidRPr="00496640">
              <w:rPr>
                <w:rFonts w:ascii="Times New Roman" w:hAnsi="Times New Roman"/>
                <w:i/>
                <w:sz w:val="20"/>
                <w:szCs w:val="20"/>
                <w:lang w:eastAsia="sk-SK"/>
              </w:rPr>
              <w:t xml:space="preserve"> zrušiť zmluvu a čerpať prostriedky </w:t>
            </w:r>
            <w:r>
              <w:rPr>
                <w:rFonts w:ascii="Times New Roman" w:hAnsi="Times New Roman"/>
                <w:i/>
                <w:sz w:val="20"/>
                <w:szCs w:val="20"/>
                <w:lang w:eastAsia="sk-SK"/>
              </w:rPr>
              <w:t xml:space="preserve">vrátane štátnej prémie </w:t>
            </w:r>
            <w:r w:rsidRPr="00496640">
              <w:rPr>
                <w:rFonts w:ascii="Times New Roman" w:hAnsi="Times New Roman"/>
                <w:i/>
                <w:sz w:val="20"/>
                <w:szCs w:val="20"/>
                <w:lang w:eastAsia="sk-SK"/>
              </w:rPr>
              <w:t xml:space="preserve">skôr ako </w:t>
            </w:r>
            <w:r>
              <w:rPr>
                <w:rFonts w:ascii="Times New Roman" w:hAnsi="Times New Roman"/>
                <w:i/>
                <w:sz w:val="20"/>
                <w:szCs w:val="20"/>
                <w:lang w:eastAsia="sk-SK"/>
              </w:rPr>
              <w:t>o tri</w:t>
            </w:r>
            <w:r w:rsidRPr="00496640">
              <w:rPr>
                <w:rFonts w:ascii="Times New Roman" w:hAnsi="Times New Roman"/>
                <w:i/>
                <w:sz w:val="20"/>
                <w:szCs w:val="20"/>
                <w:lang w:eastAsia="sk-SK"/>
              </w:rPr>
              <w:t xml:space="preserve"> roky po jej založení, neschopnosť dokladovať účel nebude mať priamy </w:t>
            </w:r>
            <w:r>
              <w:rPr>
                <w:rFonts w:ascii="Times New Roman" w:hAnsi="Times New Roman"/>
                <w:i/>
                <w:sz w:val="20"/>
                <w:szCs w:val="20"/>
                <w:lang w:eastAsia="sk-SK"/>
              </w:rPr>
              <w:t xml:space="preserve">negatívny vplyv </w:t>
            </w:r>
            <w:r w:rsidRPr="00496640">
              <w:rPr>
                <w:rFonts w:ascii="Times New Roman" w:hAnsi="Times New Roman"/>
                <w:i/>
                <w:sz w:val="20"/>
                <w:szCs w:val="20"/>
                <w:lang w:eastAsia="sk-SK"/>
              </w:rPr>
              <w:t xml:space="preserve">na </w:t>
            </w:r>
            <w:r>
              <w:rPr>
                <w:rFonts w:ascii="Times New Roman" w:hAnsi="Times New Roman"/>
                <w:i/>
                <w:sz w:val="20"/>
                <w:szCs w:val="20"/>
                <w:lang w:eastAsia="sk-SK"/>
              </w:rPr>
              <w:t>zníženie príjmov domácností v rokoch 2019 a 2020</w:t>
            </w:r>
            <w:r w:rsidRPr="00496640">
              <w:rPr>
                <w:rFonts w:ascii="Times New Roman" w:hAnsi="Times New Roman"/>
                <w:i/>
                <w:sz w:val="20"/>
                <w:szCs w:val="20"/>
                <w:lang w:eastAsia="sk-SK"/>
              </w:rPr>
              <w:t xml:space="preserve">. </w:t>
            </w:r>
            <w:r>
              <w:rPr>
                <w:rFonts w:ascii="Times New Roman" w:hAnsi="Times New Roman"/>
                <w:i/>
                <w:sz w:val="20"/>
                <w:szCs w:val="20"/>
                <w:lang w:eastAsia="sk-SK"/>
              </w:rPr>
              <w:t>Zníženie príjmov domácností prijatím tohto opatrenia sa môže prvýkrát prejaviť až v roku 2021.</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negatívne</w:t>
            </w:r>
            <w:r w:rsidRPr="007E0DD6">
              <w:rPr>
                <w:rFonts w:ascii="Times New Roman" w:hAnsi="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i/>
                <w:sz w:val="20"/>
                <w:szCs w:val="20"/>
              </w:rPr>
            </w:pPr>
            <w:r w:rsidRPr="009613FF">
              <w:rPr>
                <w:rFonts w:ascii="Times New Roman" w:hAnsi="Times New Roman"/>
                <w:i/>
                <w:sz w:val="20"/>
                <w:szCs w:val="20"/>
              </w:rPr>
              <w:t xml:space="preserve">Toto opatrenie sa bude vzťahovať len na nové zmluvy, to znamená, že </w:t>
            </w:r>
            <w:r>
              <w:rPr>
                <w:rFonts w:ascii="Times New Roman" w:hAnsi="Times New Roman"/>
                <w:i/>
                <w:sz w:val="20"/>
                <w:szCs w:val="20"/>
              </w:rPr>
              <w:t>negatívne</w:t>
            </w:r>
            <w:r w:rsidRPr="009613FF">
              <w:rPr>
                <w:rFonts w:ascii="Times New Roman" w:hAnsi="Times New Roman"/>
                <w:i/>
                <w:sz w:val="20"/>
                <w:szCs w:val="20"/>
              </w:rPr>
              <w:t xml:space="preserve"> ovplyvnenou skupinou bud</w:t>
            </w:r>
            <w:r>
              <w:rPr>
                <w:rFonts w:ascii="Times New Roman" w:hAnsi="Times New Roman"/>
                <w:i/>
                <w:sz w:val="20"/>
                <w:szCs w:val="20"/>
              </w:rPr>
              <w:t>ú</w:t>
            </w:r>
            <w:r w:rsidRPr="009613FF">
              <w:rPr>
                <w:rFonts w:ascii="Times New Roman" w:hAnsi="Times New Roman"/>
                <w:i/>
                <w:sz w:val="20"/>
                <w:szCs w:val="20"/>
              </w:rPr>
              <w:t xml:space="preserve"> len nov</w:t>
            </w:r>
            <w:r>
              <w:rPr>
                <w:rFonts w:ascii="Times New Roman" w:hAnsi="Times New Roman"/>
                <w:i/>
                <w:sz w:val="20"/>
                <w:szCs w:val="20"/>
              </w:rPr>
              <w:t>í</w:t>
            </w:r>
            <w:r w:rsidRPr="009613FF">
              <w:rPr>
                <w:rFonts w:ascii="Times New Roman" w:hAnsi="Times New Roman"/>
                <w:i/>
                <w:sz w:val="20"/>
                <w:szCs w:val="20"/>
              </w:rPr>
              <w:t xml:space="preserve"> klient</w:t>
            </w:r>
            <w:r>
              <w:rPr>
                <w:rFonts w:ascii="Times New Roman" w:hAnsi="Times New Roman"/>
                <w:i/>
                <w:sz w:val="20"/>
                <w:szCs w:val="20"/>
              </w:rPr>
              <w:t>i</w:t>
            </w:r>
            <w:r w:rsidRPr="009613FF">
              <w:rPr>
                <w:rFonts w:ascii="Times New Roman" w:hAnsi="Times New Roman"/>
                <w:i/>
                <w:sz w:val="20"/>
                <w:szCs w:val="20"/>
              </w:rPr>
              <w:t xml:space="preserve"> – fyzick</w:t>
            </w:r>
            <w:r>
              <w:rPr>
                <w:rFonts w:ascii="Times New Roman" w:hAnsi="Times New Roman"/>
                <w:i/>
                <w:sz w:val="20"/>
                <w:szCs w:val="20"/>
              </w:rPr>
              <w:t>é</w:t>
            </w:r>
            <w:r w:rsidRPr="009613FF">
              <w:rPr>
                <w:rFonts w:ascii="Times New Roman" w:hAnsi="Times New Roman"/>
                <w:i/>
                <w:sz w:val="20"/>
                <w:szCs w:val="20"/>
              </w:rPr>
              <w:t xml:space="preserve"> os</w:t>
            </w:r>
            <w:r>
              <w:rPr>
                <w:rFonts w:ascii="Times New Roman" w:hAnsi="Times New Roman"/>
                <w:i/>
                <w:sz w:val="20"/>
                <w:szCs w:val="20"/>
              </w:rPr>
              <w:t>oby</w:t>
            </w:r>
            <w:r w:rsidRPr="009613FF">
              <w:rPr>
                <w:rFonts w:ascii="Times New Roman" w:hAnsi="Times New Roman"/>
                <w:i/>
                <w:sz w:val="20"/>
                <w:szCs w:val="20"/>
              </w:rPr>
              <w:t>.</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 xml:space="preserve">negatívny </w:t>
            </w:r>
            <w:r w:rsidRPr="007E0DD6">
              <w:rPr>
                <w:rFonts w:ascii="Times New Roman" w:hAnsi="Times New Roman"/>
                <w:i/>
                <w:sz w:val="20"/>
                <w:szCs w:val="20"/>
              </w:rPr>
              <w:t>vplyv na hospodárenie domácností s uvedením, či ide o zníženie príjmov alebo zvýšenie výdavkov:</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677D1D" w:rsidRPr="0089789C"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2A66DA">
              <w:rPr>
                <w:rFonts w:ascii="Times New Roman" w:hAnsi="Times New Roman"/>
                <w:i/>
                <w:sz w:val="20"/>
                <w:szCs w:val="20"/>
                <w:u w:val="single"/>
                <w:lang w:eastAsia="sk-SK"/>
              </w:rPr>
              <w:t>Zúžením okruhu poberateľov štátnej prémie podľa príjmu</w:t>
            </w:r>
            <w:r w:rsidRPr="00586F71">
              <w:rPr>
                <w:rFonts w:ascii="Times New Roman" w:hAnsi="Times New Roman"/>
                <w:i/>
                <w:sz w:val="20"/>
                <w:szCs w:val="20"/>
                <w:lang w:eastAsia="sk-SK"/>
              </w:rPr>
              <w:t xml:space="preserve"> by sa štátna prémia </w:t>
            </w:r>
            <w:r>
              <w:rPr>
                <w:rFonts w:ascii="Times New Roman" w:hAnsi="Times New Roman"/>
                <w:i/>
                <w:sz w:val="20"/>
                <w:szCs w:val="20"/>
                <w:lang w:eastAsia="sk-SK"/>
              </w:rPr>
              <w:t xml:space="preserve">pri plnoletých osobách </w:t>
            </w:r>
            <w:r w:rsidRPr="00586F71">
              <w:rPr>
                <w:rFonts w:ascii="Times New Roman" w:hAnsi="Times New Roman"/>
                <w:i/>
                <w:sz w:val="20"/>
                <w:szCs w:val="20"/>
                <w:lang w:eastAsia="sk-SK"/>
              </w:rPr>
              <w:t>vyplácala iba osobám</w:t>
            </w:r>
            <w:r>
              <w:rPr>
                <w:rFonts w:ascii="Times New Roman" w:hAnsi="Times New Roman"/>
                <w:i/>
                <w:sz w:val="20"/>
                <w:szCs w:val="20"/>
                <w:lang w:eastAsia="sk-SK"/>
              </w:rPr>
              <w:t>,</w:t>
            </w:r>
            <w:r w:rsidRPr="00586F71">
              <w:rPr>
                <w:rFonts w:ascii="Times New Roman" w:hAnsi="Times New Roman"/>
                <w:i/>
                <w:sz w:val="20"/>
                <w:szCs w:val="20"/>
                <w:lang w:eastAsia="sk-SK"/>
              </w:rPr>
              <w:t xml:space="preserve"> ktorých priemerný mesačný </w:t>
            </w:r>
            <w:r>
              <w:rPr>
                <w:rFonts w:ascii="Times New Roman" w:hAnsi="Times New Roman"/>
                <w:i/>
                <w:sz w:val="20"/>
                <w:szCs w:val="20"/>
                <w:lang w:eastAsia="sk-SK"/>
              </w:rPr>
              <w:t xml:space="preserve">zdaniteľný </w:t>
            </w:r>
            <w:r w:rsidRPr="00586F71">
              <w:rPr>
                <w:rFonts w:ascii="Times New Roman" w:hAnsi="Times New Roman"/>
                <w:i/>
                <w:sz w:val="20"/>
                <w:szCs w:val="20"/>
                <w:lang w:eastAsia="sk-SK"/>
              </w:rPr>
              <w:t>príjem vypočítaný z príjmu za kalendárny rok predchádzajúci kalendárnemu roku, za ktorý sa uplatňuje nárok na štátnu prémiu, je najviac vo výške 1,3 násobku priemernej mesačnej nominálnej mzdy zamestnanca v národnom hospodárstve Slovenskej republiky zistenej Štatistickým úradom Slovenskej republiky za kalendárny rok predchádzajúci kalendárnemu roku, za ktorý sa uplatňuje nárok na štátnu prémiu</w:t>
            </w:r>
            <w:r>
              <w:rPr>
                <w:rFonts w:ascii="Times New Roman" w:hAnsi="Times New Roman"/>
                <w:i/>
                <w:sz w:val="20"/>
                <w:szCs w:val="20"/>
                <w:lang w:eastAsia="sk-SK"/>
              </w:rPr>
              <w:t>. Toto opatrenie sa negatívne prejaví znížením príjmov domácností.</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negatívne</w:t>
            </w:r>
            <w:r w:rsidRPr="007E0DD6">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89789C" w:rsidP="00E04937">
            <w:pPr>
              <w:bidi w:val="0"/>
              <w:jc w:val="both"/>
              <w:rPr>
                <w:rFonts w:ascii="Times New Roman" w:hAnsi="Times New Roman"/>
                <w:i/>
                <w:sz w:val="20"/>
                <w:szCs w:val="20"/>
              </w:rPr>
            </w:pPr>
            <w:r w:rsidRPr="0089789C">
              <w:rPr>
                <w:rFonts w:ascii="Times New Roman" w:hAnsi="Times New Roman"/>
                <w:i/>
                <w:sz w:val="20"/>
                <w:szCs w:val="20"/>
              </w:rPr>
              <w:t>Toto</w:t>
            </w:r>
            <w:r>
              <w:rPr>
                <w:rFonts w:ascii="Times New Roman" w:hAnsi="Times New Roman"/>
                <w:i/>
                <w:sz w:val="20"/>
                <w:szCs w:val="20"/>
              </w:rPr>
              <w:t xml:space="preserve"> opatrenie sa </w:t>
            </w:r>
            <w:r w:rsidRPr="0089789C">
              <w:rPr>
                <w:rFonts w:ascii="Times New Roman" w:hAnsi="Times New Roman"/>
                <w:i/>
                <w:sz w:val="20"/>
                <w:szCs w:val="20"/>
              </w:rPr>
              <w:t xml:space="preserve">bude </w:t>
            </w:r>
            <w:r>
              <w:rPr>
                <w:rFonts w:ascii="Times New Roman" w:hAnsi="Times New Roman"/>
                <w:i/>
                <w:sz w:val="20"/>
                <w:szCs w:val="20"/>
              </w:rPr>
              <w:t>vzťahovať na nové zmluvy, ako aj na uzat</w:t>
            </w:r>
            <w:r w:rsidRPr="0089789C">
              <w:rPr>
                <w:rFonts w:ascii="Times New Roman" w:hAnsi="Times New Roman"/>
                <w:i/>
                <w:sz w:val="20"/>
                <w:szCs w:val="20"/>
              </w:rPr>
              <w:t>vorené zmluvy, pričom sa upra</w:t>
            </w:r>
            <w:r>
              <w:rPr>
                <w:rFonts w:ascii="Times New Roman" w:hAnsi="Times New Roman"/>
                <w:i/>
                <w:sz w:val="20"/>
                <w:szCs w:val="20"/>
              </w:rPr>
              <w:t>ví ich nový režim do budúcnosti, vzhľadom na svoj charakter však negatívne ovplyvní len určitú skupinu stavebných sporiteľov, a to plnoleté osoby s priemerným mesačným zdaniteľným príjmom vyšším ako 1,3 násobok priemernej mesačnej mzdy.</w:t>
            </w:r>
            <w:r w:rsidRPr="0089789C">
              <w:rPr>
                <w:rFonts w:ascii="Times New Roman" w:hAnsi="Times New Roman"/>
                <w:i/>
                <w:sz w:val="20"/>
                <w:szCs w:val="20"/>
              </w:rPr>
              <w:t xml:space="preserve"> </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 xml:space="preserve">negatívny </w:t>
            </w:r>
            <w:r w:rsidRPr="007E0DD6">
              <w:rPr>
                <w:rFonts w:ascii="Times New Roman" w:hAnsi="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5D7FB4"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2A66DA">
              <w:rPr>
                <w:rFonts w:ascii="Times New Roman" w:hAnsi="Times New Roman"/>
                <w:i/>
                <w:sz w:val="20"/>
                <w:szCs w:val="20"/>
                <w:u w:val="single"/>
                <w:lang w:eastAsia="sk-SK"/>
              </w:rPr>
              <w:t>Obmedzenie poberania štátnej prémie počas čerpania a splácania medziúveru</w:t>
            </w:r>
            <w:r w:rsidRPr="00211FF1">
              <w:rPr>
                <w:rFonts w:ascii="Times New Roman" w:hAnsi="Times New Roman"/>
                <w:i/>
                <w:sz w:val="20"/>
                <w:szCs w:val="20"/>
                <w:lang w:eastAsia="sk-SK"/>
              </w:rPr>
              <w:t xml:space="preserve"> </w:t>
            </w:r>
            <w:r>
              <w:rPr>
                <w:rFonts w:ascii="Times New Roman" w:hAnsi="Times New Roman"/>
                <w:i/>
                <w:sz w:val="20"/>
                <w:szCs w:val="20"/>
                <w:lang w:eastAsia="sk-SK"/>
              </w:rPr>
              <w:t xml:space="preserve">znamená, že </w:t>
            </w:r>
            <w:r w:rsidRPr="00211FF1">
              <w:rPr>
                <w:rFonts w:ascii="Times New Roman" w:hAnsi="Times New Roman"/>
                <w:i/>
                <w:sz w:val="20"/>
                <w:szCs w:val="20"/>
                <w:lang w:eastAsia="sk-SK"/>
              </w:rPr>
              <w:t>stavebný sporiteľ by počas rokov, v ktorých čerpá a spláca medziúver, nemal nárok na štátnu prémiu</w:t>
            </w:r>
            <w:r>
              <w:rPr>
                <w:rFonts w:ascii="Times New Roman" w:hAnsi="Times New Roman"/>
                <w:i/>
                <w:sz w:val="20"/>
                <w:szCs w:val="20"/>
                <w:lang w:eastAsia="sk-SK"/>
              </w:rPr>
              <w:t xml:space="preserve">. Toto opatrenie sa negatívne prejaví znížením príjmov domácností v prípade, že budú čerpať medziúver. </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negatívne</w:t>
            </w:r>
            <w:r w:rsidRPr="007E0DD6">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sz w:val="20"/>
                <w:szCs w:val="20"/>
              </w:rPr>
            </w:pPr>
            <w:r w:rsidRPr="009613FF">
              <w:rPr>
                <w:rFonts w:ascii="Times New Roman" w:hAnsi="Times New Roman"/>
                <w:i/>
                <w:sz w:val="20"/>
                <w:szCs w:val="20"/>
              </w:rPr>
              <w:t xml:space="preserve">Toto opatrenie sa bude vzťahovať len na nové zmluvy, to znamená, že </w:t>
            </w:r>
            <w:r>
              <w:rPr>
                <w:rFonts w:ascii="Times New Roman" w:hAnsi="Times New Roman"/>
                <w:i/>
                <w:sz w:val="20"/>
                <w:szCs w:val="20"/>
              </w:rPr>
              <w:t>negatívne</w:t>
            </w:r>
            <w:r w:rsidRPr="009613FF">
              <w:rPr>
                <w:rFonts w:ascii="Times New Roman" w:hAnsi="Times New Roman"/>
                <w:i/>
                <w:sz w:val="20"/>
                <w:szCs w:val="20"/>
              </w:rPr>
              <w:t xml:space="preserve"> ovplyvnenou skupinou bud</w:t>
            </w:r>
            <w:r>
              <w:rPr>
                <w:rFonts w:ascii="Times New Roman" w:hAnsi="Times New Roman"/>
                <w:i/>
                <w:sz w:val="20"/>
                <w:szCs w:val="20"/>
              </w:rPr>
              <w:t>ú</w:t>
            </w:r>
            <w:r w:rsidRPr="009613FF">
              <w:rPr>
                <w:rFonts w:ascii="Times New Roman" w:hAnsi="Times New Roman"/>
                <w:i/>
                <w:sz w:val="20"/>
                <w:szCs w:val="20"/>
              </w:rPr>
              <w:t xml:space="preserve"> len nov</w:t>
            </w:r>
            <w:r>
              <w:rPr>
                <w:rFonts w:ascii="Times New Roman" w:hAnsi="Times New Roman"/>
                <w:i/>
                <w:sz w:val="20"/>
                <w:szCs w:val="20"/>
              </w:rPr>
              <w:t>í</w:t>
            </w:r>
            <w:r w:rsidRPr="009613FF">
              <w:rPr>
                <w:rFonts w:ascii="Times New Roman" w:hAnsi="Times New Roman"/>
                <w:i/>
                <w:sz w:val="20"/>
                <w:szCs w:val="20"/>
              </w:rPr>
              <w:t xml:space="preserve"> klient</w:t>
            </w:r>
            <w:r>
              <w:rPr>
                <w:rFonts w:ascii="Times New Roman" w:hAnsi="Times New Roman"/>
                <w:i/>
                <w:sz w:val="20"/>
                <w:szCs w:val="20"/>
              </w:rPr>
              <w:t>i</w:t>
            </w:r>
            <w:r w:rsidRPr="009613FF">
              <w:rPr>
                <w:rFonts w:ascii="Times New Roman" w:hAnsi="Times New Roman"/>
                <w:i/>
                <w:sz w:val="20"/>
                <w:szCs w:val="20"/>
              </w:rPr>
              <w:t xml:space="preserve"> – fyzick</w:t>
            </w:r>
            <w:r>
              <w:rPr>
                <w:rFonts w:ascii="Times New Roman" w:hAnsi="Times New Roman"/>
                <w:i/>
                <w:sz w:val="20"/>
                <w:szCs w:val="20"/>
              </w:rPr>
              <w:t>é</w:t>
            </w:r>
            <w:r w:rsidRPr="009613FF">
              <w:rPr>
                <w:rFonts w:ascii="Times New Roman" w:hAnsi="Times New Roman"/>
                <w:i/>
                <w:sz w:val="20"/>
                <w:szCs w:val="20"/>
              </w:rPr>
              <w:t xml:space="preserve"> os</w:t>
            </w:r>
            <w:r>
              <w:rPr>
                <w:rFonts w:ascii="Times New Roman" w:hAnsi="Times New Roman"/>
                <w:i/>
                <w:sz w:val="20"/>
                <w:szCs w:val="20"/>
              </w:rPr>
              <w:t>oby</w:t>
            </w:r>
            <w:r w:rsidRPr="009613FF">
              <w:rPr>
                <w:rFonts w:ascii="Times New Roman" w:hAnsi="Times New Roman"/>
                <w:i/>
                <w:sz w:val="20"/>
                <w:szCs w:val="20"/>
              </w:rPr>
              <w:t>.</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Popíšte </w:t>
            </w:r>
            <w:r w:rsidRPr="007E0DD6">
              <w:rPr>
                <w:rFonts w:ascii="Times New Roman" w:hAnsi="Times New Roman"/>
                <w:b/>
                <w:i/>
                <w:sz w:val="20"/>
                <w:szCs w:val="20"/>
              </w:rPr>
              <w:t xml:space="preserve">negatívny </w:t>
            </w:r>
            <w:r w:rsidRPr="007E0DD6">
              <w:rPr>
                <w:rFonts w:ascii="Times New Roman" w:hAnsi="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123CDC"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164AA9">
              <w:rPr>
                <w:rFonts w:ascii="Times New Roman" w:hAnsi="Times New Roman"/>
                <w:i/>
                <w:sz w:val="20"/>
                <w:szCs w:val="20"/>
                <w:u w:val="single"/>
                <w:lang w:eastAsia="sk-SK"/>
              </w:rPr>
              <w:t>Osobitným limitovaním nároku na štátnu prémiu v prvom roku sporenia</w:t>
            </w:r>
            <w:r w:rsidRPr="00164AA9">
              <w:rPr>
                <w:rFonts w:ascii="Times New Roman" w:hAnsi="Times New Roman"/>
                <w:i/>
                <w:sz w:val="20"/>
                <w:szCs w:val="20"/>
                <w:lang w:eastAsia="sk-SK"/>
              </w:rPr>
              <w:t xml:space="preserve"> znamená, že vyplatená štátna prémia v prípade uzatvorenia zmluvy o stavebnom sporení v druhom polroku kalendárneho roku by bola najviac vo výške polovice z jej maximálnej ročnej sumy. </w:t>
            </w:r>
            <w:r>
              <w:rPr>
                <w:rFonts w:ascii="Times New Roman" w:hAnsi="Times New Roman"/>
                <w:i/>
                <w:sz w:val="20"/>
                <w:szCs w:val="20"/>
                <w:lang w:eastAsia="sk-SK"/>
              </w:rPr>
              <w:t>Toto opatrenie sa negatívne prejaví znížením príjmov domácností.</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negatívne</w:t>
            </w:r>
            <w:r w:rsidRPr="007E0DD6">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123CDC" w:rsidP="00E04937">
            <w:pPr>
              <w:bidi w:val="0"/>
              <w:jc w:val="both"/>
              <w:rPr>
                <w:rFonts w:ascii="Times New Roman" w:hAnsi="Times New Roman"/>
                <w:i/>
                <w:sz w:val="20"/>
                <w:szCs w:val="20"/>
              </w:rPr>
            </w:pPr>
            <w:r w:rsidRPr="009613FF">
              <w:rPr>
                <w:rFonts w:ascii="Times New Roman" w:hAnsi="Times New Roman"/>
                <w:i/>
                <w:sz w:val="20"/>
                <w:szCs w:val="20"/>
              </w:rPr>
              <w:t xml:space="preserve">Toto opatrenie sa bude vzťahovať len na nové zmluvy, to znamená, že </w:t>
            </w:r>
            <w:r>
              <w:rPr>
                <w:rFonts w:ascii="Times New Roman" w:hAnsi="Times New Roman"/>
                <w:i/>
                <w:sz w:val="20"/>
                <w:szCs w:val="20"/>
              </w:rPr>
              <w:t>negatívne</w:t>
            </w:r>
            <w:r w:rsidRPr="009613FF">
              <w:rPr>
                <w:rFonts w:ascii="Times New Roman" w:hAnsi="Times New Roman"/>
                <w:i/>
                <w:sz w:val="20"/>
                <w:szCs w:val="20"/>
              </w:rPr>
              <w:t xml:space="preserve"> ovplyvnenou skupinou bud</w:t>
            </w:r>
            <w:r>
              <w:rPr>
                <w:rFonts w:ascii="Times New Roman" w:hAnsi="Times New Roman"/>
                <w:i/>
                <w:sz w:val="20"/>
                <w:szCs w:val="20"/>
              </w:rPr>
              <w:t>ú</w:t>
            </w:r>
            <w:r w:rsidRPr="009613FF">
              <w:rPr>
                <w:rFonts w:ascii="Times New Roman" w:hAnsi="Times New Roman"/>
                <w:i/>
                <w:sz w:val="20"/>
                <w:szCs w:val="20"/>
              </w:rPr>
              <w:t xml:space="preserve"> len nov</w:t>
            </w:r>
            <w:r>
              <w:rPr>
                <w:rFonts w:ascii="Times New Roman" w:hAnsi="Times New Roman"/>
                <w:i/>
                <w:sz w:val="20"/>
                <w:szCs w:val="20"/>
              </w:rPr>
              <w:t>í</w:t>
            </w:r>
            <w:r w:rsidRPr="009613FF">
              <w:rPr>
                <w:rFonts w:ascii="Times New Roman" w:hAnsi="Times New Roman"/>
                <w:i/>
                <w:sz w:val="20"/>
                <w:szCs w:val="20"/>
              </w:rPr>
              <w:t xml:space="preserve"> klient</w:t>
            </w:r>
            <w:r>
              <w:rPr>
                <w:rFonts w:ascii="Times New Roman" w:hAnsi="Times New Roman"/>
                <w:i/>
                <w:sz w:val="20"/>
                <w:szCs w:val="20"/>
              </w:rPr>
              <w:t>i</w:t>
            </w:r>
            <w:r w:rsidRPr="009613FF">
              <w:rPr>
                <w:rFonts w:ascii="Times New Roman" w:hAnsi="Times New Roman"/>
                <w:i/>
                <w:sz w:val="20"/>
                <w:szCs w:val="20"/>
              </w:rPr>
              <w:t xml:space="preserve"> – fyzick</w:t>
            </w:r>
            <w:r>
              <w:rPr>
                <w:rFonts w:ascii="Times New Roman" w:hAnsi="Times New Roman"/>
                <w:i/>
                <w:sz w:val="20"/>
                <w:szCs w:val="20"/>
              </w:rPr>
              <w:t>é</w:t>
            </w:r>
            <w:r w:rsidRPr="009613FF">
              <w:rPr>
                <w:rFonts w:ascii="Times New Roman" w:hAnsi="Times New Roman"/>
                <w:i/>
                <w:sz w:val="20"/>
                <w:szCs w:val="20"/>
              </w:rPr>
              <w:t xml:space="preserve"> os</w:t>
            </w:r>
            <w:r>
              <w:rPr>
                <w:rFonts w:ascii="Times New Roman" w:hAnsi="Times New Roman"/>
                <w:i/>
                <w:sz w:val="20"/>
                <w:szCs w:val="20"/>
              </w:rPr>
              <w:t>oby a spoločenstvá vlastníkov bytov</w:t>
            </w:r>
            <w:r w:rsidRPr="009613FF">
              <w:rPr>
                <w:rFonts w:ascii="Times New Roman" w:hAnsi="Times New Roman"/>
                <w:i/>
                <w:sz w:val="20"/>
                <w:szCs w:val="20"/>
              </w:rPr>
              <w:t>.</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Popíšte vplyv na hospodárenie domácností s uvedením, či ide o zníženie príjmov alebo zvýšenie výdavkov: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D20D2"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7D20D2">
              <w:rPr>
                <w:rFonts w:ascii="Times New Roman" w:hAnsi="Times New Roman"/>
                <w:i/>
                <w:sz w:val="20"/>
                <w:szCs w:val="20"/>
                <w:u w:val="single"/>
                <w:lang w:eastAsia="sk-SK"/>
              </w:rPr>
              <w:t xml:space="preserve">Zníženie minimálnej </w:t>
            </w:r>
            <w:r>
              <w:rPr>
                <w:rFonts w:ascii="Times New Roman" w:hAnsi="Times New Roman"/>
                <w:i/>
                <w:sz w:val="20"/>
                <w:szCs w:val="20"/>
                <w:u w:val="single"/>
                <w:lang w:eastAsia="sk-SK"/>
              </w:rPr>
              <w:t xml:space="preserve">percentuálnej </w:t>
            </w:r>
            <w:r w:rsidRPr="007D20D2">
              <w:rPr>
                <w:rFonts w:ascii="Times New Roman" w:hAnsi="Times New Roman"/>
                <w:i/>
                <w:sz w:val="20"/>
                <w:szCs w:val="20"/>
                <w:u w:val="single"/>
                <w:lang w:eastAsia="sk-SK"/>
              </w:rPr>
              <w:t>výšky štátnej prémie na príslušný kalendárny rok</w:t>
            </w:r>
            <w:r w:rsidRPr="007D20D2">
              <w:rPr>
                <w:rFonts w:ascii="Times New Roman" w:hAnsi="Times New Roman"/>
                <w:i/>
                <w:sz w:val="20"/>
                <w:szCs w:val="20"/>
                <w:lang w:eastAsia="sk-SK"/>
              </w:rPr>
              <w:t xml:space="preserve"> znamená, že minimálny percentuálny podiel z ročného vkladu sa upraví na 2,5 %.  Týmto opatrením sa nemení spôsob určovania výšky štátnej prémie podľa doterajšieho vzorca uvedeného v prílohe zákona, iba jej minimálna hraničná hodnota. Toto opatrenie predpokladá negatívny dopad na príjmovú stránku domácností.  </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Špecifikujte </w:t>
            </w:r>
            <w:r w:rsidRPr="007E0DD6">
              <w:rPr>
                <w:rFonts w:ascii="Times New Roman" w:hAnsi="Times New Roman"/>
                <w:b/>
                <w:i/>
                <w:sz w:val="20"/>
                <w:szCs w:val="20"/>
              </w:rPr>
              <w:t>negatívne</w:t>
            </w:r>
            <w:r w:rsidRPr="007E0DD6">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D20D2" w:rsidP="00E04937">
            <w:pPr>
              <w:bidi w:val="0"/>
              <w:rPr>
                <w:rFonts w:ascii="Times New Roman" w:hAnsi="Times New Roman"/>
                <w:sz w:val="20"/>
                <w:szCs w:val="20"/>
              </w:rPr>
            </w:pPr>
            <w:r w:rsidRPr="007D20D2">
              <w:rPr>
                <w:rFonts w:ascii="Times New Roman" w:hAnsi="Times New Roman"/>
                <w:i/>
                <w:sz w:val="20"/>
                <w:szCs w:val="20"/>
              </w:rPr>
              <w:t>Toto opatrenie sa bude vzťahovať na nové zmluvy, ako aj na uzatvorené zmluvy</w:t>
            </w:r>
            <w:r>
              <w:rPr>
                <w:rFonts w:ascii="Times New Roman" w:hAnsi="Times New Roman"/>
                <w:i/>
                <w:sz w:val="20"/>
                <w:szCs w:val="20"/>
              </w:rPr>
              <w:t>, t. j. negatívne ovplyvní všetkých stavebných sporiteľov</w:t>
            </w:r>
            <w:r w:rsidRPr="007D20D2">
              <w:rPr>
                <w:rFonts w:ascii="Times New Roman" w:hAnsi="Times New Roman"/>
                <w:i/>
                <w:sz w:val="20"/>
                <w:szCs w:val="20"/>
              </w:rPr>
              <w:t>.</w:t>
            </w:r>
          </w:p>
          <w:p w:rsidR="00677D1D" w:rsidRPr="007D20D2" w:rsidP="00E04937">
            <w:pPr>
              <w:bidi w:val="0"/>
              <w:rPr>
                <w:rFonts w:ascii="Times New Roman" w:hAnsi="Times New Roman"/>
                <w:sz w:val="20"/>
                <w:szCs w:val="20"/>
              </w:rPr>
            </w:pPr>
          </w:p>
          <w:p w:rsidR="00677D1D" w:rsidRPr="007D20D2" w:rsidP="00E04937">
            <w:pPr>
              <w:bidi w:val="0"/>
              <w:rPr>
                <w:rFonts w:ascii="Times New Roman" w:hAnsi="Times New Roman"/>
                <w:sz w:val="20"/>
                <w:szCs w:val="20"/>
              </w:rPr>
            </w:pPr>
          </w:p>
        </w:tc>
      </w:tr>
    </w:tbl>
    <w:p w:rsidR="00677D1D" w:rsidP="00677D1D">
      <w:pPr>
        <w:bidi w:val="0"/>
        <w:jc w:val="both"/>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P="00E04937">
            <w:pPr>
              <w:bidi w:val="0"/>
              <w:jc w:val="both"/>
              <w:rPr>
                <w:rFonts w:ascii="Times New Roman" w:hAnsi="Times New Roman"/>
                <w:i/>
                <w:sz w:val="20"/>
                <w:szCs w:val="20"/>
              </w:rPr>
            </w:pPr>
            <w:r w:rsidRPr="00CD4982">
              <w:rPr>
                <w:rFonts w:ascii="Times New Roman" w:hAnsi="Times New Roman"/>
                <w:i/>
                <w:sz w:val="20"/>
                <w:szCs w:val="20"/>
              </w:rPr>
              <w:t>Kvantifikujte rast alebo pokles príjmov/výdavkov za jednotlivé ovplyvnené skupiny domácností / skupiny jednotlivcov a počet obyvateľstva/domácností ovplyvnených predkladaným materiálom.</w:t>
            </w:r>
          </w:p>
          <w:p w:rsidR="00677D1D" w:rsidRPr="00CD4982" w:rsidP="00E04937">
            <w:pPr>
              <w:bidi w:val="0"/>
              <w:jc w:val="both"/>
              <w:rPr>
                <w:rFonts w:ascii="Times New Roman" w:hAnsi="Times New Roman"/>
                <w:i/>
                <w:sz w:val="20"/>
                <w:szCs w:val="20"/>
              </w:rPr>
            </w:pPr>
            <w:r>
              <w:rPr>
                <w:rFonts w:ascii="Times New Roman" w:hAnsi="Times New Roman"/>
                <w:i/>
                <w:sz w:val="20"/>
                <w:szCs w:val="20"/>
              </w:rPr>
              <w:t>V prípade vyššieho počtu ovplyvnených skupín doplňte do tabuľky ďalšie riadky.</w:t>
            </w:r>
          </w:p>
          <w:p w:rsidR="00677D1D" w:rsidRPr="0040544D" w:rsidP="00E04937">
            <w:pPr>
              <w:tabs>
                <w:tab w:val="left" w:pos="3505"/>
              </w:tabs>
              <w:bidi w:val="0"/>
              <w:rPr>
                <w:rFonts w:ascii="Times New Roman" w:hAnsi="Times New Roman"/>
                <w:sz w:val="20"/>
                <w:szCs w:val="20"/>
              </w:rPr>
            </w:pPr>
            <w:r w:rsidRPr="00CD4982">
              <w:rPr>
                <w:rFonts w:ascii="Times New Roman" w:hAnsi="Times New Roman"/>
                <w:i/>
                <w:sz w:val="20"/>
                <w:szCs w:val="20"/>
              </w:rPr>
              <w:t>V prípade, ak neuvádzate kvantifikáciu, uveďte dôvod.</w:t>
            </w:r>
          </w:p>
        </w:tc>
      </w:tr>
    </w:tbl>
    <w:p w:rsidR="00677D1D" w:rsidP="00677D1D">
      <w:pPr>
        <w:bidi w:val="0"/>
        <w:jc w:val="both"/>
        <w:rPr>
          <w:rFonts w:ascii="Times New Roman" w:hAnsi="Times New Roman"/>
          <w:b/>
          <w:i/>
          <w:sz w:val="20"/>
          <w:szCs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i/>
                <w:sz w:val="20"/>
                <w:szCs w:val="20"/>
              </w:rPr>
            </w:pPr>
            <w:r w:rsidRPr="007E0DD6">
              <w:rPr>
                <w:rFonts w:ascii="Times New Roman" w:hAnsi="Times New Roman"/>
                <w:b/>
                <w:i/>
                <w:sz w:val="20"/>
                <w:szCs w:val="20"/>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677D1D" w:rsidRPr="00BB2C8B" w:rsidP="00677D1D">
            <w:pPr>
              <w:pStyle w:val="ListParagraph"/>
              <w:numPr>
                <w:numId w:val="18"/>
              </w:numPr>
              <w:suppressAutoHyphens w:val="0"/>
              <w:bidi w:val="0"/>
              <w:contextualSpacing/>
              <w:jc w:val="both"/>
              <w:rPr>
                <w:rFonts w:ascii="Times New Roman" w:hAnsi="Times New Roman"/>
                <w:b/>
                <w:i/>
                <w:sz w:val="20"/>
                <w:szCs w:val="20"/>
                <w:lang w:eastAsia="sk-SK"/>
              </w:rPr>
            </w:pPr>
            <w:r w:rsidRPr="00BB2C8B">
              <w:rPr>
                <w:rFonts w:ascii="Times New Roman" w:hAnsi="Times New Roman"/>
                <w:i/>
                <w:sz w:val="20"/>
                <w:szCs w:val="20"/>
                <w:lang w:eastAsia="sk-SK"/>
              </w:rPr>
              <w:t>Pri obmedzení poberania štátnej prémie počas čerpania a splácania medziúveru odhad pracuje s predpokladom, že pri 13,3 % nových zmlúv stavební sporitelia nebudú mať nárok na štátnu prémiu z dôvodu uzatvorenia zmluvy o medziúvere, čím sa týmto sporiteľom znížia príjmy domácnosti (negatívny efekt). To znamená, že pri 86,7 % nových stavebných sporiteľov sa prejaví pozitívny efekt zodpovedného zadlžovania sa v podobe zníženia výdavkov domácností.</w:t>
            </w:r>
          </w:p>
          <w:p w:rsidR="00677D1D" w:rsidRPr="00BB2C8B" w:rsidP="00677D1D">
            <w:pPr>
              <w:pStyle w:val="ListParagraph"/>
              <w:numPr>
                <w:numId w:val="18"/>
              </w:numPr>
              <w:suppressAutoHyphens w:val="0"/>
              <w:bidi w:val="0"/>
              <w:contextualSpacing/>
              <w:jc w:val="both"/>
              <w:rPr>
                <w:rFonts w:ascii="Times New Roman" w:hAnsi="Times New Roman"/>
                <w:b/>
                <w:i/>
                <w:sz w:val="20"/>
                <w:szCs w:val="20"/>
                <w:lang w:eastAsia="sk-SK"/>
              </w:rPr>
            </w:pPr>
            <w:r w:rsidRPr="00BB2C8B">
              <w:rPr>
                <w:rFonts w:ascii="Times New Roman" w:hAnsi="Times New Roman"/>
                <w:i/>
                <w:sz w:val="20"/>
                <w:szCs w:val="20"/>
                <w:lang w:eastAsia="sk-SK"/>
              </w:rPr>
              <w:t>Zvýšením maximálnej sumy</w:t>
            </w:r>
            <w:r>
              <w:rPr>
                <w:rFonts w:ascii="Times New Roman" w:hAnsi="Times New Roman"/>
                <w:i/>
                <w:sz w:val="20"/>
                <w:szCs w:val="20"/>
                <w:lang w:eastAsia="sk-SK"/>
              </w:rPr>
              <w:t xml:space="preserve"> štátnej prémie</w:t>
            </w:r>
            <w:r w:rsidRPr="00BB2C8B">
              <w:rPr>
                <w:rFonts w:ascii="Times New Roman" w:hAnsi="Times New Roman"/>
                <w:i/>
                <w:sz w:val="20"/>
                <w:szCs w:val="20"/>
                <w:lang w:eastAsia="sk-SK"/>
              </w:rPr>
              <w:t xml:space="preserve"> z</w:t>
            </w:r>
            <w:r>
              <w:rPr>
                <w:rFonts w:ascii="Times New Roman" w:hAnsi="Times New Roman"/>
                <w:i/>
                <w:sz w:val="20"/>
                <w:szCs w:val="20"/>
                <w:lang w:eastAsia="sk-SK"/>
              </w:rPr>
              <w:t>o</w:t>
            </w:r>
            <w:r w:rsidRPr="00BB2C8B">
              <w:rPr>
                <w:rFonts w:ascii="Times New Roman" w:hAnsi="Times New Roman"/>
                <w:i/>
                <w:sz w:val="20"/>
                <w:szCs w:val="20"/>
                <w:lang w:eastAsia="sk-SK"/>
              </w:rPr>
              <w:t> 66,39 eur</w:t>
            </w:r>
            <w:r>
              <w:rPr>
                <w:rFonts w:ascii="Times New Roman" w:hAnsi="Times New Roman"/>
                <w:i/>
                <w:sz w:val="20"/>
                <w:szCs w:val="20"/>
                <w:lang w:eastAsia="sk-SK"/>
              </w:rPr>
              <w:t>a</w:t>
            </w:r>
            <w:r w:rsidRPr="00BB2C8B">
              <w:rPr>
                <w:rFonts w:ascii="Times New Roman" w:hAnsi="Times New Roman"/>
                <w:i/>
                <w:sz w:val="20"/>
                <w:szCs w:val="20"/>
                <w:lang w:eastAsia="sk-SK"/>
              </w:rPr>
              <w:t xml:space="preserve"> na 70 eur sa zároveň predpokladá nepatrné zvýšenie priemernej vyplatenej štátnej prémie.  Predpokladaný </w:t>
            </w:r>
            <w:r>
              <w:rPr>
                <w:rFonts w:ascii="Times New Roman" w:hAnsi="Times New Roman"/>
                <w:i/>
                <w:sz w:val="20"/>
                <w:szCs w:val="20"/>
                <w:lang w:eastAsia="sk-SK"/>
              </w:rPr>
              <w:t>pozitívny</w:t>
            </w:r>
            <w:r w:rsidRPr="00BB2C8B">
              <w:rPr>
                <w:rFonts w:ascii="Times New Roman" w:hAnsi="Times New Roman"/>
                <w:i/>
                <w:sz w:val="20"/>
                <w:szCs w:val="20"/>
                <w:lang w:eastAsia="sk-SK"/>
              </w:rPr>
              <w:t xml:space="preserve"> dopad vo výške </w:t>
            </w:r>
            <w:r>
              <w:rPr>
                <w:rFonts w:ascii="Times New Roman" w:hAnsi="Times New Roman"/>
                <w:i/>
                <w:sz w:val="20"/>
                <w:szCs w:val="20"/>
                <w:lang w:eastAsia="sk-SK"/>
              </w:rPr>
              <w:t>0</w:t>
            </w:r>
            <w:r w:rsidRPr="00BB2C8B">
              <w:rPr>
                <w:rFonts w:ascii="Times New Roman" w:hAnsi="Times New Roman"/>
                <w:i/>
                <w:sz w:val="20"/>
                <w:szCs w:val="20"/>
                <w:lang w:eastAsia="sk-SK"/>
              </w:rPr>
              <w:t>,</w:t>
            </w:r>
            <w:r>
              <w:rPr>
                <w:rFonts w:ascii="Times New Roman" w:hAnsi="Times New Roman"/>
                <w:i/>
                <w:sz w:val="20"/>
                <w:szCs w:val="20"/>
                <w:lang w:eastAsia="sk-SK"/>
              </w:rPr>
              <w:t>5</w:t>
            </w:r>
            <w:r w:rsidRPr="00BB2C8B">
              <w:rPr>
                <w:rFonts w:ascii="Times New Roman" w:hAnsi="Times New Roman"/>
                <w:i/>
                <w:sz w:val="20"/>
                <w:szCs w:val="20"/>
                <w:lang w:eastAsia="sk-SK"/>
              </w:rPr>
              <w:t xml:space="preserve"> mil. eur sa dotkne približne 520 000 stavebných sporiteľov</w:t>
            </w:r>
            <w:r>
              <w:rPr>
                <w:rFonts w:ascii="Times New Roman" w:hAnsi="Times New Roman"/>
                <w:i/>
                <w:sz w:val="20"/>
                <w:szCs w:val="20"/>
                <w:lang w:eastAsia="sk-SK"/>
              </w:rPr>
              <w:t>.</w:t>
            </w:r>
            <w:r w:rsidRPr="00BB2C8B">
              <w:rPr>
                <w:rFonts w:ascii="Times New Roman" w:hAnsi="Times New Roman"/>
                <w:b/>
                <w:i/>
                <w:sz w:val="20"/>
                <w:szCs w:val="20"/>
                <w:lang w:eastAsia="sk-SK"/>
              </w:rPr>
              <w:t xml:space="preserve">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677D1D" w:rsidRPr="000F75A3" w:rsidP="00677D1D">
            <w:pPr>
              <w:pStyle w:val="ListParagraph"/>
              <w:numPr>
                <w:numId w:val="18"/>
              </w:numPr>
              <w:suppressAutoHyphens w:val="0"/>
              <w:bidi w:val="0"/>
              <w:contextualSpacing/>
              <w:jc w:val="both"/>
              <w:rPr>
                <w:rFonts w:ascii="Times New Roman" w:hAnsi="Times New Roman"/>
                <w:sz w:val="20"/>
                <w:szCs w:val="20"/>
                <w:lang w:eastAsia="sk-SK"/>
              </w:rPr>
            </w:pPr>
            <w:r w:rsidRPr="00496640">
              <w:rPr>
                <w:rFonts w:ascii="Times New Roman" w:hAnsi="Times New Roman"/>
                <w:i/>
                <w:sz w:val="20"/>
                <w:szCs w:val="20"/>
                <w:lang w:eastAsia="sk-SK"/>
              </w:rPr>
              <w:t xml:space="preserve">Zrušenie priateľských sporiteľov nebude mať priamy </w:t>
            </w:r>
            <w:r>
              <w:rPr>
                <w:rFonts w:ascii="Times New Roman" w:hAnsi="Times New Roman"/>
                <w:i/>
                <w:sz w:val="20"/>
                <w:szCs w:val="20"/>
                <w:lang w:eastAsia="sk-SK"/>
              </w:rPr>
              <w:t xml:space="preserve">negatívny vplyv </w:t>
            </w:r>
            <w:r w:rsidRPr="00496640">
              <w:rPr>
                <w:rFonts w:ascii="Times New Roman" w:hAnsi="Times New Roman"/>
                <w:i/>
                <w:sz w:val="20"/>
                <w:szCs w:val="20"/>
                <w:lang w:eastAsia="sk-SK"/>
              </w:rPr>
              <w:t xml:space="preserve">na </w:t>
            </w:r>
            <w:r>
              <w:rPr>
                <w:rFonts w:ascii="Times New Roman" w:hAnsi="Times New Roman"/>
                <w:i/>
                <w:sz w:val="20"/>
                <w:szCs w:val="20"/>
                <w:lang w:eastAsia="sk-SK"/>
              </w:rPr>
              <w:t>zníženie príjmov domácností v rokoch 2019 a </w:t>
            </w:r>
            <w:r w:rsidRPr="007D20D2">
              <w:rPr>
                <w:rFonts w:ascii="Times New Roman" w:hAnsi="Times New Roman"/>
                <w:i/>
                <w:sz w:val="20"/>
                <w:szCs w:val="20"/>
                <w:lang w:eastAsia="sk-SK"/>
              </w:rPr>
              <w:t>2020.</w:t>
            </w:r>
            <w:r>
              <w:rPr>
                <w:rFonts w:ascii="Times New Roman" w:hAnsi="Times New Roman"/>
                <w:i/>
                <w:sz w:val="20"/>
                <w:szCs w:val="20"/>
                <w:lang w:eastAsia="sk-SK"/>
              </w:rPr>
              <w:t xml:space="preserve"> </w:t>
            </w:r>
          </w:p>
          <w:p w:rsidR="00677D1D" w:rsidRPr="007D20D2" w:rsidP="00677D1D">
            <w:pPr>
              <w:pStyle w:val="ListParagraph"/>
              <w:numPr>
                <w:numId w:val="18"/>
              </w:numPr>
              <w:suppressAutoHyphens w:val="0"/>
              <w:bidi w:val="0"/>
              <w:contextualSpacing/>
              <w:jc w:val="both"/>
              <w:rPr>
                <w:rFonts w:ascii="Times New Roman" w:hAnsi="Times New Roman"/>
                <w:sz w:val="20"/>
                <w:szCs w:val="20"/>
                <w:lang w:eastAsia="sk-SK"/>
              </w:rPr>
            </w:pPr>
            <w:r w:rsidRPr="007D20D2">
              <w:rPr>
                <w:rFonts w:ascii="Times New Roman" w:hAnsi="Times New Roman"/>
                <w:i/>
                <w:sz w:val="20"/>
                <w:szCs w:val="20"/>
                <w:lang w:eastAsia="sk-SK"/>
              </w:rPr>
              <w:t>Zúžením okruhu poberateľov štátnej prémie podľa príjmu</w:t>
            </w:r>
            <w:r w:rsidRPr="007D20D2">
              <w:rPr>
                <w:rFonts w:ascii="Times New Roman" w:hAnsi="Times New Roman"/>
                <w:sz w:val="20"/>
                <w:szCs w:val="20"/>
              </w:rPr>
              <w:t xml:space="preserve"> </w:t>
            </w:r>
            <w:r w:rsidRPr="007D20D2">
              <w:rPr>
                <w:rFonts w:ascii="Times New Roman" w:hAnsi="Times New Roman"/>
                <w:i/>
                <w:sz w:val="20"/>
                <w:szCs w:val="20"/>
                <w:lang w:eastAsia="sk-SK"/>
              </w:rPr>
              <w:t>na základe navrhovaných kritérií, sa predpokladá v rokoch 2020 a 2021 negatívny vplyv pre približne 15,4 % domácnosti, v ktorých členovia majú uzatvorené existujúce zmluvy o stavebnom sporení , čo v oboch rokoch predstavuje zníženie príjmov okolo 3,7 mil. EUR.</w:t>
            </w:r>
          </w:p>
          <w:p w:rsidR="00677D1D"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Pr>
                <w:rFonts w:ascii="Times New Roman" w:hAnsi="Times New Roman"/>
                <w:i/>
                <w:sz w:val="20"/>
                <w:szCs w:val="20"/>
                <w:lang w:eastAsia="sk-SK"/>
              </w:rPr>
              <w:t>O</w:t>
            </w:r>
            <w:r w:rsidRPr="00211FF1">
              <w:rPr>
                <w:rFonts w:ascii="Times New Roman" w:hAnsi="Times New Roman"/>
                <w:i/>
                <w:sz w:val="20"/>
                <w:szCs w:val="20"/>
                <w:lang w:eastAsia="sk-SK"/>
              </w:rPr>
              <w:t>bmedzenie poberania štátnej prémie počas čerpania a splácania medziúveru</w:t>
            </w:r>
            <w:r>
              <w:rPr>
                <w:rFonts w:ascii="Times New Roman" w:hAnsi="Times New Roman"/>
                <w:i/>
                <w:sz w:val="20"/>
                <w:szCs w:val="20"/>
                <w:lang w:eastAsia="sk-SK"/>
              </w:rPr>
              <w:t xml:space="preserve"> nemá priamy negatívny vplyv na hospodárenie domácností, v ktorých členovia majú uzatvorené </w:t>
            </w:r>
            <w:r w:rsidRPr="001E792F">
              <w:rPr>
                <w:rFonts w:ascii="Times New Roman" w:hAnsi="Times New Roman"/>
                <w:i/>
                <w:sz w:val="20"/>
                <w:szCs w:val="20"/>
                <w:lang w:eastAsia="sk-SK"/>
              </w:rPr>
              <w:t>existujúc</w:t>
            </w:r>
            <w:r>
              <w:rPr>
                <w:rFonts w:ascii="Times New Roman" w:hAnsi="Times New Roman"/>
                <w:i/>
                <w:sz w:val="20"/>
                <w:szCs w:val="20"/>
                <w:lang w:eastAsia="sk-SK"/>
              </w:rPr>
              <w:t xml:space="preserve">e zmluvy o stavebnom sporení, vzhľadom k tomu, že sa </w:t>
            </w:r>
            <w:r w:rsidRPr="00581542">
              <w:rPr>
                <w:rFonts w:ascii="Times New Roman" w:hAnsi="Times New Roman"/>
                <w:i/>
                <w:sz w:val="20"/>
                <w:szCs w:val="20"/>
                <w:lang w:eastAsia="sk-SK"/>
              </w:rPr>
              <w:t>bud</w:t>
            </w:r>
            <w:r>
              <w:rPr>
                <w:rFonts w:ascii="Times New Roman" w:hAnsi="Times New Roman"/>
                <w:i/>
                <w:sz w:val="20"/>
                <w:szCs w:val="20"/>
                <w:lang w:eastAsia="sk-SK"/>
              </w:rPr>
              <w:t>e</w:t>
            </w:r>
            <w:r w:rsidRPr="00581542">
              <w:rPr>
                <w:rFonts w:ascii="Times New Roman" w:hAnsi="Times New Roman"/>
                <w:i/>
                <w:sz w:val="20"/>
                <w:szCs w:val="20"/>
                <w:lang w:eastAsia="sk-SK"/>
              </w:rPr>
              <w:t xml:space="preserve"> týkať len zmlúv o medziúvere uzatvorených po účinnosti novely zákona.</w:t>
            </w:r>
            <w:r>
              <w:rPr>
                <w:rFonts w:ascii="Times New Roman" w:hAnsi="Times New Roman"/>
                <w:i/>
                <w:sz w:val="20"/>
                <w:szCs w:val="20"/>
                <w:lang w:eastAsia="sk-SK"/>
              </w:rPr>
              <w:t xml:space="preserve"> Pre stavebných sporiteľov, ktorí uzatvoria nové zmluvy o stavebnom sporení sa predpokladá z titulu straty nároku na štátnu prémiu zvýšenie výdavkov na splácanie medziúveru ročne v sume približne 0,5 mil. EUR ( 13,3 % nových zmlúv).</w:t>
            </w:r>
            <w:r w:rsidRPr="00211FF1">
              <w:rPr>
                <w:rFonts w:ascii="Times New Roman" w:hAnsi="Times New Roman"/>
                <w:i/>
                <w:sz w:val="20"/>
                <w:szCs w:val="20"/>
                <w:lang w:eastAsia="sk-SK"/>
              </w:rPr>
              <w:t xml:space="preserve"> </w:t>
            </w:r>
          </w:p>
          <w:p w:rsidR="00677D1D" w:rsidRPr="00BA706E"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Pr>
                <w:rFonts w:ascii="Times New Roman" w:hAnsi="Times New Roman"/>
                <w:i/>
                <w:sz w:val="20"/>
                <w:szCs w:val="20"/>
                <w:lang w:eastAsia="sk-SK"/>
              </w:rPr>
              <w:t>O</w:t>
            </w:r>
            <w:r w:rsidRPr="00581542">
              <w:rPr>
                <w:rFonts w:ascii="Times New Roman" w:hAnsi="Times New Roman"/>
                <w:i/>
                <w:sz w:val="20"/>
                <w:szCs w:val="20"/>
                <w:lang w:eastAsia="sk-SK"/>
              </w:rPr>
              <w:t>sobitn</w:t>
            </w:r>
            <w:r>
              <w:rPr>
                <w:rFonts w:ascii="Times New Roman" w:hAnsi="Times New Roman"/>
                <w:i/>
                <w:sz w:val="20"/>
                <w:szCs w:val="20"/>
                <w:lang w:eastAsia="sk-SK"/>
              </w:rPr>
              <w:t>é</w:t>
            </w:r>
            <w:r w:rsidRPr="00581542">
              <w:rPr>
                <w:rFonts w:ascii="Times New Roman" w:hAnsi="Times New Roman"/>
                <w:i/>
                <w:sz w:val="20"/>
                <w:szCs w:val="20"/>
                <w:lang w:eastAsia="sk-SK"/>
              </w:rPr>
              <w:t xml:space="preserve"> limitovan</w:t>
            </w:r>
            <w:r>
              <w:rPr>
                <w:rFonts w:ascii="Times New Roman" w:hAnsi="Times New Roman"/>
                <w:i/>
                <w:sz w:val="20"/>
                <w:szCs w:val="20"/>
                <w:lang w:eastAsia="sk-SK"/>
              </w:rPr>
              <w:t>ie</w:t>
            </w:r>
            <w:r w:rsidRPr="00581542">
              <w:rPr>
                <w:rFonts w:ascii="Times New Roman" w:hAnsi="Times New Roman"/>
                <w:i/>
                <w:sz w:val="20"/>
                <w:szCs w:val="20"/>
                <w:lang w:eastAsia="sk-SK"/>
              </w:rPr>
              <w:t xml:space="preserve"> nároku na štátnu prémiu v prvom roku sporenia</w:t>
            </w:r>
            <w:r w:rsidRPr="00496640">
              <w:rPr>
                <w:rFonts w:ascii="Times New Roman" w:hAnsi="Times New Roman"/>
                <w:i/>
                <w:sz w:val="20"/>
                <w:szCs w:val="20"/>
                <w:lang w:eastAsia="sk-SK"/>
              </w:rPr>
              <w:t xml:space="preserve"> nebude mať priamy </w:t>
            </w:r>
            <w:r>
              <w:rPr>
                <w:rFonts w:ascii="Times New Roman" w:hAnsi="Times New Roman"/>
                <w:i/>
                <w:sz w:val="20"/>
                <w:szCs w:val="20"/>
                <w:lang w:eastAsia="sk-SK"/>
              </w:rPr>
              <w:t xml:space="preserve">negatívny vplyv </w:t>
            </w:r>
            <w:r w:rsidRPr="00496640">
              <w:rPr>
                <w:rFonts w:ascii="Times New Roman" w:hAnsi="Times New Roman"/>
                <w:i/>
                <w:sz w:val="20"/>
                <w:szCs w:val="20"/>
                <w:lang w:eastAsia="sk-SK"/>
              </w:rPr>
              <w:t xml:space="preserve">na </w:t>
            </w:r>
            <w:r>
              <w:rPr>
                <w:rFonts w:ascii="Times New Roman" w:hAnsi="Times New Roman"/>
                <w:i/>
                <w:sz w:val="20"/>
                <w:szCs w:val="20"/>
                <w:lang w:eastAsia="sk-SK"/>
              </w:rPr>
              <w:t>zníženie príjmov domácností v rokoch 2020 a 2021.</w:t>
            </w:r>
            <w:r w:rsidRPr="00581542">
              <w:rPr>
                <w:rFonts w:ascii="Times New Roman" w:hAnsi="Times New Roman"/>
                <w:i/>
                <w:sz w:val="20"/>
                <w:szCs w:val="20"/>
                <w:lang w:eastAsia="sk-SK"/>
              </w:rPr>
              <w:t xml:space="preserve"> Vzhľadom na neexistenciu údajov nevieme predpokladanú mieru vplyvu na </w:t>
            </w:r>
            <w:r>
              <w:rPr>
                <w:rFonts w:ascii="Times New Roman" w:hAnsi="Times New Roman"/>
                <w:i/>
                <w:sz w:val="20"/>
                <w:szCs w:val="20"/>
                <w:lang w:eastAsia="sk-SK"/>
              </w:rPr>
              <w:t xml:space="preserve">hospodárenie domácností </w:t>
            </w:r>
            <w:r w:rsidRPr="00581542">
              <w:rPr>
                <w:rFonts w:ascii="Times New Roman" w:hAnsi="Times New Roman"/>
                <w:i/>
                <w:sz w:val="20"/>
                <w:szCs w:val="20"/>
                <w:lang w:eastAsia="sk-SK"/>
              </w:rPr>
              <w:t>kvantifikovať, pretože nie sú k dispozícii historické údaje týkajúce sa reakcie sporiteľov na navrhovanú zmenu, pretože takáto v minulosti ešte nebola vykonaná.</w:t>
            </w:r>
            <w:r w:rsidRPr="00BA706E">
              <w:rPr>
                <w:rFonts w:ascii="Times New Roman" w:hAnsi="Times New Roman"/>
                <w:i/>
                <w:sz w:val="20"/>
                <w:szCs w:val="20"/>
                <w:lang w:eastAsia="sk-SK"/>
              </w:rPr>
              <w:t xml:space="preserve"> </w:t>
            </w:r>
          </w:p>
          <w:p w:rsidR="00677D1D" w:rsidRPr="007D20D2" w:rsidP="00677D1D">
            <w:pPr>
              <w:pStyle w:val="ListParagraph"/>
              <w:numPr>
                <w:numId w:val="18"/>
              </w:numPr>
              <w:suppressAutoHyphens w:val="0"/>
              <w:bidi w:val="0"/>
              <w:contextualSpacing/>
              <w:jc w:val="both"/>
              <w:rPr>
                <w:rFonts w:ascii="Times New Roman" w:hAnsi="Times New Roman"/>
                <w:sz w:val="20"/>
                <w:szCs w:val="20"/>
                <w:lang w:eastAsia="sk-SK"/>
              </w:rPr>
            </w:pPr>
            <w:r>
              <w:rPr>
                <w:rFonts w:ascii="Times New Roman" w:hAnsi="Times New Roman"/>
                <w:i/>
                <w:sz w:val="20"/>
                <w:szCs w:val="20"/>
                <w:lang w:eastAsia="sk-SK"/>
              </w:rPr>
              <w:t>Znížením minimálnej percentuálnej výšky</w:t>
            </w:r>
            <w:r w:rsidRPr="007D20D2">
              <w:rPr>
                <w:rFonts w:ascii="Times New Roman" w:hAnsi="Times New Roman"/>
                <w:i/>
                <w:sz w:val="20"/>
                <w:szCs w:val="20"/>
                <w:lang w:eastAsia="sk-SK"/>
              </w:rPr>
              <w:t xml:space="preserve"> štátnej prémie sa predpokladá v rokoch 2020 a 2021 negatívny vplyv na všetky domácnosti, v ktorých členovia majú uzatvorené existujúce zmluvy o stavebnom sporení , čo v oboch rokoch predstavuje zníženie príjmov okolo 9,8 mil. EUR.</w:t>
            </w:r>
          </w:p>
          <w:p w:rsidR="00677D1D" w:rsidRPr="001E792F" w:rsidP="00E04937">
            <w:pPr>
              <w:pStyle w:val="ListParagraph"/>
              <w:bidi w:val="0"/>
              <w:ind w:left="756"/>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677D1D"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496640">
              <w:rPr>
                <w:rFonts w:ascii="Times New Roman" w:hAnsi="Times New Roman"/>
                <w:i/>
                <w:sz w:val="20"/>
                <w:szCs w:val="20"/>
                <w:lang w:eastAsia="sk-SK"/>
              </w:rPr>
              <w:t xml:space="preserve">Zrušenie priateľských sporiteľov </w:t>
            </w:r>
            <w:r>
              <w:rPr>
                <w:rFonts w:ascii="Times New Roman" w:hAnsi="Times New Roman"/>
                <w:i/>
                <w:sz w:val="20"/>
                <w:szCs w:val="20"/>
                <w:lang w:eastAsia="sk-SK"/>
              </w:rPr>
              <w:t>môže</w:t>
            </w:r>
            <w:r w:rsidRPr="00496640">
              <w:rPr>
                <w:rFonts w:ascii="Times New Roman" w:hAnsi="Times New Roman"/>
                <w:i/>
                <w:sz w:val="20"/>
                <w:szCs w:val="20"/>
                <w:lang w:eastAsia="sk-SK"/>
              </w:rPr>
              <w:t xml:space="preserve"> mať za následok</w:t>
            </w:r>
            <w:r>
              <w:rPr>
                <w:rFonts w:ascii="Times New Roman" w:hAnsi="Times New Roman"/>
                <w:i/>
                <w:sz w:val="20"/>
                <w:szCs w:val="20"/>
                <w:lang w:eastAsia="sk-SK"/>
              </w:rPr>
              <w:t xml:space="preserve"> z</w:t>
            </w:r>
            <w:r w:rsidRPr="00586F71">
              <w:rPr>
                <w:rFonts w:ascii="Times New Roman" w:hAnsi="Times New Roman"/>
                <w:i/>
                <w:sz w:val="20"/>
                <w:szCs w:val="20"/>
                <w:lang w:eastAsia="sk-SK"/>
              </w:rPr>
              <w:t xml:space="preserve">a predpokladu rovnomerného rozdelenia štátnych prémií a sporiteľov v celej populácií po zavedení novely </w:t>
            </w:r>
            <w:r>
              <w:rPr>
                <w:rFonts w:ascii="Times New Roman" w:hAnsi="Times New Roman"/>
                <w:i/>
                <w:sz w:val="20"/>
                <w:szCs w:val="20"/>
                <w:lang w:eastAsia="sk-SK"/>
              </w:rPr>
              <w:t>odhadom 30,0</w:t>
            </w:r>
            <w:r w:rsidRPr="00586F71">
              <w:rPr>
                <w:rFonts w:ascii="Times New Roman" w:hAnsi="Times New Roman"/>
                <w:i/>
                <w:sz w:val="20"/>
                <w:szCs w:val="20"/>
                <w:lang w:eastAsia="sk-SK"/>
              </w:rPr>
              <w:t xml:space="preserve"> %</w:t>
            </w:r>
            <w:r>
              <w:rPr>
                <w:rFonts w:ascii="Times New Roman" w:hAnsi="Times New Roman"/>
                <w:i/>
                <w:sz w:val="20"/>
                <w:szCs w:val="20"/>
                <w:lang w:eastAsia="sk-SK"/>
              </w:rPr>
              <w:t xml:space="preserve"> pokles novouzavretých zmlúv (nepriamy sociálny vplyv). </w:t>
            </w:r>
          </w:p>
          <w:p w:rsidR="00677D1D"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1E792F">
              <w:rPr>
                <w:rFonts w:ascii="Times New Roman" w:hAnsi="Times New Roman"/>
                <w:i/>
                <w:sz w:val="20"/>
                <w:szCs w:val="20"/>
                <w:lang w:eastAsia="sk-SK"/>
              </w:rPr>
              <w:t xml:space="preserve">Zúženie okruhu poberateľov štátnej prémie podľa príjmu </w:t>
            </w:r>
            <w:r>
              <w:rPr>
                <w:rFonts w:ascii="Times New Roman" w:hAnsi="Times New Roman"/>
                <w:i/>
                <w:sz w:val="20"/>
                <w:szCs w:val="20"/>
                <w:lang w:eastAsia="sk-SK"/>
              </w:rPr>
              <w:t xml:space="preserve">sa negatívne dotkne </w:t>
            </w:r>
            <w:r w:rsidRPr="001E792F">
              <w:rPr>
                <w:rFonts w:ascii="Times New Roman" w:hAnsi="Times New Roman"/>
                <w:i/>
                <w:sz w:val="20"/>
                <w:szCs w:val="20"/>
                <w:lang w:eastAsia="sk-SK"/>
              </w:rPr>
              <w:t>hospodáreni</w:t>
            </w:r>
            <w:r>
              <w:rPr>
                <w:rFonts w:ascii="Times New Roman" w:hAnsi="Times New Roman"/>
                <w:i/>
                <w:sz w:val="20"/>
                <w:szCs w:val="20"/>
                <w:lang w:eastAsia="sk-SK"/>
              </w:rPr>
              <w:t>a</w:t>
            </w:r>
            <w:r w:rsidRPr="001E792F">
              <w:rPr>
                <w:rFonts w:ascii="Times New Roman" w:hAnsi="Times New Roman"/>
                <w:i/>
                <w:sz w:val="20"/>
                <w:szCs w:val="20"/>
                <w:lang w:eastAsia="sk-SK"/>
              </w:rPr>
              <w:t xml:space="preserve"> </w:t>
            </w:r>
            <w:r w:rsidRPr="007D20D2">
              <w:rPr>
                <w:rFonts w:ascii="Times New Roman" w:hAnsi="Times New Roman"/>
                <w:i/>
                <w:sz w:val="20"/>
                <w:szCs w:val="20"/>
                <w:lang w:eastAsia="sk-SK"/>
              </w:rPr>
              <w:t>15,4 %</w:t>
            </w:r>
            <w:r>
              <w:rPr>
                <w:rFonts w:ascii="Times New Roman" w:hAnsi="Times New Roman"/>
                <w:i/>
                <w:sz w:val="20"/>
                <w:szCs w:val="20"/>
                <w:lang w:eastAsia="sk-SK"/>
              </w:rPr>
              <w:t xml:space="preserve"> domácnosti,  v ktorých členovia majú uzatvorené </w:t>
            </w:r>
            <w:r w:rsidRPr="001E792F">
              <w:rPr>
                <w:rFonts w:ascii="Times New Roman" w:hAnsi="Times New Roman"/>
                <w:i/>
                <w:sz w:val="20"/>
                <w:szCs w:val="20"/>
                <w:lang w:eastAsia="sk-SK"/>
              </w:rPr>
              <w:t>existujúc</w:t>
            </w:r>
            <w:r>
              <w:rPr>
                <w:rFonts w:ascii="Times New Roman" w:hAnsi="Times New Roman"/>
                <w:i/>
                <w:sz w:val="20"/>
                <w:szCs w:val="20"/>
                <w:lang w:eastAsia="sk-SK"/>
              </w:rPr>
              <w:t>e zmluvy o stavebnom sporení.</w:t>
            </w:r>
          </w:p>
          <w:p w:rsidR="00677D1D"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Pr>
                <w:rFonts w:ascii="Times New Roman" w:hAnsi="Times New Roman"/>
                <w:i/>
                <w:sz w:val="20"/>
                <w:szCs w:val="20"/>
                <w:lang w:eastAsia="sk-SK"/>
              </w:rPr>
              <w:t>O</w:t>
            </w:r>
            <w:r w:rsidRPr="00211FF1">
              <w:rPr>
                <w:rFonts w:ascii="Times New Roman" w:hAnsi="Times New Roman"/>
                <w:i/>
                <w:sz w:val="20"/>
                <w:szCs w:val="20"/>
                <w:lang w:eastAsia="sk-SK"/>
              </w:rPr>
              <w:t>bmedzen</w:t>
            </w:r>
            <w:r>
              <w:rPr>
                <w:rFonts w:ascii="Times New Roman" w:hAnsi="Times New Roman"/>
                <w:i/>
                <w:sz w:val="20"/>
                <w:szCs w:val="20"/>
                <w:lang w:eastAsia="sk-SK"/>
              </w:rPr>
              <w:t>ie</w:t>
            </w:r>
            <w:r w:rsidRPr="00211FF1">
              <w:rPr>
                <w:rFonts w:ascii="Times New Roman" w:hAnsi="Times New Roman"/>
                <w:i/>
                <w:sz w:val="20"/>
                <w:szCs w:val="20"/>
                <w:lang w:eastAsia="sk-SK"/>
              </w:rPr>
              <w:t xml:space="preserve"> poberania štátnej prémie počas čerpania a splácania medziúveru </w:t>
            </w:r>
            <w:r>
              <w:rPr>
                <w:rFonts w:ascii="Times New Roman" w:hAnsi="Times New Roman"/>
                <w:i/>
                <w:sz w:val="20"/>
                <w:szCs w:val="20"/>
                <w:lang w:eastAsia="sk-SK"/>
              </w:rPr>
              <w:t>sa negatívne dotkne 13,3 %</w:t>
            </w:r>
            <w:r w:rsidRPr="00211FF1">
              <w:rPr>
                <w:rFonts w:ascii="Times New Roman" w:hAnsi="Times New Roman"/>
                <w:i/>
                <w:sz w:val="20"/>
                <w:szCs w:val="20"/>
                <w:lang w:eastAsia="sk-SK"/>
              </w:rPr>
              <w:t xml:space="preserve"> nových </w:t>
            </w:r>
            <w:r>
              <w:rPr>
                <w:rFonts w:ascii="Times New Roman" w:hAnsi="Times New Roman"/>
                <w:i/>
                <w:sz w:val="20"/>
                <w:szCs w:val="20"/>
                <w:lang w:eastAsia="sk-SK"/>
              </w:rPr>
              <w:t xml:space="preserve">stavebných sporiteľov a pozitívne 86,7 % </w:t>
            </w:r>
            <w:r w:rsidRPr="00211FF1">
              <w:rPr>
                <w:rFonts w:ascii="Times New Roman" w:hAnsi="Times New Roman"/>
                <w:i/>
                <w:sz w:val="20"/>
                <w:szCs w:val="20"/>
                <w:lang w:eastAsia="sk-SK"/>
              </w:rPr>
              <w:t xml:space="preserve">nových </w:t>
            </w:r>
            <w:r>
              <w:rPr>
                <w:rFonts w:ascii="Times New Roman" w:hAnsi="Times New Roman"/>
                <w:i/>
                <w:sz w:val="20"/>
                <w:szCs w:val="20"/>
                <w:lang w:eastAsia="sk-SK"/>
              </w:rPr>
              <w:t>stavebných sporiteľov.</w:t>
            </w:r>
          </w:p>
          <w:p w:rsidR="00677D1D" w:rsidRPr="00295A20" w:rsidP="00677D1D">
            <w:pPr>
              <w:pStyle w:val="ListParagraph"/>
              <w:numPr>
                <w:numId w:val="18"/>
              </w:numPr>
              <w:suppressAutoHyphens w:val="0"/>
              <w:bidi w:val="0"/>
              <w:spacing w:after="200" w:line="276" w:lineRule="auto"/>
              <w:contextualSpacing/>
              <w:jc w:val="both"/>
              <w:rPr>
                <w:rFonts w:ascii="Times New Roman" w:hAnsi="Times New Roman"/>
                <w:i/>
                <w:sz w:val="20"/>
                <w:szCs w:val="20"/>
                <w:lang w:eastAsia="sk-SK"/>
              </w:rPr>
            </w:pPr>
            <w:r w:rsidRPr="007D20D2">
              <w:rPr>
                <w:rFonts w:ascii="Times New Roman" w:hAnsi="Times New Roman"/>
                <w:i/>
                <w:sz w:val="20"/>
                <w:szCs w:val="20"/>
                <w:lang w:eastAsia="sk-SK"/>
              </w:rPr>
              <w:t>Zníženie minimálnej výšky štátnej prémie sa negatívne dotkne všetkých domácnosti, v ktorých členovia majú uzatvorené existujúce zmluvy o stavebnom sporení</w:t>
            </w:r>
            <w:r>
              <w:rPr>
                <w:rFonts w:ascii="Times New Roman" w:hAnsi="Times New Roman"/>
                <w:i/>
                <w:sz w:val="20"/>
                <w:szCs w:val="20"/>
                <w:lang w:eastAsia="sk-SK"/>
              </w:rPr>
              <w:t xml:space="preserve"> a zvýšenie maximálnej sumy štátnej prémie sa pozitívne dotkne všetkých stavebných sporiteľov.</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i/>
                <w:sz w:val="20"/>
                <w:szCs w:val="20"/>
              </w:rPr>
            </w:pPr>
            <w:r w:rsidRPr="007E0DD6">
              <w:rPr>
                <w:rFonts w:ascii="Times New Roman" w:hAnsi="Times New Roman"/>
                <w:b/>
                <w:i/>
                <w:sz w:val="20"/>
                <w:szCs w:val="20"/>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677D1D" w:rsidRPr="007E0DD6" w:rsidP="00E04937">
            <w:pPr>
              <w:bidi w:val="0"/>
              <w:jc w:val="both"/>
              <w:rPr>
                <w:rFonts w:ascii="Times New Roman" w:hAnsi="Times New Roman"/>
                <w:sz w:val="20"/>
                <w:szCs w:val="20"/>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677D1D" w:rsidRPr="007E0DD6" w:rsidP="00E04937">
            <w:pPr>
              <w:bidi w:val="0"/>
              <w:jc w:val="both"/>
              <w:rPr>
                <w:rFonts w:ascii="Times New Roman" w:hAnsi="Times New Roman"/>
                <w:sz w:val="20"/>
                <w:szCs w:val="20"/>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sz w:val="20"/>
                <w:szCs w:val="20"/>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rPr>
                <w:rFonts w:ascii="Times New Roman" w:hAnsi="Times New Roman"/>
                <w:i/>
                <w:sz w:val="20"/>
                <w:szCs w:val="20"/>
              </w:rPr>
            </w:pPr>
            <w:r w:rsidRPr="007E0DD6">
              <w:rPr>
                <w:rFonts w:ascii="Times New Roman" w:hAnsi="Times New Roman"/>
                <w:i/>
                <w:sz w:val="20"/>
                <w:szCs w:val="20"/>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sz w:val="20"/>
                <w:szCs w:val="20"/>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i/>
                <w:sz w:val="20"/>
                <w:szCs w:val="20"/>
              </w:rPr>
            </w:pPr>
            <w:r w:rsidRPr="007E0DD6">
              <w:rPr>
                <w:rFonts w:ascii="Times New Roman" w:hAnsi="Times New Roman"/>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sz w:val="20"/>
                <w:szCs w:val="20"/>
              </w:rPr>
            </w:pPr>
          </w:p>
        </w:tc>
      </w:tr>
    </w:tbl>
    <w:p w:rsidR="00677D1D" w:rsidRPr="00A30F1C" w:rsidP="00677D1D">
      <w:pPr>
        <w:bidi w:val="0"/>
        <w:rPr>
          <w:rFonts w:ascii="Times New Roman" w:hAnsi="Times New Roman"/>
          <w:sz w:val="20"/>
          <w:szCs w:val="20"/>
        </w:rPr>
      </w:pPr>
    </w:p>
    <w:p w:rsidR="00677D1D" w:rsidP="00677D1D">
      <w:pPr>
        <w:bidi w:val="0"/>
        <w:rPr>
          <w:rFonts w:ascii="Times New Roman" w:hAnsi="Times New Roman"/>
          <w:b/>
        </w:rPr>
      </w:pPr>
      <w:r>
        <w:rPr>
          <w:rFonts w:ascii="Times New Roman" w:hAnsi="Times New Roman"/>
          <w:b/>
        </w:rPr>
        <w:br w:type="page"/>
      </w:r>
    </w:p>
    <w:p w:rsidR="00677D1D" w:rsidP="00677D1D">
      <w:pPr>
        <w:bidi w:val="0"/>
        <w:rPr>
          <w:rFonts w:ascii="Times New Roman" w:hAnsi="Times New Roman"/>
          <w:b/>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77D1D" w:rsidRPr="00CD4982" w:rsidP="00E04937">
            <w:pPr>
              <w:bidi w:val="0"/>
              <w:rPr>
                <w:rFonts w:ascii="Times New Roman" w:hAnsi="Times New Roman"/>
                <w:b/>
              </w:rPr>
            </w:pPr>
            <w:r w:rsidRPr="00CD4982">
              <w:rPr>
                <w:rFonts w:ascii="Times New Roman" w:hAnsi="Times New Roman"/>
                <w:b/>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CD4982" w:rsidP="00E04937">
            <w:pPr>
              <w:bidi w:val="0"/>
              <w:jc w:val="both"/>
              <w:rPr>
                <w:rFonts w:ascii="Times New Roman" w:hAnsi="Times New Roman"/>
                <w:i/>
                <w:sz w:val="20"/>
              </w:rPr>
            </w:pPr>
            <w:r w:rsidRPr="00CD4982">
              <w:rPr>
                <w:rFonts w:ascii="Times New Roman" w:hAnsi="Times New Roman"/>
                <w:i/>
                <w:sz w:val="20"/>
              </w:rPr>
              <w:t xml:space="preserve">Má návrh vplyv na prístup k zdrojom, právam, tovarom a službám? </w:t>
            </w:r>
          </w:p>
          <w:p w:rsidR="00677D1D" w:rsidRPr="00CD4982" w:rsidP="00E04937">
            <w:pPr>
              <w:bidi w:val="0"/>
              <w:jc w:val="both"/>
              <w:rPr>
                <w:rFonts w:ascii="Calibri" w:hAnsi="Calibri"/>
                <w:i/>
              </w:rPr>
            </w:pPr>
            <w:r w:rsidRPr="00CD4982">
              <w:rPr>
                <w:rFonts w:ascii="Times New Roman" w:hAnsi="Times New Roman"/>
                <w:i/>
                <w:sz w:val="20"/>
              </w:rPr>
              <w:t>Špecifikujete ovplyvnené skupiny obyvateľstva a charakter zmeny v prístupnosti s ohľadom na dostupnosť finančnú, geografickú, kvalitu, organizovanie a pod. Uveďte veľkosť jednotlivých ovplyvnených skupín.</w:t>
            </w:r>
          </w:p>
        </w:tc>
      </w:tr>
    </w:tbl>
    <w:p w:rsidR="00677D1D" w:rsidP="00677D1D">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677D1D" w:rsidRPr="007E0DD6" w:rsidP="00E04937">
            <w:pPr>
              <w:bidi w:val="0"/>
              <w:rPr>
                <w:rFonts w:ascii="Times New Roman" w:hAnsi="Times New Roman"/>
                <w:i/>
                <w:sz w:val="18"/>
                <w:szCs w:val="18"/>
              </w:rPr>
            </w:pPr>
            <w:r w:rsidRPr="007E0DD6">
              <w:rPr>
                <w:rFonts w:ascii="Times New Roman" w:hAnsi="Times New Roman"/>
                <w:i/>
                <w:sz w:val="18"/>
                <w:szCs w:val="18"/>
              </w:rPr>
              <w:t>Rozumie sa najmä na prístup k:</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kvalitnej práci, ochrane zdravia, dôstojnosti a bezpečnosti pri práci pre zamestnancov a existujúcim zamestnaneckým právam,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 xml:space="preserve">pomoci pri úhrade výdavkov súvisiacich so zdravotným postihnutím, </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 xml:space="preserve">zdravotnej starostlivosti vrátane cenovo dostupných pomôcok pre občanov so zdravotným postihnutím, </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k formálnemu i neformálnemu vzdelávaniu a celo</w:t>
            </w:r>
            <w:r w:rsidRPr="007E0DD6">
              <w:rPr>
                <w:rFonts w:ascii="Times New Roman" w:hAnsi="Times New Roman"/>
                <w:i/>
                <w:sz w:val="18"/>
                <w:szCs w:val="18"/>
              </w:rPr>
              <w:softHyphen/>
              <w:t xml:space="preserve">životnému vzdelávaniu, </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bývaniu a súvisiacim základným komunálnym službám,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doprave,</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ďalším službám najmä službám všeobecného záujmu a tovarom,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spravodlivosti, právnej ochrane, právnym službám,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informáciám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677D1D" w:rsidP="00E04937">
            <w:pPr>
              <w:bidi w:val="0"/>
              <w:jc w:val="both"/>
              <w:rPr>
                <w:rFonts w:ascii="Times New Roman" w:hAnsi="Times New Roman"/>
                <w:i/>
                <w:sz w:val="18"/>
                <w:szCs w:val="18"/>
              </w:rPr>
            </w:pPr>
            <w:r>
              <w:rPr>
                <w:rFonts w:ascii="Times New Roman" w:hAnsi="Times New Roman"/>
                <w:i/>
                <w:sz w:val="18"/>
                <w:szCs w:val="18"/>
              </w:rPr>
              <w:t xml:space="preserve">Predpokladá sa, že zrušením priateľských sporiteľov sa zamedzí prístup k použitiu nasporených </w:t>
            </w:r>
            <w:r w:rsidRPr="00240507">
              <w:rPr>
                <w:rFonts w:ascii="Times New Roman" w:hAnsi="Times New Roman"/>
                <w:i/>
                <w:sz w:val="18"/>
                <w:szCs w:val="18"/>
              </w:rPr>
              <w:t xml:space="preserve">prostriedkov zo stavebného sporenia </w:t>
            </w:r>
            <w:r>
              <w:rPr>
                <w:rFonts w:ascii="Times New Roman" w:hAnsi="Times New Roman"/>
                <w:i/>
                <w:sz w:val="18"/>
                <w:szCs w:val="18"/>
              </w:rPr>
              <w:t xml:space="preserve">na iné účely, ako na riešenie otázky spojenej s bývaním. </w:t>
            </w:r>
          </w:p>
          <w:p w:rsidR="00677D1D" w:rsidRPr="007E0DD6" w:rsidP="00E04937">
            <w:pPr>
              <w:bidi w:val="0"/>
              <w:jc w:val="both"/>
              <w:rPr>
                <w:rFonts w:ascii="Times New Roman" w:hAnsi="Times New Roman"/>
                <w:i/>
                <w:sz w:val="18"/>
                <w:szCs w:val="18"/>
              </w:rPr>
            </w:pPr>
            <w:r>
              <w:rPr>
                <w:rFonts w:ascii="Times New Roman" w:hAnsi="Times New Roman"/>
                <w:i/>
                <w:sz w:val="18"/>
                <w:szCs w:val="18"/>
              </w:rPr>
              <w:t xml:space="preserve">V prípade opatrení týkajúcich sa </w:t>
            </w:r>
            <w:r w:rsidRPr="009037F3">
              <w:rPr>
                <w:rFonts w:ascii="Times New Roman" w:hAnsi="Times New Roman"/>
                <w:i/>
                <w:sz w:val="20"/>
                <w:szCs w:val="20"/>
              </w:rPr>
              <w:t>zúženia okruhu poberateľov štátnej prémie podľa príjmu, obmedzenia poberania štátnej prémie počas obdobia čerpania a splácania medziúveru</w:t>
            </w:r>
            <w:r>
              <w:rPr>
                <w:rFonts w:ascii="Times New Roman" w:hAnsi="Times New Roman"/>
                <w:i/>
                <w:sz w:val="20"/>
                <w:szCs w:val="20"/>
              </w:rPr>
              <w:t xml:space="preserve">, </w:t>
            </w:r>
            <w:r w:rsidRPr="007D20D2">
              <w:rPr>
                <w:rFonts w:ascii="Times New Roman" w:hAnsi="Times New Roman"/>
                <w:i/>
                <w:sz w:val="20"/>
                <w:szCs w:val="20"/>
              </w:rPr>
              <w:t xml:space="preserve">osobitným limitovaním nároku na štátnu prémiu v prvom roku sporenia a znížením minimálnej </w:t>
            </w:r>
            <w:r>
              <w:rPr>
                <w:rFonts w:ascii="Times New Roman" w:hAnsi="Times New Roman"/>
                <w:i/>
                <w:sz w:val="20"/>
                <w:szCs w:val="20"/>
              </w:rPr>
              <w:t xml:space="preserve">percentuálnej </w:t>
            </w:r>
            <w:r w:rsidRPr="007D20D2">
              <w:rPr>
                <w:rFonts w:ascii="Times New Roman" w:hAnsi="Times New Roman"/>
                <w:i/>
                <w:sz w:val="20"/>
                <w:szCs w:val="20"/>
              </w:rPr>
              <w:t xml:space="preserve">výšky štátnej prémie </w:t>
            </w:r>
            <w:r>
              <w:rPr>
                <w:rFonts w:ascii="Times New Roman" w:hAnsi="Times New Roman"/>
                <w:i/>
                <w:sz w:val="20"/>
                <w:szCs w:val="20"/>
              </w:rPr>
              <w:t>sa zníži popísaným skupinám stavebných sporiteľov prístup k zdrojom v rozsahu uvedenom v bode 4.1  potrebným na riešenie bývania.</w:t>
            </w:r>
          </w:p>
        </w:tc>
      </w:tr>
    </w:tbl>
    <w:p w:rsidR="00677D1D" w:rsidP="00677D1D">
      <w:pPr>
        <w:bidi w:val="0"/>
        <w:jc w:val="both"/>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CD4982" w:rsidP="00E04937">
            <w:pPr>
              <w:bidi w:val="0"/>
              <w:jc w:val="both"/>
              <w:rPr>
                <w:rFonts w:ascii="Times New Roman" w:hAnsi="Times New Roman"/>
                <w:i/>
                <w:sz w:val="20"/>
                <w:szCs w:val="20"/>
              </w:rPr>
            </w:pPr>
            <w:r w:rsidRPr="00CD4982">
              <w:rPr>
                <w:rFonts w:ascii="Times New Roman" w:hAnsi="Times New Roman"/>
                <w:i/>
                <w:sz w:val="20"/>
                <w:szCs w:val="20"/>
              </w:rPr>
              <w:t xml:space="preserve">Má návrh významný vplyv na niektorú zo zraniteľných skupín obyvateľstva alebo skupín v riziku chudoby alebo sociálneho vylúčenia? </w:t>
            </w:r>
          </w:p>
          <w:p w:rsidR="00677D1D" w:rsidRPr="00CD4982" w:rsidP="00E04937">
            <w:pPr>
              <w:bidi w:val="0"/>
              <w:jc w:val="both"/>
              <w:rPr>
                <w:rFonts w:ascii="Calibri" w:hAnsi="Calibri"/>
                <w:i/>
              </w:rPr>
            </w:pPr>
            <w:r w:rsidRPr="00CD4982">
              <w:rPr>
                <w:rFonts w:ascii="Times New Roman" w:hAnsi="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677D1D" w:rsidP="00677D1D">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Zraniteľné skupiny alebo skupiny v riziku chudoby alebo sociálneho vylúčenia sú napr.:</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nezamestnaní, najmä dlhodobo nezamestnaní, mladí nezamestnaní a nezamestnaní nad 50 rokov,</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deti (0 – 17),</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mladí ľudia (18 – 25 rokov),</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starší ľudia, napr. ľudia vo veku nad 65 rokov alebo dôchodcovia,</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ľudia so zdravotným postihnutím,</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 xml:space="preserve">marginalizované rómske komunity </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domácnosti s 3 a viac deťmi,</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jednorodičovské domácnosti s deťmi (neúplné rodiny, ktoré tvoria najmä osamelé matky s deťmi),</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príslušníci tretích krajín, azylanti, žiadatelia o azyl,</w:t>
            </w:r>
          </w:p>
          <w:p w:rsidR="00677D1D" w:rsidRPr="007E0DD6" w:rsidP="00677D1D">
            <w:pPr>
              <w:numPr>
                <w:numId w:val="12"/>
              </w:numPr>
              <w:bidi w:val="0"/>
              <w:ind w:left="502"/>
              <w:rPr>
                <w:rFonts w:ascii="Times New Roman" w:hAnsi="Times New Roman"/>
                <w:i/>
                <w:sz w:val="18"/>
                <w:szCs w:val="18"/>
              </w:rPr>
            </w:pPr>
            <w:r w:rsidRPr="007E0DD6">
              <w:rPr>
                <w:rFonts w:ascii="Times New Roman" w:hAnsi="Times New Roman"/>
                <w:i/>
                <w:sz w:val="18"/>
                <w:szCs w:val="18"/>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677D1D" w:rsidRPr="007E0DD6" w:rsidP="00E04937">
            <w:pPr>
              <w:bidi w:val="0"/>
              <w:jc w:val="both"/>
              <w:rPr>
                <w:rFonts w:ascii="Times New Roman" w:hAnsi="Times New Roman"/>
                <w:sz w:val="18"/>
                <w:szCs w:val="18"/>
              </w:rPr>
            </w:pPr>
          </w:p>
        </w:tc>
      </w:tr>
    </w:tbl>
    <w:p w:rsidR="00677D1D" w:rsidP="00677D1D">
      <w:pPr>
        <w:bidi w:val="0"/>
        <w:rPr>
          <w:rFonts w:ascii="Times New Roman" w:hAnsi="Times New Roman"/>
        </w:rPr>
      </w:pPr>
    </w:p>
    <w:p w:rsidR="00677D1D" w:rsidP="00677D1D">
      <w:pPr>
        <w:bidi w:val="0"/>
        <w:rPr>
          <w:rFonts w:ascii="Times New Roman" w:hAnsi="Times New Roman"/>
          <w:b/>
        </w:rPr>
        <w:sectPr w:rsidSect="0040544D">
          <w:headerReference w:type="default" r:id="rId13"/>
          <w:footerReference w:type="default" r:id="rId14"/>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77D1D" w:rsidRPr="00CD4982" w:rsidP="00E04937">
            <w:pPr>
              <w:bidi w:val="0"/>
              <w:rPr>
                <w:rFonts w:ascii="Times New Roman" w:hAnsi="Times New Roman"/>
                <w:b/>
              </w:rPr>
            </w:pPr>
            <w:r w:rsidRPr="00CD4982">
              <w:rPr>
                <w:rFonts w:ascii="Times New Roman" w:hAnsi="Times New Roman"/>
                <w:b/>
              </w:rPr>
              <w:t>4.3 Identifikujte a popíšte vplyv na rovnosť príležitostí.</w:t>
            </w:r>
          </w:p>
          <w:p w:rsidR="00677D1D" w:rsidRPr="00CD4982" w:rsidP="00E04937">
            <w:pPr>
              <w:bidi w:val="0"/>
              <w:ind w:left="340"/>
              <w:jc w:val="both"/>
              <w:rPr>
                <w:rFonts w:ascii="Calibri" w:hAnsi="Calibri"/>
              </w:rPr>
            </w:pPr>
            <w:r w:rsidRPr="00CD4982">
              <w:rPr>
                <w:rFonts w:ascii="Times New Roman" w:hAnsi="Times New Roman"/>
                <w:b/>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CD4982" w:rsidP="00E04937">
            <w:pPr>
              <w:bidi w:val="0"/>
              <w:jc w:val="both"/>
              <w:rPr>
                <w:rFonts w:ascii="Times New Roman" w:hAnsi="Times New Roman"/>
                <w:i/>
              </w:rPr>
            </w:pPr>
            <w:r w:rsidRPr="00CD4982">
              <w:rPr>
                <w:rFonts w:ascii="Times New Roman" w:hAnsi="Times New Roman"/>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677D1D" w:rsidP="00677D1D">
      <w:pPr>
        <w:bidi w:val="0"/>
        <w:rPr>
          <w:rFonts w:ascii="Times New Roman" w:hAnsi="Times New Roman"/>
          <w:sz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677D1D" w:rsidRPr="007E0DD6" w:rsidP="00E04937">
            <w:pPr>
              <w:bidi w:val="0"/>
              <w:jc w:val="both"/>
              <w:rPr>
                <w:rFonts w:ascii="Times New Roman" w:hAnsi="Times New Roman"/>
                <w:i/>
                <w:sz w:val="20"/>
                <w:szCs w:val="20"/>
              </w:rPr>
            </w:pPr>
            <w:r w:rsidRPr="007E0DD6">
              <w:rPr>
                <w:rFonts w:ascii="Times New Roman" w:hAnsi="Times New Roman"/>
                <w:i/>
                <w:sz w:val="20"/>
                <w:szCs w:val="20"/>
              </w:rPr>
              <w:t>Predkladaný návrh má neutrálny vplyv na rovnosť príležitostí a rodovú rovnosť.</w:t>
            </w:r>
          </w:p>
          <w:p w:rsidR="00677D1D" w:rsidRPr="007E0DD6" w:rsidP="00E04937">
            <w:pPr>
              <w:bidi w:val="0"/>
              <w:rPr>
                <w:rFonts w:ascii="Times New Roman" w:hAnsi="Times New Roman"/>
                <w:sz w:val="20"/>
              </w:rPr>
            </w:pPr>
          </w:p>
          <w:p w:rsidR="00677D1D" w:rsidRPr="007E0DD6" w:rsidP="00E04937">
            <w:pPr>
              <w:bidi w:val="0"/>
              <w:rPr>
                <w:rFonts w:ascii="Times New Roman" w:hAnsi="Times New Roman"/>
                <w:sz w:val="20"/>
              </w:rPr>
            </w:pPr>
          </w:p>
          <w:p w:rsidR="00677D1D" w:rsidRPr="007E0DD6" w:rsidP="00E04937">
            <w:pPr>
              <w:bidi w:val="0"/>
              <w:rPr>
                <w:rFonts w:ascii="Times New Roman" w:hAnsi="Times New Roman"/>
                <w:i/>
                <w:sz w:val="20"/>
              </w:rPr>
            </w:pPr>
          </w:p>
        </w:tc>
      </w:tr>
    </w:tbl>
    <w:p w:rsidR="00677D1D" w:rsidP="00677D1D">
      <w:pPr>
        <w:bidi w:val="0"/>
        <w:rPr>
          <w:rFonts w:ascii="Times New Roman" w:hAnsi="Times New Roman"/>
          <w:i/>
          <w:sz w:val="20"/>
          <w:szCs w:val="20"/>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677D1D" w:rsidRPr="00CD4982" w:rsidP="00E04937">
            <w:pPr>
              <w:bidi w:val="0"/>
              <w:rPr>
                <w:rFonts w:ascii="Times New Roman" w:hAnsi="Times New Roman"/>
                <w:i/>
                <w:sz w:val="20"/>
                <w:szCs w:val="20"/>
              </w:rPr>
            </w:pPr>
            <w:r w:rsidRPr="00CD4982">
              <w:rPr>
                <w:rFonts w:ascii="Times New Roman" w:hAnsi="Times New Roman"/>
                <w:i/>
                <w:sz w:val="20"/>
                <w:szCs w:val="20"/>
              </w:rPr>
              <w:t>Môže mať návrh odlišný vplyv na ženy a mužov? Podporuje návrh rovnosť medzi ženami a mužmi alebo naopak bude viesť k zväčšovaniu rodových nerovností? Popíšte vplyvy.</w:t>
            </w:r>
          </w:p>
        </w:tc>
      </w:tr>
    </w:tbl>
    <w:p w:rsidR="00677D1D" w:rsidP="00677D1D">
      <w:pPr>
        <w:bidi w:val="0"/>
        <w:jc w:val="both"/>
        <w:rPr>
          <w:rFonts w:ascii="Times New Roman" w:hAnsi="Times New Roman"/>
          <w:i/>
          <w:sz w:val="18"/>
          <w:szCs w:val="18"/>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 xml:space="preserve">podpora vyrovnávania ekonomickej nezávislosti, </w:t>
            </w:r>
          </w:p>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 xml:space="preserve">zosúladenie pracovného, súkromného a rodinného života, </w:t>
            </w:r>
          </w:p>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 xml:space="preserve">podpora rovnej participácie na rozhodovaní, </w:t>
            </w:r>
          </w:p>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 xml:space="preserve">boj proti rodovo podmienenému násiliu a obchodovaniu s ľuďmi, </w:t>
            </w:r>
          </w:p>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eliminácia rodových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677D1D" w:rsidRPr="007E0DD6" w:rsidP="00E04937">
            <w:pPr>
              <w:bidi w:val="0"/>
              <w:ind w:left="502"/>
              <w:rPr>
                <w:rFonts w:ascii="Times New Roman" w:hAnsi="Times New Roman"/>
                <w:i/>
                <w:sz w:val="20"/>
                <w:szCs w:val="20"/>
              </w:rPr>
            </w:pPr>
          </w:p>
        </w:tc>
      </w:tr>
    </w:tbl>
    <w:p w:rsidR="00677D1D" w:rsidP="00677D1D">
      <w:pPr>
        <w:bidi w:val="0"/>
        <w:rPr>
          <w:rFonts w:ascii="Times New Roman" w:hAnsi="Times New Roman"/>
          <w:b/>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77D1D" w:rsidRPr="00994C53" w:rsidP="00E04937">
            <w:pPr>
              <w:bidi w:val="0"/>
              <w:rPr>
                <w:rFonts w:ascii="Times New Roman" w:hAnsi="Times New Roman"/>
                <w:b/>
              </w:rPr>
            </w:pPr>
            <w:r w:rsidRPr="00CD4982">
              <w:rPr>
                <w:rFonts w:ascii="Times New Roman" w:hAnsi="Times New Roman"/>
                <w:b/>
              </w:rPr>
              <w:t xml:space="preserve">4.4 </w:t>
            </w:r>
            <w:r w:rsidRPr="00994C53">
              <w:rPr>
                <w:rFonts w:ascii="Times New Roman" w:hAnsi="Times New Roman"/>
                <w:b/>
              </w:rPr>
              <w:t>Identifikujte, popíšte a kvantifikujte vplyvy na zamestnanosť a na trh práce.</w:t>
            </w:r>
          </w:p>
          <w:p w:rsidR="00677D1D" w:rsidRPr="00994C53" w:rsidP="00E04937">
            <w:pPr>
              <w:bidi w:val="0"/>
              <w:jc w:val="both"/>
              <w:rPr>
                <w:rFonts w:ascii="Times New Roman" w:hAnsi="Times New Roman"/>
                <w:i/>
              </w:rPr>
            </w:pPr>
            <w:r w:rsidRPr="00994C53">
              <w:rPr>
                <w:rFonts w:ascii="Times New Roman" w:hAnsi="Times New Roman"/>
                <w:i/>
              </w:rPr>
              <w:t xml:space="preserve">V prípade kladnej odpovede pripojte </w:t>
            </w:r>
            <w:r w:rsidRPr="00994C53">
              <w:rPr>
                <w:rFonts w:ascii="Times New Roman" w:hAnsi="Times New Roman"/>
                <w:b/>
                <w:i/>
              </w:rPr>
              <w:t>odôvodnenie</w:t>
            </w:r>
            <w:r w:rsidRPr="00994C53">
              <w:rPr>
                <w:rFonts w:ascii="Times New Roman" w:hAnsi="Times New Roman"/>
                <w:i/>
              </w:rPr>
              <w:t xml:space="preserve"> v súlade s Metodickým postupom pre analýzu sociálnych vplyvov.</w:t>
            </w:r>
          </w:p>
        </w:tc>
      </w:tr>
    </w:tbl>
    <w:p w:rsidR="00677D1D" w:rsidP="00677D1D">
      <w:pPr>
        <w:bidi w:val="0"/>
        <w:rPr>
          <w:rFonts w:ascii="Times New Roman" w:hAnsi="Times New Roman"/>
          <w:i/>
          <w:sz w:val="20"/>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Uľahčuje návrh vznik nových pracovných miest? Ak áno, ako? Ak je to možné, doplňte kvantifikáciu.</w:t>
            </w:r>
          </w:p>
          <w:p w:rsidR="00677D1D" w:rsidRPr="007E0DD6" w:rsidP="00E04937">
            <w:pPr>
              <w:bidi w:val="0"/>
              <w:ind w:left="502"/>
              <w:jc w:val="both"/>
              <w:rPr>
                <w:rFonts w:ascii="Times New Roman" w:hAnsi="Times New Roman"/>
                <w:i/>
                <w:sz w:val="20"/>
                <w:szCs w:val="20"/>
              </w:rPr>
            </w:pPr>
          </w:p>
          <w:p w:rsidR="00677D1D" w:rsidRPr="007E0DD6" w:rsidP="00E04937">
            <w:pPr>
              <w:bidi w:val="0"/>
              <w:ind w:left="502"/>
              <w:jc w:val="both"/>
              <w:rPr>
                <w:rFonts w:ascii="Times New Roman" w:hAnsi="Times New Roman"/>
                <w:i/>
                <w:sz w:val="20"/>
                <w:szCs w:val="20"/>
              </w:rPr>
            </w:pPr>
            <w:r w:rsidRPr="007E0DD6">
              <w:rPr>
                <w:rFonts w:ascii="Times New Roman" w:hAnsi="Times New Roman"/>
                <w:i/>
                <w:sz w:val="20"/>
                <w:szCs w:val="20"/>
              </w:rPr>
              <w:t>Predkladaný návrh má neutrálny vplyv na zamestnanosť.</w:t>
            </w:r>
          </w:p>
          <w:p w:rsidR="00677D1D" w:rsidRPr="007E0DD6" w:rsidP="00E04937">
            <w:p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Vedie návrh k zániku pracovných miest? 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Ovplyvňuje návrh dopyt po práci? 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Má návrh dosah na fungovanie trhu práce? 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Týka sa makroekonomických dosahov ako je napr. participácia na trhu práce, dlhodobá nezamestnanosť, regionálne rozdiely v mierach zamestnanosti. 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Má návrh špecifické negatívne dôsledky pre isté skupiny profesií, skupín zamestnancov či živnostníkov? 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r w:rsidRPr="007E0DD6">
              <w:rPr>
                <w:rFonts w:ascii="Times New Roman" w:hAnsi="Times New Roman"/>
                <w:i/>
                <w:sz w:val="20"/>
                <w:szCs w:val="20"/>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77D1D" w:rsidRPr="007E0DD6" w:rsidP="00677D1D">
            <w:pPr>
              <w:numPr>
                <w:numId w:val="12"/>
              </w:numPr>
              <w:bidi w:val="0"/>
              <w:ind w:left="502"/>
              <w:rPr>
                <w:rFonts w:ascii="Times New Roman" w:hAnsi="Times New Roman"/>
                <w:i/>
                <w:sz w:val="20"/>
                <w:szCs w:val="20"/>
              </w:rPr>
            </w:pPr>
          </w:p>
        </w:tc>
      </w:tr>
    </w:tbl>
    <w:p w:rsidR="00677D1D" w:rsidP="00677D1D">
      <w:pPr>
        <w:bidi w:val="0"/>
        <w:outlineLvl w:val="0"/>
        <w:rPr>
          <w:rFonts w:ascii="Times New Roman" w:hAnsi="Times New Roman"/>
          <w:b/>
          <w:sz w:val="28"/>
          <w:szCs w:val="28"/>
        </w:rPr>
      </w:pPr>
    </w:p>
    <w:p w:rsidR="00677D1D" w:rsidRPr="00693C20" w:rsidP="00677D1D">
      <w:pPr>
        <w:bidi w:val="0"/>
        <w:rPr>
          <w:rFonts w:ascii="Times New Roman" w:hAnsi="Times New Roman"/>
          <w:sz w:val="28"/>
          <w:szCs w:val="28"/>
        </w:rPr>
      </w:pPr>
    </w:p>
    <w:p w:rsidR="00677D1D" w:rsidRPr="00693C20" w:rsidP="00677D1D">
      <w:pPr>
        <w:bidi w:val="0"/>
        <w:rPr>
          <w:rFonts w:ascii="Times New Roman" w:hAnsi="Times New Roman"/>
          <w:sz w:val="28"/>
          <w:szCs w:val="28"/>
        </w:rPr>
      </w:pPr>
    </w:p>
    <w:p w:rsidR="00677D1D" w:rsidRPr="00693C20" w:rsidP="00677D1D">
      <w:pPr>
        <w:bidi w:val="0"/>
        <w:rPr>
          <w:rFonts w:ascii="Times New Roman" w:hAnsi="Times New Roman"/>
          <w:sz w:val="28"/>
          <w:szCs w:val="28"/>
        </w:rPr>
      </w:pPr>
    </w:p>
    <w:p w:rsidR="00677D1D" w:rsidRPr="00693C20" w:rsidP="00677D1D">
      <w:pPr>
        <w:bidi w:val="0"/>
        <w:rPr>
          <w:rFonts w:ascii="Times New Roman" w:hAnsi="Times New Roman"/>
          <w:sz w:val="28"/>
          <w:szCs w:val="28"/>
        </w:rPr>
      </w:pPr>
    </w:p>
    <w:p w:rsidR="00150BE9" w:rsidP="00CD278C">
      <w:pPr>
        <w:pStyle w:val="Title"/>
        <w:bidi w:val="0"/>
        <w:jc w:val="left"/>
        <w:rPr>
          <w:rFonts w:ascii="Times New Roman" w:hAnsi="Times New Roman"/>
        </w:rPr>
      </w:pPr>
    </w:p>
    <w:p w:rsidR="00150BE9" w:rsidP="00150BE9">
      <w:pPr>
        <w:pStyle w:val="Title"/>
        <w:bidi w:val="0"/>
        <w:rPr>
          <w:rFonts w:ascii="Times New Roman" w:hAnsi="Times New Roman"/>
        </w:rPr>
      </w:pPr>
    </w:p>
    <w:p w:rsidR="00677D1D" w:rsidRPr="00B45C76" w:rsidP="00677D1D">
      <w:pPr>
        <w:pStyle w:val="Title"/>
        <w:bidi w:val="0"/>
        <w:rPr>
          <w:rFonts w:ascii="Times New Roman" w:hAnsi="Times New Roman"/>
        </w:rPr>
      </w:pPr>
      <w:r w:rsidRPr="00B45C76">
        <w:rPr>
          <w:rFonts w:ascii="Times New Roman" w:hAnsi="Times New Roman"/>
        </w:rPr>
        <w:t>DOLOŽKA ZLUČITEĽNOSTI</w:t>
      </w:r>
    </w:p>
    <w:p w:rsidR="00677D1D" w:rsidRPr="00B45C76" w:rsidP="00677D1D">
      <w:pPr>
        <w:pBdr>
          <w:bottom w:val="single" w:sz="12" w:space="1" w:color="auto"/>
        </w:pBdr>
        <w:bidi w:val="0"/>
        <w:jc w:val="center"/>
        <w:rPr>
          <w:rFonts w:ascii="Times New Roman" w:hAnsi="Times New Roman"/>
          <w:b/>
        </w:rPr>
      </w:pPr>
      <w:r w:rsidRPr="00B45C76">
        <w:rPr>
          <w:rFonts w:ascii="Times New Roman" w:hAnsi="Times New Roman"/>
          <w:b/>
        </w:rPr>
        <w:t>návrhu zákona, ktorým sa mení a dopĺňa zákon Slovenskej národnej rady č. 310/1992 Zb.  o stavebnom sporení v znení neskorších predpisov</w:t>
      </w:r>
    </w:p>
    <w:p w:rsidR="00677D1D" w:rsidRPr="00B45C76" w:rsidP="00677D1D">
      <w:pPr>
        <w:bidi w:val="0"/>
        <w:jc w:val="center"/>
        <w:rPr>
          <w:rFonts w:ascii="Times New Roman" w:hAnsi="Times New Roman"/>
          <w:b/>
          <w:bCs/>
        </w:rPr>
      </w:pPr>
    </w:p>
    <w:p w:rsidR="00677D1D" w:rsidRPr="00B45C76" w:rsidP="00677D1D">
      <w:pPr>
        <w:bidi w:val="0"/>
        <w:jc w:val="center"/>
        <w:rPr>
          <w:rFonts w:ascii="Times New Roman" w:hAnsi="Times New Roman"/>
          <w:b/>
          <w:bCs/>
        </w:rPr>
      </w:pPr>
    </w:p>
    <w:p w:rsidR="00677D1D" w:rsidRPr="00B45C76" w:rsidP="00677D1D">
      <w:pPr>
        <w:numPr>
          <w:numId w:val="20"/>
        </w:numPr>
        <w:bidi w:val="0"/>
        <w:spacing w:after="120"/>
        <w:jc w:val="both"/>
        <w:rPr>
          <w:rFonts w:ascii="Times New Roman" w:hAnsi="Times New Roman"/>
        </w:rPr>
      </w:pPr>
      <w:r w:rsidRPr="00B45C76">
        <w:rPr>
          <w:rFonts w:ascii="Times New Roman" w:hAnsi="Times New Roman"/>
          <w:b/>
          <w:bCs/>
        </w:rPr>
        <w:t>Predkladateľ návrhu zákona:</w:t>
      </w:r>
    </w:p>
    <w:p w:rsidR="00677D1D" w:rsidRPr="00B45C76" w:rsidP="00677D1D">
      <w:pPr>
        <w:bidi w:val="0"/>
        <w:ind w:firstLine="425"/>
        <w:jc w:val="both"/>
        <w:rPr>
          <w:rFonts w:ascii="Times New Roman" w:hAnsi="Times New Roman"/>
        </w:rPr>
      </w:pPr>
      <w:r w:rsidRPr="00B45C76">
        <w:rPr>
          <w:rFonts w:ascii="Times New Roman" w:hAnsi="Times New Roman"/>
        </w:rPr>
        <w:t>Vláda Slovenskej republiky.</w:t>
      </w:r>
    </w:p>
    <w:p w:rsidR="00677D1D" w:rsidRPr="00B45C76" w:rsidP="00677D1D">
      <w:pPr>
        <w:bidi w:val="0"/>
        <w:jc w:val="both"/>
        <w:rPr>
          <w:rFonts w:ascii="Times New Roman" w:hAnsi="Times New Roman"/>
          <w:bCs/>
        </w:rPr>
      </w:pPr>
    </w:p>
    <w:p w:rsidR="00677D1D" w:rsidRPr="00B45C76" w:rsidP="00677D1D">
      <w:pPr>
        <w:numPr>
          <w:numId w:val="20"/>
        </w:numPr>
        <w:bidi w:val="0"/>
        <w:spacing w:after="120"/>
        <w:jc w:val="both"/>
        <w:rPr>
          <w:rFonts w:ascii="Times New Roman" w:hAnsi="Times New Roman"/>
          <w:b/>
          <w:bCs/>
        </w:rPr>
      </w:pPr>
      <w:r w:rsidRPr="00B45C76">
        <w:rPr>
          <w:rFonts w:ascii="Times New Roman" w:hAnsi="Times New Roman"/>
          <w:b/>
          <w:bCs/>
        </w:rPr>
        <w:t>Názov návrhu zákona:</w:t>
      </w:r>
    </w:p>
    <w:p w:rsidR="00677D1D" w:rsidRPr="00B45C76" w:rsidP="00677D1D">
      <w:pPr>
        <w:bidi w:val="0"/>
        <w:ind w:left="426"/>
        <w:jc w:val="both"/>
        <w:rPr>
          <w:rFonts w:ascii="Times New Roman" w:hAnsi="Times New Roman"/>
        </w:rPr>
      </w:pPr>
      <w:r w:rsidRPr="00B45C76">
        <w:rPr>
          <w:rFonts w:ascii="Times New Roman" w:hAnsi="Times New Roman"/>
          <w:bCs/>
        </w:rPr>
        <w:t>Návrh zákona, ktorým sa mení a dopĺňa zákon Slovenskej národnej rady č. 310/1992 Zb.  o stavebnom sporení v znení neskorších predpisov</w:t>
      </w:r>
      <w:r w:rsidRPr="00B45C76">
        <w:rPr>
          <w:rFonts w:ascii="Times New Roman" w:hAnsi="Times New Roman"/>
        </w:rPr>
        <w:t>.</w:t>
      </w:r>
    </w:p>
    <w:p w:rsidR="00677D1D" w:rsidRPr="00B45C76" w:rsidP="00677D1D">
      <w:pPr>
        <w:bidi w:val="0"/>
        <w:ind w:left="425"/>
        <w:jc w:val="both"/>
        <w:rPr>
          <w:rFonts w:ascii="Times New Roman" w:hAnsi="Times New Roman"/>
        </w:rPr>
      </w:pPr>
    </w:p>
    <w:p w:rsidR="00677D1D" w:rsidRPr="00B45C76" w:rsidP="00677D1D">
      <w:pPr>
        <w:numPr>
          <w:numId w:val="20"/>
        </w:numPr>
        <w:bidi w:val="0"/>
        <w:spacing w:after="120"/>
        <w:jc w:val="both"/>
        <w:rPr>
          <w:rFonts w:ascii="Times New Roman" w:hAnsi="Times New Roman"/>
          <w:b/>
          <w:bCs/>
        </w:rPr>
      </w:pPr>
      <w:r w:rsidRPr="00B45C76">
        <w:rPr>
          <w:rFonts w:ascii="Times New Roman" w:hAnsi="Times New Roman"/>
          <w:b/>
          <w:bCs/>
        </w:rPr>
        <w:t xml:space="preserve">Problematika návrhu zákona: </w:t>
      </w:r>
    </w:p>
    <w:p w:rsidR="00677D1D" w:rsidRPr="00B45C76" w:rsidP="00677D1D">
      <w:pPr>
        <w:pStyle w:val="BodyText"/>
        <w:widowControl/>
        <w:numPr>
          <w:ilvl w:val="1"/>
          <w:numId w:val="20"/>
        </w:numPr>
        <w:bidi w:val="0"/>
        <w:spacing w:after="240"/>
        <w:rPr>
          <w:rFonts w:ascii="Times New Roman" w:hAnsi="Times New Roman"/>
        </w:rPr>
      </w:pPr>
      <w:r w:rsidRPr="00B45C76">
        <w:rPr>
          <w:rFonts w:ascii="Times New Roman" w:hAnsi="Times New Roman"/>
        </w:rPr>
        <w:t>nie je upravená v práve Európskej únie,</w:t>
      </w:r>
    </w:p>
    <w:p w:rsidR="00677D1D" w:rsidRPr="00B45C76" w:rsidP="00677D1D">
      <w:pPr>
        <w:pStyle w:val="BodyText"/>
        <w:widowControl/>
        <w:numPr>
          <w:ilvl w:val="1"/>
          <w:numId w:val="20"/>
        </w:numPr>
        <w:bidi w:val="0"/>
        <w:spacing w:after="120"/>
        <w:jc w:val="both"/>
        <w:rPr>
          <w:rFonts w:ascii="Times New Roman" w:hAnsi="Times New Roman"/>
        </w:rPr>
      </w:pPr>
      <w:r w:rsidRPr="00B45C76">
        <w:rPr>
          <w:rFonts w:ascii="Times New Roman" w:hAnsi="Times New Roman"/>
        </w:rPr>
        <w:t>nie je obsiahnutá v judikatúre Súdneho dvora Európskej únie.</w:t>
      </w:r>
    </w:p>
    <w:p w:rsidR="00677D1D" w:rsidRPr="00B45C76" w:rsidP="00677D1D">
      <w:pPr>
        <w:pStyle w:val="BodyTextIndent"/>
        <w:bidi w:val="0"/>
        <w:rPr>
          <w:rFonts w:ascii="Times New Roman" w:hAnsi="Times New Roman"/>
          <w:b/>
          <w:bCs/>
          <w:u w:val="single"/>
        </w:rPr>
      </w:pPr>
    </w:p>
    <w:p w:rsidR="00677D1D" w:rsidRPr="00B45C76" w:rsidP="00677D1D">
      <w:pPr>
        <w:pStyle w:val="BodyTextIndent"/>
        <w:bidi w:val="0"/>
        <w:ind w:firstLine="425"/>
        <w:rPr>
          <w:rFonts w:ascii="Times New Roman" w:hAnsi="Times New Roman"/>
          <w:b/>
          <w:bCs/>
        </w:rPr>
      </w:pPr>
      <w:r w:rsidRPr="00B45C76">
        <w:rPr>
          <w:rFonts w:ascii="Times New Roman" w:hAnsi="Times New Roman"/>
          <w:b/>
          <w:bCs/>
        </w:rPr>
        <w:t>Vzhľadom na vnútroštátny charakter navrhovaného právneho predpisu je bezpredmetné vyjadrovať sa k bodom 4., 5. a 6. doložky zlučiteľnosti.</w:t>
      </w:r>
    </w:p>
    <w:p w:rsidR="00677D1D" w:rsidRPr="00B45C76" w:rsidP="00677D1D">
      <w:pPr>
        <w:bidi w:val="0"/>
        <w:rPr>
          <w:rFonts w:ascii="Times New Roman" w:hAnsi="Times New Roman"/>
        </w:rPr>
      </w:pPr>
    </w:p>
    <w:p w:rsidR="00150BE9" w:rsidP="00150BE9">
      <w:pPr>
        <w:bidi w:val="0"/>
        <w:spacing w:after="120"/>
        <w:ind w:left="360"/>
        <w:jc w:val="both"/>
        <w:rPr>
          <w:rFonts w:ascii="Times New Roman" w:hAnsi="Times New Roman"/>
        </w:rPr>
      </w:pPr>
    </w:p>
    <w:p w:rsidR="00677D1D" w:rsidP="00150BE9">
      <w:pPr>
        <w:bidi w:val="0"/>
        <w:spacing w:after="120"/>
        <w:ind w:left="360"/>
        <w:jc w:val="both"/>
        <w:rPr>
          <w:rFonts w:ascii="Times New Roman" w:hAnsi="Times New Roman"/>
        </w:rPr>
      </w:pPr>
    </w:p>
    <w:p w:rsidR="00677D1D" w:rsidRPr="00F4066A" w:rsidP="00150BE9">
      <w:pPr>
        <w:bidi w:val="0"/>
        <w:spacing w:after="120"/>
        <w:ind w:left="360"/>
        <w:jc w:val="both"/>
        <w:rPr>
          <w:rFonts w:ascii="Times New Roman" w:hAnsi="Times New Roman"/>
        </w:rPr>
      </w:pPr>
    </w:p>
    <w:p w:rsidR="00150BE9" w:rsidP="00150BE9">
      <w:pPr>
        <w:bidi w:val="0"/>
        <w:rPr>
          <w:rFonts w:ascii="Times New Roman" w:hAnsi="Times New Roman"/>
          <w:b/>
        </w:rPr>
      </w:pPr>
    </w:p>
    <w:p w:rsidR="00124802" w:rsidP="00124802">
      <w:pPr>
        <w:bidi w:val="0"/>
        <w:rPr>
          <w:rFonts w:ascii="Times New Roman" w:hAnsi="Times New Roman"/>
          <w:b/>
        </w:rPr>
      </w:pPr>
    </w:p>
    <w:p w:rsidR="00124802" w:rsidP="00124802">
      <w:pPr>
        <w:bidi w:val="0"/>
        <w:rPr>
          <w:rFonts w:ascii="Times New Roman" w:hAnsi="Times New Roman"/>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P="00150BE9">
      <w:pPr>
        <w:pStyle w:val="BodyText"/>
        <w:widowControl/>
        <w:bidi w:val="0"/>
        <w:jc w:val="both"/>
        <w:rPr>
          <w:rFonts w:ascii="Times New Roman" w:hAnsi="Times New Roman"/>
          <w:b/>
          <w:bCs/>
          <w:color w:val="auto"/>
        </w:rPr>
      </w:pPr>
    </w:p>
    <w:p w:rsidR="00150BE9" w:rsidRPr="004E35BC" w:rsidP="00150BE9">
      <w:pPr>
        <w:pStyle w:val="BodyText"/>
        <w:widowControl/>
        <w:bidi w:val="0"/>
        <w:jc w:val="both"/>
        <w:rPr>
          <w:rFonts w:ascii="Times New Roman" w:hAnsi="Times New Roman"/>
          <w:b/>
          <w:bCs/>
          <w:color w:val="auto"/>
          <w:u w:val="single"/>
        </w:rPr>
      </w:pPr>
      <w:r w:rsidRPr="004E35BC">
        <w:rPr>
          <w:rFonts w:ascii="Times New Roman" w:hAnsi="Times New Roman"/>
          <w:b/>
          <w:bCs/>
          <w:color w:val="auto"/>
        </w:rPr>
        <w:t>Osobitná časť</w:t>
      </w:r>
      <w:r w:rsidRPr="004E35BC">
        <w:rPr>
          <w:rFonts w:ascii="Times New Roman" w:hAnsi="Times New Roman"/>
          <w:b/>
          <w:bCs/>
          <w:color w:val="auto"/>
          <w:u w:val="single"/>
        </w:rPr>
        <w:t xml:space="preserve"> </w:t>
      </w:r>
    </w:p>
    <w:p w:rsidR="00150BE9" w:rsidRPr="004E35BC" w:rsidP="00150BE9">
      <w:pPr>
        <w:pStyle w:val="BodyText"/>
        <w:widowControl/>
        <w:bidi w:val="0"/>
        <w:rPr>
          <w:rFonts w:ascii="Times New Roman" w:hAnsi="Times New Roman"/>
          <w:b/>
          <w:bCs/>
          <w:color w:val="auto"/>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Čl. I</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w:t>
      </w:r>
    </w:p>
    <w:p w:rsidR="00821BD4" w:rsidP="00821BD4">
      <w:pPr>
        <w:tabs>
          <w:tab w:val="left" w:pos="720"/>
        </w:tabs>
        <w:bidi w:val="0"/>
        <w:jc w:val="both"/>
        <w:rPr>
          <w:rFonts w:ascii="Times New Roman" w:hAnsi="Times New Roman"/>
        </w:rPr>
      </w:pPr>
      <w:r>
        <w:rPr>
          <w:rFonts w:ascii="Times New Roman" w:hAnsi="Times New Roman"/>
        </w:rPr>
        <w:t>Navrhuje sa nanovo zadefinovať stavebné sporenie ako bankový produkt, v rámci ktorého môže stavebný sporiteľ sporiť finančné prostriedky na stavebné účely uvedené v § 11 a na základe ktorého môže za podmienok ustanovených týmto zákonom získať nárok na štátnu prémiu a nárok na stavebný úver. Stavebné sporenie bude môcť poskytovať (nie vykonávať) len stavebná sporiteľa, ktorou je banka, ktorá vykonáva tieto bankové činnosti: prijímanie vkladov od stavebných sporiteľov alebo</w:t>
      </w:r>
      <w:r w:rsidRPr="00746B82">
        <w:rPr>
          <w:rFonts w:ascii="Times New Roman" w:hAnsi="Times New Roman"/>
        </w:rPr>
        <w:t xml:space="preserve"> </w:t>
      </w:r>
      <w:r>
        <w:rPr>
          <w:rFonts w:ascii="Times New Roman" w:hAnsi="Times New Roman"/>
        </w:rPr>
        <w:t xml:space="preserve">v prospech stavebných sporiteľov a poskytovanie stavebných úverov. Dôvodom navrhovanej úpravy je fakt, že zo všetkých ostatných ustanovení zákona vyplýva, že stavebné sporenie je sporiaci produkt, ktorý stavebná sporiteľňa poskytuje na základe zmluvy o stavebnom sporení. Zmluvou o stavebnom sporení sa neupravujú činnosti stavebnej sporiteľne, ktorými sú prijímanie vkladov od stavebných sporiteľov alebo v prospech stavebných sporiteľov, poskytovane stavebných úverov ako aj iné činnosti ustanovené v doterajšom § 2 ods. 3 (po novom odsek 4). Vykonávanie činností stavebnej sporiteľne ustanovuje zákon o stavebnom sporení v spojení so zákonom o bankách, pričom zákon o stavebnom sporení je v postavení </w:t>
      </w:r>
      <w:r w:rsidRPr="00821BD4">
        <w:rPr>
          <w:rFonts w:ascii="Times New Roman" w:hAnsi="Times New Roman"/>
        </w:rPr>
        <w:t>lex-specialis</w:t>
      </w:r>
      <w:r>
        <w:rPr>
          <w:rFonts w:ascii="Times New Roman" w:hAnsi="Times New Roman"/>
        </w:rPr>
        <w:t xml:space="preserve">.              </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bodom 2, 3, 4, 7 a 8</w:t>
      </w:r>
    </w:p>
    <w:p w:rsidR="00821BD4" w:rsidP="00821BD4">
      <w:pPr>
        <w:tabs>
          <w:tab w:val="left" w:pos="720"/>
        </w:tabs>
        <w:bidi w:val="0"/>
        <w:jc w:val="both"/>
        <w:rPr>
          <w:rFonts w:ascii="Times New Roman" w:hAnsi="Times New Roman"/>
        </w:rPr>
      </w:pPr>
      <w:r>
        <w:rPr>
          <w:rFonts w:ascii="Times New Roman" w:hAnsi="Times New Roman"/>
        </w:rPr>
        <w:t>Ide o legislatívno-gramatické úpravy vyplývajúce z novej definície stavebného sporenia.</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5</w:t>
      </w:r>
    </w:p>
    <w:p w:rsidR="00821BD4" w:rsidP="00821BD4">
      <w:pPr>
        <w:tabs>
          <w:tab w:val="left" w:pos="720"/>
        </w:tabs>
        <w:bidi w:val="0"/>
        <w:jc w:val="both"/>
        <w:rPr>
          <w:rFonts w:ascii="Times New Roman" w:hAnsi="Times New Roman"/>
        </w:rPr>
      </w:pPr>
      <w:r>
        <w:rPr>
          <w:rFonts w:ascii="Times New Roman" w:hAnsi="Times New Roman"/>
        </w:rPr>
        <w:t xml:space="preserve">Z dôvodu, že návrhom zákona sa stavebnému sporiteľovi – fyzickej osobe obmedzuje nárok na štátnu prémiu počas čerpania a splácania stavebného úveru poskytnutého za komerčných podmienok, je na účely oprávnenosti sledovania nárokov na štátnu prémiu nevyhnutné zabezpečiť do centrálnej evidencie predkladanie ďalších údajov, a to konkrétne dátumu poskytnutia a dátumu splatenia takéhoto úveru.             </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6</w:t>
      </w:r>
    </w:p>
    <w:p w:rsidR="00821BD4" w:rsidP="00821BD4">
      <w:pPr>
        <w:tabs>
          <w:tab w:val="left" w:pos="720"/>
        </w:tabs>
        <w:bidi w:val="0"/>
        <w:jc w:val="both"/>
        <w:rPr>
          <w:rFonts w:ascii="Times New Roman" w:hAnsi="Times New Roman"/>
        </w:rPr>
      </w:pPr>
      <w:r>
        <w:rPr>
          <w:rFonts w:ascii="Times New Roman" w:hAnsi="Times New Roman"/>
        </w:rPr>
        <w:t>Legislatívna úprava z dôvodu zmeny názvu príslušného ministerstva, ktoré má v kompetencii vyplácanie štátnej prémie.</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9</w:t>
      </w:r>
    </w:p>
    <w:p w:rsidR="00821BD4" w:rsidRPr="00821BD4" w:rsidP="00821BD4">
      <w:pPr>
        <w:tabs>
          <w:tab w:val="left" w:pos="720"/>
        </w:tabs>
        <w:bidi w:val="0"/>
        <w:jc w:val="both"/>
        <w:rPr>
          <w:rFonts w:ascii="Times New Roman" w:hAnsi="Times New Roman"/>
        </w:rPr>
      </w:pPr>
      <w:r w:rsidRPr="00821BD4">
        <w:rPr>
          <w:rFonts w:ascii="Times New Roman" w:hAnsi="Times New Roman"/>
        </w:rPr>
        <w:t>Legislatívno-technická úprava z dôvodu prečíslovania odseku 3 v § 2 zákona na odsek 4.</w:t>
      </w:r>
    </w:p>
    <w:p w:rsidR="00821BD4" w:rsidP="00821BD4">
      <w:pPr>
        <w:tabs>
          <w:tab w:val="left" w:pos="720"/>
        </w:tabs>
        <w:bidi w:val="0"/>
        <w:jc w:val="both"/>
        <w:rPr>
          <w:rFonts w:ascii="Times New Roman" w:hAnsi="Times New Roman"/>
        </w:rPr>
      </w:pPr>
      <w:r>
        <w:rPr>
          <w:rFonts w:ascii="Times New Roman" w:hAnsi="Times New Roman"/>
        </w:rPr>
        <w:t xml:space="preserve"> </w:t>
      </w: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10</w:t>
      </w:r>
    </w:p>
    <w:p w:rsidR="00821BD4" w:rsidP="00821BD4">
      <w:pPr>
        <w:tabs>
          <w:tab w:val="left" w:pos="720"/>
        </w:tabs>
        <w:bidi w:val="0"/>
        <w:jc w:val="both"/>
        <w:rPr>
          <w:rFonts w:ascii="Times New Roman" w:hAnsi="Times New Roman"/>
        </w:rPr>
      </w:pPr>
      <w:r>
        <w:rPr>
          <w:rFonts w:ascii="Times New Roman" w:hAnsi="Times New Roman"/>
        </w:rPr>
        <w:t>Ide o legislatívno-gramatické vyprecizovanie ustanovenia § 9 ods. 2 na základe jeho doterajšej praktickej aplikácie, z ktorej vyplýva, že výška stavebného úveru sa nemusí vždy presne rovnať rozdielu medzi cieľovou sumou a nasporenou sumou, pričom zámerom zákonodarcu je, aby výška stavebného úveru tento rozdiel nepresiahla z dôvodu, aby nedochádzalo k neprimeranému zadlžovaniu sa stavebných sporiteľov.</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11</w:t>
      </w:r>
    </w:p>
    <w:p w:rsidR="00821BD4" w:rsidP="00821BD4">
      <w:pPr>
        <w:tabs>
          <w:tab w:val="left" w:pos="720"/>
        </w:tabs>
        <w:bidi w:val="0"/>
        <w:jc w:val="both"/>
        <w:rPr>
          <w:rFonts w:ascii="Times New Roman" w:hAnsi="Times New Roman"/>
        </w:rPr>
      </w:pPr>
      <w:r>
        <w:rPr>
          <w:rFonts w:ascii="Times New Roman" w:hAnsi="Times New Roman"/>
        </w:rPr>
        <w:t xml:space="preserve">Novým znením odseku 1 v § 10 sa ustanoví, že pri stavebných sporiteľoch, ktorí nie sú plnoletými osobami, sa štátna prémia bude vyplácať bez obmedzenia z hľadiska výšky ich zdaniteľných príjmov. Zároveň sa však navrhuje zúžiť okruh stavebných sporiteľov, ktorým môže byť poskytnutá štátna prémia, a to tak, že stavební sporitelia – plnoleté fyzické osoby budú mať nárok na štátnu prémiu za príslušný kalendárny rok len vtedy, ak </w:t>
      </w:r>
      <w:r w:rsidRPr="00B722DC">
        <w:rPr>
          <w:rFonts w:ascii="Times New Roman" w:hAnsi="Times New Roman"/>
        </w:rPr>
        <w:t>ich priemern</w:t>
      </w:r>
      <w:r>
        <w:rPr>
          <w:rFonts w:ascii="Times New Roman" w:hAnsi="Times New Roman"/>
        </w:rPr>
        <w:t xml:space="preserve">ý mesačný zdaniteľný </w:t>
      </w:r>
      <w:r w:rsidRPr="00B722DC">
        <w:rPr>
          <w:rFonts w:ascii="Times New Roman" w:hAnsi="Times New Roman"/>
        </w:rPr>
        <w:t>príj</w:t>
      </w:r>
      <w:r>
        <w:rPr>
          <w:rFonts w:ascii="Times New Roman" w:hAnsi="Times New Roman"/>
        </w:rPr>
        <w:t>e</w:t>
      </w:r>
      <w:r w:rsidRPr="00B722DC">
        <w:rPr>
          <w:rFonts w:ascii="Times New Roman" w:hAnsi="Times New Roman"/>
        </w:rPr>
        <w:t>m</w:t>
      </w:r>
      <w:r>
        <w:rPr>
          <w:rFonts w:ascii="Times New Roman" w:hAnsi="Times New Roman"/>
        </w:rPr>
        <w:t xml:space="preserve"> za predchádzajúci kalendárny rok je najviac </w:t>
      </w:r>
      <w:r w:rsidRPr="00B722DC">
        <w:rPr>
          <w:rFonts w:ascii="Times New Roman" w:hAnsi="Times New Roman"/>
        </w:rPr>
        <w:t>1,3 násob</w:t>
      </w:r>
      <w:r>
        <w:rPr>
          <w:rFonts w:ascii="Times New Roman" w:hAnsi="Times New Roman"/>
        </w:rPr>
        <w:t xml:space="preserve">ok </w:t>
      </w:r>
      <w:r w:rsidRPr="00B722DC">
        <w:rPr>
          <w:rFonts w:ascii="Times New Roman" w:hAnsi="Times New Roman"/>
        </w:rPr>
        <w:t>priemernej mesačnej nominálnej mzdy v národnom hospodárstve</w:t>
      </w:r>
      <w:r>
        <w:rPr>
          <w:rFonts w:ascii="Times New Roman" w:hAnsi="Times New Roman"/>
        </w:rPr>
        <w:t xml:space="preserve">, a to z dôvodu zvýšenia adresnosti poskytovania štátnej podpory stavebného sporenia. Pojem „plnoletá fyzická osoba“ sa navrhuje použiť z dôvodu, aby zahrnul aj tie osoby, ktoré nadobudli plnoletosť uzavretím manželstva (§ 8 ods. 2 Občianskeho zákonníka), aj keď tieto osoby ešte nedovŕšili 18 rokov veku. Testovať sa bude príjem za kalendárny rok predchádzajúci kalendárnemu roku, za ktorý sa uplatňuje štátna prémia z toho dôvodu, že zdaniteľné príjmy za príslušný kalendárny rok sú úplne známe a zaevidované v informačnom systéme Finančnej správy SR až ku koncu októbra nasledujúceho kalendárneho roka (napríklad z dôvodu odkladu podania daňového priznania), t. j. kalendárneho roka, za ktorý sa uplatňuje štátna prémia. </w:t>
      </w:r>
    </w:p>
    <w:p w:rsidR="00821BD4" w:rsidRPr="00821BD4" w:rsidP="00821BD4">
      <w:pPr>
        <w:tabs>
          <w:tab w:val="left" w:pos="720"/>
        </w:tabs>
        <w:bidi w:val="0"/>
        <w:jc w:val="both"/>
        <w:rPr>
          <w:rFonts w:ascii="Times New Roman" w:hAnsi="Times New Roman"/>
        </w:rPr>
      </w:pPr>
      <w:r w:rsidRPr="00821BD4">
        <w:rPr>
          <w:rFonts w:ascii="Times New Roman" w:hAnsi="Times New Roman"/>
        </w:rPr>
        <w:t>Novým znením odseku 2 sa na účely uplatňovania nárokov stavebných sporiteľov – plnoletých osôb na štátnu prémiu dopĺňa doterajšie znenie tohto ustanovenia o elektronické poskytovanie údajov o úhrne ich zdaniteľných príjmov zo strany Finančného riaditeľstva SR pre stavebné sporiteľne na základe ich požiadavky zaslanej elektronicky, ktorá musí obsahovať údaje za takéhoto sporiteľa v rozsahu meno, priezvisko, rodné číslo a adresa trvalého pobytu. Ak nemá pridelené rodné číslo, uvedie sa dátum narodenia. Podrobnosti o poskytovaní týchto údajov a o tejto požiadavke sa upravia v dohode, ktorú uzavrie stavebná sporiteľňa s Finančným riaditeľstvom SR. Porovnanie získaných údajov o úhrne zdaniteľných príjmov s 1,3 násobkom priemernej mzdy už vykoná stavebná sporiteľňa. Zodpovednosť za správne uplatňovanie nárokov na štátnu prémiu tak zostáva na stavebnej sporiteľni ako to vyplýva z platného ustanovenia § 10b ods. 4 zákona.</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    </w:t>
      </w: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12</w:t>
      </w:r>
    </w:p>
    <w:p w:rsidR="00821BD4" w:rsidRPr="00821BD4" w:rsidP="00821BD4">
      <w:pPr>
        <w:tabs>
          <w:tab w:val="left" w:pos="720"/>
        </w:tabs>
        <w:bidi w:val="0"/>
        <w:jc w:val="both"/>
        <w:rPr>
          <w:rFonts w:ascii="Times New Roman" w:hAnsi="Times New Roman"/>
        </w:rPr>
      </w:pPr>
      <w:r>
        <w:rPr>
          <w:rFonts w:ascii="Times New Roman" w:hAnsi="Times New Roman"/>
        </w:rPr>
        <w:t xml:space="preserve">Navrhuje sa znížiť spodnú hranicu percentuálnej výšky štátnej prémie z 5 % na 2,5 % z ročného vkladu, a to z dôvodu, že súčasná minimálna percentuálna výška štátnej prémie výrazne prevyšuje priemerné trhové úrokové sadzby na vkladových produktoch v komerčných bankách. Vzhľadom na to, že sa touto zmenou vstupuje do ustanovenia, ktorým je upravená aj maximálna suma štátnej prémie a ktorá je ešte stále vyjadrená v slovenských korunách (2 000 Sk; v prepočte konverzným kurzom 66,39 eura), navrhuje sa maximálnu sumu štátnej prémie ustanoviť na 70 eur (zaokrúhlením na celé desiatky nahor v prospech stavebných sporiteľov).              </w:t>
      </w: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13</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Novým znením prvej vety odseku 6 v § 10 zákona sa ustanovuje osobitné limitovanie nároku na štátnu prémiu zo zmluvy o stavebnom sporení uzavretej počas kalendárneho roka, ak táto zmluva bola uzavretá až v druhej polovici tohto kalendárneho roka, </w:t>
      </w:r>
      <w:r w:rsidRPr="00946E7E">
        <w:rPr>
          <w:rFonts w:ascii="Times New Roman" w:hAnsi="Times New Roman"/>
        </w:rPr>
        <w:t>a to z dôvodu, že </w:t>
      </w:r>
      <w:r>
        <w:rPr>
          <w:rFonts w:ascii="Times New Roman" w:hAnsi="Times New Roman"/>
        </w:rPr>
        <w:t xml:space="preserve">v </w:t>
      </w:r>
      <w:r w:rsidRPr="00946E7E">
        <w:rPr>
          <w:rFonts w:ascii="Times New Roman" w:hAnsi="Times New Roman"/>
        </w:rPr>
        <w:t xml:space="preserve">súčasnosti zákon umožňuje získať plnú „celoročnú“ </w:t>
      </w:r>
      <w:r>
        <w:rPr>
          <w:rFonts w:ascii="Times New Roman" w:hAnsi="Times New Roman"/>
        </w:rPr>
        <w:t xml:space="preserve">sumu </w:t>
      </w:r>
      <w:r w:rsidRPr="00946E7E">
        <w:rPr>
          <w:rFonts w:ascii="Times New Roman" w:hAnsi="Times New Roman"/>
        </w:rPr>
        <w:t xml:space="preserve">štátnej prémie za kalendárny rok aj keď bola zmluva o stavebnom sporení uzavretá až </w:t>
      </w:r>
      <w:r>
        <w:rPr>
          <w:rFonts w:ascii="Times New Roman" w:hAnsi="Times New Roman"/>
        </w:rPr>
        <w:t xml:space="preserve">ku koncu </w:t>
      </w:r>
      <w:r w:rsidRPr="00946E7E">
        <w:rPr>
          <w:rFonts w:ascii="Times New Roman" w:hAnsi="Times New Roman"/>
        </w:rPr>
        <w:t>kalendárneho roka a stavebný sporiteľ do konca kalendárneho roka vložil na účet stavebného sporenia plný efektívny vklad.</w:t>
      </w:r>
      <w:r>
        <w:rPr>
          <w:rFonts w:ascii="Times New Roman" w:hAnsi="Times New Roman"/>
        </w:rPr>
        <w:t xml:space="preserve"> To znamená, že štátna prémia sa za prvý rok sporenia bude primárne určovať percentuálnym podielom z ročného vkladu tak, ako to ustanovuje § 10 ods. 3, bude však limitová 1/2 z maximálnej sumy štátnej prémie ustanovenej v § 10 ods. 3, ak zmluva o stavebnom sporení bola uzavretá až v druhom polroku tohto prvého roka. Novým znením druhej vety v odseku 6 s</w:t>
      </w:r>
      <w:r w:rsidRPr="00821BD4">
        <w:rPr>
          <w:rFonts w:ascii="Times New Roman" w:hAnsi="Times New Roman"/>
        </w:rPr>
        <w:t xml:space="preserve">a precizuje ustanovenie týkajúce sa obmedzenia nároku na štátnu prémiu </w:t>
      </w:r>
      <w:r>
        <w:rPr>
          <w:rFonts w:ascii="Times New Roman" w:hAnsi="Times New Roman"/>
        </w:rPr>
        <w:t xml:space="preserve">za kalendárny rok, v ktorom vyplynul nárok na štátnu prémiu zo zmluvy o stavebnom sporení zrušenej počas kalendárneho roka a zároveň vznikol nárok na štátnu prémiu z novej zmluvy uzavretej počas toho istého kalendárneho roka, a to tak, aby </w:t>
      </w:r>
      <w:r w:rsidRPr="00821BD4">
        <w:rPr>
          <w:rFonts w:ascii="Times New Roman" w:hAnsi="Times New Roman"/>
        </w:rPr>
        <w:t xml:space="preserve">bolo jednoznačné, že štátna prémia za tento kalendárny rok z oboch týchto zmlúv spolu nesmie presiahnuť maximálnu sumu štátnej prémie ustanovenú v § 10 ods. 3, pričom zároveň bude platiť, že pri limitovaní nároku na štátnu prémiu z novouzavretej zmluvy v tomto kalendárnom roku sa bude postupovať podľa prvej vety odseku 6. Rovnako nebudú dotknuté ustanovenia odseku 4 v tom zmysle, že ak stavebný sporiteľ uzatvorí viacero nových zmlúv v kalendárnom roku, prémiové zvýhodnenie si môže uplatniť len na jednu z nich, pričom obdobie prémiového zvýhodnenia novej zmluvy uzavretej počas kalendárneho roka sa nesmie prekrývať s obdobím prémiového zvýhodnenia zmluvy, ktorá sa počas toho istého kalendárneho roka zruší.       </w:t>
      </w: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14</w:t>
      </w:r>
    </w:p>
    <w:p w:rsidR="00821BD4" w:rsidRPr="00821BD4" w:rsidP="00821BD4">
      <w:pPr>
        <w:tabs>
          <w:tab w:val="left" w:pos="720"/>
        </w:tabs>
        <w:bidi w:val="0"/>
        <w:jc w:val="both"/>
        <w:rPr>
          <w:rFonts w:ascii="Times New Roman" w:hAnsi="Times New Roman"/>
        </w:rPr>
      </w:pPr>
      <w:r>
        <w:rPr>
          <w:rFonts w:ascii="Times New Roman" w:hAnsi="Times New Roman"/>
        </w:rPr>
        <w:t>Nové znenie § 10a ods. 1 zákona sa týka zrušenia inštitútu tzv. priateľských sporiteľov. Úpravou tohto odseku 1, ktorý ustanovuje podmienky zániku nároku na štátnu prémiu, sa zadefinuje, že okrem nedodržania podmienok na poskytnutie štátnej prémie ustanovených zákonom alebo dohodnutých v zmluve o stavebnom sporení (doterajšie znenie § 10a ods. 1 zákona) nárok na štátnu zaniká aj v prípade, ak (i) stavebný sporiteľ zruší zmluvu o stavebnom sporení do dvoch rokov od jej uzatvorenia alebo (ii) zruší zmluvu o stavebnom sporení po dvoch rokoch od jej uzatvorenia a prostriedky získané stavebným sporením vrátane poskytnutej štátnej prémie nepoužije na stavebné účely uvedené v § 11, pričom „do dvoch rokov“ znamená vrátane posledného dňa druhého roka odo dňa uzatvorenia zmluvy a „po dvoch rokoch“ znamená od prvého dňa tretieho roka odo dňa uzatvorenia zmluvy. Touto novou právnou úpravou sa zabezpečí účelovosť štátnej podpory stavebného sporenia.</w:t>
        <w:br/>
        <w:t xml:space="preserve">Odsek 2 v rámci nového znenia § 10a (upresnenie pôvodného odseku 3) sa vyprecizuje tak, aby bolo jednoznačné, že ak dôjde k zrušeniu zmluvy o stavebnom sporení v dôsledku smrti alebo invalidity stavebného sporiteľa, prostriedky získané stavebným sporením vrátane poskytnutej štátnej prémie sa nemusia </w:t>
      </w:r>
      <w:r w:rsidRPr="00C07402">
        <w:rPr>
          <w:rFonts w:ascii="Times New Roman" w:hAnsi="Times New Roman"/>
        </w:rPr>
        <w:t>použi</w:t>
      </w:r>
      <w:r>
        <w:rPr>
          <w:rFonts w:ascii="Times New Roman" w:hAnsi="Times New Roman"/>
        </w:rPr>
        <w:t xml:space="preserve">ť </w:t>
      </w:r>
      <w:r w:rsidRPr="00C07402">
        <w:rPr>
          <w:rFonts w:ascii="Times New Roman" w:hAnsi="Times New Roman"/>
        </w:rPr>
        <w:t>na stavebné účely</w:t>
      </w:r>
      <w:r>
        <w:rPr>
          <w:rFonts w:ascii="Times New Roman" w:hAnsi="Times New Roman"/>
        </w:rPr>
        <w:t xml:space="preserve">. Z tohto dôvodu sa zavádza aj príslušná výnimka v odseku 1 písm. a) a b). Odsekom 3 v rámci nového znenia § 10a zákona sa ustanoví, že stavebnému sporiteľovi – fyzickej osobe nepatrí štátna prémia za kalendárny rok, v ktorom čerpá stavebný úver poskytnutý za komerčných podmienok, tzv. medziúver, ako aj za každý ďalší kalendárny rok až do úplného splatenia takéhoto </w:t>
      </w:r>
      <w:r w:rsidRPr="00DF58A1">
        <w:rPr>
          <w:rFonts w:ascii="Times New Roman" w:hAnsi="Times New Roman"/>
        </w:rPr>
        <w:t>úveru. Zrušenie poberania štátnej prémie počas čerpania a splácania medziúveru</w:t>
      </w:r>
      <w:r>
        <w:rPr>
          <w:rFonts w:ascii="Times New Roman" w:hAnsi="Times New Roman"/>
        </w:rPr>
        <w:t xml:space="preserve">, ktorý je menej výhodný, </w:t>
      </w:r>
      <w:r w:rsidRPr="00DF58A1">
        <w:rPr>
          <w:rFonts w:ascii="Times New Roman" w:hAnsi="Times New Roman"/>
        </w:rPr>
        <w:t xml:space="preserve">by malo viesť stavebných sporiteľov k zodpovednému zadlžovaniu sa, pretože budú viac motivovaní k dlhodobému sporeniu, ktoré je podporované štátnou prémiou, </w:t>
      </w:r>
      <w:r>
        <w:rPr>
          <w:rFonts w:ascii="Times New Roman" w:hAnsi="Times New Roman"/>
        </w:rPr>
        <w:t xml:space="preserve">pričom po nasporení požadovanej sumy majú možnosť získať aj </w:t>
      </w:r>
      <w:r w:rsidRPr="00DF58A1">
        <w:rPr>
          <w:rFonts w:ascii="Times New Roman" w:hAnsi="Times New Roman"/>
        </w:rPr>
        <w:t>zvýhodnen</w:t>
      </w:r>
      <w:r>
        <w:rPr>
          <w:rFonts w:ascii="Times New Roman" w:hAnsi="Times New Roman"/>
        </w:rPr>
        <w:t xml:space="preserve">ý </w:t>
      </w:r>
      <w:r w:rsidRPr="00DF58A1">
        <w:rPr>
          <w:rFonts w:ascii="Times New Roman" w:hAnsi="Times New Roman"/>
        </w:rPr>
        <w:t>stavebn</w:t>
      </w:r>
      <w:r>
        <w:rPr>
          <w:rFonts w:ascii="Times New Roman" w:hAnsi="Times New Roman"/>
        </w:rPr>
        <w:t>ý</w:t>
      </w:r>
      <w:r w:rsidRPr="00DF58A1">
        <w:rPr>
          <w:rFonts w:ascii="Times New Roman" w:hAnsi="Times New Roman"/>
        </w:rPr>
        <w:t xml:space="preserve"> úver.</w:t>
      </w:r>
      <w:r w:rsidRPr="00821BD4">
        <w:rPr>
          <w:rFonts w:ascii="Times New Roman" w:hAnsi="Times New Roman"/>
        </w:rPr>
        <w:t xml:space="preserve"> </w:t>
      </w:r>
      <w:r>
        <w:rPr>
          <w:rFonts w:ascii="Times New Roman" w:hAnsi="Times New Roman"/>
        </w:rPr>
        <w:t xml:space="preserve">V rámci nového znenia odseku 4 sa pre upresnenie jeho doterajšieho znenia vložilo za slovo „vrátiť“ slovo „poskytnutú“. </w:t>
      </w:r>
    </w:p>
    <w:p w:rsid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15</w:t>
      </w:r>
    </w:p>
    <w:p w:rsidR="00821BD4" w:rsidP="00821BD4">
      <w:pPr>
        <w:tabs>
          <w:tab w:val="left" w:pos="720"/>
        </w:tabs>
        <w:bidi w:val="0"/>
        <w:jc w:val="both"/>
        <w:rPr>
          <w:rFonts w:ascii="Times New Roman" w:hAnsi="Times New Roman"/>
        </w:rPr>
      </w:pPr>
      <w:r>
        <w:rPr>
          <w:rFonts w:ascii="Times New Roman" w:hAnsi="Times New Roman"/>
        </w:rPr>
        <w:t>Z dôvodu potreby preverovania zdaniteľných príjmov pri plnoletých fyzických osobách – stavebných sporiteľoch sa o mesiac (30 dní) predlžuje lehota pre stavebnú sporiteľňu na uplatnenie nárokov stavebných sporiteľov na štátnu prémiu.</w:t>
      </w:r>
    </w:p>
    <w:p w:rsidR="00821BD4" w:rsidP="00821BD4">
      <w:pPr>
        <w:tabs>
          <w:tab w:val="left" w:pos="720"/>
        </w:tabs>
        <w:bidi w:val="0"/>
        <w:jc w:val="both"/>
        <w:rPr>
          <w:rFonts w:ascii="Times New Roman" w:hAnsi="Times New Roman"/>
        </w:rPr>
      </w:pPr>
      <w:r>
        <w:rPr>
          <w:rFonts w:ascii="Times New Roman" w:hAnsi="Times New Roman"/>
        </w:rPr>
        <w:t xml:space="preserve">  </w:t>
      </w: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16</w:t>
      </w:r>
    </w:p>
    <w:p w:rsidR="00821BD4" w:rsidRPr="00B65E2B" w:rsidP="00821BD4">
      <w:pPr>
        <w:tabs>
          <w:tab w:val="left" w:pos="720"/>
        </w:tabs>
        <w:bidi w:val="0"/>
        <w:jc w:val="both"/>
        <w:rPr>
          <w:rFonts w:ascii="Times New Roman" w:hAnsi="Times New Roman"/>
        </w:rPr>
      </w:pPr>
      <w:r>
        <w:rPr>
          <w:rFonts w:ascii="Times New Roman" w:hAnsi="Times New Roman"/>
        </w:rPr>
        <w:t xml:space="preserve">Predmetná úprava sa tiež týka zrušenia inštitútu tzv. priateľských sporiteľov. </w:t>
      </w:r>
      <w:r w:rsidRPr="00B65E2B">
        <w:rPr>
          <w:rFonts w:ascii="Times New Roman" w:hAnsi="Times New Roman"/>
        </w:rPr>
        <w:t>Novým znením ustanovenia § 11 ods. 5 sa vypúšťa jeho prvá veta, ktorá umožňuje, že ak sú súčasťou cieľovej sumy</w:t>
      </w:r>
      <w:r>
        <w:rPr>
          <w:rFonts w:ascii="Times New Roman" w:hAnsi="Times New Roman"/>
        </w:rPr>
        <w:t xml:space="preserve">, ktorú tvorí stavebný úver, </w:t>
      </w:r>
      <w:r w:rsidRPr="00B65E2B">
        <w:rPr>
          <w:rFonts w:ascii="Times New Roman" w:hAnsi="Times New Roman"/>
        </w:rPr>
        <w:t xml:space="preserve">aj vklady od stavebného sporiteľa alebo v prospech stavebného sporiteľa, úroky a štátne prémie pripísané na účet stavebného sporiteľa za obdobie šesť a viac rokov od uzatvorenia zmluvy o stavebnom sporení, tieto vklady, úroky a štátne prémie </w:t>
      </w:r>
      <w:r>
        <w:rPr>
          <w:rFonts w:ascii="Times New Roman" w:hAnsi="Times New Roman"/>
        </w:rPr>
        <w:t xml:space="preserve">sa </w:t>
      </w:r>
      <w:r w:rsidRPr="00B65E2B">
        <w:rPr>
          <w:rFonts w:ascii="Times New Roman" w:hAnsi="Times New Roman"/>
        </w:rPr>
        <w:t>nemus</w:t>
      </w:r>
      <w:r>
        <w:rPr>
          <w:rFonts w:ascii="Times New Roman" w:hAnsi="Times New Roman"/>
        </w:rPr>
        <w:t xml:space="preserve">ia </w:t>
      </w:r>
      <w:r w:rsidRPr="00B65E2B">
        <w:rPr>
          <w:rFonts w:ascii="Times New Roman" w:hAnsi="Times New Roman"/>
        </w:rPr>
        <w:t>použiť na stavebné účely</w:t>
      </w:r>
      <w:r>
        <w:rPr>
          <w:rFonts w:ascii="Times New Roman" w:hAnsi="Times New Roman"/>
        </w:rPr>
        <w:t>.</w:t>
      </w:r>
      <w:r w:rsidRPr="00B65E2B">
        <w:rPr>
          <w:rFonts w:ascii="Times New Roman" w:hAnsi="Times New Roman"/>
        </w:rPr>
        <w:t xml:space="preserve"> V súvislosti </w:t>
      </w:r>
      <w:r>
        <w:rPr>
          <w:rFonts w:ascii="Times New Roman" w:hAnsi="Times New Roman"/>
        </w:rPr>
        <w:t xml:space="preserve">s vypustením prvej vety v odseku 5 je nevyhnuté </w:t>
      </w:r>
      <w:r w:rsidRPr="00B65E2B">
        <w:rPr>
          <w:rFonts w:ascii="Times New Roman" w:hAnsi="Times New Roman"/>
        </w:rPr>
        <w:t>uprav</w:t>
      </w:r>
      <w:r>
        <w:rPr>
          <w:rFonts w:ascii="Times New Roman" w:hAnsi="Times New Roman"/>
        </w:rPr>
        <w:t xml:space="preserve">iť </w:t>
      </w:r>
      <w:r w:rsidRPr="00B65E2B">
        <w:rPr>
          <w:rFonts w:ascii="Times New Roman" w:hAnsi="Times New Roman"/>
        </w:rPr>
        <w:t>znenie doterajšej druhej vety</w:t>
      </w:r>
      <w:r>
        <w:rPr>
          <w:rFonts w:ascii="Times New Roman" w:hAnsi="Times New Roman"/>
        </w:rPr>
        <w:t>, ktorá bude tvoriť nové znenie odseku 5.</w:t>
      </w: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bodu 17</w:t>
      </w:r>
    </w:p>
    <w:p w:rsidR="00821BD4" w:rsidRPr="00821BD4" w:rsidP="00821BD4">
      <w:pPr>
        <w:tabs>
          <w:tab w:val="left" w:pos="720"/>
        </w:tabs>
        <w:bidi w:val="0"/>
        <w:jc w:val="both"/>
        <w:rPr>
          <w:rFonts w:ascii="Times New Roman" w:hAnsi="Times New Roman"/>
        </w:rPr>
      </w:pPr>
      <w:r w:rsidRPr="00821BD4">
        <w:rPr>
          <w:rFonts w:ascii="Times New Roman" w:hAnsi="Times New Roman"/>
        </w:rPr>
        <w:t>Novým § 13k ods. 1 až 7 sa ustanovujú prechodné ustanovenia k úpravám účinným od 1. januára 2019. Vzhľadom na to, že sa upravuje definícia stavebného sporenia a v tej súvislosti aj pojmovo činnosti stavebnej sporiteľne, pričom de facto sa v činnosti stavebnej sporiteľne nič nemení, prechodným ustanovením odseku 1 sa potvrdí, že b</w:t>
      </w:r>
      <w:r>
        <w:rPr>
          <w:rFonts w:ascii="Times New Roman" w:hAnsi="Times New Roman"/>
        </w:rPr>
        <w:t xml:space="preserve">ankové povolenie na vykonávanie stavebného sporenia, ktoré bolo udelené stavebnej sporiteľni podľa doterajšieho predpisu, sa považuje za bankové povolenie podľa novely zákona na poskytovanie stavebného sporenia a vykonávanie bankových činností podľa § 2 ods. 2 v znení účinnom od 1. januára 2019 tak, aby sa stavebné sporiteľne nemuseli prelicencovávať </w:t>
      </w:r>
      <w:r w:rsidRPr="00821BD4">
        <w:rPr>
          <w:rFonts w:ascii="Times New Roman" w:hAnsi="Times New Roman"/>
        </w:rPr>
        <w:t>len z dôvodu zmeny použitých pojmov.</w:t>
      </w:r>
    </w:p>
    <w:p w:rsidR="00821BD4" w:rsidRPr="00821BD4" w:rsidP="00821BD4">
      <w:pPr>
        <w:tabs>
          <w:tab w:val="left" w:pos="720"/>
        </w:tabs>
        <w:bidi w:val="0"/>
        <w:jc w:val="both"/>
        <w:rPr>
          <w:rFonts w:ascii="Times New Roman" w:hAnsi="Times New Roman"/>
        </w:rPr>
      </w:pPr>
      <w:r w:rsidRPr="00821BD4">
        <w:rPr>
          <w:rFonts w:ascii="Times New Roman" w:hAnsi="Times New Roman"/>
        </w:rPr>
        <w:t>Prechodným ustanovením v odseku 2 sa upraví, že zúženie okruhu stavebných sporiteľov, ktorým sa za príslušný kalendárny rok poskytuje štátna prémia, sa prvýkrát použije pri uplatnení a poskytnutí štátnej prémie za kalendárny rok 2019.</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Ustanovením odseku 3 sa upraví, že postup určovania štátnej prémie podľa § 10 ods. 3, pri ktorom sa zohľadní nová minimálna percentuálna výška štátnej prémie a nová maximálna suma štátnej prémie, sa prvýkrát použije až pri určení štátnej prémie na kalendárny rok 2020, a to z dôvodu potreby dodržania štandardného legislatívneho procesu prijímania opatrenia Ministerstva financií SR o výške štátnej prémie na príslušný kalendárny rok. Pri určovaní štátnej prémie na kalendárny rok 2019 sa totiž musí vychádzať z rozhodujúceho obdobia podľa prílohy zákona, ktoré končí 30. júna 2018, pričom opatrenie sa musí vyhlásiť v Zbierke zákonov do 30. septembra 2018, kedy ešte tento zákon nemusí byť platný. Preto sa zároveň v tomto prechodnom ustanovení navrhuje určiť percentuálnu výšku štátnej prémie a maximálnu sumu štátnej prémie na rok 2019 priamo týmto zákonom tak, aby sa tiež zohľadnila jej zmenená výška, pričom postup určenia štátnej prémie podľa § 10 ods. 3 sa pre rok 2019 nepoužije. Podľa predpokladanej výšky referenčnej sadzby, ktorá sa odvíja od priemerných výnosov štátnych dlhopisov za rozhodujúce obdobie, bude percentuálna výška štátnej prémie na rok 2019 vypočítaná na základe vzorca uvedeného v prílohe zákona vychádzať len okolo 0,5 %, preto by sa aj tak musela určiť v minimálnej výške ustanovenej zákonom.                       </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Okruh poberateľov štátnej prémie, spôsob určovania štátnej prémie ani výška štátnej prémie nie sú premietnuté do zmlúv o stavebnom sporení, ale sú ustanovené len zákonom, pričom ako už bolo uvedené, percentuálna výška štátnej prémie sa na príslušný kalendárny rok určuje každoročne na základe vzorca uvedeného v prílohe zákona, preto bude možné v zmysle prechodných ustanovení odsekov 2 a 3 tieto nové právne úpravy (§ 10 ods. 1 až 3 a § 10b ods. 1 v znení účinnom od 1. januára 2019) prvýkrát použiť na poskytnutie a uplatnenie štátnej prémie za rok 2019 a na určenie štátnej prémie na rok 2020 bez toho, aby sa neprimeraným spôsobom zasiahlo do existujúcich zmluvných vzťahov. Z rovnakého dôvodu je možné priamo týmto zákonom určiť výšku štátnej prémie na rok 2019 pre všetkých stavebných sporiteľov.                        </w:t>
      </w:r>
    </w:p>
    <w:p w:rsidR="00821BD4" w:rsidRPr="00821BD4" w:rsidP="00821BD4">
      <w:pPr>
        <w:tabs>
          <w:tab w:val="left" w:pos="720"/>
        </w:tabs>
        <w:bidi w:val="0"/>
        <w:jc w:val="both"/>
        <w:rPr>
          <w:rFonts w:ascii="Times New Roman" w:hAnsi="Times New Roman"/>
        </w:rPr>
      </w:pPr>
      <w:r w:rsidRPr="00821BD4">
        <w:rPr>
          <w:rFonts w:ascii="Times New Roman" w:hAnsi="Times New Roman"/>
        </w:rPr>
        <w:t>Avšak vzhľadom na to, že zákon splnomocňuje premietnuť podmienky účelovosti stavebného sporenia do zmlúv o stavebnom sporení, p</w:t>
      </w:r>
      <w:r>
        <w:rPr>
          <w:rFonts w:ascii="Times New Roman" w:hAnsi="Times New Roman"/>
        </w:rPr>
        <w:t xml:space="preserve">rechodným </w:t>
      </w:r>
      <w:r w:rsidRPr="00B65E2B">
        <w:rPr>
          <w:rFonts w:ascii="Times New Roman" w:hAnsi="Times New Roman"/>
        </w:rPr>
        <w:t xml:space="preserve">ustanovením </w:t>
      </w:r>
      <w:r>
        <w:rPr>
          <w:rFonts w:ascii="Times New Roman" w:hAnsi="Times New Roman"/>
        </w:rPr>
        <w:t xml:space="preserve">odseku 4 navrhovaná právna úprava týkajúca sa zavedenia výlučne účelového použitia prostriedkov stavebného sporenia, ak sa k nemu poskytuje štátna prémia (zrušenie inštitútu tzv. priateľských sporiteľov), </w:t>
      </w:r>
      <w:r w:rsidRPr="00B65E2B">
        <w:rPr>
          <w:rFonts w:ascii="Times New Roman" w:hAnsi="Times New Roman"/>
        </w:rPr>
        <w:t>nezasahuje retroaktívne</w:t>
      </w:r>
      <w:r w:rsidRPr="00821BD4">
        <w:rPr>
          <w:rFonts w:ascii="Times New Roman" w:hAnsi="Times New Roman"/>
        </w:rPr>
        <w:t xml:space="preserve"> už do uzatvorených zmluvných vzťahov a bude sa vzťahovať len na zmluvy o stavebnom sporení uzatvorené od účinnosti zákona. To sa bude rovnako týkať osobitného limitovania </w:t>
      </w:r>
      <w:r>
        <w:rPr>
          <w:rFonts w:ascii="Times New Roman" w:hAnsi="Times New Roman"/>
        </w:rPr>
        <w:t>nároku na štátnu prémiu za prvý rok sporenia</w:t>
      </w:r>
      <w:r w:rsidRPr="00821BD4">
        <w:rPr>
          <w:rFonts w:ascii="Times New Roman" w:hAnsi="Times New Roman"/>
        </w:rPr>
        <w:t>, pretože táto nová právna úprava sa dá použiť len na nové zmluvy, keďže ide o obmedzenie nároku na štátnu prémiu zo zmluvy uzavretej v priebehu kalendárneho roka.</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Prechodným ustanovením v odseku 5 navrhovaná právna úprava týkajúca sa vylúčenia nároku na štátnu prémiu počas čerpania a splácania medziúveru tiež nezasahuje retroaktívne do existujúcich zmluvných vzťahov (zmlúv o stavebnom úvere) a bude sa vzťahovať len na stavebných sporiteľov </w:t>
      </w:r>
      <w:r>
        <w:rPr>
          <w:rFonts w:ascii="Times New Roman" w:hAnsi="Times New Roman"/>
        </w:rPr>
        <w:t xml:space="preserve">– </w:t>
      </w:r>
      <w:r w:rsidRPr="00821BD4">
        <w:rPr>
          <w:rFonts w:ascii="Times New Roman" w:hAnsi="Times New Roman"/>
        </w:rPr>
        <w:t xml:space="preserve">fyzické osoby, ktorým bude poskytnutý stavebný úver za komerčných podmienok od 1. januára 2019.       </w:t>
      </w:r>
    </w:p>
    <w:p w:rsidR="00821BD4" w:rsidRPr="00821BD4" w:rsidP="00821BD4">
      <w:pPr>
        <w:tabs>
          <w:tab w:val="left" w:pos="720"/>
        </w:tabs>
        <w:bidi w:val="0"/>
        <w:jc w:val="both"/>
        <w:rPr>
          <w:rFonts w:ascii="Times New Roman" w:hAnsi="Times New Roman"/>
        </w:rPr>
      </w:pPr>
      <w:r w:rsidRPr="00821BD4">
        <w:rPr>
          <w:rFonts w:ascii="Times New Roman" w:hAnsi="Times New Roman"/>
        </w:rPr>
        <w:t xml:space="preserve">Navrhovaným prechodným ustanovením v odseku 6 sa ukladá stavebným sporiteľniam </w:t>
      </w:r>
      <w:r>
        <w:rPr>
          <w:rFonts w:ascii="Times New Roman" w:hAnsi="Times New Roman"/>
        </w:rPr>
        <w:t xml:space="preserve">prispôsobiť zásady stavebného sporenia ustanoveniam tohto zákona a uzavrieť zmluvu s Finančným riaditeľstvom SR podľa § 10 ods. 2 tohto zákona </w:t>
      </w:r>
      <w:r w:rsidRPr="00821BD4">
        <w:rPr>
          <w:rFonts w:ascii="Times New Roman" w:hAnsi="Times New Roman"/>
        </w:rPr>
        <w:t xml:space="preserve">do polroka od jeho účinnosti. </w:t>
      </w: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b/>
        </w:rPr>
      </w:pPr>
      <w:r w:rsidRPr="00821BD4">
        <w:rPr>
          <w:rFonts w:ascii="Times New Roman" w:hAnsi="Times New Roman"/>
          <w:b/>
        </w:rPr>
        <w:t>K Čl. II</w:t>
      </w:r>
    </w:p>
    <w:p w:rsidR="00821BD4" w:rsidRPr="00821BD4" w:rsidP="00821BD4">
      <w:pPr>
        <w:tabs>
          <w:tab w:val="left" w:pos="720"/>
        </w:tabs>
        <w:bidi w:val="0"/>
        <w:jc w:val="both"/>
        <w:rPr>
          <w:rFonts w:ascii="Times New Roman" w:hAnsi="Times New Roman"/>
        </w:rPr>
      </w:pPr>
    </w:p>
    <w:p w:rsidR="00821BD4" w:rsidRPr="00821BD4" w:rsidP="00821BD4">
      <w:pPr>
        <w:tabs>
          <w:tab w:val="left" w:pos="720"/>
        </w:tabs>
        <w:bidi w:val="0"/>
        <w:jc w:val="both"/>
        <w:rPr>
          <w:rFonts w:ascii="Times New Roman" w:hAnsi="Times New Roman"/>
        </w:rPr>
      </w:pPr>
      <w:r>
        <w:rPr>
          <w:rFonts w:ascii="Times New Roman" w:hAnsi="Times New Roman"/>
        </w:rPr>
        <w:t>Vzhľadom na to, že štátna prémia na stavebné sporenie sa vypláca na báze kalendárneho roka, účinnosť novely zákona sa navrhuje od 1. januára 2019.</w:t>
      </w:r>
    </w:p>
    <w:p w:rsidR="00B969B1" w:rsidP="00150BE9">
      <w:pPr>
        <w:bidi w:val="0"/>
        <w:ind w:firstLine="567"/>
        <w:jc w:val="both"/>
        <w:rPr>
          <w:rFonts w:ascii="Times New Roman" w:hAnsi="Times New Roman"/>
        </w:rPr>
      </w:pPr>
    </w:p>
    <w:p w:rsidR="00B969B1" w:rsidP="00B969B1">
      <w:pPr>
        <w:tabs>
          <w:tab w:val="left" w:pos="720"/>
        </w:tabs>
        <w:bidi w:val="0"/>
        <w:jc w:val="both"/>
        <w:rPr>
          <w:rFonts w:ascii="Times New Roman" w:hAnsi="Times New Roman"/>
          <w:b/>
        </w:rPr>
      </w:pPr>
      <w:r>
        <w:rPr>
          <w:rFonts w:ascii="Times New Roman" w:hAnsi="Times New Roman"/>
        </w:rPr>
        <w:t>Schválen</w:t>
      </w:r>
      <w:r w:rsidR="00FB1CCB">
        <w:rPr>
          <w:rFonts w:ascii="Times New Roman" w:hAnsi="Times New Roman"/>
        </w:rPr>
        <w:t>é</w:t>
      </w:r>
      <w:r>
        <w:rPr>
          <w:rFonts w:ascii="Times New Roman" w:hAnsi="Times New Roman"/>
        </w:rPr>
        <w:t xml:space="preserve"> vládou Slovenskej republiky dňa </w:t>
      </w:r>
      <w:r w:rsidR="00AA24CF">
        <w:rPr>
          <w:rFonts w:ascii="Times New Roman" w:hAnsi="Times New Roman"/>
        </w:rPr>
        <w:t>2</w:t>
      </w:r>
      <w:r w:rsidR="00171006">
        <w:rPr>
          <w:rFonts w:ascii="Times New Roman" w:hAnsi="Times New Roman"/>
        </w:rPr>
        <w:t>3</w:t>
      </w:r>
      <w:r>
        <w:rPr>
          <w:rFonts w:ascii="Times New Roman" w:hAnsi="Times New Roman"/>
        </w:rPr>
        <w:t xml:space="preserve">. </w:t>
      </w:r>
      <w:r w:rsidR="00171006">
        <w:rPr>
          <w:rFonts w:ascii="Times New Roman" w:hAnsi="Times New Roman"/>
        </w:rPr>
        <w:t>mája</w:t>
      </w:r>
      <w:r>
        <w:rPr>
          <w:rFonts w:ascii="Times New Roman" w:hAnsi="Times New Roman"/>
        </w:rPr>
        <w:t xml:space="preserve"> 2018.</w:t>
      </w:r>
    </w:p>
    <w:p w:rsidR="00B969B1" w:rsidP="00150BE9">
      <w:pPr>
        <w:bidi w:val="0"/>
        <w:ind w:firstLine="567"/>
        <w:jc w:val="both"/>
        <w:rPr>
          <w:rFonts w:ascii="Times New Roman" w:hAnsi="Times New Roman"/>
        </w:rPr>
      </w:pPr>
    </w:p>
    <w:p w:rsidR="00150BE9" w:rsidRPr="00C9476F" w:rsidP="00150BE9">
      <w:pPr>
        <w:bidi w:val="0"/>
        <w:ind w:firstLine="567"/>
        <w:jc w:val="both"/>
        <w:rPr>
          <w:rFonts w:ascii="Times New Roman" w:hAnsi="Times New Roman"/>
        </w:rPr>
      </w:pPr>
    </w:p>
    <w:p w:rsidR="00150BE9" w:rsidRPr="004E35BC" w:rsidP="00150BE9">
      <w:pPr>
        <w:bidi w:val="0"/>
        <w:jc w:val="both"/>
        <w:rPr>
          <w:rFonts w:ascii="Times New Roman" w:hAnsi="Times New Roman"/>
          <w:b/>
          <w:bCs/>
        </w:rPr>
      </w:pPr>
    </w:p>
    <w:p w:rsidR="00150BE9" w:rsidRPr="004E35BC" w:rsidP="00150BE9">
      <w:pPr>
        <w:pStyle w:val="Default"/>
        <w:bidi w:val="0"/>
        <w:jc w:val="both"/>
        <w:rPr>
          <w:rFonts w:ascii="Times New Roman" w:hAnsi="Times New Roman"/>
          <w:b/>
          <w:color w:val="auto"/>
        </w:rPr>
      </w:pPr>
    </w:p>
    <w:p w:rsidR="00150BE9" w:rsidRPr="004E35BC" w:rsidP="00150BE9">
      <w:pPr>
        <w:pStyle w:val="Default"/>
        <w:bidi w:val="0"/>
        <w:ind w:firstLine="708"/>
        <w:jc w:val="both"/>
        <w:rPr>
          <w:rFonts w:ascii="Times New Roman" w:hAnsi="Times New Roman"/>
          <w:color w:val="auto"/>
        </w:rPr>
      </w:pPr>
    </w:p>
    <w:p w:rsidR="00150BE9" w:rsidRPr="004E35BC" w:rsidP="00150BE9">
      <w:pPr>
        <w:bidi w:val="0"/>
        <w:jc w:val="both"/>
        <w:rPr>
          <w:rFonts w:ascii="Times New Roman" w:hAnsi="Times New Roman"/>
          <w:b/>
        </w:rPr>
      </w:pPr>
    </w:p>
    <w:p w:rsidR="00150BE9" w:rsidRPr="004E35BC" w:rsidP="00150BE9">
      <w:pPr>
        <w:bidi w:val="0"/>
        <w:jc w:val="both"/>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P e l l e g r i n i, v. r.</w:t>
      </w:r>
    </w:p>
    <w:p w:rsidR="00150BE9" w:rsidP="00150BE9">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150BE9" w:rsidP="00150BE9">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rPr>
      </w:pPr>
    </w:p>
    <w:p w:rsidR="00150BE9" w:rsidP="00150BE9">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 v. r.</w:t>
      </w:r>
    </w:p>
    <w:p w:rsidR="00150BE9" w:rsidP="00150BE9">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podpredseda vlády a minister financií</w:t>
      </w:r>
    </w:p>
    <w:p w:rsidR="00150BE9" w:rsidP="00150BE9">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150BE9" w:rsidP="00150BE9">
      <w:pPr>
        <w:bidi w:val="0"/>
        <w:jc w:val="center"/>
        <w:rPr>
          <w:rFonts w:ascii="Times New Roman" w:hAnsi="Times New Roman"/>
        </w:rPr>
      </w:pPr>
    </w:p>
    <w:p w:rsidR="00150BE9" w:rsidRPr="004E35BC" w:rsidP="00150BE9">
      <w:pPr>
        <w:bidi w:val="0"/>
        <w:jc w:val="both"/>
        <w:rPr>
          <w:rFonts w:ascii="Times New Roman" w:hAnsi="Times New Roman"/>
        </w:rPr>
      </w:pPr>
    </w:p>
    <w:p w:rsidR="00CD347B" w:rsidRPr="00C93212" w:rsidP="00124802">
      <w:pPr>
        <w:bidi w:val="0"/>
        <w:ind w:firstLine="708"/>
        <w:jc w:val="both"/>
        <w:rPr>
          <w:rFonts w:ascii="Times New Roman" w:hAnsi="Times New Roman"/>
        </w:rPr>
      </w:pPr>
    </w:p>
    <w:sectPr>
      <w:footerReference w:type="default" r:id="rId1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altName w:val="Century Gothic"/>
    <w:panose1 w:val="020B0502040204020203"/>
    <w:charset w:val="00"/>
    <w:family w:val="swiss"/>
    <w:pitch w:val="variable"/>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677D1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E459C">
      <w:rPr>
        <w:rFonts w:ascii="Times New Roman" w:hAnsi="Times New Roman"/>
        <w:noProof/>
      </w:rPr>
      <w:t>12</w:t>
    </w:r>
    <w:r>
      <w:rPr>
        <w:rFonts w:ascii="Times New Roman" w:hAnsi="Times New Roman"/>
      </w:rPr>
      <w:fldChar w:fldCharType="end"/>
    </w:r>
  </w:p>
  <w:p w:rsidR="00677D1D">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677D1D">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0E459C">
      <w:rPr>
        <w:rFonts w:ascii="Times New Roman" w:hAnsi="Times New Roman"/>
        <w:noProof/>
      </w:rPr>
      <w:t>20</w:t>
    </w:r>
    <w:r w:rsidRPr="001D6749">
      <w:rP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0E459C">
      <w:rPr>
        <w:rFonts w:ascii="Times New Roman" w:hAnsi="Times New Roman"/>
        <w:noProof/>
      </w:rPr>
      <w:t>21</w:t>
    </w:r>
    <w:r w:rsidRPr="001D6749">
      <w:rP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8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E459C">
      <w:rPr>
        <w:rFonts w:ascii="Times New Roman" w:hAnsi="Times New Roman"/>
        <w:noProof/>
      </w:rPr>
      <w:t>28</w:t>
    </w:r>
    <w:r>
      <w:rPr>
        <w:rFonts w:ascii="Times New Roman" w:hAnsi="Times New Roman"/>
      </w:rPr>
      <w:fldChar w:fldCharType="end"/>
    </w:r>
  </w:p>
  <w:p w:rsidR="00CA688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P="001961DF">
    <w:pPr>
      <w:pStyle w:val="Header"/>
      <w:bidi w:val="0"/>
      <w:jc w:val="right"/>
      <w:rPr>
        <w:rFonts w:ascii="Times New Roman" w:hAnsi="Times New Roman"/>
      </w:rPr>
    </w:pPr>
    <w:r>
      <w:rPr>
        <w:rFonts w:ascii="Times New Roman" w:hAnsi="Times New Roman"/>
      </w:rPr>
      <w:t>Príloha č. 2</w:t>
    </w:r>
  </w:p>
  <w:p w:rsidR="00677D1D" w:rsidRPr="00EB59C8" w:rsidP="001961DF">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24067A">
    <w:pPr>
      <w:pStyle w:val="Header"/>
      <w:bidi w:val="0"/>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0A15AE" w:rsidP="001961DF">
    <w:pPr>
      <w:pStyle w:val="Header"/>
      <w:bidi w:val="0"/>
      <w:jc w:val="right"/>
      <w:rPr>
        <w:rFonts w:ascii="Times New Roman" w:hAnsi="Times New Roman"/>
      </w:rPr>
    </w:pPr>
    <w:r>
      <w:rPr>
        <w:rFonts w:ascii="Times New Roman" w:hAnsi="Times New Roman"/>
      </w:rPr>
      <w:t>Príloha č.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677D1D" w:rsidP="00677D1D">
    <w:pPr>
      <w:pStyle w:val="Header"/>
      <w:bidi w:val="0"/>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1D" w:rsidRPr="00677D1D" w:rsidP="00677D1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49D5"/>
    <w:multiLevelType w:val="hybridMultilevel"/>
    <w:tmpl w:val="87F2EF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19C1EFE"/>
    <w:multiLevelType w:val="multilevel"/>
    <w:tmpl w:val="6CEE6890"/>
    <w:lvl w:ilvl="0">
      <w:start w:val="6"/>
      <w:numFmt w:val="bullet"/>
      <w:lvlText w:val="-"/>
      <w:lvlJc w:val="left"/>
      <w:pPr>
        <w:ind w:left="1135" w:hanging="425"/>
      </w:pPr>
      <w:rPr>
        <w:rFonts w:ascii="Times New Roman" w:eastAsia="Times New Roman" w:hAnsi="Times New Roman" w:hint="default"/>
        <w:b/>
      </w:rPr>
    </w:lvl>
    <w:lvl w:ilvl="1">
      <w:start w:val="1"/>
      <w:numFmt w:val="lowerLetter"/>
      <w:lvlText w:val="%2)"/>
      <w:legacy w:legacy="1" w:legacySpace="0" w:legacyIndent="425"/>
      <w:lvlJc w:val="left"/>
      <w:pPr>
        <w:ind w:left="1560" w:hanging="425"/>
      </w:pPr>
      <w:rPr>
        <w:rFonts w:cs="Times New Roman"/>
        <w:rtl w:val="0"/>
        <w:cs w:val="0"/>
      </w:rPr>
    </w:lvl>
    <w:lvl w:ilvl="2">
      <w:start w:val="1"/>
      <w:numFmt w:val="decimal"/>
      <w:lvlText w:val="%3.)"/>
      <w:legacy w:legacy="1" w:legacySpace="0" w:legacyIndent="425"/>
      <w:lvlJc w:val="left"/>
      <w:pPr>
        <w:ind w:left="1985" w:hanging="425"/>
      </w:pPr>
      <w:rPr>
        <w:rFonts w:cs="Times New Roman"/>
        <w:rtl w:val="0"/>
        <w:cs w:val="0"/>
      </w:rPr>
    </w:lvl>
    <w:lvl w:ilvl="3">
      <w:start w:val="1"/>
      <w:numFmt w:val="lowerLetter"/>
      <w:lvlText w:val="%4)"/>
      <w:legacy w:legacy="1" w:legacySpace="0" w:legacyIndent="708"/>
      <w:lvlJc w:val="left"/>
      <w:pPr>
        <w:ind w:left="2693" w:hanging="708"/>
      </w:pPr>
      <w:rPr>
        <w:rFonts w:cs="Times New Roman"/>
        <w:rtl w:val="0"/>
        <w:cs w:val="0"/>
      </w:rPr>
    </w:lvl>
    <w:lvl w:ilvl="4">
      <w:start w:val="1"/>
      <w:numFmt w:val="decimal"/>
      <w:lvlText w:val="(%5)"/>
      <w:legacy w:legacy="1" w:legacySpace="0" w:legacyIndent="708"/>
      <w:lvlJc w:val="left"/>
      <w:pPr>
        <w:ind w:left="3401" w:hanging="708"/>
      </w:pPr>
      <w:rPr>
        <w:rFonts w:cs="Times New Roman"/>
        <w:rtl w:val="0"/>
        <w:cs w:val="0"/>
      </w:rPr>
    </w:lvl>
    <w:lvl w:ilvl="5">
      <w:start w:val="1"/>
      <w:numFmt w:val="lowerLetter"/>
      <w:lvlText w:val="(%6)"/>
      <w:legacy w:legacy="1" w:legacySpace="0" w:legacyIndent="708"/>
      <w:lvlJc w:val="left"/>
      <w:pPr>
        <w:ind w:left="4109" w:hanging="708"/>
      </w:pPr>
      <w:rPr>
        <w:rFonts w:cs="Times New Roman"/>
        <w:rtl w:val="0"/>
        <w:cs w:val="0"/>
      </w:rPr>
    </w:lvl>
    <w:lvl w:ilvl="6">
      <w:start w:val="1"/>
      <w:numFmt w:val="lowerRoman"/>
      <w:lvlText w:val="(%7)"/>
      <w:legacy w:legacy="1" w:legacySpace="0" w:legacyIndent="708"/>
      <w:lvlJc w:val="left"/>
      <w:pPr>
        <w:ind w:left="4817" w:hanging="708"/>
      </w:pPr>
      <w:rPr>
        <w:rFonts w:cs="Times New Roman"/>
        <w:rtl w:val="0"/>
        <w:cs w:val="0"/>
      </w:rPr>
    </w:lvl>
    <w:lvl w:ilvl="7">
      <w:start w:val="1"/>
      <w:numFmt w:val="lowerLetter"/>
      <w:lvlText w:val="(%8)"/>
      <w:legacy w:legacy="1" w:legacySpace="0" w:legacyIndent="708"/>
      <w:lvlJc w:val="left"/>
      <w:pPr>
        <w:ind w:left="5525" w:hanging="708"/>
      </w:pPr>
      <w:rPr>
        <w:rFonts w:cs="Times New Roman"/>
        <w:rtl w:val="0"/>
        <w:cs w:val="0"/>
      </w:rPr>
    </w:lvl>
    <w:lvl w:ilvl="8">
      <w:start w:val="1"/>
      <w:numFmt w:val="lowerRoman"/>
      <w:lvlText w:val="(%9)"/>
      <w:legacy w:legacy="1" w:legacySpace="0" w:legacyIndent="708"/>
      <w:lvlJc w:val="left"/>
      <w:pPr>
        <w:ind w:left="6233" w:hanging="708"/>
      </w:pPr>
      <w:rPr>
        <w:rFonts w:cs="Times New Roman"/>
        <w:rtl w:val="0"/>
        <w:cs w:val="0"/>
      </w:rPr>
    </w:lvl>
  </w:abstractNum>
  <w:abstractNum w:abstractNumId="2">
    <w:nsid w:val="22972FAF"/>
    <w:multiLevelType w:val="hybridMultilevel"/>
    <w:tmpl w:val="1F485E8A"/>
    <w:lvl w:ilvl="0">
      <w:start w:val="1"/>
      <w:numFmt w:val="bullet"/>
      <w:lvlText w:val=""/>
      <w:lvlJc w:val="left"/>
      <w:pPr>
        <w:ind w:left="756" w:hanging="360"/>
      </w:pPr>
      <w:rPr>
        <w:rFonts w:ascii="Wingdings" w:hAnsi="Wingdings" w:hint="default"/>
      </w:rPr>
    </w:lvl>
    <w:lvl w:ilvl="1">
      <w:start w:val="1"/>
      <w:numFmt w:val="lowerLetter"/>
      <w:lvlText w:val="%2."/>
      <w:lvlJc w:val="left"/>
      <w:pPr>
        <w:ind w:left="1476" w:hanging="360"/>
      </w:pPr>
      <w:rPr>
        <w:rFonts w:cs="Times New Roman"/>
        <w:rtl w:val="0"/>
        <w:cs w:val="0"/>
      </w:rPr>
    </w:lvl>
    <w:lvl w:ilvl="2">
      <w:start w:val="1"/>
      <w:numFmt w:val="lowerRoman"/>
      <w:lvlText w:val="%3."/>
      <w:lvlJc w:val="right"/>
      <w:pPr>
        <w:ind w:left="2196" w:hanging="180"/>
      </w:pPr>
      <w:rPr>
        <w:rFonts w:cs="Times New Roman"/>
        <w:rtl w:val="0"/>
        <w:cs w:val="0"/>
      </w:rPr>
    </w:lvl>
    <w:lvl w:ilvl="3">
      <w:start w:val="1"/>
      <w:numFmt w:val="decimal"/>
      <w:lvlText w:val="%4."/>
      <w:lvlJc w:val="left"/>
      <w:pPr>
        <w:ind w:left="2916" w:hanging="360"/>
      </w:pPr>
      <w:rPr>
        <w:rFonts w:cs="Times New Roman"/>
        <w:rtl w:val="0"/>
        <w:cs w:val="0"/>
      </w:rPr>
    </w:lvl>
    <w:lvl w:ilvl="4">
      <w:start w:val="1"/>
      <w:numFmt w:val="lowerLetter"/>
      <w:lvlText w:val="%5."/>
      <w:lvlJc w:val="left"/>
      <w:pPr>
        <w:ind w:left="3636" w:hanging="360"/>
      </w:pPr>
      <w:rPr>
        <w:rFonts w:cs="Times New Roman"/>
        <w:rtl w:val="0"/>
        <w:cs w:val="0"/>
      </w:rPr>
    </w:lvl>
    <w:lvl w:ilvl="5">
      <w:start w:val="1"/>
      <w:numFmt w:val="lowerRoman"/>
      <w:lvlText w:val="%6."/>
      <w:lvlJc w:val="right"/>
      <w:pPr>
        <w:ind w:left="4356" w:hanging="180"/>
      </w:pPr>
      <w:rPr>
        <w:rFonts w:cs="Times New Roman"/>
        <w:rtl w:val="0"/>
        <w:cs w:val="0"/>
      </w:rPr>
    </w:lvl>
    <w:lvl w:ilvl="6">
      <w:start w:val="1"/>
      <w:numFmt w:val="decimal"/>
      <w:lvlText w:val="%7."/>
      <w:lvlJc w:val="left"/>
      <w:pPr>
        <w:ind w:left="5076" w:hanging="360"/>
      </w:pPr>
      <w:rPr>
        <w:rFonts w:cs="Times New Roman"/>
        <w:rtl w:val="0"/>
        <w:cs w:val="0"/>
      </w:rPr>
    </w:lvl>
    <w:lvl w:ilvl="7">
      <w:start w:val="1"/>
      <w:numFmt w:val="lowerLetter"/>
      <w:lvlText w:val="%8."/>
      <w:lvlJc w:val="left"/>
      <w:pPr>
        <w:ind w:left="5796" w:hanging="360"/>
      </w:pPr>
      <w:rPr>
        <w:rFonts w:cs="Times New Roman"/>
        <w:rtl w:val="0"/>
        <w:cs w:val="0"/>
      </w:rPr>
    </w:lvl>
    <w:lvl w:ilvl="8">
      <w:start w:val="1"/>
      <w:numFmt w:val="lowerRoman"/>
      <w:lvlText w:val="%9."/>
      <w:lvlJc w:val="right"/>
      <w:pPr>
        <w:ind w:left="6516" w:hanging="180"/>
      </w:pPr>
      <w:rPr>
        <w:rFonts w:cs="Times New Roman"/>
        <w:rtl w:val="0"/>
        <w:cs w:val="0"/>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A79021C"/>
    <w:multiLevelType w:val="hybridMultilevel"/>
    <w:tmpl w:val="2252FA0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BB08A6"/>
    <w:multiLevelType w:val="hybridMultilevel"/>
    <w:tmpl w:val="A4C6B6F8"/>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27132A3"/>
    <w:multiLevelType w:val="hybridMultilevel"/>
    <w:tmpl w:val="D904FF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460443A2"/>
    <w:multiLevelType w:val="hybridMultilevel"/>
    <w:tmpl w:val="821A905C"/>
    <w:lvl w:ilvl="0">
      <w:start w:val="0"/>
      <w:numFmt w:val="bullet"/>
      <w:lvlText w:val="-"/>
      <w:lvlJc w:val="left"/>
      <w:pPr>
        <w:ind w:left="786" w:hanging="360"/>
      </w:pPr>
      <w:rPr>
        <w:rFonts w:ascii="Times New Roman" w:eastAsia="Times New Roman" w:hAnsi="Times New Roman" w:hint="default"/>
        <w:color w:val="2F2F2F"/>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9">
    <w:nsid w:val="47425FAE"/>
    <w:multiLevelType w:val="hybridMultilevel"/>
    <w:tmpl w:val="DAE898C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
    <w:nsid w:val="4A9925F5"/>
    <w:multiLevelType w:val="hybridMultilevel"/>
    <w:tmpl w:val="9C7A79C8"/>
    <w:lvl w:ilvl="0">
      <w:start w:val="1"/>
      <w:numFmt w:val="bullet"/>
      <w:lvlText w:val="-"/>
      <w:lvlJc w:val="left"/>
      <w:pPr>
        <w:tabs>
          <w:tab w:val="num" w:pos="1653"/>
        </w:tabs>
        <w:ind w:left="1653" w:hanging="945"/>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2">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05C44CD"/>
    <w:multiLevelType w:val="hybridMultilevel"/>
    <w:tmpl w:val="49AE2698"/>
    <w:lvl w:ilvl="0">
      <w:start w:val="0"/>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4">
    <w:nsid w:val="73E2761B"/>
    <w:multiLevelType w:val="hybridMultilevel"/>
    <w:tmpl w:val="81A659A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66A224E"/>
    <w:multiLevelType w:val="hybridMultilevel"/>
    <w:tmpl w:val="1DE43AD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0"/>
  </w:num>
  <w:num w:numId="2">
    <w:abstractNumId w:val="15"/>
  </w:num>
  <w:num w:numId="3">
    <w:abstractNumId w:val="15"/>
    <w:lvlOverride w:ilvl="0"/>
    <w:lvlOverride w:ilvl="1"/>
    <w:lvlOverride w:ilvl="2"/>
    <w:lvlOverride w:ilvl="3"/>
    <w:lvlOverride w:ilvl="4"/>
    <w:lvlOverride w:ilvl="5"/>
    <w:lvlOverride w:ilvl="6"/>
    <w:lvlOverride w:ilvl="7"/>
    <w:lvlOverride w:ilvl="8"/>
  </w:num>
  <w:num w:numId="4">
    <w:abstractNumId w:val="8"/>
  </w:num>
  <w:num w:numId="5">
    <w:abstractNumId w:val="16"/>
  </w:num>
  <w:num w:numId="6">
    <w:abstractNumId w:val="14"/>
  </w:num>
  <w:num w:numId="7">
    <w:abstractNumId w:val="11"/>
  </w:num>
  <w:num w:numId="8">
    <w:abstractNumId w:val="5"/>
  </w:num>
  <w:num w:numId="9">
    <w:abstractNumId w:val="12"/>
  </w:num>
  <w:num w:numId="10">
    <w:abstractNumId w:val="1"/>
  </w:num>
  <w:num w:numId="11">
    <w:abstractNumId w:val="5"/>
    <w:lvlOverride w:ilvl="0"/>
    <w:lvlOverride w:ilvl="1"/>
    <w:lvlOverride w:ilvl="2"/>
    <w:lvlOverride w:ilvl="3"/>
    <w:lvlOverride w:ilvl="4"/>
    <w:lvlOverride w:ilvl="5"/>
    <w:lvlOverride w:ilvl="6"/>
    <w:lvlOverride w:ilvl="7"/>
    <w:lvlOverride w:ilvl="8"/>
  </w:num>
  <w:num w:numId="12">
    <w:abstractNumId w:val="7"/>
  </w:num>
  <w:num w:numId="13">
    <w:abstractNumId w:val="3"/>
  </w:num>
  <w:num w:numId="14">
    <w:abstractNumId w:val="4"/>
  </w:num>
  <w:num w:numId="15">
    <w:abstractNumId w:val="9"/>
  </w:num>
  <w:num w:numId="16">
    <w:abstractNumId w:val="13"/>
  </w:num>
  <w:num w:numId="17">
    <w:abstractNumId w:val="0"/>
  </w:num>
  <w:num w:numId="18">
    <w:abstractNumId w:val="2"/>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13F0C"/>
    <w:rsid w:val="00024CDD"/>
    <w:rsid w:val="00031FC4"/>
    <w:rsid w:val="00032CFF"/>
    <w:rsid w:val="00036434"/>
    <w:rsid w:val="000405C5"/>
    <w:rsid w:val="00042C66"/>
    <w:rsid w:val="000442C3"/>
    <w:rsid w:val="00045128"/>
    <w:rsid w:val="00046AFF"/>
    <w:rsid w:val="0005334E"/>
    <w:rsid w:val="00060940"/>
    <w:rsid w:val="00066149"/>
    <w:rsid w:val="00074F28"/>
    <w:rsid w:val="00087D0E"/>
    <w:rsid w:val="00091596"/>
    <w:rsid w:val="000A0B04"/>
    <w:rsid w:val="000A15AE"/>
    <w:rsid w:val="000A6448"/>
    <w:rsid w:val="000C15FD"/>
    <w:rsid w:val="000D2622"/>
    <w:rsid w:val="000E459C"/>
    <w:rsid w:val="000E5CA5"/>
    <w:rsid w:val="000F577F"/>
    <w:rsid w:val="000F75A3"/>
    <w:rsid w:val="000F7C39"/>
    <w:rsid w:val="00101E2F"/>
    <w:rsid w:val="001049D4"/>
    <w:rsid w:val="00105F2F"/>
    <w:rsid w:val="00110F8C"/>
    <w:rsid w:val="00117C56"/>
    <w:rsid w:val="00123CDC"/>
    <w:rsid w:val="00124802"/>
    <w:rsid w:val="00127DAC"/>
    <w:rsid w:val="00133BAE"/>
    <w:rsid w:val="00135233"/>
    <w:rsid w:val="0013639F"/>
    <w:rsid w:val="00140C54"/>
    <w:rsid w:val="0014608F"/>
    <w:rsid w:val="0015051E"/>
    <w:rsid w:val="00150BE9"/>
    <w:rsid w:val="00154881"/>
    <w:rsid w:val="00157E8B"/>
    <w:rsid w:val="00164AA9"/>
    <w:rsid w:val="0016609F"/>
    <w:rsid w:val="0016706D"/>
    <w:rsid w:val="00170011"/>
    <w:rsid w:val="00171006"/>
    <w:rsid w:val="00182D03"/>
    <w:rsid w:val="00183EAB"/>
    <w:rsid w:val="001840E6"/>
    <w:rsid w:val="00193394"/>
    <w:rsid w:val="001934DF"/>
    <w:rsid w:val="001961DF"/>
    <w:rsid w:val="001A14CE"/>
    <w:rsid w:val="001A5663"/>
    <w:rsid w:val="001A6C41"/>
    <w:rsid w:val="001B4154"/>
    <w:rsid w:val="001B4EDB"/>
    <w:rsid w:val="001C40D3"/>
    <w:rsid w:val="001C5AE6"/>
    <w:rsid w:val="001C7912"/>
    <w:rsid w:val="001D6606"/>
    <w:rsid w:val="001D6749"/>
    <w:rsid w:val="001E1F06"/>
    <w:rsid w:val="001E6BE9"/>
    <w:rsid w:val="001E792F"/>
    <w:rsid w:val="001E7FA9"/>
    <w:rsid w:val="001F0F51"/>
    <w:rsid w:val="0020662E"/>
    <w:rsid w:val="00207930"/>
    <w:rsid w:val="002114C5"/>
    <w:rsid w:val="00211FF1"/>
    <w:rsid w:val="00214966"/>
    <w:rsid w:val="0023203D"/>
    <w:rsid w:val="002341DA"/>
    <w:rsid w:val="00240507"/>
    <w:rsid w:val="0024067A"/>
    <w:rsid w:val="0025120E"/>
    <w:rsid w:val="0027074D"/>
    <w:rsid w:val="00270C7D"/>
    <w:rsid w:val="00280B9B"/>
    <w:rsid w:val="00284AAF"/>
    <w:rsid w:val="00295A20"/>
    <w:rsid w:val="002A5916"/>
    <w:rsid w:val="002A66DA"/>
    <w:rsid w:val="002B1852"/>
    <w:rsid w:val="002B20DE"/>
    <w:rsid w:val="002B56D1"/>
    <w:rsid w:val="002C1ED4"/>
    <w:rsid w:val="002C426E"/>
    <w:rsid w:val="002D0AAF"/>
    <w:rsid w:val="002D1B4C"/>
    <w:rsid w:val="002D5DBB"/>
    <w:rsid w:val="002D73F9"/>
    <w:rsid w:val="002D7760"/>
    <w:rsid w:val="002D7D0B"/>
    <w:rsid w:val="002E4B39"/>
    <w:rsid w:val="003044D4"/>
    <w:rsid w:val="00323F11"/>
    <w:rsid w:val="00337D83"/>
    <w:rsid w:val="00343C70"/>
    <w:rsid w:val="0035154F"/>
    <w:rsid w:val="00352A09"/>
    <w:rsid w:val="00352FBF"/>
    <w:rsid w:val="00354A18"/>
    <w:rsid w:val="00356567"/>
    <w:rsid w:val="00357F68"/>
    <w:rsid w:val="003649A9"/>
    <w:rsid w:val="00373056"/>
    <w:rsid w:val="0039470A"/>
    <w:rsid w:val="003A001E"/>
    <w:rsid w:val="003A73FF"/>
    <w:rsid w:val="003B1AD2"/>
    <w:rsid w:val="003B252A"/>
    <w:rsid w:val="003B27B3"/>
    <w:rsid w:val="003B2A44"/>
    <w:rsid w:val="003B7000"/>
    <w:rsid w:val="003B782F"/>
    <w:rsid w:val="003B7883"/>
    <w:rsid w:val="003D6C0C"/>
    <w:rsid w:val="003E4541"/>
    <w:rsid w:val="003F3CD8"/>
    <w:rsid w:val="003F4365"/>
    <w:rsid w:val="003F69B9"/>
    <w:rsid w:val="004027BF"/>
    <w:rsid w:val="00402A71"/>
    <w:rsid w:val="0040544D"/>
    <w:rsid w:val="004100AA"/>
    <w:rsid w:val="00412B2A"/>
    <w:rsid w:val="00414B33"/>
    <w:rsid w:val="00416870"/>
    <w:rsid w:val="0042293D"/>
    <w:rsid w:val="004236CE"/>
    <w:rsid w:val="004353F2"/>
    <w:rsid w:val="00441950"/>
    <w:rsid w:val="0044751C"/>
    <w:rsid w:val="0045195D"/>
    <w:rsid w:val="00451C2A"/>
    <w:rsid w:val="0045280D"/>
    <w:rsid w:val="004545B7"/>
    <w:rsid w:val="00456423"/>
    <w:rsid w:val="004576F6"/>
    <w:rsid w:val="004614B6"/>
    <w:rsid w:val="0046189E"/>
    <w:rsid w:val="00463A27"/>
    <w:rsid w:val="00463F8C"/>
    <w:rsid w:val="00471EA8"/>
    <w:rsid w:val="00476EB9"/>
    <w:rsid w:val="00482F4B"/>
    <w:rsid w:val="00496640"/>
    <w:rsid w:val="004C0826"/>
    <w:rsid w:val="004C2382"/>
    <w:rsid w:val="004C60B8"/>
    <w:rsid w:val="004D1F37"/>
    <w:rsid w:val="004D262D"/>
    <w:rsid w:val="004D5456"/>
    <w:rsid w:val="004D5A97"/>
    <w:rsid w:val="004E35BC"/>
    <w:rsid w:val="004E3828"/>
    <w:rsid w:val="004E518C"/>
    <w:rsid w:val="004E7AC3"/>
    <w:rsid w:val="004F5B38"/>
    <w:rsid w:val="00520456"/>
    <w:rsid w:val="00520C1B"/>
    <w:rsid w:val="00525347"/>
    <w:rsid w:val="005308DF"/>
    <w:rsid w:val="00535135"/>
    <w:rsid w:val="0053534A"/>
    <w:rsid w:val="00536857"/>
    <w:rsid w:val="00540689"/>
    <w:rsid w:val="005413D3"/>
    <w:rsid w:val="005422FF"/>
    <w:rsid w:val="00544B32"/>
    <w:rsid w:val="00547128"/>
    <w:rsid w:val="005477FF"/>
    <w:rsid w:val="005505FB"/>
    <w:rsid w:val="00552C9D"/>
    <w:rsid w:val="005550FC"/>
    <w:rsid w:val="00560BB9"/>
    <w:rsid w:val="0056275F"/>
    <w:rsid w:val="00571ED6"/>
    <w:rsid w:val="00581542"/>
    <w:rsid w:val="00586F71"/>
    <w:rsid w:val="00596955"/>
    <w:rsid w:val="005A2A72"/>
    <w:rsid w:val="005A6A0C"/>
    <w:rsid w:val="005B18E1"/>
    <w:rsid w:val="005C2CF6"/>
    <w:rsid w:val="005C6387"/>
    <w:rsid w:val="005D42FB"/>
    <w:rsid w:val="005D4E7A"/>
    <w:rsid w:val="005D7FB4"/>
    <w:rsid w:val="005E07E9"/>
    <w:rsid w:val="005E1429"/>
    <w:rsid w:val="00607B53"/>
    <w:rsid w:val="00624BC3"/>
    <w:rsid w:val="00630C32"/>
    <w:rsid w:val="00653ADA"/>
    <w:rsid w:val="006667B5"/>
    <w:rsid w:val="00677D1D"/>
    <w:rsid w:val="00685433"/>
    <w:rsid w:val="00685C91"/>
    <w:rsid w:val="00692AC4"/>
    <w:rsid w:val="00693C20"/>
    <w:rsid w:val="006948FE"/>
    <w:rsid w:val="006A0495"/>
    <w:rsid w:val="006A6FF6"/>
    <w:rsid w:val="006B0BC3"/>
    <w:rsid w:val="006B19C5"/>
    <w:rsid w:val="006B3BAC"/>
    <w:rsid w:val="006C1C4D"/>
    <w:rsid w:val="006C421E"/>
    <w:rsid w:val="006C5A1E"/>
    <w:rsid w:val="006C6BF0"/>
    <w:rsid w:val="006D455F"/>
    <w:rsid w:val="006E2DB5"/>
    <w:rsid w:val="006F3EEF"/>
    <w:rsid w:val="006F640A"/>
    <w:rsid w:val="007005C7"/>
    <w:rsid w:val="00700928"/>
    <w:rsid w:val="0071291E"/>
    <w:rsid w:val="00713F0C"/>
    <w:rsid w:val="007230A7"/>
    <w:rsid w:val="0072556D"/>
    <w:rsid w:val="0073005A"/>
    <w:rsid w:val="007458CD"/>
    <w:rsid w:val="00746B82"/>
    <w:rsid w:val="00767A44"/>
    <w:rsid w:val="0078405E"/>
    <w:rsid w:val="0078507D"/>
    <w:rsid w:val="007867F1"/>
    <w:rsid w:val="007A114F"/>
    <w:rsid w:val="007A1C8C"/>
    <w:rsid w:val="007B3CEB"/>
    <w:rsid w:val="007C1AE6"/>
    <w:rsid w:val="007C7C26"/>
    <w:rsid w:val="007D20D2"/>
    <w:rsid w:val="007D3C7A"/>
    <w:rsid w:val="007D6740"/>
    <w:rsid w:val="007E0DD6"/>
    <w:rsid w:val="007F0AB4"/>
    <w:rsid w:val="007F2FDF"/>
    <w:rsid w:val="007F59CA"/>
    <w:rsid w:val="00803192"/>
    <w:rsid w:val="00803FC5"/>
    <w:rsid w:val="008049CE"/>
    <w:rsid w:val="008057A9"/>
    <w:rsid w:val="00811032"/>
    <w:rsid w:val="00815217"/>
    <w:rsid w:val="00821BD4"/>
    <w:rsid w:val="00823827"/>
    <w:rsid w:val="008273CA"/>
    <w:rsid w:val="00836B86"/>
    <w:rsid w:val="00847117"/>
    <w:rsid w:val="0085025D"/>
    <w:rsid w:val="00853B0A"/>
    <w:rsid w:val="00853ECD"/>
    <w:rsid w:val="008613DD"/>
    <w:rsid w:val="0086646A"/>
    <w:rsid w:val="008738B7"/>
    <w:rsid w:val="008816F3"/>
    <w:rsid w:val="00883C1B"/>
    <w:rsid w:val="00884BDA"/>
    <w:rsid w:val="00891889"/>
    <w:rsid w:val="0089789C"/>
    <w:rsid w:val="008A1252"/>
    <w:rsid w:val="008A1E16"/>
    <w:rsid w:val="008C0F18"/>
    <w:rsid w:val="008C153B"/>
    <w:rsid w:val="008C206A"/>
    <w:rsid w:val="008C42B2"/>
    <w:rsid w:val="008D2B53"/>
    <w:rsid w:val="008D3D3A"/>
    <w:rsid w:val="008E32B7"/>
    <w:rsid w:val="008E378C"/>
    <w:rsid w:val="008E4AE5"/>
    <w:rsid w:val="008F13C8"/>
    <w:rsid w:val="00902447"/>
    <w:rsid w:val="009037F3"/>
    <w:rsid w:val="0091649F"/>
    <w:rsid w:val="0092216A"/>
    <w:rsid w:val="00923A65"/>
    <w:rsid w:val="00927282"/>
    <w:rsid w:val="00930813"/>
    <w:rsid w:val="00931B26"/>
    <w:rsid w:val="009338BA"/>
    <w:rsid w:val="00942E33"/>
    <w:rsid w:val="00945F4A"/>
    <w:rsid w:val="00946E7E"/>
    <w:rsid w:val="009471A8"/>
    <w:rsid w:val="009544CE"/>
    <w:rsid w:val="00957106"/>
    <w:rsid w:val="0096035B"/>
    <w:rsid w:val="009612AE"/>
    <w:rsid w:val="009613FF"/>
    <w:rsid w:val="009634B3"/>
    <w:rsid w:val="00963851"/>
    <w:rsid w:val="00985436"/>
    <w:rsid w:val="00994C53"/>
    <w:rsid w:val="009A0E8D"/>
    <w:rsid w:val="009A5BDA"/>
    <w:rsid w:val="009B7E76"/>
    <w:rsid w:val="009C2D1A"/>
    <w:rsid w:val="009C4AA5"/>
    <w:rsid w:val="009F4D31"/>
    <w:rsid w:val="00A0687F"/>
    <w:rsid w:val="00A179AE"/>
    <w:rsid w:val="00A30F1C"/>
    <w:rsid w:val="00A3274B"/>
    <w:rsid w:val="00A3618E"/>
    <w:rsid w:val="00A477B6"/>
    <w:rsid w:val="00A56461"/>
    <w:rsid w:val="00A62E9A"/>
    <w:rsid w:val="00A86CEC"/>
    <w:rsid w:val="00AA24CF"/>
    <w:rsid w:val="00AB163E"/>
    <w:rsid w:val="00AB6AA1"/>
    <w:rsid w:val="00AC4F1B"/>
    <w:rsid w:val="00AC7402"/>
    <w:rsid w:val="00AD093D"/>
    <w:rsid w:val="00AE3271"/>
    <w:rsid w:val="00AF10DC"/>
    <w:rsid w:val="00AF496F"/>
    <w:rsid w:val="00AF57EA"/>
    <w:rsid w:val="00AF5D4D"/>
    <w:rsid w:val="00B0307F"/>
    <w:rsid w:val="00B042C4"/>
    <w:rsid w:val="00B05EE4"/>
    <w:rsid w:val="00B07209"/>
    <w:rsid w:val="00B10113"/>
    <w:rsid w:val="00B16996"/>
    <w:rsid w:val="00B26415"/>
    <w:rsid w:val="00B266CD"/>
    <w:rsid w:val="00B33357"/>
    <w:rsid w:val="00B3483F"/>
    <w:rsid w:val="00B34FB4"/>
    <w:rsid w:val="00B358EC"/>
    <w:rsid w:val="00B36906"/>
    <w:rsid w:val="00B45C76"/>
    <w:rsid w:val="00B47871"/>
    <w:rsid w:val="00B518E0"/>
    <w:rsid w:val="00B54375"/>
    <w:rsid w:val="00B65E2B"/>
    <w:rsid w:val="00B722DC"/>
    <w:rsid w:val="00B81110"/>
    <w:rsid w:val="00B82BBC"/>
    <w:rsid w:val="00B871BE"/>
    <w:rsid w:val="00B9233E"/>
    <w:rsid w:val="00B96361"/>
    <w:rsid w:val="00B969B1"/>
    <w:rsid w:val="00BA706E"/>
    <w:rsid w:val="00BB2C8B"/>
    <w:rsid w:val="00BB5AD9"/>
    <w:rsid w:val="00BB638E"/>
    <w:rsid w:val="00BC646B"/>
    <w:rsid w:val="00BC7457"/>
    <w:rsid w:val="00BC7E43"/>
    <w:rsid w:val="00BD0AE8"/>
    <w:rsid w:val="00BD5A8F"/>
    <w:rsid w:val="00BF3078"/>
    <w:rsid w:val="00C07402"/>
    <w:rsid w:val="00C1758A"/>
    <w:rsid w:val="00C31BE7"/>
    <w:rsid w:val="00C36D81"/>
    <w:rsid w:val="00C47515"/>
    <w:rsid w:val="00C50250"/>
    <w:rsid w:val="00C53140"/>
    <w:rsid w:val="00C577E8"/>
    <w:rsid w:val="00C64C41"/>
    <w:rsid w:val="00C74178"/>
    <w:rsid w:val="00C75C4E"/>
    <w:rsid w:val="00C93212"/>
    <w:rsid w:val="00C9348F"/>
    <w:rsid w:val="00C9476F"/>
    <w:rsid w:val="00C95377"/>
    <w:rsid w:val="00C96F6D"/>
    <w:rsid w:val="00CA688A"/>
    <w:rsid w:val="00CB1DA1"/>
    <w:rsid w:val="00CB23E4"/>
    <w:rsid w:val="00CB3C04"/>
    <w:rsid w:val="00CC6EA4"/>
    <w:rsid w:val="00CC7680"/>
    <w:rsid w:val="00CD278C"/>
    <w:rsid w:val="00CD347B"/>
    <w:rsid w:val="00CD4982"/>
    <w:rsid w:val="00CE3E96"/>
    <w:rsid w:val="00CE6935"/>
    <w:rsid w:val="00CE7BAB"/>
    <w:rsid w:val="00CF16FF"/>
    <w:rsid w:val="00CF1B0F"/>
    <w:rsid w:val="00D00762"/>
    <w:rsid w:val="00D07924"/>
    <w:rsid w:val="00D111B5"/>
    <w:rsid w:val="00D119F1"/>
    <w:rsid w:val="00D274D6"/>
    <w:rsid w:val="00D30693"/>
    <w:rsid w:val="00D30FC6"/>
    <w:rsid w:val="00D36434"/>
    <w:rsid w:val="00D42570"/>
    <w:rsid w:val="00D52276"/>
    <w:rsid w:val="00D5337A"/>
    <w:rsid w:val="00D54264"/>
    <w:rsid w:val="00D60AF6"/>
    <w:rsid w:val="00D71857"/>
    <w:rsid w:val="00D746BE"/>
    <w:rsid w:val="00D7783D"/>
    <w:rsid w:val="00D82FF7"/>
    <w:rsid w:val="00D83953"/>
    <w:rsid w:val="00D86134"/>
    <w:rsid w:val="00D87210"/>
    <w:rsid w:val="00D91CFD"/>
    <w:rsid w:val="00D920D4"/>
    <w:rsid w:val="00DA01C6"/>
    <w:rsid w:val="00DA5186"/>
    <w:rsid w:val="00DA639F"/>
    <w:rsid w:val="00DC3094"/>
    <w:rsid w:val="00DD4314"/>
    <w:rsid w:val="00DD55EF"/>
    <w:rsid w:val="00DE2824"/>
    <w:rsid w:val="00DE32DA"/>
    <w:rsid w:val="00DF1CB0"/>
    <w:rsid w:val="00DF58A1"/>
    <w:rsid w:val="00E02A43"/>
    <w:rsid w:val="00E04937"/>
    <w:rsid w:val="00E06C1C"/>
    <w:rsid w:val="00E13548"/>
    <w:rsid w:val="00E2119A"/>
    <w:rsid w:val="00E268ED"/>
    <w:rsid w:val="00E33FF5"/>
    <w:rsid w:val="00E3738A"/>
    <w:rsid w:val="00E62CDF"/>
    <w:rsid w:val="00E63055"/>
    <w:rsid w:val="00E763A1"/>
    <w:rsid w:val="00E959AC"/>
    <w:rsid w:val="00EB59C8"/>
    <w:rsid w:val="00EC46FB"/>
    <w:rsid w:val="00EC4924"/>
    <w:rsid w:val="00ED117F"/>
    <w:rsid w:val="00EF6CED"/>
    <w:rsid w:val="00F004B1"/>
    <w:rsid w:val="00F04CCD"/>
    <w:rsid w:val="00F05578"/>
    <w:rsid w:val="00F149C1"/>
    <w:rsid w:val="00F4066A"/>
    <w:rsid w:val="00F40EF6"/>
    <w:rsid w:val="00F4176A"/>
    <w:rsid w:val="00F636BB"/>
    <w:rsid w:val="00F653F4"/>
    <w:rsid w:val="00F67F2E"/>
    <w:rsid w:val="00F73812"/>
    <w:rsid w:val="00F83204"/>
    <w:rsid w:val="00F84654"/>
    <w:rsid w:val="00F93CE3"/>
    <w:rsid w:val="00FA6E03"/>
    <w:rsid w:val="00FA7F8B"/>
    <w:rsid w:val="00FB1CCB"/>
    <w:rsid w:val="00FC1495"/>
    <w:rsid w:val="00FC37F2"/>
    <w:rsid w:val="00FD4000"/>
    <w:rsid w:val="00FF2FEF"/>
    <w:rsid w:val="00FF3AE5"/>
    <w:rsid w:val="00FF4CD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713F0C"/>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paragraph" w:styleId="BodyText">
    <w:name w:val="Body Text"/>
    <w:basedOn w:val="Normal"/>
    <w:link w:val="ZkladntextChar"/>
    <w:uiPriority w:val="99"/>
    <w:rsid w:val="00713F0C"/>
    <w:pPr>
      <w:widowControl w:val="0"/>
      <w:jc w:val="left"/>
    </w:pPr>
    <w:rPr>
      <w:color w:val="00000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character" w:customStyle="1" w:styleId="Textzstupnhosymbolu1">
    <w:name w:val="Text zástupného symbolu1"/>
    <w:semiHidden/>
    <w:rsid w:val="00D91CFD"/>
    <w:rPr>
      <w:rFonts w:ascii="Times New Roman" w:hAnsi="Times New Roman" w:cs="Times New Roman"/>
      <w:color w:val="808080"/>
    </w:rPr>
  </w:style>
  <w:style w:type="paragraph" w:styleId="ListParagraph">
    <w:name w:val="List Paragraph"/>
    <w:basedOn w:val="Normal"/>
    <w:uiPriority w:val="34"/>
    <w:qFormat/>
    <w:rsid w:val="00D91CFD"/>
    <w:pPr>
      <w:suppressAutoHyphens/>
      <w:ind w:left="708" w:firstLine="284"/>
      <w:jc w:val="left"/>
    </w:pPr>
    <w:rPr>
      <w:rFonts w:cs="Calibri"/>
      <w:szCs w:val="22"/>
      <w:lang w:eastAsia="ar-SA"/>
    </w:rPr>
  </w:style>
  <w:style w:type="character" w:customStyle="1" w:styleId="Zkladntext">
    <w:name w:val="Základný text_"/>
    <w:link w:val="Zkladntext1"/>
    <w:locked/>
    <w:rsid w:val="00D91CFD"/>
    <w:rPr>
      <w:sz w:val="21"/>
      <w:shd w:val="clear" w:color="auto" w:fill="FFFFFF"/>
    </w:rPr>
  </w:style>
  <w:style w:type="paragraph" w:customStyle="1" w:styleId="Zkladntext1">
    <w:name w:val="Základný text1"/>
    <w:basedOn w:val="Normal"/>
    <w:link w:val="Zkladntext"/>
    <w:rsid w:val="00D91CFD"/>
    <w:pPr>
      <w:shd w:val="clear" w:color="auto" w:fill="FFFFFF"/>
      <w:spacing w:before="540" w:after="180" w:line="240" w:lineRule="atLeast"/>
      <w:ind w:hanging="280"/>
      <w:jc w:val="left"/>
    </w:pPr>
    <w:rPr>
      <w:sz w:val="21"/>
      <w:szCs w:val="20"/>
    </w:rPr>
  </w:style>
  <w:style w:type="paragraph" w:styleId="BodyText2">
    <w:name w:val="Body Text 2"/>
    <w:basedOn w:val="Normal"/>
    <w:link w:val="Zkladntext2Char"/>
    <w:uiPriority w:val="99"/>
    <w:rsid w:val="007B3CEB"/>
    <w:pPr>
      <w:spacing w:after="120" w:line="480" w:lineRule="auto"/>
      <w:jc w:val="left"/>
    </w:pPr>
  </w:style>
  <w:style w:type="character" w:customStyle="1" w:styleId="Zkladntext2Char">
    <w:name w:val="Základný text 2 Char"/>
    <w:basedOn w:val="DefaultParagraphFont"/>
    <w:link w:val="BodyText2"/>
    <w:uiPriority w:val="99"/>
    <w:locked/>
    <w:rsid w:val="007B3CEB"/>
    <w:rPr>
      <w:rFonts w:cs="Times New Roman"/>
      <w:sz w:val="24"/>
      <w:szCs w:val="24"/>
      <w:rtl w:val="0"/>
      <w:cs w:val="0"/>
    </w:rPr>
  </w:style>
  <w:style w:type="paragraph" w:styleId="Header">
    <w:name w:val="header"/>
    <w:basedOn w:val="Normal"/>
    <w:link w:val="HlavikaChar"/>
    <w:uiPriority w:val="99"/>
    <w:rsid w:val="00CA688A"/>
    <w:pPr>
      <w:tabs>
        <w:tab w:val="center" w:pos="4536"/>
        <w:tab w:val="right" w:pos="9072"/>
      </w:tabs>
      <w:jc w:val="left"/>
    </w:pPr>
  </w:style>
  <w:style w:type="character" w:customStyle="1" w:styleId="HlavikaChar">
    <w:name w:val="Hlavička Char"/>
    <w:basedOn w:val="DefaultParagraphFont"/>
    <w:link w:val="Header"/>
    <w:uiPriority w:val="99"/>
    <w:locked/>
    <w:rsid w:val="00CA688A"/>
    <w:rPr>
      <w:rFonts w:cs="Times New Roman"/>
      <w:sz w:val="24"/>
      <w:szCs w:val="24"/>
      <w:rtl w:val="0"/>
      <w:cs w:val="0"/>
    </w:rPr>
  </w:style>
  <w:style w:type="paragraph" w:styleId="Footer">
    <w:name w:val="footer"/>
    <w:basedOn w:val="Normal"/>
    <w:link w:val="PtaChar"/>
    <w:uiPriority w:val="99"/>
    <w:rsid w:val="00CA688A"/>
    <w:pPr>
      <w:tabs>
        <w:tab w:val="center" w:pos="4536"/>
        <w:tab w:val="right" w:pos="9072"/>
      </w:tabs>
      <w:jc w:val="left"/>
    </w:pPr>
  </w:style>
  <w:style w:type="character" w:customStyle="1" w:styleId="PtaChar">
    <w:name w:val="Päta Char"/>
    <w:basedOn w:val="DefaultParagraphFont"/>
    <w:link w:val="Footer"/>
    <w:uiPriority w:val="99"/>
    <w:locked/>
    <w:rsid w:val="00CA688A"/>
    <w:rPr>
      <w:rFonts w:cs="Times New Roman"/>
      <w:sz w:val="24"/>
      <w:szCs w:val="24"/>
      <w:rtl w:val="0"/>
      <w:cs w:val="0"/>
    </w:rPr>
  </w:style>
  <w:style w:type="table" w:styleId="TableGrid">
    <w:name w:val="Table Grid"/>
    <w:basedOn w:val="TableNormal"/>
    <w:uiPriority w:val="59"/>
    <w:rsid w:val="0012480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80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styleId="Hyperlink">
    <w:name w:val="Hyperlink"/>
    <w:basedOn w:val="DefaultParagraphFont"/>
    <w:uiPriority w:val="99"/>
    <w:unhideWhenUsed/>
    <w:rsid w:val="00124802"/>
    <w:rPr>
      <w:rFonts w:cs="Times New Roman"/>
      <w:color w:val="0000FF"/>
      <w:u w:val="single"/>
      <w:rtl w:val="0"/>
      <w:cs w:val="0"/>
    </w:rPr>
  </w:style>
  <w:style w:type="paragraph" w:styleId="Quote">
    <w:name w:val="Quote"/>
    <w:basedOn w:val="Normal"/>
    <w:next w:val="Normal"/>
    <w:link w:val="CitciaChar"/>
    <w:uiPriority w:val="29"/>
    <w:qFormat/>
    <w:rsid w:val="00124802"/>
    <w:pPr>
      <w:spacing w:before="200" w:after="160"/>
      <w:ind w:left="864" w:right="864"/>
      <w:jc w:val="center"/>
    </w:pPr>
    <w:rPr>
      <w:i/>
      <w:iCs/>
      <w:color w:val="404040"/>
      <w:sz w:val="20"/>
      <w:szCs w:val="20"/>
    </w:rPr>
  </w:style>
  <w:style w:type="character" w:customStyle="1" w:styleId="CitciaChar">
    <w:name w:val="Citácia Char"/>
    <w:basedOn w:val="DefaultParagraphFont"/>
    <w:link w:val="Quote"/>
    <w:uiPriority w:val="29"/>
    <w:locked/>
    <w:rsid w:val="00124802"/>
    <w:rPr>
      <w:rFonts w:cs="Times New Roman"/>
      <w:i/>
      <w:iCs/>
      <w:color w:val="404040"/>
      <w:rtl w:val="0"/>
      <w:cs w:val="0"/>
    </w:rPr>
  </w:style>
  <w:style w:type="paragraph" w:styleId="BodyTextIndent">
    <w:name w:val="Body Text Indent"/>
    <w:basedOn w:val="Normal"/>
    <w:link w:val="ZarkazkladnhotextuChar"/>
    <w:uiPriority w:val="99"/>
    <w:rsid w:val="00150BE9"/>
    <w:pPr>
      <w:spacing w:after="120"/>
      <w:ind w:left="283"/>
      <w:jc w:val="left"/>
    </w:pPr>
  </w:style>
  <w:style w:type="character" w:customStyle="1" w:styleId="ZarkazkladnhotextuChar">
    <w:name w:val="Zarážka základného textu Char"/>
    <w:basedOn w:val="DefaultParagraphFont"/>
    <w:link w:val="BodyTextIndent"/>
    <w:uiPriority w:val="99"/>
    <w:locked/>
    <w:rsid w:val="00150BE9"/>
    <w:rPr>
      <w:rFonts w:cs="Times New Roman"/>
      <w:sz w:val="24"/>
      <w:szCs w:val="24"/>
      <w:rtl w:val="0"/>
      <w:cs w:val="0"/>
    </w:rPr>
  </w:style>
  <w:style w:type="paragraph" w:styleId="Title">
    <w:name w:val="Title"/>
    <w:basedOn w:val="Normal"/>
    <w:link w:val="NzovChar"/>
    <w:uiPriority w:val="10"/>
    <w:qFormat/>
    <w:rsid w:val="00150BE9"/>
    <w:pPr>
      <w:jc w:val="center"/>
    </w:pPr>
    <w:rPr>
      <w:b/>
      <w:bCs/>
    </w:rPr>
  </w:style>
  <w:style w:type="character" w:customStyle="1" w:styleId="NzovChar">
    <w:name w:val="Názov Char"/>
    <w:basedOn w:val="DefaultParagraphFont"/>
    <w:link w:val="Title"/>
    <w:uiPriority w:val="10"/>
    <w:locked/>
    <w:rsid w:val="00150BE9"/>
    <w:rPr>
      <w:rFonts w:cs="Times New Roman"/>
      <w:b/>
      <w:bCs/>
      <w:sz w:val="24"/>
      <w:szCs w:val="24"/>
      <w:rtl w:val="0"/>
      <w:cs w:val="0"/>
    </w:rPr>
  </w:style>
  <w:style w:type="character" w:styleId="PageNumber">
    <w:name w:val="page number"/>
    <w:basedOn w:val="DefaultParagraphFont"/>
    <w:uiPriority w:val="99"/>
    <w:rsid w:val="00677D1D"/>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briel.droba@mfsr.s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28</Pages>
  <Words>10215</Words>
  <Characters>58229</Characters>
  <Application>Microsoft Office Word</Application>
  <DocSecurity>0</DocSecurity>
  <Lines>0</Lines>
  <Paragraphs>0</Paragraphs>
  <ScaleCrop>false</ScaleCrop>
  <Company/>
  <LinksUpToDate>false</LinksUpToDate>
  <CharactersWithSpaces>68308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Emil Matko</dc:creator>
  <cp:lastModifiedBy>Droba Gabriel</cp:lastModifiedBy>
  <cp:revision>5</cp:revision>
  <cp:lastPrinted>2015-04-15T09:23:00Z</cp:lastPrinted>
  <dcterms:created xsi:type="dcterms:W3CDTF">2018-05-18T14:23:00Z</dcterms:created>
  <dcterms:modified xsi:type="dcterms:W3CDTF">2018-05-23T12:16:00Z</dcterms:modified>
</cp:coreProperties>
</file>