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6139BF" w:rsidP="00CD246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6139BF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6139BF" w:rsidP="00CD246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6139BF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6139BF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1724E" w:rsidRPr="006139BF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139BF" w:rsidR="00E963A3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</w:t>
      </w:r>
      <w:r w:rsidRPr="006139BF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6139BF" w:rsidR="00E963A3">
        <w:rPr>
          <w:rFonts w:ascii="Times New Roman" w:hAnsi="Times New Roman"/>
          <w:b/>
          <w:bCs/>
          <w:sz w:val="24"/>
          <w:szCs w:val="24"/>
          <w:lang w:eastAsia="sk-SK"/>
        </w:rPr>
        <w:t>návrhu</w:t>
      </w:r>
    </w:p>
    <w:p w:rsidR="00C14DCC" w:rsidRPr="006139BF" w:rsidP="00CD2466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4A5901" w:rsidRPr="004E565D" w:rsidP="004E565D">
      <w:pPr>
        <w:bidi w:val="0"/>
        <w:spacing w:after="0" w:line="240" w:lineRule="auto"/>
        <w:ind w:left="7080" w:firstLine="708"/>
        <w:jc w:val="center"/>
        <w:rPr>
          <w:rFonts w:ascii="Times New Roman" w:hAnsi="Times New Roman"/>
          <w:sz w:val="20"/>
          <w:szCs w:val="20"/>
          <w:lang w:eastAsia="sk-SK"/>
        </w:rPr>
      </w:pPr>
      <w:r w:rsidRPr="006139BF" w:rsidR="007D5748">
        <w:rPr>
          <w:rFonts w:ascii="Times New Roman" w:hAnsi="Times New Roman"/>
          <w:sz w:val="20"/>
          <w:szCs w:val="20"/>
          <w:lang w:eastAsia="sk-SK"/>
        </w:rPr>
        <w:t>Tabuľka č. 1</w:t>
      </w:r>
    </w:p>
    <w:tbl>
      <w:tblPr>
        <w:tblStyle w:val="TableNormal"/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80"/>
        <w:gridCol w:w="960"/>
        <w:gridCol w:w="1020"/>
        <w:gridCol w:w="1020"/>
        <w:gridCol w:w="1020"/>
      </w:tblGrid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480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40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rozpočet verejnej správy v eurách 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23 477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59 891 125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 (Všeobecná pokladničná správa)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-7 813 749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-2 927 193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-1 254 511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16 807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71 521 114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verejné zdravotné poistenie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6 670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365 463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6 051 126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14 406 113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11 421 361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v tom: za každý subjekt verejnej správy / program zvlášť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 (MPSVR SR – 07C06 Nesystémové dávky sociálneho poistenia)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ind w:firstLine="200" w:firstLineChars="100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6 051 126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14 406 113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11 421 361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verejné zdravotné poistenie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307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307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61 782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3 385 344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61 782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3 385 344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-vplyv na štátny rozpočet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 vplyv na rozpočet Sociálnej poisťovne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>- vplyv na verejné zdravotné poistenie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6 051 126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14 406 113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64641C" w:rsidRPr="0064641C" w:rsidP="0064641C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64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23 416 813</w:t>
            </w:r>
          </w:p>
        </w:tc>
      </w:tr>
    </w:tbl>
    <w:p w:rsidR="0064641C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4641C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6139BF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139BF" w:rsidR="007273C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</w:t>
      </w:r>
      <w:r w:rsidRPr="006139BF" w:rsidR="00866FE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                          </w:t>
      </w:r>
      <w:r w:rsidRPr="006139BF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6139BF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407B5E" w:rsidP="00CD24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="00F67319">
        <w:rPr>
          <w:rFonts w:ascii="Times New Roman" w:hAnsi="Times New Roman"/>
          <w:bCs/>
          <w:lang w:eastAsia="sk-SK"/>
        </w:rPr>
        <w:t>Predpokladané zvýšené výdavky v rokoch 2019 až 2021 súvisiace so zvýšenými výdavkami na aktualizáciu a úpravu informačného systému, mzdové výdavky na dodatočných zamestnancov a n</w:t>
      </w:r>
      <w:r w:rsidRPr="006139BF" w:rsidR="00F67319">
        <w:rPr>
          <w:rFonts w:ascii="Times New Roman" w:hAnsi="Times New Roman"/>
          <w:bCs/>
          <w:lang w:eastAsia="sk-SK"/>
        </w:rPr>
        <w:t xml:space="preserve">árast výdavkov fondu nemocenského poistenia v rokoch 2019 až 2021 v súvislosti so zavedením súbežného poberania materského </w:t>
      </w:r>
      <w:r w:rsidR="00F67319">
        <w:rPr>
          <w:rFonts w:ascii="Times New Roman" w:hAnsi="Times New Roman"/>
          <w:bCs/>
          <w:lang w:eastAsia="sk-SK"/>
        </w:rPr>
        <w:t xml:space="preserve">budú riešené v rámci návrhu rozpočtu Sociálnej poisťovne na rok 2019 a rozpočtového výhľadu na roky 2020 až 2021. </w:t>
      </w:r>
    </w:p>
    <w:p w:rsidR="001B2749" w:rsidRPr="006139BF" w:rsidP="001B27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6139BF">
        <w:rPr>
          <w:rFonts w:ascii="Times New Roman" w:hAnsi="Times New Roman"/>
          <w:bCs/>
          <w:lang w:eastAsia="sk-SK"/>
        </w:rPr>
        <w:t>Pokles príjmov štá</w:t>
      </w:r>
      <w:r>
        <w:rPr>
          <w:rFonts w:ascii="Times New Roman" w:hAnsi="Times New Roman"/>
          <w:bCs/>
          <w:lang w:eastAsia="sk-SK"/>
        </w:rPr>
        <w:t xml:space="preserve">tneho rozpočtu v roku </w:t>
      </w:r>
      <w:r w:rsidRPr="006139BF">
        <w:rPr>
          <w:rFonts w:ascii="Times New Roman" w:hAnsi="Times New Roman"/>
          <w:bCs/>
          <w:lang w:eastAsia="sk-SK"/>
        </w:rPr>
        <w:t>2021</w:t>
      </w:r>
      <w:r>
        <w:rPr>
          <w:rFonts w:ascii="Times New Roman" w:hAnsi="Times New Roman"/>
          <w:bCs/>
          <w:lang w:eastAsia="sk-SK"/>
        </w:rPr>
        <w:t xml:space="preserve"> bude riešený v rámci návrhu rozpočtu verejnej správy na roky 2019 až 2021.</w:t>
      </w:r>
      <w:r w:rsidRPr="006139BF">
        <w:rPr>
          <w:rFonts w:ascii="Times New Roman" w:hAnsi="Times New Roman"/>
          <w:bCs/>
          <w:lang w:eastAsia="sk-SK"/>
        </w:rPr>
        <w:t xml:space="preserve"> </w:t>
      </w:r>
    </w:p>
    <w:p w:rsidR="001B2749" w:rsidRPr="001B2749" w:rsidP="00CD24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6139BF">
        <w:rPr>
          <w:rFonts w:ascii="Times New Roman" w:hAnsi="Times New Roman"/>
          <w:bCs/>
          <w:lang w:eastAsia="sk-SK"/>
        </w:rPr>
        <w:t xml:space="preserve">Pokles príjmov obcí a vyšších </w:t>
      </w:r>
      <w:r>
        <w:rPr>
          <w:rFonts w:ascii="Times New Roman" w:hAnsi="Times New Roman"/>
          <w:bCs/>
          <w:lang w:eastAsia="sk-SK"/>
        </w:rPr>
        <w:t>územných celkov v roku</w:t>
      </w:r>
      <w:r w:rsidRPr="006139BF">
        <w:rPr>
          <w:rFonts w:ascii="Times New Roman" w:hAnsi="Times New Roman"/>
          <w:bCs/>
          <w:lang w:eastAsia="sk-SK"/>
        </w:rPr>
        <w:t xml:space="preserve"> 2021</w:t>
      </w:r>
      <w:r>
        <w:rPr>
          <w:rFonts w:ascii="Times New Roman" w:hAnsi="Times New Roman"/>
          <w:bCs/>
          <w:lang w:eastAsia="sk-SK"/>
        </w:rPr>
        <w:t xml:space="preserve"> bude riešený v rámci návrhu rozpočtu verejnej správy na roky 2019 až 2021.</w:t>
      </w:r>
    </w:p>
    <w:p w:rsidR="00B8137F" w:rsidRPr="006139BF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6139BF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139BF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2439B0" w:rsidRPr="006139BF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139BF" w:rsidR="00176F52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9E2092" w:rsidRPr="006139BF" w:rsidP="00CD2466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73484" w:rsidP="004D5843">
      <w:pPr>
        <w:bidi w:val="0"/>
        <w:spacing w:after="0"/>
        <w:jc w:val="both"/>
        <w:rPr>
          <w:rFonts w:ascii="Times New Roman" w:hAnsi="Times New Roman"/>
          <w:color w:val="000000"/>
        </w:rPr>
      </w:pPr>
      <w:r w:rsidRPr="006139BF" w:rsidR="00893B84">
        <w:rPr>
          <w:rFonts w:ascii="Times New Roman" w:hAnsi="Times New Roman"/>
          <w:color w:val="000000"/>
        </w:rPr>
        <w:t xml:space="preserve">Účelom navrhovanej právnej úpravy je najmä zavedenie </w:t>
      </w:r>
      <w:r w:rsidRPr="006139BF">
        <w:rPr>
          <w:rFonts w:ascii="Times New Roman" w:hAnsi="Times New Roman"/>
          <w:color w:val="000000"/>
        </w:rPr>
        <w:t>ročného zúčtovania</w:t>
      </w:r>
      <w:r w:rsidRPr="006139BF" w:rsidR="00913F1D">
        <w:rPr>
          <w:rFonts w:ascii="Times New Roman" w:hAnsi="Times New Roman"/>
          <w:color w:val="000000"/>
        </w:rPr>
        <w:t xml:space="preserve"> preddavkov</w:t>
      </w:r>
      <w:r w:rsidRPr="006139BF">
        <w:rPr>
          <w:rFonts w:ascii="Times New Roman" w:hAnsi="Times New Roman"/>
          <w:color w:val="000000"/>
        </w:rPr>
        <w:t xml:space="preserve"> v sociálnom poistení, čím dôjde k</w:t>
      </w:r>
      <w:r w:rsidRPr="006139BF" w:rsidR="00B910BB">
        <w:rPr>
          <w:rFonts w:ascii="Times New Roman" w:hAnsi="Times New Roman"/>
          <w:color w:val="000000"/>
        </w:rPr>
        <w:t>  obmedzeniu</w:t>
      </w:r>
      <w:r w:rsidRPr="006139BF">
        <w:rPr>
          <w:rFonts w:ascii="Times New Roman" w:hAnsi="Times New Roman"/>
          <w:color w:val="000000"/>
        </w:rPr>
        <w:t xml:space="preserve"> odvodovej optimalizácie subjektov</w:t>
      </w:r>
      <w:r w:rsidRPr="006139BF" w:rsidR="00B910BB">
        <w:rPr>
          <w:rFonts w:ascii="Times New Roman" w:hAnsi="Times New Roman"/>
          <w:color w:val="000000"/>
        </w:rPr>
        <w:t xml:space="preserve"> platiacich poistné do Sociálnej poisťovne</w:t>
      </w:r>
      <w:r w:rsidRPr="006139BF" w:rsidR="00913F1D">
        <w:rPr>
          <w:rFonts w:ascii="Times New Roman" w:hAnsi="Times New Roman"/>
          <w:color w:val="000000"/>
        </w:rPr>
        <w:t xml:space="preserve">. Ďalším </w:t>
      </w:r>
      <w:r w:rsidRPr="006139BF" w:rsidR="00B910BB">
        <w:rPr>
          <w:rFonts w:ascii="Times New Roman" w:hAnsi="Times New Roman"/>
          <w:color w:val="000000"/>
        </w:rPr>
        <w:t>opatrením</w:t>
      </w:r>
      <w:r w:rsidRPr="006139BF" w:rsidR="00913F1D">
        <w:rPr>
          <w:rFonts w:ascii="Times New Roman" w:hAnsi="Times New Roman"/>
          <w:color w:val="000000"/>
        </w:rPr>
        <w:t xml:space="preserve"> navrhovanej právnej úpravy je</w:t>
      </w:r>
      <w:r w:rsidRPr="006139BF">
        <w:rPr>
          <w:rFonts w:ascii="Times New Roman" w:hAnsi="Times New Roman"/>
          <w:color w:val="000000"/>
        </w:rPr>
        <w:t> </w:t>
      </w:r>
      <w:r w:rsidRPr="006139BF" w:rsidR="00E444BE">
        <w:rPr>
          <w:rFonts w:ascii="Times New Roman" w:hAnsi="Times New Roman"/>
          <w:color w:val="000000"/>
        </w:rPr>
        <w:t>úprava zákona o sociálnom poistení v súvislosti so súbežným poberaním dávky materské.</w:t>
      </w:r>
    </w:p>
    <w:p w:rsidR="008545D4" w:rsidRPr="006139BF" w:rsidP="004D5843">
      <w:pPr>
        <w:bidi w:val="0"/>
        <w:spacing w:after="0"/>
        <w:jc w:val="both"/>
        <w:rPr>
          <w:rFonts w:ascii="Times New Roman" w:hAnsi="Times New Roman"/>
          <w:color w:val="000000"/>
        </w:rPr>
      </w:pPr>
    </w:p>
    <w:p w:rsidR="00DE392D" w:rsidRPr="006139BF" w:rsidP="00DE392D">
      <w:pPr>
        <w:bidi w:val="0"/>
        <w:spacing w:after="0"/>
        <w:jc w:val="both"/>
        <w:rPr>
          <w:rFonts w:ascii="Times New Roman" w:hAnsi="Times New Roman"/>
          <w:color w:val="000000"/>
        </w:rPr>
      </w:pPr>
      <w:r w:rsidR="00F67319">
        <w:rPr>
          <w:rFonts w:ascii="Times New Roman" w:hAnsi="Times New Roman"/>
          <w:color w:val="000000"/>
        </w:rPr>
        <w:t>Navrhuje sa:</w:t>
      </w:r>
      <w:r w:rsidRPr="006139BF" w:rsidR="00D05783">
        <w:rPr>
          <w:rFonts w:ascii="Times New Roman" w:hAnsi="Times New Roman"/>
          <w:color w:val="000000"/>
        </w:rPr>
        <w:t xml:space="preserve"> </w:t>
      </w:r>
      <w:r w:rsidRPr="006139BF" w:rsidR="008F49A8">
        <w:rPr>
          <w:rFonts w:ascii="Times New Roman" w:hAnsi="Times New Roman"/>
          <w:color w:val="000000"/>
        </w:rPr>
        <w:t xml:space="preserve"> </w:t>
      </w:r>
    </w:p>
    <w:p w:rsidR="00913F1D" w:rsidRPr="006139BF" w:rsidP="00913F1D">
      <w:pPr>
        <w:bidi w:val="0"/>
        <w:jc w:val="both"/>
        <w:rPr>
          <w:rFonts w:ascii="Times New Roman" w:hAnsi="Times New Roman"/>
          <w:color w:val="000000"/>
        </w:rPr>
      </w:pPr>
      <w:r w:rsidRPr="006139BF" w:rsidR="003D394F">
        <w:rPr>
          <w:rFonts w:ascii="Times New Roman" w:hAnsi="Times New Roman"/>
          <w:color w:val="000000"/>
        </w:rPr>
        <w:t>A</w:t>
      </w:r>
      <w:r w:rsidRPr="006139BF" w:rsidR="00DE392D">
        <w:rPr>
          <w:rFonts w:ascii="Times New Roman" w:hAnsi="Times New Roman"/>
          <w:color w:val="000000"/>
        </w:rPr>
        <w:t xml:space="preserve">) </w:t>
      </w:r>
      <w:r w:rsidRPr="006139BF" w:rsidR="006412C5">
        <w:rPr>
          <w:rFonts w:ascii="Times New Roman" w:hAnsi="Times New Roman"/>
          <w:color w:val="000000"/>
        </w:rPr>
        <w:t> </w:t>
      </w:r>
      <w:r w:rsidRPr="006139BF">
        <w:rPr>
          <w:rFonts w:ascii="Times New Roman" w:hAnsi="Times New Roman"/>
          <w:color w:val="000000"/>
        </w:rPr>
        <w:t>Zavi</w:t>
      </w:r>
      <w:r w:rsidRPr="006139BF" w:rsidR="00BD7444">
        <w:rPr>
          <w:rFonts w:ascii="Times New Roman" w:hAnsi="Times New Roman"/>
          <w:color w:val="000000"/>
        </w:rPr>
        <w:t xml:space="preserve">esť ročné zúčtovanie </w:t>
      </w:r>
      <w:r w:rsidRPr="006139BF">
        <w:rPr>
          <w:rFonts w:ascii="Times New Roman" w:hAnsi="Times New Roman"/>
          <w:color w:val="000000"/>
        </w:rPr>
        <w:t>na platenie poistného na povinné nemocenské poistenie, povinné dôchodkové poistenie, povinné príspevky na starobné dôchodkové sporenie, poistné na povinné poistenie v nezamestnanosti a do rezervného fondu solidarity</w:t>
      </w:r>
      <w:r w:rsidRPr="006139BF" w:rsidR="00BD7444">
        <w:rPr>
          <w:rFonts w:ascii="Times New Roman" w:hAnsi="Times New Roman"/>
          <w:color w:val="000000"/>
        </w:rPr>
        <w:t>, ktoré</w:t>
      </w:r>
      <w:r w:rsidRPr="006139BF">
        <w:rPr>
          <w:rFonts w:ascii="Times New Roman" w:hAnsi="Times New Roman"/>
          <w:color w:val="000000"/>
        </w:rPr>
        <w:t xml:space="preserve"> budú platené a odvádzané preddavkovo a prebehne nad nimi ročné zúčtovanie.</w:t>
      </w:r>
      <w:r w:rsidR="00D71DD4">
        <w:rPr>
          <w:rFonts w:ascii="Times New Roman" w:hAnsi="Times New Roman"/>
          <w:color w:val="000000"/>
        </w:rPr>
        <w:t xml:space="preserve"> Aj na garančné poistenie sa bude vzťahovať maximálny ročný vymeriavací základ (bez možnosti uplatnenia alikvotného), avšak neprebehne nad nim ročné zúčtovanie. </w:t>
      </w:r>
      <w:r w:rsidR="00F67319">
        <w:rPr>
          <w:rFonts w:ascii="Times New Roman" w:hAnsi="Times New Roman"/>
          <w:color w:val="000000"/>
        </w:rPr>
        <w:t>Účinnosť uvedeného opatrenia sa predpokladá od 1. januára 2021.</w:t>
      </w:r>
    </w:p>
    <w:p w:rsidR="00805DE1" w:rsidRPr="00FD0692" w:rsidP="00FD0692">
      <w:pPr>
        <w:bidi w:val="0"/>
        <w:jc w:val="both"/>
        <w:rPr>
          <w:rFonts w:ascii="Times New Roman" w:hAnsi="Times New Roman"/>
          <w:color w:val="000000"/>
        </w:rPr>
      </w:pPr>
      <w:r w:rsidR="000F7999">
        <w:rPr>
          <w:rFonts w:ascii="Times New Roman" w:hAnsi="Times New Roman"/>
          <w:color w:val="000000"/>
        </w:rPr>
        <w:t>B</w:t>
      </w:r>
      <w:r w:rsidRPr="006139BF" w:rsidR="00DE392D">
        <w:rPr>
          <w:rFonts w:ascii="Times New Roman" w:hAnsi="Times New Roman"/>
          <w:color w:val="000000"/>
        </w:rPr>
        <w:t xml:space="preserve">) </w:t>
      </w:r>
      <w:r w:rsidRPr="006139BF" w:rsidR="001173DB">
        <w:rPr>
          <w:rFonts w:ascii="Times New Roman" w:hAnsi="Times New Roman"/>
          <w:color w:val="000000"/>
        </w:rPr>
        <w:t xml:space="preserve"> </w:t>
      </w:r>
      <w:r w:rsidRPr="006139BF" w:rsidR="00B910BB">
        <w:rPr>
          <w:rFonts w:ascii="Times New Roman" w:hAnsi="Times New Roman"/>
        </w:rPr>
        <w:t>Spresniť text</w:t>
      </w:r>
      <w:r w:rsidRPr="006139BF" w:rsidR="00B910BB">
        <w:rPr>
          <w:i/>
          <w:color w:val="000000"/>
        </w:rPr>
        <w:t xml:space="preserve"> </w:t>
      </w:r>
      <w:r w:rsidRPr="006139BF" w:rsidR="001173DB">
        <w:rPr>
          <w:rFonts w:ascii="Times New Roman" w:hAnsi="Times New Roman"/>
          <w:color w:val="000000"/>
        </w:rPr>
        <w:t>zákona č. 461/2003 Z. z. o sociálnom poistení v znení neskorších predpiso</w:t>
      </w:r>
      <w:r w:rsidRPr="006139BF" w:rsidR="00B910BB">
        <w:rPr>
          <w:rFonts w:ascii="Times New Roman" w:hAnsi="Times New Roman"/>
          <w:color w:val="000000"/>
        </w:rPr>
        <w:t>v</w:t>
      </w:r>
      <w:r w:rsidRPr="006139BF" w:rsidR="001173DB">
        <w:rPr>
          <w:rFonts w:ascii="Times New Roman" w:hAnsi="Times New Roman"/>
          <w:color w:val="000000"/>
        </w:rPr>
        <w:t>, ktorý súvisí so súbežným poberaním dávky materské u otca aj matky a to tak, aby nevznikali pochybnosti o možnosti súbežného poberania dávky materské u otca aj matky, kedy si každý z poistencov uplatňuje svoj nárok na iné dieťa.</w:t>
      </w:r>
      <w:r w:rsidR="00FD0692">
        <w:rPr>
          <w:rFonts w:ascii="Times New Roman" w:hAnsi="Times New Roman"/>
          <w:color w:val="000000"/>
        </w:rPr>
        <w:t xml:space="preserve"> </w:t>
      </w:r>
      <w:r w:rsidR="00F67319">
        <w:rPr>
          <w:rFonts w:ascii="Times New Roman" w:hAnsi="Times New Roman"/>
          <w:color w:val="000000"/>
        </w:rPr>
        <w:t>Účinnosť uvedeného opatrenia sa predpokladá od 1. januára 2019.</w:t>
      </w:r>
    </w:p>
    <w:p w:rsidR="007D5748" w:rsidRPr="006139BF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139BF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6139BF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6139BF" w:rsidP="00CD2466">
      <w:pPr>
        <w:bidi w:val="0"/>
        <w:spacing w:after="0" w:line="240" w:lineRule="auto"/>
        <w:rPr>
          <w:rFonts w:ascii="Times New Roman" w:hAnsi="Times New Roman"/>
          <w:lang w:eastAsia="sk-SK"/>
        </w:rPr>
      </w:pPr>
      <w:r w:rsidRPr="006139BF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Pr="006139BF" w:rsidR="00373484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6139BF" w:rsidR="008F49A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6139BF" w:rsidR="00373484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6139BF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6139BF">
        <w:rPr>
          <w:rFonts w:ascii="Times New Roman" w:hAnsi="Times New Roman"/>
          <w:lang w:eastAsia="sk-SK"/>
        </w:rPr>
        <w:t>zmena sadzby</w:t>
      </w:r>
    </w:p>
    <w:p w:rsidR="007D5748" w:rsidRPr="006139BF" w:rsidP="00CD2466">
      <w:pPr>
        <w:bidi w:val="0"/>
        <w:spacing w:after="0" w:line="240" w:lineRule="auto"/>
        <w:rPr>
          <w:rFonts w:ascii="Times New Roman" w:hAnsi="Times New Roman"/>
          <w:lang w:eastAsia="sk-SK"/>
        </w:rPr>
      </w:pPr>
      <w:r w:rsidRPr="006139BF">
        <w:rPr>
          <w:rFonts w:ascii="Times New Roman" w:hAnsi="Times New Roman"/>
          <w:bdr w:val="single" w:sz="4" w:space="0" w:color="auto"/>
          <w:lang w:eastAsia="sk-SK"/>
        </w:rPr>
        <w:t xml:space="preserve"> </w:t>
      </w:r>
      <w:r w:rsidRPr="006139BF" w:rsidR="00045303">
        <w:rPr>
          <w:rFonts w:ascii="Times New Roman" w:hAnsi="Times New Roman"/>
          <w:bdr w:val="single" w:sz="4" w:space="0" w:color="auto"/>
          <w:lang w:eastAsia="sk-SK"/>
        </w:rPr>
        <w:t xml:space="preserve">  </w:t>
      </w:r>
      <w:r w:rsidRPr="006139BF" w:rsidR="00866554">
        <w:rPr>
          <w:rFonts w:ascii="Times New Roman" w:hAnsi="Times New Roman"/>
          <w:bdr w:val="single" w:sz="4" w:space="0" w:color="auto"/>
          <w:lang w:eastAsia="sk-SK"/>
        </w:rPr>
        <w:t xml:space="preserve"> </w:t>
      </w:r>
      <w:r w:rsidRPr="006139BF">
        <w:rPr>
          <w:rFonts w:ascii="Times New Roman" w:hAnsi="Times New Roman"/>
          <w:bdr w:val="single" w:sz="4" w:space="0" w:color="auto"/>
          <w:lang w:eastAsia="sk-SK"/>
        </w:rPr>
        <w:t xml:space="preserve"> </w:t>
      </w:r>
      <w:r w:rsidRPr="006139BF">
        <w:rPr>
          <w:rFonts w:ascii="Times New Roman" w:hAnsi="Times New Roman"/>
          <w:lang w:eastAsia="sk-SK"/>
        </w:rPr>
        <w:t xml:space="preserve">  zmena v nároku</w:t>
      </w:r>
    </w:p>
    <w:p w:rsidR="007D5748" w:rsidRPr="006139BF" w:rsidP="00CD2466">
      <w:pPr>
        <w:bidi w:val="0"/>
        <w:spacing w:after="0" w:line="240" w:lineRule="auto"/>
        <w:rPr>
          <w:rFonts w:ascii="Times New Roman" w:hAnsi="Times New Roman"/>
          <w:lang w:eastAsia="sk-SK"/>
        </w:rPr>
      </w:pPr>
      <w:r w:rsidRPr="006139BF">
        <w:rPr>
          <w:rFonts w:ascii="Times New Roman" w:hAnsi="Times New Roman"/>
          <w:bdr w:val="single" w:sz="4" w:space="0" w:color="auto"/>
          <w:lang w:eastAsia="sk-SK"/>
        </w:rPr>
        <w:t xml:space="preserve">     </w:t>
      </w:r>
      <w:r w:rsidRPr="006139BF">
        <w:rPr>
          <w:rFonts w:ascii="Times New Roman" w:hAnsi="Times New Roman"/>
          <w:lang w:eastAsia="sk-SK"/>
        </w:rPr>
        <w:t xml:space="preserve">  nová služba alebo nariadenie (alebo ich zrušenie)</w:t>
      </w:r>
    </w:p>
    <w:p w:rsidR="007D5748" w:rsidRPr="006139BF" w:rsidP="00CD2466">
      <w:pPr>
        <w:bidi w:val="0"/>
        <w:spacing w:after="0" w:line="240" w:lineRule="auto"/>
        <w:rPr>
          <w:rFonts w:ascii="Times New Roman" w:hAnsi="Times New Roman"/>
          <w:lang w:eastAsia="sk-SK"/>
        </w:rPr>
      </w:pPr>
      <w:r w:rsidRPr="006139BF" w:rsidR="00373484">
        <w:rPr>
          <w:rFonts w:ascii="Times New Roman" w:hAnsi="Times New Roman"/>
          <w:bdr w:val="single" w:sz="4" w:space="0" w:color="auto"/>
          <w:lang w:eastAsia="sk-SK"/>
        </w:rPr>
        <w:t xml:space="preserve"> </w:t>
      </w:r>
      <w:r w:rsidRPr="006139BF" w:rsidR="008F49A8">
        <w:rPr>
          <w:rFonts w:ascii="Times New Roman" w:hAnsi="Times New Roman"/>
          <w:b/>
          <w:bdr w:val="single" w:sz="4" w:space="0" w:color="auto"/>
          <w:lang w:eastAsia="sk-SK"/>
        </w:rPr>
        <w:t>x</w:t>
      </w:r>
      <w:r w:rsidRPr="006139BF" w:rsidR="00373484">
        <w:rPr>
          <w:rFonts w:ascii="Times New Roman" w:hAnsi="Times New Roman"/>
          <w:b/>
          <w:bdr w:val="single" w:sz="4" w:space="0" w:color="auto"/>
          <w:lang w:eastAsia="sk-SK"/>
        </w:rPr>
        <w:t xml:space="preserve"> </w:t>
      </w:r>
      <w:r w:rsidRPr="006139BF">
        <w:rPr>
          <w:rFonts w:ascii="Times New Roman" w:hAnsi="Times New Roman"/>
          <w:bdr w:val="single" w:sz="4" w:space="0" w:color="auto"/>
          <w:lang w:eastAsia="sk-SK"/>
        </w:rPr>
        <w:t xml:space="preserve"> </w:t>
      </w:r>
      <w:r w:rsidRPr="006139BF">
        <w:rPr>
          <w:rFonts w:ascii="Times New Roman" w:hAnsi="Times New Roman"/>
          <w:lang w:eastAsia="sk-SK"/>
        </w:rPr>
        <w:t xml:space="preserve">  kombinovaný návrh</w:t>
      </w:r>
    </w:p>
    <w:p w:rsidR="007D5748" w:rsidRPr="006139BF" w:rsidP="00CD2466">
      <w:pPr>
        <w:bidi w:val="0"/>
        <w:spacing w:after="0" w:line="240" w:lineRule="auto"/>
        <w:rPr>
          <w:rFonts w:ascii="Times New Roman" w:hAnsi="Times New Roman"/>
          <w:lang w:eastAsia="sk-SK"/>
        </w:rPr>
      </w:pPr>
      <w:r w:rsidRPr="006139BF">
        <w:rPr>
          <w:rFonts w:ascii="Times New Roman" w:hAnsi="Times New Roman"/>
          <w:bdr w:val="single" w:sz="4" w:space="0" w:color="auto"/>
          <w:lang w:eastAsia="sk-SK"/>
        </w:rPr>
        <w:t xml:space="preserve">     </w:t>
      </w:r>
      <w:r w:rsidRPr="006139BF">
        <w:rPr>
          <w:rFonts w:ascii="Times New Roman" w:hAnsi="Times New Roman"/>
          <w:lang w:eastAsia="sk-SK"/>
        </w:rPr>
        <w:t xml:space="preserve">  iné </w:t>
      </w:r>
    </w:p>
    <w:p w:rsidR="007D5748" w:rsidRPr="006139BF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6139BF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139BF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6139BF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51A21" w:rsidRPr="006139BF" w:rsidP="00280A57">
      <w:pPr>
        <w:bidi w:val="0"/>
        <w:jc w:val="both"/>
        <w:rPr>
          <w:rFonts w:ascii="Times New Roman" w:hAnsi="Times New Roman"/>
          <w:color w:val="000000"/>
        </w:rPr>
      </w:pPr>
      <w:r w:rsidRPr="006139BF" w:rsidR="00AD7A6C">
        <w:rPr>
          <w:rFonts w:ascii="Times New Roman" w:hAnsi="Times New Roman"/>
          <w:color w:val="000000"/>
        </w:rPr>
        <w:t xml:space="preserve">Navrhované zmeny si vyžiadajú zmenu informačného systému Sociálnej </w:t>
      </w:r>
      <w:r w:rsidRPr="006139BF" w:rsidR="00323AB4">
        <w:rPr>
          <w:rFonts w:ascii="Times New Roman" w:hAnsi="Times New Roman"/>
          <w:color w:val="000000"/>
        </w:rPr>
        <w:t>poisť</w:t>
      </w:r>
      <w:r w:rsidRPr="006139BF" w:rsidR="00D46D23">
        <w:rPr>
          <w:rFonts w:ascii="Times New Roman" w:hAnsi="Times New Roman"/>
          <w:color w:val="000000"/>
        </w:rPr>
        <w:t>ovne</w:t>
      </w:r>
      <w:r w:rsidRPr="006139BF" w:rsidR="001173DB">
        <w:rPr>
          <w:rFonts w:ascii="Times New Roman" w:hAnsi="Times New Roman"/>
          <w:color w:val="000000"/>
        </w:rPr>
        <w:t>.</w:t>
      </w:r>
      <w:r w:rsidRPr="006139BF" w:rsidR="006144D0">
        <w:rPr>
          <w:rFonts w:ascii="Times New Roman" w:hAnsi="Times New Roman"/>
          <w:color w:val="000000"/>
        </w:rPr>
        <w:t xml:space="preserve"> </w:t>
      </w:r>
      <w:r w:rsidRPr="006139BF" w:rsidR="00981B3A">
        <w:rPr>
          <w:rFonts w:ascii="Times New Roman" w:hAnsi="Times New Roman"/>
          <w:color w:val="000000"/>
        </w:rPr>
        <w:t xml:space="preserve"> Predpokladaný objem kapitálových a prevádzkových v</w:t>
      </w:r>
      <w:r w:rsidRPr="006139BF" w:rsidR="00915E7E">
        <w:rPr>
          <w:rFonts w:ascii="Times New Roman" w:hAnsi="Times New Roman"/>
          <w:color w:val="000000"/>
        </w:rPr>
        <w:t>ýdavk</w:t>
      </w:r>
      <w:r w:rsidRPr="006139BF" w:rsidR="00981B3A">
        <w:rPr>
          <w:rFonts w:ascii="Times New Roman" w:hAnsi="Times New Roman"/>
          <w:color w:val="000000"/>
        </w:rPr>
        <w:t>ov</w:t>
      </w:r>
      <w:r w:rsidRPr="006139BF" w:rsidR="00491F36">
        <w:rPr>
          <w:rFonts w:ascii="Times New Roman" w:hAnsi="Times New Roman"/>
          <w:color w:val="000000"/>
        </w:rPr>
        <w:t xml:space="preserve"> </w:t>
      </w:r>
      <w:r w:rsidRPr="006139BF" w:rsidR="00981B3A">
        <w:rPr>
          <w:rFonts w:ascii="Times New Roman" w:hAnsi="Times New Roman"/>
          <w:color w:val="000000"/>
        </w:rPr>
        <w:t>je uvedený</w:t>
      </w:r>
      <w:r w:rsidRPr="006139BF" w:rsidR="00915E7E">
        <w:rPr>
          <w:rFonts w:ascii="Times New Roman" w:hAnsi="Times New Roman"/>
          <w:color w:val="000000"/>
        </w:rPr>
        <w:t xml:space="preserve"> v tabuľke nižšie</w:t>
      </w:r>
      <w:r w:rsidRPr="006139BF" w:rsidR="00981B3A">
        <w:rPr>
          <w:rFonts w:ascii="Times New Roman" w:hAnsi="Times New Roman"/>
          <w:color w:val="000000"/>
        </w:rPr>
        <w:t xml:space="preserve"> v eur</w:t>
      </w:r>
      <w:r w:rsidRPr="006139BF" w:rsidR="00915E7E">
        <w:rPr>
          <w:rFonts w:ascii="Times New Roman" w:hAnsi="Times New Roman"/>
          <w:color w:val="000000"/>
        </w:rPr>
        <w:t>:</w:t>
      </w:r>
    </w:p>
    <w:p w:rsidR="00DB0DC0" w:rsidRPr="006139BF" w:rsidP="00491F36">
      <w:pPr>
        <w:bidi w:val="0"/>
        <w:spacing w:after="0" w:line="240" w:lineRule="auto"/>
        <w:ind w:left="7080" w:firstLine="708"/>
        <w:jc w:val="center"/>
        <w:rPr>
          <w:rFonts w:ascii="Times New Roman" w:hAnsi="Times New Roman"/>
          <w:sz w:val="20"/>
          <w:szCs w:val="20"/>
          <w:lang w:eastAsia="sk-SK"/>
        </w:rPr>
      </w:pPr>
      <w:r w:rsidRPr="006139BF" w:rsidR="007D5748">
        <w:rPr>
          <w:rFonts w:ascii="Times New Roman" w:hAnsi="Times New Roman"/>
          <w:sz w:val="20"/>
          <w:szCs w:val="20"/>
          <w:lang w:eastAsia="sk-SK"/>
        </w:rPr>
        <w:t>Tabuľka č. 2</w:t>
      </w:r>
      <w:r w:rsidRPr="006139BF" w:rsidR="00491F36">
        <w:rPr>
          <w:rFonts w:ascii="Times New Roman" w:hAnsi="Times New Roman"/>
          <w:sz w:val="20"/>
          <w:szCs w:val="20"/>
          <w:lang w:eastAsia="sk-SK"/>
        </w:rPr>
        <w:t xml:space="preserve">    </w:t>
      </w:r>
    </w:p>
    <w:tbl>
      <w:tblPr>
        <w:tblStyle w:val="TableNormal"/>
        <w:tblW w:w="88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51"/>
        <w:gridCol w:w="1134"/>
        <w:gridCol w:w="1060"/>
        <w:gridCol w:w="1060"/>
        <w:gridCol w:w="1060"/>
      </w:tblGrid>
      <w:tr>
        <w:tblPrEx>
          <w:tblW w:w="886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rok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2021</w:t>
            </w:r>
          </w:p>
        </w:tc>
      </w:tr>
      <w:tr>
        <w:tblPrEx>
          <w:tblW w:w="886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Sociálna poisťovň</w:t>
            </w: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 xml:space="preserve">4 000 </w:t>
            </w: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11 300 000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2 300 000</w:t>
            </w:r>
          </w:p>
        </w:tc>
      </w:tr>
      <w:tr>
        <w:tblPrEx>
          <w:tblW w:w="886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886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 kapitálové výdavky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886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 xml:space="preserve">  prevádzkové náklady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4 000 000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11 300 000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67319" w:rsidRPr="00F67319" w:rsidP="00F6731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67319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2 300 000</w:t>
            </w:r>
          </w:p>
        </w:tc>
      </w:tr>
    </w:tbl>
    <w:p w:rsidR="00DB0DC0" w:rsidRPr="006139BF" w:rsidP="00CD2466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981B3A" w:rsidRPr="006139BF" w:rsidP="00CD2466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D5748" w:rsidRPr="006139BF" w:rsidP="00CC30F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139BF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987F10" w:rsidRPr="006139BF" w:rsidP="00CC30F8">
      <w:pPr>
        <w:autoSpaceDE w:val="0"/>
        <w:autoSpaceDN w:val="0"/>
        <w:bidi w:val="0"/>
        <w:adjustRightInd w:val="0"/>
        <w:spacing w:after="0"/>
        <w:jc w:val="both"/>
        <w:rPr>
          <w:bCs/>
        </w:rPr>
      </w:pPr>
    </w:p>
    <w:p w:rsidR="00987F10" w:rsidRPr="006139BF" w:rsidP="00B51A21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color w:val="000000" w:themeColor="tx1" w:themeShade="FF"/>
        </w:rPr>
      </w:pPr>
      <w:r w:rsidRPr="006139BF" w:rsidR="008D6EA1">
        <w:rPr>
          <w:rFonts w:ascii="Times New Roman" w:hAnsi="Times New Roman"/>
          <w:bCs/>
        </w:rPr>
        <w:t>Predmetný</w:t>
      </w:r>
      <w:r w:rsidR="00B06840">
        <w:rPr>
          <w:rFonts w:ascii="Times New Roman" w:hAnsi="Times New Roman"/>
          <w:bCs/>
        </w:rPr>
        <w:t xml:space="preserve"> vládny</w:t>
      </w:r>
      <w:r w:rsidRPr="006139BF" w:rsidR="002134EE">
        <w:rPr>
          <w:rFonts w:ascii="Times New Roman" w:hAnsi="Times New Roman"/>
          <w:bCs/>
        </w:rPr>
        <w:t xml:space="preserve"> </w:t>
      </w:r>
      <w:r w:rsidRPr="006139BF">
        <w:rPr>
          <w:rFonts w:ascii="Times New Roman" w:hAnsi="Times New Roman"/>
          <w:bCs/>
        </w:rPr>
        <w:t xml:space="preserve">návrh zákona, </w:t>
      </w:r>
      <w:r w:rsidRPr="006139BF" w:rsidR="008C6B12">
        <w:rPr>
          <w:rFonts w:ascii="Times New Roman" w:hAnsi="Times New Roman"/>
          <w:bCs/>
        </w:rPr>
        <w:t xml:space="preserve">ktorým sa mení a dopĺňa zákon </w:t>
      </w:r>
      <w:r w:rsidRPr="006139BF" w:rsidR="004445AD">
        <w:rPr>
          <w:rFonts w:ascii="Times New Roman" w:hAnsi="Times New Roman"/>
          <w:bCs/>
        </w:rPr>
        <w:t>č. 461/2003 Z. z. o sociálnom poistení v znení neskorších predpisov a ktorým sa menia a dopĺňajú niektoré zákony</w:t>
      </w:r>
      <w:r w:rsidRPr="006139BF" w:rsidR="004445AD">
        <w:rPr>
          <w:rFonts w:ascii="Times New Roman" w:hAnsi="Times New Roman"/>
          <w:bCs/>
        </w:rPr>
        <w:t xml:space="preserve"> </w:t>
      </w:r>
      <w:r w:rsidRPr="006139BF">
        <w:rPr>
          <w:rFonts w:ascii="Times New Roman" w:hAnsi="Times New Roman"/>
        </w:rPr>
        <w:t>má priamy vplyv na rozpoč</w:t>
      </w:r>
      <w:r w:rsidRPr="006139BF" w:rsidR="00843E52">
        <w:rPr>
          <w:rFonts w:ascii="Times New Roman" w:hAnsi="Times New Roman"/>
        </w:rPr>
        <w:t>et verejnej správy v rokoch 201</w:t>
      </w:r>
      <w:r w:rsidR="00E775DF">
        <w:rPr>
          <w:rFonts w:ascii="Times New Roman" w:hAnsi="Times New Roman"/>
        </w:rPr>
        <w:t>9</w:t>
      </w:r>
      <w:r w:rsidRPr="006139BF" w:rsidR="001173DB">
        <w:rPr>
          <w:rFonts w:ascii="Times New Roman" w:hAnsi="Times New Roman"/>
        </w:rPr>
        <w:t xml:space="preserve"> až 2021. Kvantifikácia predpokladá</w:t>
      </w:r>
      <w:r w:rsidRPr="006139BF" w:rsidR="00486E96">
        <w:rPr>
          <w:rFonts w:ascii="Times New Roman" w:hAnsi="Times New Roman"/>
        </w:rPr>
        <w:t xml:space="preserve"> </w:t>
      </w:r>
      <w:r w:rsidR="00E21461">
        <w:rPr>
          <w:rFonts w:ascii="Times New Roman" w:hAnsi="Times New Roman"/>
        </w:rPr>
        <w:t>negatívny vplyv na rozpočet verejnej správy v roku 201</w:t>
      </w:r>
      <w:r w:rsidR="00E775DF">
        <w:rPr>
          <w:rFonts w:ascii="Times New Roman" w:hAnsi="Times New Roman"/>
        </w:rPr>
        <w:t>9</w:t>
      </w:r>
      <w:r w:rsidR="00E21461">
        <w:rPr>
          <w:rFonts w:ascii="Times New Roman" w:hAnsi="Times New Roman"/>
        </w:rPr>
        <w:t xml:space="preserve"> na úrovni</w:t>
      </w:r>
      <w:r w:rsidR="007E778A">
        <w:rPr>
          <w:rFonts w:ascii="Times New Roman" w:hAnsi="Times New Roman"/>
        </w:rPr>
        <w:t xml:space="preserve"> cca</w:t>
      </w:r>
      <w:r w:rsidR="00E21461">
        <w:rPr>
          <w:rFonts w:ascii="Times New Roman" w:hAnsi="Times New Roman"/>
        </w:rPr>
        <w:t xml:space="preserve"> </w:t>
      </w:r>
      <w:r w:rsidR="00E775DF">
        <w:rPr>
          <w:rFonts w:ascii="Times New Roman" w:hAnsi="Times New Roman"/>
        </w:rPr>
        <w:t>6,1</w:t>
      </w:r>
      <w:r w:rsidR="00E21461">
        <w:rPr>
          <w:rFonts w:ascii="Times New Roman" w:hAnsi="Times New Roman"/>
        </w:rPr>
        <w:t xml:space="preserve"> mil. eur</w:t>
      </w:r>
      <w:r w:rsidR="00C96236">
        <w:rPr>
          <w:rFonts w:ascii="Times New Roman" w:hAnsi="Times New Roman"/>
        </w:rPr>
        <w:t>;</w:t>
      </w:r>
      <w:r w:rsidR="00E21461">
        <w:rPr>
          <w:rFonts w:ascii="Times New Roman" w:hAnsi="Times New Roman"/>
        </w:rPr>
        <w:t xml:space="preserve"> </w:t>
      </w:r>
      <w:r w:rsidR="00E775DF">
        <w:rPr>
          <w:rFonts w:ascii="Times New Roman" w:hAnsi="Times New Roman"/>
        </w:rPr>
        <w:t xml:space="preserve">negatívny vplyv na rozpočet verejnej správy v roku 2020 na úrovni cca 14,4 mil. eur a </w:t>
      </w:r>
      <w:r w:rsidRPr="006139BF" w:rsidR="003464DE">
        <w:rPr>
          <w:rFonts w:ascii="Times New Roman" w:hAnsi="Times New Roman"/>
        </w:rPr>
        <w:t>pozitívny</w:t>
      </w:r>
      <w:r w:rsidRPr="006139BF">
        <w:rPr>
          <w:rFonts w:ascii="Times New Roman" w:hAnsi="Times New Roman"/>
        </w:rPr>
        <w:t xml:space="preserve"> vplyv na rozpočet verejnej správy </w:t>
      </w:r>
      <w:r w:rsidR="00E775DF">
        <w:rPr>
          <w:rFonts w:ascii="Times New Roman" w:hAnsi="Times New Roman"/>
        </w:rPr>
        <w:t xml:space="preserve">v roku 2021 </w:t>
      </w:r>
      <w:r w:rsidRPr="006139BF">
        <w:rPr>
          <w:rFonts w:ascii="Times New Roman" w:hAnsi="Times New Roman"/>
        </w:rPr>
        <w:t>na úrovni</w:t>
      </w:r>
      <w:r w:rsidRPr="006139BF" w:rsidR="00861800">
        <w:rPr>
          <w:rFonts w:ascii="Times New Roman" w:hAnsi="Times New Roman"/>
        </w:rPr>
        <w:t xml:space="preserve"> </w:t>
      </w:r>
      <w:r w:rsidRPr="00E21461" w:rsidR="00861800">
        <w:rPr>
          <w:rFonts w:ascii="Times New Roman" w:hAnsi="Times New Roman"/>
        </w:rPr>
        <w:t>cca</w:t>
      </w:r>
      <w:r w:rsidRPr="00E21461" w:rsidR="003464DE">
        <w:rPr>
          <w:rFonts w:ascii="Times New Roman" w:hAnsi="Times New Roman"/>
          <w:color w:val="000000" w:themeColor="tx1" w:themeShade="FF"/>
        </w:rPr>
        <w:t xml:space="preserve"> </w:t>
      </w:r>
      <w:r w:rsidR="00E64A7D">
        <w:rPr>
          <w:rFonts w:ascii="Times New Roman" w:hAnsi="Times New Roman"/>
          <w:color w:val="000000" w:themeColor="tx1" w:themeShade="FF"/>
        </w:rPr>
        <w:t>48,</w:t>
      </w:r>
      <w:r w:rsidR="00E775DF">
        <w:rPr>
          <w:rFonts w:ascii="Times New Roman" w:hAnsi="Times New Roman"/>
          <w:color w:val="000000" w:themeColor="tx1" w:themeShade="FF"/>
        </w:rPr>
        <w:t>5</w:t>
      </w:r>
      <w:r w:rsidRPr="00E21461" w:rsidR="002674E3">
        <w:rPr>
          <w:rFonts w:ascii="Times New Roman" w:hAnsi="Times New Roman"/>
          <w:color w:val="000000" w:themeColor="tx1" w:themeShade="FF"/>
        </w:rPr>
        <w:t xml:space="preserve"> mil</w:t>
      </w:r>
      <w:r w:rsidRPr="00E21461" w:rsidR="001173DB">
        <w:rPr>
          <w:rFonts w:ascii="Times New Roman" w:hAnsi="Times New Roman"/>
          <w:color w:val="000000" w:themeColor="tx1" w:themeShade="FF"/>
        </w:rPr>
        <w:t>. eur</w:t>
      </w:r>
      <w:r w:rsidR="00E775DF">
        <w:rPr>
          <w:rFonts w:ascii="Times New Roman" w:hAnsi="Times New Roman"/>
          <w:color w:val="000000" w:themeColor="tx1" w:themeShade="FF"/>
        </w:rPr>
        <w:t xml:space="preserve">. </w:t>
      </w:r>
      <w:r w:rsidR="003F2D31">
        <w:rPr>
          <w:rFonts w:ascii="Times New Roman" w:hAnsi="Times New Roman"/>
          <w:color w:val="000000" w:themeColor="tx1" w:themeShade="FF"/>
        </w:rPr>
        <w:t>Mierne pozitívny vplyv na príjmy Sociálnej poisťovne a zdravotných poisťovní v roku 20</w:t>
      </w:r>
      <w:r w:rsidR="004214E8">
        <w:rPr>
          <w:rFonts w:ascii="Times New Roman" w:hAnsi="Times New Roman"/>
          <w:color w:val="000000" w:themeColor="tx1" w:themeShade="FF"/>
        </w:rPr>
        <w:t>20</w:t>
      </w:r>
      <w:r w:rsidR="003F2D31">
        <w:rPr>
          <w:rFonts w:ascii="Times New Roman" w:hAnsi="Times New Roman"/>
          <w:color w:val="000000" w:themeColor="tx1" w:themeShade="FF"/>
        </w:rPr>
        <w:t xml:space="preserve"> vyplýva z prijatia nových zamestnancov Sociálnou poisťovňou, pričom za nich bude uhradené poistné na sociálne a zdravotné poistenie. </w:t>
      </w:r>
    </w:p>
    <w:p w:rsidR="004445AD" w:rsidRPr="006139BF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</w:p>
    <w:p w:rsidR="00631D94" w:rsidRPr="006139BF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  <w:r w:rsidRPr="006139BF">
        <w:rPr>
          <w:rFonts w:ascii="Times New Roman" w:hAnsi="Times New Roman" w:cs="Verdana"/>
          <w:b/>
          <w:bCs/>
          <w:iCs/>
          <w:sz w:val="24"/>
          <w:szCs w:val="24"/>
        </w:rPr>
        <w:t>2.2.4.1 Kvantifikácia príjmov</w:t>
      </w:r>
    </w:p>
    <w:p w:rsidR="00DB1C7D" w:rsidRPr="006139BF" w:rsidP="0059365F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B2E28" w:rsidP="00515A7C">
      <w:pPr>
        <w:bidi w:val="0"/>
        <w:spacing w:after="0"/>
        <w:jc w:val="both"/>
        <w:rPr>
          <w:rFonts w:ascii="Times New Roman" w:hAnsi="Times New Roman"/>
          <w:i/>
          <w:color w:val="000000"/>
        </w:rPr>
      </w:pPr>
      <w:r w:rsidRPr="006139BF" w:rsidR="001173DB">
        <w:rPr>
          <w:rFonts w:ascii="Times New Roman" w:hAnsi="Times New Roman"/>
          <w:b/>
          <w:i/>
          <w:color w:val="000000"/>
        </w:rPr>
        <w:t>A</w:t>
      </w:r>
      <w:r w:rsidRPr="006139BF" w:rsidR="00515A7C">
        <w:rPr>
          <w:rFonts w:ascii="Times New Roman" w:hAnsi="Times New Roman"/>
          <w:b/>
          <w:i/>
          <w:color w:val="000000"/>
        </w:rPr>
        <w:t xml:space="preserve">) </w:t>
      </w:r>
      <w:r w:rsidRPr="006139BF" w:rsidR="001173DB">
        <w:rPr>
          <w:rFonts w:ascii="Times New Roman" w:hAnsi="Times New Roman"/>
          <w:b/>
          <w:i/>
          <w:color w:val="000000"/>
        </w:rPr>
        <w:t>Zavedenie ročného zúčtovania v sociálnom poistení bude mať</w:t>
      </w:r>
      <w:r w:rsidRPr="006139BF" w:rsidR="005279EA">
        <w:rPr>
          <w:rFonts w:ascii="Times New Roman" w:hAnsi="Times New Roman"/>
          <w:b/>
          <w:i/>
          <w:color w:val="000000"/>
        </w:rPr>
        <w:t xml:space="preserve"> celkový</w:t>
      </w:r>
      <w:r w:rsidRPr="006139BF" w:rsidR="001173DB">
        <w:rPr>
          <w:rFonts w:ascii="Times New Roman" w:hAnsi="Times New Roman"/>
          <w:b/>
          <w:i/>
          <w:color w:val="000000"/>
        </w:rPr>
        <w:t xml:space="preserve"> pozitívny vplyv </w:t>
      </w:r>
      <w:r w:rsidRPr="006139BF" w:rsidR="001173DB">
        <w:rPr>
          <w:rFonts w:ascii="Times New Roman" w:hAnsi="Times New Roman"/>
          <w:i/>
          <w:color w:val="000000"/>
        </w:rPr>
        <w:t xml:space="preserve">na </w:t>
      </w:r>
      <w:r w:rsidRPr="006139BF" w:rsidR="00546693">
        <w:rPr>
          <w:rFonts w:ascii="Times New Roman" w:hAnsi="Times New Roman"/>
          <w:i/>
          <w:color w:val="000000"/>
        </w:rPr>
        <w:t xml:space="preserve"> príjmy</w:t>
      </w:r>
      <w:r w:rsidRPr="006139BF" w:rsidR="001173DB">
        <w:rPr>
          <w:rFonts w:ascii="Times New Roman" w:hAnsi="Times New Roman"/>
          <w:i/>
          <w:color w:val="000000"/>
        </w:rPr>
        <w:t xml:space="preserve"> verejnej správy</w:t>
      </w:r>
      <w:r w:rsidR="00873368">
        <w:rPr>
          <w:rFonts w:ascii="Times New Roman" w:hAnsi="Times New Roman"/>
          <w:i/>
          <w:color w:val="000000"/>
        </w:rPr>
        <w:t>.</w:t>
      </w:r>
    </w:p>
    <w:p w:rsidR="00873368" w:rsidRPr="006139BF" w:rsidP="00515A7C">
      <w:pPr>
        <w:bidi w:val="0"/>
        <w:spacing w:after="0"/>
        <w:jc w:val="both"/>
        <w:rPr>
          <w:rFonts w:ascii="Times New Roman" w:hAnsi="Times New Roman"/>
          <w:i/>
          <w:color w:val="000000"/>
        </w:rPr>
      </w:pPr>
    </w:p>
    <w:p w:rsidR="003D6E48" w:rsidRPr="006139BF" w:rsidP="009619CF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39BF">
        <w:rPr>
          <w:rFonts w:ascii="Times New Roman" w:hAnsi="Times New Roman"/>
          <w:b/>
          <w:i/>
          <w:lang w:eastAsia="sk-SK"/>
        </w:rPr>
        <w:t>Príjmy štátneho  rozpočtu (V</w:t>
      </w:r>
      <w:r w:rsidR="00311651">
        <w:rPr>
          <w:rFonts w:ascii="Times New Roman" w:hAnsi="Times New Roman"/>
          <w:b/>
          <w:i/>
          <w:lang w:eastAsia="sk-SK"/>
        </w:rPr>
        <w:t>šeobecná</w:t>
      </w:r>
      <w:r w:rsidRPr="006139BF">
        <w:rPr>
          <w:rFonts w:ascii="Times New Roman" w:hAnsi="Times New Roman"/>
          <w:b/>
          <w:i/>
          <w:lang w:eastAsia="sk-SK"/>
        </w:rPr>
        <w:t xml:space="preserve"> pokladničná správa)</w:t>
      </w:r>
      <w:r w:rsidRPr="006139BF">
        <w:rPr>
          <w:rFonts w:ascii="Times New Roman" w:hAnsi="Times New Roman"/>
          <w:lang w:eastAsia="sk-SK"/>
        </w:rPr>
        <w:t xml:space="preserve"> –  </w:t>
      </w:r>
      <w:r w:rsidRPr="006139BF">
        <w:rPr>
          <w:rFonts w:ascii="Times New Roman" w:hAnsi="Times New Roman"/>
        </w:rPr>
        <w:t>predpokladá sa zníženie príjmov z dane fyzických osôb a právnických osôb vplyvom zavedenia ročného zúčtovania v sociálnom poistení</w:t>
      </w:r>
      <w:r w:rsidRPr="006139BF" w:rsidR="00A878DE">
        <w:rPr>
          <w:rFonts w:ascii="Times New Roman" w:hAnsi="Times New Roman"/>
        </w:rPr>
        <w:t xml:space="preserve"> </w:t>
      </w:r>
      <w:r w:rsidRPr="006139BF">
        <w:rPr>
          <w:rFonts w:ascii="Times New Roman" w:hAnsi="Times New Roman"/>
        </w:rPr>
        <w:t>- v roku 20</w:t>
      </w:r>
      <w:r w:rsidR="004214E8">
        <w:rPr>
          <w:rFonts w:ascii="Times New Roman" w:hAnsi="Times New Roman"/>
        </w:rPr>
        <w:t>21</w:t>
      </w:r>
      <w:r w:rsidRPr="006139BF">
        <w:rPr>
          <w:rFonts w:ascii="Times New Roman" w:hAnsi="Times New Roman"/>
        </w:rPr>
        <w:t xml:space="preserve"> cca o</w:t>
      </w:r>
      <w:r w:rsidR="004214E8">
        <w:rPr>
          <w:rFonts w:ascii="Times New Roman" w:hAnsi="Times New Roman"/>
        </w:rPr>
        <w:t> 12,0</w:t>
      </w:r>
      <w:r w:rsidRPr="006139BF">
        <w:rPr>
          <w:rFonts w:ascii="Times New Roman" w:hAnsi="Times New Roman"/>
        </w:rPr>
        <w:t xml:space="preserve"> mil. eur</w:t>
      </w:r>
    </w:p>
    <w:p w:rsidR="003D6E48" w:rsidRPr="006139BF" w:rsidP="003D6E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27DFD" w:rsidP="003D6E48">
      <w:pPr>
        <w:bidi w:val="0"/>
        <w:spacing w:after="0"/>
        <w:jc w:val="both"/>
        <w:rPr>
          <w:rFonts w:ascii="Times New Roman" w:hAnsi="Times New Roman"/>
        </w:rPr>
      </w:pPr>
      <w:r w:rsidRPr="006139BF" w:rsidR="003D6E48">
        <w:rPr>
          <w:rFonts w:ascii="Times New Roman" w:hAnsi="Times New Roman"/>
          <w:b/>
          <w:i/>
          <w:lang w:eastAsia="sk-SK"/>
        </w:rPr>
        <w:t>Príjmy rozpočtu Sociálnej poisťovne</w:t>
      </w:r>
      <w:r w:rsidRPr="006139BF" w:rsidR="003D6E48">
        <w:rPr>
          <w:rFonts w:ascii="Times New Roman" w:hAnsi="Times New Roman"/>
          <w:lang w:eastAsia="sk-SK"/>
        </w:rPr>
        <w:t xml:space="preserve"> –  </w:t>
      </w:r>
      <w:r w:rsidRPr="006139BF" w:rsidR="003D6E48">
        <w:rPr>
          <w:rFonts w:ascii="Times New Roman" w:hAnsi="Times New Roman"/>
        </w:rPr>
        <w:t xml:space="preserve">predpokladá sa zvýšenie príjmov Sociálnej poisťovne </w:t>
      </w:r>
      <w:r w:rsidR="00311651">
        <w:rPr>
          <w:rFonts w:ascii="Times New Roman" w:hAnsi="Times New Roman"/>
        </w:rPr>
        <w:t>najmä</w:t>
      </w:r>
      <w:r w:rsidRPr="006139BF" w:rsidR="003D6E48">
        <w:rPr>
          <w:rFonts w:ascii="Times New Roman" w:hAnsi="Times New Roman"/>
        </w:rPr>
        <w:t xml:space="preserve"> </w:t>
      </w:r>
      <w:r w:rsidR="00974854">
        <w:rPr>
          <w:rFonts w:ascii="Times New Roman" w:hAnsi="Times New Roman"/>
        </w:rPr>
        <w:t xml:space="preserve">vplyvom </w:t>
      </w:r>
      <w:r w:rsidRPr="006139BF" w:rsidR="003D6E48">
        <w:rPr>
          <w:rFonts w:ascii="Times New Roman" w:hAnsi="Times New Roman"/>
        </w:rPr>
        <w:t>zaveden</w:t>
      </w:r>
      <w:r w:rsidR="00974854">
        <w:rPr>
          <w:rFonts w:ascii="Times New Roman" w:hAnsi="Times New Roman"/>
        </w:rPr>
        <w:t>ia</w:t>
      </w:r>
      <w:r w:rsidRPr="006139BF" w:rsidR="003D6E48">
        <w:rPr>
          <w:rFonts w:ascii="Times New Roman" w:hAnsi="Times New Roman"/>
        </w:rPr>
        <w:t xml:space="preserve"> ročného zúčtovania v sociálnom poistení </w:t>
      </w:r>
      <w:r w:rsidR="00974854">
        <w:rPr>
          <w:rFonts w:ascii="Times New Roman" w:hAnsi="Times New Roman"/>
        </w:rPr>
        <w:t>–</w:t>
      </w:r>
      <w:r w:rsidRPr="006139BF" w:rsidR="003D6E48">
        <w:rPr>
          <w:rFonts w:ascii="Times New Roman" w:hAnsi="Times New Roman"/>
        </w:rPr>
        <w:t xml:space="preserve"> </w:t>
      </w:r>
      <w:r w:rsidR="00974854">
        <w:rPr>
          <w:rFonts w:ascii="Times New Roman" w:hAnsi="Times New Roman"/>
        </w:rPr>
        <w:t>v roku 20</w:t>
      </w:r>
      <w:r w:rsidR="004214E8">
        <w:rPr>
          <w:rFonts w:ascii="Times New Roman" w:hAnsi="Times New Roman"/>
        </w:rPr>
        <w:t>20</w:t>
      </w:r>
      <w:r w:rsidR="00974854">
        <w:rPr>
          <w:rFonts w:ascii="Times New Roman" w:hAnsi="Times New Roman"/>
        </w:rPr>
        <w:t xml:space="preserve"> cca</w:t>
      </w:r>
      <w:r w:rsidR="007E778A">
        <w:rPr>
          <w:rFonts w:ascii="Times New Roman" w:hAnsi="Times New Roman"/>
        </w:rPr>
        <w:t xml:space="preserve"> o</w:t>
      </w:r>
      <w:r w:rsidR="00974854">
        <w:rPr>
          <w:rFonts w:ascii="Times New Roman" w:hAnsi="Times New Roman"/>
        </w:rPr>
        <w:t xml:space="preserve"> </w:t>
      </w:r>
      <w:r w:rsidR="00C96236">
        <w:rPr>
          <w:rFonts w:ascii="Times New Roman" w:hAnsi="Times New Roman"/>
        </w:rPr>
        <w:t>0,02</w:t>
      </w:r>
      <w:r w:rsidR="00974854">
        <w:rPr>
          <w:rFonts w:ascii="Times New Roman" w:hAnsi="Times New Roman"/>
        </w:rPr>
        <w:t xml:space="preserve"> </w:t>
      </w:r>
      <w:r w:rsidR="00C96236">
        <w:rPr>
          <w:rFonts w:ascii="Times New Roman" w:hAnsi="Times New Roman"/>
        </w:rPr>
        <w:t>mil</w:t>
      </w:r>
      <w:r w:rsidR="00974854">
        <w:rPr>
          <w:rFonts w:ascii="Times New Roman" w:hAnsi="Times New Roman"/>
        </w:rPr>
        <w:t xml:space="preserve">. </w:t>
      </w:r>
      <w:r w:rsidR="00C96236">
        <w:rPr>
          <w:rFonts w:ascii="Times New Roman" w:hAnsi="Times New Roman"/>
        </w:rPr>
        <w:t>e</w:t>
      </w:r>
      <w:r w:rsidR="00974854">
        <w:rPr>
          <w:rFonts w:ascii="Times New Roman" w:hAnsi="Times New Roman"/>
        </w:rPr>
        <w:t>ur</w:t>
      </w:r>
      <w:r w:rsidR="008545D4">
        <w:rPr>
          <w:rFonts w:ascii="Times New Roman" w:hAnsi="Times New Roman"/>
        </w:rPr>
        <w:t xml:space="preserve"> a</w:t>
      </w:r>
      <w:r w:rsidR="00974854">
        <w:rPr>
          <w:rFonts w:ascii="Times New Roman" w:hAnsi="Times New Roman"/>
        </w:rPr>
        <w:t xml:space="preserve"> </w:t>
      </w:r>
      <w:r w:rsidRPr="006139BF" w:rsidR="003D6E48">
        <w:rPr>
          <w:rFonts w:ascii="Times New Roman" w:hAnsi="Times New Roman"/>
        </w:rPr>
        <w:t>v roku 20</w:t>
      </w:r>
      <w:r w:rsidR="004214E8">
        <w:rPr>
          <w:rFonts w:ascii="Times New Roman" w:hAnsi="Times New Roman"/>
        </w:rPr>
        <w:t>21</w:t>
      </w:r>
      <w:r w:rsidRPr="006139BF" w:rsidR="003D6E48">
        <w:rPr>
          <w:rFonts w:ascii="Times New Roman" w:hAnsi="Times New Roman"/>
        </w:rPr>
        <w:t xml:space="preserve"> cca o</w:t>
      </w:r>
      <w:r w:rsidR="004214E8">
        <w:rPr>
          <w:rFonts w:ascii="Times New Roman" w:hAnsi="Times New Roman"/>
        </w:rPr>
        <w:t> 71,5</w:t>
      </w:r>
      <w:r w:rsidRPr="006139BF" w:rsidR="003D6E48">
        <w:rPr>
          <w:rFonts w:ascii="Times New Roman" w:hAnsi="Times New Roman"/>
        </w:rPr>
        <w:t xml:space="preserve"> mil. eur</w:t>
      </w:r>
      <w:r w:rsidR="004214E8">
        <w:rPr>
          <w:rFonts w:ascii="Times New Roman" w:hAnsi="Times New Roman"/>
        </w:rPr>
        <w:t>.</w:t>
      </w:r>
    </w:p>
    <w:p w:rsidR="008545D4" w:rsidP="003D6E48">
      <w:pPr>
        <w:bidi w:val="0"/>
        <w:spacing w:after="0"/>
        <w:jc w:val="both"/>
        <w:rPr>
          <w:rFonts w:ascii="Times New Roman" w:hAnsi="Times New Roman"/>
        </w:rPr>
      </w:pPr>
    </w:p>
    <w:p w:rsidR="00127DFD" w:rsidRPr="00127DFD" w:rsidP="003D6E48">
      <w:pPr>
        <w:bidi w:val="0"/>
        <w:spacing w:after="0"/>
        <w:jc w:val="both"/>
        <w:rPr>
          <w:rFonts w:ascii="Times New Roman" w:hAnsi="Times New Roman"/>
          <w:lang w:eastAsia="sk-SK"/>
        </w:rPr>
      </w:pPr>
      <w:r w:rsidRPr="00127DFD">
        <w:rPr>
          <w:rFonts w:ascii="Times New Roman" w:hAnsi="Times New Roman"/>
          <w:b/>
          <w:i/>
          <w:lang w:eastAsia="sk-SK"/>
        </w:rPr>
        <w:t xml:space="preserve">Príjmy verejného zdravotného poistenia </w:t>
      </w:r>
      <w:r>
        <w:rPr>
          <w:rFonts w:ascii="Times New Roman" w:hAnsi="Times New Roman"/>
          <w:b/>
          <w:i/>
          <w:lang w:eastAsia="sk-SK"/>
        </w:rPr>
        <w:t xml:space="preserve">– </w:t>
      </w:r>
      <w:r w:rsidRPr="00127DFD">
        <w:rPr>
          <w:rFonts w:ascii="Times New Roman" w:hAnsi="Times New Roman"/>
          <w:lang w:eastAsia="sk-SK"/>
        </w:rPr>
        <w:t>predpokladá sa</w:t>
      </w:r>
      <w:r>
        <w:rPr>
          <w:rFonts w:ascii="Times New Roman" w:hAnsi="Times New Roman"/>
          <w:lang w:eastAsia="sk-SK"/>
        </w:rPr>
        <w:t xml:space="preserve"> </w:t>
      </w:r>
      <w:r w:rsidRPr="00127DFD">
        <w:rPr>
          <w:rFonts w:ascii="Times New Roman" w:hAnsi="Times New Roman"/>
          <w:lang w:eastAsia="sk-SK"/>
        </w:rPr>
        <w:t xml:space="preserve">zvýšenie príjmov vo verejnom zdravotnom poistení v roku </w:t>
      </w:r>
      <w:r w:rsidR="007E778A">
        <w:rPr>
          <w:rFonts w:ascii="Times New Roman" w:hAnsi="Times New Roman"/>
          <w:lang w:eastAsia="sk-SK"/>
        </w:rPr>
        <w:t>20</w:t>
      </w:r>
      <w:r w:rsidR="004214E8">
        <w:rPr>
          <w:rFonts w:ascii="Times New Roman" w:hAnsi="Times New Roman"/>
          <w:lang w:eastAsia="sk-SK"/>
        </w:rPr>
        <w:t>20</w:t>
      </w:r>
      <w:r w:rsidR="007E778A">
        <w:rPr>
          <w:rFonts w:ascii="Times New Roman" w:hAnsi="Times New Roman"/>
          <w:lang w:eastAsia="sk-SK"/>
        </w:rPr>
        <w:t xml:space="preserve"> </w:t>
      </w:r>
      <w:r w:rsidRPr="00127DFD">
        <w:rPr>
          <w:rFonts w:ascii="Times New Roman" w:hAnsi="Times New Roman"/>
          <w:lang w:eastAsia="sk-SK"/>
        </w:rPr>
        <w:t>cca</w:t>
      </w:r>
      <w:r w:rsidR="007E778A">
        <w:rPr>
          <w:rFonts w:ascii="Times New Roman" w:hAnsi="Times New Roman"/>
          <w:lang w:eastAsia="sk-SK"/>
        </w:rPr>
        <w:t xml:space="preserve"> o</w:t>
      </w:r>
      <w:r w:rsidRPr="00127DFD">
        <w:rPr>
          <w:rFonts w:ascii="Times New Roman" w:hAnsi="Times New Roman"/>
          <w:lang w:eastAsia="sk-SK"/>
        </w:rPr>
        <w:t xml:space="preserve"> </w:t>
      </w:r>
      <w:r w:rsidR="00C96236">
        <w:rPr>
          <w:rFonts w:ascii="Times New Roman" w:hAnsi="Times New Roman"/>
          <w:lang w:eastAsia="sk-SK"/>
        </w:rPr>
        <w:t>0,01</w:t>
      </w:r>
      <w:r w:rsidRPr="00127DFD">
        <w:rPr>
          <w:rFonts w:ascii="Times New Roman" w:hAnsi="Times New Roman"/>
          <w:lang w:eastAsia="sk-SK"/>
        </w:rPr>
        <w:t xml:space="preserve"> </w:t>
      </w:r>
      <w:r w:rsidR="00C96236">
        <w:rPr>
          <w:rFonts w:ascii="Times New Roman" w:hAnsi="Times New Roman"/>
          <w:lang w:eastAsia="sk-SK"/>
        </w:rPr>
        <w:t>mil</w:t>
      </w:r>
      <w:r w:rsidRPr="00127DFD">
        <w:rPr>
          <w:rFonts w:ascii="Times New Roman" w:hAnsi="Times New Roman"/>
          <w:lang w:eastAsia="sk-SK"/>
        </w:rPr>
        <w:t>. eur</w:t>
      </w:r>
      <w:r w:rsidR="001B2749">
        <w:rPr>
          <w:rFonts w:ascii="Times New Roman" w:hAnsi="Times New Roman"/>
          <w:lang w:eastAsia="sk-SK"/>
        </w:rPr>
        <w:t xml:space="preserve"> a</w:t>
      </w:r>
      <w:r w:rsidRPr="00127DFD">
        <w:rPr>
          <w:rFonts w:ascii="Times New Roman" w:hAnsi="Times New Roman"/>
          <w:lang w:eastAsia="sk-SK"/>
        </w:rPr>
        <w:t xml:space="preserve"> v roku </w:t>
      </w:r>
      <w:r w:rsidR="007E778A">
        <w:rPr>
          <w:rFonts w:ascii="Times New Roman" w:hAnsi="Times New Roman"/>
          <w:lang w:eastAsia="sk-SK"/>
        </w:rPr>
        <w:t>20</w:t>
      </w:r>
      <w:r w:rsidR="004214E8">
        <w:rPr>
          <w:rFonts w:ascii="Times New Roman" w:hAnsi="Times New Roman"/>
          <w:lang w:eastAsia="sk-SK"/>
        </w:rPr>
        <w:t>21</w:t>
      </w:r>
      <w:r w:rsidR="007E778A">
        <w:rPr>
          <w:rFonts w:ascii="Times New Roman" w:hAnsi="Times New Roman"/>
          <w:lang w:eastAsia="sk-SK"/>
        </w:rPr>
        <w:t xml:space="preserve"> </w:t>
      </w:r>
      <w:r w:rsidRPr="00127DFD">
        <w:rPr>
          <w:rFonts w:ascii="Times New Roman" w:hAnsi="Times New Roman"/>
          <w:lang w:eastAsia="sk-SK"/>
        </w:rPr>
        <w:t>cca</w:t>
      </w:r>
      <w:r w:rsidR="007E778A">
        <w:rPr>
          <w:rFonts w:ascii="Times New Roman" w:hAnsi="Times New Roman"/>
          <w:lang w:eastAsia="sk-SK"/>
        </w:rPr>
        <w:t xml:space="preserve"> o</w:t>
      </w:r>
      <w:r w:rsidRPr="00127DFD">
        <w:rPr>
          <w:rFonts w:ascii="Times New Roman" w:hAnsi="Times New Roman"/>
          <w:lang w:eastAsia="sk-SK"/>
        </w:rPr>
        <w:t xml:space="preserve"> </w:t>
      </w:r>
      <w:r w:rsidR="00C96236">
        <w:rPr>
          <w:rFonts w:ascii="Times New Roman" w:hAnsi="Times New Roman"/>
          <w:lang w:eastAsia="sk-SK"/>
        </w:rPr>
        <w:t>0,</w:t>
      </w:r>
      <w:r w:rsidR="004214E8">
        <w:rPr>
          <w:rFonts w:ascii="Times New Roman" w:hAnsi="Times New Roman"/>
          <w:lang w:eastAsia="sk-SK"/>
        </w:rPr>
        <w:t>4</w:t>
      </w:r>
      <w:r w:rsidR="008B5A58">
        <w:rPr>
          <w:rFonts w:ascii="Times New Roman" w:hAnsi="Times New Roman"/>
          <w:lang w:eastAsia="sk-SK"/>
        </w:rPr>
        <w:t xml:space="preserve"> </w:t>
      </w:r>
      <w:r w:rsidR="00C96236">
        <w:rPr>
          <w:rFonts w:ascii="Times New Roman" w:hAnsi="Times New Roman"/>
          <w:lang w:eastAsia="sk-SK"/>
        </w:rPr>
        <w:t>mil.</w:t>
      </w:r>
      <w:r w:rsidRPr="00127DFD">
        <w:rPr>
          <w:rFonts w:ascii="Times New Roman" w:hAnsi="Times New Roman"/>
          <w:lang w:eastAsia="sk-SK"/>
        </w:rPr>
        <w:t xml:space="preserve"> eur</w:t>
      </w:r>
      <w:r w:rsidR="004214E8">
        <w:rPr>
          <w:rFonts w:ascii="Times New Roman" w:hAnsi="Times New Roman"/>
          <w:lang w:eastAsia="sk-SK"/>
        </w:rPr>
        <w:t>.</w:t>
      </w:r>
      <w:r w:rsidRPr="00127DFD">
        <w:rPr>
          <w:rFonts w:ascii="Times New Roman" w:hAnsi="Times New Roman"/>
          <w:lang w:eastAsia="sk-SK"/>
        </w:rPr>
        <w:t xml:space="preserve"> </w:t>
      </w:r>
    </w:p>
    <w:p w:rsidR="009C4678" w:rsidRPr="006139BF" w:rsidP="009C6B26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6139BF" w:rsidR="009C6B26">
        <w:rPr>
          <w:rFonts w:ascii="Times New Roman" w:hAnsi="Times New Roman"/>
          <w:sz w:val="20"/>
          <w:szCs w:val="20"/>
          <w:lang w:eastAsia="sk-SK"/>
        </w:rPr>
        <w:t>Tabuľka č. 3</w:t>
      </w:r>
    </w:p>
    <w:tbl>
      <w:tblPr>
        <w:tblStyle w:val="TableNormal"/>
        <w:tblW w:w="90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51"/>
        <w:gridCol w:w="567"/>
        <w:gridCol w:w="567"/>
        <w:gridCol w:w="1134"/>
        <w:gridCol w:w="1275"/>
        <w:gridCol w:w="960"/>
      </w:tblGrid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Príjmy (v eurách)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Daňové príjmy (100)</w:t>
            </w: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23 477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59 891 125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Daň z príjmov fyzickej osoby (111)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-4 181 704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Daň z príjmov právnickej osoby (112)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-7 813 749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Poistné na nemocenské poistenie (151)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6 784 054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Poistné na starobné poistenie (152)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9 337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34 893 495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Poistné na úrazové poistenie (153)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29 237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Poistné na zdravotné poistenie (154)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6 670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365 463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Poistné na poistenie v nezamestnanosti (155)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4 679 918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Poistné na garančné poistenie (156)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589 558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Poistné do rezervného fondu solidarity (157)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3 168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11 201 603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Poistné na invalidné poistenie (158)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2 001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13 343 249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Nedaňové príjmy (200)</w:t>
            </w: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Granty a transfery (300)</w:t>
            </w: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Prijaté úvery, pôžičky a návratné finančné výpomoci (500)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5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Dopad na príjmy verejnej správy celkom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23 477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59 891 125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054507" w:rsidRPr="00054507" w:rsidP="00054507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54507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3D6E48" w:rsidRPr="006139BF" w:rsidP="00987F1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E7664" w:rsidRPr="006139BF" w:rsidP="00987F10">
      <w:pPr>
        <w:bidi w:val="0"/>
        <w:spacing w:after="0" w:line="240" w:lineRule="auto"/>
        <w:jc w:val="both"/>
        <w:rPr>
          <w:rFonts w:ascii="Times New Roman" w:hAnsi="Times New Roman"/>
          <w:bCs/>
        </w:rPr>
      </w:pPr>
      <w:r w:rsidRPr="006139BF" w:rsidR="008218D2">
        <w:rPr>
          <w:rFonts w:ascii="Times New Roman" w:hAnsi="Times New Roman"/>
          <w:bCs/>
        </w:rPr>
        <w:t>Kvantifikácia finančných dopadov zavedenia ročného zúčtovania v sociálnom poistení bola u</w:t>
      </w:r>
      <w:r w:rsidRPr="006139BF" w:rsidR="00E90840">
        <w:rPr>
          <w:rFonts w:ascii="Times New Roman" w:hAnsi="Times New Roman"/>
          <w:bCs/>
        </w:rPr>
        <w:t>skutočnená</w:t>
      </w:r>
      <w:r w:rsidRPr="006139BF" w:rsidR="008218D2">
        <w:rPr>
          <w:rFonts w:ascii="Times New Roman" w:hAnsi="Times New Roman"/>
          <w:bCs/>
        </w:rPr>
        <w:t xml:space="preserve"> n</w:t>
      </w:r>
      <w:r w:rsidRPr="006139BF" w:rsidR="004A5901">
        <w:rPr>
          <w:rFonts w:ascii="Times New Roman" w:hAnsi="Times New Roman"/>
          <w:bCs/>
        </w:rPr>
        <w:t>a základe údajov o</w:t>
      </w:r>
      <w:r w:rsidRPr="006139BF" w:rsidR="002D420F">
        <w:rPr>
          <w:rFonts w:ascii="Times New Roman" w:hAnsi="Times New Roman"/>
          <w:bCs/>
        </w:rPr>
        <w:t> </w:t>
      </w:r>
      <w:r w:rsidRPr="006139BF" w:rsidR="004A5901">
        <w:rPr>
          <w:rFonts w:ascii="Times New Roman" w:hAnsi="Times New Roman"/>
          <w:bCs/>
        </w:rPr>
        <w:t>poistencoch</w:t>
      </w:r>
      <w:r w:rsidRPr="006139BF" w:rsidR="002D420F">
        <w:rPr>
          <w:rFonts w:ascii="Times New Roman" w:hAnsi="Times New Roman"/>
          <w:bCs/>
        </w:rPr>
        <w:t>, ktorí platili</w:t>
      </w:r>
      <w:r w:rsidRPr="006139BF" w:rsidR="004A5901">
        <w:rPr>
          <w:rFonts w:ascii="Times New Roman" w:hAnsi="Times New Roman"/>
          <w:bCs/>
        </w:rPr>
        <w:t xml:space="preserve"> poistné na povinné nemocenské poistenie, povinné dôchodkové poistenie, povinné príspevky na starobné dôchodkové sporenie, poistné na povinné poistenie v</w:t>
      </w:r>
      <w:r w:rsidR="00142FE3">
        <w:rPr>
          <w:rFonts w:ascii="Times New Roman" w:hAnsi="Times New Roman"/>
          <w:bCs/>
        </w:rPr>
        <w:t> </w:t>
      </w:r>
      <w:r w:rsidRPr="006139BF" w:rsidR="004A5901">
        <w:rPr>
          <w:rFonts w:ascii="Times New Roman" w:hAnsi="Times New Roman"/>
          <w:bCs/>
        </w:rPr>
        <w:t>nezamestnanosti</w:t>
      </w:r>
      <w:r w:rsidR="00142FE3">
        <w:rPr>
          <w:rFonts w:ascii="Times New Roman" w:hAnsi="Times New Roman"/>
          <w:bCs/>
        </w:rPr>
        <w:t>, poistné na garančné poistenie</w:t>
      </w:r>
      <w:r w:rsidRPr="006139BF" w:rsidR="004A5901">
        <w:rPr>
          <w:rFonts w:ascii="Times New Roman" w:hAnsi="Times New Roman"/>
          <w:bCs/>
        </w:rPr>
        <w:t xml:space="preserve"> a do rezervného fondu solidarity</w:t>
      </w:r>
      <w:r w:rsidRPr="006139BF" w:rsidR="008218D2">
        <w:rPr>
          <w:rFonts w:ascii="Times New Roman" w:hAnsi="Times New Roman"/>
          <w:bCs/>
        </w:rPr>
        <w:t xml:space="preserve"> v</w:t>
      </w:r>
      <w:r w:rsidRPr="006139BF" w:rsidR="004A5901">
        <w:rPr>
          <w:rFonts w:ascii="Times New Roman" w:hAnsi="Times New Roman"/>
          <w:bCs/>
        </w:rPr>
        <w:t xml:space="preserve"> rok</w:t>
      </w:r>
      <w:r w:rsidRPr="006139BF" w:rsidR="008218D2">
        <w:rPr>
          <w:rFonts w:ascii="Times New Roman" w:hAnsi="Times New Roman"/>
          <w:bCs/>
        </w:rPr>
        <w:t>u</w:t>
      </w:r>
      <w:r w:rsidRPr="006139BF" w:rsidR="004A5901">
        <w:rPr>
          <w:rFonts w:ascii="Times New Roman" w:hAnsi="Times New Roman"/>
          <w:bCs/>
        </w:rPr>
        <w:t xml:space="preserve"> 2016</w:t>
      </w:r>
      <w:r w:rsidRPr="006139BF" w:rsidR="008218D2">
        <w:rPr>
          <w:rFonts w:ascii="Times New Roman" w:hAnsi="Times New Roman"/>
          <w:bCs/>
        </w:rPr>
        <w:t>.</w:t>
      </w:r>
      <w:r w:rsidRPr="006139BF" w:rsidR="004A5901">
        <w:rPr>
          <w:rFonts w:ascii="Times New Roman" w:hAnsi="Times New Roman"/>
          <w:bCs/>
        </w:rPr>
        <w:t xml:space="preserve"> </w:t>
      </w:r>
      <w:r w:rsidRPr="006139BF" w:rsidR="002D420F">
        <w:rPr>
          <w:rFonts w:ascii="Times New Roman" w:hAnsi="Times New Roman"/>
          <w:bCs/>
        </w:rPr>
        <w:t>Pri kvantifikácii finančných dopadov</w:t>
      </w:r>
      <w:r w:rsidRPr="006139BF" w:rsidR="008218D2">
        <w:rPr>
          <w:rFonts w:ascii="Times New Roman" w:hAnsi="Times New Roman"/>
          <w:bCs/>
        </w:rPr>
        <w:t xml:space="preserve"> sa posudzoval každý typ poistného vzťahu samostatne, pričom bol použitý</w:t>
      </w:r>
      <w:r w:rsidRPr="006139BF" w:rsidR="004A5901">
        <w:rPr>
          <w:rFonts w:ascii="Times New Roman" w:hAnsi="Times New Roman"/>
          <w:bCs/>
        </w:rPr>
        <w:t xml:space="preserve"> maximálny ročný vymeriavací základ vo výške 84 – násobku priemernej mzdy v národnom hospodárstve </w:t>
      </w:r>
      <w:r w:rsidRPr="006139BF" w:rsidR="002D420F">
        <w:rPr>
          <w:rFonts w:ascii="Times New Roman" w:hAnsi="Times New Roman"/>
          <w:bCs/>
        </w:rPr>
        <w:t xml:space="preserve">SR </w:t>
      </w:r>
      <w:r w:rsidR="00977913">
        <w:rPr>
          <w:rFonts w:ascii="Times New Roman" w:hAnsi="Times New Roman"/>
          <w:bCs/>
        </w:rPr>
        <w:t>s</w:t>
      </w:r>
      <w:r w:rsidRPr="006139BF" w:rsidR="004A5901">
        <w:rPr>
          <w:rFonts w:ascii="Times New Roman" w:hAnsi="Times New Roman"/>
          <w:bCs/>
        </w:rPr>
        <w:t xml:space="preserve">pred dvoch rokov. </w:t>
      </w:r>
      <w:r w:rsidRPr="006139BF" w:rsidR="004A5901">
        <w:rPr>
          <w:rFonts w:ascii="Times New Roman" w:hAnsi="Times New Roman"/>
          <w:color w:val="000000"/>
        </w:rPr>
        <w:t>V</w:t>
      </w:r>
      <w:r w:rsidRPr="006139BF" w:rsidR="004A5901">
        <w:rPr>
          <w:rFonts w:ascii="Times New Roman" w:hAnsi="Times New Roman"/>
          <w:bCs/>
        </w:rPr>
        <w:t> prípade, že poistenec</w:t>
      </w:r>
      <w:r w:rsidRPr="006139BF" w:rsidR="002D420F">
        <w:rPr>
          <w:rFonts w:ascii="Times New Roman" w:hAnsi="Times New Roman"/>
          <w:bCs/>
        </w:rPr>
        <w:t xml:space="preserve"> v danom type poistného vzťahu</w:t>
      </w:r>
      <w:r w:rsidRPr="006139BF" w:rsidR="004A5901">
        <w:rPr>
          <w:rFonts w:ascii="Times New Roman" w:hAnsi="Times New Roman"/>
          <w:bCs/>
        </w:rPr>
        <w:t xml:space="preserve"> presiahol maximálny ročný vymeriavací základ</w:t>
      </w:r>
      <w:r w:rsidR="00977913">
        <w:rPr>
          <w:rFonts w:ascii="Times New Roman" w:hAnsi="Times New Roman"/>
          <w:bCs/>
        </w:rPr>
        <w:t>,</w:t>
      </w:r>
      <w:r w:rsidRPr="006139BF" w:rsidR="002D420F">
        <w:rPr>
          <w:rFonts w:ascii="Times New Roman" w:hAnsi="Times New Roman"/>
          <w:bCs/>
        </w:rPr>
        <w:t xml:space="preserve"> bolo mu zastavené platenie poistného na sociálne poistenie.</w:t>
      </w:r>
      <w:r w:rsidRPr="006139BF" w:rsidR="004A5901">
        <w:rPr>
          <w:rFonts w:ascii="Times New Roman" w:hAnsi="Times New Roman"/>
          <w:bCs/>
        </w:rPr>
        <w:t xml:space="preserve"> </w:t>
      </w:r>
    </w:p>
    <w:p w:rsidR="004A5901" w:rsidRPr="006139BF" w:rsidP="00987F10">
      <w:pPr>
        <w:bidi w:val="0"/>
        <w:spacing w:after="0" w:line="240" w:lineRule="auto"/>
        <w:jc w:val="both"/>
        <w:rPr>
          <w:rFonts w:ascii="Times New Roman" w:hAnsi="Times New Roman"/>
          <w:bCs/>
        </w:rPr>
      </w:pPr>
      <w:r w:rsidRPr="006139BF" w:rsidR="002D420F">
        <w:rPr>
          <w:rFonts w:ascii="Times New Roman" w:hAnsi="Times New Roman"/>
          <w:bCs/>
        </w:rPr>
        <w:t>Ak mal poistenec viac typov</w:t>
      </w:r>
      <w:r w:rsidRPr="006139BF" w:rsidR="00CE7664">
        <w:rPr>
          <w:rFonts w:ascii="Times New Roman" w:hAnsi="Times New Roman"/>
          <w:bCs/>
        </w:rPr>
        <w:t xml:space="preserve"> poistných vzťahov, zistil sa u takéhoto poistenca v rámci ročného zúčtovania celkový vymeriavací základ</w:t>
      </w:r>
      <w:r w:rsidRPr="006139BF" w:rsidR="00F26D86">
        <w:rPr>
          <w:rFonts w:ascii="Times New Roman" w:hAnsi="Times New Roman"/>
          <w:bCs/>
        </w:rPr>
        <w:t>, z ktorého bolo zaplatené poistné do jednotlivých fondov sociálneho poistenia</w:t>
      </w:r>
      <w:r w:rsidRPr="006139BF" w:rsidR="00CE7664">
        <w:rPr>
          <w:rFonts w:ascii="Times New Roman" w:hAnsi="Times New Roman"/>
          <w:bCs/>
        </w:rPr>
        <w:t>. V prípade, že tento vymeriavací základ presiahol sumu maximálneho ročného vymeriavacieho základu</w:t>
      </w:r>
      <w:r w:rsidRPr="006139BF" w:rsidR="00F526F6">
        <w:rPr>
          <w:rFonts w:ascii="Times New Roman" w:hAnsi="Times New Roman"/>
          <w:bCs/>
        </w:rPr>
        <w:t>,</w:t>
      </w:r>
      <w:r w:rsidRPr="006139BF" w:rsidR="00CE7664">
        <w:rPr>
          <w:rFonts w:ascii="Times New Roman" w:hAnsi="Times New Roman"/>
          <w:bCs/>
        </w:rPr>
        <w:t xml:space="preserve"> bolo tomuto poistencovi v rámci ročného zúčtovania vrátené poistné z jednotlivých druhov poistenia, na ktoré bol poistený. </w:t>
      </w:r>
      <w:r w:rsidR="00FE50E6">
        <w:rPr>
          <w:rFonts w:ascii="Times New Roman" w:hAnsi="Times New Roman"/>
          <w:bCs/>
        </w:rPr>
        <w:t xml:space="preserve">Pri raste vymeriavacích základov bola  v rokoch 2019 až 2021 </w:t>
      </w:r>
      <w:r w:rsidR="00CB0644">
        <w:rPr>
          <w:rFonts w:ascii="Times New Roman" w:hAnsi="Times New Roman"/>
          <w:bCs/>
        </w:rPr>
        <w:t xml:space="preserve">zohľadnená </w:t>
      </w:r>
      <w:r w:rsidR="00EF4BB2">
        <w:rPr>
          <w:rFonts w:ascii="Times New Roman" w:hAnsi="Times New Roman"/>
          <w:bCs/>
        </w:rPr>
        <w:t xml:space="preserve">makroekonomická prognóza IFP z februára 2018. </w:t>
      </w:r>
      <w:r w:rsidRPr="006139BF">
        <w:rPr>
          <w:rFonts w:ascii="Times New Roman" w:hAnsi="Times New Roman"/>
          <w:bCs/>
        </w:rPr>
        <w:t xml:space="preserve"> </w:t>
      </w:r>
    </w:p>
    <w:p w:rsidR="00A8316C" w:rsidRPr="006139BF" w:rsidP="00987F10">
      <w:pPr>
        <w:bidi w:val="0"/>
        <w:spacing w:after="0" w:line="240" w:lineRule="auto"/>
        <w:jc w:val="both"/>
        <w:rPr>
          <w:rFonts w:ascii="Times New Roman" w:hAnsi="Times New Roman"/>
          <w:bCs/>
        </w:rPr>
      </w:pPr>
      <w:r w:rsidRPr="006139BF" w:rsidR="00F26D86">
        <w:rPr>
          <w:rFonts w:ascii="Times New Roman" w:hAnsi="Times New Roman"/>
          <w:bCs/>
        </w:rPr>
        <w:t>Celkový počet osôb, ktor</w:t>
      </w:r>
      <w:r w:rsidR="005A3D44">
        <w:rPr>
          <w:rFonts w:ascii="Times New Roman" w:hAnsi="Times New Roman"/>
          <w:bCs/>
        </w:rPr>
        <w:t>ých</w:t>
      </w:r>
      <w:r w:rsidRPr="006139BF" w:rsidR="00F26D86">
        <w:rPr>
          <w:rFonts w:ascii="Times New Roman" w:hAnsi="Times New Roman"/>
          <w:bCs/>
        </w:rPr>
        <w:t xml:space="preserve"> </w:t>
      </w:r>
      <w:r w:rsidR="00405513">
        <w:rPr>
          <w:rFonts w:ascii="Times New Roman" w:hAnsi="Times New Roman"/>
          <w:bCs/>
        </w:rPr>
        <w:t xml:space="preserve"> vymeriavací základ aspoň v jednom mesiaci prekročí 7-násobok priemernej mzdy</w:t>
      </w:r>
      <w:r w:rsidRPr="006139BF" w:rsidR="00F526F6">
        <w:rPr>
          <w:rFonts w:ascii="Times New Roman" w:hAnsi="Times New Roman"/>
          <w:bCs/>
        </w:rPr>
        <w:t xml:space="preserve">  sa odhaduje v</w:t>
      </w:r>
      <w:r w:rsidR="008545D4">
        <w:rPr>
          <w:rFonts w:ascii="Times New Roman" w:hAnsi="Times New Roman"/>
          <w:bCs/>
        </w:rPr>
        <w:t> </w:t>
      </w:r>
      <w:r w:rsidRPr="006139BF" w:rsidR="0083333A">
        <w:rPr>
          <w:rFonts w:ascii="Times New Roman" w:hAnsi="Times New Roman"/>
          <w:bCs/>
        </w:rPr>
        <w:t>rok</w:t>
      </w:r>
      <w:r w:rsidR="00054507">
        <w:rPr>
          <w:rFonts w:ascii="Times New Roman" w:hAnsi="Times New Roman"/>
          <w:bCs/>
        </w:rPr>
        <w:t>u</w:t>
      </w:r>
      <w:r w:rsidR="008545D4">
        <w:rPr>
          <w:rFonts w:ascii="Times New Roman" w:hAnsi="Times New Roman"/>
          <w:bCs/>
        </w:rPr>
        <w:t xml:space="preserve"> </w:t>
      </w:r>
      <w:r w:rsidRPr="006139BF" w:rsidR="0083333A">
        <w:rPr>
          <w:rFonts w:ascii="Times New Roman" w:hAnsi="Times New Roman"/>
          <w:bCs/>
        </w:rPr>
        <w:t>2021</w:t>
      </w:r>
      <w:r w:rsidRPr="006139BF" w:rsidR="00F526F6">
        <w:rPr>
          <w:rFonts w:ascii="Times New Roman" w:hAnsi="Times New Roman"/>
          <w:bCs/>
        </w:rPr>
        <w:t xml:space="preserve"> na úrovni približne 35</w:t>
      </w:r>
      <w:r w:rsidR="005A3D44">
        <w:rPr>
          <w:rFonts w:ascii="Times New Roman" w:hAnsi="Times New Roman"/>
          <w:bCs/>
        </w:rPr>
        <w:t>,4</w:t>
      </w:r>
      <w:r w:rsidRPr="006139BF" w:rsidR="00F526F6">
        <w:rPr>
          <w:rFonts w:ascii="Times New Roman" w:hAnsi="Times New Roman"/>
          <w:bCs/>
        </w:rPr>
        <w:t xml:space="preserve"> tisíc osôb</w:t>
      </w:r>
      <w:r w:rsidR="00AA5876">
        <w:rPr>
          <w:rFonts w:ascii="Times New Roman" w:hAnsi="Times New Roman"/>
          <w:bCs/>
        </w:rPr>
        <w:t xml:space="preserve"> (z toho </w:t>
      </w:r>
      <w:r w:rsidR="00061108">
        <w:rPr>
          <w:rFonts w:ascii="Times New Roman" w:hAnsi="Times New Roman"/>
          <w:bCs/>
        </w:rPr>
        <w:t xml:space="preserve">počet </w:t>
      </w:r>
      <w:r w:rsidR="00AA5876">
        <w:rPr>
          <w:rFonts w:ascii="Times New Roman" w:hAnsi="Times New Roman"/>
          <w:bCs/>
        </w:rPr>
        <w:t xml:space="preserve">sporiteľov </w:t>
      </w:r>
      <w:r w:rsidR="00061108">
        <w:rPr>
          <w:rFonts w:ascii="Times New Roman" w:hAnsi="Times New Roman"/>
          <w:bCs/>
        </w:rPr>
        <w:t xml:space="preserve">predstavuje </w:t>
      </w:r>
      <w:r w:rsidR="00305592">
        <w:rPr>
          <w:rFonts w:ascii="Times New Roman" w:hAnsi="Times New Roman"/>
          <w:bCs/>
        </w:rPr>
        <w:t>približne 25</w:t>
      </w:r>
      <w:r w:rsidR="00061108">
        <w:rPr>
          <w:rFonts w:ascii="Times New Roman" w:hAnsi="Times New Roman"/>
          <w:bCs/>
        </w:rPr>
        <w:t xml:space="preserve"> tis. osôb)</w:t>
      </w:r>
      <w:r w:rsidRPr="006139BF" w:rsidR="00F526F6">
        <w:rPr>
          <w:rFonts w:ascii="Times New Roman" w:hAnsi="Times New Roman"/>
          <w:bCs/>
        </w:rPr>
        <w:t>.</w:t>
      </w:r>
      <w:r w:rsidR="00061108">
        <w:rPr>
          <w:rFonts w:ascii="Times New Roman" w:hAnsi="Times New Roman"/>
          <w:bCs/>
        </w:rPr>
        <w:t xml:space="preserve"> </w:t>
      </w:r>
      <w:r w:rsidR="00D018A5">
        <w:rPr>
          <w:rFonts w:ascii="Times New Roman" w:hAnsi="Times New Roman"/>
          <w:bCs/>
        </w:rPr>
        <w:t xml:space="preserve"> Kvantifikácia týkajúca sa </w:t>
      </w:r>
      <w:r w:rsidR="00061108">
        <w:rPr>
          <w:rFonts w:ascii="Times New Roman" w:hAnsi="Times New Roman"/>
          <w:bCs/>
        </w:rPr>
        <w:t xml:space="preserve"> </w:t>
      </w:r>
      <w:r w:rsidR="00305592">
        <w:rPr>
          <w:rFonts w:ascii="Times New Roman" w:hAnsi="Times New Roman"/>
          <w:bCs/>
        </w:rPr>
        <w:t xml:space="preserve">sporiteľov, bola </w:t>
      </w:r>
      <w:r w:rsidR="00D018A5">
        <w:rPr>
          <w:rFonts w:ascii="Times New Roman" w:hAnsi="Times New Roman"/>
          <w:bCs/>
        </w:rPr>
        <w:t>uskutočnená</w:t>
      </w:r>
      <w:r w:rsidR="00061108">
        <w:rPr>
          <w:rFonts w:ascii="Times New Roman" w:hAnsi="Times New Roman"/>
          <w:bCs/>
        </w:rPr>
        <w:t xml:space="preserve"> na základe mikroúdajov o poistných vzťahoch</w:t>
      </w:r>
      <w:r w:rsidR="00305592">
        <w:rPr>
          <w:rFonts w:ascii="Times New Roman" w:hAnsi="Times New Roman"/>
          <w:bCs/>
        </w:rPr>
        <w:t xml:space="preserve"> sporiteľov</w:t>
      </w:r>
      <w:r w:rsidR="00CB0644">
        <w:rPr>
          <w:rFonts w:ascii="Times New Roman" w:hAnsi="Times New Roman"/>
          <w:bCs/>
        </w:rPr>
        <w:t>, ktoré boli spárované s údajmi o poistných vzťahoch poistencov.</w:t>
      </w:r>
      <w:r w:rsidR="00061108">
        <w:rPr>
          <w:rFonts w:ascii="Times New Roman" w:hAnsi="Times New Roman"/>
          <w:bCs/>
        </w:rPr>
        <w:t xml:space="preserve"> </w:t>
      </w:r>
    </w:p>
    <w:p w:rsidR="00F26D86" w:rsidRPr="006139BF" w:rsidP="00987F10">
      <w:pPr>
        <w:bidi w:val="0"/>
        <w:spacing w:after="0" w:line="240" w:lineRule="auto"/>
        <w:jc w:val="both"/>
        <w:rPr>
          <w:rFonts w:ascii="Times New Roman" w:hAnsi="Times New Roman"/>
          <w:bCs/>
        </w:rPr>
      </w:pPr>
    </w:p>
    <w:p w:rsidR="009D3C04" w:rsidRPr="006139BF" w:rsidP="00987F10">
      <w:pPr>
        <w:bidi w:val="0"/>
        <w:spacing w:after="0" w:line="240" w:lineRule="auto"/>
        <w:jc w:val="both"/>
        <w:rPr>
          <w:rFonts w:ascii="Times New Roman" w:hAnsi="Times New Roman"/>
          <w:bCs/>
        </w:rPr>
      </w:pPr>
      <w:r w:rsidRPr="006139BF">
        <w:rPr>
          <w:rFonts w:ascii="Times New Roman" w:hAnsi="Times New Roman"/>
          <w:bCs/>
        </w:rPr>
        <w:t>Okrem zavedenia ročného zúčtovania sa uvedená právna úprava dotýka odvodovej odpočítateľnej položky u</w:t>
      </w:r>
      <w:r w:rsidRPr="006139BF" w:rsidR="0083333A">
        <w:rPr>
          <w:rFonts w:ascii="Times New Roman" w:hAnsi="Times New Roman"/>
          <w:bCs/>
        </w:rPr>
        <w:t xml:space="preserve"> dôchodcov pracujúcich na dohodu a v prípade študentov, ktorí vykonávajú brigádnickú prácu študentov. Títo poistenci si budú môcť v rámci ročného zúčtovania douplatniť odvodovú odpočítateľnú položku na platenie poistného na starobné poistenie, invalidné </w:t>
      </w:r>
      <w:r w:rsidRPr="006139BF" w:rsidR="00977913">
        <w:rPr>
          <w:rFonts w:ascii="Times New Roman" w:hAnsi="Times New Roman"/>
          <w:bCs/>
        </w:rPr>
        <w:t>poisteni</w:t>
      </w:r>
      <w:r w:rsidR="00977913">
        <w:rPr>
          <w:rFonts w:ascii="Times New Roman" w:hAnsi="Times New Roman"/>
          <w:bCs/>
        </w:rPr>
        <w:t>e</w:t>
      </w:r>
      <w:r w:rsidRPr="006139BF" w:rsidR="00977913">
        <w:rPr>
          <w:rFonts w:ascii="Times New Roman" w:hAnsi="Times New Roman"/>
          <w:bCs/>
        </w:rPr>
        <w:t xml:space="preserve"> </w:t>
      </w:r>
      <w:r w:rsidRPr="006139BF" w:rsidR="0083333A">
        <w:rPr>
          <w:rFonts w:ascii="Times New Roman" w:hAnsi="Times New Roman"/>
          <w:bCs/>
        </w:rPr>
        <w:t xml:space="preserve">a do rezervného fondu solidarity </w:t>
      </w:r>
      <w:r w:rsidRPr="006139BF" w:rsidR="00A878DE">
        <w:rPr>
          <w:rFonts w:ascii="Times New Roman" w:hAnsi="Times New Roman"/>
          <w:bCs/>
        </w:rPr>
        <w:t>až do výšky</w:t>
      </w:r>
      <w:r w:rsidRPr="006139BF" w:rsidR="0083333A">
        <w:rPr>
          <w:rFonts w:ascii="Times New Roman" w:hAnsi="Times New Roman"/>
          <w:bCs/>
        </w:rPr>
        <w:t xml:space="preserve"> 2</w:t>
      </w:r>
      <w:r w:rsidR="00873368">
        <w:rPr>
          <w:rFonts w:ascii="Times New Roman" w:hAnsi="Times New Roman"/>
          <w:bCs/>
        </w:rPr>
        <w:t xml:space="preserve"> </w:t>
      </w:r>
      <w:r w:rsidRPr="006139BF" w:rsidR="0083333A">
        <w:rPr>
          <w:rFonts w:ascii="Times New Roman" w:hAnsi="Times New Roman"/>
          <w:bCs/>
        </w:rPr>
        <w:t>400 eur</w:t>
      </w:r>
      <w:r w:rsidRPr="006139BF" w:rsidR="00A878DE">
        <w:rPr>
          <w:rFonts w:ascii="Times New Roman" w:hAnsi="Times New Roman"/>
          <w:bCs/>
        </w:rPr>
        <w:t xml:space="preserve"> ročne</w:t>
      </w:r>
      <w:r w:rsidRPr="006139BF" w:rsidR="0083333A">
        <w:rPr>
          <w:rFonts w:ascii="Times New Roman" w:hAnsi="Times New Roman"/>
          <w:bCs/>
        </w:rPr>
        <w:t>. Celkový počet dotknutých osôb sa odhaduje na úrovni približne 103 tis. osôb v roku 202</w:t>
      </w:r>
      <w:r w:rsidR="001B2749">
        <w:rPr>
          <w:rFonts w:ascii="Times New Roman" w:hAnsi="Times New Roman"/>
          <w:bCs/>
        </w:rPr>
        <w:t>2</w:t>
      </w:r>
      <w:r w:rsidRPr="006139BF" w:rsidR="0083333A">
        <w:rPr>
          <w:rFonts w:ascii="Times New Roman" w:hAnsi="Times New Roman"/>
          <w:bCs/>
        </w:rPr>
        <w:t xml:space="preserve">. </w:t>
      </w:r>
    </w:p>
    <w:p w:rsidR="0083333A" w:rsidRPr="006139BF" w:rsidP="00987F10">
      <w:pPr>
        <w:bidi w:val="0"/>
        <w:spacing w:after="0" w:line="240" w:lineRule="auto"/>
        <w:jc w:val="both"/>
        <w:rPr>
          <w:rFonts w:ascii="Times New Roman" w:hAnsi="Times New Roman"/>
          <w:bCs/>
        </w:rPr>
      </w:pPr>
    </w:p>
    <w:p w:rsidR="0015408E" w:rsidP="00987F10">
      <w:pPr>
        <w:bidi w:val="0"/>
        <w:spacing w:after="0" w:line="240" w:lineRule="auto"/>
        <w:jc w:val="both"/>
        <w:rPr>
          <w:rFonts w:ascii="Times New Roman" w:hAnsi="Times New Roman"/>
          <w:bCs/>
        </w:rPr>
      </w:pPr>
      <w:r w:rsidRPr="006139BF" w:rsidR="000E2BB6">
        <w:rPr>
          <w:rFonts w:ascii="Times New Roman" w:hAnsi="Times New Roman"/>
          <w:bCs/>
        </w:rPr>
        <w:t>Zmena v súvislosti so zavedením ročného zúčtovania sa bude týkať aj  SZČO, ktorí budú platiť preddavky ako doteraz, a</w:t>
      </w:r>
      <w:r w:rsidRPr="006139BF" w:rsidR="00445925">
        <w:rPr>
          <w:rFonts w:ascii="Times New Roman" w:hAnsi="Times New Roman"/>
          <w:bCs/>
        </w:rPr>
        <w:t>le pri ročnom zúčtovaní sa im preddavkové platenie</w:t>
      </w:r>
      <w:r w:rsidRPr="006139BF" w:rsidR="000E2BB6">
        <w:rPr>
          <w:rFonts w:ascii="Times New Roman" w:hAnsi="Times New Roman"/>
          <w:bCs/>
        </w:rPr>
        <w:t xml:space="preserve"> porovná s vymeriavacím základom určeným z aktuálneho čiastočného základu dane (t. j. v roku 20</w:t>
      </w:r>
      <w:r w:rsidR="00054507">
        <w:rPr>
          <w:rFonts w:ascii="Times New Roman" w:hAnsi="Times New Roman"/>
          <w:bCs/>
        </w:rPr>
        <w:t>21</w:t>
      </w:r>
      <w:r w:rsidRPr="006139BF" w:rsidR="000E2BB6">
        <w:rPr>
          <w:rFonts w:ascii="Times New Roman" w:hAnsi="Times New Roman"/>
          <w:bCs/>
        </w:rPr>
        <w:t xml:space="preserve"> budú platiť prvý polrok preddavky z VZ určeného z čiastkového základu dane z roku 201</w:t>
      </w:r>
      <w:r w:rsidR="00054507">
        <w:rPr>
          <w:rFonts w:ascii="Times New Roman" w:hAnsi="Times New Roman"/>
          <w:bCs/>
        </w:rPr>
        <w:t>9</w:t>
      </w:r>
      <w:r w:rsidRPr="006139BF" w:rsidR="000E2BB6">
        <w:rPr>
          <w:rFonts w:ascii="Times New Roman" w:hAnsi="Times New Roman"/>
          <w:bCs/>
        </w:rPr>
        <w:t xml:space="preserve"> a druhý polrok z čiastkového základu dane z roku 20</w:t>
      </w:r>
      <w:r w:rsidR="00054507">
        <w:rPr>
          <w:rFonts w:ascii="Times New Roman" w:hAnsi="Times New Roman"/>
          <w:bCs/>
        </w:rPr>
        <w:t>20</w:t>
      </w:r>
      <w:r w:rsidRPr="006139BF" w:rsidR="000E2BB6">
        <w:rPr>
          <w:rFonts w:ascii="Times New Roman" w:hAnsi="Times New Roman"/>
          <w:bCs/>
        </w:rPr>
        <w:t>, avšak v roku 20</w:t>
      </w:r>
      <w:r w:rsidR="00B21D41">
        <w:rPr>
          <w:rFonts w:ascii="Times New Roman" w:hAnsi="Times New Roman"/>
          <w:bCs/>
        </w:rPr>
        <w:t>22</w:t>
      </w:r>
      <w:r w:rsidRPr="006139BF" w:rsidR="000E2BB6">
        <w:rPr>
          <w:rFonts w:ascii="Times New Roman" w:hAnsi="Times New Roman"/>
          <w:bCs/>
        </w:rPr>
        <w:t xml:space="preserve"> sa im to porovná s VZ určeným zo základu dane za rok 20</w:t>
      </w:r>
      <w:r w:rsidR="00B21D41">
        <w:rPr>
          <w:rFonts w:ascii="Times New Roman" w:hAnsi="Times New Roman"/>
          <w:bCs/>
        </w:rPr>
        <w:t>21</w:t>
      </w:r>
      <w:r w:rsidRPr="006139BF" w:rsidR="003E54DA">
        <w:rPr>
          <w:rFonts w:ascii="Times New Roman" w:hAnsi="Times New Roman"/>
          <w:bCs/>
        </w:rPr>
        <w:t>)</w:t>
      </w:r>
      <w:r w:rsidRPr="006139BF" w:rsidR="000E2BB6">
        <w:rPr>
          <w:rFonts w:ascii="Times New Roman" w:hAnsi="Times New Roman"/>
          <w:bCs/>
        </w:rPr>
        <w:t xml:space="preserve">. </w:t>
      </w:r>
      <w:r w:rsidRPr="006139BF" w:rsidR="001F2211">
        <w:rPr>
          <w:rFonts w:ascii="Times New Roman" w:hAnsi="Times New Roman"/>
          <w:bCs/>
        </w:rPr>
        <w:t>Celkový počet</w:t>
      </w:r>
      <w:r w:rsidR="00B523CA">
        <w:rPr>
          <w:rFonts w:ascii="Times New Roman" w:hAnsi="Times New Roman"/>
          <w:bCs/>
        </w:rPr>
        <w:t xml:space="preserve"> SZČO, ktorým </w:t>
      </w:r>
      <w:r w:rsidR="007B1BB4">
        <w:rPr>
          <w:rFonts w:ascii="Times New Roman" w:hAnsi="Times New Roman"/>
          <w:bCs/>
        </w:rPr>
        <w:t xml:space="preserve">vzniknú na základe vyššie uvedeného preplatky alebo nedoplatky na poistnom </w:t>
      </w:r>
      <w:r w:rsidRPr="006139BF" w:rsidR="001F2211">
        <w:rPr>
          <w:rFonts w:ascii="Times New Roman" w:hAnsi="Times New Roman"/>
          <w:bCs/>
        </w:rPr>
        <w:t>sa v</w:t>
      </w:r>
      <w:r w:rsidR="00B21D41">
        <w:rPr>
          <w:rFonts w:ascii="Times New Roman" w:hAnsi="Times New Roman"/>
          <w:bCs/>
        </w:rPr>
        <w:t> </w:t>
      </w:r>
      <w:r w:rsidRPr="006139BF" w:rsidR="001F2211">
        <w:rPr>
          <w:rFonts w:ascii="Times New Roman" w:hAnsi="Times New Roman"/>
          <w:bCs/>
        </w:rPr>
        <w:t>rok</w:t>
      </w:r>
      <w:r w:rsidR="00B21D41">
        <w:rPr>
          <w:rFonts w:ascii="Times New Roman" w:hAnsi="Times New Roman"/>
          <w:bCs/>
        </w:rPr>
        <w:t xml:space="preserve">u  </w:t>
      </w:r>
      <w:r w:rsidRPr="006139BF" w:rsidR="001F2211">
        <w:rPr>
          <w:rFonts w:ascii="Times New Roman" w:hAnsi="Times New Roman"/>
          <w:bCs/>
        </w:rPr>
        <w:t>202</w:t>
      </w:r>
      <w:r w:rsidR="001B2749">
        <w:rPr>
          <w:rFonts w:ascii="Times New Roman" w:hAnsi="Times New Roman"/>
          <w:bCs/>
        </w:rPr>
        <w:t>2</w:t>
      </w:r>
      <w:r w:rsidRPr="006139BF" w:rsidR="001F2211">
        <w:rPr>
          <w:rFonts w:ascii="Times New Roman" w:hAnsi="Times New Roman"/>
          <w:bCs/>
        </w:rPr>
        <w:t xml:space="preserve"> odhaduje na úrovni približne 74 tis. osôb</w:t>
      </w:r>
      <w:r w:rsidR="00B21D41">
        <w:rPr>
          <w:rFonts w:ascii="Times New Roman" w:hAnsi="Times New Roman"/>
          <w:bCs/>
        </w:rPr>
        <w:t>.</w:t>
      </w:r>
    </w:p>
    <w:p w:rsidR="008545D4" w:rsidRPr="006139BF" w:rsidP="00987F10">
      <w:pPr>
        <w:bidi w:val="0"/>
        <w:spacing w:after="0" w:line="240" w:lineRule="auto"/>
        <w:jc w:val="both"/>
        <w:rPr>
          <w:rFonts w:ascii="Times New Roman" w:hAnsi="Times New Roman"/>
          <w:bCs/>
        </w:rPr>
      </w:pPr>
    </w:p>
    <w:p w:rsidR="003D6E48" w:rsidRPr="006139BF" w:rsidP="00E444BE">
      <w:pPr>
        <w:tabs>
          <w:tab w:val="right" w:pos="9070"/>
        </w:tabs>
        <w:bidi w:val="0"/>
        <w:spacing w:after="0" w:line="240" w:lineRule="auto"/>
        <w:jc w:val="both"/>
        <w:rPr>
          <w:rFonts w:ascii="Times New Roman" w:hAnsi="Times New Roman"/>
          <w:bCs/>
        </w:rPr>
      </w:pPr>
      <w:r w:rsidRPr="006139BF">
        <w:rPr>
          <w:rFonts w:ascii="Times New Roman" w:hAnsi="Times New Roman"/>
          <w:bCs/>
        </w:rPr>
        <w:t>Prehľad príjmov v závislosti od legislatívnej úpravy:</w:t>
      </w:r>
      <w:r w:rsidR="008545D4">
        <w:rPr>
          <w:rFonts w:ascii="Times New Roman" w:hAnsi="Times New Roman"/>
          <w:bCs/>
        </w:rPr>
        <w:t xml:space="preserve">                                                        </w:t>
      </w:r>
      <w:r w:rsidRPr="006139BF" w:rsidR="009C6B26">
        <w:rPr>
          <w:rFonts w:ascii="Times New Roman" w:hAnsi="Times New Roman"/>
          <w:bCs/>
        </w:rPr>
        <w:t>v eur</w:t>
      </w:r>
    </w:p>
    <w:tbl>
      <w:tblPr>
        <w:tblStyle w:val="TableNormal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6"/>
        <w:gridCol w:w="993"/>
        <w:gridCol w:w="1340"/>
        <w:gridCol w:w="1240"/>
        <w:gridCol w:w="1340"/>
      </w:tblGrid>
      <w:tr>
        <w:tblPrEx>
          <w:tblW w:w="90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3464DE" w:rsidRPr="006139BF" w:rsidP="009C6B2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139BF" w:rsidR="009C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Návrh legislatívnej úpravy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3464DE" w:rsidRPr="006139BF" w:rsidP="003464D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139BF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3464DE" w:rsidRPr="006139BF" w:rsidP="003464D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139BF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3464DE" w:rsidRPr="006139BF" w:rsidP="003464D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139BF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3464DE" w:rsidRPr="006139BF" w:rsidP="003464D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139BF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</w:tr>
      <w:tr>
        <w:tblPrEx>
          <w:tblW w:w="9039" w:type="dxa"/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45FE2" w:rsidRPr="006139BF" w:rsidP="003464DE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139BF">
              <w:rPr>
                <w:rFonts w:ascii="Arial Narrow" w:hAnsi="Arial Narrow" w:cs="Arial"/>
                <w:sz w:val="20"/>
                <w:szCs w:val="20"/>
                <w:lang w:eastAsia="sk-SK"/>
              </w:rPr>
              <w:t>Ročné zúčtovanie - platenie preddavkov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45FE2" w:rsidRPr="003464DE" w:rsidP="004E39F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A45FE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45FE2" w:rsidRPr="006A60E5" w:rsidP="004E39F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="00B21D41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45FE2" w:rsidRPr="006A60E5" w:rsidP="004E39F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="00B21D41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45FE2" w:rsidRPr="006A60E5" w:rsidP="004E39F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A45FE2">
              <w:rPr>
                <w:rFonts w:ascii="Arial Narrow" w:hAnsi="Arial Narrow" w:cs="Arial"/>
                <w:sz w:val="20"/>
                <w:szCs w:val="20"/>
                <w:lang w:eastAsia="sk-SK"/>
              </w:rPr>
              <w:t>70 600 146</w:t>
            </w:r>
          </w:p>
        </w:tc>
      </w:tr>
      <w:tr>
        <w:tblPrEx>
          <w:tblW w:w="9039" w:type="dxa"/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45FE2" w:rsidRPr="006139BF" w:rsidP="003464DE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139BF">
              <w:rPr>
                <w:rFonts w:ascii="Arial Narrow" w:hAnsi="Arial Narrow" w:cs="Arial"/>
                <w:sz w:val="20"/>
                <w:szCs w:val="20"/>
                <w:lang w:eastAsia="sk-SK"/>
              </w:rPr>
              <w:t>Ročné zúčtovanie - zúčtovanie preddavkov</w:t>
            </w: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zamestnancov a</w:t>
            </w:r>
            <w:r w:rsidR="00B21D41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>zamestnávateľov</w:t>
            </w:r>
            <w:r w:rsidR="00B21D41">
              <w:rPr>
                <w:rFonts w:ascii="Arial Narrow" w:hAnsi="Arial Narrow" w:cs="Arial"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45FE2" w:rsidRPr="003464DE" w:rsidP="004E39F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A45FE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45FE2" w:rsidRPr="003464DE" w:rsidP="004E39F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A45FE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45FE2" w:rsidRPr="003464DE" w:rsidP="004E39F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="00B21D41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45FE2" w:rsidRPr="003464DE" w:rsidP="004E39F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="00B21D41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039" w:type="dxa"/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545D4" w:rsidRPr="006139BF" w:rsidP="003464DE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139BF">
              <w:rPr>
                <w:rFonts w:ascii="Arial Narrow" w:hAnsi="Arial Narrow" w:cs="Arial"/>
                <w:sz w:val="20"/>
                <w:szCs w:val="20"/>
                <w:lang w:eastAsia="sk-SK"/>
              </w:rPr>
              <w:t>Ročné zúčtovanie u SZČO – zmeny súvisiace s</w:t>
            </w: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> určovaním preddavkov u SZČO*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545D4" w:rsidRPr="003464DE" w:rsidP="0004584E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A45FE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545D4" w:rsidRPr="003464DE" w:rsidP="0004584E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A45FE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545D4" w:rsidRPr="003464DE" w:rsidP="0004584E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545D4" w:rsidRPr="003464DE" w:rsidP="0004584E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039" w:type="dxa"/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545D4" w:rsidRPr="006139BF" w:rsidP="003464DE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139BF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Ročné zúčtovanie </w:t>
            </w: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- </w:t>
            </w:r>
            <w:r w:rsidRPr="006139BF">
              <w:rPr>
                <w:rFonts w:ascii="Arial Narrow" w:hAnsi="Arial Narrow" w:cs="Arial"/>
                <w:sz w:val="20"/>
                <w:szCs w:val="20"/>
                <w:lang w:eastAsia="sk-SK"/>
              </w:rPr>
              <w:t>daň fyzických osôb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545D4" w:rsidRPr="003464DE" w:rsidP="004E39F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361ED3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545D4" w:rsidRPr="003464DE" w:rsidP="004E39F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545D4" w:rsidRPr="003464DE" w:rsidP="004E39F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545D4" w:rsidRPr="003464DE" w:rsidP="004E39F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21D41">
              <w:rPr>
                <w:rFonts w:ascii="Arial Narrow" w:hAnsi="Arial Narrow" w:cs="Arial"/>
                <w:sz w:val="20"/>
                <w:szCs w:val="20"/>
                <w:lang w:eastAsia="sk-SK"/>
              </w:rPr>
              <w:t>4 181 704</w:t>
            </w:r>
          </w:p>
        </w:tc>
      </w:tr>
      <w:tr>
        <w:tblPrEx>
          <w:tblW w:w="9039" w:type="dxa"/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545D4" w:rsidRPr="006139BF" w:rsidP="003464DE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139BF">
              <w:rPr>
                <w:rFonts w:ascii="Arial Narrow" w:hAnsi="Arial Narrow" w:cs="Arial"/>
                <w:sz w:val="20"/>
                <w:szCs w:val="20"/>
                <w:lang w:eastAsia="sk-SK"/>
              </w:rPr>
              <w:t>Ročné zúčtovanie</w:t>
            </w: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-</w:t>
            </w:r>
            <w:r w:rsidRPr="006139BF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daň právnických osôb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545D4" w:rsidRPr="003464DE" w:rsidP="004E39F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361ED3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545D4" w:rsidRPr="006A60E5" w:rsidP="004E39F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545D4" w:rsidRPr="006A60E5" w:rsidP="004E39F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545D4" w:rsidRPr="006A60E5" w:rsidP="004E39F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21D41">
              <w:rPr>
                <w:rFonts w:ascii="Arial Narrow" w:hAnsi="Arial Narrow" w:cs="Arial"/>
                <w:sz w:val="20"/>
                <w:szCs w:val="20"/>
                <w:lang w:eastAsia="sk-SK"/>
              </w:rPr>
              <w:t>7 813 749</w:t>
            </w:r>
          </w:p>
        </w:tc>
      </w:tr>
      <w:tr>
        <w:tblPrEx>
          <w:tblW w:w="9039" w:type="dxa"/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545D4" w:rsidRPr="006139BF" w:rsidP="003464DE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139BF">
              <w:rPr>
                <w:rFonts w:ascii="Arial Narrow" w:hAnsi="Arial Narrow" w:cs="Arial"/>
                <w:sz w:val="20"/>
                <w:szCs w:val="20"/>
                <w:lang w:eastAsia="sk-SK"/>
              </w:rPr>
              <w:t>Zúčtovanie OOP dôchodcovia pracujúci na dohodu a študenti vykonávajúci brigádnickú prácu študenta</w:t>
            </w: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– týka sa zamestnancov aj zamestnávateľov*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545D4" w:rsidRPr="006139BF" w:rsidP="003464DE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361ED3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545D4" w:rsidRPr="006139BF" w:rsidP="003464DE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361ED3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545D4" w:rsidRPr="006139BF" w:rsidP="003464DE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545D4" w:rsidRPr="006139BF" w:rsidP="003464DE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039" w:type="dxa"/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545D4" w:rsidRPr="00F97DAF" w:rsidP="00F97DAF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>P</w:t>
            </w:r>
            <w:r w:rsidRPr="00F97DAF">
              <w:rPr>
                <w:rFonts w:ascii="Arial Narrow" w:hAnsi="Arial Narrow" w:cs="Arial"/>
                <w:sz w:val="20"/>
                <w:szCs w:val="20"/>
                <w:lang w:eastAsia="sk-SK"/>
              </w:rPr>
              <w:t>ríjmy za nových zamestnancov</w:t>
            </w: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Sociálnej poisťovne</w:t>
            </w:r>
            <w:r w:rsidRPr="00F97DAF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na poistnom</w:t>
            </w: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do Sociálnej poisťovne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545D4" w:rsidRPr="00F97DAF" w:rsidP="00F97DAF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545D4" w:rsidRPr="00F97DAF" w:rsidP="00F97DAF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545D4" w:rsidRPr="00F97DAF" w:rsidP="00F97DAF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B21D41">
              <w:rPr>
                <w:rFonts w:ascii="Arial Narrow" w:hAnsi="Arial Narrow" w:cs="Arial"/>
                <w:sz w:val="20"/>
                <w:szCs w:val="20"/>
                <w:lang w:eastAsia="sk-SK"/>
              </w:rPr>
              <w:t>16 807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545D4" w:rsidRPr="00F97DAF" w:rsidP="00F97DAF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B21D41">
              <w:rPr>
                <w:rFonts w:ascii="Arial Narrow" w:hAnsi="Arial Narrow" w:cs="Arial"/>
                <w:sz w:val="20"/>
                <w:szCs w:val="20"/>
                <w:lang w:eastAsia="sk-SK"/>
              </w:rPr>
              <w:t>920 968</w:t>
            </w:r>
          </w:p>
        </w:tc>
      </w:tr>
      <w:tr>
        <w:tblPrEx>
          <w:tblW w:w="9039" w:type="dxa"/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545D4" w:rsidRPr="00F97DAF" w:rsidP="00F97DAF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>P</w:t>
            </w:r>
            <w:r w:rsidRPr="00F97DAF">
              <w:rPr>
                <w:rFonts w:ascii="Arial Narrow" w:hAnsi="Arial Narrow" w:cs="Arial"/>
                <w:sz w:val="20"/>
                <w:szCs w:val="20"/>
                <w:lang w:eastAsia="sk-SK"/>
              </w:rPr>
              <w:t>ríjmy za nových zamestnancov</w:t>
            </w: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Sociálnej poisťovne</w:t>
            </w:r>
            <w:r w:rsidRPr="00F97DAF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na poistnom</w:t>
            </w: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do zdravotných poisťovní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545D4" w:rsidRPr="00F97DAF" w:rsidP="00F97DAF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545D4" w:rsidRPr="00F97DAF" w:rsidP="00F97DAF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545D4" w:rsidRPr="00F97DAF" w:rsidP="00F97DAF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B21D41">
              <w:rPr>
                <w:rFonts w:ascii="Arial Narrow" w:hAnsi="Arial Narrow" w:cs="Arial"/>
                <w:sz w:val="20"/>
                <w:szCs w:val="20"/>
                <w:lang w:eastAsia="sk-SK"/>
              </w:rPr>
              <w:t>6 670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545D4" w:rsidRPr="00F97DAF" w:rsidP="00F97DAF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B21D41">
              <w:rPr>
                <w:rFonts w:ascii="Arial Narrow" w:hAnsi="Arial Narrow" w:cs="Arial"/>
                <w:sz w:val="20"/>
                <w:szCs w:val="20"/>
                <w:lang w:eastAsia="sk-SK"/>
              </w:rPr>
              <w:t>365 463</w:t>
            </w:r>
          </w:p>
        </w:tc>
      </w:tr>
    </w:tbl>
    <w:p w:rsidR="00C96236" w:rsidRPr="00C96236" w:rsidP="00CD2466">
      <w:pPr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139BF" w:rsidR="009C6B26">
        <w:rPr>
          <w:rFonts w:ascii="Times New Roman" w:hAnsi="Times New Roman"/>
          <w:bCs/>
          <w:sz w:val="20"/>
          <w:szCs w:val="20"/>
        </w:rPr>
        <w:t>Zdroj: MPSVR SR</w:t>
      </w:r>
      <w:r w:rsidR="00B21D41">
        <w:rPr>
          <w:rFonts w:ascii="Times New Roman" w:hAnsi="Times New Roman"/>
          <w:bCs/>
          <w:sz w:val="20"/>
          <w:szCs w:val="20"/>
        </w:rPr>
        <w:t xml:space="preserve">; * </w:t>
      </w:r>
      <w:r w:rsidRPr="00C7140D" w:rsidR="00C7140D">
        <w:rPr>
          <w:rFonts w:ascii="Times New Roman" w:hAnsi="Times New Roman"/>
          <w:bCs/>
          <w:sz w:val="20"/>
          <w:szCs w:val="20"/>
        </w:rPr>
        <w:t>k predmetnému vplyvu dôjde v praxi v roku 2022</w:t>
      </w:r>
    </w:p>
    <w:p w:rsidR="004F27BE" w:rsidRPr="006139BF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B0994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</w:p>
    <w:p w:rsidR="00EB0994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</w:p>
    <w:p w:rsidR="00631D94" w:rsidRPr="006139BF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  <w:r w:rsidRPr="006139BF">
        <w:rPr>
          <w:rFonts w:ascii="Times New Roman" w:hAnsi="Times New Roman" w:cs="Verdana"/>
          <w:b/>
          <w:bCs/>
          <w:iCs/>
          <w:sz w:val="24"/>
          <w:szCs w:val="24"/>
        </w:rPr>
        <w:t>2.2.4.2 Kvantifikácia výdavkov</w:t>
      </w:r>
    </w:p>
    <w:p w:rsidR="009C4F9A" w:rsidRPr="006139BF" w:rsidP="00E81B3A">
      <w:pPr>
        <w:bidi w:val="0"/>
        <w:spacing w:after="0"/>
        <w:jc w:val="both"/>
        <w:rPr>
          <w:rFonts w:ascii="Times New Roman" w:hAnsi="Times New Roman"/>
          <w:b/>
          <w:i/>
          <w:color w:val="000000"/>
        </w:rPr>
      </w:pPr>
    </w:p>
    <w:p w:rsidR="009C6B26" w:rsidRPr="006139BF" w:rsidP="000A1F6E">
      <w:pPr>
        <w:bidi w:val="0"/>
        <w:spacing w:after="0"/>
        <w:jc w:val="both"/>
        <w:rPr>
          <w:rFonts w:ascii="Times New Roman" w:hAnsi="Times New Roman"/>
          <w:bCs/>
        </w:rPr>
      </w:pPr>
      <w:r w:rsidRPr="006139BF" w:rsidR="00F67072">
        <w:rPr>
          <w:rFonts w:ascii="Times New Roman" w:hAnsi="Times New Roman"/>
          <w:b/>
          <w:i/>
          <w:color w:val="000000"/>
        </w:rPr>
        <w:t xml:space="preserve">A) Zavedenie ročného zúčtovania v sociálnom poistení </w:t>
      </w:r>
      <w:r w:rsidRPr="006139BF" w:rsidR="00F67072">
        <w:rPr>
          <w:rFonts w:ascii="Times New Roman" w:hAnsi="Times New Roman"/>
          <w:color w:val="000000"/>
        </w:rPr>
        <w:t xml:space="preserve">bude mať </w:t>
      </w:r>
      <w:r w:rsidRPr="006139BF" w:rsidR="00FB5424">
        <w:rPr>
          <w:rFonts w:ascii="Times New Roman" w:hAnsi="Times New Roman"/>
          <w:color w:val="000000"/>
        </w:rPr>
        <w:t>z dôvodu</w:t>
      </w:r>
      <w:r w:rsidRPr="006139BF" w:rsidR="00F67072">
        <w:rPr>
          <w:rFonts w:ascii="Times New Roman" w:hAnsi="Times New Roman"/>
          <w:color w:val="000000"/>
        </w:rPr>
        <w:t xml:space="preserve"> zúčtovania preddavkov u</w:t>
      </w:r>
      <w:r w:rsidRPr="006139BF" w:rsidR="00FB5424">
        <w:rPr>
          <w:rFonts w:ascii="Times New Roman" w:hAnsi="Times New Roman"/>
          <w:color w:val="000000"/>
        </w:rPr>
        <w:t> </w:t>
      </w:r>
      <w:r w:rsidRPr="006139BF" w:rsidR="00F67072">
        <w:rPr>
          <w:rFonts w:ascii="Times New Roman" w:hAnsi="Times New Roman"/>
          <w:color w:val="000000"/>
        </w:rPr>
        <w:t>SZČO</w:t>
      </w:r>
      <w:r w:rsidRPr="006139BF" w:rsidR="00FB5424">
        <w:rPr>
          <w:rFonts w:ascii="Times New Roman" w:hAnsi="Times New Roman"/>
          <w:color w:val="000000"/>
        </w:rPr>
        <w:t xml:space="preserve"> vplyv</w:t>
      </w:r>
      <w:r w:rsidRPr="006139BF" w:rsidR="005E02FB">
        <w:rPr>
          <w:rFonts w:ascii="Times New Roman" w:hAnsi="Times New Roman"/>
          <w:color w:val="000000"/>
        </w:rPr>
        <w:t xml:space="preserve"> na</w:t>
      </w:r>
      <w:r w:rsidRPr="006139BF" w:rsidR="00FB5424">
        <w:rPr>
          <w:rFonts w:ascii="Times New Roman" w:hAnsi="Times New Roman"/>
          <w:b/>
          <w:i/>
          <w:color w:val="000000"/>
        </w:rPr>
        <w:t xml:space="preserve"> už vyplatené nemocenské dávky </w:t>
      </w:r>
      <w:r w:rsidRPr="006139BF" w:rsidR="00FB5424">
        <w:rPr>
          <w:rFonts w:ascii="Times New Roman" w:hAnsi="Times New Roman"/>
          <w:color w:val="000000"/>
        </w:rPr>
        <w:t xml:space="preserve">(na dávkovej strane sa budú zasielať iba </w:t>
      </w:r>
      <w:r w:rsidR="009121E5">
        <w:rPr>
          <w:rFonts w:ascii="Times New Roman" w:hAnsi="Times New Roman"/>
          <w:color w:val="000000"/>
        </w:rPr>
        <w:t>doplatky</w:t>
      </w:r>
      <w:r w:rsidRPr="006139BF" w:rsidR="00FB5424">
        <w:rPr>
          <w:rFonts w:ascii="Times New Roman" w:hAnsi="Times New Roman"/>
          <w:color w:val="000000"/>
        </w:rPr>
        <w:t xml:space="preserve"> na</w:t>
      </w:r>
      <w:r w:rsidRPr="006139BF" w:rsidR="005E02FB">
        <w:rPr>
          <w:rFonts w:ascii="Times New Roman" w:hAnsi="Times New Roman"/>
          <w:color w:val="000000"/>
        </w:rPr>
        <w:t xml:space="preserve"> nemocenských </w:t>
      </w:r>
      <w:r w:rsidRPr="006139BF" w:rsidR="00FB5424">
        <w:rPr>
          <w:rFonts w:ascii="Times New Roman" w:hAnsi="Times New Roman"/>
          <w:color w:val="000000"/>
        </w:rPr>
        <w:t xml:space="preserve">dávkach, nebudú sa vyžadovať doplatiť </w:t>
      </w:r>
      <w:r w:rsidR="009121E5">
        <w:rPr>
          <w:rFonts w:ascii="Times New Roman" w:hAnsi="Times New Roman"/>
          <w:color w:val="000000"/>
        </w:rPr>
        <w:t xml:space="preserve"> preplatky</w:t>
      </w:r>
      <w:r w:rsidRPr="006139BF" w:rsidR="00EA1596">
        <w:rPr>
          <w:rFonts w:ascii="Times New Roman" w:hAnsi="Times New Roman"/>
          <w:color w:val="000000"/>
        </w:rPr>
        <w:t xml:space="preserve"> na už vyplatených nemocenských dávkach</w:t>
      </w:r>
      <w:r w:rsidR="004F27BE">
        <w:rPr>
          <w:rFonts w:ascii="Times New Roman" w:hAnsi="Times New Roman"/>
          <w:color w:val="000000"/>
        </w:rPr>
        <w:t xml:space="preserve"> – zachováva sa súčasne využívaný tzv. subjektívny </w:t>
      </w:r>
      <w:r w:rsidR="00977913">
        <w:rPr>
          <w:rFonts w:ascii="Times New Roman" w:hAnsi="Times New Roman"/>
          <w:color w:val="000000"/>
        </w:rPr>
        <w:t>princíp</w:t>
      </w:r>
      <w:r w:rsidRPr="006139BF" w:rsidR="00FB5424">
        <w:rPr>
          <w:rFonts w:ascii="Times New Roman" w:hAnsi="Times New Roman"/>
          <w:color w:val="000000"/>
        </w:rPr>
        <w:t>)</w:t>
      </w:r>
      <w:r w:rsidRPr="006139BF" w:rsidR="00F67072">
        <w:rPr>
          <w:rFonts w:ascii="Times New Roman" w:hAnsi="Times New Roman"/>
          <w:color w:val="000000"/>
        </w:rPr>
        <w:t>.</w:t>
      </w:r>
      <w:r w:rsidRPr="006139BF" w:rsidR="00F67072">
        <w:rPr>
          <w:rFonts w:ascii="Times New Roman" w:hAnsi="Times New Roman"/>
          <w:b/>
          <w:i/>
          <w:color w:val="000000"/>
        </w:rPr>
        <w:t xml:space="preserve"> </w:t>
      </w:r>
      <w:r w:rsidRPr="00EF58F5">
        <w:rPr>
          <w:rFonts w:ascii="Times New Roman" w:hAnsi="Times New Roman"/>
          <w:color w:val="000000"/>
        </w:rPr>
        <w:t xml:space="preserve">Celkový </w:t>
      </w:r>
      <w:r w:rsidRPr="00EF58F5">
        <w:rPr>
          <w:rFonts w:ascii="Times New Roman" w:hAnsi="Times New Roman"/>
          <w:bCs/>
        </w:rPr>
        <w:t xml:space="preserve">počet dotknutých SZČO sa odhaduje na úrovni približne 7 tis. osôb ročne. </w:t>
      </w:r>
      <w:r w:rsidRPr="00EF58F5" w:rsidR="00404EE8">
        <w:rPr>
          <w:rFonts w:ascii="Times New Roman" w:hAnsi="Times New Roman"/>
          <w:color w:val="000000"/>
        </w:rPr>
        <w:t>Priemerný doplatok na jedného</w:t>
      </w:r>
      <w:r w:rsidRPr="006139BF" w:rsidR="00404EE8">
        <w:rPr>
          <w:rFonts w:ascii="Times New Roman" w:hAnsi="Times New Roman"/>
          <w:color w:val="000000"/>
        </w:rPr>
        <w:t xml:space="preserve"> dotknutého SZČO na nemocenskom/materskom/ošetrovnom </w:t>
      </w:r>
      <w:r w:rsidRPr="006139BF" w:rsidR="00486E96">
        <w:rPr>
          <w:rFonts w:ascii="Times New Roman" w:hAnsi="Times New Roman"/>
          <w:color w:val="000000"/>
        </w:rPr>
        <w:t xml:space="preserve">sa predpokladá na úrovni cca </w:t>
      </w:r>
      <w:r w:rsidRPr="006139BF" w:rsidR="00404EE8">
        <w:rPr>
          <w:rFonts w:ascii="Times New Roman" w:hAnsi="Times New Roman"/>
          <w:color w:val="000000"/>
        </w:rPr>
        <w:t>1</w:t>
      </w:r>
      <w:r w:rsidR="00CA4FA5">
        <w:rPr>
          <w:rFonts w:ascii="Times New Roman" w:hAnsi="Times New Roman"/>
          <w:color w:val="000000"/>
        </w:rPr>
        <w:t>65</w:t>
      </w:r>
      <w:r w:rsidRPr="006139BF" w:rsidR="00404EE8">
        <w:rPr>
          <w:rFonts w:ascii="Times New Roman" w:hAnsi="Times New Roman"/>
          <w:color w:val="000000"/>
        </w:rPr>
        <w:t xml:space="preserve"> eur v roku 202</w:t>
      </w:r>
      <w:r w:rsidR="00CA4FA5">
        <w:rPr>
          <w:rFonts w:ascii="Times New Roman" w:hAnsi="Times New Roman"/>
          <w:color w:val="000000"/>
        </w:rPr>
        <w:t>2</w:t>
      </w:r>
      <w:r w:rsidRPr="006139BF" w:rsidR="00404EE8">
        <w:rPr>
          <w:rFonts w:ascii="Times New Roman" w:hAnsi="Times New Roman"/>
          <w:color w:val="000000"/>
        </w:rPr>
        <w:t>.</w:t>
      </w:r>
      <w:r w:rsidR="006F1EA6">
        <w:rPr>
          <w:rFonts w:ascii="Times New Roman" w:hAnsi="Times New Roman"/>
          <w:color w:val="000000"/>
        </w:rPr>
        <w:t xml:space="preserve"> </w:t>
      </w:r>
      <w:r w:rsidR="007B1BB4">
        <w:rPr>
          <w:rFonts w:ascii="Times New Roman" w:hAnsi="Times New Roman"/>
          <w:color w:val="000000"/>
        </w:rPr>
        <w:t>Nedoplatky a preplatky na poistnom u SZČO budú mať dopad aj na určenie dôchodkovej dávky, kde nedoplatky a</w:t>
      </w:r>
      <w:r w:rsidR="004F27BE">
        <w:rPr>
          <w:rFonts w:ascii="Times New Roman" w:hAnsi="Times New Roman"/>
          <w:color w:val="000000"/>
        </w:rPr>
        <w:t> </w:t>
      </w:r>
      <w:r w:rsidR="007B1BB4">
        <w:rPr>
          <w:rFonts w:ascii="Times New Roman" w:hAnsi="Times New Roman"/>
          <w:color w:val="000000"/>
        </w:rPr>
        <w:t>preplatky</w:t>
      </w:r>
      <w:r w:rsidR="004F27BE">
        <w:rPr>
          <w:rFonts w:ascii="Times New Roman" w:hAnsi="Times New Roman"/>
          <w:color w:val="000000"/>
        </w:rPr>
        <w:t xml:space="preserve"> na poistnom</w:t>
      </w:r>
      <w:r w:rsidR="007B1BB4">
        <w:rPr>
          <w:rFonts w:ascii="Times New Roman" w:hAnsi="Times New Roman"/>
          <w:color w:val="000000"/>
        </w:rPr>
        <w:t xml:space="preserve"> ovplyvnia výšku osobného mzdového bodu. </w:t>
      </w:r>
      <w:r w:rsidR="00710264">
        <w:rPr>
          <w:rFonts w:ascii="Times New Roman" w:hAnsi="Times New Roman"/>
          <w:color w:val="000000"/>
        </w:rPr>
        <w:t xml:space="preserve">Nakoľko pri výpočte dôchodkovej dávky sa zohľadňuje obdobie dôchodkového poistenia od roku 1984 vrátane, zmena osobného mzdového bodu </w:t>
      </w:r>
      <w:r w:rsidR="005C1B4B">
        <w:rPr>
          <w:rFonts w:ascii="Times New Roman" w:hAnsi="Times New Roman"/>
          <w:color w:val="000000"/>
        </w:rPr>
        <w:t xml:space="preserve">výrazne neovplyvní sumu dôchodkovej dávky. Na základe uvedeného predpokladáme, že uvedená zmena nebude mať </w:t>
      </w:r>
      <w:r w:rsidR="004F27BE">
        <w:rPr>
          <w:rFonts w:ascii="Times New Roman" w:hAnsi="Times New Roman"/>
          <w:color w:val="000000"/>
        </w:rPr>
        <w:t>výrazné</w:t>
      </w:r>
      <w:r w:rsidR="005C1B4B">
        <w:rPr>
          <w:rFonts w:ascii="Times New Roman" w:hAnsi="Times New Roman"/>
          <w:color w:val="000000"/>
        </w:rPr>
        <w:t xml:space="preserve"> dopady sa rozpočet verejnej správy.</w:t>
      </w:r>
      <w:r w:rsidR="00710264">
        <w:rPr>
          <w:rFonts w:ascii="Times New Roman" w:hAnsi="Times New Roman"/>
          <w:color w:val="000000"/>
        </w:rPr>
        <w:t xml:space="preserve"> </w:t>
      </w:r>
      <w:r w:rsidR="007B1BB4">
        <w:rPr>
          <w:rFonts w:ascii="Times New Roman" w:hAnsi="Times New Roman"/>
          <w:color w:val="000000"/>
        </w:rPr>
        <w:t xml:space="preserve"> </w:t>
      </w:r>
    </w:p>
    <w:p w:rsidR="0015408E" w:rsidRPr="006139BF" w:rsidP="001D1AE3">
      <w:pPr>
        <w:bidi w:val="0"/>
        <w:spacing w:after="0"/>
        <w:jc w:val="both"/>
        <w:rPr>
          <w:rFonts w:ascii="Times New Roman" w:hAnsi="Times New Roman"/>
          <w:b/>
          <w:i/>
          <w:lang w:eastAsia="sk-SK"/>
        </w:rPr>
      </w:pPr>
    </w:p>
    <w:p w:rsidR="00F751CC" w:rsidRPr="006139BF" w:rsidP="001D1AE3">
      <w:pPr>
        <w:bidi w:val="0"/>
        <w:spacing w:after="0"/>
        <w:jc w:val="both"/>
        <w:rPr>
          <w:rFonts w:ascii="Times New Roman" w:hAnsi="Times New Roman"/>
          <w:b/>
          <w:i/>
          <w:lang w:eastAsia="sk-SK"/>
        </w:rPr>
      </w:pPr>
      <w:r w:rsidR="000F7999">
        <w:rPr>
          <w:rFonts w:ascii="Times New Roman" w:hAnsi="Times New Roman"/>
          <w:b/>
          <w:i/>
          <w:lang w:eastAsia="sk-SK"/>
        </w:rPr>
        <w:t>B</w:t>
      </w:r>
      <w:r w:rsidRPr="006139BF">
        <w:rPr>
          <w:rFonts w:ascii="Times New Roman" w:hAnsi="Times New Roman"/>
          <w:b/>
          <w:i/>
          <w:lang w:eastAsia="sk-SK"/>
        </w:rPr>
        <w:t>)</w:t>
      </w:r>
      <w:r w:rsidRPr="006139BF" w:rsidR="008E784D">
        <w:rPr>
          <w:rFonts w:ascii="Times New Roman" w:hAnsi="Times New Roman"/>
          <w:b/>
          <w:i/>
          <w:lang w:eastAsia="sk-SK"/>
        </w:rPr>
        <w:t xml:space="preserve"> Súbežné poberanie dávky materského u otca aj matky</w:t>
      </w:r>
      <w:r w:rsidRPr="006139BF">
        <w:rPr>
          <w:rFonts w:ascii="Times New Roman" w:hAnsi="Times New Roman"/>
          <w:b/>
          <w:i/>
          <w:lang w:eastAsia="sk-SK"/>
        </w:rPr>
        <w:t xml:space="preserve"> </w:t>
      </w:r>
    </w:p>
    <w:p w:rsidR="008E784D" w:rsidP="00B9629A">
      <w:pPr>
        <w:bidi w:val="0"/>
        <w:spacing w:after="0"/>
        <w:jc w:val="both"/>
        <w:rPr>
          <w:rFonts w:ascii="Times New Roman" w:hAnsi="Times New Roman"/>
          <w:bCs/>
          <w:lang w:eastAsia="sk-SK"/>
        </w:rPr>
      </w:pPr>
      <w:r w:rsidRPr="006139BF">
        <w:rPr>
          <w:rFonts w:ascii="Times New Roman" w:hAnsi="Times New Roman"/>
          <w:bCs/>
        </w:rPr>
        <w:t>Pri kvantifikácii sa vychádzalo zo štatistických údajov Sociálnej poisťovne o</w:t>
      </w:r>
      <w:r w:rsidR="005C430E">
        <w:rPr>
          <w:rFonts w:ascii="Times New Roman" w:hAnsi="Times New Roman"/>
          <w:bCs/>
        </w:rPr>
        <w:t> </w:t>
      </w:r>
      <w:r w:rsidRPr="006139BF">
        <w:rPr>
          <w:rFonts w:ascii="Times New Roman" w:hAnsi="Times New Roman"/>
          <w:bCs/>
        </w:rPr>
        <w:t>počte</w:t>
      </w:r>
      <w:r w:rsidR="005C430E">
        <w:rPr>
          <w:rFonts w:ascii="Times New Roman" w:hAnsi="Times New Roman"/>
          <w:bCs/>
        </w:rPr>
        <w:t xml:space="preserve"> otcov poberajúcich dávku materské, nakoľko počet</w:t>
      </w:r>
      <w:r w:rsidRPr="006139BF">
        <w:rPr>
          <w:rFonts w:ascii="Times New Roman" w:hAnsi="Times New Roman"/>
          <w:bCs/>
        </w:rPr>
        <w:t xml:space="preserve"> zamietnutých žiadostí o materské z dôvodu, že poberateľkou materského je už matka</w:t>
      </w:r>
      <w:r w:rsidR="005C430E">
        <w:rPr>
          <w:rFonts w:ascii="Times New Roman" w:hAnsi="Times New Roman"/>
          <w:bCs/>
        </w:rPr>
        <w:t xml:space="preserve"> </w:t>
      </w:r>
      <w:r w:rsidR="007A519D">
        <w:rPr>
          <w:rFonts w:ascii="Times New Roman" w:hAnsi="Times New Roman"/>
          <w:bCs/>
        </w:rPr>
        <w:t>predstavoval celkom len 10 prípadov</w:t>
      </w:r>
      <w:r w:rsidRPr="006139BF">
        <w:rPr>
          <w:rFonts w:ascii="Times New Roman" w:hAnsi="Times New Roman"/>
          <w:bCs/>
        </w:rPr>
        <w:t>.</w:t>
      </w:r>
      <w:r w:rsidR="00D018A5">
        <w:rPr>
          <w:rFonts w:ascii="Times New Roman" w:hAnsi="Times New Roman"/>
          <w:bCs/>
        </w:rPr>
        <w:t xml:space="preserve"> K 31. decembru 2016 bol počet rodín s dvoma deť</w:t>
      </w:r>
      <w:r w:rsidRPr="00EB188F" w:rsidR="00D018A5">
        <w:rPr>
          <w:rFonts w:ascii="Times New Roman" w:hAnsi="Times New Roman"/>
          <w:bCs/>
        </w:rPr>
        <w:t>mi do troch ro</w:t>
      </w:r>
      <w:r w:rsidR="00D018A5">
        <w:rPr>
          <w:rFonts w:ascii="Times New Roman" w:hAnsi="Times New Roman"/>
          <w:bCs/>
        </w:rPr>
        <w:t>kov približne 13 500 a priemerná doba teoretickej možnosti poberania dávky materské u obidvoch rodičov súčasne sa pohybovala na úrovni približne 550 dní</w:t>
      </w:r>
      <w:r w:rsidRPr="00EB188F" w:rsidR="00D018A5">
        <w:rPr>
          <w:rFonts w:ascii="Times New Roman" w:hAnsi="Times New Roman"/>
          <w:bCs/>
        </w:rPr>
        <w:t xml:space="preserve">. </w:t>
      </w:r>
      <w:r w:rsidRPr="006139BF">
        <w:rPr>
          <w:rFonts w:ascii="Times New Roman" w:hAnsi="Times New Roman"/>
          <w:bCs/>
        </w:rPr>
        <w:t xml:space="preserve"> </w:t>
      </w:r>
      <w:r w:rsidR="007A519D">
        <w:rPr>
          <w:rFonts w:ascii="Times New Roman" w:hAnsi="Times New Roman"/>
          <w:bCs/>
        </w:rPr>
        <w:t>Kvantifikácia p</w:t>
      </w:r>
      <w:r w:rsidRPr="006139BF">
        <w:rPr>
          <w:rFonts w:ascii="Times New Roman" w:hAnsi="Times New Roman"/>
          <w:bCs/>
        </w:rPr>
        <w:t>redpokladá, že</w:t>
      </w:r>
      <w:r w:rsidR="00D275C8">
        <w:rPr>
          <w:rFonts w:ascii="Times New Roman" w:hAnsi="Times New Roman"/>
          <w:bCs/>
        </w:rPr>
        <w:t xml:space="preserve"> vplyvom navrhovanej zmeny</w:t>
      </w:r>
      <w:r w:rsidRPr="006139BF">
        <w:rPr>
          <w:rFonts w:ascii="Times New Roman" w:hAnsi="Times New Roman"/>
          <w:bCs/>
        </w:rPr>
        <w:t xml:space="preserve"> sa </w:t>
      </w:r>
      <w:r w:rsidR="005C1B4B">
        <w:rPr>
          <w:rFonts w:ascii="Times New Roman" w:hAnsi="Times New Roman"/>
          <w:bCs/>
        </w:rPr>
        <w:t xml:space="preserve">v roku 2019 </w:t>
      </w:r>
      <w:r w:rsidR="00161774">
        <w:rPr>
          <w:rFonts w:ascii="Times New Roman" w:hAnsi="Times New Roman"/>
          <w:bCs/>
        </w:rPr>
        <w:t>navýši počet otcov</w:t>
      </w:r>
      <w:r w:rsidR="00D275C8">
        <w:rPr>
          <w:rFonts w:ascii="Times New Roman" w:hAnsi="Times New Roman"/>
          <w:bCs/>
        </w:rPr>
        <w:t xml:space="preserve"> poberajúcich materské o</w:t>
      </w:r>
      <w:r w:rsidR="00EB0994">
        <w:rPr>
          <w:rFonts w:ascii="Times New Roman" w:hAnsi="Times New Roman"/>
          <w:bCs/>
        </w:rPr>
        <w:t> </w:t>
      </w:r>
      <w:r w:rsidR="00D275C8">
        <w:rPr>
          <w:rFonts w:ascii="Times New Roman" w:hAnsi="Times New Roman"/>
          <w:bCs/>
        </w:rPr>
        <w:t>10</w:t>
      </w:r>
      <w:r w:rsidR="00EB0994">
        <w:rPr>
          <w:rFonts w:ascii="Times New Roman" w:hAnsi="Times New Roman"/>
          <w:bCs/>
        </w:rPr>
        <w:t xml:space="preserve"> </w:t>
      </w:r>
      <w:r w:rsidR="00D275C8">
        <w:rPr>
          <w:rFonts w:ascii="Times New Roman" w:hAnsi="Times New Roman"/>
          <w:bCs/>
        </w:rPr>
        <w:t xml:space="preserve">%, t. j. </w:t>
      </w:r>
      <w:r w:rsidRPr="006139BF" w:rsidR="00EC3664">
        <w:rPr>
          <w:rFonts w:ascii="Times New Roman" w:hAnsi="Times New Roman"/>
          <w:bCs/>
        </w:rPr>
        <w:t>600 osôb s priemernou dĺžkou poberania materského 4,</w:t>
      </w:r>
      <w:r w:rsidRPr="006139BF" w:rsidR="005E7E19">
        <w:rPr>
          <w:rFonts w:ascii="Times New Roman" w:hAnsi="Times New Roman"/>
          <w:bCs/>
        </w:rPr>
        <w:t>7 mesiacov</w:t>
      </w:r>
      <w:r w:rsidRPr="006139BF" w:rsidR="00EC3664">
        <w:rPr>
          <w:rFonts w:ascii="Times New Roman" w:hAnsi="Times New Roman"/>
          <w:bCs/>
        </w:rPr>
        <w:t>, čo znamená 2 800</w:t>
      </w:r>
      <w:r w:rsidRPr="006139BF">
        <w:rPr>
          <w:rFonts w:ascii="Times New Roman" w:hAnsi="Times New Roman"/>
          <w:bCs/>
        </w:rPr>
        <w:t xml:space="preserve"> vyplatených dávok materského</w:t>
      </w:r>
      <w:r w:rsidRPr="006139BF" w:rsidR="00BD1F13">
        <w:rPr>
          <w:rFonts w:ascii="Times New Roman" w:hAnsi="Times New Roman"/>
          <w:bCs/>
        </w:rPr>
        <w:t xml:space="preserve"> </w:t>
      </w:r>
      <w:r w:rsidRPr="006139BF">
        <w:rPr>
          <w:rFonts w:ascii="Times New Roman" w:hAnsi="Times New Roman"/>
          <w:bCs/>
        </w:rPr>
        <w:t xml:space="preserve">v roku 2019 (iba 11 mesiacov). </w:t>
      </w:r>
      <w:r w:rsidR="005C1B4B">
        <w:rPr>
          <w:rFonts w:ascii="Times New Roman" w:hAnsi="Times New Roman"/>
          <w:bCs/>
        </w:rPr>
        <w:t xml:space="preserve">V ďalších rokoch predpokladáme zvyšovanie počtu osôb so súbežným poberaním dávky materské o 40 %. </w:t>
      </w:r>
      <w:r w:rsidRPr="006139BF">
        <w:rPr>
          <w:rFonts w:ascii="Times New Roman" w:hAnsi="Times New Roman"/>
          <w:bCs/>
        </w:rPr>
        <w:t xml:space="preserve">Priemerná mesačná suma materského bude predstavovať </w:t>
      </w:r>
      <w:r w:rsidRPr="006139BF" w:rsidR="005E7E19">
        <w:rPr>
          <w:rFonts w:ascii="Times New Roman" w:hAnsi="Times New Roman"/>
          <w:bCs/>
        </w:rPr>
        <w:t>727,1</w:t>
      </w:r>
      <w:r w:rsidRPr="006139BF">
        <w:rPr>
          <w:rFonts w:ascii="Times New Roman" w:hAnsi="Times New Roman"/>
          <w:bCs/>
        </w:rPr>
        <w:t xml:space="preserve"> eura v roku 2019; </w:t>
      </w:r>
      <w:r w:rsidRPr="006139BF" w:rsidR="005E7E19">
        <w:rPr>
          <w:rFonts w:ascii="Times New Roman" w:hAnsi="Times New Roman"/>
          <w:bCs/>
        </w:rPr>
        <w:t>762,0</w:t>
      </w:r>
      <w:r w:rsidRPr="006139BF">
        <w:rPr>
          <w:rFonts w:ascii="Times New Roman" w:hAnsi="Times New Roman"/>
          <w:bCs/>
        </w:rPr>
        <w:t xml:space="preserve"> eura v roku 2020 a</w:t>
      </w:r>
      <w:r w:rsidRPr="006139BF" w:rsidR="005E7E19">
        <w:rPr>
          <w:rFonts w:ascii="Times New Roman" w:hAnsi="Times New Roman"/>
          <w:bCs/>
        </w:rPr>
        <w:t> 801,7</w:t>
      </w:r>
      <w:r w:rsidRPr="006139BF">
        <w:rPr>
          <w:rFonts w:ascii="Times New Roman" w:hAnsi="Times New Roman"/>
          <w:bCs/>
        </w:rPr>
        <w:t xml:space="preserve"> eura v roku 2021.</w:t>
      </w:r>
      <w:r w:rsidRPr="006139BF">
        <w:rPr>
          <w:rFonts w:ascii="Times New Roman" w:hAnsi="Times New Roman"/>
          <w:bCs/>
          <w:lang w:eastAsia="sk-SK"/>
        </w:rPr>
        <w:t xml:space="preserve"> Predpokladá sa zanedbateľná úspora na rodičovskom príspevku z titulu súbežného priznania dávky materské otcovi na druhé dieťa. </w:t>
      </w:r>
    </w:p>
    <w:p w:rsidR="00180D95" w:rsidP="00B9629A">
      <w:pPr>
        <w:bidi w:val="0"/>
        <w:spacing w:after="0"/>
        <w:jc w:val="both"/>
        <w:rPr>
          <w:rFonts w:ascii="Times New Roman" w:hAnsi="Times New Roman"/>
          <w:bCs/>
          <w:lang w:eastAsia="sk-SK"/>
        </w:rPr>
      </w:pPr>
    </w:p>
    <w:p w:rsidR="00180D95" w:rsidRPr="006139BF" w:rsidP="00180D95">
      <w:pPr>
        <w:bidi w:val="0"/>
        <w:spacing w:after="0"/>
        <w:jc w:val="both"/>
        <w:rPr>
          <w:rFonts w:ascii="Times New Roman" w:hAnsi="Times New Roman"/>
          <w:b/>
          <w:i/>
          <w:lang w:eastAsia="sk-SK"/>
        </w:rPr>
      </w:pPr>
      <w:r w:rsidR="000F7999">
        <w:rPr>
          <w:rFonts w:ascii="Times New Roman" w:hAnsi="Times New Roman"/>
          <w:b/>
          <w:i/>
          <w:lang w:eastAsia="sk-SK"/>
        </w:rPr>
        <w:t>C</w:t>
      </w:r>
      <w:r w:rsidRPr="006139BF">
        <w:rPr>
          <w:rFonts w:ascii="Times New Roman" w:hAnsi="Times New Roman"/>
          <w:b/>
          <w:i/>
          <w:lang w:eastAsia="sk-SK"/>
        </w:rPr>
        <w:t>)</w:t>
      </w:r>
      <w:r>
        <w:rPr>
          <w:rFonts w:ascii="Times New Roman" w:hAnsi="Times New Roman"/>
          <w:b/>
          <w:i/>
          <w:lang w:eastAsia="sk-SK"/>
        </w:rPr>
        <w:t xml:space="preserve"> Administratívne výdavky Sociálnej poisťovne</w:t>
      </w:r>
      <w:r w:rsidRPr="006139BF">
        <w:rPr>
          <w:rFonts w:ascii="Times New Roman" w:hAnsi="Times New Roman"/>
          <w:b/>
          <w:i/>
          <w:lang w:eastAsia="sk-SK"/>
        </w:rPr>
        <w:t xml:space="preserve"> </w:t>
      </w:r>
    </w:p>
    <w:p w:rsidR="00180D95" w:rsidP="00B9629A">
      <w:pPr>
        <w:bidi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eastAsia="sk-SK"/>
        </w:rPr>
        <w:t>Sociálna poisťovňa bude zasielať</w:t>
      </w:r>
      <w:r>
        <w:rPr>
          <w:rFonts w:ascii="Times New Roman" w:hAnsi="Times New Roman"/>
        </w:rPr>
        <w:t xml:space="preserve"> rozhodnutia o výsledku ročného zúčtovania </w:t>
      </w:r>
      <w:r w:rsidRPr="006139BF">
        <w:rPr>
          <w:rFonts w:ascii="Times New Roman" w:hAnsi="Times New Roman"/>
        </w:rPr>
        <w:t>z dôvodu zavedenia ročného zúčtovania v sociálnom poistení</w:t>
      </w:r>
      <w:r w:rsidR="00BA2AFD">
        <w:rPr>
          <w:rFonts w:ascii="Times New Roman" w:hAnsi="Times New Roman"/>
        </w:rPr>
        <w:t xml:space="preserve"> každému subjektu (aj v prípade ak je výsledkom ročného zúčtovania 0)</w:t>
      </w:r>
      <w:r>
        <w:rPr>
          <w:rFonts w:ascii="Times New Roman" w:hAnsi="Times New Roman"/>
        </w:rPr>
        <w:t xml:space="preserve">. Podľa stavu k 31. decembru 2017 sa očakáva zaslanie </w:t>
      </w:r>
      <w:r w:rsidR="005C430E">
        <w:rPr>
          <w:rFonts w:ascii="Times New Roman" w:hAnsi="Times New Roman"/>
        </w:rPr>
        <w:t xml:space="preserve">rozhodnutia </w:t>
      </w:r>
      <w:r>
        <w:rPr>
          <w:rFonts w:ascii="Times New Roman" w:hAnsi="Times New Roman"/>
        </w:rPr>
        <w:t>v listinnej podobe 2 001 507 zamestnanco</w:t>
      </w:r>
      <w:r w:rsidR="005C430E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a 402 610 dohodáro</w:t>
      </w:r>
      <w:r w:rsidR="005C430E">
        <w:rPr>
          <w:rFonts w:ascii="Times New Roman" w:hAnsi="Times New Roman"/>
        </w:rPr>
        <w:t>m, pričom</w:t>
      </w:r>
      <w:r w:rsidR="00EC7E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náklad</w:t>
      </w:r>
      <w:r w:rsidR="005C430E">
        <w:rPr>
          <w:rFonts w:ascii="Times New Roman" w:hAnsi="Times New Roman"/>
        </w:rPr>
        <w:t xml:space="preserve">y </w:t>
      </w:r>
      <w:r>
        <w:rPr>
          <w:rFonts w:ascii="Times New Roman" w:hAnsi="Times New Roman"/>
        </w:rPr>
        <w:t xml:space="preserve"> na jedno rozhodnutie</w:t>
      </w:r>
      <w:r w:rsidR="005C430E">
        <w:rPr>
          <w:rFonts w:ascii="Times New Roman" w:hAnsi="Times New Roman"/>
        </w:rPr>
        <w:t xml:space="preserve"> sa predpokladajú vo výške</w:t>
      </w:r>
      <w:r>
        <w:rPr>
          <w:rFonts w:ascii="Times New Roman" w:hAnsi="Times New Roman"/>
        </w:rPr>
        <w:t xml:space="preserve"> 1,</w:t>
      </w:r>
      <w:r w:rsidR="002A5E00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eura. Vzhľadom na nízky podiel fyzických osôb v súčasnosti používajúcich</w:t>
      </w:r>
      <w:r w:rsidR="00AD68A9">
        <w:rPr>
          <w:rFonts w:ascii="Times New Roman" w:hAnsi="Times New Roman"/>
        </w:rPr>
        <w:t xml:space="preserve"> elektronickú schránku</w:t>
      </w:r>
      <w:r>
        <w:rPr>
          <w:rFonts w:ascii="Times New Roman" w:hAnsi="Times New Roman"/>
        </w:rPr>
        <w:t xml:space="preserve"> sa neočakáva úspora z dôvodu elektronickej komunikácie s fyzickými osobami</w:t>
      </w:r>
      <w:r w:rsidR="00AD68A9">
        <w:rPr>
          <w:rFonts w:ascii="Times New Roman" w:hAnsi="Times New Roman"/>
        </w:rPr>
        <w:t>, čo je na druhej strane</w:t>
      </w:r>
      <w:r>
        <w:rPr>
          <w:rFonts w:ascii="Times New Roman" w:hAnsi="Times New Roman"/>
        </w:rPr>
        <w:t xml:space="preserve"> kompenzované skutočnosťou, že v niektorých prípadoch bude potrebné zaslať rozhodnutie viackrát (napr. neprevzatie</w:t>
      </w:r>
      <w:r w:rsidR="00EC7E4C">
        <w:rPr>
          <w:rFonts w:ascii="Times New Roman" w:hAnsi="Times New Roman"/>
        </w:rPr>
        <w:t xml:space="preserve"> rozhodnutia</w:t>
      </w:r>
      <w:r>
        <w:rPr>
          <w:rFonts w:ascii="Times New Roman" w:hAnsi="Times New Roman"/>
        </w:rPr>
        <w:t xml:space="preserve"> a</w:t>
      </w:r>
      <w:r w:rsidR="005C430E">
        <w:rPr>
          <w:rFonts w:ascii="Times New Roman" w:hAnsi="Times New Roman"/>
        </w:rPr>
        <w:t>lebo</w:t>
      </w:r>
      <w:r>
        <w:rPr>
          <w:rFonts w:ascii="Times New Roman" w:hAnsi="Times New Roman"/>
        </w:rPr>
        <w:t> odvolacie konanie).</w:t>
      </w:r>
      <w:r w:rsidR="00AD68A9">
        <w:rPr>
          <w:rFonts w:ascii="Times New Roman" w:hAnsi="Times New Roman"/>
        </w:rPr>
        <w:t xml:space="preserve"> Pre komunikáciu </w:t>
      </w:r>
      <w:r w:rsidR="00FA6AE4">
        <w:rPr>
          <w:rFonts w:ascii="Times New Roman" w:hAnsi="Times New Roman"/>
        </w:rPr>
        <w:t xml:space="preserve">so zamestnávateľmi </w:t>
      </w:r>
      <w:r w:rsidR="00BA2AFD">
        <w:rPr>
          <w:rFonts w:ascii="Times New Roman" w:hAnsi="Times New Roman"/>
        </w:rPr>
        <w:t>(179 588 k 31. decembru 2017)</w:t>
      </w:r>
      <w:r w:rsidR="00AD68A9">
        <w:rPr>
          <w:rFonts w:ascii="Times New Roman" w:hAnsi="Times New Roman"/>
        </w:rPr>
        <w:t xml:space="preserve"> a</w:t>
      </w:r>
      <w:r w:rsidR="00BA2AFD">
        <w:rPr>
          <w:rFonts w:ascii="Times New Roman" w:hAnsi="Times New Roman"/>
        </w:rPr>
        <w:t> </w:t>
      </w:r>
      <w:r w:rsidR="00AD68A9">
        <w:rPr>
          <w:rFonts w:ascii="Times New Roman" w:hAnsi="Times New Roman"/>
        </w:rPr>
        <w:t>SZČO</w:t>
      </w:r>
      <w:r w:rsidR="00BA2AFD">
        <w:rPr>
          <w:rFonts w:ascii="Times New Roman" w:hAnsi="Times New Roman"/>
        </w:rPr>
        <w:t xml:space="preserve"> (211 071 k 31. decembru 2017)</w:t>
      </w:r>
      <w:r w:rsidR="00AD68A9">
        <w:rPr>
          <w:rFonts w:ascii="Times New Roman" w:hAnsi="Times New Roman"/>
        </w:rPr>
        <w:t xml:space="preserve"> </w:t>
      </w:r>
      <w:r w:rsidR="001E2FFE">
        <w:rPr>
          <w:rFonts w:ascii="Times New Roman" w:hAnsi="Times New Roman"/>
        </w:rPr>
        <w:t>sa predpokladá iba zasielanie do elektronických schránok</w:t>
      </w:r>
      <w:r w:rsidR="002A5E00">
        <w:rPr>
          <w:rFonts w:ascii="Times New Roman" w:hAnsi="Times New Roman"/>
        </w:rPr>
        <w:t>, nakoľko bude pre nich elektronická komunikácia povinná</w:t>
      </w:r>
      <w:r w:rsidR="001B2749">
        <w:rPr>
          <w:rFonts w:ascii="Times New Roman" w:hAnsi="Times New Roman"/>
        </w:rPr>
        <w:t xml:space="preserve">. </w:t>
      </w:r>
      <w:r w:rsidRPr="001B2749" w:rsidR="001B2749">
        <w:rPr>
          <w:rFonts w:ascii="Times New Roman" w:hAnsi="Times New Roman"/>
          <w:bCs/>
        </w:rPr>
        <w:t>K predmetnému vykonaniu ročného zúčtovania dôjde v praxi v roku 2022</w:t>
      </w:r>
      <w:r w:rsidRPr="001B2749" w:rsidR="001E2FFE">
        <w:rPr>
          <w:rFonts w:ascii="Times New Roman" w:hAnsi="Times New Roman"/>
        </w:rPr>
        <w:t>.</w:t>
      </w:r>
      <w:r w:rsidR="001E2FFE">
        <w:rPr>
          <w:rFonts w:ascii="Times New Roman" w:hAnsi="Times New Roman"/>
        </w:rPr>
        <w:t xml:space="preserve"> </w:t>
      </w:r>
    </w:p>
    <w:p w:rsidR="00EB0994" w:rsidP="00B9629A">
      <w:pPr>
        <w:bidi w:val="0"/>
        <w:spacing w:after="0"/>
        <w:jc w:val="both"/>
        <w:rPr>
          <w:rFonts w:ascii="Times New Roman" w:hAnsi="Times New Roman"/>
        </w:rPr>
      </w:pPr>
    </w:p>
    <w:p w:rsidR="001E2FFE" w:rsidRPr="006139BF" w:rsidP="00B9629A">
      <w:pPr>
        <w:bidi w:val="0"/>
        <w:spacing w:after="0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</w:rPr>
        <w:t xml:space="preserve">V súvislosti s agendou ročného zúčtovania sociálneho poistenia sa v Sociálnej poisťovni predpokladá prijatie 307 nových zamestnancov </w:t>
      </w:r>
      <w:r w:rsidR="00CA4FA5">
        <w:rPr>
          <w:rFonts w:ascii="Times New Roman" w:hAnsi="Times New Roman"/>
        </w:rPr>
        <w:t>od roku</w:t>
      </w:r>
      <w:r>
        <w:rPr>
          <w:rFonts w:ascii="Times New Roman" w:hAnsi="Times New Roman"/>
        </w:rPr>
        <w:t xml:space="preserve"> 2021. Agenda ročného zúčtovania bude prioritne riešená pobočkami, t. j. priemerný počet cca 8 zamestnancov na jeden výkonný orgán Sociálnej poisťovne (36 pobočiek plus ústredie Sociálnej poisťovne). </w:t>
      </w:r>
      <w:r w:rsidR="00401613">
        <w:rPr>
          <w:rFonts w:ascii="Times New Roman" w:hAnsi="Times New Roman"/>
        </w:rPr>
        <w:t>Na jedného zamestnanca bude pripadať cca 9 104 rozhodnutí o ročnom zúčtovaní  = 2 794 776 / 307</w:t>
      </w:r>
      <w:r>
        <w:rPr>
          <w:rFonts w:ascii="Times New Roman" w:hAnsi="Times New Roman"/>
        </w:rPr>
        <w:t xml:space="preserve"> (ide o určité zovšeobecnenie, nakoľko nie každý</w:t>
      </w:r>
      <w:r w:rsidR="00B51A21">
        <w:rPr>
          <w:rFonts w:ascii="Times New Roman" w:hAnsi="Times New Roman"/>
        </w:rPr>
        <w:t xml:space="preserve"> nový</w:t>
      </w:r>
      <w:r>
        <w:rPr>
          <w:rFonts w:ascii="Times New Roman" w:hAnsi="Times New Roman"/>
        </w:rPr>
        <w:t xml:space="preserve"> zamestnanec bude rozhodovať a zasielať rozhodnutia o ročnom zúčtovaní</w:t>
      </w:r>
      <w:r w:rsidR="00401613">
        <w:rPr>
          <w:rFonts w:ascii="Times New Roman" w:hAnsi="Times New Roman"/>
        </w:rPr>
        <w:t>; celkový počet  rozhodnutí podľa stavu zamestnávateľov, SZČO, zamestnancov a zamestnancov-dohodárov k 31. decembru 2017</w:t>
      </w:r>
      <w:r>
        <w:rPr>
          <w:rFonts w:ascii="Times New Roman" w:hAnsi="Times New Roman"/>
        </w:rPr>
        <w:t xml:space="preserve">). </w:t>
      </w:r>
    </w:p>
    <w:p w:rsidR="001C2F03" w:rsidP="001D1AE3">
      <w:pPr>
        <w:bidi w:val="0"/>
        <w:spacing w:after="0"/>
        <w:jc w:val="both"/>
        <w:rPr>
          <w:rFonts w:ascii="Times New Roman" w:hAnsi="Times New Roman"/>
          <w:b/>
          <w:i/>
          <w:lang w:eastAsia="sk-SK"/>
        </w:rPr>
      </w:pPr>
    </w:p>
    <w:p w:rsidR="00EB0994" w:rsidP="001D1AE3">
      <w:pPr>
        <w:bidi w:val="0"/>
        <w:spacing w:after="0"/>
        <w:jc w:val="both"/>
        <w:rPr>
          <w:rFonts w:ascii="Times New Roman" w:hAnsi="Times New Roman"/>
          <w:b/>
          <w:i/>
          <w:lang w:eastAsia="sk-SK"/>
        </w:rPr>
      </w:pPr>
    </w:p>
    <w:p w:rsidR="00EB0994" w:rsidP="001D1AE3">
      <w:pPr>
        <w:bidi w:val="0"/>
        <w:spacing w:after="0"/>
        <w:jc w:val="both"/>
        <w:rPr>
          <w:rFonts w:ascii="Times New Roman" w:hAnsi="Times New Roman"/>
          <w:b/>
          <w:i/>
          <w:lang w:eastAsia="sk-SK"/>
        </w:rPr>
      </w:pPr>
    </w:p>
    <w:p w:rsidR="00EB0994" w:rsidP="001D1AE3">
      <w:pPr>
        <w:bidi w:val="0"/>
        <w:spacing w:after="0"/>
        <w:jc w:val="both"/>
        <w:rPr>
          <w:rFonts w:ascii="Times New Roman" w:hAnsi="Times New Roman"/>
          <w:b/>
          <w:i/>
          <w:lang w:eastAsia="sk-SK"/>
        </w:rPr>
      </w:pPr>
    </w:p>
    <w:p w:rsidR="00EB0994" w:rsidP="001D1AE3">
      <w:pPr>
        <w:bidi w:val="0"/>
        <w:spacing w:after="0"/>
        <w:jc w:val="both"/>
        <w:rPr>
          <w:rFonts w:ascii="Times New Roman" w:hAnsi="Times New Roman"/>
          <w:b/>
          <w:i/>
          <w:lang w:eastAsia="sk-SK"/>
        </w:rPr>
      </w:pPr>
    </w:p>
    <w:p w:rsidR="00EB0994" w:rsidP="001D1AE3">
      <w:pPr>
        <w:bidi w:val="0"/>
        <w:spacing w:after="0"/>
        <w:jc w:val="both"/>
        <w:rPr>
          <w:rFonts w:ascii="Times New Roman" w:hAnsi="Times New Roman"/>
          <w:b/>
          <w:i/>
          <w:lang w:eastAsia="sk-SK"/>
        </w:rPr>
      </w:pPr>
    </w:p>
    <w:p w:rsidR="00EB0994" w:rsidRPr="006139BF" w:rsidP="001D1AE3">
      <w:pPr>
        <w:bidi w:val="0"/>
        <w:spacing w:after="0"/>
        <w:jc w:val="both"/>
        <w:rPr>
          <w:rFonts w:ascii="Times New Roman" w:hAnsi="Times New Roman"/>
          <w:b/>
          <w:i/>
          <w:lang w:eastAsia="sk-SK"/>
        </w:rPr>
      </w:pPr>
    </w:p>
    <w:p w:rsidR="009C6B26" w:rsidRPr="006139BF" w:rsidP="009C6B26">
      <w:pPr>
        <w:tabs>
          <w:tab w:val="right" w:pos="9070"/>
        </w:tabs>
        <w:bidi w:val="0"/>
        <w:spacing w:after="0" w:line="240" w:lineRule="auto"/>
        <w:jc w:val="both"/>
        <w:rPr>
          <w:rFonts w:ascii="Times New Roman" w:hAnsi="Times New Roman"/>
          <w:bCs/>
        </w:rPr>
      </w:pPr>
      <w:r w:rsidRPr="006139BF">
        <w:rPr>
          <w:rFonts w:ascii="Times New Roman" w:hAnsi="Times New Roman"/>
          <w:bCs/>
        </w:rPr>
        <w:t>Prehľad výdavkov v závislosti od legislatívnej úpravy:                                                                     v eur</w:t>
        <w:tab/>
      </w:r>
    </w:p>
    <w:tbl>
      <w:tblPr>
        <w:tblStyle w:val="TableNormal"/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6"/>
        <w:gridCol w:w="1240"/>
        <w:gridCol w:w="1240"/>
        <w:gridCol w:w="1240"/>
        <w:gridCol w:w="1240"/>
      </w:tblGrid>
      <w:tr>
        <w:tblPrEx>
          <w:tblW w:w="90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9C6B26" w:rsidRPr="006139BF" w:rsidP="009C6B2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139BF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Návrh legislatívnej úpravy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9C6B26" w:rsidRPr="006139BF" w:rsidP="009C6B26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139BF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9C6B26" w:rsidRPr="006139BF" w:rsidP="009C6B26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139BF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9C6B26" w:rsidRPr="006139BF" w:rsidP="009C6B26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139BF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9C6B26" w:rsidRPr="006139BF" w:rsidP="009C6B26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139BF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</w:tr>
      <w:tr>
        <w:tblPrEx>
          <w:tblW w:w="9086" w:type="dxa"/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61ED3" w:rsidRPr="006139BF" w:rsidP="009C6B26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139BF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Súbežné poberanie materského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61ED3" w:rsidRPr="006139BF" w:rsidP="00740E40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361ED3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61ED3" w:rsidRPr="006139BF" w:rsidP="00740E40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361ED3">
              <w:rPr>
                <w:rFonts w:ascii="Arial Narrow" w:hAnsi="Arial Narrow" w:cs="Arial"/>
                <w:sz w:val="20"/>
                <w:szCs w:val="20"/>
                <w:lang w:eastAsia="sk-SK"/>
              </w:rPr>
              <w:t>2 051 126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61ED3" w:rsidRPr="006139BF" w:rsidP="00740E40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361ED3">
              <w:rPr>
                <w:rFonts w:ascii="Arial Narrow" w:hAnsi="Arial Narrow" w:cs="Arial"/>
                <w:sz w:val="20"/>
                <w:szCs w:val="20"/>
                <w:lang w:eastAsia="sk-SK"/>
              </w:rPr>
              <w:t>3 020 854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61ED3" w:rsidRPr="006139BF" w:rsidP="00740E40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361ED3">
              <w:rPr>
                <w:rFonts w:ascii="Arial Narrow" w:hAnsi="Arial Narrow" w:cs="Arial"/>
                <w:sz w:val="20"/>
                <w:szCs w:val="20"/>
                <w:lang w:eastAsia="sk-SK"/>
              </w:rPr>
              <w:t>4 449 586</w:t>
            </w:r>
          </w:p>
        </w:tc>
      </w:tr>
      <w:tr>
        <w:tblPrEx>
          <w:tblW w:w="9086" w:type="dxa"/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D2769" w:rsidRPr="008B66F5" w:rsidP="009C6B26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139BF">
              <w:rPr>
                <w:rFonts w:ascii="Arial Narrow" w:hAnsi="Arial Narrow" w:cs="Arial"/>
                <w:sz w:val="20"/>
                <w:szCs w:val="20"/>
                <w:lang w:eastAsia="sk-SK"/>
              </w:rPr>
              <w:t>Ročné zúčtovanie – prehodnotenie dávok SZČO</w:t>
            </w:r>
            <w:r w:rsidR="00CA4FA5">
              <w:rPr>
                <w:rFonts w:ascii="Arial Narrow" w:hAnsi="Arial Narrow" w:cs="Arial"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D2769" w:rsidRPr="00DD2769" w:rsidP="009C6B2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2769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D2769" w:rsidRPr="00DD2769" w:rsidP="009C6B2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2769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D2769" w:rsidRPr="00DD2769" w:rsidP="009C6B2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="00CA4FA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D2769" w:rsidRPr="00DD2769" w:rsidP="009C6B2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="00CA4FA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086" w:type="dxa"/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A4FA5" w:rsidRPr="008B66F5" w:rsidP="00E2146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R</w:t>
            </w:r>
            <w:r w:rsidRPr="00E21461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očné zúčtovanie - informačný systém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A4FA5" w:rsidRPr="008B66F5" w:rsidP="00E2146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A4FA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A4FA5" w:rsidRPr="008B66F5" w:rsidP="00E2146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A4FA5">
              <w:rPr>
                <w:rFonts w:ascii="Arial Narrow" w:hAnsi="Arial Narrow" w:cs="Arial"/>
                <w:sz w:val="20"/>
                <w:szCs w:val="20"/>
                <w:lang w:eastAsia="sk-SK"/>
              </w:rPr>
              <w:t>4 000 000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A4FA5" w:rsidRPr="008B66F5" w:rsidP="00E2146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A4FA5">
              <w:rPr>
                <w:rFonts w:ascii="Arial Narrow" w:hAnsi="Arial Narrow" w:cs="Arial"/>
                <w:sz w:val="20"/>
                <w:szCs w:val="20"/>
                <w:lang w:eastAsia="sk-SK"/>
              </w:rPr>
              <w:t>11 300 000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A4FA5" w:rsidRPr="008B66F5" w:rsidP="00E2146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A4FA5">
              <w:rPr>
                <w:rFonts w:ascii="Arial Narrow" w:hAnsi="Arial Narrow" w:cs="Arial"/>
                <w:sz w:val="20"/>
                <w:szCs w:val="20"/>
                <w:lang w:eastAsia="sk-SK"/>
              </w:rPr>
              <w:t>2 300 000</w:t>
            </w:r>
          </w:p>
        </w:tc>
      </w:tr>
      <w:tr>
        <w:tblPrEx>
          <w:tblW w:w="9086" w:type="dxa"/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D2769" w:rsidRPr="008B66F5" w:rsidP="00E2146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N</w:t>
            </w:r>
            <w:r w:rsidRPr="00E21461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áklady spojené 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 xml:space="preserve">o zasielaním rozhodnutí o výsledku </w:t>
            </w:r>
            <w:r w:rsidRPr="00E21461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ročného zúčtovania v sociálnom poistení</w:t>
            </w:r>
            <w:r w:rsidR="00CA4FA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D2769" w:rsidRPr="008B66F5" w:rsidP="00E2146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2769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D2769" w:rsidRPr="008B66F5" w:rsidP="00E2146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2769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D2769" w:rsidRPr="008B66F5" w:rsidP="00E2146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="00CA4FA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D2769" w:rsidRPr="008B66F5" w:rsidP="00E2146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="00CA4FA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086" w:type="dxa"/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A4FA5" w:rsidRPr="008B66F5" w:rsidP="00E2146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V</w:t>
            </w:r>
            <w:r w:rsidRPr="00E21461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ýdavky na mzdy nových zamestnancov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 xml:space="preserve"> Sociálnej poisťovne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A4FA5" w:rsidRPr="008B66F5" w:rsidP="00E2146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A4FA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A4FA5" w:rsidRPr="008B66F5" w:rsidP="00E2146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A4FA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A4FA5" w:rsidRPr="008B66F5" w:rsidP="00E2146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A4FA5">
              <w:rPr>
                <w:rFonts w:ascii="Arial Narrow" w:hAnsi="Arial Narrow" w:cs="Arial"/>
                <w:sz w:val="20"/>
                <w:szCs w:val="20"/>
                <w:lang w:eastAsia="sk-SK"/>
              </w:rPr>
              <w:t>85 259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A4FA5" w:rsidRPr="008B66F5" w:rsidP="00E2146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A4FA5">
              <w:rPr>
                <w:rFonts w:ascii="Arial Narrow" w:hAnsi="Arial Narrow" w:cs="Arial"/>
                <w:sz w:val="20"/>
                <w:szCs w:val="20"/>
                <w:lang w:eastAsia="sk-SK"/>
              </w:rPr>
              <w:t>4 671 775</w:t>
            </w:r>
          </w:p>
        </w:tc>
      </w:tr>
    </w:tbl>
    <w:p w:rsidR="00D57052" w:rsidP="00D57052">
      <w:pPr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139BF" w:rsidR="00364AD9">
        <w:rPr>
          <w:rFonts w:ascii="Times New Roman" w:hAnsi="Times New Roman"/>
          <w:bCs/>
          <w:sz w:val="20"/>
          <w:szCs w:val="20"/>
        </w:rPr>
        <w:t>Zdroj: MPSVR SR</w:t>
      </w:r>
      <w:r>
        <w:rPr>
          <w:rFonts w:ascii="Times New Roman" w:hAnsi="Times New Roman"/>
          <w:bCs/>
          <w:sz w:val="20"/>
          <w:szCs w:val="20"/>
        </w:rPr>
        <w:t xml:space="preserve">; </w:t>
      </w:r>
      <w:r w:rsidR="00C7140D">
        <w:rPr>
          <w:rFonts w:ascii="Times New Roman" w:hAnsi="Times New Roman"/>
          <w:bCs/>
          <w:sz w:val="20"/>
          <w:szCs w:val="20"/>
        </w:rPr>
        <w:t xml:space="preserve">* </w:t>
      </w:r>
      <w:r w:rsidRPr="00C7140D" w:rsidR="00C7140D">
        <w:rPr>
          <w:rFonts w:ascii="Times New Roman" w:hAnsi="Times New Roman"/>
          <w:bCs/>
          <w:sz w:val="20"/>
          <w:szCs w:val="20"/>
        </w:rPr>
        <w:t>k predmetnému vplyvu dôjde v praxi v roku 2022</w:t>
      </w:r>
    </w:p>
    <w:p w:rsidR="00866FE4" w:rsidRPr="006139BF" w:rsidP="00280A57">
      <w:pPr>
        <w:bidi w:val="0"/>
        <w:spacing w:after="0"/>
        <w:jc w:val="both"/>
        <w:rPr>
          <w:rFonts w:ascii="Times New Roman" w:hAnsi="Times New Roman"/>
          <w:b/>
          <w:i/>
          <w:lang w:eastAsia="sk-SK"/>
        </w:rPr>
      </w:pPr>
    </w:p>
    <w:p w:rsidR="00393772" w:rsidRPr="006139BF" w:rsidP="00280A57">
      <w:pPr>
        <w:bidi w:val="0"/>
        <w:spacing w:after="0"/>
        <w:jc w:val="both"/>
        <w:rPr>
          <w:rFonts w:ascii="Times New Roman" w:hAnsi="Times New Roman"/>
          <w:lang w:eastAsia="sk-SK"/>
        </w:rPr>
      </w:pPr>
      <w:r w:rsidRPr="006139BF" w:rsidR="004E147C">
        <w:rPr>
          <w:rFonts w:ascii="Times New Roman" w:hAnsi="Times New Roman"/>
          <w:b/>
          <w:i/>
          <w:lang w:eastAsia="sk-SK"/>
        </w:rPr>
        <w:t>Výdavky Sociálnej poisťovne</w:t>
      </w:r>
      <w:r w:rsidRPr="006139BF" w:rsidR="004E147C">
        <w:rPr>
          <w:rFonts w:ascii="Times New Roman" w:hAnsi="Times New Roman"/>
          <w:lang w:eastAsia="sk-SK"/>
        </w:rPr>
        <w:t xml:space="preserve"> –  </w:t>
      </w:r>
      <w:r w:rsidRPr="006139BF" w:rsidR="0026659F">
        <w:rPr>
          <w:rFonts w:ascii="Times New Roman" w:hAnsi="Times New Roman"/>
        </w:rPr>
        <w:t>predpokladá sa zvýšenie výdavk</w:t>
      </w:r>
      <w:r w:rsidRPr="006139BF" w:rsidR="008B2AD4">
        <w:rPr>
          <w:rFonts w:ascii="Times New Roman" w:hAnsi="Times New Roman"/>
        </w:rPr>
        <w:t>ov</w:t>
      </w:r>
      <w:r w:rsidRPr="006139BF">
        <w:rPr>
          <w:rFonts w:ascii="Times New Roman" w:hAnsi="Times New Roman"/>
        </w:rPr>
        <w:t xml:space="preserve"> </w:t>
      </w:r>
      <w:r w:rsidRPr="006139BF" w:rsidR="00CD2466">
        <w:rPr>
          <w:rFonts w:ascii="Times New Roman" w:hAnsi="Times New Roman"/>
        </w:rPr>
        <w:t>vplyvom</w:t>
      </w:r>
      <w:r w:rsidRPr="006139BF">
        <w:rPr>
          <w:rFonts w:ascii="Times New Roman" w:hAnsi="Times New Roman"/>
        </w:rPr>
        <w:t xml:space="preserve"> </w:t>
      </w:r>
      <w:r w:rsidRPr="006139BF" w:rsidR="00FB5424">
        <w:rPr>
          <w:rFonts w:ascii="Times New Roman" w:hAnsi="Times New Roman"/>
          <w:bCs/>
          <w:lang w:eastAsia="sk-SK"/>
        </w:rPr>
        <w:t>aktualizácie a úpravy informačných systémov</w:t>
      </w:r>
      <w:r w:rsidR="00FD0692">
        <w:rPr>
          <w:rFonts w:ascii="Times New Roman" w:hAnsi="Times New Roman"/>
          <w:bCs/>
          <w:lang w:eastAsia="sk-SK"/>
        </w:rPr>
        <w:t>, mzdových nákladov na dodatočných zamestnancov a</w:t>
      </w:r>
      <w:r w:rsidR="00324AE2">
        <w:rPr>
          <w:rFonts w:ascii="Times New Roman" w:hAnsi="Times New Roman"/>
          <w:bCs/>
          <w:lang w:eastAsia="sk-SK"/>
        </w:rPr>
        <w:t xml:space="preserve"> zasielania</w:t>
      </w:r>
      <w:r w:rsidR="00FD0692">
        <w:rPr>
          <w:rFonts w:ascii="Times New Roman" w:hAnsi="Times New Roman"/>
        </w:rPr>
        <w:t xml:space="preserve"> </w:t>
      </w:r>
      <w:r w:rsidR="00324AE2">
        <w:rPr>
          <w:rFonts w:ascii="Times New Roman" w:hAnsi="Times New Roman"/>
        </w:rPr>
        <w:t>rozhodnutí o výsledku</w:t>
      </w:r>
      <w:r w:rsidR="00FD0692">
        <w:rPr>
          <w:rFonts w:ascii="Times New Roman" w:hAnsi="Times New Roman"/>
        </w:rPr>
        <w:t xml:space="preserve"> ročn</w:t>
      </w:r>
      <w:r w:rsidR="00324AE2">
        <w:rPr>
          <w:rFonts w:ascii="Times New Roman" w:hAnsi="Times New Roman"/>
        </w:rPr>
        <w:t>ého</w:t>
      </w:r>
      <w:r w:rsidR="00FD0692">
        <w:rPr>
          <w:rFonts w:ascii="Times New Roman" w:hAnsi="Times New Roman"/>
        </w:rPr>
        <w:t xml:space="preserve"> zúčtovan</w:t>
      </w:r>
      <w:r w:rsidR="00324AE2">
        <w:rPr>
          <w:rFonts w:ascii="Times New Roman" w:hAnsi="Times New Roman"/>
        </w:rPr>
        <w:t>ia</w:t>
      </w:r>
      <w:r w:rsidR="00FD0692">
        <w:rPr>
          <w:rFonts w:ascii="Times New Roman" w:hAnsi="Times New Roman"/>
        </w:rPr>
        <w:t xml:space="preserve"> </w:t>
      </w:r>
      <w:r w:rsidRPr="006139BF" w:rsidR="005E02FB">
        <w:rPr>
          <w:rFonts w:ascii="Times New Roman" w:hAnsi="Times New Roman"/>
        </w:rPr>
        <w:t>z dôvodu zavedenia ročného zúčtovania v sociálnom poistení</w:t>
      </w:r>
      <w:r w:rsidR="00EF58F5">
        <w:rPr>
          <w:rFonts w:ascii="Times New Roman" w:hAnsi="Times New Roman"/>
        </w:rPr>
        <w:t xml:space="preserve"> a tiež</w:t>
      </w:r>
      <w:r w:rsidR="00270824">
        <w:rPr>
          <w:rFonts w:ascii="Times New Roman" w:hAnsi="Times New Roman"/>
        </w:rPr>
        <w:t xml:space="preserve"> z dôvodu</w:t>
      </w:r>
      <w:r w:rsidRPr="006139BF" w:rsidR="00F14687">
        <w:rPr>
          <w:rFonts w:ascii="Times New Roman" w:hAnsi="Times New Roman"/>
        </w:rPr>
        <w:t xml:space="preserve">, </w:t>
      </w:r>
      <w:r w:rsidRPr="006139BF" w:rsidR="00241646">
        <w:rPr>
          <w:rFonts w:ascii="Times New Roman" w:hAnsi="Times New Roman"/>
        </w:rPr>
        <w:t xml:space="preserve">ustanovenia </w:t>
      </w:r>
      <w:r w:rsidRPr="006139BF" w:rsidR="00F14687">
        <w:rPr>
          <w:rFonts w:ascii="Times New Roman" w:hAnsi="Times New Roman"/>
        </w:rPr>
        <w:t>možnosti súbežného poberania materského</w:t>
      </w:r>
      <w:r w:rsidRPr="006139BF" w:rsidR="003A44C6">
        <w:rPr>
          <w:rFonts w:ascii="Times New Roman" w:hAnsi="Times New Roman"/>
        </w:rPr>
        <w:t>.</w:t>
      </w:r>
      <w:r w:rsidRPr="006139BF">
        <w:rPr>
          <w:rFonts w:ascii="Times New Roman" w:hAnsi="Times New Roman"/>
        </w:rPr>
        <w:t xml:space="preserve"> </w:t>
      </w:r>
      <w:r w:rsidRPr="00142FE3" w:rsidR="003A44C6">
        <w:rPr>
          <w:rFonts w:ascii="Times New Roman" w:hAnsi="Times New Roman"/>
        </w:rPr>
        <w:t>Celkový vplyv predstavuje nárast</w:t>
      </w:r>
      <w:r w:rsidRPr="00142FE3" w:rsidR="00C834B4">
        <w:rPr>
          <w:rFonts w:ascii="Times New Roman" w:hAnsi="Times New Roman"/>
        </w:rPr>
        <w:t xml:space="preserve"> </w:t>
      </w:r>
      <w:r w:rsidRPr="00142FE3" w:rsidR="00361CE5">
        <w:rPr>
          <w:rFonts w:ascii="Times New Roman" w:hAnsi="Times New Roman"/>
        </w:rPr>
        <w:t>výdavkov</w:t>
      </w:r>
      <w:r w:rsidR="00270824">
        <w:rPr>
          <w:rFonts w:ascii="Times New Roman" w:hAnsi="Times New Roman"/>
        </w:rPr>
        <w:t xml:space="preserve"> v roku 201</w:t>
      </w:r>
      <w:r w:rsidR="00CA4FA5">
        <w:rPr>
          <w:rFonts w:ascii="Times New Roman" w:hAnsi="Times New Roman"/>
        </w:rPr>
        <w:t>9</w:t>
      </w:r>
      <w:r w:rsidR="00270824">
        <w:rPr>
          <w:rFonts w:ascii="Times New Roman" w:hAnsi="Times New Roman"/>
        </w:rPr>
        <w:t xml:space="preserve"> </w:t>
      </w:r>
      <w:r w:rsidR="00EF58F5">
        <w:rPr>
          <w:rFonts w:ascii="Times New Roman" w:hAnsi="Times New Roman"/>
        </w:rPr>
        <w:t>cca o</w:t>
      </w:r>
      <w:r w:rsidR="00CA4FA5">
        <w:rPr>
          <w:rFonts w:ascii="Times New Roman" w:hAnsi="Times New Roman"/>
        </w:rPr>
        <w:t> 6,1</w:t>
      </w:r>
      <w:r w:rsidR="00EF58F5">
        <w:rPr>
          <w:rFonts w:ascii="Times New Roman" w:hAnsi="Times New Roman"/>
        </w:rPr>
        <w:t xml:space="preserve"> mil. eur; </w:t>
      </w:r>
      <w:r w:rsidRPr="00142FE3" w:rsidR="00F14687">
        <w:rPr>
          <w:rFonts w:ascii="Times New Roman" w:hAnsi="Times New Roman"/>
        </w:rPr>
        <w:t>v roku 20</w:t>
      </w:r>
      <w:r w:rsidR="00CA4FA5">
        <w:rPr>
          <w:rFonts w:ascii="Times New Roman" w:hAnsi="Times New Roman"/>
        </w:rPr>
        <w:t>20</w:t>
      </w:r>
      <w:r w:rsidRPr="00142FE3" w:rsidR="00F14687">
        <w:rPr>
          <w:rFonts w:ascii="Times New Roman" w:hAnsi="Times New Roman"/>
        </w:rPr>
        <w:t xml:space="preserve"> </w:t>
      </w:r>
      <w:r w:rsidR="00EF58F5">
        <w:rPr>
          <w:rFonts w:ascii="Times New Roman" w:hAnsi="Times New Roman"/>
        </w:rPr>
        <w:t xml:space="preserve">cca </w:t>
      </w:r>
      <w:r w:rsidRPr="00142FE3" w:rsidR="00F14687">
        <w:rPr>
          <w:rFonts w:ascii="Times New Roman" w:hAnsi="Times New Roman"/>
        </w:rPr>
        <w:t>o</w:t>
      </w:r>
      <w:r w:rsidR="00CA4FA5">
        <w:rPr>
          <w:rFonts w:ascii="Times New Roman" w:hAnsi="Times New Roman"/>
        </w:rPr>
        <w:t> 14,4</w:t>
      </w:r>
      <w:r w:rsidRPr="00142FE3" w:rsidR="00F14687">
        <w:rPr>
          <w:rFonts w:ascii="Times New Roman" w:hAnsi="Times New Roman"/>
        </w:rPr>
        <w:t xml:space="preserve"> mil. eur</w:t>
      </w:r>
      <w:r w:rsidR="00CA4FA5">
        <w:rPr>
          <w:rFonts w:ascii="Times New Roman" w:hAnsi="Times New Roman"/>
        </w:rPr>
        <w:t xml:space="preserve"> a </w:t>
      </w:r>
      <w:r w:rsidRPr="00142FE3">
        <w:rPr>
          <w:rFonts w:ascii="Times New Roman" w:hAnsi="Times New Roman"/>
        </w:rPr>
        <w:t>v roku 20</w:t>
      </w:r>
      <w:r w:rsidR="00142FE3">
        <w:rPr>
          <w:rFonts w:ascii="Times New Roman" w:hAnsi="Times New Roman"/>
        </w:rPr>
        <w:t>2</w:t>
      </w:r>
      <w:r w:rsidR="00CA4FA5">
        <w:rPr>
          <w:rFonts w:ascii="Times New Roman" w:hAnsi="Times New Roman"/>
        </w:rPr>
        <w:t>1</w:t>
      </w:r>
      <w:r w:rsidRPr="00142FE3" w:rsidR="00EA2EE3">
        <w:rPr>
          <w:rFonts w:ascii="Times New Roman" w:hAnsi="Times New Roman"/>
        </w:rPr>
        <w:t xml:space="preserve"> </w:t>
      </w:r>
      <w:r w:rsidR="00EF58F5">
        <w:rPr>
          <w:rFonts w:ascii="Times New Roman" w:hAnsi="Times New Roman"/>
        </w:rPr>
        <w:t xml:space="preserve">cca </w:t>
      </w:r>
      <w:r w:rsidRPr="00142FE3" w:rsidR="00EA2EE3">
        <w:rPr>
          <w:rFonts w:ascii="Times New Roman" w:hAnsi="Times New Roman"/>
        </w:rPr>
        <w:t>o</w:t>
      </w:r>
      <w:r w:rsidR="00CA4FA5">
        <w:rPr>
          <w:rFonts w:ascii="Times New Roman" w:hAnsi="Times New Roman"/>
        </w:rPr>
        <w:t> </w:t>
      </w:r>
      <w:r w:rsidR="00361ED3">
        <w:rPr>
          <w:rFonts w:ascii="Times New Roman" w:hAnsi="Times New Roman"/>
        </w:rPr>
        <w:t>1</w:t>
      </w:r>
      <w:r w:rsidR="00CA4FA5">
        <w:rPr>
          <w:rFonts w:ascii="Times New Roman" w:hAnsi="Times New Roman"/>
        </w:rPr>
        <w:t>1,4</w:t>
      </w:r>
      <w:r w:rsidRPr="00142FE3" w:rsidR="00F14687">
        <w:rPr>
          <w:rFonts w:ascii="Times New Roman" w:hAnsi="Times New Roman"/>
        </w:rPr>
        <w:t xml:space="preserve"> </w:t>
      </w:r>
      <w:r w:rsidRPr="00142FE3">
        <w:rPr>
          <w:rFonts w:ascii="Times New Roman" w:hAnsi="Times New Roman"/>
        </w:rPr>
        <w:t>mil</w:t>
      </w:r>
      <w:r w:rsidRPr="00142FE3" w:rsidR="001576F5">
        <w:rPr>
          <w:rFonts w:ascii="Times New Roman" w:hAnsi="Times New Roman"/>
        </w:rPr>
        <w:t>. eur</w:t>
      </w:r>
      <w:r w:rsidR="00CA4FA5">
        <w:rPr>
          <w:rFonts w:ascii="Times New Roman" w:hAnsi="Times New Roman"/>
        </w:rPr>
        <w:t>.</w:t>
      </w:r>
      <w:r w:rsidRPr="00142FE3" w:rsidR="005E02FB">
        <w:rPr>
          <w:rFonts w:ascii="Times New Roman" w:hAnsi="Times New Roman"/>
        </w:rPr>
        <w:t xml:space="preserve"> </w:t>
      </w:r>
    </w:p>
    <w:p w:rsidR="00D018A5" w:rsidRPr="006139BF" w:rsidP="00EC7E4C">
      <w:pPr>
        <w:bidi w:val="0"/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</w:p>
    <w:p w:rsidR="00292770" w:rsidRPr="00D018A5" w:rsidP="00D018A5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6139BF" w:rsidR="00F14687">
        <w:rPr>
          <w:rFonts w:ascii="Times New Roman" w:hAnsi="Times New Roman"/>
          <w:sz w:val="20"/>
          <w:szCs w:val="20"/>
          <w:lang w:eastAsia="sk-SK"/>
        </w:rPr>
        <w:t>Tabuľka č. 4</w:t>
      </w:r>
      <w:r w:rsidR="00D018A5">
        <w:rPr>
          <w:rFonts w:ascii="Times New Roman" w:hAnsi="Times New Roman"/>
          <w:sz w:val="20"/>
          <w:szCs w:val="20"/>
        </w:rPr>
        <w:t>A</w:t>
      </w:r>
    </w:p>
    <w:tbl>
      <w:tblPr>
        <w:tblStyle w:val="TableNormal"/>
        <w:tblW w:w="9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  <w:gridCol w:w="980"/>
        <w:gridCol w:w="1060"/>
        <w:gridCol w:w="1040"/>
        <w:gridCol w:w="1040"/>
        <w:gridCol w:w="920"/>
      </w:tblGrid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750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Sociálnej poisťovne (v eurách)</w:t>
            </w:r>
          </w:p>
        </w:tc>
        <w:tc>
          <w:tcPr>
            <w:tcW w:w="4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 xml:space="preserve">Vplyv na rozpočet Sociálnej poisťovne           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6 051 126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14 406 113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11 421 361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61 782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3 385 344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23 477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1 286 431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4 000 000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11 300 000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2 300 000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Energie, voda a komunikácie (632)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Rutinná a štandardná údržba (635)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4 000 000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11 300 000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2 300 000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2 051 126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3 020 854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4 449 586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2 051 126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3 020 854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4 449 586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8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D57052">
              <w:rPr>
                <w:rFonts w:ascii="Arial Narrow" w:hAnsi="Arial Narrow" w:cs="Arial"/>
                <w:lang w:eastAsia="sk-SK"/>
              </w:rPr>
              <w:t xml:space="preserve"> </w:t>
            </w: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Dopad na výdavky Sociálnej poisťovne celkom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6 051 126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14 406 113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11 421 361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6F1F2A" w:rsidRPr="006139BF" w:rsidP="00361CE5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1F2A" w:rsidRPr="006139BF" w:rsidP="00361CE5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2C3C" w:rsidRPr="006139BF" w:rsidP="00B25DDE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139BF" w:rsidR="004E3BD9">
        <w:rPr>
          <w:rFonts w:ascii="Times New Roman" w:hAnsi="Times New Roman"/>
        </w:rPr>
        <w:t>Celkové výdavky verejnej správy sa predpokladajú</w:t>
      </w:r>
      <w:r w:rsidRPr="006139BF" w:rsidR="00241646">
        <w:rPr>
          <w:rFonts w:ascii="Times New Roman" w:hAnsi="Times New Roman"/>
        </w:rPr>
        <w:t xml:space="preserve"> </w:t>
      </w:r>
      <w:r w:rsidR="00270824">
        <w:rPr>
          <w:rFonts w:ascii="Times New Roman" w:hAnsi="Times New Roman"/>
        </w:rPr>
        <w:t>v roku 201</w:t>
      </w:r>
      <w:r w:rsidR="00D57052">
        <w:rPr>
          <w:rFonts w:ascii="Times New Roman" w:hAnsi="Times New Roman"/>
        </w:rPr>
        <w:t>9</w:t>
      </w:r>
      <w:r w:rsidR="00270824">
        <w:rPr>
          <w:rFonts w:ascii="Times New Roman" w:hAnsi="Times New Roman"/>
        </w:rPr>
        <w:t xml:space="preserve"> na úrovni </w:t>
      </w:r>
      <w:r w:rsidR="00EF58F5">
        <w:rPr>
          <w:rFonts w:ascii="Times New Roman" w:hAnsi="Times New Roman"/>
        </w:rPr>
        <w:t xml:space="preserve">cca </w:t>
      </w:r>
      <w:r w:rsidR="00D57052">
        <w:rPr>
          <w:rFonts w:ascii="Times New Roman" w:hAnsi="Times New Roman"/>
        </w:rPr>
        <w:t>6,1</w:t>
      </w:r>
      <w:r w:rsidR="00EF58F5">
        <w:rPr>
          <w:rFonts w:ascii="Times New Roman" w:hAnsi="Times New Roman"/>
        </w:rPr>
        <w:t xml:space="preserve"> mil. eur, </w:t>
      </w:r>
      <w:r w:rsidRPr="006139BF" w:rsidR="00241646">
        <w:rPr>
          <w:rFonts w:ascii="Times New Roman" w:hAnsi="Times New Roman"/>
        </w:rPr>
        <w:t>v roku 20</w:t>
      </w:r>
      <w:r w:rsidR="00D57052">
        <w:rPr>
          <w:rFonts w:ascii="Times New Roman" w:hAnsi="Times New Roman"/>
        </w:rPr>
        <w:t>20</w:t>
      </w:r>
      <w:r w:rsidRPr="006139BF" w:rsidR="00241646">
        <w:rPr>
          <w:rFonts w:ascii="Times New Roman" w:hAnsi="Times New Roman"/>
        </w:rPr>
        <w:t xml:space="preserve"> na úrovni</w:t>
      </w:r>
      <w:r w:rsidR="00EF58F5">
        <w:rPr>
          <w:rFonts w:ascii="Times New Roman" w:hAnsi="Times New Roman"/>
        </w:rPr>
        <w:t xml:space="preserve"> cca</w:t>
      </w:r>
      <w:r w:rsidRPr="006139BF" w:rsidR="00241646">
        <w:rPr>
          <w:rFonts w:ascii="Times New Roman" w:hAnsi="Times New Roman"/>
        </w:rPr>
        <w:t xml:space="preserve"> </w:t>
      </w:r>
      <w:r w:rsidR="00D57052">
        <w:rPr>
          <w:rFonts w:ascii="Times New Roman" w:hAnsi="Times New Roman"/>
        </w:rPr>
        <w:t>14,4</w:t>
      </w:r>
      <w:r w:rsidR="00D275C8">
        <w:rPr>
          <w:rFonts w:ascii="Times New Roman" w:hAnsi="Times New Roman"/>
        </w:rPr>
        <w:t xml:space="preserve"> mil. eur</w:t>
      </w:r>
      <w:r w:rsidR="00D57052">
        <w:rPr>
          <w:rFonts w:ascii="Times New Roman" w:hAnsi="Times New Roman"/>
        </w:rPr>
        <w:t xml:space="preserve"> a</w:t>
      </w:r>
      <w:r w:rsidR="00D275C8">
        <w:rPr>
          <w:rFonts w:ascii="Times New Roman" w:hAnsi="Times New Roman"/>
        </w:rPr>
        <w:t xml:space="preserve"> </w:t>
      </w:r>
      <w:r w:rsidRPr="006139BF" w:rsidR="00241646">
        <w:rPr>
          <w:rFonts w:ascii="Times New Roman" w:hAnsi="Times New Roman"/>
        </w:rPr>
        <w:t>v roku 20</w:t>
      </w:r>
      <w:r w:rsidR="00142FE3">
        <w:rPr>
          <w:rFonts w:ascii="Times New Roman" w:hAnsi="Times New Roman"/>
        </w:rPr>
        <w:t>2</w:t>
      </w:r>
      <w:r w:rsidR="00D57052">
        <w:rPr>
          <w:rFonts w:ascii="Times New Roman" w:hAnsi="Times New Roman"/>
        </w:rPr>
        <w:t>1</w:t>
      </w:r>
      <w:r w:rsidRPr="006139BF" w:rsidR="00241646">
        <w:rPr>
          <w:rFonts w:ascii="Times New Roman" w:hAnsi="Times New Roman"/>
        </w:rPr>
        <w:t xml:space="preserve"> </w:t>
      </w:r>
      <w:r w:rsidRPr="006139BF" w:rsidR="004E3BD9">
        <w:rPr>
          <w:rFonts w:ascii="Times New Roman" w:hAnsi="Times New Roman"/>
        </w:rPr>
        <w:t>na úrovni</w:t>
      </w:r>
      <w:r w:rsidR="00EF58F5">
        <w:rPr>
          <w:rFonts w:ascii="Times New Roman" w:hAnsi="Times New Roman"/>
        </w:rPr>
        <w:t xml:space="preserve"> cca</w:t>
      </w:r>
      <w:r w:rsidRPr="006139BF" w:rsidR="004E3BD9">
        <w:rPr>
          <w:rFonts w:ascii="Times New Roman" w:hAnsi="Times New Roman"/>
        </w:rPr>
        <w:t xml:space="preserve"> </w:t>
      </w:r>
      <w:r w:rsidR="00361ED3">
        <w:rPr>
          <w:rFonts w:ascii="Times New Roman" w:hAnsi="Times New Roman"/>
        </w:rPr>
        <w:t>1</w:t>
      </w:r>
      <w:r w:rsidR="00D57052">
        <w:rPr>
          <w:rFonts w:ascii="Times New Roman" w:hAnsi="Times New Roman"/>
        </w:rPr>
        <w:t>1,4</w:t>
      </w:r>
      <w:r w:rsidRPr="006139BF" w:rsidR="004E3BD9">
        <w:rPr>
          <w:rFonts w:ascii="Times New Roman" w:hAnsi="Times New Roman"/>
        </w:rPr>
        <w:t xml:space="preserve"> mil. eur</w:t>
      </w:r>
      <w:r w:rsidR="00D57052">
        <w:rPr>
          <w:rFonts w:ascii="Times New Roman" w:hAnsi="Times New Roman"/>
        </w:rPr>
        <w:t>.</w:t>
      </w:r>
      <w:r w:rsidRPr="006139BF" w:rsidR="004E3BD9">
        <w:rPr>
          <w:rFonts w:ascii="Times New Roman" w:hAnsi="Times New Roman"/>
        </w:rPr>
        <w:t xml:space="preserve"> </w:t>
      </w:r>
    </w:p>
    <w:p w:rsidR="00031E18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0994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0994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0994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0994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0994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0994" w:rsidRPr="006139BF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0DC0" w:rsidRPr="006139BF" w:rsidP="00AC7B0A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139BF" w:rsidR="007273C7">
        <w:rPr>
          <w:rFonts w:ascii="Times New Roman" w:hAnsi="Times New Roman"/>
          <w:sz w:val="20"/>
          <w:szCs w:val="20"/>
          <w:lang w:eastAsia="sk-SK"/>
        </w:rPr>
        <w:t>Tabuľka č. 4</w:t>
      </w:r>
      <w:r w:rsidR="00D018A5">
        <w:rPr>
          <w:rFonts w:ascii="Times New Roman" w:hAnsi="Times New Roman"/>
          <w:sz w:val="20"/>
          <w:szCs w:val="20"/>
        </w:rPr>
        <w:t>B</w:t>
      </w:r>
    </w:p>
    <w:tbl>
      <w:tblPr>
        <w:tblStyle w:val="TableNormal"/>
        <w:tblW w:w="9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  <w:gridCol w:w="980"/>
        <w:gridCol w:w="1060"/>
        <w:gridCol w:w="1040"/>
        <w:gridCol w:w="1040"/>
        <w:gridCol w:w="920"/>
      </w:tblGrid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005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rozpočet verejnej správy (v eurách)</w:t>
            </w:r>
          </w:p>
        </w:tc>
        <w:tc>
          <w:tcPr>
            <w:tcW w:w="4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 xml:space="preserve">Vplyv na rozpočet verejnej správy                                                            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6 051 126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14 406 113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11 421 361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61 782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3 385 344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23 477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1 286 431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4 000 000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11 300 000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2 300 000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Energie, voda a komunikácie (632)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Rutinná a štandardná údržba (635)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4 000 000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11 300 000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2 300 000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2 051 126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3 020 854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4 449 586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2 051 126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3 020 854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4 449 586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8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D57052">
              <w:rPr>
                <w:rFonts w:ascii="Arial Narrow" w:hAnsi="Arial Narrow" w:cs="Arial"/>
                <w:lang w:eastAsia="sk-SK"/>
              </w:rPr>
              <w:t xml:space="preserve"> </w:t>
            </w: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6 051 126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14 406 113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5705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11 421 361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D57052" w:rsidRPr="00D57052" w:rsidP="00D57052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D5705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AC7B0A" w:rsidP="00AC7B0A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FD0692" w:rsidRPr="006139BF" w:rsidP="00AC7B0A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AC7B0A" w:rsidRPr="00FD0692" w:rsidP="00AC7B0A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lang w:eastAsia="sk-SK"/>
        </w:rPr>
      </w:pPr>
      <w:r w:rsidRPr="006139BF">
        <w:rPr>
          <w:rFonts w:ascii="Times New Roman" w:hAnsi="Times New Roman"/>
          <w:bCs/>
          <w:sz w:val="24"/>
          <w:szCs w:val="24"/>
          <w:lang w:eastAsia="sk-SK"/>
        </w:rPr>
        <w:t xml:space="preserve">                 </w:t>
      </w:r>
      <w:r w:rsidRPr="00FD0692">
        <w:rPr>
          <w:rFonts w:ascii="Times New Roman" w:hAnsi="Times New Roman"/>
          <w:bCs/>
          <w:lang w:eastAsia="sk-SK"/>
        </w:rPr>
        <w:t>Tabuľka č. 5</w:t>
      </w:r>
    </w:p>
    <w:tbl>
      <w:tblPr>
        <w:tblStyle w:val="TableNormal"/>
        <w:tblW w:w="91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84"/>
        <w:gridCol w:w="788"/>
        <w:gridCol w:w="1124"/>
        <w:gridCol w:w="1124"/>
        <w:gridCol w:w="1124"/>
        <w:gridCol w:w="960"/>
      </w:tblGrid>
      <w:tr>
        <w:tblPrEx>
          <w:tblW w:w="91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AC7B0A" w:rsidRPr="00E21461" w:rsidP="009235E1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2146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Zamestnanosť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AC7B0A" w:rsidRPr="00E21461" w:rsidP="009235E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2146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Vplyv na Sociálnu poisťovňu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AC7B0A" w:rsidRPr="00E21461" w:rsidP="009235E1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E21461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poznámka</w:t>
            </w:r>
          </w:p>
        </w:tc>
      </w:tr>
      <w:tr>
        <w:tblPrEx>
          <w:tblW w:w="91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7B0A" w:rsidRPr="00E21461" w:rsidP="009235E1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AC7B0A" w:rsidRPr="00E21461" w:rsidP="009235E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2146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AC7B0A" w:rsidRPr="00E21461" w:rsidP="009235E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2146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AC7B0A" w:rsidRPr="00E21461" w:rsidP="009235E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2146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AC7B0A" w:rsidRPr="00E21461" w:rsidP="009235E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2146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AC7B0A" w:rsidRPr="00E21461" w:rsidP="009235E1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E21461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1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E21461">
              <w:rPr>
                <w:rFonts w:ascii="Arial Narrow" w:hAnsi="Arial Narrow" w:cs="Arial"/>
                <w:sz w:val="20"/>
                <w:szCs w:val="20"/>
                <w:lang w:eastAsia="sk-SK"/>
              </w:rPr>
              <w:t>Počet zamestnancov celkom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>
        <w:tblPrEx>
          <w:tblW w:w="91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E21461">
              <w:rPr>
                <w:rFonts w:ascii="Arial Narrow" w:hAnsi="Arial Narrow" w:cs="Arial"/>
                <w:sz w:val="20"/>
                <w:szCs w:val="20"/>
                <w:lang w:eastAsia="sk-SK"/>
              </w:rPr>
              <w:t>Priemerný mzdový výdavkov (v eurách)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1 471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>
        <w:tblPrEx>
          <w:tblW w:w="91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D57052" w:rsidRPr="00E21461" w:rsidP="009235E1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2146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Osobné výdavky celkom (v eurách)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85 259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4 671 775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W w:w="91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E21461">
              <w:rPr>
                <w:rFonts w:ascii="Arial Narrow" w:hAnsi="Arial Narrow" w:cs="Arial"/>
                <w:sz w:val="20"/>
                <w:szCs w:val="20"/>
                <w:lang w:eastAsia="sk-SK"/>
              </w:rPr>
              <w:t>Mzdy, platy, služobné príjmy a ostatné osobné vyrovnania (610)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61 782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3 385 344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W w:w="91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E21461">
              <w:rPr>
                <w:rFonts w:ascii="Arial Narrow" w:hAnsi="Arial Narrow" w:cs="Arial"/>
                <w:sz w:val="20"/>
                <w:szCs w:val="20"/>
                <w:lang w:eastAsia="sk-SK"/>
              </w:rPr>
              <w:t>Poistné a príspevok do poisťovní (620)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23 477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1 286 431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7052" w:rsidRPr="00E21461" w:rsidP="009235E1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B3623" w:rsidP="00FD0692">
      <w:pPr>
        <w:bidi w:val="0"/>
        <w:spacing w:line="240" w:lineRule="auto"/>
      </w:pPr>
    </w:p>
    <w:sectPr w:rsidSect="00FD069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567" w:left="1418" w:header="709" w:footer="709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Arial Narrow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07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05450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0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B0994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054507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0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054507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07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054507" w:rsidRPr="00EB59C8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07" w:rsidRPr="000A15AE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C37A35"/>
    <w:multiLevelType w:val="hybridMultilevel"/>
    <w:tmpl w:val="32544E1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312755E2"/>
    <w:multiLevelType w:val="hybridMultilevel"/>
    <w:tmpl w:val="64963BD2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5C150D"/>
    <w:multiLevelType w:val="hybridMultilevel"/>
    <w:tmpl w:val="3EE07DE6"/>
    <w:lvl w:ilvl="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417EE"/>
    <w:multiLevelType w:val="hybridMultilevel"/>
    <w:tmpl w:val="2626FECC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14E5F"/>
    <w:multiLevelType w:val="hybridMultilevel"/>
    <w:tmpl w:val="7FC0769C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10380"/>
    <w:multiLevelType w:val="hybridMultilevel"/>
    <w:tmpl w:val="276CD660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6736D"/>
    <w:multiLevelType w:val="hybridMultilevel"/>
    <w:tmpl w:val="FE34D500"/>
    <w:lvl w:ilvl="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8784C"/>
    <w:multiLevelType w:val="hybridMultilevel"/>
    <w:tmpl w:val="831E8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67CA1"/>
    <w:multiLevelType w:val="hybridMultilevel"/>
    <w:tmpl w:val="920E9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05EC"/>
    <w:rsid w:val="00005195"/>
    <w:rsid w:val="00007824"/>
    <w:rsid w:val="00014850"/>
    <w:rsid w:val="000206ED"/>
    <w:rsid w:val="0002537D"/>
    <w:rsid w:val="00027B76"/>
    <w:rsid w:val="00031E18"/>
    <w:rsid w:val="00035EB6"/>
    <w:rsid w:val="00037573"/>
    <w:rsid w:val="0004147A"/>
    <w:rsid w:val="000416A5"/>
    <w:rsid w:val="00042CDF"/>
    <w:rsid w:val="00045303"/>
    <w:rsid w:val="0004584E"/>
    <w:rsid w:val="000468CB"/>
    <w:rsid w:val="00054059"/>
    <w:rsid w:val="00054507"/>
    <w:rsid w:val="000552ED"/>
    <w:rsid w:val="00057135"/>
    <w:rsid w:val="00061108"/>
    <w:rsid w:val="0007019E"/>
    <w:rsid w:val="000737C6"/>
    <w:rsid w:val="00074FD9"/>
    <w:rsid w:val="00084682"/>
    <w:rsid w:val="0008759D"/>
    <w:rsid w:val="0009006D"/>
    <w:rsid w:val="00091FAF"/>
    <w:rsid w:val="000927D0"/>
    <w:rsid w:val="00092D89"/>
    <w:rsid w:val="0009495D"/>
    <w:rsid w:val="000977E2"/>
    <w:rsid w:val="00097E01"/>
    <w:rsid w:val="000A044C"/>
    <w:rsid w:val="000A15AE"/>
    <w:rsid w:val="000A19FF"/>
    <w:rsid w:val="000A1E89"/>
    <w:rsid w:val="000A1F6E"/>
    <w:rsid w:val="000A5045"/>
    <w:rsid w:val="000A574A"/>
    <w:rsid w:val="000A764D"/>
    <w:rsid w:val="000B2853"/>
    <w:rsid w:val="000B2DD8"/>
    <w:rsid w:val="000B3BAE"/>
    <w:rsid w:val="000D07CE"/>
    <w:rsid w:val="000D1348"/>
    <w:rsid w:val="000D3884"/>
    <w:rsid w:val="000D3FD8"/>
    <w:rsid w:val="000E29DE"/>
    <w:rsid w:val="000E2BB6"/>
    <w:rsid w:val="000E5AD1"/>
    <w:rsid w:val="000E6B4D"/>
    <w:rsid w:val="000F09CE"/>
    <w:rsid w:val="000F1438"/>
    <w:rsid w:val="000F341B"/>
    <w:rsid w:val="000F37FC"/>
    <w:rsid w:val="000F7999"/>
    <w:rsid w:val="00102592"/>
    <w:rsid w:val="00111923"/>
    <w:rsid w:val="00112088"/>
    <w:rsid w:val="001127A8"/>
    <w:rsid w:val="001158E8"/>
    <w:rsid w:val="00116559"/>
    <w:rsid w:val="001173DB"/>
    <w:rsid w:val="00117CB8"/>
    <w:rsid w:val="00127DFD"/>
    <w:rsid w:val="0013517B"/>
    <w:rsid w:val="001357B6"/>
    <w:rsid w:val="0014108D"/>
    <w:rsid w:val="00142FE3"/>
    <w:rsid w:val="00147982"/>
    <w:rsid w:val="00151256"/>
    <w:rsid w:val="0015307D"/>
    <w:rsid w:val="00153F73"/>
    <w:rsid w:val="0015408E"/>
    <w:rsid w:val="001576F5"/>
    <w:rsid w:val="0016067B"/>
    <w:rsid w:val="00161774"/>
    <w:rsid w:val="00163D97"/>
    <w:rsid w:val="00165D3F"/>
    <w:rsid w:val="00165D89"/>
    <w:rsid w:val="00170D2B"/>
    <w:rsid w:val="00170EC7"/>
    <w:rsid w:val="001724F7"/>
    <w:rsid w:val="00176F52"/>
    <w:rsid w:val="001774D8"/>
    <w:rsid w:val="00180079"/>
    <w:rsid w:val="00180D95"/>
    <w:rsid w:val="00184F37"/>
    <w:rsid w:val="00192E67"/>
    <w:rsid w:val="001B2749"/>
    <w:rsid w:val="001B4208"/>
    <w:rsid w:val="001B73AD"/>
    <w:rsid w:val="001C039C"/>
    <w:rsid w:val="001C2F03"/>
    <w:rsid w:val="001C7640"/>
    <w:rsid w:val="001D1AE3"/>
    <w:rsid w:val="001D2A16"/>
    <w:rsid w:val="001D4B49"/>
    <w:rsid w:val="001D5B06"/>
    <w:rsid w:val="001D6E49"/>
    <w:rsid w:val="001E1809"/>
    <w:rsid w:val="001E27E4"/>
    <w:rsid w:val="001E2FFE"/>
    <w:rsid w:val="001E6300"/>
    <w:rsid w:val="001E757C"/>
    <w:rsid w:val="001F2211"/>
    <w:rsid w:val="001F3071"/>
    <w:rsid w:val="001F3441"/>
    <w:rsid w:val="00200898"/>
    <w:rsid w:val="002119A8"/>
    <w:rsid w:val="00212894"/>
    <w:rsid w:val="002134EE"/>
    <w:rsid w:val="00214AD1"/>
    <w:rsid w:val="0021508E"/>
    <w:rsid w:val="00215DD3"/>
    <w:rsid w:val="0022148F"/>
    <w:rsid w:val="00232046"/>
    <w:rsid w:val="00232363"/>
    <w:rsid w:val="0024067A"/>
    <w:rsid w:val="00241646"/>
    <w:rsid w:val="002439B0"/>
    <w:rsid w:val="002531B7"/>
    <w:rsid w:val="0026250A"/>
    <w:rsid w:val="0026659F"/>
    <w:rsid w:val="002674E3"/>
    <w:rsid w:val="00270824"/>
    <w:rsid w:val="00270D61"/>
    <w:rsid w:val="00275BA3"/>
    <w:rsid w:val="00280A57"/>
    <w:rsid w:val="002829F8"/>
    <w:rsid w:val="00282A79"/>
    <w:rsid w:val="00282DD4"/>
    <w:rsid w:val="00286233"/>
    <w:rsid w:val="00292770"/>
    <w:rsid w:val="002942EB"/>
    <w:rsid w:val="002951C1"/>
    <w:rsid w:val="002970DB"/>
    <w:rsid w:val="002A48E2"/>
    <w:rsid w:val="002A5E00"/>
    <w:rsid w:val="002B1923"/>
    <w:rsid w:val="002B1C46"/>
    <w:rsid w:val="002B2394"/>
    <w:rsid w:val="002B409E"/>
    <w:rsid w:val="002C6587"/>
    <w:rsid w:val="002D0BC2"/>
    <w:rsid w:val="002D2B7C"/>
    <w:rsid w:val="002D3478"/>
    <w:rsid w:val="002D420F"/>
    <w:rsid w:val="002E0228"/>
    <w:rsid w:val="002E4461"/>
    <w:rsid w:val="002F1733"/>
    <w:rsid w:val="002F34D7"/>
    <w:rsid w:val="002F478A"/>
    <w:rsid w:val="002F71F3"/>
    <w:rsid w:val="00300910"/>
    <w:rsid w:val="00302A6D"/>
    <w:rsid w:val="00303796"/>
    <w:rsid w:val="0030479A"/>
    <w:rsid w:val="00305496"/>
    <w:rsid w:val="00305592"/>
    <w:rsid w:val="00311651"/>
    <w:rsid w:val="00311E26"/>
    <w:rsid w:val="003136D1"/>
    <w:rsid w:val="003162D5"/>
    <w:rsid w:val="00317B90"/>
    <w:rsid w:val="003233CC"/>
    <w:rsid w:val="00323AB4"/>
    <w:rsid w:val="00324AE2"/>
    <w:rsid w:val="0032790C"/>
    <w:rsid w:val="0033117D"/>
    <w:rsid w:val="0033270F"/>
    <w:rsid w:val="003359D7"/>
    <w:rsid w:val="00335BF5"/>
    <w:rsid w:val="003434D4"/>
    <w:rsid w:val="003464DE"/>
    <w:rsid w:val="003470FF"/>
    <w:rsid w:val="00352312"/>
    <w:rsid w:val="00356761"/>
    <w:rsid w:val="00361CE5"/>
    <w:rsid w:val="00361ED3"/>
    <w:rsid w:val="0036280B"/>
    <w:rsid w:val="00363492"/>
    <w:rsid w:val="00364AD9"/>
    <w:rsid w:val="003667F7"/>
    <w:rsid w:val="00370A9B"/>
    <w:rsid w:val="00373484"/>
    <w:rsid w:val="00377212"/>
    <w:rsid w:val="003773F5"/>
    <w:rsid w:val="00377CC0"/>
    <w:rsid w:val="00380B23"/>
    <w:rsid w:val="003866C0"/>
    <w:rsid w:val="00390633"/>
    <w:rsid w:val="00391C46"/>
    <w:rsid w:val="00393772"/>
    <w:rsid w:val="003942E4"/>
    <w:rsid w:val="00394973"/>
    <w:rsid w:val="003A2583"/>
    <w:rsid w:val="003A28C0"/>
    <w:rsid w:val="003A44C6"/>
    <w:rsid w:val="003A653E"/>
    <w:rsid w:val="003B1C48"/>
    <w:rsid w:val="003B32F6"/>
    <w:rsid w:val="003B4E2C"/>
    <w:rsid w:val="003B5934"/>
    <w:rsid w:val="003B5B9E"/>
    <w:rsid w:val="003C0E5A"/>
    <w:rsid w:val="003C4968"/>
    <w:rsid w:val="003D394F"/>
    <w:rsid w:val="003D4EC1"/>
    <w:rsid w:val="003D67FB"/>
    <w:rsid w:val="003D6E48"/>
    <w:rsid w:val="003E54DA"/>
    <w:rsid w:val="003E5770"/>
    <w:rsid w:val="003F2D31"/>
    <w:rsid w:val="003F4E44"/>
    <w:rsid w:val="003F7F0A"/>
    <w:rsid w:val="004015CE"/>
    <w:rsid w:val="00401613"/>
    <w:rsid w:val="00402E1D"/>
    <w:rsid w:val="004034F6"/>
    <w:rsid w:val="00404EE8"/>
    <w:rsid w:val="00405513"/>
    <w:rsid w:val="00407B5E"/>
    <w:rsid w:val="00411423"/>
    <w:rsid w:val="0041579E"/>
    <w:rsid w:val="004214E8"/>
    <w:rsid w:val="004224E4"/>
    <w:rsid w:val="0042351E"/>
    <w:rsid w:val="00424A58"/>
    <w:rsid w:val="00432070"/>
    <w:rsid w:val="0043248A"/>
    <w:rsid w:val="00434E81"/>
    <w:rsid w:val="00436870"/>
    <w:rsid w:val="00437C3E"/>
    <w:rsid w:val="004441E1"/>
    <w:rsid w:val="004445AD"/>
    <w:rsid w:val="00445925"/>
    <w:rsid w:val="00457028"/>
    <w:rsid w:val="00461523"/>
    <w:rsid w:val="00463C0D"/>
    <w:rsid w:val="004645BE"/>
    <w:rsid w:val="00467518"/>
    <w:rsid w:val="0047027A"/>
    <w:rsid w:val="004803EE"/>
    <w:rsid w:val="00482BB2"/>
    <w:rsid w:val="00486E96"/>
    <w:rsid w:val="00486EC0"/>
    <w:rsid w:val="00487203"/>
    <w:rsid w:val="00487795"/>
    <w:rsid w:val="00491E11"/>
    <w:rsid w:val="00491F36"/>
    <w:rsid w:val="004958FB"/>
    <w:rsid w:val="00496A9D"/>
    <w:rsid w:val="004A077B"/>
    <w:rsid w:val="004A5901"/>
    <w:rsid w:val="004A7B08"/>
    <w:rsid w:val="004B189C"/>
    <w:rsid w:val="004B1CEE"/>
    <w:rsid w:val="004C5A1C"/>
    <w:rsid w:val="004C7AF0"/>
    <w:rsid w:val="004D0ACD"/>
    <w:rsid w:val="004D2ED6"/>
    <w:rsid w:val="004D5843"/>
    <w:rsid w:val="004D6793"/>
    <w:rsid w:val="004D7493"/>
    <w:rsid w:val="004E147C"/>
    <w:rsid w:val="004E14D2"/>
    <w:rsid w:val="004E39F8"/>
    <w:rsid w:val="004E3BD9"/>
    <w:rsid w:val="004E565D"/>
    <w:rsid w:val="004F0D89"/>
    <w:rsid w:val="004F27BE"/>
    <w:rsid w:val="005005EC"/>
    <w:rsid w:val="00500886"/>
    <w:rsid w:val="00501F39"/>
    <w:rsid w:val="00502ABF"/>
    <w:rsid w:val="00507678"/>
    <w:rsid w:val="005145FE"/>
    <w:rsid w:val="005157C2"/>
    <w:rsid w:val="00515A7C"/>
    <w:rsid w:val="00515AD0"/>
    <w:rsid w:val="005166A3"/>
    <w:rsid w:val="0051724E"/>
    <w:rsid w:val="00521600"/>
    <w:rsid w:val="00524E6E"/>
    <w:rsid w:val="005256E6"/>
    <w:rsid w:val="005279EA"/>
    <w:rsid w:val="00531D14"/>
    <w:rsid w:val="00532C3C"/>
    <w:rsid w:val="00546693"/>
    <w:rsid w:val="00564755"/>
    <w:rsid w:val="005658F0"/>
    <w:rsid w:val="0056590D"/>
    <w:rsid w:val="0056627F"/>
    <w:rsid w:val="00567A1C"/>
    <w:rsid w:val="00573ADA"/>
    <w:rsid w:val="00576CA8"/>
    <w:rsid w:val="00580BAC"/>
    <w:rsid w:val="00591933"/>
    <w:rsid w:val="00592AB1"/>
    <w:rsid w:val="0059365F"/>
    <w:rsid w:val="0059386A"/>
    <w:rsid w:val="00593BED"/>
    <w:rsid w:val="005940E4"/>
    <w:rsid w:val="00597118"/>
    <w:rsid w:val="00597781"/>
    <w:rsid w:val="005A3BF3"/>
    <w:rsid w:val="005A3D44"/>
    <w:rsid w:val="005B05A8"/>
    <w:rsid w:val="005B102D"/>
    <w:rsid w:val="005B236E"/>
    <w:rsid w:val="005B2694"/>
    <w:rsid w:val="005B58FA"/>
    <w:rsid w:val="005C1701"/>
    <w:rsid w:val="005C1B4B"/>
    <w:rsid w:val="005C33B4"/>
    <w:rsid w:val="005C430E"/>
    <w:rsid w:val="005C4C62"/>
    <w:rsid w:val="005C58B5"/>
    <w:rsid w:val="005C617E"/>
    <w:rsid w:val="005C6EEE"/>
    <w:rsid w:val="005C789C"/>
    <w:rsid w:val="005D0664"/>
    <w:rsid w:val="005D0F6E"/>
    <w:rsid w:val="005D5515"/>
    <w:rsid w:val="005D6DF6"/>
    <w:rsid w:val="005E02FB"/>
    <w:rsid w:val="005E0539"/>
    <w:rsid w:val="005E5A2A"/>
    <w:rsid w:val="005E7E19"/>
    <w:rsid w:val="005F06E8"/>
    <w:rsid w:val="005F077B"/>
    <w:rsid w:val="005F5966"/>
    <w:rsid w:val="005F66F0"/>
    <w:rsid w:val="00602798"/>
    <w:rsid w:val="00602B56"/>
    <w:rsid w:val="00612EE1"/>
    <w:rsid w:val="006139A0"/>
    <w:rsid w:val="006139BF"/>
    <w:rsid w:val="006144D0"/>
    <w:rsid w:val="0061568D"/>
    <w:rsid w:val="00617AA0"/>
    <w:rsid w:val="00622424"/>
    <w:rsid w:val="00623DD5"/>
    <w:rsid w:val="00630C6D"/>
    <w:rsid w:val="00631D94"/>
    <w:rsid w:val="00636D4A"/>
    <w:rsid w:val="006412C5"/>
    <w:rsid w:val="006416F4"/>
    <w:rsid w:val="006417F5"/>
    <w:rsid w:val="0064641C"/>
    <w:rsid w:val="00647F0E"/>
    <w:rsid w:val="00651213"/>
    <w:rsid w:val="00655BA9"/>
    <w:rsid w:val="00660017"/>
    <w:rsid w:val="006627D4"/>
    <w:rsid w:val="006632A3"/>
    <w:rsid w:val="00665748"/>
    <w:rsid w:val="00666C20"/>
    <w:rsid w:val="00672D3E"/>
    <w:rsid w:val="0068101F"/>
    <w:rsid w:val="006810A5"/>
    <w:rsid w:val="0068518D"/>
    <w:rsid w:val="00686AC3"/>
    <w:rsid w:val="00691E9B"/>
    <w:rsid w:val="00694B50"/>
    <w:rsid w:val="00695C65"/>
    <w:rsid w:val="006976FB"/>
    <w:rsid w:val="006A0F3A"/>
    <w:rsid w:val="006A33C9"/>
    <w:rsid w:val="006A60E5"/>
    <w:rsid w:val="006B6A10"/>
    <w:rsid w:val="006C50CB"/>
    <w:rsid w:val="006C6B91"/>
    <w:rsid w:val="006D000F"/>
    <w:rsid w:val="006D3AB5"/>
    <w:rsid w:val="006D788E"/>
    <w:rsid w:val="006E12F5"/>
    <w:rsid w:val="006F1596"/>
    <w:rsid w:val="006F1EA6"/>
    <w:rsid w:val="006F1F2A"/>
    <w:rsid w:val="00702689"/>
    <w:rsid w:val="00710264"/>
    <w:rsid w:val="007150F2"/>
    <w:rsid w:val="00715296"/>
    <w:rsid w:val="00720B31"/>
    <w:rsid w:val="007246BD"/>
    <w:rsid w:val="007267B7"/>
    <w:rsid w:val="007273C7"/>
    <w:rsid w:val="00730703"/>
    <w:rsid w:val="00731CB8"/>
    <w:rsid w:val="00732733"/>
    <w:rsid w:val="00740E40"/>
    <w:rsid w:val="0074163D"/>
    <w:rsid w:val="007459C2"/>
    <w:rsid w:val="0074694A"/>
    <w:rsid w:val="00753787"/>
    <w:rsid w:val="00761D02"/>
    <w:rsid w:val="00765DE1"/>
    <w:rsid w:val="00782FA7"/>
    <w:rsid w:val="00786BBF"/>
    <w:rsid w:val="00790DAD"/>
    <w:rsid w:val="00791432"/>
    <w:rsid w:val="00791D0D"/>
    <w:rsid w:val="00793D12"/>
    <w:rsid w:val="007943DC"/>
    <w:rsid w:val="00797253"/>
    <w:rsid w:val="007A0C39"/>
    <w:rsid w:val="007A519D"/>
    <w:rsid w:val="007B1BB4"/>
    <w:rsid w:val="007B5FB7"/>
    <w:rsid w:val="007B6486"/>
    <w:rsid w:val="007C2E7F"/>
    <w:rsid w:val="007C537C"/>
    <w:rsid w:val="007D5748"/>
    <w:rsid w:val="007D61B5"/>
    <w:rsid w:val="007E33A6"/>
    <w:rsid w:val="007E778A"/>
    <w:rsid w:val="007F15F4"/>
    <w:rsid w:val="007F1C56"/>
    <w:rsid w:val="007F21A0"/>
    <w:rsid w:val="007F511F"/>
    <w:rsid w:val="007F72FB"/>
    <w:rsid w:val="008046D8"/>
    <w:rsid w:val="008050F8"/>
    <w:rsid w:val="00805DE1"/>
    <w:rsid w:val="008132A4"/>
    <w:rsid w:val="008144ED"/>
    <w:rsid w:val="008159DF"/>
    <w:rsid w:val="0082106A"/>
    <w:rsid w:val="008210BD"/>
    <w:rsid w:val="008218D2"/>
    <w:rsid w:val="0083333A"/>
    <w:rsid w:val="00837B07"/>
    <w:rsid w:val="008418DA"/>
    <w:rsid w:val="00843E52"/>
    <w:rsid w:val="00846EFD"/>
    <w:rsid w:val="0085097D"/>
    <w:rsid w:val="008514FB"/>
    <w:rsid w:val="00853413"/>
    <w:rsid w:val="00853959"/>
    <w:rsid w:val="008545D4"/>
    <w:rsid w:val="00857D73"/>
    <w:rsid w:val="00861800"/>
    <w:rsid w:val="00864BAA"/>
    <w:rsid w:val="00866554"/>
    <w:rsid w:val="00866FE4"/>
    <w:rsid w:val="008672BE"/>
    <w:rsid w:val="00870931"/>
    <w:rsid w:val="00872995"/>
    <w:rsid w:val="00873368"/>
    <w:rsid w:val="0089092F"/>
    <w:rsid w:val="00890F15"/>
    <w:rsid w:val="00891B6D"/>
    <w:rsid w:val="00893A86"/>
    <w:rsid w:val="00893B84"/>
    <w:rsid w:val="008945CB"/>
    <w:rsid w:val="00897C4C"/>
    <w:rsid w:val="008A0426"/>
    <w:rsid w:val="008A088D"/>
    <w:rsid w:val="008A1FB3"/>
    <w:rsid w:val="008A7763"/>
    <w:rsid w:val="008B0449"/>
    <w:rsid w:val="008B2AD4"/>
    <w:rsid w:val="008B46D4"/>
    <w:rsid w:val="008B541B"/>
    <w:rsid w:val="008B5A58"/>
    <w:rsid w:val="008B66F5"/>
    <w:rsid w:val="008B6A9F"/>
    <w:rsid w:val="008B7D2A"/>
    <w:rsid w:val="008C6B12"/>
    <w:rsid w:val="008D0181"/>
    <w:rsid w:val="008D0DF3"/>
    <w:rsid w:val="008D2801"/>
    <w:rsid w:val="008D339D"/>
    <w:rsid w:val="008D660F"/>
    <w:rsid w:val="008D6EA1"/>
    <w:rsid w:val="008E15DA"/>
    <w:rsid w:val="008E2736"/>
    <w:rsid w:val="008E5C3D"/>
    <w:rsid w:val="008E784D"/>
    <w:rsid w:val="008E7C7C"/>
    <w:rsid w:val="008F49A8"/>
    <w:rsid w:val="009012CD"/>
    <w:rsid w:val="00902080"/>
    <w:rsid w:val="009070F0"/>
    <w:rsid w:val="009121E5"/>
    <w:rsid w:val="00913F1D"/>
    <w:rsid w:val="00915E7E"/>
    <w:rsid w:val="00916C00"/>
    <w:rsid w:val="009235E1"/>
    <w:rsid w:val="00923BB5"/>
    <w:rsid w:val="009253F0"/>
    <w:rsid w:val="00926679"/>
    <w:rsid w:val="00941828"/>
    <w:rsid w:val="009562BB"/>
    <w:rsid w:val="00956D20"/>
    <w:rsid w:val="009619CF"/>
    <w:rsid w:val="00967FAC"/>
    <w:rsid w:val="009706A2"/>
    <w:rsid w:val="009706B7"/>
    <w:rsid w:val="00970775"/>
    <w:rsid w:val="00974854"/>
    <w:rsid w:val="00977913"/>
    <w:rsid w:val="0098095C"/>
    <w:rsid w:val="00981B3A"/>
    <w:rsid w:val="00982FC2"/>
    <w:rsid w:val="00987F10"/>
    <w:rsid w:val="00997490"/>
    <w:rsid w:val="009A5258"/>
    <w:rsid w:val="009A5A3C"/>
    <w:rsid w:val="009A6E9A"/>
    <w:rsid w:val="009A78DA"/>
    <w:rsid w:val="009B23F9"/>
    <w:rsid w:val="009B39B2"/>
    <w:rsid w:val="009B3D08"/>
    <w:rsid w:val="009B3F00"/>
    <w:rsid w:val="009B5C19"/>
    <w:rsid w:val="009C44BB"/>
    <w:rsid w:val="009C458D"/>
    <w:rsid w:val="009C4678"/>
    <w:rsid w:val="009C4F9A"/>
    <w:rsid w:val="009C5EF3"/>
    <w:rsid w:val="009C6B26"/>
    <w:rsid w:val="009D34C3"/>
    <w:rsid w:val="009D3C04"/>
    <w:rsid w:val="009E089E"/>
    <w:rsid w:val="009E1E31"/>
    <w:rsid w:val="009E2092"/>
    <w:rsid w:val="009E4F02"/>
    <w:rsid w:val="009E7615"/>
    <w:rsid w:val="009F5E85"/>
    <w:rsid w:val="00A037D0"/>
    <w:rsid w:val="00A04DD5"/>
    <w:rsid w:val="00A05BD8"/>
    <w:rsid w:val="00A1056A"/>
    <w:rsid w:val="00A15D2A"/>
    <w:rsid w:val="00A24B84"/>
    <w:rsid w:val="00A26A3F"/>
    <w:rsid w:val="00A26D50"/>
    <w:rsid w:val="00A32642"/>
    <w:rsid w:val="00A356E9"/>
    <w:rsid w:val="00A37599"/>
    <w:rsid w:val="00A40433"/>
    <w:rsid w:val="00A42E80"/>
    <w:rsid w:val="00A45FE2"/>
    <w:rsid w:val="00A50EDC"/>
    <w:rsid w:val="00A51B73"/>
    <w:rsid w:val="00A55131"/>
    <w:rsid w:val="00A61B91"/>
    <w:rsid w:val="00A7161B"/>
    <w:rsid w:val="00A71762"/>
    <w:rsid w:val="00A76AEB"/>
    <w:rsid w:val="00A801AD"/>
    <w:rsid w:val="00A8123C"/>
    <w:rsid w:val="00A8316C"/>
    <w:rsid w:val="00A878DE"/>
    <w:rsid w:val="00A90FAC"/>
    <w:rsid w:val="00A94938"/>
    <w:rsid w:val="00A949EA"/>
    <w:rsid w:val="00A95711"/>
    <w:rsid w:val="00A97366"/>
    <w:rsid w:val="00AA1009"/>
    <w:rsid w:val="00AA5876"/>
    <w:rsid w:val="00AB3C25"/>
    <w:rsid w:val="00AB656A"/>
    <w:rsid w:val="00AC2FC5"/>
    <w:rsid w:val="00AC7B0A"/>
    <w:rsid w:val="00AD2874"/>
    <w:rsid w:val="00AD68A9"/>
    <w:rsid w:val="00AD6A93"/>
    <w:rsid w:val="00AD7A6C"/>
    <w:rsid w:val="00AE0791"/>
    <w:rsid w:val="00AE15E2"/>
    <w:rsid w:val="00AE1609"/>
    <w:rsid w:val="00AE56C8"/>
    <w:rsid w:val="00AF5464"/>
    <w:rsid w:val="00B00162"/>
    <w:rsid w:val="00B00DFA"/>
    <w:rsid w:val="00B01F02"/>
    <w:rsid w:val="00B02CB5"/>
    <w:rsid w:val="00B03EF7"/>
    <w:rsid w:val="00B058A4"/>
    <w:rsid w:val="00B06840"/>
    <w:rsid w:val="00B109F2"/>
    <w:rsid w:val="00B20067"/>
    <w:rsid w:val="00B2048C"/>
    <w:rsid w:val="00B21D41"/>
    <w:rsid w:val="00B25DDE"/>
    <w:rsid w:val="00B260BE"/>
    <w:rsid w:val="00B37D06"/>
    <w:rsid w:val="00B41D28"/>
    <w:rsid w:val="00B42274"/>
    <w:rsid w:val="00B43725"/>
    <w:rsid w:val="00B44897"/>
    <w:rsid w:val="00B45F5B"/>
    <w:rsid w:val="00B51A21"/>
    <w:rsid w:val="00B523CA"/>
    <w:rsid w:val="00B52D80"/>
    <w:rsid w:val="00B5535C"/>
    <w:rsid w:val="00B5556A"/>
    <w:rsid w:val="00B56ACD"/>
    <w:rsid w:val="00B604D3"/>
    <w:rsid w:val="00B639D7"/>
    <w:rsid w:val="00B63B10"/>
    <w:rsid w:val="00B65274"/>
    <w:rsid w:val="00B67325"/>
    <w:rsid w:val="00B74471"/>
    <w:rsid w:val="00B7738C"/>
    <w:rsid w:val="00B80AC2"/>
    <w:rsid w:val="00B8137F"/>
    <w:rsid w:val="00B8447B"/>
    <w:rsid w:val="00B87F25"/>
    <w:rsid w:val="00B90F24"/>
    <w:rsid w:val="00B910BB"/>
    <w:rsid w:val="00B92B88"/>
    <w:rsid w:val="00B941D3"/>
    <w:rsid w:val="00B9629A"/>
    <w:rsid w:val="00BA0784"/>
    <w:rsid w:val="00BA22D7"/>
    <w:rsid w:val="00BA2AFD"/>
    <w:rsid w:val="00BA3E7B"/>
    <w:rsid w:val="00BA5575"/>
    <w:rsid w:val="00BA7754"/>
    <w:rsid w:val="00BB1DFF"/>
    <w:rsid w:val="00BB2B49"/>
    <w:rsid w:val="00BB455C"/>
    <w:rsid w:val="00BB7827"/>
    <w:rsid w:val="00BC2935"/>
    <w:rsid w:val="00BC79E7"/>
    <w:rsid w:val="00BD00EA"/>
    <w:rsid w:val="00BD097A"/>
    <w:rsid w:val="00BD1F13"/>
    <w:rsid w:val="00BD3422"/>
    <w:rsid w:val="00BD6E96"/>
    <w:rsid w:val="00BD7444"/>
    <w:rsid w:val="00BE1F89"/>
    <w:rsid w:val="00BF441E"/>
    <w:rsid w:val="00C010A2"/>
    <w:rsid w:val="00C016A5"/>
    <w:rsid w:val="00C06CA5"/>
    <w:rsid w:val="00C14CAE"/>
    <w:rsid w:val="00C14DCC"/>
    <w:rsid w:val="00C15212"/>
    <w:rsid w:val="00C21A4A"/>
    <w:rsid w:val="00C23460"/>
    <w:rsid w:val="00C2384C"/>
    <w:rsid w:val="00C268CD"/>
    <w:rsid w:val="00C26F60"/>
    <w:rsid w:val="00C331FA"/>
    <w:rsid w:val="00C42A15"/>
    <w:rsid w:val="00C45868"/>
    <w:rsid w:val="00C46629"/>
    <w:rsid w:val="00C47831"/>
    <w:rsid w:val="00C51A40"/>
    <w:rsid w:val="00C51FD4"/>
    <w:rsid w:val="00C529EF"/>
    <w:rsid w:val="00C5650A"/>
    <w:rsid w:val="00C61844"/>
    <w:rsid w:val="00C6201D"/>
    <w:rsid w:val="00C62C02"/>
    <w:rsid w:val="00C65C1F"/>
    <w:rsid w:val="00C66E8A"/>
    <w:rsid w:val="00C70956"/>
    <w:rsid w:val="00C7140D"/>
    <w:rsid w:val="00C834B4"/>
    <w:rsid w:val="00C85A2C"/>
    <w:rsid w:val="00C9399B"/>
    <w:rsid w:val="00C96236"/>
    <w:rsid w:val="00CA0E25"/>
    <w:rsid w:val="00CA1DC8"/>
    <w:rsid w:val="00CA20AC"/>
    <w:rsid w:val="00CA4FA5"/>
    <w:rsid w:val="00CB0644"/>
    <w:rsid w:val="00CB0781"/>
    <w:rsid w:val="00CB1C78"/>
    <w:rsid w:val="00CB2DB6"/>
    <w:rsid w:val="00CB3623"/>
    <w:rsid w:val="00CB5D7B"/>
    <w:rsid w:val="00CC2B42"/>
    <w:rsid w:val="00CC30F8"/>
    <w:rsid w:val="00CC772B"/>
    <w:rsid w:val="00CC7A4B"/>
    <w:rsid w:val="00CD0060"/>
    <w:rsid w:val="00CD2466"/>
    <w:rsid w:val="00CD4629"/>
    <w:rsid w:val="00CD5602"/>
    <w:rsid w:val="00CD64F2"/>
    <w:rsid w:val="00CE156C"/>
    <w:rsid w:val="00CE299A"/>
    <w:rsid w:val="00CE7664"/>
    <w:rsid w:val="00CF049B"/>
    <w:rsid w:val="00CF1CE5"/>
    <w:rsid w:val="00CF4703"/>
    <w:rsid w:val="00CF5A55"/>
    <w:rsid w:val="00D01605"/>
    <w:rsid w:val="00D016C1"/>
    <w:rsid w:val="00D018A5"/>
    <w:rsid w:val="00D0407A"/>
    <w:rsid w:val="00D05783"/>
    <w:rsid w:val="00D12056"/>
    <w:rsid w:val="00D1539A"/>
    <w:rsid w:val="00D215D1"/>
    <w:rsid w:val="00D21AA1"/>
    <w:rsid w:val="00D25C88"/>
    <w:rsid w:val="00D275C8"/>
    <w:rsid w:val="00D2773E"/>
    <w:rsid w:val="00D3283A"/>
    <w:rsid w:val="00D43F66"/>
    <w:rsid w:val="00D440A5"/>
    <w:rsid w:val="00D46D23"/>
    <w:rsid w:val="00D565B9"/>
    <w:rsid w:val="00D56EB2"/>
    <w:rsid w:val="00D57052"/>
    <w:rsid w:val="00D57F7E"/>
    <w:rsid w:val="00D61AAD"/>
    <w:rsid w:val="00D71DD4"/>
    <w:rsid w:val="00D76073"/>
    <w:rsid w:val="00D76D8F"/>
    <w:rsid w:val="00D80712"/>
    <w:rsid w:val="00D92598"/>
    <w:rsid w:val="00D92D77"/>
    <w:rsid w:val="00DB0DC0"/>
    <w:rsid w:val="00DB1C7D"/>
    <w:rsid w:val="00DB3A11"/>
    <w:rsid w:val="00DB4E90"/>
    <w:rsid w:val="00DB6F7E"/>
    <w:rsid w:val="00DC0505"/>
    <w:rsid w:val="00DC3D83"/>
    <w:rsid w:val="00DC4170"/>
    <w:rsid w:val="00DC5470"/>
    <w:rsid w:val="00DC675E"/>
    <w:rsid w:val="00DC6DAE"/>
    <w:rsid w:val="00DD2769"/>
    <w:rsid w:val="00DD2805"/>
    <w:rsid w:val="00DD79A1"/>
    <w:rsid w:val="00DE392D"/>
    <w:rsid w:val="00DE5BF1"/>
    <w:rsid w:val="00DF1D5B"/>
    <w:rsid w:val="00E02760"/>
    <w:rsid w:val="00E028F9"/>
    <w:rsid w:val="00E03938"/>
    <w:rsid w:val="00E03BE7"/>
    <w:rsid w:val="00E05595"/>
    <w:rsid w:val="00E07CE9"/>
    <w:rsid w:val="00E14014"/>
    <w:rsid w:val="00E16871"/>
    <w:rsid w:val="00E20D39"/>
    <w:rsid w:val="00E21461"/>
    <w:rsid w:val="00E26305"/>
    <w:rsid w:val="00E26D23"/>
    <w:rsid w:val="00E340DD"/>
    <w:rsid w:val="00E410A7"/>
    <w:rsid w:val="00E41370"/>
    <w:rsid w:val="00E41670"/>
    <w:rsid w:val="00E444BE"/>
    <w:rsid w:val="00E45F02"/>
    <w:rsid w:val="00E46F16"/>
    <w:rsid w:val="00E53873"/>
    <w:rsid w:val="00E54194"/>
    <w:rsid w:val="00E57EEA"/>
    <w:rsid w:val="00E62409"/>
    <w:rsid w:val="00E63BF2"/>
    <w:rsid w:val="00E64A7D"/>
    <w:rsid w:val="00E65750"/>
    <w:rsid w:val="00E724CF"/>
    <w:rsid w:val="00E73EB1"/>
    <w:rsid w:val="00E775DF"/>
    <w:rsid w:val="00E81B3A"/>
    <w:rsid w:val="00E90840"/>
    <w:rsid w:val="00E90C63"/>
    <w:rsid w:val="00E9239A"/>
    <w:rsid w:val="00E929E1"/>
    <w:rsid w:val="00E9528C"/>
    <w:rsid w:val="00E963A3"/>
    <w:rsid w:val="00EA1596"/>
    <w:rsid w:val="00EA1E90"/>
    <w:rsid w:val="00EA2EE3"/>
    <w:rsid w:val="00EA4ABA"/>
    <w:rsid w:val="00EA54B7"/>
    <w:rsid w:val="00EA569D"/>
    <w:rsid w:val="00EB0800"/>
    <w:rsid w:val="00EB0994"/>
    <w:rsid w:val="00EB188F"/>
    <w:rsid w:val="00EB59C8"/>
    <w:rsid w:val="00EC3664"/>
    <w:rsid w:val="00EC59C8"/>
    <w:rsid w:val="00EC7E4C"/>
    <w:rsid w:val="00ED0E39"/>
    <w:rsid w:val="00EE04E8"/>
    <w:rsid w:val="00EE1A67"/>
    <w:rsid w:val="00EF4BB2"/>
    <w:rsid w:val="00EF4D62"/>
    <w:rsid w:val="00EF4D78"/>
    <w:rsid w:val="00EF58F5"/>
    <w:rsid w:val="00F007D0"/>
    <w:rsid w:val="00F02D9F"/>
    <w:rsid w:val="00F07630"/>
    <w:rsid w:val="00F07B42"/>
    <w:rsid w:val="00F13D7D"/>
    <w:rsid w:val="00F14687"/>
    <w:rsid w:val="00F23342"/>
    <w:rsid w:val="00F253D0"/>
    <w:rsid w:val="00F26D86"/>
    <w:rsid w:val="00F33299"/>
    <w:rsid w:val="00F337DF"/>
    <w:rsid w:val="00F352FB"/>
    <w:rsid w:val="00F35DD6"/>
    <w:rsid w:val="00F40136"/>
    <w:rsid w:val="00F46B32"/>
    <w:rsid w:val="00F526F6"/>
    <w:rsid w:val="00F5330B"/>
    <w:rsid w:val="00F53CFA"/>
    <w:rsid w:val="00F611CE"/>
    <w:rsid w:val="00F61C90"/>
    <w:rsid w:val="00F6488A"/>
    <w:rsid w:val="00F67072"/>
    <w:rsid w:val="00F67319"/>
    <w:rsid w:val="00F71DCB"/>
    <w:rsid w:val="00F751CC"/>
    <w:rsid w:val="00F757ED"/>
    <w:rsid w:val="00F77641"/>
    <w:rsid w:val="00F83159"/>
    <w:rsid w:val="00F838ED"/>
    <w:rsid w:val="00F97DAF"/>
    <w:rsid w:val="00FA4FB8"/>
    <w:rsid w:val="00FA68ED"/>
    <w:rsid w:val="00FA6AE4"/>
    <w:rsid w:val="00FA6E17"/>
    <w:rsid w:val="00FA7BF2"/>
    <w:rsid w:val="00FB0211"/>
    <w:rsid w:val="00FB2E28"/>
    <w:rsid w:val="00FB5424"/>
    <w:rsid w:val="00FC2E87"/>
    <w:rsid w:val="00FC5D68"/>
    <w:rsid w:val="00FC5EC4"/>
    <w:rsid w:val="00FD0692"/>
    <w:rsid w:val="00FD2240"/>
    <w:rsid w:val="00FD4BAF"/>
    <w:rsid w:val="00FD7059"/>
    <w:rsid w:val="00FE0BE9"/>
    <w:rsid w:val="00FE1945"/>
    <w:rsid w:val="00FE3959"/>
    <w:rsid w:val="00FE50E6"/>
    <w:rsid w:val="00FF12B1"/>
    <w:rsid w:val="00FF4C38"/>
    <w:rsid w:val="00FF5422"/>
    <w:rsid w:val="00FF734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866554"/>
    <w:pPr>
      <w:ind w:left="720"/>
      <w:contextualSpacing/>
      <w:jc w:val="left"/>
    </w:pPr>
    <w:rPr>
      <w:rFonts w:ascii="Calibri" w:hAnsi="Calibri"/>
      <w:lang w:val="en-US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C7640"/>
    <w:pPr>
      <w:spacing w:after="0" w:line="240" w:lineRule="auto"/>
      <w:jc w:val="left"/>
    </w:pPr>
    <w:rPr>
      <w:rFonts w:ascii="Calibri" w:hAnsi="Calibri"/>
      <w:sz w:val="20"/>
      <w:szCs w:val="20"/>
      <w:lang w:val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C7640"/>
    <w:rPr>
      <w:rFonts w:ascii="Calibri" w:hAnsi="Calibri" w:cs="Times New Roman"/>
      <w:sz w:val="20"/>
      <w:szCs w:val="20"/>
      <w:rtl w:val="0"/>
      <w:cs w:val="0"/>
      <w:lang w:val="en-US" w:eastAsia="x-none"/>
    </w:rPr>
  </w:style>
  <w:style w:type="character" w:styleId="FootnoteReference">
    <w:name w:val="footnote reference"/>
    <w:basedOn w:val="DefaultParagraphFont"/>
    <w:uiPriority w:val="99"/>
    <w:semiHidden/>
    <w:unhideWhenUsed/>
    <w:rsid w:val="001C7640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1C7640"/>
    <w:rPr>
      <w:rFonts w:cs="Times New Roman"/>
      <w:color w:val="0000FF" w:themeColor="hlink" w:themeShade="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9063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9063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90633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90633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90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A73E61-0F2A-47DE-AE25-2B16125492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7</Pages>
  <Words>2857</Words>
  <Characters>16290</Characters>
  <Application>Microsoft Office Word</Application>
  <DocSecurity>0</DocSecurity>
  <Lines>0</Lines>
  <Paragraphs>0</Paragraphs>
  <ScaleCrop>false</ScaleCrop>
  <Company>MH SR</Company>
  <LinksUpToDate>false</LinksUpToDate>
  <CharactersWithSpaces>19109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3</cp:revision>
  <cp:lastPrinted>2016-12-15T14:46:00Z</cp:lastPrinted>
  <dcterms:created xsi:type="dcterms:W3CDTF">2018-05-23T14:06:00Z</dcterms:created>
  <dcterms:modified xsi:type="dcterms:W3CDTF">2018-05-23T14:17:00Z</dcterms:modified>
</cp:coreProperties>
</file>