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E6916" w:rsidRPr="00BE66C9">
      <w:pPr>
        <w:pStyle w:val="NormalWeb"/>
        <w:bidi w:val="0"/>
        <w:spacing w:before="120" w:after="0" w:line="276" w:lineRule="auto"/>
        <w:jc w:val="center"/>
        <w:rPr>
          <w:rFonts w:ascii="Book Antiqua" w:hAnsi="Book Antiqua"/>
          <w:sz w:val="22"/>
          <w:szCs w:val="22"/>
        </w:rPr>
      </w:pPr>
      <w:r w:rsidRPr="00BE66C9">
        <w:rPr>
          <w:rFonts w:ascii="Book Antiqua" w:hAnsi="Book Antiqua"/>
          <w:b/>
          <w:caps/>
          <w:spacing w:val="30"/>
          <w:sz w:val="22"/>
          <w:szCs w:val="22"/>
        </w:rPr>
        <w:t>Dôvodová správa</w:t>
      </w:r>
    </w:p>
    <w:p w:rsidR="008E6916" w:rsidRPr="00BE66C9">
      <w:pPr>
        <w:pStyle w:val="NormalWeb"/>
        <w:bidi w:val="0"/>
        <w:spacing w:before="120" w:after="0" w:line="276" w:lineRule="auto"/>
        <w:jc w:val="center"/>
        <w:rPr>
          <w:rFonts w:ascii="Book Antiqua" w:hAnsi="Book Antiqua"/>
          <w:sz w:val="22"/>
          <w:szCs w:val="22"/>
        </w:rPr>
      </w:pPr>
      <w:r w:rsidRPr="00BE66C9">
        <w:rPr>
          <w:rFonts w:ascii="Book Antiqua" w:hAnsi="Book Antiqua"/>
          <w:b/>
          <w:sz w:val="22"/>
          <w:szCs w:val="22"/>
        </w:rPr>
        <w:t> </w:t>
      </w:r>
    </w:p>
    <w:p w:rsidR="008E6916" w:rsidRPr="00BE66C9">
      <w:pPr>
        <w:pStyle w:val="Heading1"/>
        <w:bidi w:val="0"/>
        <w:spacing w:before="120" w:line="276" w:lineRule="auto"/>
        <w:jc w:val="left"/>
        <w:rPr>
          <w:rFonts w:ascii="Book Antiqua" w:hAnsi="Book Antiqua" w:cs="Times New Roman"/>
          <w:bCs w:val="0"/>
          <w:sz w:val="22"/>
          <w:szCs w:val="22"/>
        </w:rPr>
      </w:pPr>
      <w:r w:rsidRPr="00BE66C9">
        <w:rPr>
          <w:rFonts w:ascii="Book Antiqua" w:hAnsi="Book Antiqua" w:cs="Times New Roman"/>
          <w:bCs w:val="0"/>
          <w:sz w:val="22"/>
          <w:szCs w:val="22"/>
        </w:rPr>
        <w:t>A. Všeobecná časť</w:t>
      </w:r>
    </w:p>
    <w:p w:rsidR="008E6916" w:rsidRPr="00BE66C9">
      <w:pPr>
        <w:bidi w:val="0"/>
        <w:spacing w:before="120" w:line="276" w:lineRule="auto"/>
        <w:ind w:firstLine="708"/>
        <w:jc w:val="both"/>
        <w:rPr>
          <w:rFonts w:ascii="Book Antiqua" w:hAnsi="Book Antiqua"/>
          <w:sz w:val="22"/>
          <w:szCs w:val="22"/>
        </w:rPr>
      </w:pPr>
      <w:r w:rsidRPr="00BE66C9">
        <w:rPr>
          <w:rFonts w:ascii="Book Antiqua" w:hAnsi="Book Antiqua"/>
          <w:sz w:val="22"/>
          <w:szCs w:val="22"/>
        </w:rPr>
        <w:t xml:space="preserve">Návrh zákona, ktorým sa mení a dopĺňa </w:t>
      </w:r>
      <w:r w:rsidRPr="00BE66C9">
        <w:rPr>
          <w:rFonts w:ascii="Book Antiqua" w:hAnsi="Book Antiqua"/>
          <w:b/>
          <w:sz w:val="22"/>
          <w:szCs w:val="22"/>
        </w:rPr>
        <w:t xml:space="preserve">zákon Národnej </w:t>
      </w:r>
      <w:r w:rsidR="00BE66C9">
        <w:rPr>
          <w:rFonts w:ascii="Book Antiqua" w:hAnsi="Book Antiqua"/>
          <w:b/>
          <w:sz w:val="22"/>
          <w:szCs w:val="22"/>
        </w:rPr>
        <w:t xml:space="preserve">rady  Slovenskej  republiky  č. </w:t>
      </w:r>
      <w:r w:rsidRPr="00BE66C9">
        <w:rPr>
          <w:rFonts w:ascii="Book Antiqua" w:hAnsi="Book Antiqua"/>
          <w:b/>
          <w:sz w:val="22"/>
          <w:szCs w:val="22"/>
        </w:rPr>
        <w:t>39/1993 Z. z. o Najvyšš</w:t>
      </w:r>
      <w:r w:rsidR="00BE66C9">
        <w:rPr>
          <w:rFonts w:ascii="Book Antiqua" w:hAnsi="Book Antiqua"/>
          <w:b/>
          <w:sz w:val="22"/>
          <w:szCs w:val="22"/>
        </w:rPr>
        <w:t xml:space="preserve">om kontrolnom úrade Slovenskej </w:t>
      </w:r>
      <w:r w:rsidRPr="00BE66C9">
        <w:rPr>
          <w:rFonts w:ascii="Book Antiqua" w:hAnsi="Book Antiqua"/>
          <w:b/>
          <w:sz w:val="22"/>
          <w:szCs w:val="22"/>
        </w:rPr>
        <w:t xml:space="preserve">republiky </w:t>
      </w:r>
      <w:r w:rsidRPr="00BE66C9">
        <w:rPr>
          <w:rFonts w:ascii="Book Antiqua" w:hAnsi="Book Antiqua"/>
          <w:sz w:val="22"/>
          <w:szCs w:val="22"/>
        </w:rPr>
        <w:t>v znení neskorších predpisov a ktorým sa menia a dopĺňajú niektoré zákony (ďalej len „návrh zákona“) predkladá skupina poslancov Národnej rady Slove</w:t>
      </w:r>
      <w:r w:rsidR="00BE66C9">
        <w:rPr>
          <w:rFonts w:ascii="Book Antiqua" w:hAnsi="Book Antiqua"/>
          <w:sz w:val="22"/>
          <w:szCs w:val="22"/>
        </w:rPr>
        <w:t>nskej republiky</w:t>
      </w:r>
      <w:r w:rsidRPr="00BE66C9">
        <w:rPr>
          <w:rFonts w:ascii="Book Antiqua" w:hAnsi="Book Antiqua"/>
          <w:sz w:val="22"/>
          <w:szCs w:val="22"/>
        </w:rPr>
        <w:t>.</w:t>
      </w:r>
    </w:p>
    <w:p w:rsidR="008E6916" w:rsidRPr="00BE66C9">
      <w:pPr>
        <w:bidi w:val="0"/>
        <w:spacing w:before="120" w:line="276" w:lineRule="auto"/>
        <w:ind w:firstLine="709"/>
        <w:jc w:val="both"/>
        <w:rPr>
          <w:rFonts w:ascii="Book Antiqua" w:hAnsi="Book Antiqua"/>
          <w:sz w:val="22"/>
          <w:szCs w:val="22"/>
        </w:rPr>
      </w:pPr>
      <w:r w:rsidRPr="00BE66C9">
        <w:rPr>
          <w:rFonts w:ascii="Book Antiqua" w:hAnsi="Book Antiqua"/>
          <w:sz w:val="22"/>
          <w:szCs w:val="22"/>
        </w:rPr>
        <w:t>Ostatná voľba predsedu Najvyššieho kontrolného úradu Slovenskej republiky poukázala na systémové chyby v mechanizme voľby a možnosti zablokovania procesu výberového konania na niekoľko rokov, a to aj napriek tomu, že podmienky zvolenia sú v súčasnosti nastaven</w:t>
      </w:r>
      <w:r w:rsidR="00BE66C9">
        <w:rPr>
          <w:rFonts w:ascii="Book Antiqua" w:hAnsi="Book Antiqua"/>
          <w:sz w:val="22"/>
          <w:szCs w:val="22"/>
        </w:rPr>
        <w:t>é veľmi mierne. Zároveň nastolila</w:t>
      </w:r>
      <w:r w:rsidRPr="00BE66C9">
        <w:rPr>
          <w:rFonts w:ascii="Book Antiqua" w:hAnsi="Book Antiqua"/>
          <w:sz w:val="22"/>
          <w:szCs w:val="22"/>
        </w:rPr>
        <w:t xml:space="preserve"> pochybnosti o nezávislosti predsedu Najvyššieho kontrolného úradu Slovenskej republiky, keď sa jeho pozícia stala </w:t>
      </w:r>
      <w:r w:rsidR="00BE66C9">
        <w:rPr>
          <w:rFonts w:ascii="Book Antiqua" w:hAnsi="Book Antiqua"/>
          <w:sz w:val="22"/>
          <w:szCs w:val="22"/>
        </w:rPr>
        <w:t>zdrojom politického „obchodovania</w:t>
      </w:r>
      <w:r w:rsidRPr="00BE66C9">
        <w:rPr>
          <w:rFonts w:ascii="Book Antiqua" w:hAnsi="Book Antiqua"/>
          <w:sz w:val="22"/>
          <w:szCs w:val="22"/>
        </w:rPr>
        <w:t xml:space="preserve">“. </w:t>
      </w:r>
    </w:p>
    <w:p w:rsidR="008E6916" w:rsidRPr="00BE66C9">
      <w:pPr>
        <w:bidi w:val="0"/>
        <w:spacing w:before="120" w:line="276" w:lineRule="auto"/>
        <w:ind w:firstLine="709"/>
        <w:jc w:val="both"/>
        <w:rPr>
          <w:rFonts w:ascii="Book Antiqua" w:hAnsi="Book Antiqua"/>
          <w:sz w:val="22"/>
          <w:szCs w:val="22"/>
        </w:rPr>
      </w:pPr>
      <w:r w:rsidRPr="00BE66C9">
        <w:rPr>
          <w:rFonts w:ascii="Book Antiqua" w:hAnsi="Book Antiqua"/>
          <w:sz w:val="22"/>
          <w:szCs w:val="22"/>
        </w:rPr>
        <w:t>Viaceré kauzy v nedávnej minulosti odhalili, že zverejnenie kontrolnej správy nie je dostatočným nástrojom na vymáhanie naplnenia odporúčaní zistených na základe kontroly, ani nie sú zárukou, že nekalé aktivity nebudú pokračovať.</w:t>
      </w:r>
    </w:p>
    <w:p w:rsidR="008E6916" w:rsidRPr="00BE66C9">
      <w:pPr>
        <w:bidi w:val="0"/>
        <w:spacing w:before="120" w:line="276" w:lineRule="auto"/>
        <w:ind w:firstLine="709"/>
        <w:jc w:val="both"/>
        <w:rPr>
          <w:rFonts w:ascii="Book Antiqua" w:hAnsi="Book Antiqua"/>
          <w:sz w:val="22"/>
          <w:szCs w:val="22"/>
        </w:rPr>
      </w:pPr>
      <w:r w:rsidRPr="00BE66C9">
        <w:rPr>
          <w:rFonts w:ascii="Book Antiqua" w:hAnsi="Book Antiqua"/>
          <w:b/>
          <w:sz w:val="22"/>
          <w:szCs w:val="22"/>
        </w:rPr>
        <w:t>Cieľmi návrhu zákona sú preto najmä</w:t>
      </w:r>
      <w:r w:rsidRPr="00BE66C9">
        <w:rPr>
          <w:rFonts w:ascii="Book Antiqua" w:hAnsi="Book Antiqua"/>
          <w:sz w:val="22"/>
          <w:szCs w:val="22"/>
        </w:rPr>
        <w:t>:</w:t>
      </w:r>
    </w:p>
    <w:p w:rsidR="008E6916" w:rsidRPr="00BE66C9" w:rsidP="00BE66C9">
      <w:pPr>
        <w:numPr>
          <w:numId w:val="3"/>
        </w:numPr>
        <w:bidi w:val="0"/>
        <w:spacing w:before="120" w:line="276" w:lineRule="auto"/>
        <w:ind w:left="426" w:hanging="426"/>
        <w:jc w:val="both"/>
        <w:rPr>
          <w:rFonts w:ascii="Book Antiqua" w:hAnsi="Book Antiqua"/>
          <w:sz w:val="22"/>
          <w:szCs w:val="22"/>
        </w:rPr>
      </w:pPr>
      <w:r w:rsidRPr="00BE66C9">
        <w:rPr>
          <w:rFonts w:ascii="Book Antiqua" w:hAnsi="Book Antiqua"/>
          <w:sz w:val="22"/>
          <w:szCs w:val="22"/>
        </w:rPr>
        <w:t>posilnenie nezávislosti vedenia Najvyššieho kontrolného úradu Slovenskej republiky,</w:t>
      </w:r>
    </w:p>
    <w:p w:rsidR="008E6916" w:rsidRPr="00BE66C9" w:rsidP="00BE66C9">
      <w:pPr>
        <w:numPr>
          <w:numId w:val="3"/>
        </w:numPr>
        <w:bidi w:val="0"/>
        <w:spacing w:before="120" w:line="276" w:lineRule="auto"/>
        <w:ind w:left="426" w:hanging="426"/>
        <w:jc w:val="both"/>
        <w:rPr>
          <w:rFonts w:ascii="Book Antiqua" w:hAnsi="Book Antiqua"/>
          <w:sz w:val="22"/>
          <w:szCs w:val="22"/>
        </w:rPr>
      </w:pPr>
      <w:r w:rsidRPr="00BE66C9">
        <w:rPr>
          <w:rFonts w:ascii="Book Antiqua" w:hAnsi="Book Antiqua"/>
          <w:sz w:val="22"/>
          <w:szCs w:val="22"/>
        </w:rPr>
        <w:t>zvýšenie transparentnosti obsadenia vedúcich postov na Najvyššom kontrolnom úrade Slovenskej republiky,</w:t>
      </w:r>
    </w:p>
    <w:p w:rsidR="008E6916" w:rsidRPr="00BE66C9" w:rsidP="00BE66C9">
      <w:pPr>
        <w:numPr>
          <w:numId w:val="3"/>
        </w:numPr>
        <w:bidi w:val="0"/>
        <w:spacing w:before="120" w:line="276" w:lineRule="auto"/>
        <w:ind w:left="426" w:hanging="426"/>
        <w:jc w:val="both"/>
        <w:rPr>
          <w:rFonts w:ascii="Book Antiqua" w:hAnsi="Book Antiqua"/>
          <w:sz w:val="22"/>
          <w:szCs w:val="22"/>
        </w:rPr>
      </w:pPr>
      <w:r w:rsidRPr="00BE66C9">
        <w:rPr>
          <w:rFonts w:ascii="Book Antiqua" w:hAnsi="Book Antiqua"/>
          <w:sz w:val="22"/>
          <w:szCs w:val="22"/>
        </w:rPr>
        <w:t>sprísnenie kvalifikačných a osobnostných predpokladov pre kandidátov na vedúce funkcie Najvyššieho kontrolného úradu Slovenskej republiky,</w:t>
      </w:r>
    </w:p>
    <w:p w:rsidR="008E6916" w:rsidRPr="00BE66C9" w:rsidP="00BE66C9">
      <w:pPr>
        <w:numPr>
          <w:numId w:val="3"/>
        </w:numPr>
        <w:bidi w:val="0"/>
        <w:spacing w:before="120" w:line="276" w:lineRule="auto"/>
        <w:ind w:left="426" w:hanging="426"/>
        <w:jc w:val="both"/>
        <w:rPr>
          <w:rFonts w:ascii="Book Antiqua" w:hAnsi="Book Antiqua"/>
          <w:sz w:val="22"/>
          <w:szCs w:val="22"/>
        </w:rPr>
      </w:pPr>
      <w:r w:rsidRPr="00BE66C9">
        <w:rPr>
          <w:rFonts w:ascii="Book Antiqua" w:hAnsi="Book Antiqua"/>
          <w:sz w:val="22"/>
          <w:szCs w:val="22"/>
        </w:rPr>
        <w:t>zavedenie možnosti ukladania sankcií v prípade, že kontrolný subjekt neodstráni nedostatky zistené kontrolou,</w:t>
      </w:r>
    </w:p>
    <w:p w:rsidR="008E6916" w:rsidRPr="00BE66C9" w:rsidP="00BE66C9">
      <w:pPr>
        <w:numPr>
          <w:numId w:val="3"/>
        </w:numPr>
        <w:bidi w:val="0"/>
        <w:spacing w:before="120" w:line="276" w:lineRule="auto"/>
        <w:ind w:left="426" w:hanging="426"/>
        <w:jc w:val="both"/>
        <w:rPr>
          <w:rFonts w:ascii="Book Antiqua" w:hAnsi="Book Antiqua"/>
          <w:sz w:val="22"/>
          <w:szCs w:val="22"/>
        </w:rPr>
      </w:pPr>
      <w:r w:rsidR="00BE66C9">
        <w:rPr>
          <w:rFonts w:ascii="Book Antiqua" w:hAnsi="Book Antiqua"/>
          <w:sz w:val="22"/>
          <w:szCs w:val="22"/>
        </w:rPr>
        <w:t>zriadenie stáleho V</w:t>
      </w:r>
      <w:r w:rsidRPr="00BE66C9">
        <w:rPr>
          <w:rFonts w:ascii="Book Antiqua" w:hAnsi="Book Antiqua"/>
          <w:sz w:val="22"/>
          <w:szCs w:val="22"/>
        </w:rPr>
        <w:t xml:space="preserve">ýboru </w:t>
      </w:r>
      <w:r w:rsidR="00BE66C9">
        <w:rPr>
          <w:rFonts w:ascii="Book Antiqua" w:hAnsi="Book Antiqua"/>
          <w:sz w:val="22"/>
          <w:szCs w:val="22"/>
        </w:rPr>
        <w:t xml:space="preserve">Národnej rady Slovenskej republiky </w:t>
      </w:r>
      <w:r w:rsidRPr="00BE66C9">
        <w:rPr>
          <w:rFonts w:ascii="Book Antiqua" w:hAnsi="Book Antiqua"/>
          <w:sz w:val="22"/>
          <w:szCs w:val="22"/>
        </w:rPr>
        <w:t>pre Najvyšší kontrolný úrad Slovenskej republiky,</w:t>
      </w:r>
    </w:p>
    <w:p w:rsidR="008E6916" w:rsidRPr="00BE66C9" w:rsidP="00BE66C9">
      <w:pPr>
        <w:numPr>
          <w:numId w:val="3"/>
        </w:numPr>
        <w:bidi w:val="0"/>
        <w:spacing w:before="120" w:line="276" w:lineRule="auto"/>
        <w:ind w:left="426" w:hanging="426"/>
        <w:jc w:val="both"/>
        <w:rPr>
          <w:rFonts w:ascii="Book Antiqua" w:hAnsi="Book Antiqua"/>
          <w:sz w:val="22"/>
          <w:szCs w:val="22"/>
        </w:rPr>
      </w:pPr>
      <w:r w:rsidRPr="00BE66C9">
        <w:rPr>
          <w:rFonts w:ascii="Book Antiqua" w:hAnsi="Book Antiqua"/>
          <w:sz w:val="22"/>
          <w:szCs w:val="22"/>
        </w:rPr>
        <w:t xml:space="preserve">zjednotenie výstupov kontroly Najvyššieho kontrolného úradu Slovenskej republiky.  </w:t>
      </w:r>
    </w:p>
    <w:p w:rsidR="008E6916" w:rsidRPr="00BE66C9" w:rsidP="00BE66C9">
      <w:pPr>
        <w:bidi w:val="0"/>
        <w:spacing w:before="120" w:line="276" w:lineRule="auto"/>
        <w:ind w:firstLine="709"/>
        <w:jc w:val="both"/>
        <w:rPr>
          <w:rFonts w:ascii="Book Antiqua" w:hAnsi="Book Antiqua"/>
          <w:sz w:val="22"/>
          <w:szCs w:val="22"/>
        </w:rPr>
      </w:pPr>
      <w:r w:rsidRPr="00BE66C9">
        <w:rPr>
          <w:rFonts w:ascii="Book Antiqua" w:hAnsi="Book Antiqua"/>
          <w:sz w:val="22"/>
          <w:szCs w:val="22"/>
        </w:rPr>
        <w:t>Návrh zákona má pozitívny vplyv na rozpočet verejnej správy a na informatizáciu spoločnosti. Návrh zákona nemá vplyv na podnikateľské prostredie, životné prostredie a nevyvoláva žiadne sociálne vplyvy.</w:t>
      </w:r>
    </w:p>
    <w:p w:rsidR="008E6916" w:rsidRPr="00BE66C9">
      <w:pPr>
        <w:bidi w:val="0"/>
        <w:spacing w:before="120" w:line="276" w:lineRule="auto"/>
        <w:ind w:firstLine="709"/>
        <w:jc w:val="both"/>
        <w:rPr>
          <w:rFonts w:ascii="Book Antiqua" w:hAnsi="Book Antiqua"/>
          <w:sz w:val="22"/>
          <w:szCs w:val="22"/>
        </w:rPr>
      </w:pPr>
      <w:r w:rsidRPr="00BE66C9">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8E6916" w:rsidRPr="00BE66C9">
      <w:pPr>
        <w:pStyle w:val="NormalWeb"/>
        <w:pageBreakBefore/>
        <w:bidi w:val="0"/>
        <w:spacing w:before="120" w:after="0" w:line="276" w:lineRule="auto"/>
        <w:jc w:val="both"/>
        <w:rPr>
          <w:rFonts w:ascii="Book Antiqua" w:hAnsi="Book Antiqua"/>
          <w:sz w:val="22"/>
          <w:szCs w:val="22"/>
        </w:rPr>
      </w:pPr>
      <w:r w:rsidRPr="00BE66C9">
        <w:rPr>
          <w:rFonts w:ascii="Book Antiqua" w:hAnsi="Book Antiqua"/>
          <w:b/>
          <w:sz w:val="22"/>
          <w:szCs w:val="22"/>
        </w:rPr>
        <w:t>B. Osobitná časť</w:t>
      </w:r>
    </w:p>
    <w:p w:rsidR="008E6916" w:rsidRPr="00BE66C9">
      <w:pPr>
        <w:pStyle w:val="NormalWeb"/>
        <w:bidi w:val="0"/>
        <w:spacing w:before="120" w:after="0" w:line="276" w:lineRule="auto"/>
        <w:jc w:val="both"/>
        <w:rPr>
          <w:rFonts w:ascii="Book Antiqua" w:hAnsi="Book Antiqua"/>
          <w:sz w:val="22"/>
          <w:szCs w:val="22"/>
        </w:rPr>
      </w:pPr>
    </w:p>
    <w:p w:rsidR="008E6916" w:rsidRPr="00BE66C9">
      <w:pPr>
        <w:pStyle w:val="NormalWeb"/>
        <w:bidi w:val="0"/>
        <w:spacing w:before="120" w:after="0" w:line="276" w:lineRule="auto"/>
        <w:jc w:val="both"/>
        <w:rPr>
          <w:rFonts w:ascii="Book Antiqua" w:hAnsi="Book Antiqua"/>
          <w:sz w:val="22"/>
          <w:szCs w:val="22"/>
        </w:rPr>
      </w:pPr>
      <w:r w:rsidRPr="00BE66C9">
        <w:rPr>
          <w:rFonts w:ascii="Book Antiqua" w:hAnsi="Book Antiqua"/>
          <w:b/>
          <w:sz w:val="22"/>
          <w:szCs w:val="22"/>
        </w:rPr>
        <w:t xml:space="preserve">K Čl. I </w:t>
      </w:r>
    </w:p>
    <w:p w:rsidR="008E6916" w:rsidRPr="00BE66C9">
      <w:pPr>
        <w:pStyle w:val="NormalWeb"/>
        <w:bidi w:val="0"/>
        <w:spacing w:before="120" w:after="0" w:line="276" w:lineRule="auto"/>
        <w:jc w:val="both"/>
        <w:rPr>
          <w:rFonts w:ascii="Book Antiqua" w:hAnsi="Book Antiqua"/>
          <w:sz w:val="22"/>
          <w:szCs w:val="22"/>
        </w:rPr>
      </w:pPr>
      <w:r w:rsidRPr="00BE66C9">
        <w:rPr>
          <w:rFonts w:ascii="Book Antiqua" w:hAnsi="Book Antiqua"/>
          <w:sz w:val="22"/>
          <w:szCs w:val="22"/>
          <w:u w:val="single"/>
        </w:rPr>
        <w:t>K bodu 1</w:t>
      </w:r>
    </w:p>
    <w:p w:rsidR="008E6916" w:rsidRPr="00BE66C9">
      <w:pPr>
        <w:bidi w:val="0"/>
        <w:spacing w:before="120" w:line="276" w:lineRule="auto"/>
        <w:ind w:firstLine="708"/>
        <w:jc w:val="both"/>
        <w:rPr>
          <w:rFonts w:ascii="Book Antiqua" w:hAnsi="Book Antiqua"/>
          <w:sz w:val="22"/>
          <w:szCs w:val="22"/>
        </w:rPr>
      </w:pPr>
      <w:r w:rsidRPr="00BE66C9">
        <w:rPr>
          <w:rFonts w:ascii="Book Antiqua" w:hAnsi="Book Antiqua"/>
          <w:sz w:val="22"/>
          <w:szCs w:val="22"/>
        </w:rPr>
        <w:t>Už dnes môže Národná rada Slovenskej republiky (ďalej len „NR SR“) vyzvať Najvyšší kontrolný úrad Slovenskej republiky (ďalej len “NKÚ“) ku</w:t>
      </w:r>
      <w:r w:rsidRPr="00BE66C9" w:rsidR="00BE66C9">
        <w:rPr>
          <w:rFonts w:ascii="Book Antiqua" w:hAnsi="Book Antiqua"/>
          <w:sz w:val="22"/>
          <w:szCs w:val="22"/>
        </w:rPr>
        <w:t xml:space="preserve"> kontrole svojim uznesením. V</w:t>
      </w:r>
      <w:r w:rsidRPr="00BE66C9">
        <w:rPr>
          <w:rFonts w:ascii="Book Antiqua" w:hAnsi="Book Antiqua"/>
          <w:sz w:val="22"/>
          <w:szCs w:val="22"/>
        </w:rPr>
        <w:t xml:space="preserve"> praxi </w:t>
      </w:r>
      <w:r w:rsidRPr="00BE66C9" w:rsidR="00BE66C9">
        <w:rPr>
          <w:rFonts w:ascii="Book Antiqua" w:hAnsi="Book Antiqua"/>
          <w:sz w:val="22"/>
          <w:szCs w:val="22"/>
        </w:rPr>
        <w:t>sa prenecháva táto kompetencia</w:t>
      </w:r>
      <w:r w:rsidRPr="00BE66C9">
        <w:rPr>
          <w:rFonts w:ascii="Book Antiqua" w:hAnsi="Book Antiqua"/>
          <w:sz w:val="22"/>
          <w:szCs w:val="22"/>
        </w:rPr>
        <w:t xml:space="preserve"> v</w:t>
      </w:r>
      <w:r w:rsidRPr="00BE66C9" w:rsidR="00BE66C9">
        <w:rPr>
          <w:rFonts w:ascii="Book Antiqua" w:hAnsi="Book Antiqua"/>
          <w:sz w:val="22"/>
          <w:szCs w:val="22"/>
        </w:rPr>
        <w:t>ládnej väčšine. Návrh zákona</w:t>
      </w:r>
      <w:r w:rsidRPr="00BE66C9">
        <w:rPr>
          <w:rFonts w:ascii="Book Antiqua" w:hAnsi="Book Antiqua"/>
          <w:sz w:val="22"/>
          <w:szCs w:val="22"/>
        </w:rPr>
        <w:t xml:space="preserve"> smeruje k posilneniu menšinového hlasu, konkrétne k posilneniu opozície, ktorej úloha je kontrolovať exekutívu. </w:t>
      </w:r>
    </w:p>
    <w:p w:rsidR="008E6916" w:rsidRPr="00BE66C9">
      <w:pPr>
        <w:bidi w:val="0"/>
        <w:spacing w:before="120" w:line="276" w:lineRule="auto"/>
        <w:ind w:firstLine="708"/>
        <w:jc w:val="both"/>
        <w:rPr>
          <w:rFonts w:ascii="Book Antiqua" w:hAnsi="Book Antiqua"/>
          <w:sz w:val="22"/>
          <w:szCs w:val="22"/>
        </w:rPr>
      </w:pPr>
      <w:r w:rsidRPr="00BE66C9">
        <w:rPr>
          <w:rFonts w:ascii="Book Antiqua" w:hAnsi="Book Antiqua"/>
          <w:b/>
          <w:sz w:val="22"/>
          <w:szCs w:val="22"/>
        </w:rPr>
        <w:t xml:space="preserve">Zámerom predloženého návrhu zákona </w:t>
      </w:r>
      <w:r w:rsidRPr="00BE66C9" w:rsidR="00BE66C9">
        <w:rPr>
          <w:rFonts w:ascii="Book Antiqua" w:hAnsi="Book Antiqua"/>
          <w:b/>
          <w:sz w:val="22"/>
          <w:szCs w:val="22"/>
        </w:rPr>
        <w:t xml:space="preserve">je povinnosť NKÚ vykonať </w:t>
      </w:r>
      <w:r w:rsidRPr="00BE66C9">
        <w:rPr>
          <w:rFonts w:ascii="Book Antiqua" w:hAnsi="Book Antiqua"/>
          <w:b/>
          <w:sz w:val="22"/>
          <w:szCs w:val="22"/>
        </w:rPr>
        <w:t>aspoň 5 kontrol ročne navrhnutých NR SR, pričom aspoň dva návrhy na vykonanie kontroly budú vychádzať z iniciatívy vládnych poslancov a aspoň tri návrhy budú vychádzať z iniciatívy ostatných poslancov, teda poslancov opozície</w:t>
      </w:r>
      <w:r w:rsidRPr="00BE66C9">
        <w:rPr>
          <w:rFonts w:ascii="Book Antiqua" w:hAnsi="Book Antiqua"/>
          <w:sz w:val="22"/>
          <w:szCs w:val="22"/>
        </w:rPr>
        <w:t>. Navrhnutý model tzv. záväzných podnetov funguje napríklad v Slovinsku.</w:t>
      </w:r>
    </w:p>
    <w:p w:rsidR="008E6916" w:rsidRPr="00BE66C9">
      <w:pPr>
        <w:pStyle w:val="NormalWeb"/>
        <w:bidi w:val="0"/>
        <w:spacing w:before="120" w:after="0" w:line="276" w:lineRule="auto"/>
        <w:jc w:val="both"/>
        <w:rPr>
          <w:rFonts w:ascii="Book Antiqua" w:hAnsi="Book Antiqua"/>
          <w:sz w:val="22"/>
          <w:szCs w:val="22"/>
        </w:rPr>
      </w:pPr>
      <w:r w:rsidRPr="00BE66C9">
        <w:rPr>
          <w:rFonts w:ascii="Book Antiqua" w:hAnsi="Book Antiqua"/>
          <w:sz w:val="22"/>
          <w:szCs w:val="22"/>
          <w:u w:val="single"/>
        </w:rPr>
        <w:t>K bodu 2</w:t>
      </w:r>
    </w:p>
    <w:p w:rsidR="008E6916" w:rsidRPr="00BE66C9">
      <w:pPr>
        <w:bidi w:val="0"/>
        <w:spacing w:before="120" w:line="276" w:lineRule="auto"/>
        <w:jc w:val="both"/>
        <w:rPr>
          <w:rFonts w:ascii="Book Antiqua" w:hAnsi="Book Antiqua"/>
          <w:sz w:val="22"/>
          <w:szCs w:val="22"/>
        </w:rPr>
      </w:pPr>
      <w:r w:rsidRPr="00BE66C9">
        <w:rPr>
          <w:rFonts w:ascii="Book Antiqua" w:hAnsi="Book Antiqua"/>
          <w:b/>
          <w:sz w:val="22"/>
          <w:szCs w:val="22"/>
        </w:rPr>
        <w:tab/>
      </w:r>
      <w:r w:rsidRPr="00BE66C9">
        <w:rPr>
          <w:rFonts w:ascii="Book Antiqua" w:hAnsi="Book Antiqua"/>
          <w:sz w:val="22"/>
          <w:szCs w:val="22"/>
        </w:rPr>
        <w:t xml:space="preserve">Posledná voľba nového predsedu NKÚ poukázala na systémové chyby v mechanizme voľby a možnosti zablokovania procesu výberového konania na niekoľko rokov. Zároveň vzniesla pochybnosti o nezávislosti predsedu NKÚ, keď sa jeho pozícia stala </w:t>
      </w:r>
      <w:r w:rsidR="00BE66C9">
        <w:rPr>
          <w:rFonts w:ascii="Book Antiqua" w:hAnsi="Book Antiqua"/>
          <w:sz w:val="22"/>
          <w:szCs w:val="22"/>
        </w:rPr>
        <w:t>zdrojom politického „obchodovania</w:t>
      </w:r>
      <w:r w:rsidRPr="00BE66C9">
        <w:rPr>
          <w:rFonts w:ascii="Book Antiqua" w:hAnsi="Book Antiqua"/>
          <w:sz w:val="22"/>
          <w:szCs w:val="22"/>
        </w:rPr>
        <w:t>“.</w:t>
      </w:r>
    </w:p>
    <w:p w:rsidR="008E6916" w:rsidRPr="00BE66C9" w:rsidP="00BE66C9">
      <w:pPr>
        <w:bidi w:val="0"/>
        <w:spacing w:before="120" w:line="276" w:lineRule="auto"/>
        <w:ind w:firstLine="708"/>
        <w:jc w:val="both"/>
        <w:rPr>
          <w:rFonts w:ascii="Book Antiqua" w:hAnsi="Book Antiqua"/>
          <w:sz w:val="22"/>
          <w:szCs w:val="22"/>
        </w:rPr>
      </w:pPr>
      <w:r w:rsidRPr="00BE66C9">
        <w:rPr>
          <w:rFonts w:ascii="Book Antiqua" w:hAnsi="Book Antiqua"/>
          <w:sz w:val="22"/>
          <w:szCs w:val="22"/>
        </w:rPr>
        <w:t xml:space="preserve">Predseda NKÚ nemá byť ani opozičný ani koaličný, ale nezávislý, a preto je potrebné znížiť vplyv politického rozhodovania pri jeho voľbe. V prípade voľby predsedu a podpredsedov NKÚ preto </w:t>
      </w:r>
      <w:r w:rsidRPr="00BE66C9">
        <w:rPr>
          <w:rFonts w:ascii="Book Antiqua" w:hAnsi="Book Antiqua"/>
          <w:b/>
          <w:sz w:val="22"/>
          <w:szCs w:val="22"/>
        </w:rPr>
        <w:t>navrhujeme zmeniť systém výberového konania tak, aby kandidátov</w:t>
      </w:r>
      <w:r w:rsidRPr="00BE66C9">
        <w:rPr>
          <w:rFonts w:ascii="Book Antiqua" w:hAnsi="Book Antiqua"/>
          <w:sz w:val="22"/>
          <w:szCs w:val="22"/>
        </w:rPr>
        <w:t xml:space="preserve"> predkladala NR SR </w:t>
      </w:r>
      <w:r w:rsidR="00BE66C9">
        <w:rPr>
          <w:rFonts w:ascii="Book Antiqua" w:hAnsi="Book Antiqua"/>
          <w:b/>
          <w:sz w:val="22"/>
          <w:szCs w:val="22"/>
        </w:rPr>
        <w:t>nezávislá na tento účel zriadená</w:t>
      </w:r>
      <w:r w:rsidRPr="00BE66C9">
        <w:rPr>
          <w:rFonts w:ascii="Book Antiqua" w:hAnsi="Book Antiqua"/>
          <w:b/>
          <w:sz w:val="22"/>
          <w:szCs w:val="22"/>
        </w:rPr>
        <w:t xml:space="preserve"> Komisia pre voľbu predse</w:t>
      </w:r>
      <w:r w:rsidR="00BE66C9">
        <w:rPr>
          <w:rFonts w:ascii="Book Antiqua" w:hAnsi="Book Antiqua"/>
          <w:b/>
          <w:sz w:val="22"/>
          <w:szCs w:val="22"/>
        </w:rPr>
        <w:t>du a podpredsedov NKÚ (ďalej len</w:t>
      </w:r>
      <w:r w:rsidRPr="00BE66C9">
        <w:rPr>
          <w:rFonts w:ascii="Book Antiqua" w:hAnsi="Book Antiqua"/>
          <w:b/>
          <w:sz w:val="22"/>
          <w:szCs w:val="22"/>
        </w:rPr>
        <w:t xml:space="preserve"> „komisia“) </w:t>
      </w:r>
      <w:r w:rsidRPr="00BE66C9">
        <w:rPr>
          <w:rFonts w:ascii="Book Antiqua" w:hAnsi="Book Antiqua"/>
          <w:sz w:val="22"/>
          <w:szCs w:val="22"/>
        </w:rPr>
        <w:t>(nie poslanci NR SR)</w:t>
      </w:r>
      <w:r w:rsidRPr="00BE66C9">
        <w:rPr>
          <w:rFonts w:ascii="Book Antiqua" w:hAnsi="Book Antiqua"/>
          <w:b/>
          <w:sz w:val="22"/>
          <w:szCs w:val="22"/>
        </w:rPr>
        <w:t xml:space="preserve"> a NR SR volila</w:t>
      </w:r>
      <w:r w:rsidRPr="00BE66C9">
        <w:rPr>
          <w:rFonts w:ascii="Book Antiqua" w:hAnsi="Book Antiqua"/>
          <w:sz w:val="22"/>
          <w:szCs w:val="22"/>
        </w:rPr>
        <w:t xml:space="preserve"> predsedu NKÚ a podpredsedov NKÚ </w:t>
      </w:r>
      <w:r w:rsidRPr="00BE66C9">
        <w:rPr>
          <w:rFonts w:ascii="Book Antiqua" w:hAnsi="Book Antiqua"/>
          <w:b/>
          <w:sz w:val="22"/>
          <w:szCs w:val="22"/>
        </w:rPr>
        <w:t>z aspoň dvoch najlepších kandidátov na základe odporúčania uvedenej komisie</w:t>
      </w:r>
      <w:r w:rsidRPr="00BE66C9">
        <w:rPr>
          <w:rFonts w:ascii="Book Antiqua" w:hAnsi="Book Antiqua"/>
          <w:sz w:val="22"/>
          <w:szCs w:val="22"/>
        </w:rPr>
        <w:t>.</w:t>
      </w:r>
    </w:p>
    <w:p w:rsidR="008E6916" w:rsidRPr="00BE66C9">
      <w:pPr>
        <w:bidi w:val="0"/>
        <w:spacing w:before="120" w:line="276" w:lineRule="auto"/>
        <w:ind w:firstLine="708"/>
        <w:jc w:val="both"/>
        <w:rPr>
          <w:rFonts w:ascii="Book Antiqua" w:hAnsi="Book Antiqua"/>
          <w:sz w:val="22"/>
          <w:szCs w:val="22"/>
        </w:rPr>
      </w:pPr>
      <w:r w:rsidRPr="00BE66C9">
        <w:rPr>
          <w:rFonts w:ascii="Book Antiqua" w:hAnsi="Book Antiqua"/>
          <w:sz w:val="22"/>
          <w:szCs w:val="22"/>
        </w:rPr>
        <w:t xml:space="preserve">Zmena systému voľby predsedu NKÚ vyplýva z účelu výberového konania, ktorým by malo byť overenie predpokladov a schopností zabezpečiť riadny výkon kontrolnej činnosti a správy úradu. Navrhujeme, aby bolo konanie otvorené všetkým uchádzačom o funkciu, ktorí spĺňajú kvalifikačné kritériá a prebehlo transparentne a bez politických tlakov. </w:t>
      </w:r>
    </w:p>
    <w:p w:rsidR="008E6916" w:rsidRPr="00BE66C9">
      <w:pPr>
        <w:bidi w:val="0"/>
        <w:spacing w:before="120" w:line="276" w:lineRule="auto"/>
        <w:ind w:firstLine="708"/>
        <w:jc w:val="both"/>
        <w:rPr>
          <w:rFonts w:ascii="Book Antiqua" w:hAnsi="Book Antiqua"/>
          <w:sz w:val="22"/>
          <w:szCs w:val="22"/>
        </w:rPr>
      </w:pPr>
      <w:r w:rsidRPr="00BE66C9">
        <w:rPr>
          <w:rFonts w:ascii="Book Antiqua" w:hAnsi="Book Antiqua"/>
          <w:sz w:val="22"/>
          <w:szCs w:val="22"/>
        </w:rPr>
        <w:t xml:space="preserve">Domnievame sa, že tieto požiadavky napĺňa dvojstupňové výberové konanie, v ktorom by na prvej úrovni posudzovala kandidátov nezávislá komisia zložená zo siedmich členov, pričom jej zloženie má túto štruktúru: dvoch členov vymenúva a odvoláva Výbor </w:t>
      </w:r>
      <w:r w:rsidR="00BE66C9">
        <w:rPr>
          <w:rFonts w:ascii="Book Antiqua" w:hAnsi="Book Antiqua"/>
          <w:sz w:val="22"/>
          <w:szCs w:val="22"/>
        </w:rPr>
        <w:t xml:space="preserve">NR SR </w:t>
      </w:r>
      <w:r w:rsidRPr="00BE66C9">
        <w:rPr>
          <w:rFonts w:ascii="Book Antiqua" w:hAnsi="Book Antiqua"/>
          <w:sz w:val="22"/>
          <w:szCs w:val="22"/>
        </w:rPr>
        <w:t>pr</w:t>
      </w:r>
      <w:r w:rsidR="00BE66C9">
        <w:rPr>
          <w:rFonts w:ascii="Book Antiqua" w:hAnsi="Book Antiqua"/>
          <w:sz w:val="22"/>
          <w:szCs w:val="22"/>
        </w:rPr>
        <w:t xml:space="preserve">e najvyšší kontrolný úrad </w:t>
      </w:r>
      <w:r w:rsidRPr="00BE66C9">
        <w:rPr>
          <w:rFonts w:ascii="Book Antiqua" w:hAnsi="Book Antiqua"/>
          <w:sz w:val="22"/>
          <w:szCs w:val="22"/>
        </w:rPr>
        <w:t xml:space="preserve">zo svojich členov, dvoch členov vymenúva a odvoláva Slovenská komora audítorov, jedného člena vymenúva a odvoláva Finančné riaditeľstvo Slovenskej republiky, jedného člena vymenúva a odvoláva Generálna prokuratúra Slovenskej republiky, jedného člena vymenúva a odvoláva Rada vlády Slovenskej republiky pre mimovládne neziskové organizácie. Zasadnutie komisie zvoláva predseda NKÚ, ak by však zasadnutie komisie nezvolal v stanovených lehotách, komisia sa zíde a zasadne sama. Zoznam kandidátov s uvedením poradia jednotlivých uchádzačov a odporúčaním na dvoch najúspešnejších uchádzačov predloží komisia NR SR. </w:t>
      </w:r>
    </w:p>
    <w:p w:rsidR="008E6916" w:rsidRPr="00BE66C9">
      <w:pPr>
        <w:bidi w:val="0"/>
        <w:spacing w:before="120" w:line="276" w:lineRule="auto"/>
        <w:ind w:firstLine="708"/>
        <w:jc w:val="both"/>
        <w:rPr>
          <w:rFonts w:ascii="Book Antiqua" w:hAnsi="Book Antiqua"/>
          <w:sz w:val="22"/>
          <w:szCs w:val="22"/>
        </w:rPr>
      </w:pPr>
      <w:r w:rsidRPr="00BE66C9">
        <w:rPr>
          <w:rFonts w:ascii="Book Antiqua" w:hAnsi="Book Antiqua"/>
          <w:sz w:val="22"/>
          <w:szCs w:val="22"/>
        </w:rPr>
        <w:t>Transparentnosť výberového procesu je zvýraznená aj tým, že výzva na prihlásenie kandidátov bude zverejne</w:t>
      </w:r>
      <w:r w:rsidR="00BE66C9">
        <w:rPr>
          <w:rFonts w:ascii="Book Antiqua" w:hAnsi="Book Antiqua"/>
          <w:sz w:val="22"/>
          <w:szCs w:val="22"/>
        </w:rPr>
        <w:t>ná nielen na webovom sídle NKÚ</w:t>
      </w:r>
      <w:r w:rsidRPr="00BE66C9">
        <w:rPr>
          <w:rFonts w:ascii="Book Antiqua" w:hAnsi="Book Antiqua"/>
          <w:sz w:val="22"/>
          <w:szCs w:val="22"/>
        </w:rPr>
        <w:t>, ale aj v denníku s celoštátnou pôsobnosťou. Podrobnosti fungovania komisie, vrátane vyhodnocovania kandidátov, upraví Štatút komisie, ktorý podlieha schváleniu NKÚ.</w:t>
      </w:r>
    </w:p>
    <w:p w:rsidR="008E6916" w:rsidRPr="00BE66C9">
      <w:pPr>
        <w:pStyle w:val="NormalWeb"/>
        <w:bidi w:val="0"/>
        <w:spacing w:before="120" w:after="0" w:line="276" w:lineRule="auto"/>
        <w:jc w:val="both"/>
        <w:rPr>
          <w:rFonts w:ascii="Book Antiqua" w:hAnsi="Book Antiqua"/>
          <w:sz w:val="22"/>
          <w:szCs w:val="22"/>
        </w:rPr>
      </w:pPr>
      <w:r w:rsidRPr="00BE66C9">
        <w:rPr>
          <w:rFonts w:ascii="Book Antiqua" w:hAnsi="Book Antiqua"/>
          <w:sz w:val="22"/>
          <w:szCs w:val="22"/>
          <w:u w:val="single"/>
        </w:rPr>
        <w:t>K bodu 3</w:t>
      </w:r>
    </w:p>
    <w:p w:rsidR="008E6916" w:rsidRPr="00BE66C9">
      <w:pPr>
        <w:pStyle w:val="NormalWeb"/>
        <w:bidi w:val="0"/>
        <w:spacing w:before="120" w:after="0" w:line="276" w:lineRule="auto"/>
        <w:jc w:val="both"/>
        <w:rPr>
          <w:rFonts w:ascii="Book Antiqua" w:hAnsi="Book Antiqua"/>
          <w:sz w:val="22"/>
          <w:szCs w:val="22"/>
        </w:rPr>
      </w:pPr>
      <w:r w:rsidRPr="00BE66C9">
        <w:rPr>
          <w:rFonts w:ascii="Book Antiqua" w:hAnsi="Book Antiqua"/>
          <w:b/>
          <w:sz w:val="22"/>
          <w:szCs w:val="22"/>
        </w:rPr>
        <w:tab/>
      </w:r>
      <w:r w:rsidRPr="00BE66C9">
        <w:rPr>
          <w:rFonts w:ascii="Book Antiqua" w:hAnsi="Book Antiqua"/>
          <w:sz w:val="22"/>
          <w:szCs w:val="22"/>
        </w:rPr>
        <w:t>V zmysle Ústav</w:t>
      </w:r>
      <w:r w:rsidR="00BE66C9">
        <w:rPr>
          <w:rFonts w:ascii="Book Antiqua" w:hAnsi="Book Antiqua"/>
          <w:sz w:val="22"/>
          <w:szCs w:val="22"/>
        </w:rPr>
        <w:t>y Slovenskej republiky a </w:t>
      </w:r>
      <w:r w:rsidRPr="00BE66C9">
        <w:rPr>
          <w:rFonts w:ascii="Book Antiqua" w:hAnsi="Book Antiqua"/>
          <w:sz w:val="22"/>
          <w:szCs w:val="22"/>
        </w:rPr>
        <w:t>zákona o Najvyššom kontrolnom úrade Slovenskej republiky, môže byť za predsedu NKÚ zvolený každý občan s trvalým pobytom v Slovenskej republike, ktorý v deň volieb dovŕši 21 rokov veku. Domnievame sa, že takto nastavené kritériá na predsedu NKÚ nezaručujú zvolenie kandidáta s potrebnou kvalifikáciou a skúsenosťami.</w:t>
      </w:r>
    </w:p>
    <w:p w:rsidR="008E6916" w:rsidRPr="00BE66C9">
      <w:pPr>
        <w:pStyle w:val="NormalWeb"/>
        <w:bidi w:val="0"/>
        <w:spacing w:before="120" w:after="0" w:line="276" w:lineRule="auto"/>
        <w:ind w:firstLine="708"/>
        <w:jc w:val="both"/>
        <w:rPr>
          <w:rFonts w:ascii="Book Antiqua" w:hAnsi="Book Antiqua"/>
          <w:sz w:val="22"/>
          <w:szCs w:val="22"/>
        </w:rPr>
      </w:pPr>
      <w:r w:rsidRPr="00BE66C9">
        <w:rPr>
          <w:rFonts w:ascii="Book Antiqua" w:hAnsi="Book Antiqua"/>
          <w:b/>
          <w:sz w:val="22"/>
          <w:szCs w:val="22"/>
        </w:rPr>
        <w:t xml:space="preserve">Cieľom návrhu zákona je sprísnenie kvalifikačných predpokladov, </w:t>
      </w:r>
      <w:r w:rsidRPr="00BE66C9">
        <w:rPr>
          <w:rFonts w:ascii="Book Antiqua" w:hAnsi="Book Antiqua"/>
          <w:sz w:val="22"/>
          <w:szCs w:val="22"/>
        </w:rPr>
        <w:t>ktoré kandidát na post</w:t>
      </w:r>
      <w:r w:rsidRPr="00BE66C9">
        <w:rPr>
          <w:rFonts w:ascii="Book Antiqua" w:hAnsi="Book Antiqua"/>
          <w:b/>
          <w:sz w:val="22"/>
          <w:szCs w:val="22"/>
        </w:rPr>
        <w:t xml:space="preserve"> </w:t>
      </w:r>
      <w:r w:rsidRPr="00BE66C9">
        <w:rPr>
          <w:rFonts w:ascii="Book Antiqua" w:hAnsi="Book Antiqua"/>
          <w:sz w:val="22"/>
          <w:szCs w:val="22"/>
        </w:rPr>
        <w:t>predsedu NKÚ ale</w:t>
      </w:r>
      <w:r w:rsidR="00BE66C9">
        <w:rPr>
          <w:rFonts w:ascii="Book Antiqua" w:hAnsi="Book Antiqua"/>
          <w:sz w:val="22"/>
          <w:szCs w:val="22"/>
        </w:rPr>
        <w:t>bo podpredsedu NKÚ musí spĺňať, a to o požiadavku vysokoškolského vzdelania druhého stupňa, odbornej praxe a politickej nezávislosti.</w:t>
      </w:r>
    </w:p>
    <w:p w:rsidR="008E6916" w:rsidRPr="00BE66C9">
      <w:pPr>
        <w:pStyle w:val="NormalWeb"/>
        <w:bidi w:val="0"/>
        <w:spacing w:before="120" w:after="0" w:line="276" w:lineRule="auto"/>
        <w:jc w:val="both"/>
        <w:rPr>
          <w:rFonts w:ascii="Book Antiqua" w:hAnsi="Book Antiqua"/>
          <w:sz w:val="22"/>
          <w:szCs w:val="22"/>
        </w:rPr>
      </w:pPr>
      <w:r w:rsidRPr="00BE66C9">
        <w:rPr>
          <w:rFonts w:ascii="Book Antiqua" w:hAnsi="Book Antiqua"/>
          <w:sz w:val="22"/>
          <w:szCs w:val="22"/>
          <w:u w:val="single"/>
        </w:rPr>
        <w:t>K bodu 4</w:t>
      </w:r>
    </w:p>
    <w:p w:rsidR="008E6916" w:rsidRPr="00BE66C9">
      <w:pPr>
        <w:pStyle w:val="NormalWeb"/>
        <w:bidi w:val="0"/>
        <w:spacing w:before="120" w:after="0" w:line="276" w:lineRule="auto"/>
        <w:ind w:firstLine="708"/>
        <w:jc w:val="both"/>
        <w:rPr>
          <w:rFonts w:ascii="Book Antiqua" w:hAnsi="Book Antiqua"/>
          <w:sz w:val="22"/>
          <w:szCs w:val="22"/>
        </w:rPr>
      </w:pPr>
      <w:r w:rsidRPr="00BE66C9">
        <w:rPr>
          <w:rFonts w:ascii="Book Antiqua" w:hAnsi="Book Antiqua"/>
          <w:sz w:val="22"/>
          <w:szCs w:val="22"/>
        </w:rPr>
        <w:t>Ide o legislatívno-technickú úpravu súvisiacu s</w:t>
      </w:r>
      <w:r w:rsidR="00BE66C9">
        <w:rPr>
          <w:rFonts w:ascii="Book Antiqua" w:hAnsi="Book Antiqua"/>
          <w:sz w:val="22"/>
          <w:szCs w:val="22"/>
        </w:rPr>
        <w:t xml:space="preserve"> Čl. I </w:t>
      </w:r>
      <w:r w:rsidRPr="00BE66C9">
        <w:rPr>
          <w:rFonts w:ascii="Book Antiqua" w:hAnsi="Book Antiqua"/>
          <w:sz w:val="22"/>
          <w:szCs w:val="22"/>
        </w:rPr>
        <w:t>bodom 3</w:t>
      </w:r>
      <w:r w:rsidR="00BE66C9">
        <w:rPr>
          <w:rFonts w:ascii="Book Antiqua" w:hAnsi="Book Antiqua"/>
          <w:sz w:val="22"/>
          <w:szCs w:val="22"/>
        </w:rPr>
        <w:t xml:space="preserve"> tohto návrhu zákona</w:t>
      </w:r>
      <w:r w:rsidRPr="00BE66C9">
        <w:rPr>
          <w:rFonts w:ascii="Book Antiqua" w:hAnsi="Book Antiqua"/>
          <w:sz w:val="22"/>
          <w:szCs w:val="22"/>
        </w:rPr>
        <w:t>.</w:t>
      </w:r>
    </w:p>
    <w:p w:rsidR="008E6916" w:rsidRPr="00BE66C9">
      <w:pPr>
        <w:pStyle w:val="NormalWeb"/>
        <w:bidi w:val="0"/>
        <w:spacing w:before="120" w:after="0" w:line="276" w:lineRule="auto"/>
        <w:jc w:val="both"/>
        <w:rPr>
          <w:rFonts w:ascii="Book Antiqua" w:hAnsi="Book Antiqua"/>
          <w:sz w:val="22"/>
          <w:szCs w:val="22"/>
        </w:rPr>
      </w:pPr>
      <w:r w:rsidRPr="00BE66C9">
        <w:rPr>
          <w:rFonts w:ascii="Book Antiqua" w:hAnsi="Book Antiqua"/>
          <w:sz w:val="22"/>
          <w:szCs w:val="22"/>
          <w:u w:val="single"/>
        </w:rPr>
        <w:t>K bodu 5</w:t>
      </w:r>
    </w:p>
    <w:p w:rsidR="008E6916" w:rsidRPr="00BE66C9">
      <w:pPr>
        <w:bidi w:val="0"/>
        <w:spacing w:before="120" w:line="276" w:lineRule="auto"/>
        <w:jc w:val="both"/>
        <w:rPr>
          <w:rFonts w:ascii="Book Antiqua" w:hAnsi="Book Antiqua"/>
          <w:sz w:val="22"/>
          <w:szCs w:val="22"/>
        </w:rPr>
      </w:pPr>
      <w:r w:rsidRPr="00BE66C9">
        <w:rPr>
          <w:rFonts w:ascii="Book Antiqua" w:hAnsi="Book Antiqua"/>
          <w:b/>
          <w:sz w:val="22"/>
          <w:szCs w:val="22"/>
        </w:rPr>
        <w:tab/>
      </w:r>
      <w:r w:rsidRPr="00BE66C9">
        <w:rPr>
          <w:rFonts w:ascii="Book Antiqua" w:hAnsi="Book Antiqua"/>
          <w:sz w:val="22"/>
          <w:szCs w:val="22"/>
        </w:rPr>
        <w:t xml:space="preserve">Oprávnenie predsedu NKÚ SR zúčastniť sa na rokovaniach vlády bolo obmedzené v roku 2010. </w:t>
      </w:r>
    </w:p>
    <w:p w:rsidR="008E6916" w:rsidRPr="00BE66C9">
      <w:pPr>
        <w:bidi w:val="0"/>
        <w:spacing w:before="120" w:line="276" w:lineRule="auto"/>
        <w:ind w:firstLine="708"/>
        <w:jc w:val="both"/>
        <w:rPr>
          <w:rFonts w:ascii="Book Antiqua" w:hAnsi="Book Antiqua"/>
          <w:sz w:val="22"/>
          <w:szCs w:val="22"/>
        </w:rPr>
      </w:pPr>
      <w:r w:rsidRPr="00BE66C9">
        <w:rPr>
          <w:rFonts w:ascii="Book Antiqua" w:hAnsi="Book Antiqua"/>
          <w:b/>
          <w:sz w:val="22"/>
          <w:szCs w:val="22"/>
        </w:rPr>
        <w:t>Cieľom návrhu zákona je</w:t>
      </w:r>
      <w:r w:rsidRPr="00BE66C9">
        <w:rPr>
          <w:rFonts w:ascii="Book Antiqua" w:hAnsi="Book Antiqua"/>
          <w:sz w:val="22"/>
          <w:szCs w:val="22"/>
        </w:rPr>
        <w:t xml:space="preserve"> </w:t>
      </w:r>
      <w:r w:rsidRPr="00BE66C9">
        <w:rPr>
          <w:rFonts w:ascii="Book Antiqua" w:hAnsi="Book Antiqua"/>
          <w:b/>
          <w:sz w:val="22"/>
          <w:szCs w:val="22"/>
        </w:rPr>
        <w:t>opätovné zavedenie možnosti predsedu NKÚ zúčastniť sa na rokovaniach vlády a doplnenie povinnosti predsedu NKÚ zúčastniť sa na rokovaniach vlády</w:t>
      </w:r>
      <w:r w:rsidR="00BE66C9">
        <w:rPr>
          <w:rFonts w:ascii="Book Antiqua" w:hAnsi="Book Antiqua"/>
          <w:sz w:val="22"/>
          <w:szCs w:val="22"/>
        </w:rPr>
        <w:t xml:space="preserve"> na základe jej pozvania</w:t>
      </w:r>
      <w:r w:rsidRPr="00BE66C9">
        <w:rPr>
          <w:rFonts w:ascii="Book Antiqua" w:hAnsi="Book Antiqua"/>
          <w:sz w:val="22"/>
          <w:szCs w:val="22"/>
        </w:rPr>
        <w:t xml:space="preserve">, ak sú v programe rokovania zaradené kontrolné závery úradu alebo stanoviská príslušných orgánov ku kontrolným záverom. </w:t>
      </w:r>
    </w:p>
    <w:p w:rsidR="008E6916" w:rsidRPr="00BE66C9">
      <w:pPr>
        <w:bidi w:val="0"/>
        <w:spacing w:before="120" w:line="276" w:lineRule="auto"/>
        <w:ind w:firstLine="708"/>
        <w:jc w:val="both"/>
        <w:rPr>
          <w:rFonts w:ascii="Book Antiqua" w:hAnsi="Book Antiqua"/>
          <w:sz w:val="22"/>
          <w:szCs w:val="22"/>
        </w:rPr>
      </w:pPr>
      <w:r w:rsidRPr="00BE66C9">
        <w:rPr>
          <w:rFonts w:ascii="Book Antiqua" w:hAnsi="Book Antiqua"/>
          <w:sz w:val="22"/>
          <w:szCs w:val="22"/>
        </w:rPr>
        <w:t xml:space="preserve">Jeho účasť by mala prispieť ku kvalifikovanej diskusii na tému riešení, ku ktorým vláda SR zaviaže uznesením kontrolované subjekty vo svojej pôsobnosti. </w:t>
      </w:r>
    </w:p>
    <w:p w:rsidR="008E6916" w:rsidRPr="00BE66C9">
      <w:pPr>
        <w:pStyle w:val="NormalWeb"/>
        <w:bidi w:val="0"/>
        <w:spacing w:before="120" w:after="0" w:line="276" w:lineRule="auto"/>
        <w:jc w:val="both"/>
        <w:rPr>
          <w:rFonts w:ascii="Book Antiqua" w:hAnsi="Book Antiqua"/>
          <w:sz w:val="22"/>
          <w:szCs w:val="22"/>
        </w:rPr>
      </w:pPr>
      <w:r w:rsidR="004313BE">
        <w:rPr>
          <w:rFonts w:ascii="Book Antiqua" w:hAnsi="Book Antiqua"/>
          <w:sz w:val="22"/>
          <w:szCs w:val="22"/>
          <w:u w:val="single"/>
        </w:rPr>
        <w:t>K bodom 6 a 7</w:t>
      </w:r>
    </w:p>
    <w:p w:rsidR="008E6916" w:rsidRPr="00BE66C9">
      <w:pPr>
        <w:pStyle w:val="NormalWeb"/>
        <w:bidi w:val="0"/>
        <w:spacing w:before="120" w:after="0" w:line="276" w:lineRule="auto"/>
        <w:jc w:val="both"/>
        <w:rPr>
          <w:rFonts w:ascii="Book Antiqua" w:hAnsi="Book Antiqua"/>
          <w:sz w:val="22"/>
          <w:szCs w:val="22"/>
        </w:rPr>
      </w:pPr>
      <w:r w:rsidRPr="00BE66C9">
        <w:rPr>
          <w:rFonts w:ascii="Book Antiqua" w:hAnsi="Book Antiqua"/>
          <w:b/>
          <w:sz w:val="22"/>
          <w:szCs w:val="22"/>
        </w:rPr>
        <w:tab/>
      </w:r>
      <w:r w:rsidRPr="00BE66C9">
        <w:rPr>
          <w:rFonts w:ascii="Book Antiqua" w:hAnsi="Book Antiqua"/>
          <w:sz w:val="22"/>
          <w:szCs w:val="22"/>
        </w:rPr>
        <w:t>Ide o legislatívno-technickú úpravu súvisiacu s</w:t>
      </w:r>
      <w:r w:rsidR="00BE66C9">
        <w:rPr>
          <w:rFonts w:ascii="Book Antiqua" w:hAnsi="Book Antiqua"/>
          <w:sz w:val="22"/>
          <w:szCs w:val="22"/>
        </w:rPr>
        <w:t> Čl. I</w:t>
      </w:r>
      <w:r w:rsidR="004313BE">
        <w:rPr>
          <w:rFonts w:ascii="Book Antiqua" w:hAnsi="Book Antiqua"/>
          <w:sz w:val="22"/>
          <w:szCs w:val="22"/>
        </w:rPr>
        <w:t> bodmi 8 a 9</w:t>
      </w:r>
      <w:r w:rsidR="00BE66C9">
        <w:rPr>
          <w:rFonts w:ascii="Book Antiqua" w:hAnsi="Book Antiqua"/>
          <w:sz w:val="22"/>
          <w:szCs w:val="22"/>
        </w:rPr>
        <w:t xml:space="preserve"> tohto návrhu zákona</w:t>
      </w:r>
      <w:r w:rsidRPr="00BE66C9">
        <w:rPr>
          <w:rFonts w:ascii="Book Antiqua" w:hAnsi="Book Antiqua"/>
          <w:sz w:val="22"/>
          <w:szCs w:val="22"/>
        </w:rPr>
        <w:t>.</w:t>
      </w:r>
    </w:p>
    <w:p w:rsidR="008E6916" w:rsidRPr="00BE66C9">
      <w:pPr>
        <w:pStyle w:val="NormalWeb"/>
        <w:bidi w:val="0"/>
        <w:spacing w:before="120" w:after="0" w:line="276" w:lineRule="auto"/>
        <w:jc w:val="both"/>
        <w:rPr>
          <w:rFonts w:ascii="Book Antiqua" w:hAnsi="Book Antiqua"/>
          <w:sz w:val="22"/>
          <w:szCs w:val="22"/>
        </w:rPr>
      </w:pPr>
      <w:r w:rsidRPr="00BE66C9" w:rsidR="004313BE">
        <w:rPr>
          <w:rFonts w:ascii="Book Antiqua" w:hAnsi="Book Antiqua"/>
          <w:sz w:val="22"/>
          <w:szCs w:val="22"/>
          <w:u w:val="single"/>
        </w:rPr>
        <w:t>K bodom 8 a 9</w:t>
      </w:r>
    </w:p>
    <w:p w:rsidR="008E6916" w:rsidRPr="00BE66C9" w:rsidP="004313BE">
      <w:pPr>
        <w:bidi w:val="0"/>
        <w:spacing w:before="120" w:line="276" w:lineRule="auto"/>
        <w:ind w:firstLine="708"/>
        <w:jc w:val="both"/>
        <w:rPr>
          <w:rFonts w:ascii="Book Antiqua" w:hAnsi="Book Antiqua"/>
          <w:sz w:val="22"/>
          <w:szCs w:val="22"/>
        </w:rPr>
      </w:pPr>
      <w:r w:rsidRPr="00BE66C9">
        <w:rPr>
          <w:rFonts w:ascii="Book Antiqua" w:hAnsi="Book Antiqua"/>
          <w:b/>
          <w:sz w:val="22"/>
          <w:szCs w:val="22"/>
        </w:rPr>
        <w:t>Cieľom návrhu zákona je zavedenie jednotného formátu výstupu z kontrol</w:t>
      </w:r>
      <w:r w:rsidRPr="00BE66C9">
        <w:rPr>
          <w:rFonts w:ascii="Book Antiqua" w:hAnsi="Book Antiqua"/>
          <w:sz w:val="22"/>
          <w:szCs w:val="22"/>
        </w:rPr>
        <w:t>. Výstupom, ktorý bude vydávaný v štandardizovanom formáte po každej ukončenej kontrole bude „protokol o výsledku kontroly“. Príkladom dobrej praxe zo zahraničia je Česká republika, v ktorej sa o každej uskutočnenej kontrole vypracováva spomínaný protokol.</w:t>
      </w:r>
      <w:r w:rsidR="004313BE">
        <w:rPr>
          <w:rFonts w:ascii="Book Antiqua" w:hAnsi="Book Antiqua"/>
          <w:sz w:val="22"/>
          <w:szCs w:val="22"/>
        </w:rPr>
        <w:t xml:space="preserve"> </w:t>
      </w:r>
      <w:r w:rsidRPr="00BE66C9">
        <w:rPr>
          <w:rFonts w:ascii="Book Antiqua" w:hAnsi="Book Antiqua"/>
          <w:sz w:val="22"/>
          <w:szCs w:val="22"/>
        </w:rPr>
        <w:t>V záujme hospodárnosti kontroly, sa navrhuje len jednoduché odovzdanie protokolu kontrolovanému subjektu, bez potreby prerokovania protokolu o výsledku kontroly, ak kontrolou ne</w:t>
      </w:r>
      <w:r w:rsidR="00BE66C9">
        <w:rPr>
          <w:rFonts w:ascii="Book Antiqua" w:hAnsi="Book Antiqua"/>
          <w:sz w:val="22"/>
          <w:szCs w:val="22"/>
        </w:rPr>
        <w:t>boli zistené žiadne pochybenia.</w:t>
      </w:r>
    </w:p>
    <w:p w:rsidR="004313BE">
      <w:pPr>
        <w:pStyle w:val="NormalWeb"/>
        <w:bidi w:val="0"/>
        <w:spacing w:before="120" w:after="0" w:line="276" w:lineRule="auto"/>
        <w:jc w:val="both"/>
        <w:rPr>
          <w:rFonts w:ascii="Book Antiqua" w:hAnsi="Book Antiqua"/>
          <w:sz w:val="22"/>
          <w:szCs w:val="22"/>
          <w:u w:val="single"/>
        </w:rPr>
      </w:pPr>
    </w:p>
    <w:p w:rsidR="004313BE">
      <w:pPr>
        <w:pStyle w:val="NormalWeb"/>
        <w:bidi w:val="0"/>
        <w:spacing w:before="120" w:after="0" w:line="276" w:lineRule="auto"/>
        <w:jc w:val="both"/>
        <w:rPr>
          <w:rFonts w:ascii="Book Antiqua" w:hAnsi="Book Antiqua"/>
          <w:sz w:val="22"/>
          <w:szCs w:val="22"/>
          <w:u w:val="single"/>
        </w:rPr>
      </w:pPr>
      <w:r>
        <w:rPr>
          <w:rFonts w:ascii="Book Antiqua" w:hAnsi="Book Antiqua"/>
          <w:sz w:val="22"/>
          <w:szCs w:val="22"/>
          <w:u w:val="single"/>
        </w:rPr>
        <w:t>K bodu 10</w:t>
      </w:r>
    </w:p>
    <w:p w:rsidR="004313BE">
      <w:pPr>
        <w:pStyle w:val="NormalWeb"/>
        <w:bidi w:val="0"/>
        <w:spacing w:before="120" w:after="0" w:line="276" w:lineRule="auto"/>
        <w:jc w:val="both"/>
        <w:rPr>
          <w:rFonts w:ascii="Book Antiqua" w:hAnsi="Book Antiqua"/>
          <w:sz w:val="22"/>
          <w:szCs w:val="22"/>
          <w:u w:val="single"/>
        </w:rPr>
      </w:pPr>
      <w:r w:rsidRPr="00BE66C9">
        <w:rPr>
          <w:rFonts w:ascii="Book Antiqua" w:hAnsi="Book Antiqua"/>
          <w:sz w:val="22"/>
          <w:szCs w:val="22"/>
        </w:rPr>
        <w:t>Ide o legislatívno-technickú úpravu súvisiacu s</w:t>
      </w:r>
      <w:r>
        <w:rPr>
          <w:rFonts w:ascii="Book Antiqua" w:hAnsi="Book Antiqua"/>
          <w:sz w:val="22"/>
          <w:szCs w:val="22"/>
        </w:rPr>
        <w:t> Čl. I bodom 13 tohto návrhu zákona</w:t>
      </w:r>
      <w:r w:rsidRPr="00BE66C9">
        <w:rPr>
          <w:rFonts w:ascii="Book Antiqua" w:hAnsi="Book Antiqua"/>
          <w:sz w:val="22"/>
          <w:szCs w:val="22"/>
        </w:rPr>
        <w:t>.</w:t>
      </w:r>
    </w:p>
    <w:p w:rsidR="008E6916" w:rsidRPr="00BE66C9">
      <w:pPr>
        <w:pStyle w:val="NormalWeb"/>
        <w:bidi w:val="0"/>
        <w:spacing w:before="120" w:after="0" w:line="276" w:lineRule="auto"/>
        <w:jc w:val="both"/>
        <w:rPr>
          <w:rFonts w:ascii="Book Antiqua" w:hAnsi="Book Antiqua"/>
          <w:sz w:val="22"/>
          <w:szCs w:val="22"/>
        </w:rPr>
      </w:pPr>
      <w:r w:rsidR="004313BE">
        <w:rPr>
          <w:rFonts w:ascii="Book Antiqua" w:hAnsi="Book Antiqua"/>
          <w:sz w:val="22"/>
          <w:szCs w:val="22"/>
          <w:u w:val="single"/>
        </w:rPr>
        <w:t>K bodu 11</w:t>
      </w:r>
    </w:p>
    <w:p w:rsidR="008E6916" w:rsidRPr="00BE66C9">
      <w:pPr>
        <w:bidi w:val="0"/>
        <w:spacing w:before="120" w:line="276" w:lineRule="auto"/>
        <w:ind w:firstLine="708"/>
        <w:jc w:val="both"/>
        <w:rPr>
          <w:rFonts w:ascii="Book Antiqua" w:hAnsi="Book Antiqua"/>
          <w:sz w:val="22"/>
          <w:szCs w:val="22"/>
        </w:rPr>
      </w:pPr>
      <w:r w:rsidRPr="00BE66C9">
        <w:rPr>
          <w:rFonts w:ascii="Book Antiqua" w:hAnsi="Book Antiqua"/>
          <w:sz w:val="22"/>
          <w:szCs w:val="22"/>
        </w:rPr>
        <w:t xml:space="preserve"> </w:t>
      </w:r>
      <w:r w:rsidR="00BE66C9">
        <w:rPr>
          <w:rFonts w:ascii="Book Antiqua" w:hAnsi="Book Antiqua"/>
          <w:b/>
          <w:sz w:val="22"/>
          <w:szCs w:val="22"/>
        </w:rPr>
        <w:t>Navrhuje sa</w:t>
      </w:r>
      <w:r w:rsidRPr="00BE66C9">
        <w:rPr>
          <w:rFonts w:ascii="Book Antiqua" w:hAnsi="Book Antiqua"/>
          <w:b/>
          <w:sz w:val="22"/>
          <w:szCs w:val="22"/>
        </w:rPr>
        <w:t xml:space="preserve"> zaviesť explicitnú povinnosť NKÚ upozorniť orgány činné v trestnom konaní vždy, keď na základe výsledkov kontrolnej činnosti existuje dôvodné podozrenie na spáchanie trestného činu</w:t>
      </w:r>
      <w:r w:rsidRPr="00BE66C9">
        <w:rPr>
          <w:rFonts w:ascii="Book Antiqua" w:hAnsi="Book Antiqua"/>
          <w:sz w:val="22"/>
          <w:szCs w:val="22"/>
        </w:rPr>
        <w:t xml:space="preserve">. </w:t>
      </w:r>
    </w:p>
    <w:p w:rsidR="008E6916" w:rsidRPr="00BE66C9" w:rsidP="004313BE">
      <w:pPr>
        <w:bidi w:val="0"/>
        <w:spacing w:before="120" w:line="276" w:lineRule="auto"/>
        <w:ind w:firstLine="708"/>
        <w:jc w:val="both"/>
        <w:rPr>
          <w:rFonts w:ascii="Book Antiqua" w:hAnsi="Book Antiqua"/>
          <w:sz w:val="22"/>
          <w:szCs w:val="22"/>
        </w:rPr>
      </w:pPr>
      <w:r w:rsidRPr="00BE66C9">
        <w:rPr>
          <w:rFonts w:ascii="Book Antiqua" w:hAnsi="Book Antiqua"/>
          <w:sz w:val="22"/>
          <w:szCs w:val="22"/>
        </w:rPr>
        <w:t xml:space="preserve">S ohľadom na efektívnosť a snahu neplytvať personálnymi a časovými kapacitami kontrolórov NKÚ, prokurátorov </w:t>
      </w:r>
      <w:r w:rsidR="004313BE">
        <w:rPr>
          <w:rFonts w:ascii="Book Antiqua" w:hAnsi="Book Antiqua"/>
          <w:sz w:val="22"/>
          <w:szCs w:val="22"/>
        </w:rPr>
        <w:t>a vyšetrovateľov, sa navrhuje</w:t>
      </w:r>
      <w:r w:rsidRPr="00BE66C9">
        <w:rPr>
          <w:rFonts w:ascii="Book Antiqua" w:hAnsi="Book Antiqua"/>
          <w:sz w:val="22"/>
          <w:szCs w:val="22"/>
        </w:rPr>
        <w:t xml:space="preserve"> zavedenie explicitnej povinnosť NKÚ upozorniť orgány činné v trestnom konaní</w:t>
      </w:r>
      <w:r w:rsidR="004313BE">
        <w:rPr>
          <w:rFonts w:ascii="Book Antiqua" w:hAnsi="Book Antiqua"/>
          <w:sz w:val="22"/>
          <w:szCs w:val="22"/>
        </w:rPr>
        <w:t>,</w:t>
      </w:r>
      <w:r w:rsidRPr="00BE66C9">
        <w:rPr>
          <w:rFonts w:ascii="Book Antiqua" w:hAnsi="Book Antiqua"/>
          <w:sz w:val="22"/>
          <w:szCs w:val="22"/>
        </w:rPr>
        <w:t xml:space="preserve"> ak vznikla aspoň značná škoda.</w:t>
      </w:r>
    </w:p>
    <w:p w:rsidR="008E6916" w:rsidRPr="00BE66C9">
      <w:pPr>
        <w:bidi w:val="0"/>
        <w:spacing w:before="120" w:line="276" w:lineRule="auto"/>
        <w:ind w:firstLine="708"/>
        <w:jc w:val="both"/>
        <w:rPr>
          <w:rFonts w:ascii="Book Antiqua" w:hAnsi="Book Antiqua"/>
          <w:sz w:val="22"/>
          <w:szCs w:val="22"/>
        </w:rPr>
      </w:pPr>
      <w:r w:rsidRPr="00BE66C9">
        <w:rPr>
          <w:rFonts w:ascii="Book Antiqua" w:hAnsi="Book Antiqua"/>
          <w:sz w:val="22"/>
          <w:szCs w:val="22"/>
        </w:rPr>
        <w:t xml:space="preserve">Vedenie NKÚ podpísalo v máji 2015 s Ministerstvom vnútra SR a Generálnou prokuratúrou SR </w:t>
      </w:r>
      <w:r w:rsidRPr="00BE66C9">
        <w:rPr>
          <w:rFonts w:ascii="Book Antiqua" w:hAnsi="Book Antiqua"/>
          <w:b/>
          <w:sz w:val="22"/>
          <w:szCs w:val="22"/>
        </w:rPr>
        <w:t>Memorandum o spolupráci</w:t>
      </w:r>
      <w:r w:rsidRPr="00BE66C9">
        <w:rPr>
          <w:rFonts w:ascii="Book Antiqua" w:hAnsi="Book Antiqua"/>
          <w:sz w:val="22"/>
          <w:szCs w:val="22"/>
        </w:rPr>
        <w:t>. Okrem dojednania rôznych úrovní spolupráce a kontaktných osôb za jednotlivé inštitúcie sú v Memorande spomenuté viaceré oblasti vzájomnej spolupráce. Z pohľadu problému</w:t>
      </w:r>
      <w:r w:rsidR="004313BE">
        <w:rPr>
          <w:rFonts w:ascii="Book Antiqua" w:hAnsi="Book Antiqua"/>
          <w:sz w:val="22"/>
          <w:szCs w:val="22"/>
        </w:rPr>
        <w:t xml:space="preserve">, ktorý je predmetom úpravy tohto návrhu zákona, </w:t>
      </w:r>
      <w:r w:rsidRPr="00BE66C9">
        <w:rPr>
          <w:rFonts w:ascii="Book Antiqua" w:hAnsi="Book Antiqua"/>
          <w:sz w:val="22"/>
          <w:szCs w:val="22"/>
        </w:rPr>
        <w:t>sú dôležité najmä dva body, a to:</w:t>
      </w:r>
    </w:p>
    <w:p w:rsidR="004313BE" w:rsidP="004313BE">
      <w:pPr>
        <w:bidi w:val="0"/>
        <w:spacing w:before="120" w:line="276" w:lineRule="auto"/>
        <w:ind w:left="851" w:hanging="425"/>
        <w:jc w:val="both"/>
        <w:rPr>
          <w:rFonts w:ascii="Book Antiqua" w:hAnsi="Book Antiqua"/>
          <w:sz w:val="22"/>
          <w:szCs w:val="22"/>
        </w:rPr>
      </w:pPr>
      <w:r w:rsidRPr="00BE66C9" w:rsidR="008E6916">
        <w:rPr>
          <w:rFonts w:ascii="Book Antiqua" w:hAnsi="Book Antiqua"/>
          <w:sz w:val="22"/>
          <w:szCs w:val="22"/>
        </w:rPr>
        <w:t xml:space="preserve">a) </w:t>
      </w:r>
      <w:r>
        <w:rPr>
          <w:rFonts w:ascii="Book Antiqua" w:hAnsi="Book Antiqua"/>
          <w:sz w:val="22"/>
          <w:szCs w:val="22"/>
        </w:rPr>
        <w:tab/>
      </w:r>
      <w:r w:rsidRPr="00BE66C9" w:rsidR="008E6916">
        <w:rPr>
          <w:rFonts w:ascii="Book Antiqua" w:hAnsi="Book Antiqua"/>
          <w:sz w:val="22"/>
          <w:szCs w:val="22"/>
        </w:rPr>
        <w:t>výmena informácií a poznatkov súvisiacich s porušovaním všeobecne záväzných právnych predpisov SR, získaných</w:t>
      </w:r>
      <w:r>
        <w:rPr>
          <w:rFonts w:ascii="Book Antiqua" w:hAnsi="Book Antiqua"/>
          <w:sz w:val="22"/>
          <w:szCs w:val="22"/>
        </w:rPr>
        <w:t xml:space="preserve"> pri činnosti strán memoranda; s</w:t>
      </w:r>
      <w:r w:rsidRPr="00BE66C9" w:rsidR="008E6916">
        <w:rPr>
          <w:rFonts w:ascii="Book Antiqua" w:hAnsi="Book Antiqua"/>
          <w:sz w:val="22"/>
          <w:szCs w:val="22"/>
        </w:rPr>
        <w:t>trany memoranda si budú vymieňať informácie a poznatky na základe vlastného uváženia a iba také, ktoré považujú za potrebné pre činnosť strán memoranda,</w:t>
      </w:r>
    </w:p>
    <w:p w:rsidR="008E6916" w:rsidRPr="00BE66C9" w:rsidP="004313BE">
      <w:pPr>
        <w:bidi w:val="0"/>
        <w:spacing w:before="120" w:line="276" w:lineRule="auto"/>
        <w:ind w:left="851" w:hanging="425"/>
        <w:jc w:val="both"/>
        <w:rPr>
          <w:rFonts w:ascii="Book Antiqua" w:hAnsi="Book Antiqua"/>
          <w:sz w:val="22"/>
          <w:szCs w:val="22"/>
        </w:rPr>
      </w:pPr>
      <w:r w:rsidRPr="00BE66C9">
        <w:rPr>
          <w:rFonts w:ascii="Book Antiqua" w:hAnsi="Book Antiqua"/>
          <w:sz w:val="22"/>
          <w:szCs w:val="22"/>
        </w:rPr>
        <w:t xml:space="preserve">b) </w:t>
      </w:r>
      <w:r w:rsidR="004313BE">
        <w:rPr>
          <w:rFonts w:ascii="Book Antiqua" w:hAnsi="Book Antiqua"/>
          <w:sz w:val="22"/>
          <w:szCs w:val="22"/>
        </w:rPr>
        <w:tab/>
      </w:r>
      <w:r w:rsidRPr="00BE66C9">
        <w:rPr>
          <w:rFonts w:ascii="Book Antiqua" w:hAnsi="Book Antiqua"/>
          <w:sz w:val="22"/>
          <w:szCs w:val="22"/>
        </w:rPr>
        <w:t>súčinnosť pred začatím trestného konania (včasnosť podávania trestných oznámení, obsahové a formálne náležitosti trestných oznámení, druh a charakter listín pripojených k trestným oznámeniam) a v trestnom konaní.</w:t>
      </w:r>
    </w:p>
    <w:p w:rsidR="008E6916" w:rsidRPr="00BE66C9">
      <w:pPr>
        <w:bidi w:val="0"/>
        <w:spacing w:before="120" w:line="276" w:lineRule="auto"/>
        <w:ind w:firstLine="708"/>
        <w:jc w:val="both"/>
        <w:rPr>
          <w:rFonts w:ascii="Book Antiqua" w:hAnsi="Book Antiqua"/>
          <w:sz w:val="22"/>
          <w:szCs w:val="22"/>
        </w:rPr>
      </w:pPr>
      <w:r w:rsidRPr="00BE66C9">
        <w:rPr>
          <w:rFonts w:ascii="Book Antiqua" w:hAnsi="Book Antiqua"/>
          <w:sz w:val="22"/>
          <w:szCs w:val="22"/>
        </w:rPr>
        <w:t xml:space="preserve">Právna povaha a záväznosť memoránd je značne sporná. Vo všeobecnosti sa za záväzné považuje to ustanovenie, na ktorého záväznosti sa strany v memorande dohodli, pričom v súčasnosti podpísané Memorandum tento pojem vôbec neobsahuje. </w:t>
      </w:r>
    </w:p>
    <w:p w:rsidR="004313BE">
      <w:pPr>
        <w:pStyle w:val="NormalWeb"/>
        <w:bidi w:val="0"/>
        <w:spacing w:before="120" w:after="0" w:line="276" w:lineRule="auto"/>
        <w:jc w:val="both"/>
        <w:rPr>
          <w:rFonts w:ascii="Book Antiqua" w:hAnsi="Book Antiqua"/>
          <w:sz w:val="22"/>
          <w:szCs w:val="22"/>
          <w:u w:val="single"/>
        </w:rPr>
      </w:pPr>
      <w:r>
        <w:rPr>
          <w:rFonts w:ascii="Book Antiqua" w:hAnsi="Book Antiqua"/>
          <w:sz w:val="22"/>
          <w:szCs w:val="22"/>
          <w:u w:val="single"/>
        </w:rPr>
        <w:t>K bodu 12</w:t>
      </w:r>
    </w:p>
    <w:p w:rsidR="004313BE">
      <w:pPr>
        <w:pStyle w:val="NormalWeb"/>
        <w:bidi w:val="0"/>
        <w:spacing w:before="120" w:after="0" w:line="276" w:lineRule="auto"/>
        <w:jc w:val="both"/>
        <w:rPr>
          <w:rFonts w:ascii="Book Antiqua" w:hAnsi="Book Antiqua"/>
          <w:sz w:val="22"/>
          <w:szCs w:val="22"/>
          <w:u w:val="single"/>
        </w:rPr>
      </w:pPr>
      <w:r w:rsidRPr="00BE66C9">
        <w:rPr>
          <w:rFonts w:ascii="Book Antiqua" w:hAnsi="Book Antiqua"/>
          <w:sz w:val="22"/>
          <w:szCs w:val="22"/>
        </w:rPr>
        <w:t>Ide o legislatívno-technickú úpravu súvisiacu s</w:t>
      </w:r>
      <w:r>
        <w:rPr>
          <w:rFonts w:ascii="Book Antiqua" w:hAnsi="Book Antiqua"/>
          <w:sz w:val="22"/>
          <w:szCs w:val="22"/>
        </w:rPr>
        <w:t> Čl. I bodom 13 tohto návrhu zákona</w:t>
      </w:r>
      <w:r w:rsidRPr="00BE66C9">
        <w:rPr>
          <w:rFonts w:ascii="Book Antiqua" w:hAnsi="Book Antiqua"/>
          <w:sz w:val="22"/>
          <w:szCs w:val="22"/>
        </w:rPr>
        <w:t>.</w:t>
      </w:r>
    </w:p>
    <w:p w:rsidR="008E6916" w:rsidRPr="004313BE">
      <w:pPr>
        <w:pStyle w:val="NormalWeb"/>
        <w:bidi w:val="0"/>
        <w:spacing w:before="120" w:after="0" w:line="276" w:lineRule="auto"/>
        <w:jc w:val="both"/>
        <w:rPr>
          <w:rFonts w:ascii="Book Antiqua" w:hAnsi="Book Antiqua"/>
          <w:sz w:val="22"/>
          <w:szCs w:val="22"/>
        </w:rPr>
      </w:pPr>
      <w:r w:rsidR="004313BE">
        <w:rPr>
          <w:rFonts w:ascii="Book Antiqua" w:hAnsi="Book Antiqua"/>
          <w:sz w:val="22"/>
          <w:szCs w:val="22"/>
          <w:u w:val="single"/>
        </w:rPr>
        <w:t>K bodu 13</w:t>
      </w:r>
    </w:p>
    <w:p w:rsidR="008E6916" w:rsidRPr="00BE66C9">
      <w:pPr>
        <w:bidi w:val="0"/>
        <w:spacing w:before="120" w:line="276" w:lineRule="auto"/>
        <w:ind w:firstLine="708"/>
        <w:jc w:val="both"/>
        <w:rPr>
          <w:rFonts w:ascii="Book Antiqua" w:hAnsi="Book Antiqua"/>
          <w:sz w:val="22"/>
          <w:szCs w:val="22"/>
        </w:rPr>
      </w:pPr>
      <w:r w:rsidRPr="00BE66C9">
        <w:rPr>
          <w:rFonts w:ascii="Book Antiqua" w:hAnsi="Book Antiqua"/>
          <w:sz w:val="22"/>
          <w:szCs w:val="22"/>
        </w:rPr>
        <w:t xml:space="preserve">Viaceré kauzy v nedávnej minulosti (napr. piešťanské CT) odhalili, že zverejnenie kontrolnej správy nie je dostatočným nástrojom na vymáhanie naplnenia odporúčaní zistených na základe kontroly, ani nie sú zárukou, že nekalé aktivity nebudú pokračovať. </w:t>
      </w:r>
    </w:p>
    <w:p w:rsidR="008E6916" w:rsidRPr="00BE66C9">
      <w:pPr>
        <w:bidi w:val="0"/>
        <w:spacing w:before="120" w:line="276" w:lineRule="auto"/>
        <w:ind w:firstLine="708"/>
        <w:jc w:val="both"/>
        <w:rPr>
          <w:rFonts w:ascii="Book Antiqua" w:hAnsi="Book Antiqua"/>
          <w:sz w:val="22"/>
          <w:szCs w:val="22"/>
        </w:rPr>
      </w:pPr>
      <w:r w:rsidRPr="00BE66C9">
        <w:rPr>
          <w:rFonts w:ascii="Book Antiqua" w:hAnsi="Book Antiqua"/>
          <w:sz w:val="22"/>
          <w:szCs w:val="22"/>
        </w:rPr>
        <w:t xml:space="preserve">Okrem inštitútu poriadkovej pokuty </w:t>
      </w:r>
      <w:r w:rsidRPr="00BE66C9">
        <w:rPr>
          <w:rFonts w:ascii="Book Antiqua" w:hAnsi="Book Antiqua"/>
          <w:b/>
          <w:sz w:val="22"/>
          <w:szCs w:val="22"/>
        </w:rPr>
        <w:t>sa zavádza možnosť  sankcionovať všetky subjekty, ktoré nenaplnia odporúčania NKÚ</w:t>
      </w:r>
      <w:r w:rsidRPr="00BE66C9">
        <w:rPr>
          <w:rFonts w:ascii="Book Antiqua" w:hAnsi="Book Antiqua"/>
          <w:sz w:val="22"/>
          <w:szCs w:val="22"/>
        </w:rPr>
        <w:t xml:space="preserve">. </w:t>
      </w:r>
    </w:p>
    <w:p w:rsidR="008E6916" w:rsidRPr="00BE66C9">
      <w:pPr>
        <w:bidi w:val="0"/>
        <w:spacing w:before="120" w:line="276" w:lineRule="auto"/>
        <w:ind w:firstLine="708"/>
        <w:jc w:val="both"/>
        <w:rPr>
          <w:rFonts w:ascii="Book Antiqua" w:hAnsi="Book Antiqua"/>
          <w:sz w:val="22"/>
          <w:szCs w:val="22"/>
        </w:rPr>
      </w:pPr>
      <w:r w:rsidRPr="00BE66C9">
        <w:rPr>
          <w:rFonts w:ascii="Book Antiqua" w:hAnsi="Book Antiqua"/>
          <w:sz w:val="22"/>
          <w:szCs w:val="22"/>
        </w:rPr>
        <w:t xml:space="preserve">Sankcie patria medzi krajné prostriedky a mnohé z kontrolných úradov v rámci EÚ túto právomoc nemajú. Napriek tomu slovenská skúsenosť poukazuje na nedostatočný výtlak zistení NKÚ, ktorý sa v praxi prejavuje prijímaním formalistických opatrení na naplnenie odporúčaní. Sankčný mechanizmus by preto mal posilniť vymáhateľnosť prijatia konkrétnych zmien tak, ako boli uvedené v protokole o výsledku kontroly. </w:t>
      </w:r>
    </w:p>
    <w:p w:rsidR="008E6916" w:rsidRPr="00BE66C9">
      <w:pPr>
        <w:bidi w:val="0"/>
        <w:spacing w:before="120" w:line="276" w:lineRule="auto"/>
        <w:ind w:firstLine="708"/>
        <w:jc w:val="both"/>
        <w:rPr>
          <w:rFonts w:ascii="Book Antiqua" w:hAnsi="Book Antiqua"/>
          <w:sz w:val="22"/>
          <w:szCs w:val="22"/>
        </w:rPr>
      </w:pPr>
      <w:r w:rsidRPr="00BE66C9">
        <w:rPr>
          <w:rFonts w:ascii="Book Antiqua" w:hAnsi="Book Antiqua"/>
          <w:sz w:val="22"/>
          <w:szCs w:val="22"/>
        </w:rPr>
        <w:t>Opakované nenapl</w:t>
      </w:r>
      <w:r w:rsidR="004313BE">
        <w:rPr>
          <w:rFonts w:ascii="Book Antiqua" w:hAnsi="Book Antiqua"/>
          <w:sz w:val="22"/>
          <w:szCs w:val="22"/>
        </w:rPr>
        <w:t>nenie teda založí právomoc NKÚ</w:t>
      </w:r>
      <w:r w:rsidRPr="00BE66C9">
        <w:rPr>
          <w:rFonts w:ascii="Book Antiqua" w:hAnsi="Book Antiqua"/>
          <w:sz w:val="22"/>
          <w:szCs w:val="22"/>
        </w:rPr>
        <w:t xml:space="preserve"> podať náv</w:t>
      </w:r>
      <w:r w:rsidR="004313BE">
        <w:rPr>
          <w:rFonts w:ascii="Book Antiqua" w:hAnsi="Book Antiqua"/>
          <w:sz w:val="22"/>
          <w:szCs w:val="22"/>
        </w:rPr>
        <w:t>rh na začatie konania v zmysle s</w:t>
      </w:r>
      <w:r w:rsidRPr="00BE66C9">
        <w:rPr>
          <w:rFonts w:ascii="Book Antiqua" w:hAnsi="Book Antiqua"/>
          <w:sz w:val="22"/>
          <w:szCs w:val="22"/>
        </w:rPr>
        <w:t xml:space="preserve">právneho poriadku, ktorého výsledkom bude súdne preskúmateľné rozhodnutie. </w:t>
      </w:r>
    </w:p>
    <w:p w:rsidR="008E6916" w:rsidRPr="004313BE">
      <w:pPr>
        <w:pStyle w:val="NormalWeb"/>
        <w:bidi w:val="0"/>
        <w:spacing w:before="120" w:after="0" w:line="276" w:lineRule="auto"/>
        <w:jc w:val="both"/>
        <w:rPr>
          <w:rFonts w:ascii="Book Antiqua" w:hAnsi="Book Antiqua"/>
          <w:sz w:val="22"/>
          <w:szCs w:val="22"/>
        </w:rPr>
      </w:pPr>
      <w:r w:rsidR="004313BE">
        <w:rPr>
          <w:rFonts w:ascii="Book Antiqua" w:hAnsi="Book Antiqua"/>
          <w:sz w:val="22"/>
          <w:szCs w:val="22"/>
          <w:u w:val="single"/>
        </w:rPr>
        <w:t>K bodu 14</w:t>
      </w:r>
    </w:p>
    <w:p w:rsidR="008E6916" w:rsidRPr="004313BE">
      <w:pPr>
        <w:pStyle w:val="NormalWeb"/>
        <w:bidi w:val="0"/>
        <w:spacing w:before="120" w:after="0" w:line="276" w:lineRule="auto"/>
        <w:jc w:val="both"/>
        <w:rPr>
          <w:rFonts w:ascii="Book Antiqua" w:hAnsi="Book Antiqua"/>
          <w:sz w:val="22"/>
          <w:szCs w:val="22"/>
        </w:rPr>
      </w:pPr>
      <w:r w:rsidRPr="00BE66C9">
        <w:rPr>
          <w:rFonts w:ascii="Book Antiqua" w:hAnsi="Book Antiqua"/>
          <w:b/>
          <w:sz w:val="22"/>
          <w:szCs w:val="22"/>
        </w:rPr>
        <w:tab/>
      </w:r>
      <w:r w:rsidRPr="004313BE">
        <w:rPr>
          <w:rFonts w:ascii="Book Antiqua" w:hAnsi="Book Antiqua"/>
          <w:sz w:val="22"/>
          <w:szCs w:val="22"/>
        </w:rPr>
        <w:t xml:space="preserve">Zavádzajú sa intertemporálne ustanovenia, ktoré najmä určujú lehotu, v ktorej sa zriadi komisia a lehotu </w:t>
      </w:r>
      <w:r w:rsidR="004313BE">
        <w:rPr>
          <w:rFonts w:ascii="Book Antiqua" w:hAnsi="Book Antiqua"/>
          <w:sz w:val="22"/>
          <w:szCs w:val="22"/>
        </w:rPr>
        <w:t>na schválenie Štatútu komisie. Zároveň sa prihliada na to, že svoj Štatút si v súvislosti s novým znením § 8 zákona bude musieť primerane upraviť aj Rada vlády Slovenskej republiky pre mimovládne neziskové organizácie (schválený vládou SR v roku 2012 v znení noviel z rokov 2013 a 2014).</w:t>
      </w:r>
    </w:p>
    <w:p w:rsidR="008E6916" w:rsidRPr="00BE66C9">
      <w:pPr>
        <w:pStyle w:val="NormalWeb"/>
        <w:bidi w:val="0"/>
        <w:spacing w:before="120" w:after="0" w:line="276" w:lineRule="auto"/>
        <w:jc w:val="both"/>
        <w:rPr>
          <w:rFonts w:ascii="Book Antiqua" w:hAnsi="Book Antiqua"/>
          <w:b/>
          <w:sz w:val="22"/>
          <w:szCs w:val="22"/>
        </w:rPr>
      </w:pPr>
    </w:p>
    <w:p w:rsidR="008E6916" w:rsidRPr="00BE66C9">
      <w:pPr>
        <w:pStyle w:val="NormalWeb"/>
        <w:bidi w:val="0"/>
        <w:spacing w:before="120" w:after="0" w:line="276" w:lineRule="auto"/>
        <w:jc w:val="both"/>
        <w:rPr>
          <w:rFonts w:ascii="Book Antiqua" w:hAnsi="Book Antiqua"/>
          <w:sz w:val="22"/>
          <w:szCs w:val="22"/>
        </w:rPr>
      </w:pPr>
      <w:r w:rsidRPr="00BE66C9">
        <w:rPr>
          <w:rFonts w:ascii="Book Antiqua" w:hAnsi="Book Antiqua"/>
          <w:b/>
          <w:sz w:val="22"/>
          <w:szCs w:val="22"/>
        </w:rPr>
        <w:t>K Čl. II</w:t>
      </w:r>
    </w:p>
    <w:p w:rsidR="008E6916" w:rsidRPr="002368E3">
      <w:pPr>
        <w:pStyle w:val="NormalWeb"/>
        <w:bidi w:val="0"/>
        <w:spacing w:before="120" w:after="0" w:line="276" w:lineRule="auto"/>
        <w:jc w:val="both"/>
        <w:rPr>
          <w:rFonts w:ascii="Book Antiqua" w:hAnsi="Book Antiqua"/>
          <w:sz w:val="22"/>
          <w:szCs w:val="22"/>
        </w:rPr>
      </w:pPr>
      <w:r w:rsidRPr="002368E3">
        <w:rPr>
          <w:rFonts w:ascii="Book Antiqua" w:hAnsi="Book Antiqua"/>
          <w:sz w:val="22"/>
          <w:szCs w:val="22"/>
          <w:u w:val="single"/>
        </w:rPr>
        <w:t>K bodom 1 a 2</w:t>
      </w:r>
    </w:p>
    <w:p w:rsidR="008E6916" w:rsidRPr="00BE66C9">
      <w:pPr>
        <w:bidi w:val="0"/>
        <w:spacing w:before="120" w:line="276" w:lineRule="auto"/>
        <w:jc w:val="both"/>
        <w:rPr>
          <w:rFonts w:ascii="Book Antiqua" w:hAnsi="Book Antiqua"/>
          <w:sz w:val="22"/>
          <w:szCs w:val="22"/>
        </w:rPr>
      </w:pPr>
      <w:r w:rsidRPr="00BE66C9">
        <w:rPr>
          <w:rFonts w:ascii="Book Antiqua" w:hAnsi="Book Antiqua"/>
          <w:b/>
          <w:sz w:val="22"/>
          <w:szCs w:val="22"/>
        </w:rPr>
        <w:tab/>
      </w:r>
      <w:r w:rsidRPr="00BE66C9">
        <w:rPr>
          <w:rFonts w:ascii="Book Antiqua" w:hAnsi="Book Antiqua"/>
          <w:sz w:val="22"/>
          <w:szCs w:val="22"/>
        </w:rPr>
        <w:t xml:space="preserve">Súčasné znenie zákona o NKÚ ukladá predsedovi NKÚ povinnosť informovať NR SR a príslušné orgány o osobitne dôležitých zisteniach a poznatkoch. V zákone však absentuje akýkoľvek kontrolný mechanizmus alebo procesný úkon NR SR vo vzťahu k zisteniam a poznatkom NKÚ. </w:t>
      </w:r>
    </w:p>
    <w:p w:rsidR="008E6916" w:rsidRPr="00BE66C9">
      <w:pPr>
        <w:bidi w:val="0"/>
        <w:spacing w:before="120" w:line="276" w:lineRule="auto"/>
        <w:ind w:firstLine="708"/>
        <w:jc w:val="both"/>
        <w:rPr>
          <w:rFonts w:ascii="Book Antiqua" w:hAnsi="Book Antiqua"/>
          <w:sz w:val="22"/>
          <w:szCs w:val="22"/>
        </w:rPr>
      </w:pPr>
      <w:r w:rsidRPr="00BE66C9">
        <w:rPr>
          <w:rFonts w:ascii="Book Antiqua" w:hAnsi="Book Antiqua"/>
          <w:b/>
          <w:sz w:val="22"/>
          <w:szCs w:val="22"/>
        </w:rPr>
        <w:t>Zámerom navrhovanej právnej úpravy je vytvorenie stále</w:t>
      </w:r>
      <w:r w:rsidR="002368E3">
        <w:rPr>
          <w:rFonts w:ascii="Book Antiqua" w:hAnsi="Book Antiqua"/>
          <w:b/>
          <w:sz w:val="22"/>
          <w:szCs w:val="22"/>
        </w:rPr>
        <w:t xml:space="preserve">ho Výboru NR SR pre NKÚ </w:t>
      </w:r>
      <w:r w:rsidR="002368E3">
        <w:rPr>
          <w:rFonts w:ascii="Book Antiqua" w:hAnsi="Book Antiqua"/>
          <w:sz w:val="22"/>
          <w:szCs w:val="22"/>
        </w:rPr>
        <w:t>(ďalej len „výbor pre najvyšší kontrolný úrad“)</w:t>
      </w:r>
      <w:r w:rsidRPr="00BE66C9">
        <w:rPr>
          <w:rFonts w:ascii="Book Antiqua" w:hAnsi="Book Antiqua"/>
          <w:sz w:val="22"/>
          <w:szCs w:val="22"/>
        </w:rPr>
        <w:t>, ktorý zabezpečí prerokovanie kontrolných záverov NKÚ a overenie účinnosti prijatých odporúčaní. Základné právomoci navr</w:t>
      </w:r>
      <w:r w:rsidR="002368E3">
        <w:rPr>
          <w:rFonts w:ascii="Book Antiqua" w:hAnsi="Book Antiqua"/>
          <w:sz w:val="22"/>
          <w:szCs w:val="22"/>
        </w:rPr>
        <w:t>hovaného kontrolného výboru by mali byť</w:t>
      </w:r>
      <w:r w:rsidRPr="00BE66C9">
        <w:rPr>
          <w:rFonts w:ascii="Book Antiqua" w:hAnsi="Book Antiqua"/>
          <w:sz w:val="22"/>
          <w:szCs w:val="22"/>
        </w:rPr>
        <w:t>:</w:t>
      </w:r>
    </w:p>
    <w:p w:rsidR="008E6916" w:rsidRPr="00BE66C9">
      <w:pPr>
        <w:bidi w:val="0"/>
        <w:spacing w:before="120" w:line="276" w:lineRule="auto"/>
        <w:jc w:val="both"/>
        <w:rPr>
          <w:rFonts w:ascii="Book Antiqua" w:hAnsi="Book Antiqua"/>
          <w:sz w:val="22"/>
          <w:szCs w:val="22"/>
        </w:rPr>
      </w:pPr>
      <w:r w:rsidRPr="00BE66C9">
        <w:rPr>
          <w:rFonts w:ascii="Book Antiqua" w:hAnsi="Book Antiqua"/>
          <w:sz w:val="22"/>
          <w:szCs w:val="22"/>
        </w:rPr>
        <w:t>•</w:t>
      </w:r>
      <w:r w:rsidR="002368E3">
        <w:rPr>
          <w:rFonts w:ascii="Book Antiqua" w:hAnsi="Book Antiqua"/>
          <w:sz w:val="22"/>
          <w:szCs w:val="22"/>
        </w:rPr>
        <w:t xml:space="preserve"> </w:t>
      </w:r>
      <w:r w:rsidRPr="00BE66C9">
        <w:rPr>
          <w:rFonts w:ascii="Book Antiqua" w:hAnsi="Book Antiqua"/>
          <w:sz w:val="22"/>
          <w:szCs w:val="22"/>
        </w:rPr>
        <w:t xml:space="preserve">prerokovať kontrolné závery, správy a stanoviská NKÚ, </w:t>
      </w:r>
    </w:p>
    <w:p w:rsidR="008E6916" w:rsidRPr="00BE66C9">
      <w:pPr>
        <w:bidi w:val="0"/>
        <w:spacing w:before="120" w:line="276" w:lineRule="auto"/>
        <w:jc w:val="both"/>
        <w:rPr>
          <w:rFonts w:ascii="Book Antiqua" w:hAnsi="Book Antiqua"/>
          <w:sz w:val="22"/>
          <w:szCs w:val="22"/>
        </w:rPr>
      </w:pPr>
      <w:r w:rsidRPr="00BE66C9">
        <w:rPr>
          <w:rFonts w:ascii="Book Antiqua" w:hAnsi="Book Antiqua"/>
          <w:sz w:val="22"/>
          <w:szCs w:val="22"/>
        </w:rPr>
        <w:t>•</w:t>
      </w:r>
      <w:r w:rsidR="002368E3">
        <w:rPr>
          <w:rFonts w:ascii="Book Antiqua" w:hAnsi="Book Antiqua"/>
          <w:sz w:val="22"/>
          <w:szCs w:val="22"/>
        </w:rPr>
        <w:t xml:space="preserve"> </w:t>
      </w:r>
      <w:r w:rsidRPr="00BE66C9">
        <w:rPr>
          <w:rFonts w:ascii="Book Antiqua" w:hAnsi="Book Antiqua"/>
          <w:sz w:val="22"/>
          <w:szCs w:val="22"/>
        </w:rPr>
        <w:t>požadovať informácie a vysvetleni</w:t>
      </w:r>
      <w:r w:rsidR="002368E3">
        <w:rPr>
          <w:rFonts w:ascii="Book Antiqua" w:hAnsi="Book Antiqua"/>
          <w:sz w:val="22"/>
          <w:szCs w:val="22"/>
        </w:rPr>
        <w:t>a k zisteným kontrolným záverom.</w:t>
      </w:r>
    </w:p>
    <w:p w:rsidR="008E6916" w:rsidRPr="00BE66C9">
      <w:pPr>
        <w:bidi w:val="0"/>
        <w:spacing w:before="120" w:line="276" w:lineRule="auto"/>
        <w:ind w:firstLine="708"/>
        <w:jc w:val="both"/>
        <w:rPr>
          <w:rFonts w:ascii="Book Antiqua" w:hAnsi="Book Antiqua"/>
          <w:sz w:val="22"/>
          <w:szCs w:val="22"/>
        </w:rPr>
      </w:pPr>
      <w:r w:rsidRPr="00BE66C9">
        <w:rPr>
          <w:rFonts w:ascii="Book Antiqua" w:hAnsi="Book Antiqua"/>
          <w:sz w:val="22"/>
          <w:szCs w:val="22"/>
        </w:rPr>
        <w:t>Výbor by mal taktiež vypočuť uchádzačov o funkciu predsedu NKÚ vybraných výberovou komisiou.</w:t>
      </w:r>
    </w:p>
    <w:p w:rsidR="008E6916" w:rsidRPr="00BE66C9">
      <w:pPr>
        <w:pStyle w:val="NormalWeb"/>
        <w:bidi w:val="0"/>
        <w:spacing w:before="120" w:after="0" w:line="276" w:lineRule="auto"/>
        <w:jc w:val="both"/>
        <w:rPr>
          <w:rFonts w:ascii="Book Antiqua" w:hAnsi="Book Antiqua"/>
          <w:sz w:val="22"/>
          <w:szCs w:val="22"/>
        </w:rPr>
      </w:pPr>
      <w:r w:rsidRPr="00BE66C9">
        <w:rPr>
          <w:rFonts w:ascii="Book Antiqua" w:hAnsi="Book Antiqua"/>
          <w:b/>
          <w:sz w:val="22"/>
          <w:szCs w:val="22"/>
        </w:rPr>
        <w:tab/>
      </w:r>
      <w:r w:rsidR="002368E3">
        <w:rPr>
          <w:rFonts w:ascii="Book Antiqua" w:hAnsi="Book Antiqua"/>
          <w:sz w:val="22"/>
          <w:szCs w:val="22"/>
        </w:rPr>
        <w:t>Výbor pre n</w:t>
      </w:r>
      <w:r w:rsidRPr="00BE66C9">
        <w:rPr>
          <w:rFonts w:ascii="Book Antiqua" w:hAnsi="Book Antiqua"/>
          <w:sz w:val="22"/>
          <w:szCs w:val="22"/>
        </w:rPr>
        <w:t>ajvyšší kontrolný úrad</w:t>
      </w:r>
      <w:r w:rsidRPr="00BE66C9">
        <w:rPr>
          <w:rFonts w:ascii="Book Antiqua" w:hAnsi="Book Antiqua"/>
          <w:b/>
          <w:sz w:val="22"/>
          <w:szCs w:val="22"/>
        </w:rPr>
        <w:t xml:space="preserve"> je tak, ako aj ostatné výbory Národnej rady Slovenskej republiky, zložený z predsedu, podpredsedu, overovateľov a ďalších členov. Personálne obsadenie členov </w:t>
      </w:r>
      <w:r w:rsidR="002368E3">
        <w:rPr>
          <w:rFonts w:ascii="Book Antiqua" w:hAnsi="Book Antiqua"/>
          <w:sz w:val="22"/>
          <w:szCs w:val="22"/>
        </w:rPr>
        <w:t>výboru pre n</w:t>
      </w:r>
      <w:r w:rsidRPr="00BE66C9">
        <w:rPr>
          <w:rFonts w:ascii="Book Antiqua" w:hAnsi="Book Antiqua"/>
          <w:sz w:val="22"/>
          <w:szCs w:val="22"/>
        </w:rPr>
        <w:t>ajvyšší kontrolný úrad</w:t>
      </w:r>
      <w:r w:rsidRPr="00BE66C9">
        <w:rPr>
          <w:rFonts w:ascii="Book Antiqua" w:hAnsi="Book Antiqua"/>
          <w:b/>
          <w:sz w:val="22"/>
          <w:szCs w:val="22"/>
        </w:rPr>
        <w:t xml:space="preserve"> proporcionálne kopíruje obsadenie mandátov v Národnej rade Slovenskej republiky. Z dôvodu zabezpečenia potrebného balansu sa navrhuje paritné zloženie členov výboru tak, aby polovicu členov tvorili poslanci z politických strán a politických hnutí tvoriacich vládnu koalíciu a polovicu ostatní poslanci vrátane nezaradených poslancov. Ideálne by bolo, ak by členmi tohto výboru boli zároveň viacerí poslanci, ktorí žiadali o jeho vytvorenie. Len paritné zloženie výboru so zachovaním pomerného zastúpenia politických subjektov v národnej rade môže zaručiť nezaujatosť. Poslancom sa ponecháva sloboda rozhodovania aj v zmysle zachovania možnosti vzdania sa členstva vo </w:t>
      </w:r>
      <w:r w:rsidR="002368E3">
        <w:rPr>
          <w:rFonts w:ascii="Book Antiqua" w:hAnsi="Book Antiqua"/>
          <w:sz w:val="22"/>
          <w:szCs w:val="22"/>
        </w:rPr>
        <w:t>výbore pre n</w:t>
      </w:r>
      <w:r w:rsidRPr="00BE66C9">
        <w:rPr>
          <w:rFonts w:ascii="Book Antiqua" w:hAnsi="Book Antiqua"/>
          <w:sz w:val="22"/>
          <w:szCs w:val="22"/>
        </w:rPr>
        <w:t>ajvyšší kontrolný úrad.</w:t>
      </w:r>
    </w:p>
    <w:p w:rsidR="008E6916" w:rsidRPr="002368E3">
      <w:pPr>
        <w:pStyle w:val="NormalWeb"/>
        <w:bidi w:val="0"/>
        <w:spacing w:before="120" w:after="0" w:line="276" w:lineRule="auto"/>
        <w:ind w:firstLine="708"/>
        <w:jc w:val="both"/>
        <w:rPr>
          <w:rFonts w:ascii="Book Antiqua" w:hAnsi="Book Antiqua"/>
          <w:sz w:val="22"/>
          <w:szCs w:val="22"/>
        </w:rPr>
      </w:pPr>
      <w:r w:rsidR="002368E3">
        <w:rPr>
          <w:rFonts w:ascii="Book Antiqua" w:hAnsi="Book Antiqua"/>
          <w:sz w:val="22"/>
          <w:szCs w:val="22"/>
        </w:rPr>
        <w:t>Napriek niektorým</w:t>
      </w:r>
      <w:r w:rsidRPr="002368E3">
        <w:rPr>
          <w:rFonts w:ascii="Book Antiqua" w:hAnsi="Book Antiqua"/>
          <w:sz w:val="22"/>
          <w:szCs w:val="22"/>
        </w:rPr>
        <w:t xml:space="preserve"> špecifikám sa kontrolný výbor pri svojom rokovaní primerane riadi ustanoveniami zákona o rokovacom poriadku.</w:t>
      </w:r>
    </w:p>
    <w:p w:rsidR="008E6916" w:rsidRPr="002368E3">
      <w:pPr>
        <w:pStyle w:val="NormalWeb"/>
        <w:bidi w:val="0"/>
        <w:spacing w:before="120" w:after="0" w:line="276" w:lineRule="auto"/>
        <w:jc w:val="both"/>
        <w:rPr>
          <w:rFonts w:ascii="Book Antiqua" w:hAnsi="Book Antiqua"/>
          <w:sz w:val="22"/>
          <w:szCs w:val="22"/>
        </w:rPr>
      </w:pPr>
      <w:r w:rsidRPr="002368E3">
        <w:rPr>
          <w:rFonts w:ascii="Book Antiqua" w:hAnsi="Book Antiqua"/>
          <w:sz w:val="22"/>
          <w:szCs w:val="22"/>
          <w:u w:val="single"/>
        </w:rPr>
        <w:t>K bodu 3</w:t>
      </w:r>
    </w:p>
    <w:p w:rsidR="008E6916" w:rsidRPr="002368E3">
      <w:pPr>
        <w:pStyle w:val="NormalWeb"/>
        <w:bidi w:val="0"/>
        <w:spacing w:before="120" w:after="0" w:line="276" w:lineRule="auto"/>
        <w:ind w:firstLine="708"/>
        <w:jc w:val="both"/>
        <w:rPr>
          <w:rFonts w:ascii="Book Antiqua" w:hAnsi="Book Antiqua"/>
          <w:sz w:val="22"/>
          <w:szCs w:val="22"/>
        </w:rPr>
      </w:pPr>
      <w:r w:rsidRPr="002368E3">
        <w:rPr>
          <w:rFonts w:ascii="Book Antiqua" w:hAnsi="Book Antiqua"/>
          <w:sz w:val="22"/>
          <w:szCs w:val="22"/>
        </w:rPr>
        <w:t>Ide o legislatívn</w:t>
      </w:r>
      <w:r w:rsidR="002368E3">
        <w:rPr>
          <w:rFonts w:ascii="Book Antiqua" w:hAnsi="Book Antiqua"/>
          <w:sz w:val="22"/>
          <w:szCs w:val="22"/>
        </w:rPr>
        <w:t>o-technickú úpravu súvisiacu s Č</w:t>
      </w:r>
      <w:r w:rsidRPr="002368E3">
        <w:rPr>
          <w:rFonts w:ascii="Book Antiqua" w:hAnsi="Book Antiqua"/>
          <w:sz w:val="22"/>
          <w:szCs w:val="22"/>
        </w:rPr>
        <w:t>l. I bodom 2 (§ 8 ods. 3</w:t>
      </w:r>
      <w:r w:rsidR="002368E3">
        <w:rPr>
          <w:rFonts w:ascii="Book Antiqua" w:hAnsi="Book Antiqua"/>
          <w:sz w:val="22"/>
          <w:szCs w:val="22"/>
        </w:rPr>
        <w:t>) tohto návrhu zákona</w:t>
      </w:r>
      <w:r w:rsidRPr="002368E3">
        <w:rPr>
          <w:rFonts w:ascii="Book Antiqua" w:hAnsi="Book Antiqua"/>
          <w:sz w:val="22"/>
          <w:szCs w:val="22"/>
        </w:rPr>
        <w:t>.</w:t>
      </w:r>
    </w:p>
    <w:p w:rsidR="008E6916" w:rsidRPr="00BE66C9">
      <w:pPr>
        <w:pStyle w:val="NormalWeb"/>
        <w:bidi w:val="0"/>
        <w:spacing w:before="120" w:after="0" w:line="276" w:lineRule="auto"/>
        <w:ind w:firstLine="708"/>
        <w:jc w:val="both"/>
        <w:rPr>
          <w:rFonts w:ascii="Book Antiqua" w:hAnsi="Book Antiqua"/>
          <w:b/>
          <w:sz w:val="22"/>
          <w:szCs w:val="22"/>
        </w:rPr>
      </w:pPr>
    </w:p>
    <w:p w:rsidR="008E6916" w:rsidRPr="00BE66C9">
      <w:pPr>
        <w:pStyle w:val="NormalWeb"/>
        <w:bidi w:val="0"/>
        <w:spacing w:before="120" w:after="0" w:line="276" w:lineRule="auto"/>
        <w:jc w:val="both"/>
        <w:rPr>
          <w:rFonts w:ascii="Book Antiqua" w:hAnsi="Book Antiqua"/>
          <w:sz w:val="22"/>
          <w:szCs w:val="22"/>
        </w:rPr>
      </w:pPr>
      <w:r w:rsidRPr="00BE66C9">
        <w:rPr>
          <w:rFonts w:ascii="Book Antiqua" w:hAnsi="Book Antiqua"/>
          <w:b/>
          <w:sz w:val="22"/>
          <w:szCs w:val="22"/>
        </w:rPr>
        <w:t>K Čl. III</w:t>
      </w:r>
    </w:p>
    <w:p w:rsidR="008E6916" w:rsidRPr="00BE66C9">
      <w:pPr>
        <w:pStyle w:val="NormalWeb"/>
        <w:bidi w:val="0"/>
        <w:spacing w:before="120" w:after="0" w:line="276" w:lineRule="auto"/>
        <w:ind w:firstLine="708"/>
        <w:jc w:val="both"/>
        <w:rPr>
          <w:rFonts w:ascii="Book Antiqua" w:hAnsi="Book Antiqua"/>
          <w:sz w:val="22"/>
          <w:szCs w:val="22"/>
        </w:rPr>
      </w:pPr>
      <w:r w:rsidRPr="002368E3" w:rsidR="002368E3">
        <w:rPr>
          <w:rFonts w:ascii="Book Antiqua" w:hAnsi="Book Antiqua"/>
          <w:sz w:val="22"/>
          <w:szCs w:val="22"/>
        </w:rPr>
        <w:t>Ide o legislatívn</w:t>
      </w:r>
      <w:r w:rsidR="002368E3">
        <w:rPr>
          <w:rFonts w:ascii="Book Antiqua" w:hAnsi="Book Antiqua"/>
          <w:sz w:val="22"/>
          <w:szCs w:val="22"/>
        </w:rPr>
        <w:t>o-technickú úpravu súvisiacu s Č</w:t>
      </w:r>
      <w:r w:rsidRPr="002368E3" w:rsidR="002368E3">
        <w:rPr>
          <w:rFonts w:ascii="Book Antiqua" w:hAnsi="Book Antiqua"/>
          <w:sz w:val="22"/>
          <w:szCs w:val="22"/>
        </w:rPr>
        <w:t>l. I bodom 2 (§ 8 ods. 3</w:t>
      </w:r>
      <w:r w:rsidR="002368E3">
        <w:rPr>
          <w:rFonts w:ascii="Book Antiqua" w:hAnsi="Book Antiqua"/>
          <w:sz w:val="22"/>
          <w:szCs w:val="22"/>
        </w:rPr>
        <w:t>) tohto návrhu zákona</w:t>
      </w:r>
      <w:r w:rsidRPr="002368E3" w:rsidR="002368E3">
        <w:rPr>
          <w:rFonts w:ascii="Book Antiqua" w:hAnsi="Book Antiqua"/>
          <w:sz w:val="22"/>
          <w:szCs w:val="22"/>
        </w:rPr>
        <w:t>.</w:t>
      </w:r>
    </w:p>
    <w:p w:rsidR="008E6916" w:rsidRPr="00BE66C9">
      <w:pPr>
        <w:pStyle w:val="NormalWeb"/>
        <w:bidi w:val="0"/>
        <w:spacing w:before="120" w:after="0" w:line="276" w:lineRule="auto"/>
        <w:jc w:val="both"/>
        <w:rPr>
          <w:rFonts w:ascii="Book Antiqua" w:hAnsi="Book Antiqua"/>
          <w:b/>
          <w:sz w:val="22"/>
          <w:szCs w:val="22"/>
        </w:rPr>
      </w:pPr>
    </w:p>
    <w:p w:rsidR="008E6916" w:rsidRPr="00BE66C9">
      <w:pPr>
        <w:pStyle w:val="NormalWeb"/>
        <w:bidi w:val="0"/>
        <w:spacing w:before="120" w:after="0" w:line="276" w:lineRule="auto"/>
        <w:jc w:val="both"/>
        <w:rPr>
          <w:rFonts w:ascii="Book Antiqua" w:hAnsi="Book Antiqua"/>
          <w:sz w:val="22"/>
          <w:szCs w:val="22"/>
        </w:rPr>
      </w:pPr>
      <w:r w:rsidRPr="00BE66C9">
        <w:rPr>
          <w:rFonts w:ascii="Book Antiqua" w:hAnsi="Book Antiqua"/>
          <w:b/>
          <w:sz w:val="22"/>
          <w:szCs w:val="22"/>
        </w:rPr>
        <w:t>K Čl. IV</w:t>
      </w:r>
    </w:p>
    <w:p w:rsidR="008E6916" w:rsidRPr="00BE66C9">
      <w:pPr>
        <w:pStyle w:val="NormalWeb"/>
        <w:bidi w:val="0"/>
        <w:spacing w:before="120" w:after="0" w:line="276" w:lineRule="auto"/>
        <w:ind w:firstLine="708"/>
        <w:jc w:val="both"/>
        <w:rPr>
          <w:rFonts w:ascii="Book Antiqua" w:hAnsi="Book Antiqua"/>
          <w:sz w:val="22"/>
          <w:szCs w:val="22"/>
        </w:rPr>
      </w:pPr>
      <w:r w:rsidRPr="002368E3" w:rsidR="002368E3">
        <w:rPr>
          <w:rFonts w:ascii="Book Antiqua" w:hAnsi="Book Antiqua"/>
          <w:sz w:val="22"/>
          <w:szCs w:val="22"/>
        </w:rPr>
        <w:t>Ide o legislatívn</w:t>
      </w:r>
      <w:r w:rsidR="002368E3">
        <w:rPr>
          <w:rFonts w:ascii="Book Antiqua" w:hAnsi="Book Antiqua"/>
          <w:sz w:val="22"/>
          <w:szCs w:val="22"/>
        </w:rPr>
        <w:t>o-technickú úpravu súvisiacu s Č</w:t>
      </w:r>
      <w:r w:rsidRPr="002368E3" w:rsidR="002368E3">
        <w:rPr>
          <w:rFonts w:ascii="Book Antiqua" w:hAnsi="Book Antiqua"/>
          <w:sz w:val="22"/>
          <w:szCs w:val="22"/>
        </w:rPr>
        <w:t>l. I bodom 2 (§ 8 ods. 3</w:t>
      </w:r>
      <w:r w:rsidR="002368E3">
        <w:rPr>
          <w:rFonts w:ascii="Book Antiqua" w:hAnsi="Book Antiqua"/>
          <w:sz w:val="22"/>
          <w:szCs w:val="22"/>
        </w:rPr>
        <w:t>) tohto návrhu zákona</w:t>
      </w:r>
      <w:r w:rsidRPr="002368E3" w:rsidR="002368E3">
        <w:rPr>
          <w:rFonts w:ascii="Book Antiqua" w:hAnsi="Book Antiqua"/>
          <w:sz w:val="22"/>
          <w:szCs w:val="22"/>
        </w:rPr>
        <w:t>.</w:t>
      </w:r>
    </w:p>
    <w:p w:rsidR="008E6916" w:rsidRPr="00BE66C9">
      <w:pPr>
        <w:pStyle w:val="NormalWeb"/>
        <w:bidi w:val="0"/>
        <w:spacing w:before="120" w:after="0" w:line="276" w:lineRule="auto"/>
        <w:jc w:val="both"/>
        <w:rPr>
          <w:rFonts w:ascii="Book Antiqua" w:hAnsi="Book Antiqua"/>
          <w:b/>
          <w:sz w:val="22"/>
          <w:szCs w:val="22"/>
        </w:rPr>
      </w:pPr>
    </w:p>
    <w:p w:rsidR="008E6916" w:rsidRPr="00BE66C9">
      <w:pPr>
        <w:pStyle w:val="NormalWeb"/>
        <w:bidi w:val="0"/>
        <w:spacing w:before="120" w:after="0" w:line="276" w:lineRule="auto"/>
        <w:jc w:val="both"/>
        <w:rPr>
          <w:rFonts w:ascii="Book Antiqua" w:hAnsi="Book Antiqua"/>
          <w:sz w:val="22"/>
          <w:szCs w:val="22"/>
        </w:rPr>
      </w:pPr>
      <w:r w:rsidRPr="00BE66C9">
        <w:rPr>
          <w:rFonts w:ascii="Book Antiqua" w:hAnsi="Book Antiqua"/>
          <w:b/>
          <w:sz w:val="22"/>
          <w:szCs w:val="22"/>
        </w:rPr>
        <w:t>K Čl. V</w:t>
      </w:r>
    </w:p>
    <w:p w:rsidR="008E6916" w:rsidRPr="00BE66C9">
      <w:pPr>
        <w:pStyle w:val="NormalWeb"/>
        <w:bidi w:val="0"/>
        <w:spacing w:before="120" w:after="0" w:line="276" w:lineRule="auto"/>
        <w:ind w:firstLine="708"/>
        <w:jc w:val="both"/>
        <w:rPr>
          <w:rFonts w:ascii="Book Antiqua" w:hAnsi="Book Antiqua"/>
          <w:sz w:val="22"/>
          <w:szCs w:val="22"/>
        </w:rPr>
      </w:pPr>
      <w:r w:rsidRPr="002368E3" w:rsidR="002368E3">
        <w:rPr>
          <w:rFonts w:ascii="Book Antiqua" w:hAnsi="Book Antiqua"/>
          <w:sz w:val="22"/>
          <w:szCs w:val="22"/>
        </w:rPr>
        <w:t>Ide o legislatívn</w:t>
      </w:r>
      <w:r w:rsidR="002368E3">
        <w:rPr>
          <w:rFonts w:ascii="Book Antiqua" w:hAnsi="Book Antiqua"/>
          <w:sz w:val="22"/>
          <w:szCs w:val="22"/>
        </w:rPr>
        <w:t>o-technickú úpravu súvisiacu s Č</w:t>
      </w:r>
      <w:r w:rsidRPr="002368E3" w:rsidR="002368E3">
        <w:rPr>
          <w:rFonts w:ascii="Book Antiqua" w:hAnsi="Book Antiqua"/>
          <w:sz w:val="22"/>
          <w:szCs w:val="22"/>
        </w:rPr>
        <w:t>l. I bodom 2 (§ 8 ods. 3</w:t>
      </w:r>
      <w:r w:rsidR="002368E3">
        <w:rPr>
          <w:rFonts w:ascii="Book Antiqua" w:hAnsi="Book Antiqua"/>
          <w:sz w:val="22"/>
          <w:szCs w:val="22"/>
        </w:rPr>
        <w:t>) tohto návrhu zákona</w:t>
      </w:r>
      <w:r w:rsidRPr="002368E3" w:rsidR="002368E3">
        <w:rPr>
          <w:rFonts w:ascii="Book Antiqua" w:hAnsi="Book Antiqua"/>
          <w:sz w:val="22"/>
          <w:szCs w:val="22"/>
        </w:rPr>
        <w:t>.</w:t>
      </w:r>
    </w:p>
    <w:p w:rsidR="008E6916" w:rsidRPr="00BE66C9">
      <w:pPr>
        <w:bidi w:val="0"/>
        <w:spacing w:before="120" w:line="276" w:lineRule="auto"/>
        <w:jc w:val="both"/>
        <w:rPr>
          <w:rFonts w:ascii="Book Antiqua" w:hAnsi="Book Antiqua"/>
          <w:sz w:val="22"/>
          <w:szCs w:val="22"/>
        </w:rPr>
      </w:pPr>
    </w:p>
    <w:p w:rsidR="008E6916" w:rsidRPr="00BE66C9">
      <w:pPr>
        <w:pStyle w:val="NormalWeb"/>
        <w:bidi w:val="0"/>
        <w:spacing w:before="120" w:after="0" w:line="276" w:lineRule="auto"/>
        <w:jc w:val="both"/>
        <w:rPr>
          <w:rFonts w:ascii="Book Antiqua" w:hAnsi="Book Antiqua"/>
          <w:sz w:val="22"/>
          <w:szCs w:val="22"/>
        </w:rPr>
      </w:pPr>
      <w:r w:rsidRPr="00BE66C9">
        <w:rPr>
          <w:rFonts w:ascii="Book Antiqua" w:hAnsi="Book Antiqua"/>
          <w:b/>
          <w:sz w:val="22"/>
          <w:szCs w:val="22"/>
        </w:rPr>
        <w:t>K Čl. VI</w:t>
      </w:r>
    </w:p>
    <w:p w:rsidR="008E6916" w:rsidRPr="002368E3">
      <w:pPr>
        <w:pStyle w:val="NormalWeb"/>
        <w:bidi w:val="0"/>
        <w:spacing w:before="120" w:after="0" w:line="276" w:lineRule="auto"/>
        <w:ind w:firstLine="708"/>
        <w:jc w:val="both"/>
        <w:rPr>
          <w:rFonts w:ascii="Book Antiqua" w:hAnsi="Book Antiqua"/>
          <w:sz w:val="22"/>
          <w:szCs w:val="22"/>
        </w:rPr>
      </w:pPr>
      <w:r w:rsidRPr="002368E3">
        <w:rPr>
          <w:rFonts w:ascii="Book Antiqua" w:hAnsi="Book Antiqua"/>
          <w:sz w:val="22"/>
          <w:szCs w:val="22"/>
        </w:rPr>
        <w:t>Navrhuje sa účinnosť predkladaného zákona so zohľadnením legisvakančnej lehoty, a to od 1. novembra 2018.</w:t>
      </w:r>
    </w:p>
    <w:p w:rsidR="008E6916" w:rsidRPr="00BE66C9">
      <w:pPr>
        <w:pStyle w:val="NormalWeb"/>
        <w:bidi w:val="0"/>
        <w:spacing w:before="120" w:after="0" w:line="276" w:lineRule="auto"/>
        <w:jc w:val="both"/>
        <w:rPr>
          <w:rFonts w:ascii="Book Antiqua" w:hAnsi="Book Antiqua"/>
          <w:b/>
          <w:sz w:val="22"/>
          <w:szCs w:val="22"/>
        </w:rPr>
      </w:pPr>
    </w:p>
    <w:p w:rsidR="008E6916" w:rsidRPr="00BE66C9">
      <w:pPr>
        <w:pStyle w:val="NormalWeb"/>
        <w:bidi w:val="0"/>
        <w:spacing w:before="120" w:after="0" w:line="276" w:lineRule="auto"/>
        <w:jc w:val="center"/>
        <w:rPr>
          <w:rFonts w:ascii="Book Antiqua" w:hAnsi="Book Antiqua"/>
          <w:sz w:val="22"/>
          <w:szCs w:val="22"/>
        </w:rPr>
      </w:pPr>
    </w:p>
    <w:p w:rsidR="008E6916" w:rsidRPr="00BE66C9">
      <w:pPr>
        <w:pStyle w:val="NormalWeb"/>
        <w:pageBreakBefore/>
        <w:bidi w:val="0"/>
        <w:spacing w:before="120" w:after="0" w:line="276" w:lineRule="auto"/>
        <w:jc w:val="center"/>
        <w:rPr>
          <w:rFonts w:ascii="Book Antiqua" w:hAnsi="Book Antiqua"/>
          <w:sz w:val="22"/>
          <w:szCs w:val="22"/>
        </w:rPr>
      </w:pPr>
      <w:r w:rsidRPr="00BE66C9">
        <w:rPr>
          <w:rFonts w:ascii="Book Antiqua" w:hAnsi="Book Antiqua"/>
          <w:b/>
          <w:caps/>
          <w:spacing w:val="30"/>
          <w:sz w:val="22"/>
          <w:szCs w:val="22"/>
        </w:rPr>
        <w:t>DOLOŽKA ZLUČITEĽNOSTI</w:t>
      </w:r>
    </w:p>
    <w:p w:rsidR="008E6916" w:rsidRPr="00BE66C9">
      <w:pPr>
        <w:pStyle w:val="NormalWeb"/>
        <w:bidi w:val="0"/>
        <w:spacing w:before="120" w:after="0" w:line="276" w:lineRule="auto"/>
        <w:jc w:val="center"/>
        <w:rPr>
          <w:rFonts w:ascii="Book Antiqua" w:hAnsi="Book Antiqua"/>
          <w:sz w:val="22"/>
          <w:szCs w:val="22"/>
        </w:rPr>
      </w:pPr>
      <w:r w:rsidRPr="00BE66C9">
        <w:rPr>
          <w:rFonts w:ascii="Book Antiqua" w:hAnsi="Book Antiqua"/>
          <w:b/>
          <w:sz w:val="22"/>
          <w:szCs w:val="22"/>
        </w:rPr>
        <w:t>návrhu zákona</w:t>
      </w:r>
      <w:r w:rsidRPr="00BE66C9">
        <w:rPr>
          <w:rFonts w:ascii="Book Antiqua" w:hAnsi="Book Antiqua"/>
          <w:sz w:val="22"/>
          <w:szCs w:val="22"/>
        </w:rPr>
        <w:t xml:space="preserve"> </w:t>
      </w:r>
      <w:r w:rsidRPr="00BE66C9">
        <w:rPr>
          <w:rFonts w:ascii="Book Antiqua" w:hAnsi="Book Antiqua"/>
          <w:b/>
          <w:sz w:val="22"/>
          <w:szCs w:val="22"/>
        </w:rPr>
        <w:t>s právom Európskej únie</w:t>
      </w:r>
    </w:p>
    <w:p w:rsidR="008E6916" w:rsidRPr="00BE66C9">
      <w:pPr>
        <w:pStyle w:val="NormalWeb"/>
        <w:bidi w:val="0"/>
        <w:spacing w:before="120" w:after="0" w:line="276" w:lineRule="auto"/>
        <w:jc w:val="both"/>
        <w:rPr>
          <w:rFonts w:ascii="Book Antiqua" w:hAnsi="Book Antiqua"/>
          <w:sz w:val="22"/>
          <w:szCs w:val="22"/>
        </w:rPr>
      </w:pPr>
      <w:r w:rsidRPr="00BE66C9">
        <w:rPr>
          <w:rFonts w:ascii="Book Antiqua" w:hAnsi="Book Antiqua"/>
          <w:sz w:val="22"/>
          <w:szCs w:val="22"/>
        </w:rPr>
        <w:t> </w:t>
      </w:r>
    </w:p>
    <w:p w:rsidR="008E6916" w:rsidRPr="00BE66C9" w:rsidP="002368E3">
      <w:pPr>
        <w:pStyle w:val="NormalWeb"/>
        <w:numPr>
          <w:numId w:val="2"/>
        </w:numPr>
        <w:bidi w:val="0"/>
        <w:spacing w:before="120" w:after="0" w:line="276" w:lineRule="auto"/>
        <w:ind w:left="426" w:hanging="426"/>
        <w:jc w:val="both"/>
        <w:rPr>
          <w:rFonts w:ascii="Book Antiqua" w:hAnsi="Book Antiqua"/>
          <w:sz w:val="22"/>
          <w:szCs w:val="22"/>
        </w:rPr>
      </w:pPr>
      <w:r w:rsidRPr="00BE66C9">
        <w:rPr>
          <w:rFonts w:ascii="Book Antiqua" w:hAnsi="Book Antiqua"/>
          <w:b/>
          <w:sz w:val="22"/>
          <w:szCs w:val="22"/>
        </w:rPr>
        <w:t>Navrhovateľ zákona:</w:t>
      </w:r>
      <w:r w:rsidRPr="00BE66C9">
        <w:rPr>
          <w:rFonts w:ascii="Book Antiqua" w:hAnsi="Book Antiqua"/>
          <w:sz w:val="22"/>
          <w:szCs w:val="22"/>
        </w:rPr>
        <w:t xml:space="preserve"> skupina poslancov Národnej rady Slovenskej republiky</w:t>
      </w:r>
    </w:p>
    <w:p w:rsidR="008E6916" w:rsidRPr="00BE66C9" w:rsidP="002368E3">
      <w:pPr>
        <w:pStyle w:val="NormalWeb"/>
        <w:bidi w:val="0"/>
        <w:spacing w:before="120" w:after="0" w:line="276" w:lineRule="auto"/>
        <w:ind w:left="426" w:hanging="426"/>
        <w:jc w:val="both"/>
        <w:rPr>
          <w:rFonts w:ascii="Book Antiqua" w:hAnsi="Book Antiqua"/>
          <w:sz w:val="22"/>
          <w:szCs w:val="22"/>
        </w:rPr>
      </w:pPr>
      <w:r w:rsidRPr="00BE66C9">
        <w:rPr>
          <w:rFonts w:ascii="Book Antiqua" w:hAnsi="Book Antiqua"/>
          <w:sz w:val="22"/>
          <w:szCs w:val="22"/>
        </w:rPr>
        <w:t> </w:t>
      </w:r>
    </w:p>
    <w:p w:rsidR="008E6916" w:rsidRPr="00BE66C9" w:rsidP="002368E3">
      <w:pPr>
        <w:pStyle w:val="NormalWeb"/>
        <w:numPr>
          <w:numId w:val="2"/>
        </w:numPr>
        <w:bidi w:val="0"/>
        <w:spacing w:before="120" w:after="0" w:line="276" w:lineRule="auto"/>
        <w:ind w:left="426" w:hanging="426"/>
        <w:jc w:val="both"/>
        <w:rPr>
          <w:rFonts w:ascii="Book Antiqua" w:hAnsi="Book Antiqua"/>
          <w:sz w:val="22"/>
          <w:szCs w:val="22"/>
        </w:rPr>
      </w:pPr>
      <w:r w:rsidRPr="00BE66C9">
        <w:rPr>
          <w:rFonts w:ascii="Book Antiqua" w:hAnsi="Book Antiqua"/>
          <w:b/>
          <w:sz w:val="22"/>
          <w:szCs w:val="22"/>
        </w:rPr>
        <w:t xml:space="preserve">Názov návrhu zákona: </w:t>
      </w:r>
      <w:r w:rsidRPr="00BE66C9">
        <w:rPr>
          <w:rFonts w:ascii="Book Antiqua" w:hAnsi="Book Antiqua"/>
          <w:sz w:val="22"/>
          <w:szCs w:val="22"/>
        </w:rPr>
        <w:t>návrh zákona, ktorým sa mení a dopĺňa zákon Národnej rady Slovenskej republiky č. 39/1993 Z. z. o Najvyššom kontrolnom úrade Slovenskej  republiky</w:t>
      </w:r>
      <w:r w:rsidRPr="00BE66C9">
        <w:rPr>
          <w:rFonts w:ascii="Book Antiqua" w:hAnsi="Book Antiqua"/>
          <w:b/>
          <w:sz w:val="22"/>
          <w:szCs w:val="22"/>
        </w:rPr>
        <w:t xml:space="preserve"> </w:t>
      </w:r>
      <w:r w:rsidRPr="00BE66C9">
        <w:rPr>
          <w:rFonts w:ascii="Book Antiqua" w:hAnsi="Book Antiqua"/>
          <w:sz w:val="22"/>
          <w:szCs w:val="22"/>
        </w:rPr>
        <w:t>v znení neskorších predpisov a ktorým sa menia a dopĺňajú niektoré zákony</w:t>
      </w:r>
    </w:p>
    <w:p w:rsidR="008E6916" w:rsidRPr="00BE66C9" w:rsidP="002368E3">
      <w:pPr>
        <w:pStyle w:val="NormalWeb"/>
        <w:bidi w:val="0"/>
        <w:spacing w:before="120" w:after="0" w:line="276" w:lineRule="auto"/>
        <w:ind w:left="426" w:hanging="426"/>
        <w:jc w:val="both"/>
        <w:rPr>
          <w:rFonts w:ascii="Book Antiqua" w:hAnsi="Book Antiqua"/>
          <w:b/>
          <w:sz w:val="22"/>
          <w:szCs w:val="22"/>
        </w:rPr>
      </w:pPr>
    </w:p>
    <w:p w:rsidR="008E6916" w:rsidRPr="00BE66C9" w:rsidP="002368E3">
      <w:pPr>
        <w:pStyle w:val="NormalWeb"/>
        <w:tabs>
          <w:tab w:val="left" w:pos="426"/>
        </w:tabs>
        <w:bidi w:val="0"/>
        <w:spacing w:before="120" w:after="0" w:line="276" w:lineRule="auto"/>
        <w:ind w:left="426" w:hanging="426"/>
        <w:jc w:val="both"/>
        <w:rPr>
          <w:rFonts w:ascii="Book Antiqua" w:hAnsi="Book Antiqua"/>
          <w:sz w:val="22"/>
          <w:szCs w:val="22"/>
        </w:rPr>
      </w:pPr>
      <w:r w:rsidRPr="00BE66C9">
        <w:rPr>
          <w:rFonts w:ascii="Book Antiqua" w:hAnsi="Book Antiqua"/>
          <w:b/>
          <w:sz w:val="22"/>
          <w:szCs w:val="22"/>
        </w:rPr>
        <w:t>3. </w:t>
      </w:r>
      <w:r w:rsidR="002368E3">
        <w:rPr>
          <w:rFonts w:ascii="Book Antiqua" w:hAnsi="Book Antiqua"/>
          <w:b/>
          <w:sz w:val="22"/>
          <w:szCs w:val="22"/>
        </w:rPr>
        <w:tab/>
      </w:r>
      <w:r w:rsidRPr="00BE66C9">
        <w:rPr>
          <w:rFonts w:ascii="Book Antiqua" w:hAnsi="Book Antiqua"/>
          <w:b/>
          <w:sz w:val="22"/>
          <w:szCs w:val="22"/>
        </w:rPr>
        <w:t>Predmet návrhu zákona:</w:t>
      </w:r>
    </w:p>
    <w:p w:rsidR="008E6916" w:rsidRPr="002368E3">
      <w:pPr>
        <w:pStyle w:val="NormalWeb"/>
        <w:numPr>
          <w:numId w:val="1"/>
        </w:numPr>
        <w:bidi w:val="0"/>
        <w:spacing w:before="120" w:after="0" w:line="276" w:lineRule="auto"/>
        <w:ind w:firstLine="0"/>
        <w:jc w:val="both"/>
        <w:rPr>
          <w:rFonts w:ascii="Book Antiqua" w:hAnsi="Book Antiqua"/>
          <w:sz w:val="22"/>
          <w:szCs w:val="22"/>
        </w:rPr>
      </w:pPr>
      <w:r w:rsidRPr="002368E3">
        <w:rPr>
          <w:rFonts w:ascii="Book Antiqua" w:hAnsi="Book Antiqua"/>
          <w:sz w:val="22"/>
          <w:szCs w:val="22"/>
        </w:rPr>
        <w:t>nie je upravený v primárnom práve Európskej únie,</w:t>
      </w:r>
    </w:p>
    <w:p w:rsidR="008E6916" w:rsidRPr="002368E3">
      <w:pPr>
        <w:pStyle w:val="NormalWeb"/>
        <w:numPr>
          <w:numId w:val="1"/>
        </w:numPr>
        <w:bidi w:val="0"/>
        <w:spacing w:before="120" w:after="0" w:line="276" w:lineRule="auto"/>
        <w:ind w:firstLine="0"/>
        <w:jc w:val="both"/>
        <w:rPr>
          <w:rFonts w:ascii="Book Antiqua" w:hAnsi="Book Antiqua"/>
          <w:sz w:val="22"/>
          <w:szCs w:val="22"/>
        </w:rPr>
      </w:pPr>
      <w:r w:rsidRPr="002368E3">
        <w:rPr>
          <w:rFonts w:ascii="Book Antiqua" w:hAnsi="Book Antiqua"/>
          <w:sz w:val="22"/>
          <w:szCs w:val="22"/>
        </w:rPr>
        <w:t>nie je upravený v sekundárnom práve Európskej únie,</w:t>
      </w:r>
    </w:p>
    <w:p w:rsidR="008E6916" w:rsidRPr="002368E3">
      <w:pPr>
        <w:pStyle w:val="NormalWeb"/>
        <w:numPr>
          <w:numId w:val="1"/>
        </w:numPr>
        <w:bidi w:val="0"/>
        <w:spacing w:before="120" w:after="0" w:line="276" w:lineRule="auto"/>
        <w:ind w:firstLine="0"/>
        <w:jc w:val="both"/>
        <w:rPr>
          <w:rFonts w:ascii="Book Antiqua" w:hAnsi="Book Antiqua"/>
          <w:sz w:val="22"/>
          <w:szCs w:val="22"/>
        </w:rPr>
      </w:pPr>
      <w:r w:rsidRPr="002368E3">
        <w:rPr>
          <w:rFonts w:ascii="Book Antiqua" w:hAnsi="Book Antiqua"/>
          <w:sz w:val="22"/>
          <w:szCs w:val="22"/>
        </w:rPr>
        <w:t>nie je obsiahnutý v judikatúre Súdneho dvora Európskej únie. </w:t>
      </w:r>
    </w:p>
    <w:p w:rsidR="008E6916" w:rsidRPr="00BE66C9">
      <w:pPr>
        <w:pStyle w:val="NormalWeb"/>
        <w:bidi w:val="0"/>
        <w:spacing w:before="120" w:after="0" w:line="276" w:lineRule="auto"/>
        <w:jc w:val="both"/>
        <w:rPr>
          <w:rFonts w:ascii="Book Antiqua" w:hAnsi="Book Antiqua"/>
          <w:b/>
          <w:sz w:val="22"/>
          <w:szCs w:val="22"/>
        </w:rPr>
      </w:pPr>
    </w:p>
    <w:p w:rsidR="008E6916" w:rsidRPr="00BE66C9">
      <w:pPr>
        <w:pStyle w:val="NormalWeb"/>
        <w:bidi w:val="0"/>
        <w:spacing w:before="120" w:after="0" w:line="276" w:lineRule="auto"/>
        <w:jc w:val="both"/>
        <w:rPr>
          <w:rFonts w:ascii="Book Antiqua" w:hAnsi="Book Antiqua"/>
          <w:sz w:val="22"/>
          <w:szCs w:val="22"/>
        </w:rPr>
      </w:pPr>
      <w:r w:rsidRPr="00BE66C9">
        <w:rPr>
          <w:rFonts w:ascii="Book Antiqua" w:hAnsi="Book Antiqua"/>
          <w:b/>
          <w:sz w:val="22"/>
          <w:szCs w:val="22"/>
        </w:rPr>
        <w:t>Vzhľadom na to, že predmet návrhu zákona nie je upravený v práve Európskej únie, je bezpredmetné vyjadrovať sa k bodom 4. a 5.</w:t>
      </w:r>
    </w:p>
    <w:p w:rsidR="008E6916" w:rsidRPr="00BE66C9">
      <w:pPr>
        <w:pStyle w:val="NormalWeb"/>
        <w:bidi w:val="0"/>
        <w:spacing w:before="120" w:after="0" w:line="276" w:lineRule="auto"/>
        <w:rPr>
          <w:rFonts w:ascii="Book Antiqua" w:hAnsi="Book Antiqua"/>
          <w:sz w:val="22"/>
          <w:szCs w:val="22"/>
        </w:rPr>
      </w:pPr>
    </w:p>
    <w:p w:rsidR="008E6916" w:rsidRPr="00BE66C9">
      <w:pPr>
        <w:pStyle w:val="NormalWeb"/>
        <w:bidi w:val="0"/>
        <w:spacing w:before="120" w:after="0" w:line="276" w:lineRule="auto"/>
        <w:rPr>
          <w:rFonts w:ascii="Book Antiqua" w:hAnsi="Book Antiqua"/>
          <w:sz w:val="22"/>
          <w:szCs w:val="22"/>
        </w:rPr>
      </w:pPr>
    </w:p>
    <w:p w:rsidR="008E6916" w:rsidRPr="00BE66C9">
      <w:pPr>
        <w:pStyle w:val="NormalWeb"/>
        <w:bidi w:val="0"/>
        <w:spacing w:before="120" w:after="0" w:line="276" w:lineRule="auto"/>
        <w:rPr>
          <w:rFonts w:ascii="Book Antiqua" w:hAnsi="Book Antiqua"/>
          <w:sz w:val="22"/>
          <w:szCs w:val="22"/>
        </w:rPr>
      </w:pPr>
    </w:p>
    <w:p w:rsidR="008E6916" w:rsidRPr="00BE66C9">
      <w:pPr>
        <w:pStyle w:val="NormalWeb"/>
        <w:bidi w:val="0"/>
        <w:spacing w:before="120" w:after="0" w:line="276" w:lineRule="auto"/>
        <w:rPr>
          <w:rFonts w:ascii="Book Antiqua" w:hAnsi="Book Antiqua"/>
          <w:sz w:val="22"/>
          <w:szCs w:val="22"/>
        </w:rPr>
      </w:pPr>
    </w:p>
    <w:p w:rsidR="008E6916" w:rsidRPr="00BE66C9">
      <w:pPr>
        <w:pStyle w:val="NormalWeb"/>
        <w:bidi w:val="0"/>
        <w:spacing w:before="120" w:after="0" w:line="276" w:lineRule="auto"/>
        <w:rPr>
          <w:rFonts w:ascii="Book Antiqua" w:hAnsi="Book Antiqua"/>
          <w:sz w:val="22"/>
          <w:szCs w:val="22"/>
        </w:rPr>
      </w:pPr>
    </w:p>
    <w:p w:rsidR="008E6916" w:rsidRPr="00BE66C9">
      <w:pPr>
        <w:pStyle w:val="NormalWeb"/>
        <w:bidi w:val="0"/>
        <w:spacing w:before="120" w:after="0" w:line="276" w:lineRule="auto"/>
        <w:rPr>
          <w:rFonts w:ascii="Book Antiqua" w:hAnsi="Book Antiqua"/>
          <w:sz w:val="22"/>
          <w:szCs w:val="22"/>
        </w:rPr>
      </w:pPr>
    </w:p>
    <w:p w:rsidR="008E6916" w:rsidRPr="00BE66C9">
      <w:pPr>
        <w:pStyle w:val="NormalWeb"/>
        <w:bidi w:val="0"/>
        <w:spacing w:before="120" w:after="0" w:line="276" w:lineRule="auto"/>
        <w:rPr>
          <w:rFonts w:ascii="Book Antiqua" w:hAnsi="Book Antiqua"/>
          <w:sz w:val="22"/>
          <w:szCs w:val="22"/>
        </w:rPr>
      </w:pPr>
    </w:p>
    <w:p w:rsidR="008E6916" w:rsidRPr="00BE66C9">
      <w:pPr>
        <w:pStyle w:val="NormalWeb"/>
        <w:bidi w:val="0"/>
        <w:spacing w:before="120" w:after="0" w:line="276" w:lineRule="auto"/>
        <w:rPr>
          <w:rFonts w:ascii="Book Antiqua" w:hAnsi="Book Antiqua"/>
          <w:sz w:val="22"/>
          <w:szCs w:val="22"/>
        </w:rPr>
      </w:pPr>
    </w:p>
    <w:p w:rsidR="008E6916" w:rsidRPr="00BE66C9">
      <w:pPr>
        <w:pStyle w:val="NormalWeb"/>
        <w:bidi w:val="0"/>
        <w:spacing w:before="120" w:after="0" w:line="276" w:lineRule="auto"/>
        <w:rPr>
          <w:rFonts w:ascii="Book Antiqua" w:hAnsi="Book Antiqua"/>
          <w:sz w:val="22"/>
          <w:szCs w:val="22"/>
        </w:rPr>
      </w:pPr>
    </w:p>
    <w:p w:rsidR="008E6916" w:rsidRPr="00BE66C9">
      <w:pPr>
        <w:pStyle w:val="NormalWeb"/>
        <w:bidi w:val="0"/>
        <w:spacing w:before="120" w:after="0" w:line="276" w:lineRule="auto"/>
        <w:jc w:val="center"/>
        <w:rPr>
          <w:rFonts w:ascii="Book Antiqua" w:hAnsi="Book Antiqua"/>
          <w:b/>
          <w:caps/>
          <w:color w:val="000000"/>
          <w:spacing w:val="30"/>
          <w:sz w:val="22"/>
          <w:szCs w:val="22"/>
        </w:rPr>
      </w:pPr>
    </w:p>
    <w:p w:rsidR="008E6916" w:rsidRPr="00BE66C9">
      <w:pPr>
        <w:pStyle w:val="NormalWeb"/>
        <w:bidi w:val="0"/>
        <w:spacing w:before="120" w:after="0" w:line="276" w:lineRule="auto"/>
        <w:jc w:val="center"/>
        <w:rPr>
          <w:rFonts w:ascii="Book Antiqua" w:hAnsi="Book Antiqua"/>
          <w:b/>
          <w:caps/>
          <w:color w:val="000000"/>
          <w:spacing w:val="30"/>
          <w:sz w:val="22"/>
          <w:szCs w:val="22"/>
        </w:rPr>
      </w:pPr>
    </w:p>
    <w:p w:rsidR="008E6916" w:rsidRPr="00BE66C9">
      <w:pPr>
        <w:pStyle w:val="NormalWeb"/>
        <w:bidi w:val="0"/>
        <w:spacing w:before="120" w:after="0" w:line="276" w:lineRule="auto"/>
        <w:jc w:val="center"/>
        <w:rPr>
          <w:rFonts w:ascii="Book Antiqua" w:hAnsi="Book Antiqua"/>
          <w:b/>
          <w:caps/>
          <w:color w:val="000000"/>
          <w:spacing w:val="30"/>
          <w:sz w:val="22"/>
          <w:szCs w:val="22"/>
        </w:rPr>
      </w:pPr>
    </w:p>
    <w:p w:rsidR="008E6916" w:rsidRPr="00BE66C9">
      <w:pPr>
        <w:pStyle w:val="NormalWeb"/>
        <w:bidi w:val="0"/>
        <w:spacing w:before="120" w:after="0" w:line="276" w:lineRule="auto"/>
        <w:jc w:val="center"/>
        <w:rPr>
          <w:rFonts w:ascii="Book Antiqua" w:hAnsi="Book Antiqua"/>
          <w:b/>
          <w:caps/>
          <w:color w:val="000000"/>
          <w:spacing w:val="30"/>
          <w:sz w:val="22"/>
          <w:szCs w:val="22"/>
        </w:rPr>
      </w:pPr>
    </w:p>
    <w:p w:rsidR="008E6916" w:rsidRPr="00BE66C9">
      <w:pPr>
        <w:pStyle w:val="NormalWeb"/>
        <w:bidi w:val="0"/>
        <w:spacing w:before="120" w:after="0" w:line="276" w:lineRule="auto"/>
        <w:rPr>
          <w:rFonts w:ascii="Book Antiqua" w:hAnsi="Book Antiqua"/>
          <w:b/>
          <w:caps/>
          <w:color w:val="000000"/>
          <w:spacing w:val="30"/>
          <w:sz w:val="22"/>
          <w:szCs w:val="22"/>
        </w:rPr>
      </w:pPr>
    </w:p>
    <w:p w:rsidR="008E6916" w:rsidRPr="00BE66C9">
      <w:pPr>
        <w:pStyle w:val="NormalWeb"/>
        <w:bidi w:val="0"/>
        <w:spacing w:before="120" w:after="0" w:line="276" w:lineRule="auto"/>
        <w:jc w:val="center"/>
        <w:rPr>
          <w:rFonts w:ascii="Book Antiqua" w:hAnsi="Book Antiqua"/>
          <w:sz w:val="22"/>
          <w:szCs w:val="22"/>
        </w:rPr>
      </w:pPr>
    </w:p>
    <w:p w:rsidR="008E6916" w:rsidRPr="00BE66C9">
      <w:pPr>
        <w:pStyle w:val="NormalWeb"/>
        <w:pageBreakBefore/>
        <w:bidi w:val="0"/>
        <w:spacing w:before="120" w:after="0" w:line="276" w:lineRule="auto"/>
        <w:jc w:val="center"/>
        <w:rPr>
          <w:rFonts w:ascii="Book Antiqua" w:hAnsi="Book Antiqua"/>
          <w:sz w:val="22"/>
          <w:szCs w:val="22"/>
        </w:rPr>
      </w:pPr>
      <w:r w:rsidRPr="00BE66C9">
        <w:rPr>
          <w:rFonts w:ascii="Book Antiqua" w:hAnsi="Book Antiqua"/>
          <w:b/>
          <w:caps/>
          <w:color w:val="000000"/>
          <w:spacing w:val="30"/>
          <w:sz w:val="22"/>
          <w:szCs w:val="22"/>
        </w:rPr>
        <w:t>Doložka</w:t>
      </w:r>
    </w:p>
    <w:p w:rsidR="008E6916" w:rsidRPr="00BE66C9">
      <w:pPr>
        <w:pStyle w:val="NormalWeb"/>
        <w:bidi w:val="0"/>
        <w:spacing w:before="120" w:after="0" w:line="276" w:lineRule="auto"/>
        <w:jc w:val="center"/>
        <w:rPr>
          <w:rFonts w:ascii="Book Antiqua" w:hAnsi="Book Antiqua"/>
          <w:sz w:val="22"/>
          <w:szCs w:val="22"/>
        </w:rPr>
      </w:pPr>
      <w:r w:rsidRPr="00BE66C9">
        <w:rPr>
          <w:rFonts w:ascii="Book Antiqua" w:hAnsi="Book Antiqua"/>
          <w:b/>
          <w:color w:val="000000"/>
          <w:sz w:val="22"/>
          <w:szCs w:val="22"/>
        </w:rPr>
        <w:t>vybraných vplyvov</w:t>
      </w:r>
    </w:p>
    <w:p w:rsidR="008E6916" w:rsidRPr="00BE66C9">
      <w:pPr>
        <w:pStyle w:val="NormalWeb"/>
        <w:bidi w:val="0"/>
        <w:spacing w:before="120" w:after="0" w:line="276" w:lineRule="auto"/>
        <w:rPr>
          <w:rFonts w:ascii="Book Antiqua" w:hAnsi="Book Antiqua"/>
          <w:sz w:val="22"/>
          <w:szCs w:val="22"/>
        </w:rPr>
      </w:pPr>
      <w:r w:rsidRPr="00BE66C9">
        <w:rPr>
          <w:rFonts w:ascii="Book Antiqua" w:hAnsi="Book Antiqua"/>
          <w:color w:val="000000"/>
          <w:sz w:val="22"/>
          <w:szCs w:val="22"/>
        </w:rPr>
        <w:t> </w:t>
      </w:r>
    </w:p>
    <w:p w:rsidR="008E6916" w:rsidRPr="00BE66C9">
      <w:pPr>
        <w:bidi w:val="0"/>
        <w:spacing w:before="120" w:line="276" w:lineRule="auto"/>
        <w:jc w:val="both"/>
        <w:rPr>
          <w:rFonts w:ascii="Book Antiqua" w:hAnsi="Book Antiqua"/>
          <w:sz w:val="22"/>
          <w:szCs w:val="22"/>
        </w:rPr>
      </w:pPr>
      <w:r w:rsidRPr="00BE66C9">
        <w:rPr>
          <w:rFonts w:ascii="Book Antiqua" w:hAnsi="Book Antiqua"/>
          <w:b/>
          <w:color w:val="000000"/>
          <w:sz w:val="22"/>
          <w:szCs w:val="22"/>
        </w:rPr>
        <w:t xml:space="preserve">A.1. Názov materiálu: </w:t>
      </w:r>
      <w:r w:rsidRPr="00BE66C9">
        <w:rPr>
          <w:rFonts w:ascii="Book Antiqua" w:hAnsi="Book Antiqua"/>
          <w:sz w:val="22"/>
          <w:szCs w:val="22"/>
        </w:rPr>
        <w:t>návrh zákona, ktorým sa mení a dopĺňa zákon Národnej rady Slovenskej republiky č. 39/1993 Z. z. o Najvyššom kontrolnom úrade Slovenskej  republiky</w:t>
      </w:r>
      <w:r w:rsidRPr="00BE66C9">
        <w:rPr>
          <w:rFonts w:ascii="Book Antiqua" w:hAnsi="Book Antiqua"/>
          <w:b/>
          <w:sz w:val="22"/>
          <w:szCs w:val="22"/>
        </w:rPr>
        <w:t xml:space="preserve"> </w:t>
      </w:r>
      <w:r w:rsidRPr="00BE66C9">
        <w:rPr>
          <w:rFonts w:ascii="Book Antiqua" w:hAnsi="Book Antiqua"/>
          <w:sz w:val="22"/>
          <w:szCs w:val="22"/>
        </w:rPr>
        <w:t>v znení neskorších predpisov a ktorým sa menia a dopĺňajú niektoré zákony</w:t>
      </w:r>
    </w:p>
    <w:p w:rsidR="008E6916" w:rsidRPr="00BE66C9">
      <w:pPr>
        <w:pStyle w:val="NormalWeb"/>
        <w:bidi w:val="0"/>
        <w:spacing w:before="120" w:after="0" w:line="276" w:lineRule="auto"/>
        <w:jc w:val="both"/>
        <w:rPr>
          <w:rFonts w:ascii="Book Antiqua" w:hAnsi="Book Antiqua"/>
          <w:sz w:val="22"/>
          <w:szCs w:val="22"/>
        </w:rPr>
      </w:pPr>
      <w:r w:rsidRPr="00BE66C9">
        <w:rPr>
          <w:rFonts w:ascii="Book Antiqua" w:hAnsi="Book Antiqua"/>
          <w:b/>
          <w:color w:val="000000"/>
          <w:sz w:val="22"/>
          <w:szCs w:val="22"/>
        </w:rPr>
        <w:t>Termín začatia a ukončenia PPK:</w:t>
      </w:r>
      <w:r w:rsidRPr="00BE66C9">
        <w:rPr>
          <w:rFonts w:ascii="Book Antiqua" w:hAnsi="Book Antiqua"/>
          <w:color w:val="000000"/>
          <w:sz w:val="22"/>
          <w:szCs w:val="22"/>
        </w:rPr>
        <w:t xml:space="preserve"> </w:t>
      </w:r>
      <w:r w:rsidRPr="00BE66C9">
        <w:rPr>
          <w:rFonts w:ascii="Book Antiqua" w:hAnsi="Book Antiqua"/>
          <w:i/>
          <w:color w:val="000000"/>
          <w:sz w:val="22"/>
          <w:szCs w:val="22"/>
        </w:rPr>
        <w:t>bezpredmetné</w:t>
      </w:r>
    </w:p>
    <w:p w:rsidR="008E6916" w:rsidRPr="00BE66C9">
      <w:pPr>
        <w:pStyle w:val="NormalWeb"/>
        <w:bidi w:val="0"/>
        <w:spacing w:before="120" w:after="0" w:line="276" w:lineRule="auto"/>
        <w:jc w:val="both"/>
        <w:rPr>
          <w:rFonts w:ascii="Book Antiqua" w:hAnsi="Book Antiqua"/>
          <w:sz w:val="22"/>
          <w:szCs w:val="22"/>
        </w:rPr>
      </w:pPr>
    </w:p>
    <w:p w:rsidR="008E6916" w:rsidRPr="00BE66C9">
      <w:pPr>
        <w:pStyle w:val="NormalWeb"/>
        <w:bidi w:val="0"/>
        <w:spacing w:before="120" w:after="0" w:line="276" w:lineRule="auto"/>
        <w:jc w:val="both"/>
        <w:rPr>
          <w:rFonts w:ascii="Book Antiqua" w:hAnsi="Book Antiqua"/>
          <w:sz w:val="22"/>
          <w:szCs w:val="22"/>
        </w:rPr>
      </w:pPr>
      <w:r w:rsidRPr="00BE66C9">
        <w:rPr>
          <w:rFonts w:ascii="Book Antiqua" w:hAnsi="Book Antiqua"/>
          <w:b/>
          <w:color w:val="000000"/>
          <w:sz w:val="22"/>
          <w:szCs w:val="22"/>
        </w:rPr>
        <w:t>A.2. Vplyvy:</w:t>
      </w:r>
    </w:p>
    <w:tbl>
      <w:tblPr>
        <w:tblStyle w:val="TableNormal"/>
        <w:tblW w:w="9222" w:type="dxa"/>
        <w:tblLayout w:type="fixed"/>
        <w:tblCellMar>
          <w:left w:w="0" w:type="dxa"/>
          <w:right w:w="0" w:type="dxa"/>
        </w:tblCellMar>
      </w:tblPr>
      <w:tblGrid>
        <w:gridCol w:w="5508"/>
        <w:gridCol w:w="1304"/>
        <w:gridCol w:w="993"/>
        <w:gridCol w:w="1417"/>
      </w:tblGrid>
      <w:tr>
        <w:tblPrEx>
          <w:tblW w:w="9222" w:type="dxa"/>
          <w:tblLayout w:type="fixed"/>
          <w:tblCellMar>
            <w:left w:w="0" w:type="dxa"/>
            <w:right w:w="0" w:type="dxa"/>
          </w:tblCellMar>
        </w:tblPrEx>
        <w:tc>
          <w:tcPr>
            <w:tcW w:w="5508" w:type="dxa"/>
            <w:tcBorders>
              <w:top w:val="single" w:sz="6" w:space="0" w:color="000001"/>
              <w:left w:val="single" w:sz="6" w:space="0" w:color="000001"/>
              <w:bottom w:val="single" w:sz="6" w:space="0" w:color="000001"/>
              <w:right w:val="single" w:sz="6" w:space="0" w:color="000001"/>
            </w:tcBorders>
            <w:textDirection w:val="lrTb"/>
            <w:vAlign w:val="center"/>
          </w:tcPr>
          <w:p w:rsidR="008E6916" w:rsidRPr="00BE66C9" w:rsidP="002368E3">
            <w:pPr>
              <w:pStyle w:val="NormalWeb"/>
              <w:bidi w:val="0"/>
              <w:spacing w:before="120" w:after="0" w:line="276" w:lineRule="auto"/>
              <w:rPr>
                <w:rFonts w:ascii="Book Antiqua" w:hAnsi="Book Antiqua"/>
                <w:sz w:val="22"/>
                <w:szCs w:val="22"/>
              </w:rPr>
            </w:pPr>
            <w:r w:rsidRPr="00BE66C9">
              <w:rPr>
                <w:rFonts w:ascii="Book Antiqua" w:hAnsi="Book Antiqua"/>
                <w:color w:val="000000"/>
                <w:sz w:val="22"/>
                <w:szCs w:val="22"/>
              </w:rPr>
              <w:t> </w:t>
            </w:r>
          </w:p>
        </w:tc>
        <w:tc>
          <w:tcPr>
            <w:tcW w:w="1304" w:type="dxa"/>
            <w:tcBorders>
              <w:top w:val="single" w:sz="6" w:space="0" w:color="000001"/>
              <w:left w:val="single" w:sz="6" w:space="0" w:color="000001"/>
              <w:bottom w:val="single" w:sz="6" w:space="0" w:color="000001"/>
              <w:right w:val="single" w:sz="6" w:space="0" w:color="000001"/>
            </w:tcBorders>
            <w:tcMar>
              <w:left w:w="108" w:type="dxa"/>
              <w:right w:w="108" w:type="dxa"/>
            </w:tcMar>
            <w:textDirection w:val="lrTb"/>
            <w:vAlign w:val="center"/>
          </w:tcPr>
          <w:p w:rsidR="008E6916" w:rsidRPr="00BE66C9" w:rsidP="002368E3">
            <w:pPr>
              <w:pStyle w:val="NormalWeb"/>
              <w:bidi w:val="0"/>
              <w:spacing w:before="120" w:after="0" w:line="276" w:lineRule="auto"/>
              <w:jc w:val="center"/>
              <w:rPr>
                <w:rFonts w:ascii="Book Antiqua" w:hAnsi="Book Antiqua"/>
                <w:sz w:val="22"/>
                <w:szCs w:val="22"/>
              </w:rPr>
            </w:pPr>
            <w:r w:rsidRPr="00BE66C9">
              <w:rPr>
                <w:rFonts w:ascii="Book Antiqua" w:hAnsi="Book Antiqua"/>
                <w:color w:val="000000"/>
                <w:sz w:val="22"/>
                <w:szCs w:val="22"/>
              </w:rPr>
              <w:t> Pozitívne </w:t>
            </w:r>
          </w:p>
        </w:tc>
        <w:tc>
          <w:tcPr>
            <w:tcW w:w="993" w:type="dxa"/>
            <w:tcBorders>
              <w:top w:val="single" w:sz="6" w:space="0" w:color="000001"/>
              <w:left w:val="single" w:sz="6" w:space="0" w:color="000001"/>
              <w:bottom w:val="single" w:sz="6" w:space="0" w:color="000001"/>
              <w:right w:val="single" w:sz="6" w:space="0" w:color="000001"/>
            </w:tcBorders>
            <w:tcMar>
              <w:left w:w="108" w:type="dxa"/>
              <w:right w:w="108" w:type="dxa"/>
            </w:tcMar>
            <w:textDirection w:val="lrTb"/>
            <w:vAlign w:val="center"/>
          </w:tcPr>
          <w:p w:rsidR="008E6916" w:rsidRPr="00BE66C9" w:rsidP="002368E3">
            <w:pPr>
              <w:pStyle w:val="NormalWeb"/>
              <w:bidi w:val="0"/>
              <w:spacing w:before="120" w:after="0" w:line="276" w:lineRule="auto"/>
              <w:jc w:val="center"/>
              <w:rPr>
                <w:rFonts w:ascii="Book Antiqua" w:hAnsi="Book Antiqua"/>
                <w:sz w:val="22"/>
                <w:szCs w:val="22"/>
              </w:rPr>
            </w:pPr>
            <w:r w:rsidRPr="00BE66C9">
              <w:rPr>
                <w:rFonts w:ascii="Book Antiqua" w:hAnsi="Book Antiqua"/>
                <w:color w:val="000000"/>
                <w:sz w:val="22"/>
                <w:szCs w:val="22"/>
              </w:rPr>
              <w:t> Žiadne </w:t>
            </w:r>
          </w:p>
        </w:tc>
        <w:tc>
          <w:tcPr>
            <w:tcW w:w="1417" w:type="dxa"/>
            <w:tcBorders>
              <w:top w:val="single" w:sz="6" w:space="0" w:color="000001"/>
              <w:left w:val="single" w:sz="6" w:space="0" w:color="000001"/>
              <w:bottom w:val="single" w:sz="6" w:space="0" w:color="000001"/>
              <w:right w:val="single" w:sz="6" w:space="0" w:color="000001"/>
            </w:tcBorders>
            <w:tcMar>
              <w:left w:w="108" w:type="dxa"/>
              <w:right w:w="108" w:type="dxa"/>
            </w:tcMar>
            <w:textDirection w:val="lrTb"/>
            <w:vAlign w:val="center"/>
          </w:tcPr>
          <w:p w:rsidR="008E6916" w:rsidRPr="00BE66C9" w:rsidP="002368E3">
            <w:pPr>
              <w:pStyle w:val="NormalWeb"/>
              <w:bidi w:val="0"/>
              <w:spacing w:before="120" w:after="0" w:line="276" w:lineRule="auto"/>
              <w:jc w:val="center"/>
              <w:rPr>
                <w:rFonts w:ascii="Book Antiqua" w:hAnsi="Book Antiqua"/>
                <w:sz w:val="22"/>
                <w:szCs w:val="22"/>
              </w:rPr>
            </w:pPr>
            <w:r w:rsidRPr="00BE66C9">
              <w:rPr>
                <w:rFonts w:ascii="Book Antiqua" w:hAnsi="Book Antiqua"/>
                <w:color w:val="000000"/>
                <w:sz w:val="22"/>
                <w:szCs w:val="22"/>
              </w:rPr>
              <w:t> Negatívne </w:t>
            </w:r>
          </w:p>
        </w:tc>
      </w:tr>
      <w:tr>
        <w:tblPrEx>
          <w:tblW w:w="9222" w:type="dxa"/>
          <w:tblLayout w:type="fixed"/>
          <w:tblCellMar>
            <w:left w:w="0" w:type="dxa"/>
            <w:right w:w="0" w:type="dxa"/>
          </w:tblCellMar>
        </w:tblPrEx>
        <w:tc>
          <w:tcPr>
            <w:tcW w:w="5508" w:type="dxa"/>
            <w:tcBorders>
              <w:top w:val="single" w:sz="6" w:space="0" w:color="000001"/>
              <w:left w:val="single" w:sz="6" w:space="0" w:color="000001"/>
              <w:bottom w:val="single" w:sz="6" w:space="0" w:color="000001"/>
              <w:right w:val="single" w:sz="6" w:space="0" w:color="000001"/>
            </w:tcBorders>
            <w:tcMar>
              <w:left w:w="108" w:type="dxa"/>
              <w:right w:w="108" w:type="dxa"/>
            </w:tcMar>
            <w:textDirection w:val="lrTb"/>
            <w:vAlign w:val="center"/>
          </w:tcPr>
          <w:p w:rsidR="008E6916" w:rsidRPr="00BE66C9" w:rsidP="002368E3">
            <w:pPr>
              <w:pStyle w:val="NormalWeb"/>
              <w:bidi w:val="0"/>
              <w:spacing w:before="120" w:after="0" w:line="276" w:lineRule="auto"/>
              <w:rPr>
                <w:rFonts w:ascii="Book Antiqua" w:hAnsi="Book Antiqua"/>
                <w:sz w:val="22"/>
                <w:szCs w:val="22"/>
              </w:rPr>
            </w:pPr>
            <w:r w:rsidRPr="00BE66C9">
              <w:rPr>
                <w:rFonts w:ascii="Book Antiqua" w:hAnsi="Book Antiqua"/>
                <w:color w:val="000000"/>
                <w:sz w:val="22"/>
                <w:szCs w:val="22"/>
              </w:rPr>
              <w:t>1. Vplyvy na rozpočet verejnej správy</w:t>
            </w:r>
          </w:p>
        </w:tc>
        <w:tc>
          <w:tcPr>
            <w:tcW w:w="1304" w:type="dxa"/>
            <w:tcBorders>
              <w:top w:val="single" w:sz="6" w:space="0" w:color="000001"/>
              <w:left w:val="single" w:sz="6" w:space="0" w:color="000001"/>
              <w:bottom w:val="single" w:sz="6" w:space="0" w:color="000001"/>
              <w:right w:val="single" w:sz="6" w:space="0" w:color="000001"/>
            </w:tcBorders>
            <w:textDirection w:val="lrTb"/>
            <w:vAlign w:val="center"/>
          </w:tcPr>
          <w:p w:rsidR="008E6916" w:rsidRPr="00BE66C9" w:rsidP="002368E3">
            <w:pPr>
              <w:pStyle w:val="NormalWeb"/>
              <w:bidi w:val="0"/>
              <w:spacing w:before="120" w:after="0" w:line="276" w:lineRule="auto"/>
              <w:jc w:val="center"/>
              <w:rPr>
                <w:rFonts w:ascii="Book Antiqua" w:hAnsi="Book Antiqua"/>
                <w:sz w:val="22"/>
                <w:szCs w:val="22"/>
              </w:rPr>
            </w:pPr>
            <w:r w:rsidRPr="00BE66C9">
              <w:rPr>
                <w:rFonts w:ascii="Book Antiqua" w:hAnsi="Book Antiqua"/>
                <w:color w:val="000000"/>
                <w:sz w:val="22"/>
                <w:szCs w:val="22"/>
              </w:rPr>
              <w:t>x </w:t>
            </w:r>
          </w:p>
        </w:tc>
        <w:tc>
          <w:tcPr>
            <w:tcW w:w="993" w:type="dxa"/>
            <w:tcBorders>
              <w:top w:val="single" w:sz="6" w:space="0" w:color="000001"/>
              <w:left w:val="single" w:sz="6" w:space="0" w:color="000001"/>
              <w:bottom w:val="single" w:sz="6" w:space="0" w:color="000001"/>
              <w:right w:val="single" w:sz="6" w:space="0" w:color="000001"/>
            </w:tcBorders>
            <w:textDirection w:val="lrTb"/>
            <w:vAlign w:val="center"/>
          </w:tcPr>
          <w:p w:rsidR="008E6916" w:rsidRPr="00BE66C9" w:rsidP="002368E3">
            <w:pPr>
              <w:pStyle w:val="NormalWeb"/>
              <w:bidi w:val="0"/>
              <w:spacing w:before="120" w:after="0" w:line="276" w:lineRule="auto"/>
              <w:jc w:val="center"/>
              <w:rPr>
                <w:rFonts w:ascii="Book Antiqua" w:hAnsi="Book Antiqua"/>
                <w:sz w:val="22"/>
                <w:szCs w:val="22"/>
              </w:rPr>
            </w:pPr>
          </w:p>
        </w:tc>
        <w:tc>
          <w:tcPr>
            <w:tcW w:w="1417" w:type="dxa"/>
            <w:tcBorders>
              <w:top w:val="single" w:sz="6" w:space="0" w:color="000001"/>
              <w:left w:val="single" w:sz="6" w:space="0" w:color="000001"/>
              <w:bottom w:val="single" w:sz="6" w:space="0" w:color="000001"/>
              <w:right w:val="single" w:sz="6" w:space="0" w:color="000001"/>
            </w:tcBorders>
            <w:textDirection w:val="lrTb"/>
            <w:vAlign w:val="center"/>
          </w:tcPr>
          <w:p w:rsidR="008E6916" w:rsidRPr="00BE66C9" w:rsidP="002368E3">
            <w:pPr>
              <w:pStyle w:val="NormalWeb"/>
              <w:bidi w:val="0"/>
              <w:spacing w:before="120" w:after="0" w:line="276" w:lineRule="auto"/>
              <w:jc w:val="center"/>
              <w:rPr>
                <w:rFonts w:ascii="Book Antiqua" w:hAnsi="Book Antiqua"/>
                <w:sz w:val="22"/>
                <w:szCs w:val="22"/>
              </w:rPr>
            </w:pPr>
          </w:p>
        </w:tc>
      </w:tr>
      <w:tr>
        <w:tblPrEx>
          <w:tblW w:w="9222" w:type="dxa"/>
          <w:tblLayout w:type="fixed"/>
          <w:tblCellMar>
            <w:left w:w="0" w:type="dxa"/>
            <w:right w:w="0" w:type="dxa"/>
          </w:tblCellMar>
        </w:tblPrEx>
        <w:tc>
          <w:tcPr>
            <w:tcW w:w="5508" w:type="dxa"/>
            <w:tcBorders>
              <w:top w:val="single" w:sz="6" w:space="0" w:color="000001"/>
              <w:left w:val="single" w:sz="6" w:space="0" w:color="000001"/>
              <w:bottom w:val="single" w:sz="6" w:space="0" w:color="000001"/>
              <w:right w:val="single" w:sz="6" w:space="0" w:color="000001"/>
            </w:tcBorders>
            <w:tcMar>
              <w:left w:w="108" w:type="dxa"/>
              <w:right w:w="108" w:type="dxa"/>
            </w:tcMar>
            <w:textDirection w:val="lrTb"/>
            <w:vAlign w:val="center"/>
          </w:tcPr>
          <w:p w:rsidR="008E6916" w:rsidRPr="00BE66C9" w:rsidP="002368E3">
            <w:pPr>
              <w:pStyle w:val="NormalWeb"/>
              <w:bidi w:val="0"/>
              <w:spacing w:before="120" w:after="0" w:line="276" w:lineRule="auto"/>
              <w:rPr>
                <w:rFonts w:ascii="Book Antiqua" w:hAnsi="Book Antiqua"/>
                <w:sz w:val="22"/>
                <w:szCs w:val="22"/>
              </w:rPr>
            </w:pPr>
            <w:r w:rsidRPr="00BE66C9">
              <w:rPr>
                <w:rFonts w:ascii="Book Antiqua" w:hAnsi="Book Antiqua"/>
                <w:color w:val="000000"/>
                <w:sz w:val="22"/>
                <w:szCs w:val="22"/>
              </w:rPr>
              <w:t>2. Vplyvy na podnikateľské prostredie – dochádza k zvýšeniu regulačného zaťaženia?</w:t>
            </w:r>
          </w:p>
        </w:tc>
        <w:tc>
          <w:tcPr>
            <w:tcW w:w="1304" w:type="dxa"/>
            <w:tcBorders>
              <w:top w:val="single" w:sz="6" w:space="0" w:color="000001"/>
              <w:left w:val="single" w:sz="6" w:space="0" w:color="000001"/>
              <w:bottom w:val="single" w:sz="6" w:space="0" w:color="000001"/>
              <w:right w:val="single" w:sz="6" w:space="0" w:color="000001"/>
            </w:tcBorders>
            <w:textDirection w:val="lrTb"/>
            <w:vAlign w:val="center"/>
          </w:tcPr>
          <w:p w:rsidR="008E6916" w:rsidRPr="00BE66C9" w:rsidP="002368E3">
            <w:pPr>
              <w:pStyle w:val="NormalWeb"/>
              <w:bidi w:val="0"/>
              <w:spacing w:before="120" w:after="0" w:line="276" w:lineRule="auto"/>
              <w:jc w:val="center"/>
              <w:rPr>
                <w:rFonts w:ascii="Book Antiqua" w:hAnsi="Book Antiqua"/>
                <w:sz w:val="22"/>
                <w:szCs w:val="22"/>
              </w:rPr>
            </w:pPr>
          </w:p>
        </w:tc>
        <w:tc>
          <w:tcPr>
            <w:tcW w:w="993" w:type="dxa"/>
            <w:tcBorders>
              <w:top w:val="single" w:sz="6" w:space="0" w:color="000001"/>
              <w:left w:val="single" w:sz="6" w:space="0" w:color="000001"/>
              <w:bottom w:val="single" w:sz="6" w:space="0" w:color="000001"/>
              <w:right w:val="single" w:sz="6" w:space="0" w:color="000001"/>
            </w:tcBorders>
            <w:textDirection w:val="lrTb"/>
            <w:vAlign w:val="center"/>
          </w:tcPr>
          <w:p w:rsidR="008E6916" w:rsidRPr="00BE66C9" w:rsidP="002368E3">
            <w:pPr>
              <w:pStyle w:val="NormalWeb"/>
              <w:bidi w:val="0"/>
              <w:spacing w:before="120" w:after="0" w:line="276" w:lineRule="auto"/>
              <w:jc w:val="center"/>
              <w:rPr>
                <w:rFonts w:ascii="Book Antiqua" w:hAnsi="Book Antiqua"/>
                <w:sz w:val="22"/>
                <w:szCs w:val="22"/>
              </w:rPr>
            </w:pPr>
            <w:r w:rsidRPr="00BE66C9">
              <w:rPr>
                <w:rFonts w:ascii="Book Antiqua" w:hAnsi="Book Antiqua"/>
                <w:sz w:val="22"/>
                <w:szCs w:val="22"/>
              </w:rPr>
              <w:t>x</w:t>
            </w:r>
          </w:p>
        </w:tc>
        <w:tc>
          <w:tcPr>
            <w:tcW w:w="1417" w:type="dxa"/>
            <w:tcBorders>
              <w:top w:val="single" w:sz="6" w:space="0" w:color="000001"/>
              <w:left w:val="single" w:sz="6" w:space="0" w:color="000001"/>
              <w:bottom w:val="single" w:sz="6" w:space="0" w:color="000001"/>
              <w:right w:val="single" w:sz="6" w:space="0" w:color="000001"/>
            </w:tcBorders>
            <w:textDirection w:val="lrTb"/>
            <w:vAlign w:val="center"/>
          </w:tcPr>
          <w:p w:rsidR="008E6916" w:rsidRPr="00BE66C9" w:rsidP="002368E3">
            <w:pPr>
              <w:pStyle w:val="NormalWeb"/>
              <w:bidi w:val="0"/>
              <w:spacing w:before="120" w:after="0" w:line="276" w:lineRule="auto"/>
              <w:jc w:val="center"/>
              <w:rPr>
                <w:rFonts w:ascii="Book Antiqua" w:hAnsi="Book Antiqua"/>
                <w:sz w:val="22"/>
                <w:szCs w:val="22"/>
              </w:rPr>
            </w:pPr>
          </w:p>
        </w:tc>
      </w:tr>
      <w:tr>
        <w:tblPrEx>
          <w:tblW w:w="9222" w:type="dxa"/>
          <w:tblLayout w:type="fixed"/>
          <w:tblCellMar>
            <w:left w:w="0" w:type="dxa"/>
            <w:right w:w="0" w:type="dxa"/>
          </w:tblCellMar>
        </w:tblPrEx>
        <w:tc>
          <w:tcPr>
            <w:tcW w:w="5508" w:type="dxa"/>
            <w:tcBorders>
              <w:top w:val="single" w:sz="6" w:space="0" w:color="000001"/>
              <w:left w:val="single" w:sz="6" w:space="0" w:color="000001"/>
              <w:bottom w:val="single" w:sz="6" w:space="0" w:color="000001"/>
              <w:right w:val="single" w:sz="6" w:space="0" w:color="000001"/>
            </w:tcBorders>
            <w:tcMar>
              <w:left w:w="108" w:type="dxa"/>
              <w:right w:w="108" w:type="dxa"/>
            </w:tcMar>
            <w:textDirection w:val="lrTb"/>
            <w:vAlign w:val="center"/>
          </w:tcPr>
          <w:p w:rsidR="008E6916" w:rsidRPr="00BE66C9" w:rsidP="002368E3">
            <w:pPr>
              <w:pStyle w:val="NormalWeb"/>
              <w:bidi w:val="0"/>
              <w:spacing w:before="120" w:after="0" w:line="276" w:lineRule="auto"/>
              <w:rPr>
                <w:rFonts w:ascii="Book Antiqua" w:hAnsi="Book Antiqua"/>
                <w:sz w:val="22"/>
                <w:szCs w:val="22"/>
              </w:rPr>
            </w:pPr>
            <w:r w:rsidRPr="00BE66C9">
              <w:rPr>
                <w:rFonts w:ascii="Book Antiqua" w:hAnsi="Book Antiqua"/>
                <w:color w:val="000000"/>
                <w:sz w:val="22"/>
                <w:szCs w:val="22"/>
              </w:rPr>
              <w:t>3. Sociálne vplyvy</w:t>
            </w:r>
          </w:p>
        </w:tc>
        <w:tc>
          <w:tcPr>
            <w:tcW w:w="1304" w:type="dxa"/>
            <w:tcBorders>
              <w:top w:val="single" w:sz="6" w:space="0" w:color="000001"/>
              <w:left w:val="single" w:sz="6" w:space="0" w:color="000001"/>
              <w:bottom w:val="single" w:sz="6" w:space="0" w:color="000001"/>
              <w:right w:val="single" w:sz="6" w:space="0" w:color="000001"/>
            </w:tcBorders>
            <w:textDirection w:val="lrTb"/>
            <w:vAlign w:val="center"/>
          </w:tcPr>
          <w:p w:rsidR="008E6916" w:rsidRPr="00BE66C9" w:rsidP="002368E3">
            <w:pPr>
              <w:pStyle w:val="NormalWeb"/>
              <w:bidi w:val="0"/>
              <w:spacing w:before="120" w:after="0" w:line="276" w:lineRule="auto"/>
              <w:jc w:val="center"/>
              <w:rPr>
                <w:rFonts w:ascii="Book Antiqua" w:hAnsi="Book Antiqua"/>
                <w:sz w:val="22"/>
                <w:szCs w:val="22"/>
              </w:rPr>
            </w:pPr>
          </w:p>
        </w:tc>
        <w:tc>
          <w:tcPr>
            <w:tcW w:w="993" w:type="dxa"/>
            <w:tcBorders>
              <w:top w:val="single" w:sz="6" w:space="0" w:color="000001"/>
              <w:left w:val="single" w:sz="6" w:space="0" w:color="000001"/>
              <w:bottom w:val="single" w:sz="6" w:space="0" w:color="000001"/>
              <w:right w:val="single" w:sz="6" w:space="0" w:color="000001"/>
            </w:tcBorders>
            <w:textDirection w:val="lrTb"/>
            <w:vAlign w:val="center"/>
          </w:tcPr>
          <w:p w:rsidR="008E6916" w:rsidRPr="00BE66C9" w:rsidP="002368E3">
            <w:pPr>
              <w:pStyle w:val="NormalWeb"/>
              <w:bidi w:val="0"/>
              <w:spacing w:before="120" w:after="0" w:line="276" w:lineRule="auto"/>
              <w:jc w:val="center"/>
              <w:rPr>
                <w:rFonts w:ascii="Book Antiqua" w:hAnsi="Book Antiqua"/>
                <w:sz w:val="22"/>
                <w:szCs w:val="22"/>
              </w:rPr>
            </w:pPr>
            <w:r w:rsidRPr="00BE66C9">
              <w:rPr>
                <w:rFonts w:ascii="Book Antiqua" w:hAnsi="Book Antiqua"/>
                <w:sz w:val="22"/>
                <w:szCs w:val="22"/>
              </w:rPr>
              <w:t>x</w:t>
            </w:r>
          </w:p>
        </w:tc>
        <w:tc>
          <w:tcPr>
            <w:tcW w:w="1417" w:type="dxa"/>
            <w:tcBorders>
              <w:top w:val="single" w:sz="6" w:space="0" w:color="000001"/>
              <w:left w:val="single" w:sz="6" w:space="0" w:color="000001"/>
              <w:bottom w:val="single" w:sz="6" w:space="0" w:color="000001"/>
              <w:right w:val="single" w:sz="6" w:space="0" w:color="000001"/>
            </w:tcBorders>
            <w:textDirection w:val="lrTb"/>
            <w:vAlign w:val="center"/>
          </w:tcPr>
          <w:p w:rsidR="008E6916" w:rsidRPr="00BE66C9" w:rsidP="002368E3">
            <w:pPr>
              <w:pStyle w:val="NormalWeb"/>
              <w:bidi w:val="0"/>
              <w:spacing w:before="120" w:after="0" w:line="276" w:lineRule="auto"/>
              <w:rPr>
                <w:rFonts w:ascii="Book Antiqua" w:hAnsi="Book Antiqua"/>
                <w:sz w:val="22"/>
                <w:szCs w:val="22"/>
              </w:rPr>
            </w:pPr>
            <w:r w:rsidRPr="00BE66C9">
              <w:rPr>
                <w:rFonts w:ascii="Book Antiqua" w:hAnsi="Book Antiqua"/>
                <w:color w:val="000000"/>
                <w:sz w:val="22"/>
                <w:szCs w:val="22"/>
              </w:rPr>
              <w:t> </w:t>
            </w:r>
          </w:p>
        </w:tc>
      </w:tr>
      <w:tr>
        <w:tblPrEx>
          <w:tblW w:w="9222" w:type="dxa"/>
          <w:tblLayout w:type="fixed"/>
          <w:tblCellMar>
            <w:left w:w="0" w:type="dxa"/>
            <w:right w:w="0" w:type="dxa"/>
          </w:tblCellMar>
        </w:tblPrEx>
        <w:tc>
          <w:tcPr>
            <w:tcW w:w="5508" w:type="dxa"/>
            <w:tcBorders>
              <w:top w:val="single" w:sz="6" w:space="0" w:color="000001"/>
              <w:left w:val="single" w:sz="6" w:space="0" w:color="000001"/>
              <w:bottom w:val="single" w:sz="6" w:space="0" w:color="000001"/>
              <w:right w:val="single" w:sz="6" w:space="0" w:color="000001"/>
            </w:tcBorders>
            <w:textDirection w:val="lrTb"/>
            <w:vAlign w:val="center"/>
          </w:tcPr>
          <w:p w:rsidR="008E6916" w:rsidRPr="00BE66C9" w:rsidP="002368E3">
            <w:pPr>
              <w:pStyle w:val="NormalWeb"/>
              <w:bidi w:val="0"/>
              <w:spacing w:before="120" w:after="0" w:line="276" w:lineRule="auto"/>
              <w:rPr>
                <w:rFonts w:ascii="Book Antiqua" w:hAnsi="Book Antiqua"/>
                <w:sz w:val="22"/>
                <w:szCs w:val="22"/>
              </w:rPr>
            </w:pPr>
            <w:r w:rsidRPr="00BE66C9">
              <w:rPr>
                <w:rFonts w:ascii="Book Antiqua" w:hAnsi="Book Antiqua"/>
                <w:color w:val="000000"/>
                <w:sz w:val="22"/>
                <w:szCs w:val="22"/>
              </w:rPr>
              <w:t>– vplyvy na hospodárenie obyvateľstva,</w:t>
            </w:r>
          </w:p>
        </w:tc>
        <w:tc>
          <w:tcPr>
            <w:tcW w:w="1304" w:type="dxa"/>
            <w:tcBorders>
              <w:top w:val="single" w:sz="6" w:space="0" w:color="000001"/>
              <w:left w:val="single" w:sz="6" w:space="0" w:color="000001"/>
              <w:bottom w:val="single" w:sz="6" w:space="0" w:color="000001"/>
              <w:right w:val="single" w:sz="6" w:space="0" w:color="000001"/>
            </w:tcBorders>
            <w:textDirection w:val="lrTb"/>
            <w:vAlign w:val="center"/>
          </w:tcPr>
          <w:p w:rsidR="008E6916" w:rsidRPr="00BE66C9" w:rsidP="002368E3">
            <w:pPr>
              <w:pStyle w:val="NormalWeb"/>
              <w:bidi w:val="0"/>
              <w:spacing w:before="120" w:after="0" w:line="276" w:lineRule="auto"/>
              <w:jc w:val="center"/>
              <w:rPr>
                <w:rFonts w:ascii="Book Antiqua" w:hAnsi="Book Antiqua"/>
                <w:sz w:val="22"/>
                <w:szCs w:val="22"/>
              </w:rPr>
            </w:pPr>
          </w:p>
        </w:tc>
        <w:tc>
          <w:tcPr>
            <w:tcW w:w="993" w:type="dxa"/>
            <w:tcBorders>
              <w:top w:val="single" w:sz="6" w:space="0" w:color="000001"/>
              <w:left w:val="single" w:sz="6" w:space="0" w:color="000001"/>
              <w:bottom w:val="single" w:sz="6" w:space="0" w:color="000001"/>
              <w:right w:val="single" w:sz="6" w:space="0" w:color="000001"/>
            </w:tcBorders>
            <w:textDirection w:val="lrTb"/>
            <w:vAlign w:val="center"/>
          </w:tcPr>
          <w:p w:rsidR="008E6916" w:rsidRPr="00BE66C9" w:rsidP="002368E3">
            <w:pPr>
              <w:pStyle w:val="NormalWeb"/>
              <w:bidi w:val="0"/>
              <w:spacing w:before="120" w:after="0" w:line="276" w:lineRule="auto"/>
              <w:jc w:val="center"/>
              <w:rPr>
                <w:rFonts w:ascii="Book Antiqua" w:hAnsi="Book Antiqua"/>
                <w:sz w:val="22"/>
                <w:szCs w:val="22"/>
              </w:rPr>
            </w:pPr>
            <w:r w:rsidRPr="00BE66C9">
              <w:rPr>
                <w:rFonts w:ascii="Book Antiqua" w:hAnsi="Book Antiqua"/>
                <w:sz w:val="22"/>
                <w:szCs w:val="22"/>
              </w:rPr>
              <w:t>x</w:t>
            </w:r>
          </w:p>
        </w:tc>
        <w:tc>
          <w:tcPr>
            <w:tcW w:w="1417" w:type="dxa"/>
            <w:tcBorders>
              <w:top w:val="single" w:sz="6" w:space="0" w:color="000001"/>
              <w:left w:val="single" w:sz="6" w:space="0" w:color="000001"/>
              <w:bottom w:val="single" w:sz="6" w:space="0" w:color="000001"/>
              <w:right w:val="single" w:sz="6" w:space="0" w:color="000001"/>
            </w:tcBorders>
            <w:textDirection w:val="lrTb"/>
            <w:vAlign w:val="center"/>
          </w:tcPr>
          <w:p w:rsidR="008E6916" w:rsidRPr="00BE66C9" w:rsidP="002368E3">
            <w:pPr>
              <w:pStyle w:val="NormalWeb"/>
              <w:bidi w:val="0"/>
              <w:spacing w:before="120" w:after="0" w:line="276" w:lineRule="auto"/>
              <w:jc w:val="center"/>
              <w:rPr>
                <w:rFonts w:ascii="Book Antiqua" w:hAnsi="Book Antiqua"/>
                <w:sz w:val="22"/>
                <w:szCs w:val="22"/>
              </w:rPr>
            </w:pPr>
            <w:r w:rsidRPr="00BE66C9">
              <w:rPr>
                <w:rFonts w:ascii="Book Antiqua" w:hAnsi="Book Antiqua"/>
                <w:color w:val="000000"/>
                <w:sz w:val="22"/>
                <w:szCs w:val="22"/>
              </w:rPr>
              <w:t> </w:t>
            </w:r>
          </w:p>
        </w:tc>
      </w:tr>
      <w:tr>
        <w:tblPrEx>
          <w:tblW w:w="9222" w:type="dxa"/>
          <w:tblLayout w:type="fixed"/>
          <w:tblCellMar>
            <w:left w:w="0" w:type="dxa"/>
            <w:right w:w="0" w:type="dxa"/>
          </w:tblCellMar>
        </w:tblPrEx>
        <w:tc>
          <w:tcPr>
            <w:tcW w:w="5508" w:type="dxa"/>
            <w:tcBorders>
              <w:top w:val="single" w:sz="6" w:space="0" w:color="000001"/>
              <w:left w:val="single" w:sz="6" w:space="0" w:color="000001"/>
              <w:bottom w:val="single" w:sz="6" w:space="0" w:color="000001"/>
              <w:right w:val="single" w:sz="6" w:space="0" w:color="000001"/>
            </w:tcBorders>
            <w:textDirection w:val="lrTb"/>
            <w:vAlign w:val="center"/>
          </w:tcPr>
          <w:p w:rsidR="008E6916" w:rsidRPr="00BE66C9" w:rsidP="002368E3">
            <w:pPr>
              <w:pStyle w:val="NormalWeb"/>
              <w:bidi w:val="0"/>
              <w:spacing w:before="120" w:after="0" w:line="276" w:lineRule="auto"/>
              <w:rPr>
                <w:rFonts w:ascii="Book Antiqua" w:hAnsi="Book Antiqua"/>
                <w:sz w:val="22"/>
                <w:szCs w:val="22"/>
              </w:rPr>
            </w:pPr>
            <w:r w:rsidRPr="00BE66C9">
              <w:rPr>
                <w:rFonts w:ascii="Book Antiqua" w:hAnsi="Book Antiqua"/>
                <w:color w:val="000000"/>
                <w:sz w:val="22"/>
                <w:szCs w:val="22"/>
              </w:rPr>
              <w:t>– sociálnu exklúziu,</w:t>
            </w:r>
          </w:p>
        </w:tc>
        <w:tc>
          <w:tcPr>
            <w:tcW w:w="1304" w:type="dxa"/>
            <w:tcBorders>
              <w:top w:val="single" w:sz="6" w:space="0" w:color="000001"/>
              <w:left w:val="single" w:sz="6" w:space="0" w:color="000001"/>
              <w:bottom w:val="single" w:sz="6" w:space="0" w:color="000001"/>
              <w:right w:val="single" w:sz="6" w:space="0" w:color="000001"/>
            </w:tcBorders>
            <w:textDirection w:val="lrTb"/>
            <w:vAlign w:val="center"/>
          </w:tcPr>
          <w:p w:rsidR="008E6916" w:rsidRPr="00BE66C9" w:rsidP="002368E3">
            <w:pPr>
              <w:pStyle w:val="NormalWeb"/>
              <w:bidi w:val="0"/>
              <w:spacing w:before="120" w:after="0" w:line="276" w:lineRule="auto"/>
              <w:jc w:val="center"/>
              <w:rPr>
                <w:rFonts w:ascii="Book Antiqua" w:hAnsi="Book Antiqua"/>
                <w:sz w:val="22"/>
                <w:szCs w:val="22"/>
              </w:rPr>
            </w:pPr>
            <w:r w:rsidRPr="00BE66C9">
              <w:rPr>
                <w:rFonts w:ascii="Book Antiqua" w:hAnsi="Book Antiqua"/>
                <w:color w:val="000000"/>
                <w:sz w:val="22"/>
                <w:szCs w:val="22"/>
              </w:rPr>
              <w:t> </w:t>
            </w:r>
          </w:p>
        </w:tc>
        <w:tc>
          <w:tcPr>
            <w:tcW w:w="993" w:type="dxa"/>
            <w:tcBorders>
              <w:top w:val="single" w:sz="6" w:space="0" w:color="000001"/>
              <w:left w:val="single" w:sz="6" w:space="0" w:color="000001"/>
              <w:bottom w:val="single" w:sz="6" w:space="0" w:color="000001"/>
              <w:right w:val="single" w:sz="6" w:space="0" w:color="000001"/>
            </w:tcBorders>
            <w:textDirection w:val="lrTb"/>
            <w:vAlign w:val="center"/>
          </w:tcPr>
          <w:p w:rsidR="008E6916" w:rsidRPr="00BE66C9" w:rsidP="002368E3">
            <w:pPr>
              <w:pStyle w:val="NormalWeb"/>
              <w:bidi w:val="0"/>
              <w:spacing w:before="120" w:after="0" w:line="276" w:lineRule="auto"/>
              <w:jc w:val="center"/>
              <w:rPr>
                <w:rFonts w:ascii="Book Antiqua" w:hAnsi="Book Antiqua"/>
                <w:sz w:val="22"/>
                <w:szCs w:val="22"/>
              </w:rPr>
            </w:pPr>
            <w:r w:rsidRPr="00BE66C9">
              <w:rPr>
                <w:rFonts w:ascii="Book Antiqua" w:hAnsi="Book Antiqua"/>
                <w:color w:val="000000"/>
                <w:sz w:val="22"/>
                <w:szCs w:val="22"/>
              </w:rPr>
              <w:t>x</w:t>
            </w:r>
          </w:p>
        </w:tc>
        <w:tc>
          <w:tcPr>
            <w:tcW w:w="1417" w:type="dxa"/>
            <w:tcBorders>
              <w:top w:val="single" w:sz="6" w:space="0" w:color="000001"/>
              <w:left w:val="single" w:sz="6" w:space="0" w:color="000001"/>
              <w:bottom w:val="single" w:sz="6" w:space="0" w:color="000001"/>
              <w:right w:val="single" w:sz="6" w:space="0" w:color="000001"/>
            </w:tcBorders>
            <w:textDirection w:val="lrTb"/>
            <w:vAlign w:val="center"/>
          </w:tcPr>
          <w:p w:rsidR="008E6916" w:rsidRPr="00BE66C9" w:rsidP="002368E3">
            <w:pPr>
              <w:pStyle w:val="NormalWeb"/>
              <w:bidi w:val="0"/>
              <w:spacing w:before="120" w:after="0" w:line="276" w:lineRule="auto"/>
              <w:jc w:val="center"/>
              <w:rPr>
                <w:rFonts w:ascii="Book Antiqua" w:hAnsi="Book Antiqua"/>
                <w:sz w:val="22"/>
                <w:szCs w:val="22"/>
              </w:rPr>
            </w:pPr>
            <w:r w:rsidRPr="00BE66C9">
              <w:rPr>
                <w:rFonts w:ascii="Book Antiqua" w:hAnsi="Book Antiqua"/>
                <w:color w:val="000000"/>
                <w:sz w:val="22"/>
                <w:szCs w:val="22"/>
              </w:rPr>
              <w:t> </w:t>
            </w:r>
          </w:p>
        </w:tc>
      </w:tr>
      <w:tr>
        <w:tblPrEx>
          <w:tblW w:w="9222" w:type="dxa"/>
          <w:tblLayout w:type="fixed"/>
          <w:tblCellMar>
            <w:left w:w="0" w:type="dxa"/>
            <w:right w:w="0" w:type="dxa"/>
          </w:tblCellMar>
        </w:tblPrEx>
        <w:tc>
          <w:tcPr>
            <w:tcW w:w="5508" w:type="dxa"/>
            <w:tcBorders>
              <w:top w:val="single" w:sz="6" w:space="0" w:color="000001"/>
              <w:left w:val="single" w:sz="6" w:space="0" w:color="000001"/>
              <w:bottom w:val="single" w:sz="6" w:space="0" w:color="000001"/>
              <w:right w:val="single" w:sz="6" w:space="0" w:color="000001"/>
            </w:tcBorders>
            <w:textDirection w:val="lrTb"/>
            <w:vAlign w:val="center"/>
          </w:tcPr>
          <w:p w:rsidR="008E6916" w:rsidRPr="00BE66C9" w:rsidP="002368E3">
            <w:pPr>
              <w:pStyle w:val="NormalWeb"/>
              <w:bidi w:val="0"/>
              <w:spacing w:before="120" w:after="0" w:line="276" w:lineRule="auto"/>
              <w:rPr>
                <w:rFonts w:ascii="Book Antiqua" w:hAnsi="Book Antiqua"/>
                <w:sz w:val="22"/>
                <w:szCs w:val="22"/>
              </w:rPr>
            </w:pPr>
            <w:r w:rsidRPr="00BE66C9">
              <w:rPr>
                <w:rFonts w:ascii="Book Antiqua" w:hAnsi="Book Antiqua"/>
                <w:color w:val="000000"/>
                <w:sz w:val="22"/>
                <w:szCs w:val="22"/>
              </w:rPr>
              <w:t>– rovnosť príležitostí a rodovú rovnosť a vplyvy na zamestnanosť</w:t>
            </w:r>
          </w:p>
        </w:tc>
        <w:tc>
          <w:tcPr>
            <w:tcW w:w="1304" w:type="dxa"/>
            <w:tcBorders>
              <w:top w:val="single" w:sz="6" w:space="0" w:color="000001"/>
              <w:left w:val="single" w:sz="6" w:space="0" w:color="000001"/>
              <w:bottom w:val="single" w:sz="6" w:space="0" w:color="000001"/>
              <w:right w:val="single" w:sz="6" w:space="0" w:color="000001"/>
            </w:tcBorders>
            <w:textDirection w:val="lrTb"/>
            <w:vAlign w:val="center"/>
          </w:tcPr>
          <w:p w:rsidR="008E6916" w:rsidRPr="00BE66C9" w:rsidP="002368E3">
            <w:pPr>
              <w:pStyle w:val="NormalWeb"/>
              <w:bidi w:val="0"/>
              <w:spacing w:before="120" w:after="0" w:line="276" w:lineRule="auto"/>
              <w:jc w:val="center"/>
              <w:rPr>
                <w:rFonts w:ascii="Book Antiqua" w:hAnsi="Book Antiqua"/>
                <w:sz w:val="22"/>
                <w:szCs w:val="22"/>
              </w:rPr>
            </w:pPr>
          </w:p>
        </w:tc>
        <w:tc>
          <w:tcPr>
            <w:tcW w:w="993" w:type="dxa"/>
            <w:tcBorders>
              <w:top w:val="single" w:sz="6" w:space="0" w:color="000001"/>
              <w:left w:val="single" w:sz="6" w:space="0" w:color="000001"/>
              <w:bottom w:val="single" w:sz="6" w:space="0" w:color="000001"/>
              <w:right w:val="single" w:sz="6" w:space="0" w:color="000001"/>
            </w:tcBorders>
            <w:textDirection w:val="lrTb"/>
            <w:vAlign w:val="center"/>
          </w:tcPr>
          <w:p w:rsidR="008E6916" w:rsidRPr="00BE66C9" w:rsidP="002368E3">
            <w:pPr>
              <w:pStyle w:val="NormalWeb"/>
              <w:bidi w:val="0"/>
              <w:spacing w:before="120" w:after="0" w:line="276" w:lineRule="auto"/>
              <w:jc w:val="center"/>
              <w:rPr>
                <w:rFonts w:ascii="Book Antiqua" w:hAnsi="Book Antiqua"/>
                <w:sz w:val="22"/>
                <w:szCs w:val="22"/>
              </w:rPr>
            </w:pPr>
            <w:r w:rsidRPr="00BE66C9">
              <w:rPr>
                <w:rFonts w:ascii="Book Antiqua" w:hAnsi="Book Antiqua"/>
                <w:sz w:val="22"/>
                <w:szCs w:val="22"/>
              </w:rPr>
              <w:t>x</w:t>
            </w:r>
          </w:p>
        </w:tc>
        <w:tc>
          <w:tcPr>
            <w:tcW w:w="1417" w:type="dxa"/>
            <w:tcBorders>
              <w:top w:val="single" w:sz="6" w:space="0" w:color="000001"/>
              <w:left w:val="single" w:sz="6" w:space="0" w:color="000001"/>
              <w:bottom w:val="single" w:sz="6" w:space="0" w:color="000001"/>
              <w:right w:val="single" w:sz="6" w:space="0" w:color="000001"/>
            </w:tcBorders>
            <w:textDirection w:val="lrTb"/>
            <w:vAlign w:val="center"/>
          </w:tcPr>
          <w:p w:rsidR="008E6916" w:rsidRPr="00BE66C9" w:rsidP="002368E3">
            <w:pPr>
              <w:pStyle w:val="NormalWeb"/>
              <w:bidi w:val="0"/>
              <w:spacing w:before="120" w:after="0" w:line="276" w:lineRule="auto"/>
              <w:jc w:val="center"/>
              <w:rPr>
                <w:rFonts w:ascii="Book Antiqua" w:hAnsi="Book Antiqua"/>
                <w:sz w:val="22"/>
                <w:szCs w:val="22"/>
              </w:rPr>
            </w:pPr>
            <w:r w:rsidRPr="00BE66C9">
              <w:rPr>
                <w:rFonts w:ascii="Book Antiqua" w:hAnsi="Book Antiqua"/>
                <w:color w:val="000000"/>
                <w:sz w:val="22"/>
                <w:szCs w:val="22"/>
              </w:rPr>
              <w:t> </w:t>
            </w:r>
          </w:p>
        </w:tc>
      </w:tr>
      <w:tr>
        <w:tblPrEx>
          <w:tblW w:w="9222" w:type="dxa"/>
          <w:tblLayout w:type="fixed"/>
          <w:tblCellMar>
            <w:left w:w="0" w:type="dxa"/>
            <w:right w:w="0" w:type="dxa"/>
          </w:tblCellMar>
        </w:tblPrEx>
        <w:tc>
          <w:tcPr>
            <w:tcW w:w="5508" w:type="dxa"/>
            <w:tcBorders>
              <w:top w:val="single" w:sz="6" w:space="0" w:color="000001"/>
              <w:left w:val="single" w:sz="6" w:space="0" w:color="000001"/>
              <w:bottom w:val="single" w:sz="6" w:space="0" w:color="000001"/>
              <w:right w:val="single" w:sz="6" w:space="0" w:color="000001"/>
            </w:tcBorders>
            <w:textDirection w:val="lrTb"/>
            <w:vAlign w:val="center"/>
          </w:tcPr>
          <w:p w:rsidR="008E6916" w:rsidRPr="00BE66C9" w:rsidP="002368E3">
            <w:pPr>
              <w:pStyle w:val="NormalWeb"/>
              <w:bidi w:val="0"/>
              <w:spacing w:before="120" w:after="0" w:line="276" w:lineRule="auto"/>
              <w:rPr>
                <w:rFonts w:ascii="Book Antiqua" w:hAnsi="Book Antiqua"/>
                <w:sz w:val="22"/>
                <w:szCs w:val="22"/>
              </w:rPr>
            </w:pPr>
            <w:r w:rsidRPr="00BE66C9">
              <w:rPr>
                <w:rFonts w:ascii="Book Antiqua" w:hAnsi="Book Antiqua"/>
                <w:color w:val="000000"/>
                <w:sz w:val="22"/>
                <w:szCs w:val="22"/>
              </w:rPr>
              <w:t>4. Vplyvy na životné prostredie</w:t>
            </w:r>
          </w:p>
        </w:tc>
        <w:tc>
          <w:tcPr>
            <w:tcW w:w="1304" w:type="dxa"/>
            <w:tcBorders>
              <w:top w:val="single" w:sz="6" w:space="0" w:color="000001"/>
              <w:left w:val="single" w:sz="6" w:space="0" w:color="000001"/>
              <w:bottom w:val="single" w:sz="6" w:space="0" w:color="000001"/>
              <w:right w:val="single" w:sz="6" w:space="0" w:color="000001"/>
            </w:tcBorders>
            <w:textDirection w:val="lrTb"/>
            <w:vAlign w:val="center"/>
          </w:tcPr>
          <w:p w:rsidR="008E6916" w:rsidRPr="00BE66C9" w:rsidP="002368E3">
            <w:pPr>
              <w:pStyle w:val="NormalWeb"/>
              <w:bidi w:val="0"/>
              <w:spacing w:before="120" w:after="0" w:line="276" w:lineRule="auto"/>
              <w:jc w:val="center"/>
              <w:rPr>
                <w:rFonts w:ascii="Book Antiqua" w:hAnsi="Book Antiqua"/>
                <w:sz w:val="22"/>
                <w:szCs w:val="22"/>
              </w:rPr>
            </w:pPr>
            <w:r w:rsidRPr="00BE66C9">
              <w:rPr>
                <w:rFonts w:ascii="Book Antiqua" w:hAnsi="Book Antiqua"/>
                <w:color w:val="000000"/>
                <w:sz w:val="22"/>
                <w:szCs w:val="22"/>
              </w:rPr>
              <w:t> </w:t>
            </w:r>
          </w:p>
        </w:tc>
        <w:tc>
          <w:tcPr>
            <w:tcW w:w="993" w:type="dxa"/>
            <w:tcBorders>
              <w:top w:val="single" w:sz="6" w:space="0" w:color="000001"/>
              <w:left w:val="single" w:sz="6" w:space="0" w:color="000001"/>
              <w:bottom w:val="single" w:sz="6" w:space="0" w:color="000001"/>
              <w:right w:val="single" w:sz="6" w:space="0" w:color="000001"/>
            </w:tcBorders>
            <w:textDirection w:val="lrTb"/>
            <w:vAlign w:val="center"/>
          </w:tcPr>
          <w:p w:rsidR="008E6916" w:rsidRPr="00BE66C9" w:rsidP="002368E3">
            <w:pPr>
              <w:pStyle w:val="NormalWeb"/>
              <w:bidi w:val="0"/>
              <w:spacing w:before="120" w:after="0" w:line="276" w:lineRule="auto"/>
              <w:jc w:val="center"/>
              <w:rPr>
                <w:rFonts w:ascii="Book Antiqua" w:hAnsi="Book Antiqua"/>
                <w:sz w:val="22"/>
                <w:szCs w:val="22"/>
              </w:rPr>
            </w:pPr>
            <w:r w:rsidRPr="00BE66C9">
              <w:rPr>
                <w:rFonts w:ascii="Book Antiqua" w:hAnsi="Book Antiqua"/>
                <w:color w:val="000000"/>
                <w:sz w:val="22"/>
                <w:szCs w:val="22"/>
              </w:rPr>
              <w:t>x</w:t>
            </w:r>
          </w:p>
        </w:tc>
        <w:tc>
          <w:tcPr>
            <w:tcW w:w="1417" w:type="dxa"/>
            <w:tcBorders>
              <w:top w:val="single" w:sz="6" w:space="0" w:color="000001"/>
              <w:left w:val="single" w:sz="6" w:space="0" w:color="000001"/>
              <w:bottom w:val="single" w:sz="6" w:space="0" w:color="000001"/>
              <w:right w:val="single" w:sz="6" w:space="0" w:color="000001"/>
            </w:tcBorders>
            <w:textDirection w:val="lrTb"/>
            <w:vAlign w:val="center"/>
          </w:tcPr>
          <w:p w:rsidR="008E6916" w:rsidRPr="00BE66C9" w:rsidP="002368E3">
            <w:pPr>
              <w:pStyle w:val="NormalWeb"/>
              <w:bidi w:val="0"/>
              <w:spacing w:before="120" w:after="0" w:line="276" w:lineRule="auto"/>
              <w:jc w:val="center"/>
              <w:rPr>
                <w:rFonts w:ascii="Book Antiqua" w:hAnsi="Book Antiqua"/>
                <w:sz w:val="22"/>
                <w:szCs w:val="22"/>
              </w:rPr>
            </w:pPr>
            <w:r w:rsidRPr="00BE66C9">
              <w:rPr>
                <w:rFonts w:ascii="Book Antiqua" w:hAnsi="Book Antiqua"/>
                <w:color w:val="000000"/>
                <w:sz w:val="22"/>
                <w:szCs w:val="22"/>
              </w:rPr>
              <w:t> </w:t>
            </w:r>
          </w:p>
        </w:tc>
      </w:tr>
      <w:tr>
        <w:tblPrEx>
          <w:tblW w:w="9222" w:type="dxa"/>
          <w:tblLayout w:type="fixed"/>
          <w:tblCellMar>
            <w:left w:w="0" w:type="dxa"/>
            <w:right w:w="0" w:type="dxa"/>
          </w:tblCellMar>
        </w:tblPrEx>
        <w:tc>
          <w:tcPr>
            <w:tcW w:w="5508" w:type="dxa"/>
            <w:tcBorders>
              <w:top w:val="single" w:sz="6" w:space="0" w:color="000001"/>
              <w:left w:val="single" w:sz="6" w:space="0" w:color="000001"/>
              <w:bottom w:val="single" w:sz="6" w:space="0" w:color="000001"/>
              <w:right w:val="single" w:sz="6" w:space="0" w:color="000001"/>
            </w:tcBorders>
            <w:textDirection w:val="lrTb"/>
            <w:vAlign w:val="center"/>
          </w:tcPr>
          <w:p w:rsidR="008E6916" w:rsidRPr="00BE66C9" w:rsidP="002368E3">
            <w:pPr>
              <w:pStyle w:val="NormalWeb"/>
              <w:bidi w:val="0"/>
              <w:spacing w:before="120" w:after="0" w:line="276" w:lineRule="auto"/>
              <w:rPr>
                <w:rFonts w:ascii="Book Antiqua" w:hAnsi="Book Antiqua"/>
                <w:sz w:val="22"/>
                <w:szCs w:val="22"/>
              </w:rPr>
            </w:pPr>
            <w:r w:rsidRPr="00BE66C9">
              <w:rPr>
                <w:rFonts w:ascii="Book Antiqua" w:hAnsi="Book Antiqua"/>
                <w:color w:val="000000"/>
                <w:sz w:val="22"/>
                <w:szCs w:val="22"/>
              </w:rPr>
              <w:t>5. Vplyvy na informatizáciu spoločnosti</w:t>
            </w:r>
          </w:p>
        </w:tc>
        <w:tc>
          <w:tcPr>
            <w:tcW w:w="1304" w:type="dxa"/>
            <w:tcBorders>
              <w:top w:val="single" w:sz="6" w:space="0" w:color="000001"/>
              <w:left w:val="single" w:sz="6" w:space="0" w:color="000001"/>
              <w:bottom w:val="single" w:sz="6" w:space="0" w:color="000001"/>
              <w:right w:val="single" w:sz="6" w:space="0" w:color="000001"/>
            </w:tcBorders>
            <w:textDirection w:val="lrTb"/>
            <w:vAlign w:val="center"/>
          </w:tcPr>
          <w:p w:rsidR="008E6916" w:rsidRPr="00BE66C9" w:rsidP="002368E3">
            <w:pPr>
              <w:pStyle w:val="NormalWeb"/>
              <w:bidi w:val="0"/>
              <w:spacing w:before="120" w:after="0" w:line="276" w:lineRule="auto"/>
              <w:jc w:val="center"/>
              <w:rPr>
                <w:rFonts w:ascii="Book Antiqua" w:hAnsi="Book Antiqua"/>
                <w:sz w:val="22"/>
                <w:szCs w:val="22"/>
              </w:rPr>
            </w:pPr>
            <w:r w:rsidRPr="00BE66C9">
              <w:rPr>
                <w:rFonts w:ascii="Book Antiqua" w:hAnsi="Book Antiqua"/>
                <w:color w:val="000000"/>
                <w:sz w:val="22"/>
                <w:szCs w:val="22"/>
              </w:rPr>
              <w:t> x</w:t>
            </w:r>
          </w:p>
        </w:tc>
        <w:tc>
          <w:tcPr>
            <w:tcW w:w="993" w:type="dxa"/>
            <w:tcBorders>
              <w:top w:val="single" w:sz="6" w:space="0" w:color="000001"/>
              <w:left w:val="single" w:sz="6" w:space="0" w:color="000001"/>
              <w:bottom w:val="single" w:sz="6" w:space="0" w:color="000001"/>
              <w:right w:val="single" w:sz="6" w:space="0" w:color="000001"/>
            </w:tcBorders>
            <w:textDirection w:val="lrTb"/>
            <w:vAlign w:val="center"/>
          </w:tcPr>
          <w:p w:rsidR="008E6916" w:rsidRPr="00BE66C9" w:rsidP="002368E3">
            <w:pPr>
              <w:pStyle w:val="NormalWeb"/>
              <w:bidi w:val="0"/>
              <w:spacing w:before="120" w:after="0" w:line="276" w:lineRule="auto"/>
              <w:jc w:val="center"/>
              <w:rPr>
                <w:rFonts w:ascii="Book Antiqua" w:hAnsi="Book Antiqua"/>
                <w:sz w:val="22"/>
                <w:szCs w:val="22"/>
              </w:rPr>
            </w:pPr>
          </w:p>
        </w:tc>
        <w:tc>
          <w:tcPr>
            <w:tcW w:w="1417" w:type="dxa"/>
            <w:tcBorders>
              <w:top w:val="single" w:sz="6" w:space="0" w:color="000001"/>
              <w:left w:val="single" w:sz="6" w:space="0" w:color="000001"/>
              <w:bottom w:val="single" w:sz="6" w:space="0" w:color="000001"/>
              <w:right w:val="single" w:sz="6" w:space="0" w:color="000001"/>
            </w:tcBorders>
            <w:textDirection w:val="lrTb"/>
            <w:vAlign w:val="center"/>
          </w:tcPr>
          <w:p w:rsidR="008E6916" w:rsidRPr="00BE66C9" w:rsidP="002368E3">
            <w:pPr>
              <w:pStyle w:val="NormalWeb"/>
              <w:bidi w:val="0"/>
              <w:spacing w:before="120" w:after="0" w:line="276" w:lineRule="auto"/>
              <w:jc w:val="center"/>
              <w:rPr>
                <w:rFonts w:ascii="Book Antiqua" w:hAnsi="Book Antiqua"/>
                <w:sz w:val="22"/>
                <w:szCs w:val="22"/>
              </w:rPr>
            </w:pPr>
            <w:r w:rsidRPr="00BE66C9">
              <w:rPr>
                <w:rFonts w:ascii="Book Antiqua" w:hAnsi="Book Antiqua"/>
                <w:color w:val="000000"/>
                <w:sz w:val="22"/>
                <w:szCs w:val="22"/>
              </w:rPr>
              <w:t> </w:t>
            </w:r>
          </w:p>
        </w:tc>
      </w:tr>
    </w:tbl>
    <w:p w:rsidR="008E6916" w:rsidRPr="00BE66C9">
      <w:pPr>
        <w:pStyle w:val="NormalWeb"/>
        <w:bidi w:val="0"/>
        <w:spacing w:before="120" w:after="0" w:line="276" w:lineRule="auto"/>
        <w:rPr>
          <w:rFonts w:ascii="Book Antiqua" w:hAnsi="Book Antiqua"/>
          <w:sz w:val="22"/>
          <w:szCs w:val="22"/>
        </w:rPr>
      </w:pPr>
      <w:r w:rsidRPr="00BE66C9">
        <w:rPr>
          <w:rFonts w:ascii="Book Antiqua" w:hAnsi="Book Antiqua"/>
          <w:color w:val="000000"/>
          <w:sz w:val="22"/>
          <w:szCs w:val="22"/>
        </w:rPr>
        <w:t> </w:t>
      </w:r>
    </w:p>
    <w:p w:rsidR="008E6916" w:rsidRPr="00BE66C9">
      <w:pPr>
        <w:pStyle w:val="NormalWeb"/>
        <w:bidi w:val="0"/>
        <w:spacing w:before="120" w:after="0" w:line="276" w:lineRule="auto"/>
        <w:jc w:val="both"/>
        <w:rPr>
          <w:rFonts w:ascii="Book Antiqua" w:hAnsi="Book Antiqua"/>
          <w:sz w:val="22"/>
          <w:szCs w:val="22"/>
        </w:rPr>
      </w:pPr>
      <w:r w:rsidRPr="00BE66C9">
        <w:rPr>
          <w:rFonts w:ascii="Book Antiqua" w:hAnsi="Book Antiqua"/>
          <w:b/>
          <w:color w:val="000000"/>
          <w:sz w:val="22"/>
          <w:szCs w:val="22"/>
        </w:rPr>
        <w:t>A.3. Poznámky</w:t>
      </w:r>
    </w:p>
    <w:p w:rsidR="008E6916" w:rsidRPr="00BE66C9">
      <w:pPr>
        <w:pStyle w:val="NormalWeb"/>
        <w:bidi w:val="0"/>
        <w:spacing w:before="120" w:after="0" w:line="276" w:lineRule="auto"/>
        <w:jc w:val="both"/>
        <w:rPr>
          <w:rFonts w:ascii="Book Antiqua" w:hAnsi="Book Antiqua"/>
          <w:sz w:val="22"/>
          <w:szCs w:val="22"/>
        </w:rPr>
      </w:pPr>
      <w:r w:rsidR="002368E3">
        <w:rPr>
          <w:rFonts w:ascii="Book Antiqua" w:hAnsi="Book Antiqua"/>
          <w:i/>
          <w:color w:val="000000"/>
          <w:sz w:val="22"/>
          <w:szCs w:val="22"/>
        </w:rPr>
        <w:t>P</w:t>
      </w:r>
      <w:r w:rsidRPr="00BE66C9">
        <w:rPr>
          <w:rFonts w:ascii="Book Antiqua" w:hAnsi="Book Antiqua"/>
          <w:i/>
          <w:color w:val="000000"/>
          <w:sz w:val="22"/>
          <w:szCs w:val="22"/>
        </w:rPr>
        <w:t>ozitívny vplyv návrhu zákona sa predpokladá v oblasti vplyvov na</w:t>
      </w:r>
      <w:r w:rsidR="002368E3">
        <w:rPr>
          <w:rFonts w:ascii="Book Antiqua" w:hAnsi="Book Antiqua"/>
          <w:i/>
          <w:color w:val="000000"/>
          <w:sz w:val="22"/>
          <w:szCs w:val="22"/>
        </w:rPr>
        <w:t xml:space="preserve"> rozpočet verejnej správy najmä</w:t>
      </w:r>
      <w:r w:rsidRPr="00BE66C9">
        <w:rPr>
          <w:rFonts w:ascii="Book Antiqua" w:hAnsi="Book Antiqua"/>
          <w:i/>
          <w:color w:val="000000"/>
          <w:sz w:val="22"/>
          <w:szCs w:val="22"/>
        </w:rPr>
        <w:t xml:space="preserve"> vďaka zlepšeniu vymožiteľnosti opatrení navrhnutých NKÚ</w:t>
      </w:r>
      <w:r w:rsidR="002368E3">
        <w:rPr>
          <w:rFonts w:ascii="Book Antiqua" w:hAnsi="Book Antiqua"/>
          <w:i/>
          <w:color w:val="000000"/>
          <w:sz w:val="22"/>
          <w:szCs w:val="22"/>
        </w:rPr>
        <w:t>, ktorý nie je možné kvantifikovať</w:t>
      </w:r>
      <w:r w:rsidRPr="00BE66C9">
        <w:rPr>
          <w:rFonts w:ascii="Book Antiqua" w:hAnsi="Book Antiqua"/>
          <w:i/>
          <w:color w:val="000000"/>
          <w:sz w:val="22"/>
          <w:szCs w:val="22"/>
        </w:rPr>
        <w:t>. Návrh zákona má pozitívny vplyv na informatizáciu spoločnosti. Predkladaný návrh zákona nemá žiaden vplyv na podnikateľské prostredie, životné prostredie a</w:t>
      </w:r>
      <w:r w:rsidR="002368E3">
        <w:rPr>
          <w:rFonts w:ascii="Book Antiqua" w:hAnsi="Book Antiqua"/>
          <w:i/>
          <w:color w:val="000000"/>
          <w:sz w:val="22"/>
          <w:szCs w:val="22"/>
        </w:rPr>
        <w:t>ni nemá žiadne sociálne vplyvy.</w:t>
      </w:r>
      <w:r w:rsidRPr="00BE66C9">
        <w:rPr>
          <w:rFonts w:ascii="Book Antiqua" w:hAnsi="Book Antiqua"/>
          <w:i/>
          <w:color w:val="000000"/>
          <w:sz w:val="22"/>
          <w:szCs w:val="22"/>
        </w:rPr>
        <w:t xml:space="preserve"> </w:t>
      </w:r>
    </w:p>
    <w:p w:rsidR="008E6916" w:rsidRPr="00BE66C9">
      <w:pPr>
        <w:pStyle w:val="NormalWeb"/>
        <w:bidi w:val="0"/>
        <w:spacing w:before="120" w:after="0" w:line="276" w:lineRule="auto"/>
        <w:jc w:val="both"/>
        <w:rPr>
          <w:rFonts w:ascii="Book Antiqua" w:hAnsi="Book Antiqua"/>
          <w:b/>
          <w:color w:val="000000"/>
          <w:sz w:val="22"/>
          <w:szCs w:val="22"/>
        </w:rPr>
      </w:pPr>
    </w:p>
    <w:p w:rsidR="008E6916" w:rsidRPr="00BE66C9">
      <w:pPr>
        <w:pStyle w:val="NormalWeb"/>
        <w:bidi w:val="0"/>
        <w:spacing w:before="120" w:after="0" w:line="276" w:lineRule="auto"/>
        <w:jc w:val="both"/>
        <w:rPr>
          <w:rFonts w:ascii="Book Antiqua" w:hAnsi="Book Antiqua"/>
          <w:sz w:val="22"/>
          <w:szCs w:val="22"/>
        </w:rPr>
      </w:pPr>
      <w:r w:rsidRPr="00BE66C9">
        <w:rPr>
          <w:rFonts w:ascii="Book Antiqua" w:hAnsi="Book Antiqua"/>
          <w:b/>
          <w:color w:val="000000"/>
          <w:sz w:val="22"/>
          <w:szCs w:val="22"/>
        </w:rPr>
        <w:t>A.4. Alternatívne riešenia</w:t>
      </w:r>
    </w:p>
    <w:p w:rsidR="008E6916">
      <w:pPr>
        <w:pStyle w:val="NormalWeb"/>
        <w:bidi w:val="0"/>
        <w:spacing w:before="120" w:after="0" w:line="276" w:lineRule="auto"/>
        <w:jc w:val="both"/>
        <w:rPr>
          <w:rFonts w:ascii="Book Antiqua" w:hAnsi="Book Antiqua"/>
          <w:i/>
          <w:color w:val="000000"/>
          <w:sz w:val="22"/>
          <w:szCs w:val="22"/>
        </w:rPr>
      </w:pPr>
      <w:r w:rsidR="002368E3">
        <w:rPr>
          <w:rFonts w:ascii="Book Antiqua" w:hAnsi="Book Antiqua"/>
          <w:i/>
          <w:color w:val="000000"/>
          <w:sz w:val="22"/>
          <w:szCs w:val="22"/>
        </w:rPr>
        <w:t>b</w:t>
      </w:r>
      <w:r w:rsidRPr="00BE66C9">
        <w:rPr>
          <w:rFonts w:ascii="Book Antiqua" w:hAnsi="Book Antiqua"/>
          <w:i/>
          <w:color w:val="000000"/>
          <w:sz w:val="22"/>
          <w:szCs w:val="22"/>
        </w:rPr>
        <w:t>ezpredmetné</w:t>
      </w:r>
    </w:p>
    <w:p w:rsidR="002368E3" w:rsidRPr="00BE66C9">
      <w:pPr>
        <w:pStyle w:val="NormalWeb"/>
        <w:bidi w:val="0"/>
        <w:spacing w:before="120" w:after="0" w:line="276" w:lineRule="auto"/>
        <w:jc w:val="both"/>
        <w:rPr>
          <w:rFonts w:ascii="Book Antiqua" w:hAnsi="Book Antiqua"/>
          <w:sz w:val="22"/>
          <w:szCs w:val="22"/>
        </w:rPr>
      </w:pPr>
    </w:p>
    <w:p w:rsidR="008E6916" w:rsidRPr="00BE66C9">
      <w:pPr>
        <w:pStyle w:val="NormalWeb"/>
        <w:bidi w:val="0"/>
        <w:spacing w:before="120" w:after="0" w:line="276" w:lineRule="auto"/>
        <w:jc w:val="both"/>
        <w:rPr>
          <w:rFonts w:ascii="Book Antiqua" w:hAnsi="Book Antiqua"/>
          <w:sz w:val="22"/>
          <w:szCs w:val="22"/>
        </w:rPr>
      </w:pPr>
      <w:r w:rsidRPr="00BE66C9">
        <w:rPr>
          <w:rFonts w:ascii="Book Antiqua" w:hAnsi="Book Antiqua"/>
          <w:b/>
          <w:color w:val="000000"/>
          <w:sz w:val="22"/>
          <w:szCs w:val="22"/>
        </w:rPr>
        <w:t>A.5. Stanovisko gestorov</w:t>
      </w:r>
    </w:p>
    <w:p w:rsidR="008E6916" w:rsidRPr="00BE66C9">
      <w:pPr>
        <w:pStyle w:val="NormalWeb"/>
        <w:bidi w:val="0"/>
        <w:spacing w:before="120" w:after="0" w:line="276" w:lineRule="auto"/>
        <w:jc w:val="both"/>
        <w:rPr>
          <w:rFonts w:ascii="Book Antiqua" w:hAnsi="Book Antiqua"/>
          <w:sz w:val="22"/>
          <w:szCs w:val="22"/>
        </w:rPr>
      </w:pPr>
      <w:r w:rsidRPr="00BE66C9">
        <w:rPr>
          <w:rFonts w:ascii="Book Antiqua" w:hAnsi="Book Antiqua"/>
          <w:i/>
          <w:color w:val="000000"/>
          <w:sz w:val="22"/>
          <w:szCs w:val="22"/>
        </w:rPr>
        <w:t>Návrh zákona bol zaslaný na vyjadrenie Ministerstvu financií SR a stanovisko tohto ministerstva tvorí súčasť predkladaného materiálu.</w:t>
      </w:r>
    </w:p>
    <w:sectPr>
      <w:footerReference w:type="default" r:id="rId4"/>
      <w:type w:val="continuous"/>
      <w:pgSz w:w="11906" w:h="16838"/>
      <w:pgMar w:top="1417" w:right="1417" w:bottom="1417" w:left="1417" w:header="708" w:footer="708" w:gutter="0"/>
      <w:lnNumType w:distance="0"/>
      <w:cols w:space="708"/>
      <w:formProt w:val="0"/>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FF" w:csb1="00000000"/>
  </w:font>
  <w:font w:name="Cambria">
    <w:altName w:val="Palatino Linotype"/>
    <w:panose1 w:val="00000000000000000000"/>
    <w:charset w:val="EE"/>
    <w:family w:val="roman"/>
    <w:pitch w:val="variable"/>
    <w:sig w:usb0="00000000" w:usb1="00000000" w:usb2="00000000" w:usb3="00000000" w:csb0="0000019F" w:csb1="00000000"/>
  </w:font>
  <w:font w:name="Tahoma">
    <w:altName w:val="Tahoma"/>
    <w:panose1 w:val="00000000000000000000"/>
    <w:charset w:val="EE"/>
    <w:family w:val="swiss"/>
    <w:pitch w:val="variable"/>
    <w:sig w:usb0="00000000" w:usb1="00000000" w:usb2="00000000" w:usb3="00000000" w:csb0="000101FF" w:csb1="00000000"/>
  </w:font>
  <w:font w:name="Segoe UI">
    <w:altName w:val="Arial"/>
    <w:panose1 w:val="00000000000000000000"/>
    <w:charset w:val="EE"/>
    <w:family w:val="swiss"/>
    <w:pitch w:val="variable"/>
    <w:sig w:usb0="00000000" w:usb1="00000000" w:usb2="00000000" w:usb3="00000000" w:csb0="000001FF" w:csb1="00000000"/>
  </w:font>
  <w:font w:name="Book Antiqua">
    <w:altName w:val="Book Antiqua"/>
    <w:panose1 w:val="00000000000000000000"/>
    <w:charset w:val="EE"/>
    <w:family w:val="roman"/>
    <w:pitch w:val="variable"/>
    <w:sig w:usb0="00000000" w:usb1="00000000" w:usb2="00000000" w:usb3="00000000" w:csb0="0000009F" w:csb1="00000000"/>
  </w:font>
  <w:font w:name="Liberation Serif">
    <w:altName w:val="Times New Roman"/>
    <w:panose1 w:val="00000000000000000000"/>
    <w:charset w:val="EE"/>
    <w:family w:val="roman"/>
    <w:pitch w:val="variable"/>
    <w:sig w:usb0="00000000" w:usb1="00000000" w:usb2="00000000" w:usb3="00000000" w:csb0="00000002" w:csb1="00000000"/>
  </w:font>
  <w:font w:name="Liberation Sans">
    <w:altName w:val="Arial"/>
    <w:panose1 w:val="00000000000000000000"/>
    <w:charset w:val="EE"/>
    <w:family w:val="swiss"/>
    <w:pitch w:val="variable"/>
    <w:sig w:usb0="00000000" w:usb1="00000000" w:usb2="00000000" w:usb3="00000000" w:csb0="00000002" w:csb1="00000000"/>
  </w:font>
  <w:font w:name="Calibri Light">
    <w:panose1 w:val="020F0302020204030204"/>
    <w:charset w:val="EE"/>
    <w:family w:val="swiss"/>
    <w:pitch w:val="variable"/>
    <w:sig w:usb0="00000000"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916">
    <w:pPr>
      <w:pStyle w:val="Pe4ta"/>
      <w:bidi w:val="0"/>
      <w:jc w:val="right"/>
    </w:pPr>
    <w:r>
      <w:fldChar w:fldCharType="begin"/>
    </w:r>
    <w:r>
      <w:instrText xml:space="preserve"> PAGE </w:instrText>
    </w:r>
    <w:r>
      <w:fldChar w:fldCharType="separate"/>
    </w:r>
    <w:r w:rsidR="00E760D6">
      <w:rPr>
        <w:noProof/>
      </w:rPr>
      <w:t>1</w:t>
    </w:r>
    <w:r>
      <w:fldChar w:fldCharType="end"/>
    </w:r>
  </w:p>
  <w:p w:rsidR="008E6916">
    <w:pPr>
      <w:pStyle w:val="Pe4ta"/>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BD8E6B8C"/>
    <w:lvl w:ilvl="0">
      <w:start w:val="1"/>
      <w:numFmt w:val="lowerLetter"/>
      <w:lvlText w:val="%1)"/>
      <w:lvlJc w:val="left"/>
      <w:pPr>
        <w:ind w:left="720" w:hanging="360"/>
      </w:pPr>
      <w:rPr>
        <w:rFonts w:eastAsia="Times New Roman" w:cs="Times New Roman"/>
        <w:b w:val="0"/>
        <w:bCs/>
        <w:rtl w:val="0"/>
        <w:cs w:val="0"/>
      </w:rPr>
    </w:lvl>
    <w:lvl w:ilvl="1">
      <w:start w:val="1"/>
      <w:numFmt w:val="lowerLetter"/>
      <w:lvlText w:val="%2."/>
      <w:lvlJc w:val="left"/>
      <w:pPr>
        <w:ind w:left="1080" w:hanging="360"/>
      </w:pPr>
      <w:rPr>
        <w:rFonts w:eastAsia="Times New Roman" w:cs="Times New Roman"/>
        <w:rtl w:val="0"/>
        <w:cs w:val="0"/>
      </w:rPr>
    </w:lvl>
    <w:lvl w:ilvl="2">
      <w:start w:val="1"/>
      <w:numFmt w:val="lowerRoman"/>
      <w:lvlText w:val="%3."/>
      <w:lvlJc w:val="right"/>
      <w:pPr>
        <w:ind w:left="1440" w:hanging="360"/>
      </w:pPr>
      <w:rPr>
        <w:rFonts w:eastAsia="Times New Roman" w:cs="Times New Roman"/>
        <w:rtl w:val="0"/>
        <w:cs w:val="0"/>
      </w:rPr>
    </w:lvl>
    <w:lvl w:ilvl="3">
      <w:start w:val="1"/>
      <w:numFmt w:val="decimal"/>
      <w:lvlText w:val="%4."/>
      <w:lvlJc w:val="left"/>
      <w:pPr>
        <w:ind w:left="1800" w:hanging="360"/>
      </w:pPr>
      <w:rPr>
        <w:rFonts w:eastAsia="Times New Roman" w:cs="Times New Roman"/>
        <w:rtl w:val="0"/>
        <w:cs w:val="0"/>
      </w:rPr>
    </w:lvl>
    <w:lvl w:ilvl="4">
      <w:start w:val="1"/>
      <w:numFmt w:val="lowerLetter"/>
      <w:lvlText w:val="%5."/>
      <w:lvlJc w:val="left"/>
      <w:pPr>
        <w:ind w:left="2160" w:hanging="360"/>
      </w:pPr>
      <w:rPr>
        <w:rFonts w:eastAsia="Times New Roman" w:cs="Times New Roman"/>
        <w:rtl w:val="0"/>
        <w:cs w:val="0"/>
      </w:rPr>
    </w:lvl>
    <w:lvl w:ilvl="5">
      <w:start w:val="1"/>
      <w:numFmt w:val="lowerRoman"/>
      <w:lvlText w:val="%6."/>
      <w:lvlJc w:val="right"/>
      <w:pPr>
        <w:ind w:left="2520" w:hanging="360"/>
      </w:pPr>
      <w:rPr>
        <w:rFonts w:eastAsia="Times New Roman" w:cs="Times New Roman"/>
        <w:rtl w:val="0"/>
        <w:cs w:val="0"/>
      </w:rPr>
    </w:lvl>
    <w:lvl w:ilvl="6">
      <w:start w:val="1"/>
      <w:numFmt w:val="decimal"/>
      <w:lvlText w:val="%7."/>
      <w:lvlJc w:val="left"/>
      <w:pPr>
        <w:ind w:left="2880" w:hanging="360"/>
      </w:pPr>
      <w:rPr>
        <w:rFonts w:eastAsia="Times New Roman" w:cs="Times New Roman"/>
        <w:rtl w:val="0"/>
        <w:cs w:val="0"/>
      </w:rPr>
    </w:lvl>
    <w:lvl w:ilvl="7">
      <w:start w:val="1"/>
      <w:numFmt w:val="lowerLetter"/>
      <w:lvlText w:val="%8."/>
      <w:lvlJc w:val="left"/>
      <w:pPr>
        <w:ind w:left="3240" w:hanging="360"/>
      </w:pPr>
      <w:rPr>
        <w:rFonts w:eastAsia="Times New Roman" w:cs="Times New Roman"/>
        <w:rtl w:val="0"/>
        <w:cs w:val="0"/>
      </w:rPr>
    </w:lvl>
    <w:lvl w:ilvl="8">
      <w:start w:val="1"/>
      <w:numFmt w:val="lowerRoman"/>
      <w:lvlText w:val="%9."/>
      <w:lvlJc w:val="right"/>
      <w:pPr>
        <w:ind w:left="3600" w:hanging="360"/>
      </w:pPr>
      <w:rPr>
        <w:rFonts w:eastAsia="Times New Roman" w:cs="Times New Roman"/>
        <w:rtl w:val="0"/>
        <w:cs w:val="0"/>
      </w:rPr>
    </w:lvl>
  </w:abstractNum>
  <w:abstractNum w:abstractNumId="1">
    <w:nsid w:val="00000002"/>
    <w:multiLevelType w:val="multilevel"/>
    <w:tmpl w:val="00000002"/>
    <w:lvl w:ilvl="0">
      <w:start w:val="1"/>
      <w:numFmt w:val="decimal"/>
      <w:lvlText w:val="%1."/>
      <w:lvlJc w:val="left"/>
      <w:pPr>
        <w:ind w:left="720" w:hanging="360"/>
      </w:pPr>
      <w:rPr>
        <w:rFonts w:eastAsia="Times New Roman" w:cs="Times New Roman"/>
        <w:b/>
        <w:bCs/>
        <w:rtl w:val="0"/>
        <w:cs w:val="0"/>
      </w:rPr>
    </w:lvl>
    <w:lvl w:ilvl="1">
      <w:start w:val="1"/>
      <w:numFmt w:val="lowerLetter"/>
      <w:lvlText w:val="%2."/>
      <w:lvlJc w:val="left"/>
      <w:pPr>
        <w:ind w:left="1080" w:hanging="360"/>
      </w:pPr>
      <w:rPr>
        <w:rFonts w:eastAsia="Times New Roman" w:cs="Times New Roman"/>
        <w:rtl w:val="0"/>
        <w:cs w:val="0"/>
      </w:rPr>
    </w:lvl>
    <w:lvl w:ilvl="2">
      <w:start w:val="1"/>
      <w:numFmt w:val="lowerRoman"/>
      <w:lvlText w:val="%3."/>
      <w:lvlJc w:val="right"/>
      <w:pPr>
        <w:ind w:left="1440" w:hanging="360"/>
      </w:pPr>
      <w:rPr>
        <w:rFonts w:eastAsia="Times New Roman" w:cs="Times New Roman"/>
        <w:rtl w:val="0"/>
        <w:cs w:val="0"/>
      </w:rPr>
    </w:lvl>
    <w:lvl w:ilvl="3">
      <w:start w:val="1"/>
      <w:numFmt w:val="decimal"/>
      <w:lvlText w:val="%4."/>
      <w:lvlJc w:val="left"/>
      <w:pPr>
        <w:ind w:left="1800" w:hanging="360"/>
      </w:pPr>
      <w:rPr>
        <w:rFonts w:eastAsia="Times New Roman" w:cs="Times New Roman"/>
        <w:rtl w:val="0"/>
        <w:cs w:val="0"/>
      </w:rPr>
    </w:lvl>
    <w:lvl w:ilvl="4">
      <w:start w:val="1"/>
      <w:numFmt w:val="lowerLetter"/>
      <w:lvlText w:val="%5."/>
      <w:lvlJc w:val="left"/>
      <w:pPr>
        <w:ind w:left="2160" w:hanging="360"/>
      </w:pPr>
      <w:rPr>
        <w:rFonts w:eastAsia="Times New Roman" w:cs="Times New Roman"/>
        <w:rtl w:val="0"/>
        <w:cs w:val="0"/>
      </w:rPr>
    </w:lvl>
    <w:lvl w:ilvl="5">
      <w:start w:val="1"/>
      <w:numFmt w:val="lowerRoman"/>
      <w:lvlText w:val="%6."/>
      <w:lvlJc w:val="right"/>
      <w:pPr>
        <w:ind w:left="2520" w:hanging="360"/>
      </w:pPr>
      <w:rPr>
        <w:rFonts w:eastAsia="Times New Roman" w:cs="Times New Roman"/>
        <w:rtl w:val="0"/>
        <w:cs w:val="0"/>
      </w:rPr>
    </w:lvl>
    <w:lvl w:ilvl="6">
      <w:start w:val="1"/>
      <w:numFmt w:val="decimal"/>
      <w:lvlText w:val="%7."/>
      <w:lvlJc w:val="left"/>
      <w:pPr>
        <w:ind w:left="2880" w:hanging="360"/>
      </w:pPr>
      <w:rPr>
        <w:rFonts w:eastAsia="Times New Roman" w:cs="Times New Roman"/>
        <w:rtl w:val="0"/>
        <w:cs w:val="0"/>
      </w:rPr>
    </w:lvl>
    <w:lvl w:ilvl="7">
      <w:start w:val="1"/>
      <w:numFmt w:val="lowerLetter"/>
      <w:lvlText w:val="%8."/>
      <w:lvlJc w:val="left"/>
      <w:pPr>
        <w:ind w:left="3240" w:hanging="360"/>
      </w:pPr>
      <w:rPr>
        <w:rFonts w:eastAsia="Times New Roman" w:cs="Times New Roman"/>
        <w:rtl w:val="0"/>
        <w:cs w:val="0"/>
      </w:rPr>
    </w:lvl>
    <w:lvl w:ilvl="8">
      <w:start w:val="1"/>
      <w:numFmt w:val="lowerRoman"/>
      <w:lvlText w:val="%9."/>
      <w:lvlJc w:val="right"/>
      <w:pPr>
        <w:ind w:left="3600" w:hanging="360"/>
      </w:pPr>
      <w:rPr>
        <w:rFonts w:eastAsia="Times New Roman" w:cs="Times New Roman"/>
        <w:rtl w:val="0"/>
        <w:cs w:val="0"/>
      </w:rPr>
    </w:lvl>
  </w:abstractNum>
  <w:abstractNum w:abstractNumId="2">
    <w:nsid w:val="00000003"/>
    <w:multiLevelType w:val="multilevel"/>
    <w:tmpl w:val="00000003"/>
    <w:lvl w:ilvl="0">
      <w:start w:val="1"/>
      <w:numFmt w:val="bullet"/>
      <w:lvlText w:val="-"/>
      <w:lvlJc w:val="left"/>
      <w:pPr>
        <w:ind w:left="720" w:hanging="360"/>
      </w:pPr>
      <w:rPr>
        <w:rFonts w:ascii="Liberation Serif" w:eastAsia="Times New Roman" w:hAnsi="Liberation Serif"/>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3">
    <w:nsid w:val="00000004"/>
    <w:multiLevelType w:val="multilevel"/>
    <w:tmpl w:val="00000004"/>
    <w:lvl w:ilvl="0">
      <w:start w:val="1"/>
      <w:numFmt w:val="none"/>
      <w:suff w:val="nothing"/>
      <w:lvlJc w:val="left"/>
      <w:rPr>
        <w:rFonts w:cs="Times New Roman"/>
        <w:rtl w:val="0"/>
        <w:cs w:val="0"/>
      </w:rPr>
    </w:lvl>
    <w:lvl w:ilvl="1">
      <w:start w:val="1"/>
      <w:numFmt w:val="none"/>
      <w:suff w:val="nothing"/>
      <w:lvlJc w:val="left"/>
      <w:rPr>
        <w:rFonts w:cs="Times New Roman"/>
        <w:rtl w:val="0"/>
        <w:cs w:val="0"/>
      </w:rPr>
    </w:lvl>
    <w:lvl w:ilvl="2">
      <w:start w:val="1"/>
      <w:numFmt w:val="none"/>
      <w:suff w:val="nothing"/>
      <w:lvlJc w:val="left"/>
      <w:rPr>
        <w:rFonts w:cs="Times New Roman"/>
        <w:rtl w:val="0"/>
        <w:cs w:val="0"/>
      </w:rPr>
    </w:lvl>
    <w:lvl w:ilvl="3">
      <w:start w:val="1"/>
      <w:numFmt w:val="none"/>
      <w:suff w:val="nothing"/>
      <w:lvlJc w:val="left"/>
      <w:rPr>
        <w:rFonts w:cs="Times New Roman"/>
        <w:rtl w:val="0"/>
        <w:cs w:val="0"/>
      </w:rPr>
    </w:lvl>
    <w:lvl w:ilvl="4">
      <w:start w:val="1"/>
      <w:numFmt w:val="none"/>
      <w:suff w:val="nothing"/>
      <w:lvlJc w:val="left"/>
      <w:rPr>
        <w:rFonts w:cs="Times New Roman"/>
        <w:rtl w:val="0"/>
        <w:cs w:val="0"/>
      </w:rPr>
    </w:lvl>
    <w:lvl w:ilvl="5">
      <w:start w:val="1"/>
      <w:numFmt w:val="none"/>
      <w:suff w:val="nothing"/>
      <w:lvlJc w:val="left"/>
      <w:rPr>
        <w:rFonts w:cs="Times New Roman"/>
        <w:rtl w:val="0"/>
        <w:cs w:val="0"/>
      </w:rPr>
    </w:lvl>
    <w:lvl w:ilvl="6">
      <w:start w:val="1"/>
      <w:numFmt w:val="none"/>
      <w:suff w:val="nothing"/>
      <w:lvlJc w:val="left"/>
      <w:rPr>
        <w:rFonts w:cs="Times New Roman"/>
        <w:rtl w:val="0"/>
        <w:cs w:val="0"/>
      </w:rPr>
    </w:lvl>
    <w:lvl w:ilvl="7">
      <w:start w:val="1"/>
      <w:numFmt w:val="none"/>
      <w:suff w:val="nothing"/>
      <w:lvlJc w:val="left"/>
      <w:rPr>
        <w:rFonts w:cs="Times New Roman"/>
        <w:rtl w:val="0"/>
        <w:cs w:val="0"/>
      </w:rPr>
    </w:lvl>
    <w:lvl w:ilvl="8">
      <w:start w:val="1"/>
      <w:numFmt w:val="none"/>
      <w:suff w:val="nothing"/>
      <w:lvlJc w:val="left"/>
      <w:rPr>
        <w:rFonts w:cs="Times New Roman"/>
        <w:rtl w:val="0"/>
        <w:cs w:val="0"/>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08"/>
  <w:hyphenationZone w:val="425"/>
  <w:drawingGridHorizontalSpacing w:val="120"/>
  <w:drawingGridVerticalSpacing w:val="120"/>
  <w:displayHorizontalDrawingGridEvery w:val="0"/>
  <w:displayVerticalDrawingGridEvery w:val="3"/>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8E6916"/>
    <w:rsid w:val="002368E3"/>
    <w:rsid w:val="003F033C"/>
    <w:rsid w:val="004313BE"/>
    <w:rsid w:val="008E6916"/>
    <w:rsid w:val="00A87BD3"/>
    <w:rsid w:val="00BE66C9"/>
    <w:rsid w:val="00C121CF"/>
    <w:rsid w:val="00D410DE"/>
    <w:rsid w:val="00E760D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caption" w:qFormat="1"/>
    <w:lsdException w:name="footnote reference" w:semiHidden="1"/>
    <w:lsdException w:name="List"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semiHidden="1"/>
    <w:lsdException w:name="Balloon Text" w:semiHidden="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suppressAutoHyphens/>
      <w:autoSpaceDE w:val="0"/>
      <w:autoSpaceDN w:val="0"/>
      <w:adjustRightInd w:val="0"/>
      <w:ind w:left="0" w:right="0"/>
      <w:jc w:val="left"/>
      <w:textAlignment w:val="auto"/>
    </w:pPr>
    <w:rPr>
      <w:rFonts w:ascii="Times New Roman" w:eastAsia="Times New Roman" w:hAnsi="Liberation Serif" w:cs="Times New Roman"/>
      <w:kern w:val="1"/>
      <w:sz w:val="24"/>
      <w:szCs w:val="24"/>
      <w:rtl w:val="0"/>
      <w:cs w:val="0"/>
      <w:lang w:val="sk-SK" w:eastAsia="sk-SK" w:bidi="ar-SA"/>
    </w:rPr>
  </w:style>
  <w:style w:type="paragraph" w:styleId="Heading1">
    <w:name w:val="heading 1"/>
    <w:basedOn w:val="Normal"/>
    <w:link w:val="Nadpis1Char"/>
    <w:uiPriority w:val="99"/>
    <w:qFormat/>
    <w:pPr>
      <w:keepNext/>
      <w:suppressAutoHyphens w:val="0"/>
      <w:jc w:val="center"/>
      <w:outlineLvl w:val="0"/>
    </w:pPr>
    <w:rPr>
      <w:rFonts w:ascii="Cambria" w:cs="Cambria"/>
      <w:b/>
      <w:bCs/>
      <w:sz w:val="32"/>
      <w:szCs w:val="3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Pr>
      <w:rFonts w:ascii="Cambria" w:eastAsia="Times New Roman" w:cs="Cambria"/>
      <w:b/>
      <w:bCs/>
      <w:kern w:val="1"/>
      <w:sz w:val="20"/>
      <w:szCs w:val="20"/>
      <w:rtl w:val="0"/>
      <w:cs w:val="0"/>
    </w:rPr>
  </w:style>
  <w:style w:type="character" w:customStyle="1" w:styleId="Textpozne1mkypode8iarouChar">
    <w:name w:val="Text poznáe1mky pod če8iarou Char"/>
    <w:basedOn w:val="DefaultParagraphFont"/>
    <w:uiPriority w:val="99"/>
    <w:rPr>
      <w:rFonts w:ascii="Times New Roman" w:eastAsia="Times New Roman" w:cs="Times New Roman"/>
      <w:sz w:val="20"/>
      <w:szCs w:val="20"/>
      <w:rtl w:val="0"/>
      <w:cs w:val="0"/>
    </w:rPr>
  </w:style>
  <w:style w:type="character" w:styleId="FootnoteReference">
    <w:name w:val="footnote reference"/>
    <w:basedOn w:val="DefaultParagraphFont"/>
    <w:uiPriority w:val="99"/>
    <w:rPr>
      <w:rFonts w:eastAsia="Times New Roman" w:cs="Times New Roman"/>
      <w:vertAlign w:val="superscript"/>
      <w:rtl w:val="0"/>
      <w:cs w:val="0"/>
    </w:rPr>
  </w:style>
  <w:style w:type="character" w:customStyle="1" w:styleId="Hlavie8kaChar">
    <w:name w:val="Hlaviče8ka Char"/>
    <w:basedOn w:val="DefaultParagraphFont"/>
    <w:uiPriority w:val="99"/>
    <w:rPr>
      <w:rFonts w:ascii="Times New Roman" w:eastAsia="Times New Roman" w:cs="Times New Roman"/>
      <w:rtl w:val="0"/>
      <w:cs w:val="0"/>
    </w:rPr>
  </w:style>
  <w:style w:type="character" w:customStyle="1" w:styleId="Pe4taChar">
    <w:name w:val="Päe4ta Char"/>
    <w:basedOn w:val="DefaultParagraphFont"/>
    <w:uiPriority w:val="99"/>
    <w:rPr>
      <w:rFonts w:ascii="Times New Roman" w:eastAsia="Times New Roman" w:cs="Times New Roman"/>
      <w:rtl w:val="0"/>
      <w:cs w:val="0"/>
    </w:rPr>
  </w:style>
  <w:style w:type="character" w:customStyle="1" w:styleId="TextbublinyChar">
    <w:name w:val="Text bubliny Char"/>
    <w:basedOn w:val="DefaultParagraphFont"/>
    <w:uiPriority w:val="99"/>
    <w:rPr>
      <w:rFonts w:ascii="Tahoma" w:eastAsia="Times New Roman" w:cs="Tahoma"/>
      <w:sz w:val="16"/>
      <w:szCs w:val="16"/>
      <w:rtl w:val="0"/>
      <w:cs w:val="0"/>
    </w:rPr>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ascii="Book Antiqua" w:eastAsia="Times New Roman"/>
      <w:b/>
      <w:sz w:val="22"/>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ascii="Book Antiqua" w:eastAsia="Times New Roman"/>
      <w:b/>
      <w:sz w:val="22"/>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ascii="Book Antiqua" w:eastAsia="Times New Roman"/>
      <w:sz w:val="22"/>
    </w:rPr>
  </w:style>
  <w:style w:type="paragraph" w:customStyle="1" w:styleId="Nadpis">
    <w:name w:val="Nadpis"/>
    <w:basedOn w:val="Normal"/>
    <w:next w:val="Telotextu"/>
    <w:uiPriority w:val="99"/>
    <w:pPr>
      <w:keepNext/>
      <w:suppressAutoHyphens w:val="0"/>
      <w:spacing w:before="240" w:after="120"/>
      <w:jc w:val="left"/>
    </w:pPr>
    <w:rPr>
      <w:rFonts w:ascii="Liberation Sans" w:cs="Liberation Sans"/>
      <w:kern w:val="0"/>
      <w:sz w:val="28"/>
      <w:szCs w:val="28"/>
    </w:rPr>
  </w:style>
  <w:style w:type="paragraph" w:customStyle="1" w:styleId="Telotextu">
    <w:name w:val="Telo textu"/>
    <w:basedOn w:val="Normal"/>
    <w:uiPriority w:val="99"/>
    <w:pPr>
      <w:suppressAutoHyphens w:val="0"/>
      <w:spacing w:after="140" w:line="288" w:lineRule="auto"/>
      <w:jc w:val="left"/>
    </w:pPr>
    <w:rPr>
      <w:kern w:val="0"/>
    </w:rPr>
  </w:style>
  <w:style w:type="paragraph" w:styleId="List">
    <w:name w:val="List"/>
    <w:basedOn w:val="Telotextu"/>
    <w:uiPriority w:val="99"/>
    <w:pPr>
      <w:suppressAutoHyphens w:val="0"/>
      <w:jc w:val="left"/>
    </w:pPr>
    <w:rPr>
      <w:kern w:val="0"/>
    </w:rPr>
  </w:style>
  <w:style w:type="paragraph" w:styleId="Caption">
    <w:name w:val="caption"/>
    <w:basedOn w:val="Normal"/>
    <w:uiPriority w:val="99"/>
    <w:qFormat/>
    <w:pPr>
      <w:suppressLineNumbers/>
      <w:suppressAutoHyphens w:val="0"/>
      <w:spacing w:before="120" w:after="120"/>
      <w:jc w:val="left"/>
    </w:pPr>
    <w:rPr>
      <w:i/>
      <w:iCs/>
      <w:kern w:val="0"/>
    </w:rPr>
  </w:style>
  <w:style w:type="paragraph" w:customStyle="1" w:styleId="Index">
    <w:name w:val="Index"/>
    <w:basedOn w:val="Normal"/>
    <w:uiPriority w:val="99"/>
    <w:pPr>
      <w:suppressLineNumbers/>
      <w:suppressAutoHyphens w:val="0"/>
      <w:jc w:val="left"/>
    </w:pPr>
    <w:rPr>
      <w:kern w:val="0"/>
    </w:rPr>
  </w:style>
  <w:style w:type="paragraph" w:customStyle="1" w:styleId="DocumentMap">
    <w:name w:val="DocumentMap"/>
    <w:uiPriority w:val="99"/>
    <w:pPr>
      <w:framePr w:wrap="auto"/>
      <w:widowControl/>
      <w:suppressAutoHyphens/>
      <w:autoSpaceDE w:val="0"/>
      <w:autoSpaceDN w:val="0"/>
      <w:adjustRightInd w:val="0"/>
      <w:ind w:left="0" w:right="0"/>
      <w:jc w:val="left"/>
      <w:textAlignment w:val="auto"/>
    </w:pPr>
    <w:rPr>
      <w:rFonts w:ascii="Calibri" w:eastAsia="Times New Roman" w:hAnsi="Liberation Serif" w:cs="Calibri"/>
      <w:kern w:val="1"/>
      <w:sz w:val="20"/>
      <w:szCs w:val="20"/>
      <w:rtl w:val="0"/>
      <w:cs w:val="0"/>
      <w:lang w:val="sk-SK" w:eastAsia="sk-SK" w:bidi="ar-SA"/>
    </w:rPr>
  </w:style>
  <w:style w:type="paragraph" w:styleId="NormalWeb">
    <w:name w:val="Normal (Web)"/>
    <w:basedOn w:val="Normal"/>
    <w:uiPriority w:val="99"/>
    <w:pPr>
      <w:suppressAutoHyphens w:val="0"/>
      <w:spacing w:before="280" w:after="280"/>
      <w:jc w:val="left"/>
    </w:pPr>
    <w:rPr>
      <w:kern w:val="0"/>
    </w:rPr>
  </w:style>
  <w:style w:type="paragraph" w:styleId="FootnoteText">
    <w:name w:val="footnote text"/>
    <w:basedOn w:val="Normal"/>
    <w:link w:val="TextpoznmkypodiarouChar"/>
    <w:uiPriority w:val="99"/>
    <w:pPr>
      <w:suppressAutoHyphens w:val="0"/>
      <w:jc w:val="left"/>
    </w:pPr>
    <w:rPr>
      <w:kern w:val="0"/>
      <w:sz w:val="20"/>
      <w:szCs w:val="20"/>
    </w:rPr>
  </w:style>
  <w:style w:type="character" w:customStyle="1" w:styleId="TextpoznmkypodiarouChar">
    <w:name w:val="Text poznámky pod čiarou Char"/>
    <w:basedOn w:val="DefaultParagraphFont"/>
    <w:link w:val="FootnoteText"/>
    <w:uiPriority w:val="99"/>
    <w:semiHidden/>
    <w:locked/>
    <w:rPr>
      <w:rFonts w:ascii="Times New Roman" w:eastAsia="Times New Roman" w:hAnsi="Liberation Serif" w:cs="Times New Roman"/>
      <w:kern w:val="1"/>
      <w:sz w:val="20"/>
      <w:szCs w:val="20"/>
      <w:rtl w:val="0"/>
      <w:cs w:val="0"/>
    </w:rPr>
  </w:style>
  <w:style w:type="paragraph" w:customStyle="1" w:styleId="Hlavie8ka">
    <w:name w:val="Hlaviče8ka"/>
    <w:basedOn w:val="Normal"/>
    <w:uiPriority w:val="99"/>
    <w:pPr>
      <w:tabs>
        <w:tab w:val="center" w:pos="4536"/>
        <w:tab w:val="right" w:pos="9072"/>
      </w:tabs>
      <w:suppressAutoHyphens w:val="0"/>
      <w:jc w:val="left"/>
    </w:pPr>
    <w:rPr>
      <w:kern w:val="0"/>
    </w:rPr>
  </w:style>
  <w:style w:type="paragraph" w:customStyle="1" w:styleId="Pe4ta">
    <w:name w:val="Päe4ta"/>
    <w:basedOn w:val="Normal"/>
    <w:uiPriority w:val="99"/>
    <w:pPr>
      <w:tabs>
        <w:tab w:val="center" w:pos="4536"/>
        <w:tab w:val="right" w:pos="9072"/>
      </w:tabs>
      <w:suppressAutoHyphens w:val="0"/>
      <w:jc w:val="left"/>
    </w:pPr>
    <w:rPr>
      <w:kern w:val="0"/>
    </w:rPr>
  </w:style>
  <w:style w:type="paragraph" w:styleId="BalloonText">
    <w:name w:val="Balloon Text"/>
    <w:basedOn w:val="Normal"/>
    <w:link w:val="TextbublinyChar1"/>
    <w:uiPriority w:val="99"/>
    <w:pPr>
      <w:suppressAutoHyphens w:val="0"/>
      <w:jc w:val="left"/>
    </w:pPr>
    <w:rPr>
      <w:rFonts w:ascii="Tahoma" w:cs="Tahoma"/>
      <w:kern w:val="0"/>
      <w:sz w:val="16"/>
      <w:szCs w:val="16"/>
    </w:rPr>
  </w:style>
  <w:style w:type="character" w:customStyle="1" w:styleId="TextbublinyChar1">
    <w:name w:val="Text bubliny Char1"/>
    <w:basedOn w:val="DefaultParagraphFont"/>
    <w:link w:val="BalloonText"/>
    <w:uiPriority w:val="99"/>
    <w:semiHidden/>
    <w:locked/>
    <w:rPr>
      <w:rFonts w:ascii="Segoe UI" w:hAnsi="Segoe UI" w:cs="Segoe UI"/>
      <w:kern w:val="1"/>
      <w:sz w:val="18"/>
      <w:szCs w:val="18"/>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8</Pages>
  <Words>2198</Words>
  <Characters>12534</Characters>
  <Application>Microsoft Office Word</Application>
  <DocSecurity>0</DocSecurity>
  <Lines>0</Lines>
  <Paragraphs>0</Paragraphs>
  <ScaleCrop>false</ScaleCrop>
  <Company>Kancelaria NR SR</Company>
  <LinksUpToDate>false</LinksUpToDate>
  <CharactersWithSpaces>14703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Lukáč, Jozef (asistent)</dc:creator>
  <cp:lastModifiedBy>Lukáč, Jozef (asistent)</cp:lastModifiedBy>
  <cp:revision>2</cp:revision>
  <cp:lastPrinted>2016-05-27T14:29:00Z</cp:lastPrinted>
  <dcterms:created xsi:type="dcterms:W3CDTF">2018-05-23T10:13:00Z</dcterms:created>
  <dcterms:modified xsi:type="dcterms:W3CDTF">2018-05-23T10:13:00Z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Vinický, Filip</vt:lpwstr>
  </property>
</Properties>
</file>