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E5F1A" w:rsidRPr="006C5697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caps/>
          <w:spacing w:val="30"/>
          <w:sz w:val="22"/>
          <w:szCs w:val="22"/>
        </w:rPr>
        <w:t>Dôvodová správa</w:t>
      </w:r>
    </w:p>
    <w:p w:rsidR="003E5F1A" w:rsidRPr="006C5697">
      <w:pPr>
        <w:pStyle w:val="Heading1"/>
        <w:bidi w:val="0"/>
        <w:spacing w:before="120" w:line="276" w:lineRule="auto"/>
        <w:rPr>
          <w:rFonts w:ascii="Book Antiqua" w:hAnsi="Book Antiqua" w:cs="Times New Roman"/>
          <w:bCs w:val="0"/>
          <w:sz w:val="22"/>
          <w:szCs w:val="22"/>
        </w:rPr>
      </w:pPr>
      <w:r w:rsidRPr="006C5697">
        <w:rPr>
          <w:rFonts w:ascii="Book Antiqua" w:hAnsi="Book Antiqua" w:cs="Times New Roman"/>
          <w:bCs w:val="0"/>
          <w:sz w:val="22"/>
          <w:szCs w:val="22"/>
        </w:rPr>
        <w:t> </w:t>
      </w:r>
    </w:p>
    <w:p w:rsidR="003E5F1A" w:rsidRPr="006C5697">
      <w:pPr>
        <w:pStyle w:val="Heading1"/>
        <w:bidi w:val="0"/>
        <w:spacing w:before="120" w:line="276" w:lineRule="auto"/>
        <w:jc w:val="left"/>
        <w:rPr>
          <w:rFonts w:ascii="Book Antiqua" w:hAnsi="Book Antiqua" w:cs="Times New Roman"/>
          <w:bCs w:val="0"/>
          <w:sz w:val="22"/>
          <w:szCs w:val="22"/>
        </w:rPr>
      </w:pPr>
      <w:r w:rsidRPr="006C5697">
        <w:rPr>
          <w:rFonts w:ascii="Book Antiqua" w:hAnsi="Book Antiqua" w:cs="Times New Roman"/>
          <w:bCs w:val="0"/>
          <w:sz w:val="22"/>
          <w:szCs w:val="22"/>
        </w:rPr>
        <w:t>A. Všeobecná časť</w:t>
      </w:r>
    </w:p>
    <w:p w:rsidR="003E5F1A" w:rsidRPr="006C5697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sz w:val="22"/>
          <w:szCs w:val="22"/>
        </w:rPr>
        <w:t xml:space="preserve">Návrh zákona, ktorým sa mení a dopĺňa zákon </w:t>
      </w:r>
      <w:r w:rsidRPr="006C5697" w:rsidR="00DB71A7">
        <w:rPr>
          <w:rFonts w:ascii="Book Antiqua" w:hAnsi="Book Antiqua"/>
          <w:sz w:val="22"/>
          <w:szCs w:val="22"/>
        </w:rPr>
        <w:t xml:space="preserve">č. 343/2015 Z. z. o verejnom obstarávaní a o zmene a doplnení niektorých zákonov </w:t>
      </w:r>
      <w:r w:rsidRPr="006C5697">
        <w:rPr>
          <w:rFonts w:ascii="Book Antiqua" w:hAnsi="Book Antiqua"/>
          <w:sz w:val="22"/>
          <w:szCs w:val="22"/>
        </w:rPr>
        <w:t>v znení neskorších predpisov (ďale</w:t>
      </w:r>
      <w:r w:rsidR="006C5697">
        <w:rPr>
          <w:rFonts w:ascii="Book Antiqua" w:hAnsi="Book Antiqua"/>
          <w:sz w:val="22"/>
          <w:szCs w:val="22"/>
        </w:rPr>
        <w:t>j len „návrh zákona“) predkladá skupina poslancov Národnej rady Slovenskej republiky</w:t>
      </w:r>
      <w:r w:rsidRPr="006C5697">
        <w:rPr>
          <w:rFonts w:ascii="Book Antiqua" w:hAnsi="Book Antiqua"/>
          <w:sz w:val="22"/>
          <w:szCs w:val="22"/>
        </w:rPr>
        <w:t>.</w:t>
      </w:r>
    </w:p>
    <w:p w:rsidR="00DB71A7" w:rsidRPr="006C5697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C5697" w:rsidR="003E5F1A">
        <w:rPr>
          <w:rFonts w:ascii="Book Antiqua" w:hAnsi="Book Antiqua" w:cs="Arial"/>
          <w:sz w:val="22"/>
          <w:szCs w:val="22"/>
        </w:rPr>
        <w:t>Verejné obstarávanie funguje</w:t>
      </w:r>
      <w:r w:rsidR="006C5697">
        <w:rPr>
          <w:rFonts w:ascii="Book Antiqua" w:hAnsi="Book Antiqua" w:cs="Arial"/>
          <w:sz w:val="22"/>
          <w:szCs w:val="22"/>
        </w:rPr>
        <w:t xml:space="preserve"> efektívne vtedy,</w:t>
      </w:r>
      <w:r w:rsidRPr="006C5697" w:rsidR="003E5F1A">
        <w:rPr>
          <w:rFonts w:ascii="Book Antiqua" w:hAnsi="Book Antiqua" w:cs="Arial"/>
          <w:sz w:val="22"/>
          <w:szCs w:val="22"/>
        </w:rPr>
        <w:t xml:space="preserve"> ak je</w:t>
      </w:r>
      <w:r w:rsidRPr="006C5697">
        <w:rPr>
          <w:rFonts w:ascii="Book Antiqua" w:hAnsi="Book Antiqua" w:cs="Arial"/>
          <w:sz w:val="22"/>
          <w:szCs w:val="22"/>
        </w:rPr>
        <w:t xml:space="preserve"> nastavené tak, aby obstarávateľ získal tovary a služby za čo najnižšiu cenu, resp. aby za vynaložené peniaze dostal najvyššiu možnú protihodnotu. To sa dá dosiahnuť len intenzívnou konkurenciou medzi uchádzačmi.</w:t>
      </w:r>
      <w:r w:rsidRPr="006C5697" w:rsidR="003E5F1A">
        <w:rPr>
          <w:rFonts w:ascii="Book Antiqua" w:hAnsi="Book Antiqua" w:cs="Arial"/>
          <w:sz w:val="22"/>
          <w:szCs w:val="22"/>
        </w:rPr>
        <w:t xml:space="preserve"> </w:t>
      </w:r>
      <w:r w:rsidRPr="006C5697" w:rsidR="003E5F1A">
        <w:rPr>
          <w:rFonts w:ascii="Book Antiqua" w:hAnsi="Book Antiqua"/>
          <w:sz w:val="22"/>
          <w:szCs w:val="22"/>
        </w:rPr>
        <w:t xml:space="preserve">Prostredníctvom konkurenčného procesu sa môžu dosiahnuť nižšie ceny alebo lepšia kvalita a inovácia. Aj podľa </w:t>
      </w:r>
      <w:r w:rsidR="006C5697">
        <w:rPr>
          <w:rFonts w:ascii="Book Antiqua" w:hAnsi="Book Antiqua"/>
          <w:sz w:val="22"/>
          <w:szCs w:val="22"/>
        </w:rPr>
        <w:t>Organizácie pre hospodársku spoluprácu a rozvoj (</w:t>
      </w:r>
      <w:r w:rsidRPr="006C5697" w:rsidR="003E5F1A">
        <w:rPr>
          <w:rFonts w:ascii="Book Antiqua" w:hAnsi="Book Antiqua"/>
          <w:sz w:val="22"/>
          <w:szCs w:val="22"/>
        </w:rPr>
        <w:t>OECD</w:t>
      </w:r>
      <w:r w:rsidR="006C5697">
        <w:rPr>
          <w:rFonts w:ascii="Book Antiqua" w:hAnsi="Book Antiqua"/>
          <w:sz w:val="22"/>
          <w:szCs w:val="22"/>
        </w:rPr>
        <w:t>)</w:t>
      </w:r>
      <w:r w:rsidRPr="006C5697" w:rsidR="003E5F1A">
        <w:rPr>
          <w:rFonts w:ascii="Book Antiqua" w:hAnsi="Book Antiqua"/>
          <w:sz w:val="22"/>
          <w:szCs w:val="22"/>
        </w:rPr>
        <w:t xml:space="preserve"> by verejné obstarávania mali byť navrhované tak, aby </w:t>
      </w:r>
      <w:r w:rsidRPr="006C5697" w:rsidR="003E5F1A">
        <w:rPr>
          <w:rFonts w:ascii="Book Antiqua" w:hAnsi="Book Antiqua"/>
          <w:b/>
          <w:sz w:val="22"/>
          <w:szCs w:val="22"/>
        </w:rPr>
        <w:t>maximalizovali účasť skutočne si konkurujúcich uchádzačov</w:t>
      </w:r>
      <w:r w:rsidRPr="006C5697" w:rsidR="003E5F1A">
        <w:rPr>
          <w:rFonts w:ascii="Book Antiqua" w:hAnsi="Book Antiqua"/>
          <w:sz w:val="22"/>
          <w:szCs w:val="22"/>
        </w:rPr>
        <w:t>.</w:t>
      </w:r>
    </w:p>
    <w:p w:rsidR="001C1E26" w:rsidRPr="006C5697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C5697" w:rsidR="003E5F1A">
        <w:rPr>
          <w:rFonts w:ascii="Book Antiqua" w:hAnsi="Book Antiqua"/>
          <w:sz w:val="22"/>
          <w:szCs w:val="22"/>
        </w:rPr>
        <w:t xml:space="preserve">Protimonopolný úrad </w:t>
      </w:r>
      <w:r w:rsidRPr="006C5697">
        <w:rPr>
          <w:rFonts w:ascii="Book Antiqua" w:hAnsi="Book Antiqua"/>
          <w:sz w:val="22"/>
          <w:szCs w:val="22"/>
        </w:rPr>
        <w:t xml:space="preserve">Slovenskej republiky </w:t>
      </w:r>
      <w:r w:rsidRPr="006C5697" w:rsidR="003E5F1A">
        <w:rPr>
          <w:rFonts w:ascii="Book Antiqua" w:hAnsi="Book Antiqua"/>
          <w:sz w:val="22"/>
          <w:szCs w:val="22"/>
        </w:rPr>
        <w:t xml:space="preserve">už dlhodobo poukazuje na podnety, resp. informácie týkajúce sa priebehu verejných obstarávaní formou elektronických aukcií v rámci Elektronického kontraktačného systému. Podľa oznamovateľov </w:t>
      </w:r>
      <w:r w:rsidRPr="006C5697" w:rsidR="003E5F1A">
        <w:rPr>
          <w:rFonts w:ascii="Book Antiqua" w:hAnsi="Book Antiqua"/>
          <w:b/>
          <w:sz w:val="22"/>
          <w:szCs w:val="22"/>
        </w:rPr>
        <w:t xml:space="preserve">sa elektronických aukcií zúčastňujú </w:t>
      </w:r>
      <w:r w:rsidRPr="006C5697" w:rsidR="003E5F1A">
        <w:rPr>
          <w:rFonts w:ascii="Book Antiqua" w:hAnsi="Book Antiqua"/>
          <w:sz w:val="22"/>
          <w:szCs w:val="22"/>
        </w:rPr>
        <w:t xml:space="preserve">vo viacerých prípadoch </w:t>
      </w:r>
      <w:r w:rsidRPr="006C5697" w:rsidR="003E5F1A">
        <w:rPr>
          <w:rFonts w:ascii="Book Antiqua" w:hAnsi="Book Antiqua"/>
          <w:b/>
          <w:sz w:val="22"/>
          <w:szCs w:val="22"/>
        </w:rPr>
        <w:t xml:space="preserve">majetkovo alebo personálne prepojené </w:t>
      </w:r>
      <w:r w:rsidRPr="006C5697" w:rsidR="005F084E">
        <w:rPr>
          <w:rFonts w:ascii="Book Antiqua" w:hAnsi="Book Antiqua"/>
          <w:b/>
          <w:sz w:val="22"/>
          <w:szCs w:val="22"/>
        </w:rPr>
        <w:t>subjekty</w:t>
      </w:r>
      <w:r w:rsidRPr="006C5697">
        <w:rPr>
          <w:rFonts w:ascii="Book Antiqua" w:hAnsi="Book Antiqua"/>
          <w:sz w:val="22"/>
          <w:szCs w:val="22"/>
        </w:rPr>
        <w:t>.</w:t>
      </w:r>
    </w:p>
    <w:p w:rsidR="003E5F1A" w:rsidRPr="006C5697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C5697" w:rsidR="001C1E26">
        <w:rPr>
          <w:rFonts w:ascii="Book Antiqua" w:hAnsi="Book Antiqua"/>
          <w:sz w:val="22"/>
          <w:szCs w:val="22"/>
        </w:rPr>
        <w:t>Ú</w:t>
      </w:r>
      <w:r w:rsidRPr="006C5697">
        <w:rPr>
          <w:rFonts w:ascii="Book Antiqua" w:hAnsi="Book Antiqua"/>
          <w:sz w:val="22"/>
          <w:szCs w:val="22"/>
        </w:rPr>
        <w:t xml:space="preserve">časť viacerých takto prepojených subjektov v jednom verejnom obstarávaní môže mať </w:t>
      </w:r>
      <w:r w:rsidRPr="006C5697" w:rsidR="001C1E26">
        <w:rPr>
          <w:rFonts w:ascii="Book Antiqua" w:hAnsi="Book Antiqua"/>
          <w:sz w:val="22"/>
          <w:szCs w:val="22"/>
        </w:rPr>
        <w:t xml:space="preserve">veľmi </w:t>
      </w:r>
      <w:r w:rsidRPr="006C5697">
        <w:rPr>
          <w:rFonts w:ascii="Book Antiqua" w:hAnsi="Book Antiqua"/>
          <w:sz w:val="22"/>
          <w:szCs w:val="22"/>
        </w:rPr>
        <w:t>negatívny vplyv na intenzitu súťaže medzi uchádzačmi. Jedná sa napríklad o situácie, keď majetkové alebo personálne prepojenia medzi podnikateľmi umožňujú niektorému z nich vykonávať rozhodujúci vplyv nad činnosťou iného podnikateľa. V takomto prípade vytvárajú jednu ekonomickú skupinu a vzťah vzájomnej závislosti môže mať vplyv na ich správanie v rámci príslušného verejného obstarávania.</w:t>
      </w:r>
    </w:p>
    <w:p w:rsidR="001C1E26" w:rsidRPr="006C5697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C5697" w:rsidR="003E5F1A">
        <w:rPr>
          <w:rFonts w:ascii="Book Antiqua" w:hAnsi="Book Antiqua"/>
          <w:sz w:val="22"/>
          <w:szCs w:val="22"/>
        </w:rPr>
        <w:t xml:space="preserve">Predkladanie ponúk zo strany takto  prepojených subjektov môže vzbudzovať </w:t>
      </w:r>
      <w:r w:rsidRPr="006C5697" w:rsidR="003E5F1A">
        <w:rPr>
          <w:rFonts w:ascii="Book Antiqua" w:hAnsi="Book Antiqua"/>
          <w:b/>
          <w:sz w:val="22"/>
          <w:szCs w:val="22"/>
        </w:rPr>
        <w:t>falošné zdanie riadnej súťaže</w:t>
      </w:r>
      <w:r w:rsidRPr="006C5697" w:rsidR="003E5F1A">
        <w:rPr>
          <w:rFonts w:ascii="Book Antiqua" w:hAnsi="Book Antiqua"/>
          <w:sz w:val="22"/>
          <w:szCs w:val="22"/>
        </w:rPr>
        <w:t xml:space="preserve">, </w:t>
      </w:r>
      <w:r w:rsidRPr="006C5697" w:rsidR="003E5F1A">
        <w:rPr>
          <w:rFonts w:ascii="Book Antiqua" w:hAnsi="Book Antiqua"/>
          <w:b/>
          <w:sz w:val="22"/>
          <w:szCs w:val="22"/>
        </w:rPr>
        <w:t>čo je priamo v rozpore s princípom súťaženia vo verejnom obstarávaní</w:t>
      </w:r>
      <w:r w:rsidRPr="006C5697">
        <w:rPr>
          <w:rFonts w:ascii="Book Antiqua" w:hAnsi="Book Antiqua"/>
          <w:sz w:val="22"/>
          <w:szCs w:val="22"/>
        </w:rPr>
        <w:t>.</w:t>
      </w:r>
    </w:p>
    <w:p w:rsidR="003E5F1A" w:rsidRPr="006C5697" w:rsidP="006C5697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6C5697">
        <w:rPr>
          <w:rFonts w:ascii="Book Antiqua" w:hAnsi="Book Antiqua"/>
          <w:sz w:val="22"/>
          <w:szCs w:val="22"/>
        </w:rPr>
        <w:t> </w:t>
        <w:tab/>
      </w:r>
      <w:r w:rsidRPr="006C5697" w:rsidR="001C1E26">
        <w:rPr>
          <w:rFonts w:ascii="Book Antiqua" w:hAnsi="Book Antiqua"/>
          <w:b/>
          <w:sz w:val="22"/>
          <w:szCs w:val="22"/>
        </w:rPr>
        <w:t>Cieľom predkladaného návrhu zákona je zavedenie</w:t>
      </w:r>
      <w:r w:rsidRPr="006C5697">
        <w:rPr>
          <w:rFonts w:ascii="Book Antiqua" w:hAnsi="Book Antiqua"/>
          <w:b/>
          <w:sz w:val="22"/>
          <w:szCs w:val="22"/>
        </w:rPr>
        <w:t xml:space="preserve"> novej diskvalifikačnej podmienky vo verejnom obstarávaní, ktorá spočíva v možnosti vylúčenia uchádzača alebo záujemcu, </w:t>
      </w:r>
      <w:r w:rsidRPr="006C5697" w:rsidR="00E31CDE">
        <w:rPr>
          <w:rFonts w:ascii="Book Antiqua" w:hAnsi="Book Antiqua"/>
          <w:b/>
          <w:sz w:val="22"/>
          <w:szCs w:val="22"/>
        </w:rPr>
        <w:t xml:space="preserve">a to v </w:t>
      </w:r>
      <w:r w:rsidRPr="006C5697">
        <w:rPr>
          <w:rFonts w:ascii="Book Antiqua" w:hAnsi="Book Antiqua"/>
          <w:b/>
          <w:sz w:val="22"/>
          <w:szCs w:val="22"/>
        </w:rPr>
        <w:t>prípade dôvodných podozrení na prepojenie s inými súťažiacimi hospodárskymi subjektmi</w:t>
      </w:r>
      <w:r w:rsidR="006C5697">
        <w:rPr>
          <w:rFonts w:ascii="Book Antiqua" w:hAnsi="Book Antiqua"/>
          <w:b/>
          <w:sz w:val="22"/>
          <w:szCs w:val="22"/>
        </w:rPr>
        <w:t xml:space="preserve"> v tom istom verejnom obstarávaní.</w:t>
      </w:r>
    </w:p>
    <w:p w:rsidR="003E5F1A" w:rsidRPr="006C5697">
      <w:pPr>
        <w:bidi w:val="0"/>
        <w:spacing w:before="120" w:line="276" w:lineRule="auto"/>
        <w:ind w:right="-1" w:firstLine="720"/>
        <w:jc w:val="both"/>
        <w:rPr>
          <w:rFonts w:ascii="Book Antiqua" w:hAnsi="Book Antiqua"/>
          <w:sz w:val="22"/>
          <w:szCs w:val="22"/>
        </w:rPr>
      </w:pPr>
      <w:r w:rsidRPr="006C5697" w:rsidR="00D60033">
        <w:rPr>
          <w:rFonts w:ascii="Book Antiqua" w:hAnsi="Book Antiqua"/>
          <w:sz w:val="22"/>
          <w:szCs w:val="22"/>
        </w:rPr>
        <w:t>Od návrhu zákona možno očakávať</w:t>
      </w:r>
      <w:r w:rsidRPr="006C5697">
        <w:rPr>
          <w:rFonts w:ascii="Book Antiqua" w:hAnsi="Book Antiqua"/>
          <w:sz w:val="22"/>
          <w:szCs w:val="22"/>
        </w:rPr>
        <w:t xml:space="preserve"> pozitívny vplyv na </w:t>
      </w:r>
      <w:r w:rsidRPr="006C5697" w:rsidR="00D60033">
        <w:rPr>
          <w:rFonts w:ascii="Book Antiqua" w:hAnsi="Book Antiqua"/>
          <w:sz w:val="22"/>
          <w:szCs w:val="22"/>
        </w:rPr>
        <w:t xml:space="preserve">podnikateľské prostredie a zároveň aj pozitívny vplyv na rozpočet verejnej správy. Návrh zákona nemá vplyv </w:t>
      </w:r>
      <w:r w:rsidRPr="006C5697">
        <w:rPr>
          <w:rFonts w:ascii="Book Antiqua" w:hAnsi="Book Antiqua"/>
          <w:sz w:val="22"/>
          <w:szCs w:val="22"/>
        </w:rPr>
        <w:t>na životné prostredie</w:t>
      </w:r>
      <w:r w:rsidRPr="006C5697" w:rsidR="00D60033">
        <w:rPr>
          <w:rFonts w:ascii="Book Antiqua" w:hAnsi="Book Antiqua"/>
          <w:sz w:val="22"/>
          <w:szCs w:val="22"/>
        </w:rPr>
        <w:t>, ani na informatizáciu spoločnosti</w:t>
      </w:r>
      <w:r w:rsidRPr="006C5697">
        <w:rPr>
          <w:rFonts w:ascii="Book Antiqua" w:hAnsi="Book Antiqua"/>
          <w:sz w:val="22"/>
          <w:szCs w:val="22"/>
        </w:rPr>
        <w:t xml:space="preserve"> a</w:t>
      </w:r>
      <w:r w:rsidRPr="006C5697" w:rsidR="00D60033">
        <w:rPr>
          <w:rFonts w:ascii="Book Antiqua" w:hAnsi="Book Antiqua"/>
          <w:sz w:val="22"/>
          <w:szCs w:val="22"/>
        </w:rPr>
        <w:t> </w:t>
      </w:r>
      <w:r w:rsidRPr="006C5697">
        <w:rPr>
          <w:rFonts w:ascii="Book Antiqua" w:hAnsi="Book Antiqua"/>
          <w:sz w:val="22"/>
          <w:szCs w:val="22"/>
        </w:rPr>
        <w:t>nevyvoláva</w:t>
      </w:r>
      <w:r w:rsidRPr="006C5697" w:rsidR="00D60033">
        <w:rPr>
          <w:rFonts w:ascii="Book Antiqua" w:hAnsi="Book Antiqua"/>
          <w:sz w:val="22"/>
          <w:szCs w:val="22"/>
        </w:rPr>
        <w:t xml:space="preserve"> ani</w:t>
      </w:r>
      <w:r w:rsidRPr="006C5697">
        <w:rPr>
          <w:rFonts w:ascii="Book Antiqua" w:hAnsi="Book Antiqua"/>
          <w:sz w:val="22"/>
          <w:szCs w:val="22"/>
        </w:rPr>
        <w:t xml:space="preserve"> žiadne sociálne vplyvy</w:t>
      </w:r>
      <w:r w:rsidRPr="006C5697">
        <w:rPr>
          <w:rFonts w:ascii="Book Antiqua" w:hAnsi="Book Antiqua"/>
          <w:sz w:val="22"/>
          <w:szCs w:val="22"/>
          <w:shd w:val="clear" w:color="auto" w:fill="FFFFFF"/>
        </w:rPr>
        <w:t xml:space="preserve">. </w:t>
      </w:r>
    </w:p>
    <w:p w:rsidR="003E5F1A" w:rsidRPr="006C5697" w:rsidP="00D305C6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3E5F1A" w:rsidRPr="006C5697">
      <w:pPr>
        <w:pStyle w:val="NormalWeb"/>
        <w:pageBreakBefore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sz w:val="22"/>
          <w:szCs w:val="22"/>
        </w:rPr>
        <w:t>B. Osobitná časť</w:t>
      </w:r>
    </w:p>
    <w:p w:rsidR="003E5F1A" w:rsidRPr="006C5697">
      <w:pPr>
        <w:pStyle w:val="NormalWeb"/>
        <w:bidi w:val="0"/>
        <w:spacing w:before="120" w:after="0" w:line="276" w:lineRule="auto"/>
        <w:rPr>
          <w:rFonts w:ascii="Book Antiqua" w:hAnsi="Book Antiqua"/>
          <w:b/>
          <w:caps/>
          <w:spacing w:val="30"/>
          <w:sz w:val="22"/>
          <w:szCs w:val="22"/>
        </w:rPr>
      </w:pPr>
    </w:p>
    <w:p w:rsidR="003E5F1A" w:rsidRPr="006C569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sz w:val="22"/>
          <w:szCs w:val="22"/>
        </w:rPr>
        <w:t>K Čl. I</w:t>
      </w:r>
    </w:p>
    <w:p w:rsidR="003E5F1A" w:rsidRPr="006C569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5697" w:rsidR="00D305C6">
        <w:rPr>
          <w:rFonts w:ascii="Book Antiqua" w:hAnsi="Book Antiqua"/>
          <w:sz w:val="22"/>
          <w:szCs w:val="22"/>
          <w:u w:val="single"/>
        </w:rPr>
        <w:t>K bodom</w:t>
      </w:r>
      <w:r w:rsidRPr="006C5697">
        <w:rPr>
          <w:rFonts w:ascii="Book Antiqua" w:hAnsi="Book Antiqua"/>
          <w:sz w:val="22"/>
          <w:szCs w:val="22"/>
          <w:u w:val="single"/>
        </w:rPr>
        <w:t xml:space="preserve"> </w:t>
      </w:r>
      <w:r w:rsidRPr="006C5697" w:rsidR="00A7316A">
        <w:rPr>
          <w:rFonts w:ascii="Book Antiqua" w:hAnsi="Book Antiqua"/>
          <w:sz w:val="22"/>
          <w:szCs w:val="22"/>
          <w:u w:val="single"/>
        </w:rPr>
        <w:t>1, 2 a 4</w:t>
      </w:r>
    </w:p>
    <w:p w:rsidR="003E5F1A" w:rsidRPr="006C5697" w:rsidP="00D305C6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sz w:val="22"/>
          <w:szCs w:val="22"/>
        </w:rPr>
        <w:tab/>
      </w:r>
      <w:r w:rsidRPr="006C5697" w:rsidR="00E31CDE">
        <w:rPr>
          <w:rFonts w:ascii="Book Antiqua" w:hAnsi="Book Antiqua"/>
          <w:sz w:val="22"/>
          <w:szCs w:val="22"/>
        </w:rPr>
        <w:t xml:space="preserve">Ide o legislatívno-technické úpravy </w:t>
      </w:r>
      <w:r w:rsidR="006C5697">
        <w:rPr>
          <w:rFonts w:ascii="Book Antiqua" w:hAnsi="Book Antiqua"/>
          <w:sz w:val="22"/>
          <w:szCs w:val="22"/>
        </w:rPr>
        <w:t xml:space="preserve">bezprostredne </w:t>
      </w:r>
      <w:r w:rsidRPr="006C5697" w:rsidR="00E31CDE">
        <w:rPr>
          <w:rFonts w:ascii="Book Antiqua" w:hAnsi="Book Antiqua"/>
          <w:sz w:val="22"/>
          <w:szCs w:val="22"/>
        </w:rPr>
        <w:t>súvisiace</w:t>
      </w:r>
      <w:r w:rsidRPr="006C5697" w:rsidR="00D305C6">
        <w:rPr>
          <w:rFonts w:ascii="Book Antiqua" w:hAnsi="Book Antiqua"/>
          <w:sz w:val="22"/>
          <w:szCs w:val="22"/>
        </w:rPr>
        <w:t xml:space="preserve"> s</w:t>
      </w:r>
      <w:r w:rsidR="006C5697">
        <w:rPr>
          <w:rFonts w:ascii="Book Antiqua" w:hAnsi="Book Antiqua"/>
          <w:sz w:val="22"/>
          <w:szCs w:val="22"/>
        </w:rPr>
        <w:t xml:space="preserve"> Čl. I </w:t>
      </w:r>
      <w:r w:rsidRPr="006C5697" w:rsidR="00D305C6">
        <w:rPr>
          <w:rFonts w:ascii="Book Antiqua" w:hAnsi="Book Antiqua"/>
          <w:sz w:val="22"/>
          <w:szCs w:val="22"/>
        </w:rPr>
        <w:t>bodom 3</w:t>
      </w:r>
      <w:r w:rsidR="006C5697">
        <w:rPr>
          <w:rFonts w:ascii="Book Antiqua" w:hAnsi="Book Antiqua"/>
          <w:sz w:val="22"/>
          <w:szCs w:val="22"/>
        </w:rPr>
        <w:t xml:space="preserve"> návrhu zákona</w:t>
      </w:r>
      <w:r w:rsidRPr="006C5697" w:rsidR="00D305C6">
        <w:rPr>
          <w:rFonts w:ascii="Book Antiqua" w:hAnsi="Book Antiqua"/>
          <w:sz w:val="22"/>
          <w:szCs w:val="22"/>
        </w:rPr>
        <w:t xml:space="preserve">. </w:t>
      </w:r>
    </w:p>
    <w:p w:rsidR="003E5F1A" w:rsidRPr="006C569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5697" w:rsidR="006C5697">
        <w:rPr>
          <w:rFonts w:ascii="Book Antiqua" w:hAnsi="Book Antiqua"/>
          <w:sz w:val="22"/>
          <w:szCs w:val="22"/>
          <w:u w:val="single"/>
        </w:rPr>
        <w:t xml:space="preserve">K bodu </w:t>
      </w:r>
      <w:r w:rsidRPr="006C5697" w:rsidR="00A7316A">
        <w:rPr>
          <w:rFonts w:ascii="Book Antiqua" w:hAnsi="Book Antiqua"/>
          <w:sz w:val="22"/>
          <w:szCs w:val="22"/>
          <w:u w:val="single"/>
        </w:rPr>
        <w:t>3</w:t>
      </w:r>
    </w:p>
    <w:p w:rsidR="003E5F1A" w:rsidRPr="006C5697" w:rsidP="00D305C6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sz w:val="22"/>
          <w:szCs w:val="22"/>
        </w:rPr>
        <w:tab/>
      </w:r>
      <w:r w:rsidRPr="006C5697" w:rsidR="00D305C6">
        <w:rPr>
          <w:rFonts w:ascii="Book Antiqua" w:hAnsi="Book Antiqua"/>
          <w:sz w:val="22"/>
          <w:szCs w:val="22"/>
        </w:rPr>
        <w:t>Cieľom verejného obstarávania je, aby ponuky reálne súťažili. Ak sa však v tej istej súťaži stretnú ponuky subjektov patriacich do tej istej ekonomickej skupiny, súťažné tlaky sú výrazne obmedzené. Vzhľadom na to, že na účely súťažného práva sa fyzické osoby a právnické osoby podnikajúce spoločne ako jedna podnikateľská</w:t>
      </w:r>
      <w:r w:rsidR="006C5697">
        <w:rPr>
          <w:rFonts w:ascii="Book Antiqua" w:hAnsi="Book Antiqua"/>
          <w:sz w:val="22"/>
          <w:szCs w:val="22"/>
        </w:rPr>
        <w:t xml:space="preserve"> jednotka</w:t>
      </w:r>
      <w:r w:rsidRPr="006C5697" w:rsidR="00D305C6">
        <w:rPr>
          <w:rFonts w:ascii="Book Antiqua" w:hAnsi="Book Antiqua"/>
          <w:sz w:val="22"/>
          <w:szCs w:val="22"/>
        </w:rPr>
        <w:t xml:space="preserve"> považujú za jeden podnik, prípadné dohody v rámci ekonomickej skupiny nemožno postihnúť ako kartel. Na druhej strane </w:t>
      </w:r>
      <w:r w:rsidR="00600F57">
        <w:rPr>
          <w:rFonts w:ascii="Book Antiqua" w:hAnsi="Book Antiqua"/>
          <w:sz w:val="22"/>
          <w:szCs w:val="22"/>
        </w:rPr>
        <w:t xml:space="preserve">zákon </w:t>
      </w:r>
      <w:r w:rsidRPr="006C5697" w:rsidR="00600F57">
        <w:rPr>
          <w:rFonts w:ascii="Book Antiqua" w:hAnsi="Book Antiqua"/>
          <w:sz w:val="22"/>
          <w:szCs w:val="22"/>
        </w:rPr>
        <w:t xml:space="preserve">č. 343/2015 Z. z. o verejnom obstarávaní a o zmene a doplnení niektorých zákonov v znení neskorších predpisov </w:t>
      </w:r>
      <w:r w:rsidR="00600F57">
        <w:rPr>
          <w:rFonts w:ascii="Book Antiqua" w:hAnsi="Book Antiqua"/>
          <w:sz w:val="22"/>
          <w:szCs w:val="22"/>
        </w:rPr>
        <w:t>(ďalej len „</w:t>
      </w:r>
      <w:r w:rsidRPr="006C5697" w:rsidR="00D305C6">
        <w:rPr>
          <w:rFonts w:ascii="Book Antiqua" w:hAnsi="Book Antiqua"/>
          <w:sz w:val="22"/>
          <w:szCs w:val="22"/>
        </w:rPr>
        <w:t>zákon o verejnom obstarávaní</w:t>
      </w:r>
      <w:r w:rsidR="00600F57">
        <w:rPr>
          <w:rFonts w:ascii="Book Antiqua" w:hAnsi="Book Antiqua"/>
          <w:sz w:val="22"/>
          <w:szCs w:val="22"/>
        </w:rPr>
        <w:t>“)</w:t>
      </w:r>
      <w:r w:rsidRPr="006C5697" w:rsidR="00D305C6">
        <w:rPr>
          <w:rFonts w:ascii="Book Antiqua" w:hAnsi="Book Antiqua"/>
          <w:sz w:val="22"/>
          <w:szCs w:val="22"/>
        </w:rPr>
        <w:t xml:space="preserve"> nebráni účasti</w:t>
      </w:r>
      <w:r w:rsidR="00600F57">
        <w:rPr>
          <w:rFonts w:ascii="Book Antiqua" w:hAnsi="Book Antiqua"/>
          <w:sz w:val="22"/>
          <w:szCs w:val="22"/>
        </w:rPr>
        <w:t xml:space="preserve"> viacerých takýchto subjektov v</w:t>
      </w:r>
      <w:r w:rsidRPr="006C5697" w:rsidR="00D305C6">
        <w:rPr>
          <w:rFonts w:ascii="Book Antiqua" w:hAnsi="Book Antiqua"/>
          <w:sz w:val="22"/>
          <w:szCs w:val="22"/>
        </w:rPr>
        <w:t xml:space="preserve"> </w:t>
      </w:r>
      <w:r w:rsidR="00600F57">
        <w:rPr>
          <w:rFonts w:ascii="Book Antiqua" w:hAnsi="Book Antiqua"/>
          <w:sz w:val="22"/>
          <w:szCs w:val="22"/>
        </w:rPr>
        <w:t>jednej súťaži, čo deformuje</w:t>
      </w:r>
      <w:r w:rsidRPr="006C5697" w:rsidR="00D305C6">
        <w:rPr>
          <w:rFonts w:ascii="Book Antiqua" w:hAnsi="Book Antiqua"/>
          <w:sz w:val="22"/>
          <w:szCs w:val="22"/>
        </w:rPr>
        <w:t xml:space="preserve"> </w:t>
      </w:r>
      <w:r w:rsidRPr="006C5697" w:rsidR="00E31CDE">
        <w:rPr>
          <w:rFonts w:ascii="Book Antiqua" w:hAnsi="Book Antiqua"/>
          <w:sz w:val="22"/>
          <w:szCs w:val="22"/>
        </w:rPr>
        <w:t xml:space="preserve">verejné </w:t>
      </w:r>
      <w:r w:rsidRPr="006C5697" w:rsidR="00D305C6">
        <w:rPr>
          <w:rFonts w:ascii="Book Antiqua" w:hAnsi="Book Antiqua"/>
          <w:sz w:val="22"/>
          <w:szCs w:val="22"/>
        </w:rPr>
        <w:t xml:space="preserve">obstarávanie. </w:t>
      </w:r>
    </w:p>
    <w:p w:rsidR="00D305C6" w:rsidRPr="00600F57" w:rsidP="006B2C8E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sz w:val="22"/>
          <w:szCs w:val="22"/>
        </w:rPr>
        <w:t>Diskvalifikácia majetkovo či personálne prepojených subjektov v rámci jedného verejného obstarávania nie je v súčasnom znení záko</w:t>
      </w:r>
      <w:r w:rsidR="00600F57">
        <w:rPr>
          <w:rFonts w:ascii="Book Antiqua" w:hAnsi="Book Antiqua"/>
          <w:b/>
          <w:sz w:val="22"/>
          <w:szCs w:val="22"/>
        </w:rPr>
        <w:t>na o verejnom obstarávaní</w:t>
      </w:r>
      <w:r w:rsidRPr="006C5697">
        <w:rPr>
          <w:rFonts w:ascii="Book Antiqua" w:hAnsi="Book Antiqua"/>
          <w:b/>
          <w:sz w:val="22"/>
          <w:szCs w:val="22"/>
        </w:rPr>
        <w:t xml:space="preserve"> zakotvená, a</w:t>
      </w:r>
      <w:r w:rsidRPr="006C5697">
        <w:rPr>
          <w:rFonts w:ascii="Book Antiqua" w:hAnsi="Book Antiqua"/>
          <w:sz w:val="22"/>
          <w:szCs w:val="22"/>
        </w:rPr>
        <w:t xml:space="preserve"> </w:t>
      </w:r>
      <w:r w:rsidR="00600F57">
        <w:rPr>
          <w:rFonts w:ascii="Book Antiqua" w:hAnsi="Book Antiqua"/>
          <w:b/>
          <w:sz w:val="22"/>
          <w:szCs w:val="22"/>
        </w:rPr>
        <w:t>preto je žiaduce</w:t>
      </w:r>
      <w:r w:rsidRPr="006C5697">
        <w:rPr>
          <w:rFonts w:ascii="Book Antiqua" w:hAnsi="Book Antiqua"/>
          <w:b/>
          <w:sz w:val="22"/>
          <w:szCs w:val="22"/>
        </w:rPr>
        <w:t xml:space="preserve"> doplniť takýto dôvod vylúčenia</w:t>
      </w:r>
      <w:r w:rsidRPr="006C5697">
        <w:rPr>
          <w:rFonts w:ascii="Book Antiqua" w:hAnsi="Book Antiqua"/>
          <w:sz w:val="22"/>
          <w:szCs w:val="22"/>
        </w:rPr>
        <w:t xml:space="preserve"> </w:t>
      </w:r>
      <w:r w:rsidRPr="006C5697">
        <w:rPr>
          <w:rFonts w:ascii="Book Antiqua" w:hAnsi="Book Antiqua"/>
          <w:b/>
          <w:sz w:val="22"/>
          <w:szCs w:val="22"/>
        </w:rPr>
        <w:t>uchádzača alebo záujemcu zo súťaže</w:t>
      </w:r>
      <w:r w:rsidR="006B2C8E">
        <w:rPr>
          <w:rFonts w:ascii="Book Antiqua" w:hAnsi="Book Antiqua"/>
          <w:sz w:val="22"/>
          <w:szCs w:val="22"/>
        </w:rPr>
        <w:t xml:space="preserve">. Takéto vylúčenie by malo byť automatické na rozdiel napr. od vylúčenia z dôvodu </w:t>
      </w:r>
      <w:r w:rsidR="00600F57">
        <w:rPr>
          <w:rFonts w:ascii="Book Antiqua" w:hAnsi="Book Antiqua"/>
          <w:sz w:val="22"/>
          <w:szCs w:val="22"/>
        </w:rPr>
        <w:t xml:space="preserve">kartelovej dohody [§ 40 ods. 6 písm. g) zákona o verejnom obstarávaní], pri ktorom síce tiež postačuje dôvodné podozrenie [a nie preukázateľná informácia alebo údaj, ako tomu je napr. v prípade zákaziek alebo koncesií v oblasti obrany a bezpečnosti podľa    § 32 ods. 3 zákona o verejnom obstarávaní], </w:t>
      </w:r>
      <w:r w:rsidRPr="00600F57" w:rsidR="00600F57">
        <w:rPr>
          <w:rFonts w:ascii="Book Antiqua" w:hAnsi="Book Antiqua"/>
          <w:sz w:val="22"/>
          <w:szCs w:val="22"/>
        </w:rPr>
        <w:t xml:space="preserve">ale takáto možnosť vylúčenia </w:t>
      </w:r>
      <w:r w:rsidR="00600F57">
        <w:rPr>
          <w:rFonts w:ascii="Book Antiqua" w:hAnsi="Book Antiqua" w:cs="Segoe UI"/>
          <w:sz w:val="22"/>
          <w:szCs w:val="22"/>
          <w:shd w:val="clear" w:color="auto" w:fill="FFFFFF"/>
        </w:rPr>
        <w:t>sa ako podmienka musí uviesť</w:t>
      </w:r>
      <w:r w:rsidRPr="00600F57" w:rsidR="00600F57">
        <w:rPr>
          <w:rFonts w:ascii="Book Antiqua" w:hAnsi="Book Antiqua" w:cs="Segoe UI"/>
          <w:sz w:val="22"/>
          <w:szCs w:val="22"/>
          <w:shd w:val="clear" w:color="auto" w:fill="FFFFFF"/>
        </w:rPr>
        <w:t xml:space="preserve"> v oznámení o vyhlásení verejného obstarávania alebo v oznámení použitom ako výzva na súťaž</w:t>
      </w:r>
      <w:r w:rsidR="00600F57"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</w:p>
    <w:p w:rsidR="00600F57" w:rsidP="004E451D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00F57" w:rsidR="004E451D">
        <w:rPr>
          <w:rFonts w:ascii="Book Antiqua" w:hAnsi="Book Antiqua"/>
          <w:sz w:val="22"/>
          <w:szCs w:val="22"/>
        </w:rPr>
        <w:t xml:space="preserve">Hoci je pojem majetkové a personálne prepojenie jasný a zrozumiteľný, na účely preukázania väzieb, a teda na vylúčenie uchádzača alebo záujemcu z verejného obstarávania, je </w:t>
      </w:r>
      <w:r>
        <w:rPr>
          <w:rFonts w:ascii="Book Antiqua" w:hAnsi="Book Antiqua"/>
          <w:sz w:val="22"/>
          <w:szCs w:val="22"/>
        </w:rPr>
        <w:t>vhodnejšie použiť pojem, ktorý zákon o verejnom obstarávaní na tieto účely už používa a je v ňom vymedzený</w:t>
      </w:r>
      <w:r w:rsidRPr="00600F57" w:rsidR="004E451D">
        <w:rPr>
          <w:rFonts w:ascii="Book Antiqua" w:hAnsi="Book Antiqua"/>
          <w:sz w:val="22"/>
          <w:szCs w:val="22"/>
        </w:rPr>
        <w:t xml:space="preserve">. </w:t>
      </w:r>
      <w:r w:rsidRPr="00600F57" w:rsidR="004E451D">
        <w:rPr>
          <w:rFonts w:ascii="Book Antiqua" w:hAnsi="Book Antiqua"/>
          <w:b/>
          <w:sz w:val="22"/>
          <w:szCs w:val="22"/>
        </w:rPr>
        <w:t xml:space="preserve">Znaky majetkového či personálneho prepojenia však zákon </w:t>
      </w:r>
      <w:r w:rsidR="00973175">
        <w:rPr>
          <w:rFonts w:ascii="Book Antiqua" w:hAnsi="Book Antiqua"/>
          <w:b/>
          <w:sz w:val="22"/>
          <w:szCs w:val="22"/>
        </w:rPr>
        <w:t xml:space="preserve">o verejnom obstarávaní </w:t>
      </w:r>
      <w:r w:rsidRPr="00600F57" w:rsidR="004E451D">
        <w:rPr>
          <w:rFonts w:ascii="Book Antiqua" w:hAnsi="Book Antiqua"/>
          <w:b/>
          <w:sz w:val="22"/>
          <w:szCs w:val="22"/>
        </w:rPr>
        <w:t xml:space="preserve">presne definuje prostredníctvom </w:t>
      </w:r>
      <w:r>
        <w:rPr>
          <w:rFonts w:ascii="Book Antiqua" w:hAnsi="Book Antiqua"/>
          <w:b/>
          <w:sz w:val="22"/>
          <w:szCs w:val="22"/>
        </w:rPr>
        <w:t xml:space="preserve">pojmu </w:t>
      </w:r>
      <w:r w:rsidRPr="00600F57" w:rsidR="004E451D">
        <w:rPr>
          <w:rFonts w:ascii="Book Antiqua" w:hAnsi="Book Antiqua"/>
          <w:b/>
          <w:sz w:val="22"/>
          <w:szCs w:val="22"/>
        </w:rPr>
        <w:t>tzv. prepojeného podniku</w:t>
      </w:r>
      <w:r>
        <w:rPr>
          <w:rFonts w:ascii="Book Antiqua" w:hAnsi="Book Antiqua"/>
          <w:sz w:val="22"/>
          <w:szCs w:val="22"/>
        </w:rPr>
        <w:t>.</w:t>
      </w:r>
    </w:p>
    <w:p w:rsidR="007B161A" w:rsidP="007B161A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 w:cs="Segoe UI"/>
          <w:sz w:val="22"/>
          <w:szCs w:val="22"/>
        </w:rPr>
      </w:pPr>
      <w:r w:rsidR="00600F57">
        <w:rPr>
          <w:rFonts w:ascii="Book Antiqua" w:hAnsi="Book Antiqua"/>
          <w:sz w:val="22"/>
          <w:szCs w:val="22"/>
        </w:rPr>
        <w:t xml:space="preserve">Pod prepojeným podnikom zákon </w:t>
      </w:r>
      <w:r w:rsidR="00973175">
        <w:rPr>
          <w:rFonts w:ascii="Book Antiqua" w:hAnsi="Book Antiqua"/>
          <w:sz w:val="22"/>
          <w:szCs w:val="22"/>
        </w:rPr>
        <w:t xml:space="preserve">o verejnom obstarávaní </w:t>
      </w:r>
      <w:r w:rsidR="00600F57">
        <w:rPr>
          <w:rFonts w:ascii="Book Antiqua" w:hAnsi="Book Antiqua"/>
          <w:sz w:val="22"/>
          <w:szCs w:val="22"/>
        </w:rPr>
        <w:t xml:space="preserve">rozumie nielen subjekty prepojené v zmysle </w:t>
      </w:r>
      <w:r w:rsidR="00973175">
        <w:rPr>
          <w:rFonts w:ascii="Book Antiqua" w:hAnsi="Book Antiqua"/>
          <w:sz w:val="22"/>
          <w:szCs w:val="22"/>
        </w:rPr>
        <w:t xml:space="preserve">ustanovenia </w:t>
      </w:r>
      <w:r w:rsidR="00600F57">
        <w:rPr>
          <w:rFonts w:ascii="Book Antiqua" w:hAnsi="Book Antiqua"/>
          <w:sz w:val="22"/>
          <w:szCs w:val="22"/>
        </w:rPr>
        <w:t>§ 85 ods.</w:t>
      </w:r>
      <w:r w:rsidR="00973175">
        <w:rPr>
          <w:rFonts w:ascii="Book Antiqua" w:hAnsi="Book Antiqua"/>
          <w:sz w:val="22"/>
          <w:szCs w:val="22"/>
        </w:rPr>
        <w:t xml:space="preserve"> 3, ale tiež subjekty navzájom prepojené v zmysle ustanovenia </w:t>
      </w:r>
      <w:r w:rsidR="00600F57">
        <w:rPr>
          <w:rFonts w:ascii="Book Antiqua" w:hAnsi="Book Antiqua"/>
          <w:sz w:val="22"/>
          <w:szCs w:val="22"/>
        </w:rPr>
        <w:t>§ 9 ods. 1 písm. a)</w:t>
      </w:r>
      <w:r w:rsidR="00973175">
        <w:rPr>
          <w:rFonts w:ascii="Book Antiqua" w:hAnsi="Book Antiqua"/>
          <w:sz w:val="22"/>
          <w:szCs w:val="22"/>
        </w:rPr>
        <w:t>. Konkrétne,</w:t>
      </w:r>
      <w:r>
        <w:rPr>
          <w:rFonts w:ascii="Book Antiqua" w:hAnsi="Book Antiqua"/>
          <w:sz w:val="22"/>
          <w:szCs w:val="22"/>
        </w:rPr>
        <w:t xml:space="preserve"> prepojeným podnikom </w:t>
      </w:r>
      <w:r w:rsidRPr="00973175" w:rsidR="00973175">
        <w:rPr>
          <w:rFonts w:ascii="Book Antiqua" w:hAnsi="Book Antiqua" w:cs="Segoe UI"/>
          <w:sz w:val="22"/>
          <w:szCs w:val="22"/>
          <w:shd w:val="clear" w:color="auto" w:fill="FFFFFF"/>
        </w:rPr>
        <w:t>na účely zadávania zákaziek obstarávateľom je právnická osoba, ktorej účtovná závierka je konsolidovaná s účtovnou závierkou obstará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 xml:space="preserve">vateľa </w:t>
      </w:r>
      <w:r w:rsidRPr="00973175" w:rsidR="00973175">
        <w:rPr>
          <w:rFonts w:ascii="Book Antiqua" w:hAnsi="Book Antiqua" w:cs="Segoe UI"/>
          <w:sz w:val="22"/>
          <w:szCs w:val="22"/>
          <w:shd w:val="clear" w:color="auto" w:fill="FFFFFF"/>
        </w:rPr>
        <w:t>alebo právnická osoba, na ktorú má obstarávateľ priamy alebo nepriamy rozhodujúci vplyv podľa </w:t>
      </w:r>
      <w:hyperlink r:id="rId4" w:anchor="paragraf-9.odsek-1.pismeno-a" w:tooltip="Odkaz na predpis alebo ustanovenie" w:history="1">
        <w:r w:rsidRPr="007B161A" w:rsidR="00973175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>§ 9 ods. 1 písm. a)</w:t>
        </w:r>
      </w:hyperlink>
      <w:r w:rsidRPr="00973175" w:rsidR="00973175">
        <w:rPr>
          <w:rFonts w:ascii="Book Antiqua" w:hAnsi="Book Antiqua" w:cs="Segoe UI"/>
          <w:sz w:val="22"/>
          <w:szCs w:val="22"/>
          <w:shd w:val="clear" w:color="auto" w:fill="FFFFFF"/>
        </w:rPr>
        <w:t> 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 xml:space="preserve">zákona o verejnom obstarávaní </w:t>
      </w:r>
      <w:r w:rsidRPr="00973175" w:rsidR="00973175">
        <w:rPr>
          <w:rFonts w:ascii="Book Antiqua" w:hAnsi="Book Antiqua" w:cs="Segoe UI"/>
          <w:sz w:val="22"/>
          <w:szCs w:val="22"/>
          <w:shd w:val="clear" w:color="auto" w:fill="FFFFFF"/>
        </w:rPr>
        <w:t>alebo právnická osoba, ktorá má rozhodujúci vplyv na obstarávateľa, alebo právnická osoba, ktorá spolu s obstarávateľom podlieha rozhodujúcemu vplyvu inej právnickej osoby na základe vlastníctva, finančného podielu alebo pravidiel, ktorými sa riadi.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 xml:space="preserve"> Priamy alebo </w:t>
      </w:r>
      <w:r w:rsidRPr="007B161A">
        <w:rPr>
          <w:rFonts w:ascii="Book Antiqua" w:hAnsi="Book Antiqua" w:cs="Segoe UI"/>
          <w:sz w:val="22"/>
          <w:szCs w:val="22"/>
          <w:shd w:val="clear" w:color="auto" w:fill="FFFFFF"/>
        </w:rPr>
        <w:t xml:space="preserve">nepriamy rozhodujúci vplyv znamená, že verejný obstarávateľ má takýto vplyv na právnickú osobu na základe </w:t>
      </w:r>
      <w:r w:rsidRPr="007B161A">
        <w:rPr>
          <w:rFonts w:ascii="Book Antiqua" w:hAnsi="Book Antiqua" w:cs="Segoe UI"/>
          <w:sz w:val="22"/>
          <w:szCs w:val="22"/>
        </w:rPr>
        <w:t>vlastníckeho práva, finančného podielu alebo pravidiel, ktorými sa spravuj</w:t>
      </w:r>
      <w:r>
        <w:rPr>
          <w:rFonts w:ascii="Book Antiqua" w:hAnsi="Book Antiqua" w:cs="Segoe UI"/>
          <w:sz w:val="22"/>
          <w:szCs w:val="22"/>
        </w:rPr>
        <w:t>e</w:t>
      </w:r>
      <w:r w:rsidRPr="007B161A">
        <w:rPr>
          <w:rFonts w:ascii="Book Antiqua" w:hAnsi="Book Antiqua" w:cs="Segoe UI"/>
          <w:sz w:val="22"/>
          <w:szCs w:val="22"/>
        </w:rPr>
        <w:t>; rozhodujúcim vplyvom sa rozumie, že verejný obstarávateľ priamo alebo nepriamo</w:t>
      </w:r>
      <w:r>
        <w:rPr>
          <w:rFonts w:ascii="Book Antiqua" w:hAnsi="Book Antiqua" w:cs="Segoe UI"/>
          <w:sz w:val="22"/>
          <w:szCs w:val="22"/>
        </w:rPr>
        <w:t xml:space="preserve"> </w:t>
      </w:r>
      <w:r w:rsidRPr="007B161A">
        <w:rPr>
          <w:rFonts w:ascii="Book Antiqua" w:hAnsi="Book Antiqua" w:cs="Segoe UI"/>
          <w:sz w:val="22"/>
          <w:szCs w:val="22"/>
        </w:rPr>
        <w:t xml:space="preserve">vlastní väčšinu akcií </w:t>
      </w:r>
      <w:r>
        <w:rPr>
          <w:rFonts w:ascii="Book Antiqua" w:hAnsi="Book Antiqua" w:cs="Segoe UI"/>
          <w:sz w:val="22"/>
          <w:szCs w:val="22"/>
        </w:rPr>
        <w:t xml:space="preserve">alebo väčšinový obchodný podiel právnickej osoby, </w:t>
      </w:r>
      <w:r w:rsidRPr="007B161A">
        <w:rPr>
          <w:rFonts w:ascii="Book Antiqua" w:hAnsi="Book Antiqua" w:cs="Segoe UI"/>
          <w:sz w:val="22"/>
          <w:szCs w:val="22"/>
        </w:rPr>
        <w:t xml:space="preserve">ovláda väčšinový podiel na hlasovacích právach </w:t>
      </w:r>
      <w:r>
        <w:rPr>
          <w:rFonts w:ascii="Book Antiqua" w:hAnsi="Book Antiqua" w:cs="Segoe UI"/>
          <w:sz w:val="22"/>
          <w:szCs w:val="22"/>
        </w:rPr>
        <w:t xml:space="preserve">právnickej osoby </w:t>
      </w:r>
      <w:r w:rsidRPr="007B161A">
        <w:rPr>
          <w:rFonts w:ascii="Book Antiqua" w:hAnsi="Book Antiqua" w:cs="Segoe UI"/>
          <w:sz w:val="22"/>
          <w:szCs w:val="22"/>
        </w:rPr>
        <w:t>alebo</w:t>
      </w:r>
      <w:r>
        <w:rPr>
          <w:rFonts w:ascii="Book Antiqua" w:hAnsi="Book Antiqua" w:cs="Segoe UI"/>
          <w:sz w:val="22"/>
          <w:szCs w:val="22"/>
        </w:rPr>
        <w:t xml:space="preserve"> </w:t>
      </w:r>
      <w:r w:rsidRPr="007B161A">
        <w:rPr>
          <w:rFonts w:ascii="Book Antiqua" w:hAnsi="Book Antiqua" w:cs="Segoe UI"/>
          <w:sz w:val="22"/>
          <w:szCs w:val="22"/>
        </w:rPr>
        <w:t>vymenúva viac ako polovicu členov správneho orgánu alebo iného výkonného orgánu, alebo kontrolného orgánu</w:t>
      </w:r>
      <w:r>
        <w:rPr>
          <w:rFonts w:ascii="Book Antiqua" w:hAnsi="Book Antiqua" w:cs="Segoe UI"/>
          <w:sz w:val="22"/>
          <w:szCs w:val="22"/>
        </w:rPr>
        <w:t xml:space="preserve"> právnickej osoby.</w:t>
      </w:r>
    </w:p>
    <w:p w:rsidR="00FF1E90" w:rsidRPr="007B161A" w:rsidP="007B161A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>
        <w:rPr>
          <w:rFonts w:ascii="Book Antiqua" w:hAnsi="Book Antiqua" w:cs="Segoe UI"/>
          <w:sz w:val="22"/>
          <w:szCs w:val="22"/>
        </w:rPr>
        <w:t>Toto vymedzenie prepojeného podniku sa použije primerane, keďže prepojenosť sa nebude skúmať v rovine obstarávateľ – účastník/záujemca, ale v rovine účastníci/záujemcovia navzájom. Zároveň platí, že pri vylúčení účastníkov/záujemcov z procesu verejného obstarávania sa musia dodržiavať princípy transparentnosti, rovnakého zaobchádzania, nediskriminácie a proporcionality.</w:t>
      </w:r>
    </w:p>
    <w:p w:rsidR="007B161A" w:rsidRPr="006C5697" w:rsidP="00D305C6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trike/>
          <w:sz w:val="22"/>
          <w:szCs w:val="22"/>
        </w:rPr>
      </w:pPr>
    </w:p>
    <w:p w:rsidR="003E5F1A" w:rsidRPr="006C569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sz w:val="22"/>
          <w:szCs w:val="22"/>
        </w:rPr>
        <w:t>K Čl. II</w:t>
      </w:r>
    </w:p>
    <w:p w:rsidR="003E5F1A" w:rsidRPr="006C5697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sz w:val="22"/>
          <w:szCs w:val="22"/>
        </w:rPr>
        <w:t xml:space="preserve">Navrhuje sa, aby zákon nadobudol účinnosť 1. </w:t>
      </w:r>
      <w:r w:rsidRPr="006C5697" w:rsidR="00E31CDE">
        <w:rPr>
          <w:rFonts w:ascii="Book Antiqua" w:hAnsi="Book Antiqua"/>
          <w:sz w:val="22"/>
          <w:szCs w:val="22"/>
        </w:rPr>
        <w:t>novembra</w:t>
      </w:r>
      <w:r w:rsidRPr="006C5697" w:rsidR="00D305C6">
        <w:rPr>
          <w:rFonts w:ascii="Book Antiqua" w:hAnsi="Book Antiqua"/>
          <w:sz w:val="22"/>
          <w:szCs w:val="22"/>
        </w:rPr>
        <w:t xml:space="preserve"> 2018</w:t>
      </w:r>
      <w:r w:rsidRPr="006C5697">
        <w:rPr>
          <w:rFonts w:ascii="Book Antiqua" w:hAnsi="Book Antiqua"/>
          <w:sz w:val="22"/>
          <w:szCs w:val="22"/>
        </w:rPr>
        <w:t>, a to so zohľadnením legisvakančnej lehoty.</w:t>
      </w:r>
    </w:p>
    <w:p w:rsidR="003E5F1A" w:rsidRPr="006C5697">
      <w:pPr>
        <w:pStyle w:val="NormalWeb"/>
        <w:bidi w:val="0"/>
        <w:spacing w:before="120" w:after="0" w:line="276" w:lineRule="auto"/>
        <w:rPr>
          <w:rFonts w:ascii="Book Antiqua" w:hAnsi="Book Antiqua"/>
          <w:b/>
          <w:caps/>
          <w:spacing w:val="30"/>
          <w:sz w:val="22"/>
          <w:szCs w:val="22"/>
        </w:rPr>
      </w:pPr>
    </w:p>
    <w:p w:rsidR="003E5F1A" w:rsidRPr="006C5697">
      <w:pPr>
        <w:pStyle w:val="NormalWeb"/>
        <w:pageBreakBefore/>
        <w:bidi w:val="0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caps/>
          <w:spacing w:val="30"/>
          <w:sz w:val="22"/>
          <w:szCs w:val="22"/>
        </w:rPr>
        <w:t>DOLOŽKA ZLUČITEĽNOSTI</w:t>
      </w:r>
    </w:p>
    <w:p w:rsidR="003E5F1A" w:rsidRPr="006C5697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sz w:val="22"/>
          <w:szCs w:val="22"/>
        </w:rPr>
        <w:t>návrhu zákona</w:t>
      </w:r>
      <w:r w:rsidRPr="006C5697">
        <w:rPr>
          <w:rFonts w:ascii="Book Antiqua" w:hAnsi="Book Antiqua"/>
          <w:sz w:val="22"/>
          <w:szCs w:val="22"/>
        </w:rPr>
        <w:t xml:space="preserve"> </w:t>
      </w:r>
      <w:r w:rsidRPr="006C5697">
        <w:rPr>
          <w:rFonts w:ascii="Book Antiqua" w:hAnsi="Book Antiqua"/>
          <w:b/>
          <w:sz w:val="22"/>
          <w:szCs w:val="22"/>
        </w:rPr>
        <w:t>s právom Európskej únie</w:t>
      </w:r>
    </w:p>
    <w:p w:rsidR="003E5F1A" w:rsidRPr="006C569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sz w:val="22"/>
          <w:szCs w:val="22"/>
        </w:rPr>
        <w:t> </w:t>
      </w:r>
    </w:p>
    <w:p w:rsidR="003E5F1A" w:rsidRPr="006C569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sz w:val="22"/>
          <w:szCs w:val="22"/>
        </w:rPr>
        <w:t>1. Navrhovateľ zákona:</w:t>
      </w:r>
      <w:r w:rsidRPr="006C5697">
        <w:rPr>
          <w:rFonts w:ascii="Book Antiqua" w:hAnsi="Book Antiqua"/>
          <w:sz w:val="22"/>
          <w:szCs w:val="22"/>
        </w:rPr>
        <w:t xml:space="preserve"> </w:t>
      </w:r>
      <w:r w:rsidR="00837B7A">
        <w:rPr>
          <w:rFonts w:ascii="Book Antiqua" w:hAnsi="Book Antiqua"/>
          <w:sz w:val="22"/>
          <w:szCs w:val="22"/>
        </w:rPr>
        <w:t>skupina poslancov</w:t>
      </w:r>
      <w:r w:rsidRPr="006C5697">
        <w:rPr>
          <w:rFonts w:ascii="Book Antiqua" w:hAnsi="Book Antiqua"/>
          <w:sz w:val="22"/>
          <w:szCs w:val="22"/>
        </w:rPr>
        <w:t xml:space="preserve"> Národnej rady Slovenskej republiky</w:t>
      </w:r>
    </w:p>
    <w:p w:rsidR="003E5F1A" w:rsidRPr="006C569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:rsidR="003E5F1A" w:rsidRPr="006C569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sz w:val="22"/>
          <w:szCs w:val="22"/>
        </w:rPr>
        <w:t>2. Názov návrhu zákona:</w:t>
      </w:r>
      <w:r w:rsidRPr="006C5697">
        <w:rPr>
          <w:rFonts w:ascii="Book Antiqua" w:hAnsi="Book Antiqua"/>
          <w:sz w:val="22"/>
          <w:szCs w:val="22"/>
        </w:rPr>
        <w:t xml:space="preserve">  návrh zákona, ktorým sa mení a dopĺňa </w:t>
      </w:r>
      <w:r w:rsidRPr="006C5697" w:rsidR="00D4794F">
        <w:rPr>
          <w:rFonts w:ascii="Book Antiqua" w:hAnsi="Book Antiqua"/>
          <w:sz w:val="22"/>
          <w:szCs w:val="22"/>
        </w:rPr>
        <w:t>zákon č. 343/2015 Z. z. o verejnom obstarávaní a o zmene a doplnení niektorých zákonov v znení neskorších predpisov</w:t>
      </w:r>
      <w:r w:rsidRPr="006C5697">
        <w:rPr>
          <w:rFonts w:ascii="Book Antiqua" w:hAnsi="Book Antiqua"/>
          <w:sz w:val="22"/>
          <w:szCs w:val="22"/>
        </w:rPr>
        <w:t xml:space="preserve"> v znení neskorších predpisov</w:t>
      </w:r>
    </w:p>
    <w:p w:rsidR="003E5F1A" w:rsidRPr="006C569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:rsidR="003E5F1A" w:rsidRPr="00837B7A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sz w:val="22"/>
          <w:szCs w:val="22"/>
        </w:rPr>
        <w:t>3. Pred</w:t>
      </w:r>
      <w:r w:rsidRPr="00837B7A">
        <w:rPr>
          <w:rFonts w:ascii="Book Antiqua" w:hAnsi="Book Antiqua"/>
          <w:b/>
          <w:sz w:val="22"/>
          <w:szCs w:val="22"/>
        </w:rPr>
        <w:t>met návrhu zákona:</w:t>
      </w:r>
    </w:p>
    <w:p w:rsidR="003E5F1A" w:rsidRPr="00837B7A" w:rsidP="00E23468">
      <w:pPr>
        <w:pStyle w:val="NormalWeb"/>
        <w:numPr>
          <w:numId w:val="1"/>
        </w:numPr>
        <w:bidi w:val="0"/>
        <w:spacing w:before="120" w:after="0" w:line="276" w:lineRule="auto"/>
        <w:ind w:left="1418" w:hanging="698"/>
        <w:jc w:val="both"/>
        <w:rPr>
          <w:rFonts w:ascii="Book Antiqua" w:hAnsi="Book Antiqua"/>
          <w:sz w:val="22"/>
          <w:szCs w:val="22"/>
        </w:rPr>
      </w:pPr>
      <w:r w:rsidRPr="00837B7A">
        <w:rPr>
          <w:rFonts w:ascii="Book Antiqua" w:hAnsi="Book Antiqua"/>
          <w:sz w:val="22"/>
          <w:szCs w:val="22"/>
        </w:rPr>
        <w:t xml:space="preserve">je upravený v primárnom práve Európskej únie, </w:t>
      </w:r>
      <w:r w:rsidR="00E23468">
        <w:rPr>
          <w:rFonts w:ascii="Book Antiqua" w:hAnsi="Book Antiqua"/>
          <w:sz w:val="22"/>
          <w:szCs w:val="22"/>
        </w:rPr>
        <w:t>a to v článku 53 a článku 62 Zmluvy o fungovaní Európskej únie,</w:t>
      </w:r>
    </w:p>
    <w:p w:rsidR="00837B7A" w:rsidRPr="00837B7A" w:rsidP="00837B7A">
      <w:pPr>
        <w:pStyle w:val="NormalWeb"/>
        <w:numPr>
          <w:numId w:val="1"/>
        </w:numPr>
        <w:bidi w:val="0"/>
        <w:spacing w:before="120" w:after="0" w:line="276" w:lineRule="auto"/>
        <w:ind w:left="1418" w:hanging="698"/>
        <w:jc w:val="both"/>
        <w:rPr>
          <w:rFonts w:ascii="Book Antiqua" w:hAnsi="Book Antiqua"/>
          <w:sz w:val="22"/>
          <w:szCs w:val="22"/>
        </w:rPr>
      </w:pPr>
      <w:r w:rsidRPr="00837B7A" w:rsidR="003E5F1A">
        <w:rPr>
          <w:rFonts w:ascii="Book Antiqua" w:hAnsi="Book Antiqua"/>
          <w:sz w:val="22"/>
          <w:szCs w:val="22"/>
        </w:rPr>
        <w:t>je upravený v sekundárnom práve Európskej únie,</w:t>
      </w:r>
      <w:r w:rsidRPr="00837B7A">
        <w:rPr>
          <w:rFonts w:ascii="Book Antiqua" w:hAnsi="Book Antiqua"/>
          <w:sz w:val="22"/>
          <w:szCs w:val="22"/>
        </w:rPr>
        <w:t xml:space="preserve"> a to v čl. 57 s</w:t>
      </w:r>
      <w:r w:rsidRPr="00837B7A" w:rsidR="004E554F">
        <w:rPr>
          <w:rFonts w:ascii="Book Antiqua" w:hAnsi="Book Antiqua"/>
          <w:sz w:val="22"/>
          <w:szCs w:val="22"/>
        </w:rPr>
        <w:t>mernice Európskeho parlamentu a Rady 2014/24/EÚ o verejnom obstarávaní a o zrušení smernice 2004/18/ES,</w:t>
      </w:r>
    </w:p>
    <w:p w:rsidR="003E5F1A" w:rsidRPr="00837B7A" w:rsidP="00837B7A">
      <w:pPr>
        <w:pStyle w:val="NormalWeb"/>
        <w:numPr>
          <w:numId w:val="1"/>
        </w:numPr>
        <w:bidi w:val="0"/>
        <w:spacing w:before="120" w:after="0" w:line="276" w:lineRule="auto"/>
        <w:ind w:firstLine="0"/>
        <w:jc w:val="both"/>
        <w:rPr>
          <w:rFonts w:ascii="Book Antiqua" w:hAnsi="Book Antiqua"/>
          <w:sz w:val="22"/>
          <w:szCs w:val="22"/>
        </w:rPr>
      </w:pPr>
      <w:r w:rsidRPr="00837B7A">
        <w:rPr>
          <w:rFonts w:ascii="Book Antiqua" w:hAnsi="Book Antiqua"/>
          <w:sz w:val="22"/>
          <w:szCs w:val="22"/>
        </w:rPr>
        <w:t>nie je obsiahnutý v judikatúre Súdneho dvora Európskej únie.</w:t>
      </w:r>
    </w:p>
    <w:p w:rsidR="00DF65D5" w:rsidRPr="00837B7A" w:rsidP="00D5112B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D5112B" w:rsidRPr="00837B7A" w:rsidP="00D5112B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837B7A">
        <w:rPr>
          <w:rFonts w:ascii="Book Antiqua" w:hAnsi="Book Antiqua" w:cs="Book Antiqua"/>
          <w:b/>
          <w:bCs/>
          <w:sz w:val="22"/>
          <w:szCs w:val="22"/>
        </w:rPr>
        <w:t xml:space="preserve">4. Záväzky Slovenskej republiky vo vzťahu k Európskej únii: </w:t>
      </w:r>
    </w:p>
    <w:p w:rsidR="00D5112B" w:rsidRPr="00837B7A" w:rsidP="00D5112B">
      <w:pPr>
        <w:pStyle w:val="Vchodzie"/>
        <w:numPr>
          <w:numId w:val="7"/>
        </w:numPr>
        <w:tabs>
          <w:tab w:val="left" w:pos="284"/>
          <w:tab w:val="left" w:pos="720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="00E23468">
        <w:rPr>
          <w:rFonts w:ascii="Book Antiqua" w:hAnsi="Book Antiqua" w:hint="default"/>
          <w:sz w:val="22"/>
          <w:szCs w:val="22"/>
        </w:rPr>
        <w:t>lehota na transpozí</w:t>
      </w:r>
      <w:r w:rsidR="00E23468">
        <w:rPr>
          <w:rFonts w:ascii="Book Antiqua" w:hAnsi="Book Antiqua" w:hint="default"/>
          <w:sz w:val="22"/>
          <w:szCs w:val="22"/>
        </w:rPr>
        <w:t>ciu smernice uvedenej v </w:t>
      </w:r>
      <w:r w:rsidR="00E23468">
        <w:rPr>
          <w:rFonts w:ascii="Book Antiqua" w:hAnsi="Book Antiqua" w:hint="default"/>
          <w:sz w:val="22"/>
          <w:szCs w:val="22"/>
        </w:rPr>
        <w:t>bode 3 pí</w:t>
      </w:r>
      <w:r w:rsidR="00E23468">
        <w:rPr>
          <w:rFonts w:ascii="Book Antiqua" w:hAnsi="Book Antiqua" w:hint="default"/>
          <w:sz w:val="22"/>
          <w:szCs w:val="22"/>
        </w:rPr>
        <w:t>sm. b) bola stanovená</w:t>
      </w:r>
      <w:r w:rsidR="00E23468">
        <w:rPr>
          <w:rFonts w:ascii="Book Antiqua" w:hAnsi="Book Antiqua" w:hint="default"/>
          <w:sz w:val="22"/>
          <w:szCs w:val="22"/>
        </w:rPr>
        <w:t xml:space="preserve"> vš</w:t>
      </w:r>
      <w:r w:rsidR="00E23468">
        <w:rPr>
          <w:rFonts w:ascii="Book Antiqua" w:hAnsi="Book Antiqua" w:hint="default"/>
          <w:sz w:val="22"/>
          <w:szCs w:val="22"/>
        </w:rPr>
        <w:t>eobecne do 18. 4. 2016, ale v </w:t>
      </w:r>
      <w:r w:rsidR="00E23468">
        <w:rPr>
          <w:rFonts w:ascii="Book Antiqua" w:hAnsi="Book Antiqua" w:hint="default"/>
          <w:sz w:val="22"/>
          <w:szCs w:val="22"/>
        </w:rPr>
        <w:t>prí</w:t>
      </w:r>
      <w:r w:rsidR="00E23468">
        <w:rPr>
          <w:rFonts w:ascii="Book Antiqua" w:hAnsi="Book Antiqua" w:hint="default"/>
          <w:sz w:val="22"/>
          <w:szCs w:val="22"/>
        </w:rPr>
        <w:t>pade uplatň</w:t>
      </w:r>
      <w:r w:rsidR="00E23468">
        <w:rPr>
          <w:rFonts w:ascii="Book Antiqua" w:hAnsi="Book Antiqua" w:hint="default"/>
          <w:sz w:val="22"/>
          <w:szCs w:val="22"/>
        </w:rPr>
        <w:t>ovania niektorý</w:t>
      </w:r>
      <w:r w:rsidR="00E23468">
        <w:rPr>
          <w:rFonts w:ascii="Book Antiqua" w:hAnsi="Book Antiqua" w:hint="default"/>
          <w:sz w:val="22"/>
          <w:szCs w:val="22"/>
        </w:rPr>
        <w:t>ch ustanovení</w:t>
      </w:r>
      <w:r w:rsidR="00E23468">
        <w:rPr>
          <w:rFonts w:ascii="Book Antiqua" w:hAnsi="Book Antiqua" w:hint="default"/>
          <w:sz w:val="22"/>
          <w:szCs w:val="22"/>
        </w:rPr>
        <w:t xml:space="preserve"> aj do 18. 4. 2017, 18. 4. 2018 a </w:t>
      </w:r>
      <w:r w:rsidR="00E23468">
        <w:rPr>
          <w:rFonts w:ascii="Book Antiqua" w:hAnsi="Book Antiqua" w:hint="default"/>
          <w:sz w:val="22"/>
          <w:szCs w:val="22"/>
        </w:rPr>
        <w:t>18. 10. 2018, prič</w:t>
      </w:r>
      <w:r w:rsidR="00E23468">
        <w:rPr>
          <w:rFonts w:ascii="Book Antiqua" w:hAnsi="Book Antiqua" w:hint="default"/>
          <w:sz w:val="22"/>
          <w:szCs w:val="22"/>
        </w:rPr>
        <w:t>om do prá</w:t>
      </w:r>
      <w:r w:rsidR="00E23468">
        <w:rPr>
          <w:rFonts w:ascii="Book Antiqua" w:hAnsi="Book Antiqua" w:hint="default"/>
          <w:sz w:val="22"/>
          <w:szCs w:val="22"/>
        </w:rPr>
        <w:t>vnych predpisov uvedený</w:t>
      </w:r>
      <w:r w:rsidR="00E23468">
        <w:rPr>
          <w:rFonts w:ascii="Book Antiqua" w:hAnsi="Book Antiqua" w:hint="default"/>
          <w:sz w:val="22"/>
          <w:szCs w:val="22"/>
        </w:rPr>
        <w:t>ch v </w:t>
      </w:r>
      <w:r w:rsidR="00E23468">
        <w:rPr>
          <w:rFonts w:ascii="Book Antiqua" w:hAnsi="Book Antiqua" w:hint="default"/>
          <w:sz w:val="22"/>
          <w:szCs w:val="22"/>
        </w:rPr>
        <w:t>pí</w:t>
      </w:r>
      <w:r w:rsidR="00E23468">
        <w:rPr>
          <w:rFonts w:ascii="Book Antiqua" w:hAnsi="Book Antiqua" w:hint="default"/>
          <w:sz w:val="22"/>
          <w:szCs w:val="22"/>
        </w:rPr>
        <w:t>smene c) tohto bodu bola transponovaná</w:t>
      </w:r>
      <w:r w:rsidR="00E23468">
        <w:rPr>
          <w:rFonts w:ascii="Book Antiqua" w:hAnsi="Book Antiqua" w:hint="default"/>
          <w:sz w:val="22"/>
          <w:szCs w:val="22"/>
        </w:rPr>
        <w:t xml:space="preserve"> riadne a </w:t>
      </w:r>
      <w:r w:rsidR="00E23468">
        <w:rPr>
          <w:rFonts w:ascii="Book Antiqua" w:hAnsi="Book Antiqua" w:hint="default"/>
          <w:sz w:val="22"/>
          <w:szCs w:val="22"/>
        </w:rPr>
        <w:t>vč</w:t>
      </w:r>
      <w:r w:rsidR="00E23468">
        <w:rPr>
          <w:rFonts w:ascii="Book Antiqua" w:hAnsi="Book Antiqua" w:hint="default"/>
          <w:sz w:val="22"/>
          <w:szCs w:val="22"/>
        </w:rPr>
        <w:t>as do 18. 4. 2016,</w:t>
      </w:r>
    </w:p>
    <w:p w:rsidR="00D5112B" w:rsidRPr="00837B7A" w:rsidP="00D5112B">
      <w:pPr>
        <w:pStyle w:val="Vchodzie"/>
        <w:numPr>
          <w:numId w:val="7"/>
        </w:numPr>
        <w:tabs>
          <w:tab w:val="left" w:pos="284"/>
          <w:tab w:val="left" w:pos="720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837B7A">
        <w:rPr>
          <w:rFonts w:ascii="Book Antiqua" w:hAnsi="Book Antiqua" w:hint="default"/>
          <w:sz w:val="22"/>
          <w:szCs w:val="22"/>
        </w:rPr>
        <w:t>v danej oblasti nebol proti Slovenskej republike zač</w:t>
      </w:r>
      <w:r w:rsidRPr="00837B7A">
        <w:rPr>
          <w:rFonts w:ascii="Book Antiqua" w:hAnsi="Book Antiqua" w:hint="default"/>
          <w:sz w:val="22"/>
          <w:szCs w:val="22"/>
        </w:rPr>
        <w:t>atý</w:t>
      </w:r>
      <w:r w:rsidRPr="00837B7A">
        <w:rPr>
          <w:rFonts w:ascii="Book Antiqua" w:hAnsi="Book Antiqua" w:hint="default"/>
          <w:sz w:val="22"/>
          <w:szCs w:val="22"/>
        </w:rPr>
        <w:t xml:space="preserve"> postup Euró</w:t>
      </w:r>
      <w:r w:rsidRPr="00837B7A">
        <w:rPr>
          <w:rFonts w:ascii="Book Antiqua" w:hAnsi="Book Antiqua" w:hint="default"/>
          <w:sz w:val="22"/>
          <w:szCs w:val="22"/>
        </w:rPr>
        <w:t>pskej komisie a ani konanie Sú</w:t>
      </w:r>
      <w:r w:rsidRPr="00837B7A">
        <w:rPr>
          <w:rFonts w:ascii="Book Antiqua" w:hAnsi="Book Antiqua" w:hint="default"/>
          <w:sz w:val="22"/>
          <w:szCs w:val="22"/>
        </w:rPr>
        <w:t>dneho dvora Euró</w:t>
      </w:r>
      <w:r w:rsidRPr="00837B7A">
        <w:rPr>
          <w:rFonts w:ascii="Book Antiqua" w:hAnsi="Book Antiqua" w:hint="default"/>
          <w:sz w:val="22"/>
          <w:szCs w:val="22"/>
        </w:rPr>
        <w:t>pskej ú</w:t>
      </w:r>
      <w:r w:rsidRPr="00837B7A">
        <w:rPr>
          <w:rFonts w:ascii="Book Antiqua" w:hAnsi="Book Antiqua" w:hint="default"/>
          <w:sz w:val="22"/>
          <w:szCs w:val="22"/>
        </w:rPr>
        <w:t>nie podľ</w:t>
      </w:r>
      <w:r w:rsidRPr="00837B7A">
        <w:rPr>
          <w:rFonts w:ascii="Book Antiqua" w:hAnsi="Book Antiqua" w:hint="default"/>
          <w:sz w:val="22"/>
          <w:szCs w:val="22"/>
        </w:rPr>
        <w:t>a č</w:t>
      </w:r>
      <w:r w:rsidRPr="00837B7A">
        <w:rPr>
          <w:rFonts w:ascii="Book Antiqua" w:hAnsi="Book Antiqua" w:hint="default"/>
          <w:sz w:val="22"/>
          <w:szCs w:val="22"/>
        </w:rPr>
        <w:t>lá</w:t>
      </w:r>
      <w:r w:rsidRPr="00837B7A">
        <w:rPr>
          <w:rFonts w:ascii="Book Antiqua" w:hAnsi="Book Antiqua" w:hint="default"/>
          <w:sz w:val="22"/>
          <w:szCs w:val="22"/>
        </w:rPr>
        <w:t>nkov 258 až</w:t>
      </w:r>
      <w:r w:rsidRPr="00837B7A">
        <w:rPr>
          <w:rFonts w:ascii="Book Antiqua" w:hAnsi="Book Antiqua" w:hint="default"/>
          <w:sz w:val="22"/>
          <w:szCs w:val="22"/>
        </w:rPr>
        <w:t xml:space="preserve"> 260 Zmluvy o fungovaní</w:t>
      </w:r>
      <w:r w:rsidRPr="00837B7A">
        <w:rPr>
          <w:rFonts w:ascii="Book Antiqua" w:hAnsi="Book Antiqua" w:hint="default"/>
          <w:sz w:val="22"/>
          <w:szCs w:val="22"/>
        </w:rPr>
        <w:t xml:space="preserve"> Euró</w:t>
      </w:r>
      <w:r w:rsidRPr="00837B7A">
        <w:rPr>
          <w:rFonts w:ascii="Book Antiqua" w:hAnsi="Book Antiqua" w:hint="default"/>
          <w:sz w:val="22"/>
          <w:szCs w:val="22"/>
        </w:rPr>
        <w:t>pskej ú</w:t>
      </w:r>
      <w:r w:rsidRPr="00837B7A">
        <w:rPr>
          <w:rFonts w:ascii="Book Antiqua" w:hAnsi="Book Antiqua" w:hint="default"/>
          <w:sz w:val="22"/>
          <w:szCs w:val="22"/>
        </w:rPr>
        <w:t>nie,</w:t>
      </w:r>
    </w:p>
    <w:p w:rsidR="00D5112B" w:rsidRPr="00837B7A" w:rsidP="00D5112B">
      <w:pPr>
        <w:pStyle w:val="Vchodzie"/>
        <w:numPr>
          <w:numId w:val="7"/>
        </w:numPr>
        <w:tabs>
          <w:tab w:val="left" w:pos="284"/>
          <w:tab w:val="left" w:pos="720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837B7A" w:rsidR="00837B7A">
        <w:rPr>
          <w:rFonts w:ascii="Book Antiqua" w:hAnsi="Book Antiqua"/>
          <w:sz w:val="22"/>
          <w:szCs w:val="22"/>
        </w:rPr>
        <w:t>s</w:t>
      </w:r>
      <w:r w:rsidRPr="00837B7A" w:rsidR="00DF65D5">
        <w:rPr>
          <w:rFonts w:ascii="Book Antiqua" w:hAnsi="Book Antiqua" w:hint="default"/>
          <w:sz w:val="22"/>
          <w:szCs w:val="22"/>
        </w:rPr>
        <w:t>mernica Euró</w:t>
      </w:r>
      <w:r w:rsidRPr="00837B7A" w:rsidR="00DF65D5">
        <w:rPr>
          <w:rFonts w:ascii="Book Antiqua" w:hAnsi="Book Antiqua" w:hint="default"/>
          <w:sz w:val="22"/>
          <w:szCs w:val="22"/>
        </w:rPr>
        <w:t>pskeho parlamentu a </w:t>
      </w:r>
      <w:r w:rsidRPr="00837B7A" w:rsidR="00DF65D5">
        <w:rPr>
          <w:rFonts w:ascii="Book Antiqua" w:hAnsi="Book Antiqua" w:hint="default"/>
          <w:sz w:val="22"/>
          <w:szCs w:val="22"/>
        </w:rPr>
        <w:t>Rady 2014/24/EÚ</w:t>
      </w:r>
      <w:r w:rsidRPr="00837B7A" w:rsidR="00DF65D5">
        <w:rPr>
          <w:rFonts w:ascii="Book Antiqua" w:hAnsi="Book Antiqua" w:hint="default"/>
          <w:sz w:val="22"/>
          <w:szCs w:val="22"/>
        </w:rPr>
        <w:t xml:space="preserve"> o </w:t>
      </w:r>
      <w:r w:rsidRPr="00837B7A" w:rsidR="00DF65D5">
        <w:rPr>
          <w:rFonts w:ascii="Book Antiqua" w:hAnsi="Book Antiqua" w:hint="default"/>
          <w:sz w:val="22"/>
          <w:szCs w:val="22"/>
        </w:rPr>
        <w:t>verejnom obstará</w:t>
      </w:r>
      <w:r w:rsidRPr="00837B7A" w:rsidR="00DF65D5">
        <w:rPr>
          <w:rFonts w:ascii="Book Antiqua" w:hAnsi="Book Antiqua" w:hint="default"/>
          <w:sz w:val="22"/>
          <w:szCs w:val="22"/>
        </w:rPr>
        <w:t>vaní</w:t>
      </w:r>
      <w:r w:rsidRPr="00837B7A" w:rsidR="00DF65D5">
        <w:rPr>
          <w:rFonts w:ascii="Book Antiqua" w:hAnsi="Book Antiqua" w:hint="default"/>
          <w:sz w:val="22"/>
          <w:szCs w:val="22"/>
        </w:rPr>
        <w:t xml:space="preserve"> a o </w:t>
      </w:r>
      <w:r w:rsidRPr="00837B7A" w:rsidR="00DF65D5">
        <w:rPr>
          <w:rFonts w:ascii="Book Antiqua" w:hAnsi="Book Antiqua" w:hint="default"/>
          <w:sz w:val="22"/>
          <w:szCs w:val="22"/>
        </w:rPr>
        <w:t>zruš</w:t>
      </w:r>
      <w:r w:rsidRPr="00837B7A" w:rsidR="00DF65D5">
        <w:rPr>
          <w:rFonts w:ascii="Book Antiqua" w:hAnsi="Book Antiqua" w:hint="default"/>
          <w:sz w:val="22"/>
          <w:szCs w:val="22"/>
        </w:rPr>
        <w:t>ení</w:t>
      </w:r>
      <w:r w:rsidRPr="00837B7A" w:rsidR="00DF65D5">
        <w:rPr>
          <w:rFonts w:ascii="Book Antiqua" w:hAnsi="Book Antiqua" w:hint="default"/>
          <w:sz w:val="22"/>
          <w:szCs w:val="22"/>
        </w:rPr>
        <w:t xml:space="preserve"> smernice 2004/18/ES bola prebraná</w:t>
      </w:r>
      <w:r w:rsidRPr="00837B7A" w:rsidR="00DF65D5">
        <w:rPr>
          <w:rFonts w:ascii="Book Antiqua" w:hAnsi="Book Antiqua" w:hint="default"/>
          <w:sz w:val="22"/>
          <w:szCs w:val="22"/>
        </w:rPr>
        <w:t xml:space="preserve"> do nasledovný</w:t>
      </w:r>
      <w:r w:rsidRPr="00837B7A" w:rsidR="00DF65D5">
        <w:rPr>
          <w:rFonts w:ascii="Book Antiqua" w:hAnsi="Book Antiqua" w:hint="default"/>
          <w:sz w:val="22"/>
          <w:szCs w:val="22"/>
        </w:rPr>
        <w:t>ch prá</w:t>
      </w:r>
      <w:r w:rsidRPr="00837B7A" w:rsidR="00DF65D5">
        <w:rPr>
          <w:rFonts w:ascii="Book Antiqua" w:hAnsi="Book Antiqua" w:hint="default"/>
          <w:sz w:val="22"/>
          <w:szCs w:val="22"/>
        </w:rPr>
        <w:t>vnych predpisov:</w:t>
      </w:r>
    </w:p>
    <w:p w:rsidR="00DF65D5" w:rsidRPr="00837B7A" w:rsidP="00DF65D5">
      <w:pPr>
        <w:pStyle w:val="Vchodzie"/>
        <w:numPr>
          <w:numId w:val="5"/>
        </w:numPr>
        <w:tabs>
          <w:tab w:val="left" w:pos="284"/>
          <w:tab w:val="left" w:pos="720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hyperlink r:id="rId5" w:history="1">
        <w:r w:rsidRPr="00837B7A" w:rsidR="00837B7A">
          <w:rPr>
            <w:rStyle w:val="Hyperlink"/>
            <w:rFonts w:ascii="Book Antiqua" w:hAnsi="Book Antiqua" w:cs="Lucida Sans Unicode"/>
            <w:color w:val="auto"/>
            <w:sz w:val="22"/>
            <w:szCs w:val="22"/>
            <w:u w:val="none"/>
          </w:rPr>
          <w:t>z</w:t>
        </w:r>
        <w:r w:rsidRPr="00837B7A">
          <w:rPr>
            <w:rStyle w:val="Hyperlink"/>
            <w:rFonts w:ascii="Book Antiqua" w:hAnsi="Book Antiqua" w:cs="Lucida Sans Unicode" w:hint="default"/>
            <w:color w:val="auto"/>
            <w:sz w:val="22"/>
            <w:szCs w:val="22"/>
            <w:u w:val="none"/>
          </w:rPr>
          <w:t>á</w:t>
        </w:r>
        <w:r w:rsidRPr="00837B7A">
          <w:rPr>
            <w:rStyle w:val="Hyperlink"/>
            <w:rFonts w:ascii="Book Antiqua" w:hAnsi="Book Antiqua" w:cs="Lucida Sans Unicode" w:hint="default"/>
            <w:color w:val="auto"/>
            <w:sz w:val="22"/>
            <w:szCs w:val="22"/>
            <w:u w:val="none"/>
          </w:rPr>
          <w:t>kon č</w:t>
        </w:r>
        <w:r w:rsidRPr="00837B7A">
          <w:rPr>
            <w:rStyle w:val="Hyperlink"/>
            <w:rFonts w:ascii="Book Antiqua" w:hAnsi="Book Antiqua" w:cs="Lucida Sans Unicode" w:hint="default"/>
            <w:color w:val="auto"/>
            <w:sz w:val="22"/>
            <w:szCs w:val="22"/>
            <w:u w:val="none"/>
          </w:rPr>
          <w:t>. 343/2015 Z. z. o verejnom obstará</w:t>
        </w:r>
        <w:r w:rsidRPr="00837B7A">
          <w:rPr>
            <w:rStyle w:val="Hyperlink"/>
            <w:rFonts w:ascii="Book Antiqua" w:hAnsi="Book Antiqua" w:cs="Lucida Sans Unicode" w:hint="default"/>
            <w:color w:val="auto"/>
            <w:sz w:val="22"/>
            <w:szCs w:val="22"/>
            <w:u w:val="none"/>
          </w:rPr>
          <w:t>vaní</w:t>
        </w:r>
        <w:r w:rsidRPr="00837B7A">
          <w:rPr>
            <w:rStyle w:val="Hyperlink"/>
            <w:rFonts w:ascii="Book Antiqua" w:hAnsi="Book Antiqua" w:cs="Lucida Sans Unicode" w:hint="default"/>
            <w:color w:val="auto"/>
            <w:sz w:val="22"/>
            <w:szCs w:val="22"/>
            <w:u w:val="none"/>
          </w:rPr>
          <w:t xml:space="preserve"> a o zmene a doplnení</w:t>
        </w:r>
        <w:r w:rsidRPr="00837B7A">
          <w:rPr>
            <w:rStyle w:val="Hyperlink"/>
            <w:rFonts w:ascii="Book Antiqua" w:hAnsi="Book Antiqua" w:cs="Lucida Sans Unicode" w:hint="default"/>
            <w:color w:val="auto"/>
            <w:sz w:val="22"/>
            <w:szCs w:val="22"/>
            <w:u w:val="none"/>
          </w:rPr>
          <w:t xml:space="preserve"> niektorý</w:t>
        </w:r>
        <w:r w:rsidRPr="00837B7A">
          <w:rPr>
            <w:rStyle w:val="Hyperlink"/>
            <w:rFonts w:ascii="Book Antiqua" w:hAnsi="Book Antiqua" w:cs="Lucida Sans Unicode" w:hint="default"/>
            <w:color w:val="auto"/>
            <w:sz w:val="22"/>
            <w:szCs w:val="22"/>
            <w:u w:val="none"/>
          </w:rPr>
          <w:t>ch zá</w:t>
        </w:r>
        <w:r w:rsidRPr="00837B7A">
          <w:rPr>
            <w:rStyle w:val="Hyperlink"/>
            <w:rFonts w:ascii="Book Antiqua" w:hAnsi="Book Antiqua" w:cs="Lucida Sans Unicode" w:hint="default"/>
            <w:color w:val="auto"/>
            <w:sz w:val="22"/>
            <w:szCs w:val="22"/>
            <w:u w:val="none"/>
          </w:rPr>
          <w:t>konov</w:t>
        </w:r>
      </w:hyperlink>
      <w:r w:rsidRPr="00837B7A">
        <w:rPr>
          <w:rFonts w:ascii="Book Antiqua" w:hAnsi="Book Antiqua" w:cs="Lucida Sans Unicode"/>
          <w:sz w:val="22"/>
          <w:szCs w:val="22"/>
        </w:rPr>
        <w:t>,</w:t>
      </w:r>
    </w:p>
    <w:p w:rsidR="00DF65D5" w:rsidRPr="00837B7A" w:rsidP="00837B7A">
      <w:pPr>
        <w:numPr>
          <w:numId w:val="5"/>
        </w:numPr>
        <w:bidi w:val="0"/>
        <w:spacing w:line="312" w:lineRule="atLeast"/>
        <w:jc w:val="both"/>
        <w:rPr>
          <w:rFonts w:ascii="Book Antiqua" w:hAnsi="Book Antiqua" w:cs="Lucida Sans Unicode"/>
          <w:sz w:val="22"/>
          <w:szCs w:val="22"/>
        </w:rPr>
      </w:pPr>
      <w:hyperlink r:id="rId6" w:history="1">
        <w:r w:rsidRPr="00837B7A" w:rsidR="00837B7A">
          <w:rPr>
            <w:rStyle w:val="Hyperlink"/>
            <w:rFonts w:ascii="Book Antiqua" w:hAnsi="Book Antiqua" w:cs="Lucida Sans Unicode"/>
            <w:color w:val="auto"/>
            <w:sz w:val="22"/>
            <w:szCs w:val="22"/>
            <w:u w:val="none"/>
          </w:rPr>
          <w:t>v</w:t>
        </w:r>
        <w:r w:rsidRPr="00837B7A">
          <w:rPr>
            <w:rStyle w:val="Hyperlink"/>
            <w:rFonts w:ascii="Book Antiqua" w:hAnsi="Book Antiqua" w:cs="Lucida Sans Unicode"/>
            <w:color w:val="auto"/>
            <w:sz w:val="22"/>
            <w:szCs w:val="22"/>
            <w:u w:val="none"/>
          </w:rPr>
          <w:t>yhláška Úradu pre verejné obstarávanie č. 152/2016 Z. z., ktorou sa ustanovujú podrobnosti o oznámeniach používaných vo verejnom obstarávaní a o ich obsahu</w:t>
        </w:r>
      </w:hyperlink>
      <w:r w:rsidRPr="00837B7A">
        <w:rPr>
          <w:rFonts w:ascii="Book Antiqua" w:hAnsi="Book Antiqua" w:cs="Lucida Sans Unicode"/>
          <w:sz w:val="22"/>
          <w:szCs w:val="22"/>
        </w:rPr>
        <w:t xml:space="preserve">, </w:t>
      </w:r>
    </w:p>
    <w:p w:rsidR="00DF65D5" w:rsidRPr="00837B7A" w:rsidP="00837B7A">
      <w:pPr>
        <w:numPr>
          <w:numId w:val="5"/>
        </w:numPr>
        <w:bidi w:val="0"/>
        <w:spacing w:line="312" w:lineRule="atLeast"/>
        <w:jc w:val="both"/>
        <w:rPr>
          <w:rFonts w:ascii="Book Antiqua" w:hAnsi="Book Antiqua" w:cs="Lucida Sans Unicode"/>
          <w:sz w:val="22"/>
          <w:szCs w:val="22"/>
        </w:rPr>
      </w:pPr>
      <w:hyperlink r:id="rId7" w:history="1">
        <w:r w:rsidRPr="00837B7A" w:rsidR="00837B7A">
          <w:rPr>
            <w:rStyle w:val="Hyperlink"/>
            <w:rFonts w:ascii="Book Antiqua" w:hAnsi="Book Antiqua" w:cs="Lucida Sans Unicode"/>
            <w:color w:val="auto"/>
            <w:sz w:val="22"/>
            <w:szCs w:val="22"/>
            <w:u w:val="none"/>
          </w:rPr>
          <w:t>v</w:t>
        </w:r>
        <w:r w:rsidRPr="00837B7A">
          <w:rPr>
            <w:rStyle w:val="Hyperlink"/>
            <w:rFonts w:ascii="Book Antiqua" w:hAnsi="Book Antiqua" w:cs="Lucida Sans Unicode"/>
            <w:color w:val="auto"/>
            <w:sz w:val="22"/>
            <w:szCs w:val="22"/>
            <w:u w:val="none"/>
          </w:rPr>
          <w:t>yhláška Úradu pre verejné obstarávanie č. 153/2016 Z. z., ktorou sa ustanovuje finančný limit pre nadlimitnú zákazku, finančný limit pre nadlimitnú koncesiu a finančný limit pri súťaži návrhov</w:t>
        </w:r>
      </w:hyperlink>
      <w:r w:rsidRPr="00837B7A">
        <w:rPr>
          <w:rFonts w:ascii="Book Antiqua" w:hAnsi="Book Antiqua" w:cs="Lucida Sans Unicode"/>
          <w:sz w:val="22"/>
          <w:szCs w:val="22"/>
        </w:rPr>
        <w:t xml:space="preserve">. </w:t>
      </w:r>
    </w:p>
    <w:p w:rsidR="00D5112B" w:rsidRPr="00837B7A" w:rsidP="00D5112B">
      <w:pPr>
        <w:tabs>
          <w:tab w:val="left" w:pos="360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5112B" w:rsidRPr="00837B7A" w:rsidP="00D5112B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837B7A">
        <w:rPr>
          <w:rFonts w:ascii="Book Antiqua" w:hAnsi="Book Antiqua" w:cs="Book Antiqua"/>
          <w:b/>
          <w:bCs/>
          <w:sz w:val="22"/>
          <w:szCs w:val="22"/>
        </w:rPr>
        <w:t>5. Stupeň zlučiteľnosti návrhu s právom Európskej únie:</w:t>
      </w:r>
    </w:p>
    <w:p w:rsidR="003E5F1A" w:rsidRPr="00837B7A" w:rsidP="00837B7A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837B7A" w:rsidR="00837B7A">
        <w:rPr>
          <w:rFonts w:ascii="Book Antiqua" w:hAnsi="Book Antiqua" w:cs="Book Antiqua"/>
          <w:sz w:val="22"/>
          <w:szCs w:val="22"/>
        </w:rPr>
        <w:t>ú</w:t>
      </w:r>
      <w:r w:rsidRPr="00837B7A" w:rsidR="00D5112B">
        <w:rPr>
          <w:rFonts w:ascii="Book Antiqua" w:hAnsi="Book Antiqua" w:cs="Book Antiqua"/>
          <w:sz w:val="22"/>
          <w:szCs w:val="22"/>
        </w:rPr>
        <w:t>plný</w:t>
      </w:r>
    </w:p>
    <w:p w:rsidR="003E5F1A" w:rsidRPr="006C5697" w:rsidP="00837B7A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3E5F1A" w:rsidRPr="006C5697" w:rsidP="00837B7A">
      <w:pPr>
        <w:pStyle w:val="NormalWeb"/>
        <w:pageBreakBefore/>
        <w:bidi w:val="0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caps/>
          <w:color w:val="000000"/>
          <w:spacing w:val="30"/>
          <w:sz w:val="22"/>
          <w:szCs w:val="22"/>
        </w:rPr>
        <w:t>Doložka</w:t>
      </w:r>
    </w:p>
    <w:p w:rsidR="003E5F1A" w:rsidRPr="006C5697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color w:val="000000"/>
          <w:sz w:val="22"/>
          <w:szCs w:val="22"/>
        </w:rPr>
        <w:t>vybraných vplyvov</w:t>
      </w:r>
    </w:p>
    <w:p w:rsidR="003E5F1A" w:rsidRPr="006C5697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color w:val="000000"/>
          <w:sz w:val="22"/>
          <w:szCs w:val="22"/>
        </w:rPr>
        <w:t> </w:t>
      </w:r>
    </w:p>
    <w:p w:rsidR="003E5F1A" w:rsidRPr="006C569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color w:val="000000"/>
          <w:sz w:val="22"/>
          <w:szCs w:val="22"/>
        </w:rPr>
        <w:t>A.1. Názov materiálu:</w:t>
      </w:r>
      <w:r w:rsidRPr="006C5697">
        <w:rPr>
          <w:rFonts w:ascii="Book Antiqua" w:hAnsi="Book Antiqua"/>
          <w:sz w:val="22"/>
          <w:szCs w:val="22"/>
        </w:rPr>
        <w:t xml:space="preserve"> návrh zákona, ktorým sa mení a dopĺňa </w:t>
      </w:r>
      <w:r w:rsidRPr="006C5697" w:rsidR="00D4794F">
        <w:rPr>
          <w:rFonts w:ascii="Book Antiqua" w:hAnsi="Book Antiqua"/>
          <w:sz w:val="22"/>
          <w:szCs w:val="22"/>
        </w:rPr>
        <w:t>zákon č. 343/2015 Z. z. o verejnom obstarávaní a o zmene a doplnení niektorých zákonov v znení neskorších predpisov</w:t>
      </w:r>
      <w:r w:rsidRPr="006C5697">
        <w:rPr>
          <w:rFonts w:ascii="Book Antiqua" w:hAnsi="Book Antiqua"/>
          <w:sz w:val="22"/>
          <w:szCs w:val="22"/>
        </w:rPr>
        <w:t xml:space="preserve"> v znení neskorších predpisov</w:t>
      </w:r>
    </w:p>
    <w:p w:rsidR="003E5F1A" w:rsidRPr="006C569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color w:val="000000"/>
          <w:sz w:val="22"/>
          <w:szCs w:val="22"/>
        </w:rPr>
        <w:t>Termín začatia a ukončenia PPK:</w:t>
      </w:r>
      <w:r w:rsidRPr="006C5697">
        <w:rPr>
          <w:rFonts w:ascii="Book Antiqua" w:hAnsi="Book Antiqua"/>
          <w:color w:val="000000"/>
          <w:sz w:val="22"/>
          <w:szCs w:val="22"/>
        </w:rPr>
        <w:t xml:space="preserve"> </w:t>
      </w:r>
      <w:r w:rsidRPr="006C5697">
        <w:rPr>
          <w:rFonts w:ascii="Book Antiqua" w:hAnsi="Book Antiqua"/>
          <w:i/>
          <w:color w:val="000000"/>
          <w:sz w:val="22"/>
          <w:szCs w:val="22"/>
        </w:rPr>
        <w:t>bezpredmetné</w:t>
      </w:r>
    </w:p>
    <w:p w:rsidR="003E5F1A" w:rsidRPr="006C569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:rsidR="00D4794F" w:rsidRPr="006C5697" w:rsidP="00D4794F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 xml:space="preserve"> x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 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4794F" w:rsidRPr="006C5697" w:rsidP="009C3A40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569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D4794F" w:rsidRPr="006C5697" w:rsidP="00D4794F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color w:val="000000"/>
          <w:sz w:val="22"/>
          <w:szCs w:val="22"/>
        </w:rPr>
        <w:t> </w:t>
      </w:r>
    </w:p>
    <w:p w:rsidR="00D4794F" w:rsidRPr="006C5697" w:rsidP="00D4794F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3E5F1A" w:rsidRPr="006C569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="008D1A60">
        <w:rPr>
          <w:rFonts w:ascii="Book Antiqua" w:hAnsi="Book Antiqua"/>
          <w:i/>
          <w:sz w:val="22"/>
          <w:szCs w:val="22"/>
        </w:rPr>
        <w:t>Vylúčením navzájom prepojených podnikov z verejného obstarávania sa dosiahne väčšia konkurencia medzi uchádzačmi, resp. záujemcami, a tým aj cenovo atraktívnejšie zákazky z pohľadu rozpočtu verejnej správy. Konkrétnu úsporu, resp. navýšenie zdrojov pre rozpočet verejnej správy nemožno vypočítať, nakoľko sa nedá odhadnúť počet zákaziek v tomto a v nasledujúcich rozpočtových rokoch, ako ani výška ponúk jednotlivých uchádzačov, resp. záujemcov v konkrétnych verejných obstarávaniach. Tým, že sa vo verejnom obstarávaní zabezpečí skutočná súťaž viacerých ponúk navzájom neprepojených hospodárskych subjektov, bude to mať pozitívny vplyv aj na samotné podnikateľské prostredie.</w:t>
      </w:r>
    </w:p>
    <w:p w:rsidR="003E5F1A" w:rsidRPr="006C569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color w:val="000000"/>
          <w:sz w:val="22"/>
          <w:szCs w:val="22"/>
        </w:rPr>
        <w:t>A.4. Alternatívne riešenia</w:t>
      </w:r>
    </w:p>
    <w:p w:rsidR="003E5F1A" w:rsidRPr="008D1A60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i/>
          <w:color w:val="000000"/>
          <w:sz w:val="22"/>
          <w:szCs w:val="22"/>
        </w:rPr>
        <w:t>bezpredmetné</w:t>
      </w:r>
    </w:p>
    <w:p w:rsidR="003E5F1A" w:rsidRPr="006C569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b/>
          <w:color w:val="000000"/>
          <w:sz w:val="22"/>
          <w:szCs w:val="22"/>
        </w:rPr>
        <w:t>A.5. Stanovisko gestorov</w:t>
      </w:r>
    </w:p>
    <w:p w:rsidR="003E5F1A" w:rsidRPr="006C569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5697">
        <w:rPr>
          <w:rFonts w:ascii="Book Antiqua" w:hAnsi="Book Antiqua"/>
          <w:i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>
      <w:footerReference w:type="default" r:id="rId8"/>
      <w:type w:val="continuous"/>
      <w:pgSz w:w="11906" w:h="16838"/>
      <w:pgMar w:top="1417" w:right="1417" w:bottom="1417" w:left="1417" w:header="708" w:footer="708" w:gutter="0"/>
      <w:lnNumType w:distance="0"/>
      <w:cols w:space="708"/>
      <w:formProt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Palatino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Lucida Sans Unicode">
    <w:panose1 w:val="00000000000000000000"/>
    <w:charset w:val="EE"/>
    <w:family w:val="swiss"/>
    <w:pitch w:val="variable"/>
    <w:sig w:usb0="00000000" w:usb1="00000000" w:usb2="00000000" w:usb3="00000000" w:csb0="000000B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F1A">
    <w:pPr>
      <w:pStyle w:val="Pe4ta"/>
      <w:bidi w:val="0"/>
      <w:jc w:val="right"/>
    </w:pPr>
    <w:r>
      <w:rPr>
        <w:szCs w:val="20"/>
      </w:rPr>
      <w:fldChar w:fldCharType="begin"/>
    </w:r>
    <w:r>
      <w:rPr>
        <w:szCs w:val="20"/>
      </w:rPr>
      <w:instrText xml:space="preserve"> PAGE </w:instrText>
    </w:r>
    <w:r>
      <w:rPr>
        <w:szCs w:val="20"/>
      </w:rPr>
      <w:fldChar w:fldCharType="separate"/>
    </w:r>
    <w:r w:rsidR="00226AB7">
      <w:rPr>
        <w:noProof/>
        <w:szCs w:val="20"/>
      </w:rPr>
      <w:t>4</w:t>
    </w:r>
    <w:r>
      <w:rPr>
        <w:szCs w:val="20"/>
      </w:rPr>
      <w:fldChar w:fldCharType="end"/>
    </w:r>
  </w:p>
  <w:p w:rsidR="003E5F1A">
    <w:pPr>
      <w:pStyle w:val="Pe4ta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8FCCBCC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b w:val="0"/>
        <w:bCs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rPr>
        <w:rFonts w:cs="Times New Roman"/>
        <w:rtl w:val="0"/>
        <w:cs w:val="0"/>
      </w:rPr>
    </w:lvl>
  </w:abstractNum>
  <w:abstractNum w:abstractNumId="3">
    <w:nsid w:val="09861792"/>
    <w:multiLevelType w:val="hybridMultilevel"/>
    <w:tmpl w:val="EAF675E6"/>
    <w:lvl w:ilvl="0">
      <w:start w:val="0"/>
      <w:numFmt w:val="bullet"/>
      <w:lvlText w:val="-"/>
      <w:lvlJc w:val="left"/>
      <w:pPr>
        <w:ind w:left="1776" w:hanging="360"/>
      </w:pPr>
      <w:rPr>
        <w:rFonts w:ascii="Book Antiqua" w:eastAsia="Times New Roman" w:hAnsi="Book Antiqua" w:hint="default"/>
        <w:b/>
        <w:sz w:val="22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04C4311"/>
    <w:multiLevelType w:val="hybridMultilevel"/>
    <w:tmpl w:val="ABC4EF96"/>
    <w:lvl w:ilvl="0">
      <w:start w:val="0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C102CE"/>
    <w:multiLevelType w:val="hybridMultilevel"/>
    <w:tmpl w:val="70000FD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6473498A"/>
    <w:multiLevelType w:val="hybridMultilevel"/>
    <w:tmpl w:val="72C43520"/>
    <w:lvl w:ilvl="0">
      <w:start w:val="7"/>
      <w:numFmt w:val="bullet"/>
      <w:lvlText w:val="-"/>
      <w:lvlJc w:val="left"/>
      <w:pPr>
        <w:ind w:left="1068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B71A7"/>
    <w:rsid w:val="000D49BC"/>
    <w:rsid w:val="001C1E26"/>
    <w:rsid w:val="00226AB7"/>
    <w:rsid w:val="0026182E"/>
    <w:rsid w:val="003D72A4"/>
    <w:rsid w:val="003E5F1A"/>
    <w:rsid w:val="004E068D"/>
    <w:rsid w:val="004E451D"/>
    <w:rsid w:val="004E554F"/>
    <w:rsid w:val="005F084E"/>
    <w:rsid w:val="00600F57"/>
    <w:rsid w:val="00695C9F"/>
    <w:rsid w:val="006B2C8E"/>
    <w:rsid w:val="006C5697"/>
    <w:rsid w:val="007B161A"/>
    <w:rsid w:val="00837B7A"/>
    <w:rsid w:val="00885F92"/>
    <w:rsid w:val="008970BA"/>
    <w:rsid w:val="008D1A60"/>
    <w:rsid w:val="00973175"/>
    <w:rsid w:val="009C3A40"/>
    <w:rsid w:val="00A7316A"/>
    <w:rsid w:val="00A743B6"/>
    <w:rsid w:val="00AA1E12"/>
    <w:rsid w:val="00AB29A1"/>
    <w:rsid w:val="00B81C85"/>
    <w:rsid w:val="00CD760A"/>
    <w:rsid w:val="00D12242"/>
    <w:rsid w:val="00D305C6"/>
    <w:rsid w:val="00D4794F"/>
    <w:rsid w:val="00D5112B"/>
    <w:rsid w:val="00D60033"/>
    <w:rsid w:val="00DB71A7"/>
    <w:rsid w:val="00DF65D5"/>
    <w:rsid w:val="00E23468"/>
    <w:rsid w:val="00E31CDE"/>
    <w:rsid w:val="00E7044B"/>
    <w:rsid w:val="00FF1E9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suppressAutoHyphens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Times New Roman" w:hAnsi="Liberation Serif" w:cs="Times New Roman"/>
      <w:kern w:val="1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link w:val="Nadpis1Char"/>
    <w:uiPriority w:val="99"/>
    <w:qFormat/>
    <w:pPr>
      <w:keepNext/>
      <w:suppressAutoHyphens w:val="0"/>
      <w:jc w:val="center"/>
      <w:outlineLvl w:val="0"/>
    </w:pPr>
    <w:rPr>
      <w:rFonts w:ascii="Cambria" w:cs="Cambria"/>
      <w:b/>
      <w:bCs/>
      <w:sz w:val="32"/>
      <w:szCs w:val="32"/>
    </w:rPr>
  </w:style>
  <w:style w:type="paragraph" w:styleId="Heading3">
    <w:name w:val="heading 3"/>
    <w:basedOn w:val="Normal"/>
    <w:link w:val="Nadpis3Char"/>
    <w:uiPriority w:val="99"/>
    <w:qFormat/>
    <w:pPr>
      <w:keepNext/>
      <w:suppressAutoHyphens w:val="0"/>
      <w:spacing w:before="240" w:after="60"/>
      <w:jc w:val="left"/>
      <w:outlineLvl w:val="2"/>
    </w:pPr>
    <w:rPr>
      <w:rFonts w:ascii="Cambria" w:cs="Cambria"/>
      <w:b/>
      <w:bCs/>
      <w:kern w:val="0"/>
      <w:sz w:val="26"/>
      <w:szCs w:val="26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eastAsia="Times New Roman" w:cs="Cambria"/>
      <w:b/>
      <w:bCs/>
      <w:kern w:val="1"/>
      <w:sz w:val="32"/>
      <w:szCs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9"/>
    <w:locked/>
    <w:rPr>
      <w:rFonts w:ascii="Cambria" w:eastAsia="Times New Roman" w:cs="Cambria"/>
      <w:b/>
      <w:bCs/>
      <w:sz w:val="26"/>
      <w:szCs w:val="26"/>
      <w:rtl w:val="0"/>
      <w:cs w:val="0"/>
    </w:rPr>
  </w:style>
  <w:style w:type="character" w:customStyle="1" w:styleId="Pe4taChar">
    <w:name w:val="Päe4ta Char"/>
    <w:basedOn w:val="DefaultParagraphFont"/>
    <w:uiPriority w:val="99"/>
    <w:rPr>
      <w:rFonts w:eastAsia="Times New Roman" w:cs="Times New Roman"/>
      <w:rtl w:val="0"/>
      <w:cs w:val="0"/>
    </w:rPr>
  </w:style>
  <w:style w:type="character" w:customStyle="1" w:styleId="TextbublinyChar">
    <w:name w:val="Text bubliny Char"/>
    <w:basedOn w:val="DefaultParagraphFont"/>
    <w:uiPriority w:val="99"/>
    <w:rPr>
      <w:rFonts w:ascii="Tahoma" w:eastAsia="Times New Roman" w:cs="Tahoma"/>
      <w:sz w:val="16"/>
      <w:szCs w:val="16"/>
      <w:rtl w:val="0"/>
      <w:cs w:val="0"/>
    </w:rPr>
  </w:style>
  <w:style w:type="character" w:styleId="PageNumber">
    <w:name w:val="page number"/>
    <w:basedOn w:val="DefaultParagraphFont"/>
    <w:uiPriority w:val="99"/>
    <w:rPr>
      <w:rFonts w:eastAsia="Times New Roman" w:cs="Times New Roman"/>
      <w:rtl w:val="0"/>
      <w:cs w:val="0"/>
    </w:rPr>
  </w:style>
  <w:style w:type="character" w:customStyle="1" w:styleId="apple-converted-space">
    <w:name w:val="apple-converted-space"/>
    <w:uiPriority w:val="99"/>
  </w:style>
  <w:style w:type="character" w:customStyle="1" w:styleId="Internetovfdodkaz">
    <w:name w:val="Internetovýfd odkaz"/>
    <w:basedOn w:val="DefaultParagraphFont"/>
    <w:uiPriority w:val="99"/>
    <w:rPr>
      <w:rFonts w:eastAsia="Times New Roman" w:cs="Times New Roman"/>
      <w:color w:val="0000FF"/>
      <w:u w:val="single"/>
      <w:rtl w:val="0"/>
      <w:cs w:val="0"/>
    </w:rPr>
  </w:style>
  <w:style w:type="character" w:customStyle="1" w:styleId="Zdf4raznenie">
    <w:name w:val="Zdôf4raznenie"/>
    <w:basedOn w:val="DefaultParagraphFont"/>
    <w:uiPriority w:val="99"/>
    <w:rPr>
      <w:rFonts w:eastAsia="Times New Roman" w:cs="Times New Roman"/>
      <w:i/>
      <w:iCs/>
      <w:rtl w:val="0"/>
      <w:cs w:val="0"/>
    </w:rPr>
  </w:style>
  <w:style w:type="character" w:styleId="CommentReference">
    <w:name w:val="annotation reference"/>
    <w:basedOn w:val="DefaultParagraphFont"/>
    <w:uiPriority w:val="99"/>
    <w:rPr>
      <w:rFonts w:eastAsia="Times New Roman" w:cs="Times New Roman"/>
      <w:sz w:val="16"/>
      <w:szCs w:val="16"/>
      <w:rtl w:val="0"/>
      <w:cs w:val="0"/>
    </w:rPr>
  </w:style>
  <w:style w:type="character" w:customStyle="1" w:styleId="Textkomente1raChar">
    <w:name w:val="Text komentáe1ra Char"/>
    <w:basedOn w:val="DefaultParagraphFont"/>
    <w:uiPriority w:val="99"/>
    <w:rPr>
      <w:rFonts w:eastAsia="Times New Roman" w:cs="Times New Roman"/>
      <w:rtl w:val="0"/>
      <w:cs w:val="0"/>
    </w:rPr>
  </w:style>
  <w:style w:type="character" w:customStyle="1" w:styleId="Predmetkomente1raChar">
    <w:name w:val="Predmet komentáe1ra Char"/>
    <w:basedOn w:val="Textkomente1raChar"/>
    <w:uiPriority w:val="99"/>
    <w:rPr>
      <w:b/>
      <w:bCs/>
    </w:rPr>
  </w:style>
  <w:style w:type="character" w:customStyle="1" w:styleId="Hlavie8kaChar">
    <w:name w:val="Hlaviče8ka Char"/>
    <w:basedOn w:val="DefaultParagraphFont"/>
    <w:uiPriority w:val="99"/>
    <w:rPr>
      <w:rFonts w:eastAsia="Times New Roman" w:cs="Times New Roman"/>
      <w:rtl w:val="0"/>
      <w:cs w:val="0"/>
    </w:rPr>
  </w:style>
  <w:style w:type="character" w:customStyle="1" w:styleId="Ze1kladnfdtextChar">
    <w:name w:val="Záe1kladnýfd text Char"/>
    <w:basedOn w:val="DefaultParagraphFont"/>
    <w:uiPriority w:val="99"/>
    <w:rPr>
      <w:rFonts w:eastAsia="Times New Roman" w:cs="Times New Roman"/>
      <w:rtl w:val="0"/>
      <w:cs w:val="0"/>
    </w:rPr>
  </w:style>
  <w:style w:type="character" w:customStyle="1" w:styleId="Textpozne1mkypode8iarouChar">
    <w:name w:val="Text poznáe1mky pod če8iarou Char"/>
    <w:basedOn w:val="DefaultParagraphFont"/>
    <w:uiPriority w:val="99"/>
    <w:rPr>
      <w:rFonts w:eastAsia="Times New Roman"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rPr>
      <w:rFonts w:eastAsia="Times New Roman" w:cs="Times New Roman"/>
      <w:vertAlign w:val="superscript"/>
      <w:rtl w:val="0"/>
      <w:cs w:val="0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ascii="Book Antiqua" w:eastAsia="Times New Roman"/>
      <w:b/>
      <w:sz w:val="22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ascii="Book Antiqua" w:eastAsia="Times New Roman"/>
      <w:sz w:val="22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paragraph" w:customStyle="1" w:styleId="Nadpis">
    <w:name w:val="Nadpis"/>
    <w:basedOn w:val="Normal"/>
    <w:next w:val="Telotextu"/>
    <w:uiPriority w:val="99"/>
    <w:pPr>
      <w:keepNext/>
      <w:widowControl w:val="0"/>
      <w:spacing w:before="240" w:after="120"/>
      <w:jc w:val="left"/>
    </w:pPr>
    <w:rPr>
      <w:rFonts w:ascii="Arial" w:cs="Arial"/>
      <w:sz w:val="28"/>
      <w:szCs w:val="28"/>
      <w:lang w:bidi="hi-IN"/>
    </w:rPr>
  </w:style>
  <w:style w:type="paragraph" w:customStyle="1" w:styleId="Telotextu">
    <w:name w:val="Telo textu"/>
    <w:basedOn w:val="Normal"/>
    <w:uiPriority w:val="99"/>
    <w:pPr>
      <w:suppressAutoHyphens w:val="0"/>
      <w:spacing w:after="120"/>
      <w:jc w:val="left"/>
    </w:pPr>
    <w:rPr>
      <w:kern w:val="0"/>
    </w:rPr>
  </w:style>
  <w:style w:type="paragraph" w:styleId="List">
    <w:name w:val="List"/>
    <w:basedOn w:val="Telotextu"/>
    <w:uiPriority w:val="99"/>
    <w:pPr>
      <w:suppressAutoHyphens w:val="0"/>
      <w:jc w:val="left"/>
    </w:pPr>
    <w:rPr>
      <w:kern w:val="0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spacing w:before="120" w:after="120"/>
      <w:jc w:val="left"/>
    </w:pPr>
    <w:rPr>
      <w:i/>
      <w:iCs/>
      <w:kern w:val="0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jc w:val="left"/>
    </w:pPr>
    <w:rPr>
      <w:kern w:val="0"/>
    </w:rPr>
  </w:style>
  <w:style w:type="paragraph" w:customStyle="1" w:styleId="DocumentMap">
    <w:name w:val="DocumentMap"/>
    <w:uiPriority w:val="99"/>
    <w:pPr>
      <w:framePr w:wrap="auto"/>
      <w:widowControl/>
      <w:suppressAutoHyphens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Times New Roman" w:hAnsi="Liberation Serif" w:cs="Times New Roman"/>
      <w:kern w:val="1"/>
      <w:sz w:val="20"/>
      <w:szCs w:val="20"/>
      <w:rtl w:val="0"/>
      <w:cs w:val="0"/>
      <w:lang w:val="sk-SK" w:eastAsia="sk-SK" w:bidi="ar-SA"/>
    </w:rPr>
  </w:style>
  <w:style w:type="paragraph" w:customStyle="1" w:styleId="Pe4ta">
    <w:name w:val="Päe4ta"/>
    <w:basedOn w:val="Normal"/>
    <w:uiPriority w:val="99"/>
    <w:pPr>
      <w:tabs>
        <w:tab w:val="center" w:pos="4536"/>
        <w:tab w:val="right" w:pos="9072"/>
      </w:tabs>
      <w:suppressAutoHyphens w:val="0"/>
      <w:jc w:val="left"/>
    </w:pPr>
    <w:rPr>
      <w:kern w:val="0"/>
    </w:rPr>
  </w:style>
  <w:style w:type="paragraph" w:styleId="BalloonText">
    <w:name w:val="Balloon Text"/>
    <w:basedOn w:val="Normal"/>
    <w:link w:val="TextbublinyChar1"/>
    <w:uiPriority w:val="99"/>
    <w:pPr>
      <w:suppressAutoHyphens w:val="0"/>
      <w:jc w:val="left"/>
    </w:pPr>
    <w:rPr>
      <w:rFonts w:ascii="Tahoma" w:cs="Tahoma"/>
      <w:kern w:val="0"/>
      <w:sz w:val="16"/>
      <w:szCs w:val="16"/>
    </w:rPr>
  </w:style>
  <w:style w:type="character" w:customStyle="1" w:styleId="TextbublinyChar1">
    <w:name w:val="Text bubliny Char1"/>
    <w:basedOn w:val="DefaultParagraphFont"/>
    <w:link w:val="BalloonText"/>
    <w:uiPriority w:val="99"/>
    <w:semiHidden/>
    <w:locked/>
    <w:rPr>
      <w:rFonts w:ascii="Segoe UI" w:hAnsi="Segoe UI" w:cs="Segoe UI"/>
      <w:kern w:val="1"/>
      <w:sz w:val="18"/>
      <w:szCs w:val="18"/>
      <w:rtl w:val="0"/>
      <w:cs w:val="0"/>
    </w:rPr>
  </w:style>
  <w:style w:type="paragraph" w:customStyle="1" w:styleId="titulok">
    <w:name w:val="titulok"/>
    <w:basedOn w:val="Normal"/>
    <w:uiPriority w:val="99"/>
    <w:pPr>
      <w:suppressAutoHyphens w:val="0"/>
      <w:spacing w:before="280" w:after="280"/>
      <w:jc w:val="center"/>
    </w:pPr>
    <w:rPr>
      <w:rFonts w:ascii="Arial" w:cs="Arial"/>
      <w:b/>
      <w:bCs/>
      <w:color w:val="007060"/>
      <w:kern w:val="0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kern w:val="0"/>
    </w:rPr>
  </w:style>
  <w:style w:type="paragraph" w:styleId="CommentText">
    <w:name w:val="annotation text"/>
    <w:basedOn w:val="Normal"/>
    <w:link w:val="TextkomentraChar"/>
    <w:uiPriority w:val="99"/>
    <w:pPr>
      <w:suppressAutoHyphens w:val="0"/>
      <w:jc w:val="left"/>
    </w:pPr>
    <w:rPr>
      <w:kern w:val="0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ascii="Times New Roman" w:eastAsia="Times New Roman" w:hAnsi="Liberation Serif" w:cs="Times New Roman"/>
      <w:kern w:val="1"/>
      <w:sz w:val="20"/>
      <w:szCs w:val="20"/>
      <w:rtl w:val="0"/>
      <w:cs w:val="0"/>
    </w:rPr>
  </w:style>
  <w:style w:type="paragraph" w:styleId="CommentSubject">
    <w:name w:val="annotation subject"/>
    <w:basedOn w:val="CommentText"/>
    <w:link w:val="PredmetkomentraChar"/>
    <w:uiPriority w:val="99"/>
    <w:pPr>
      <w:suppressAutoHyphens w:val="0"/>
      <w:jc w:val="left"/>
    </w:pPr>
    <w:rPr>
      <w:b/>
      <w:bCs/>
      <w:kern w:val="0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  <w:style w:type="paragraph" w:customStyle="1" w:styleId="Hlavie8ka">
    <w:name w:val="Hlaviče8ka"/>
    <w:basedOn w:val="Normal"/>
    <w:uiPriority w:val="99"/>
    <w:pPr>
      <w:tabs>
        <w:tab w:val="center" w:pos="4536"/>
        <w:tab w:val="right" w:pos="9072"/>
      </w:tabs>
      <w:suppressAutoHyphens w:val="0"/>
      <w:jc w:val="left"/>
    </w:pPr>
    <w:rPr>
      <w:kern w:val="0"/>
    </w:rPr>
  </w:style>
  <w:style w:type="paragraph" w:customStyle="1" w:styleId="Default">
    <w:name w:val="Default"/>
    <w:uiPriority w:val="99"/>
    <w:pPr>
      <w:framePr w:wrap="auto"/>
      <w:widowControl/>
      <w:suppressAutoHyphens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Times New Roman" w:hAnsi="Liberation Serif" w:cs="Times New Roman"/>
      <w:color w:val="000000"/>
      <w:kern w:val="1"/>
      <w:sz w:val="24"/>
      <w:szCs w:val="24"/>
      <w:rtl w:val="0"/>
      <w:cs w:val="0"/>
      <w:lang w:val="sk-SK" w:eastAsia="sk-SK" w:bidi="ar-SA"/>
    </w:rPr>
  </w:style>
  <w:style w:type="paragraph" w:styleId="FootnoteText">
    <w:name w:val="footnote text"/>
    <w:basedOn w:val="Normal"/>
    <w:link w:val="TextpoznmkypodiarouChar"/>
    <w:uiPriority w:val="99"/>
    <w:pPr>
      <w:suppressAutoHyphens w:val="0"/>
      <w:jc w:val="left"/>
    </w:pPr>
    <w:rPr>
      <w:kern w:val="0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ascii="Times New Roman" w:eastAsia="Times New Roman" w:hAnsi="Liberation Serif" w:cs="Times New Roman"/>
      <w:kern w:val="1"/>
      <w:sz w:val="20"/>
      <w:szCs w:val="20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D5112B"/>
    <w:rPr>
      <w:rFonts w:cs="Times New Roman"/>
      <w:color w:val="0000FF"/>
      <w:u w:val="single"/>
      <w:rtl w:val="0"/>
      <w:cs w:val="0"/>
    </w:rPr>
  </w:style>
  <w:style w:type="paragraph" w:customStyle="1" w:styleId="Vchodzie">
    <w:name w:val="Vchodzie"/>
    <w:rsid w:val="00D5112B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hAnsi="Times New Roman" w:eastAsiaTheme="minorEastAsia" w:cs="Times New Roman"/>
      <w:kern w:val="1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lov-lex.sk/pravne-predpisy/SK/ZZ/2015/343/20180501" TargetMode="External" /><Relationship Id="rId5" Type="http://schemas.openxmlformats.org/officeDocument/2006/relationships/hyperlink" Target="http://eur-lex.europa.eu/legal-content/SK/TXT/?uri=NIM:237161&amp;qid=1526653886588" TargetMode="External" /><Relationship Id="rId6" Type="http://schemas.openxmlformats.org/officeDocument/2006/relationships/hyperlink" Target="http://eur-lex.europa.eu/legal-content/SK/TXT/?uri=NIM:237162&amp;qid=1526653886588" TargetMode="External" /><Relationship Id="rId7" Type="http://schemas.openxmlformats.org/officeDocument/2006/relationships/hyperlink" Target="http://eur-lex.europa.eu/legal-content/SK/TXT/?uri=NIM:237163&amp;qid=1526653886588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1564</Words>
  <Characters>8915</Characters>
  <Application>Microsoft Office Word</Application>
  <DocSecurity>0</DocSecurity>
  <Lines>0</Lines>
  <Paragraphs>0</Paragraphs>
  <ScaleCrop>false</ScaleCrop>
  <Company>UVSR</Company>
  <LinksUpToDate>false</LinksUpToDate>
  <CharactersWithSpaces>10459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Lukáč, Jozef (asistent)</cp:lastModifiedBy>
  <cp:revision>2</cp:revision>
  <cp:lastPrinted>2012-05-30T11:19:00Z</cp:lastPrinted>
  <dcterms:created xsi:type="dcterms:W3CDTF">2018-05-23T09:40:00Z</dcterms:created>
  <dcterms:modified xsi:type="dcterms:W3CDTF">2018-05-23T09:40:00Z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Vinický, Filip</vt:lpwstr>
  </property>
</Properties>
</file>