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1BC0" w:rsidRPr="004424FC" w:rsidP="00081509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424FC" w:rsidR="00B7703C">
        <w:rPr>
          <w:rFonts w:ascii="Book Antiqua" w:hAnsi="Book Antiqua"/>
          <w:b/>
          <w:sz w:val="22"/>
          <w:szCs w:val="22"/>
        </w:rPr>
        <w:t>DÔVODOVÁ SPRÁVA</w:t>
      </w:r>
    </w:p>
    <w:p w:rsidR="00401BC0" w:rsidRPr="004424FC" w:rsidP="00081509">
      <w:pPr>
        <w:pStyle w:val="FootnoteText"/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  <w:r w:rsidRPr="004424FC">
        <w:rPr>
          <w:rFonts w:ascii="Book Antiqua" w:hAnsi="Book Antiqua"/>
          <w:b/>
          <w:sz w:val="22"/>
          <w:szCs w:val="22"/>
        </w:rPr>
        <w:t>A. Všeobecná časť</w:t>
      </w:r>
    </w:p>
    <w:p w:rsidR="00C55540" w:rsidRPr="004424FC" w:rsidP="00081509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4424FC">
        <w:rPr>
          <w:rFonts w:ascii="Book Antiqua" w:hAnsi="Book Antiqua"/>
          <w:sz w:val="22"/>
          <w:szCs w:val="22"/>
        </w:rPr>
        <w:t xml:space="preserve">Návrh zákona, ktorým sa mení a </w:t>
      </w:r>
      <w:r w:rsidRPr="004424FC" w:rsidR="006D476C">
        <w:rPr>
          <w:rFonts w:ascii="Book Antiqua" w:hAnsi="Book Antiqua"/>
          <w:bCs/>
          <w:sz w:val="22"/>
          <w:szCs w:val="22"/>
        </w:rPr>
        <w:t>dopĺňa zákon č. 112/2018 Z. z. o sociálnej ekonomike a sociálnych podnikoch a o zmene a doplnení niektorých zákonov</w:t>
      </w:r>
      <w:r w:rsidRPr="004424FC" w:rsidR="004C108F">
        <w:rPr>
          <w:rFonts w:ascii="Book Antiqua" w:hAnsi="Book Antiqua"/>
          <w:bCs/>
          <w:sz w:val="22"/>
          <w:szCs w:val="22"/>
        </w:rPr>
        <w:t xml:space="preserve"> a ktorým sa mení a dopĺňa zákon č. 343/2015 Z. z. o verejnom obstarávaní a o zmene a doplnení niektorých zákonov v znení neskorších predpisov</w:t>
      </w:r>
      <w:r w:rsidRPr="004424FC">
        <w:rPr>
          <w:rFonts w:ascii="Book Antiqua" w:hAnsi="Book Antiqua"/>
          <w:sz w:val="22"/>
          <w:szCs w:val="22"/>
        </w:rPr>
        <w:t xml:space="preserve"> (ďalej len „návrh zákona“) predkladá skupina poslancov Národnej rady Slovenskej re</w:t>
      </w:r>
      <w:r w:rsidRPr="004424FC" w:rsidR="00B7703C">
        <w:rPr>
          <w:rFonts w:ascii="Book Antiqua" w:hAnsi="Book Antiqua"/>
          <w:sz w:val="22"/>
          <w:szCs w:val="22"/>
        </w:rPr>
        <w:t>publiky</w:t>
      </w:r>
      <w:r w:rsidRPr="004424FC">
        <w:rPr>
          <w:rFonts w:ascii="Book Antiqua" w:hAnsi="Book Antiqua"/>
          <w:bCs/>
          <w:sz w:val="22"/>
          <w:szCs w:val="22"/>
        </w:rPr>
        <w:t>.</w:t>
      </w:r>
    </w:p>
    <w:p w:rsidR="006D476C" w:rsidRPr="004424FC" w:rsidP="00081509">
      <w:pPr>
        <w:shd w:val="clear" w:color="auto" w:fill="FFFFFF"/>
        <w:bidi w:val="0"/>
        <w:spacing w:before="120" w:line="276" w:lineRule="auto"/>
        <w:ind w:firstLine="708"/>
        <w:jc w:val="both"/>
        <w:rPr>
          <w:rFonts w:ascii="Book Antiqua" w:hAnsi="Book Antiqua"/>
          <w:bCs/>
          <w:kern w:val="3"/>
          <w:sz w:val="22"/>
          <w:szCs w:val="22"/>
        </w:rPr>
      </w:pPr>
      <w:r w:rsidRPr="004424FC">
        <w:rPr>
          <w:rFonts w:ascii="Book Antiqua" w:hAnsi="Book Antiqua"/>
          <w:bCs/>
          <w:kern w:val="3"/>
          <w:sz w:val="22"/>
          <w:szCs w:val="22"/>
        </w:rPr>
        <w:t>Účelom sociálnych podnikov je vytvárať pracovné miesta v lokalitách a odvetviach, kde ich nedokáže vytvoriť, prípadne udržať trh, teda nedokážu vygenerovať pridanú hodnotu, potrebnú na uhradenie vstupov, najmä ná</w:t>
      </w:r>
      <w:r w:rsidRPr="004424FC" w:rsidR="000B4CAE">
        <w:rPr>
          <w:rFonts w:ascii="Book Antiqua" w:hAnsi="Book Antiqua"/>
          <w:bCs/>
          <w:kern w:val="3"/>
          <w:sz w:val="22"/>
          <w:szCs w:val="22"/>
        </w:rPr>
        <w:t xml:space="preserve">kladov na pracovné sily, </w:t>
      </w:r>
      <w:r w:rsidRPr="004424FC">
        <w:rPr>
          <w:rFonts w:ascii="Book Antiqua" w:hAnsi="Book Antiqua"/>
          <w:bCs/>
          <w:kern w:val="3"/>
          <w:sz w:val="22"/>
          <w:szCs w:val="22"/>
        </w:rPr>
        <w:t xml:space="preserve">priestory a energie. Ich význam spočíva v tom, že vytvárajú podporované pracovné miesta, ktoré sú pre sociálne znevýhodnených občanov prípravou na vstup na trh práce, ktorá im umožní získať pracovné návyky, disciplínu, zručnosti a schopnosti, ktoré im chýbajú, aby sa na trhu práce uplatnili. Prínosom na jednej strane </w:t>
      </w:r>
      <w:r w:rsidRPr="004424FC" w:rsidR="000B4CAE">
        <w:rPr>
          <w:rFonts w:ascii="Book Antiqua" w:hAnsi="Book Antiqua"/>
          <w:bCs/>
          <w:kern w:val="3"/>
          <w:sz w:val="22"/>
          <w:szCs w:val="22"/>
        </w:rPr>
        <w:t xml:space="preserve">je </w:t>
      </w:r>
      <w:r w:rsidRPr="004424FC">
        <w:rPr>
          <w:rFonts w:ascii="Book Antiqua" w:hAnsi="Book Antiqua"/>
          <w:bCs/>
          <w:kern w:val="3"/>
          <w:sz w:val="22"/>
          <w:szCs w:val="22"/>
        </w:rPr>
        <w:t>uchopenie sociálne znevýhodnených občanov, aby sa presadili na trhu práce, na druhej strane aj vytvorenie pracovných príležitostí v ekonomicky slabších regiónoch, ako aj vytváranie produktov a služieb, ktoré by inak v danom regióne alebo odvetví nevznikli, prípadne by sa museli doviezť. Sociálne podniky na svoj vstup na trh potrebujú podporu štátu zvyčajne v podobe úhrady časti financií potrebných na mzdy zamestnancov, ktorí spĺňajú určené podmienky zvyčajne počas časovo obmedzeného obdobia. Po skončení tohto obdobia sa zamestnanci zvyčajne presunú na trh práce a nájdu si zamestnanie, dokážu si udržať pracovné miesto v sociálnom podniku aj bez finančnej podpory štátu alebo sa ich sociálne zamestnávanie skončí. </w:t>
      </w:r>
      <w:r w:rsidRPr="004424FC" w:rsidR="000B4CAE">
        <w:rPr>
          <w:rFonts w:ascii="Book Antiqua" w:hAnsi="Book Antiqua"/>
          <w:bCs/>
          <w:kern w:val="3"/>
          <w:sz w:val="22"/>
          <w:szCs w:val="22"/>
        </w:rPr>
        <w:t xml:space="preserve"> </w:t>
      </w:r>
    </w:p>
    <w:p w:rsidR="006D476C" w:rsidRPr="004424FC" w:rsidP="00081509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4424FC" w:rsidR="002F60E1">
        <w:rPr>
          <w:rFonts w:ascii="Book Antiqua" w:hAnsi="Book Antiqua"/>
          <w:bCs/>
          <w:sz w:val="22"/>
          <w:szCs w:val="22"/>
        </w:rPr>
        <w:t xml:space="preserve">Zákon </w:t>
      </w:r>
      <w:r w:rsidRPr="004424FC" w:rsidR="002F60E1">
        <w:rPr>
          <w:rFonts w:ascii="Book Antiqua" w:hAnsi="Book Antiqua"/>
          <w:sz w:val="22"/>
          <w:szCs w:val="22"/>
        </w:rPr>
        <w:t>č. 112/2018 Z. z.  o sociálnej ekonomike a sociálnych podnikoch a o zmene a doplnení niektorých zákonov (ďalej len „zákon o sociálnej ekonomike a sociálnych podnikoch“) nadobudol účinnosť 1. mája 2018, avšak už v</w:t>
      </w:r>
      <w:r w:rsidR="004424FC">
        <w:rPr>
          <w:rFonts w:ascii="Book Antiqua" w:hAnsi="Book Antiqua"/>
          <w:sz w:val="22"/>
          <w:szCs w:val="22"/>
        </w:rPr>
        <w:t> čase jeho schvaľovania sa ukázala</w:t>
      </w:r>
      <w:r w:rsidRPr="004424FC" w:rsidR="002F60E1">
        <w:rPr>
          <w:rFonts w:ascii="Book Antiqua" w:hAnsi="Book Antiqua"/>
          <w:sz w:val="22"/>
          <w:szCs w:val="22"/>
        </w:rPr>
        <w:t xml:space="preserve"> potreba </w:t>
      </w:r>
      <w:r w:rsidR="004424FC">
        <w:rPr>
          <w:rFonts w:ascii="Book Antiqua" w:hAnsi="Book Antiqua"/>
          <w:b/>
          <w:sz w:val="22"/>
          <w:szCs w:val="22"/>
        </w:rPr>
        <w:t>spresniť</w:t>
      </w:r>
      <w:r w:rsidRPr="004424FC" w:rsidR="002F60E1">
        <w:rPr>
          <w:rFonts w:ascii="Book Antiqua" w:hAnsi="Book Antiqua"/>
          <w:b/>
          <w:sz w:val="22"/>
          <w:szCs w:val="22"/>
        </w:rPr>
        <w:t xml:space="preserve"> a upraviť niektoré inštitúty s cieľom zlepšiť postavenie sociálnych podnikov</w:t>
      </w:r>
      <w:r w:rsidRPr="004424FC" w:rsidR="002F60E1">
        <w:rPr>
          <w:rFonts w:ascii="Book Antiqua" w:hAnsi="Book Antiqua"/>
          <w:sz w:val="22"/>
          <w:szCs w:val="22"/>
        </w:rPr>
        <w:t xml:space="preserve"> a najmä </w:t>
      </w:r>
      <w:r w:rsidRPr="004424FC" w:rsidR="002F60E1">
        <w:rPr>
          <w:rFonts w:ascii="Book Antiqua" w:hAnsi="Book Antiqua"/>
          <w:b/>
          <w:sz w:val="22"/>
          <w:szCs w:val="22"/>
        </w:rPr>
        <w:t xml:space="preserve">uplatnenie znevýhodnených osôb a zraniteľných osôb na trhu práce. </w:t>
      </w:r>
      <w:r w:rsidRPr="004424FC" w:rsidR="00F46843">
        <w:rPr>
          <w:rFonts w:ascii="Book Antiqua" w:hAnsi="Book Antiqua"/>
          <w:b/>
          <w:sz w:val="22"/>
          <w:szCs w:val="22"/>
        </w:rPr>
        <w:t>Uvedený zámer možno dosiahnuť zavedením štvrťročných správ, upravením množiny zamestnancov na meranie pozitívneho sociálneho vplyvu, rozšírením údajov zapisovaných v registri sociálnych podnikov a deklarovaním jeho právnej záväznosti</w:t>
      </w:r>
      <w:r w:rsidR="004424FC">
        <w:rPr>
          <w:rFonts w:ascii="Book Antiqua" w:hAnsi="Book Antiqua"/>
          <w:sz w:val="22"/>
          <w:szCs w:val="22"/>
        </w:rPr>
        <w:t xml:space="preserve"> a nakoniec úpravou zákona </w:t>
      </w:r>
      <w:r w:rsidRPr="004424FC" w:rsidR="00F46843">
        <w:rPr>
          <w:rFonts w:ascii="Book Antiqua" w:hAnsi="Book Antiqua"/>
          <w:bCs/>
          <w:sz w:val="22"/>
          <w:szCs w:val="22"/>
        </w:rPr>
        <w:t xml:space="preserve">č. 343/2015 Z. z. o verejnom obstarávaní a o zmene a doplnení niektorých zákonov v znení neskorších predpisov </w:t>
      </w:r>
      <w:r w:rsidRPr="004424FC" w:rsidR="00F46843">
        <w:rPr>
          <w:rFonts w:ascii="Book Antiqua" w:hAnsi="Book Antiqua"/>
          <w:sz w:val="22"/>
          <w:szCs w:val="22"/>
        </w:rPr>
        <w:t xml:space="preserve">(ďalej len „zákon o verejnom obstarávaní“) vo forme </w:t>
      </w:r>
      <w:r w:rsidR="004424FC">
        <w:rPr>
          <w:rFonts w:ascii="Book Antiqua" w:hAnsi="Book Antiqua"/>
          <w:b/>
          <w:sz w:val="22"/>
          <w:szCs w:val="22"/>
        </w:rPr>
        <w:t>spresnenia</w:t>
      </w:r>
      <w:r w:rsidRPr="004424FC" w:rsidR="00F46843">
        <w:rPr>
          <w:rFonts w:ascii="Book Antiqua" w:hAnsi="Book Antiqua"/>
          <w:b/>
          <w:sz w:val="22"/>
          <w:szCs w:val="22"/>
        </w:rPr>
        <w:t xml:space="preserve"> vyhradených zákaziek, povinného používania sociálneho hľadiska vo verejných obstarávaniach a</w:t>
      </w:r>
      <w:r w:rsidRPr="004424FC" w:rsidR="000B4CAE">
        <w:rPr>
          <w:rFonts w:ascii="Book Antiqua" w:hAnsi="Book Antiqua"/>
          <w:b/>
          <w:sz w:val="22"/>
          <w:szCs w:val="22"/>
        </w:rPr>
        <w:t xml:space="preserve"> uloženia </w:t>
      </w:r>
      <w:r w:rsidRPr="004424FC" w:rsidR="00F46843">
        <w:rPr>
          <w:rFonts w:ascii="Book Antiqua" w:hAnsi="Book Antiqua"/>
          <w:b/>
          <w:sz w:val="22"/>
          <w:szCs w:val="22"/>
        </w:rPr>
        <w:t xml:space="preserve">sankcie za jeho nedodržanie. </w:t>
      </w:r>
    </w:p>
    <w:p w:rsidR="00C55540" w:rsidRPr="004424FC" w:rsidP="00081509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424FC">
        <w:rPr>
          <w:rFonts w:ascii="Book Antiqua" w:hAnsi="Book Antiqua"/>
          <w:sz w:val="22"/>
          <w:szCs w:val="22"/>
        </w:rPr>
        <w:t xml:space="preserve">Predkladaný návrh zákona </w:t>
      </w:r>
      <w:r w:rsidRPr="004424FC" w:rsidR="00F46843">
        <w:rPr>
          <w:rFonts w:ascii="Book Antiqua" w:hAnsi="Book Antiqua"/>
          <w:sz w:val="22"/>
          <w:szCs w:val="22"/>
        </w:rPr>
        <w:t>nemá</w:t>
      </w:r>
      <w:r w:rsidRPr="004424FC">
        <w:rPr>
          <w:rFonts w:ascii="Book Antiqua" w:hAnsi="Book Antiqua"/>
          <w:sz w:val="22"/>
          <w:szCs w:val="22"/>
        </w:rPr>
        <w:t xml:space="preserve"> dopad na rozpočet verejnej správy. Nemá vplyv na podnikateľské prostredi</w:t>
      </w:r>
      <w:r w:rsidRPr="004424FC" w:rsidR="00F46843">
        <w:rPr>
          <w:rFonts w:ascii="Book Antiqua" w:hAnsi="Book Antiqua"/>
          <w:sz w:val="22"/>
          <w:szCs w:val="22"/>
        </w:rPr>
        <w:t>e ani</w:t>
      </w:r>
      <w:r w:rsidRPr="004424FC">
        <w:rPr>
          <w:rFonts w:ascii="Book Antiqua" w:hAnsi="Book Antiqua"/>
          <w:sz w:val="22"/>
          <w:szCs w:val="22"/>
        </w:rPr>
        <w:t xml:space="preserve"> na životné prostredie, avšak vyvoláva pozitívne s</w:t>
      </w:r>
      <w:r w:rsidRPr="004424FC" w:rsidR="00F46843">
        <w:rPr>
          <w:rFonts w:ascii="Book Antiqua" w:hAnsi="Book Antiqua"/>
          <w:sz w:val="22"/>
          <w:szCs w:val="22"/>
        </w:rPr>
        <w:t>ociálne vplyvy a</w:t>
      </w:r>
      <w:r w:rsidRPr="004424FC" w:rsidR="000B4CAE">
        <w:rPr>
          <w:rFonts w:ascii="Book Antiqua" w:hAnsi="Book Antiqua"/>
          <w:sz w:val="22"/>
          <w:szCs w:val="22"/>
        </w:rPr>
        <w:t xml:space="preserve"> vplyvy </w:t>
      </w:r>
      <w:r w:rsidRPr="004424FC" w:rsidR="00F46843">
        <w:rPr>
          <w:rFonts w:ascii="Book Antiqua" w:hAnsi="Book Antiqua"/>
          <w:sz w:val="22"/>
          <w:szCs w:val="22"/>
        </w:rPr>
        <w:t>na informatizáciu spoločnosti.</w:t>
      </w:r>
    </w:p>
    <w:p w:rsidR="00C55540" w:rsidRPr="004424FC" w:rsidP="0008150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424FC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401BC0" w:rsidRPr="004424FC" w:rsidP="00081509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  <w:r w:rsidRPr="004424FC" w:rsidR="00096AAC">
        <w:rPr>
          <w:rFonts w:ascii="Book Antiqua" w:hAnsi="Book Antiqua"/>
          <w:b/>
          <w:bCs/>
          <w:sz w:val="22"/>
          <w:szCs w:val="22"/>
        </w:rPr>
        <w:br w:type="page"/>
      </w:r>
      <w:r w:rsidRPr="004424FC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401BC0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424FC">
        <w:rPr>
          <w:rFonts w:ascii="Book Antiqua" w:hAnsi="Book Antiqua"/>
          <w:b/>
          <w:bCs/>
          <w:sz w:val="22"/>
          <w:szCs w:val="22"/>
        </w:rPr>
        <w:t>K Čl. I</w:t>
      </w:r>
    </w:p>
    <w:p w:rsidR="0091537B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424FC" w:rsidR="00970E16">
        <w:rPr>
          <w:rFonts w:ascii="Book Antiqua" w:hAnsi="Book Antiqua"/>
          <w:sz w:val="22"/>
          <w:szCs w:val="22"/>
          <w:u w:val="single"/>
        </w:rPr>
        <w:t>K bodom 1 a 2</w:t>
      </w:r>
    </w:p>
    <w:p w:rsidR="00E77E23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424FC" w:rsidR="00970E16">
        <w:rPr>
          <w:rFonts w:ascii="Book Antiqua" w:hAnsi="Book Antiqua"/>
          <w:sz w:val="22"/>
          <w:szCs w:val="22"/>
        </w:rPr>
        <w:tab/>
      </w:r>
      <w:r w:rsidRPr="004424FC">
        <w:rPr>
          <w:rFonts w:ascii="Book Antiqua" w:hAnsi="Book Antiqua"/>
          <w:sz w:val="22"/>
          <w:szCs w:val="22"/>
        </w:rPr>
        <w:t>Súčasná právna úprava nereflektuje variabilnosť zamestnaneckého prostredia, t. j. polovičné úväzky, materské, práce neschopnosti jednotlivých zamestnancov a pod. Z toho dôvodu sa navrhuje zmeniť množinu potrebnú na výpočet podielu, a to z celkového počtu zamestnanco</w:t>
      </w:r>
      <w:r w:rsidR="004424FC">
        <w:rPr>
          <w:rFonts w:ascii="Book Antiqua" w:hAnsi="Book Antiqua"/>
          <w:sz w:val="22"/>
          <w:szCs w:val="22"/>
        </w:rPr>
        <w:t>v na priemerný prepočítaný počet</w:t>
      </w:r>
      <w:r w:rsidRPr="004424FC">
        <w:rPr>
          <w:rFonts w:ascii="Book Antiqua" w:hAnsi="Book Antiqua"/>
          <w:sz w:val="22"/>
          <w:szCs w:val="22"/>
        </w:rPr>
        <w:t xml:space="preserve"> zamestnancov, navyše za kalendárny štvrťrok. Definícia priemerného prepočítaného počtu zamestnancov nie je v právnom poriadku výslovne uprav</w:t>
      </w:r>
      <w:r w:rsidR="004424FC">
        <w:rPr>
          <w:rFonts w:ascii="Book Antiqua" w:hAnsi="Book Antiqua"/>
          <w:sz w:val="22"/>
          <w:szCs w:val="22"/>
        </w:rPr>
        <w:t>ená, avšak tento termín sa v legislatíve používa</w:t>
      </w:r>
      <w:r w:rsidRPr="004424FC">
        <w:rPr>
          <w:rFonts w:ascii="Book Antiqua" w:hAnsi="Book Antiqua"/>
          <w:sz w:val="22"/>
          <w:szCs w:val="22"/>
        </w:rPr>
        <w:t xml:space="preserve">. </w:t>
      </w:r>
    </w:p>
    <w:p w:rsidR="00970E16" w:rsidRPr="004424FC" w:rsidP="0008150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424FC" w:rsidR="00E77E23">
        <w:rPr>
          <w:rFonts w:ascii="Book Antiqua" w:hAnsi="Book Antiqua"/>
          <w:sz w:val="22"/>
          <w:szCs w:val="22"/>
        </w:rPr>
        <w:t>Priemerný prepočítaný počet zamestnancov je objektívny ukazovateľ vychádzajúci zo štatistických metód. V zmysle vyhlášky Štatistického úradu Slovenskej republiky č. 358/2011 Z. z., ktorou sa vydáva Program štátnych štatistických zisťovaní na roky 2012 až 2014 v znení neskorších predpisov</w:t>
      </w:r>
      <w:r w:rsidRPr="004424FC" w:rsidR="00703F44">
        <w:rPr>
          <w:rFonts w:ascii="Book Antiqua" w:hAnsi="Book Antiqua"/>
          <w:sz w:val="22"/>
          <w:szCs w:val="22"/>
        </w:rPr>
        <w:t xml:space="preserve"> (v súčasnosti ide o vyhlášku Štatistického úradu Slovenskej republiky č. 250/2017 Z. z., ktorou sa vydáva Program štátnych štatistických zisťovaní na roky 2018 až 2020)</w:t>
      </w:r>
      <w:r w:rsidRPr="004424FC" w:rsidR="00E77E23">
        <w:rPr>
          <w:rFonts w:ascii="Book Antiqua" w:hAnsi="Book Antiqua"/>
          <w:sz w:val="22"/>
          <w:szCs w:val="22"/>
        </w:rPr>
        <w:t>, spravodajské jednotky poskytujú Štatistickému úradu SR, okrem iného, údaje o priemernom prepočítanom počte zamestnancov vo štvrťročnom výkaze o</w:t>
      </w:r>
      <w:r w:rsidRPr="004424FC" w:rsidR="00703F44">
        <w:rPr>
          <w:rFonts w:ascii="Book Antiqua" w:hAnsi="Book Antiqua"/>
          <w:sz w:val="22"/>
          <w:szCs w:val="22"/>
        </w:rPr>
        <w:t> práci.</w:t>
      </w:r>
      <w:r w:rsidRPr="004424FC" w:rsidR="00E77E23">
        <w:rPr>
          <w:rFonts w:ascii="Book Antiqua" w:hAnsi="Book Antiqua"/>
          <w:sz w:val="22"/>
          <w:szCs w:val="22"/>
        </w:rPr>
        <w:t xml:space="preserve"> Metodické vysvetlivky k obsahu výkazu o práci upravujú  postup na výpočet priemerného prepočítaného počtu zamestnancov,  ktorý  použije  aj  účtovná jednotka,  ktorá ni</w:t>
      </w:r>
      <w:r w:rsidR="004424FC">
        <w:rPr>
          <w:rFonts w:ascii="Book Antiqua" w:hAnsi="Book Antiqua"/>
          <w:sz w:val="22"/>
          <w:szCs w:val="22"/>
        </w:rPr>
        <w:t xml:space="preserve">e je spravodajskou  jednotkou </w:t>
      </w:r>
      <w:r w:rsidRPr="004424FC" w:rsidR="00E77E23">
        <w:rPr>
          <w:rFonts w:ascii="Book Antiqua" w:hAnsi="Book Antiqua"/>
          <w:sz w:val="22"/>
          <w:szCs w:val="22"/>
        </w:rPr>
        <w:t xml:space="preserve">podľa § 2 písm. b) zákona  č. 540/2001 Z. z. o štátnej štatistike v znení neskorších predpisov.  </w:t>
      </w:r>
    </w:p>
    <w:p w:rsidR="00703F44" w:rsidRPr="004424FC" w:rsidP="0008150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424FC" w:rsidR="00644AD1">
        <w:rPr>
          <w:rFonts w:ascii="Book Antiqua" w:hAnsi="Book Antiqua"/>
          <w:sz w:val="22"/>
          <w:szCs w:val="22"/>
        </w:rPr>
        <w:t>Zisťovanie priemerného prepočítaného počtu zamestnancov za kalendárny štvrťrok je odôvodnené už spomínanou fluktuáciou zamestnancov</w:t>
      </w:r>
      <w:r w:rsidR="004424FC">
        <w:rPr>
          <w:rFonts w:ascii="Book Antiqua" w:hAnsi="Book Antiqua"/>
          <w:sz w:val="22"/>
          <w:szCs w:val="22"/>
        </w:rPr>
        <w:t>,</w:t>
      </w:r>
      <w:r w:rsidRPr="004424FC" w:rsidR="00644AD1">
        <w:rPr>
          <w:rFonts w:ascii="Book Antiqua" w:hAnsi="Book Antiqua"/>
          <w:sz w:val="22"/>
          <w:szCs w:val="22"/>
        </w:rPr>
        <w:t xml:space="preserve"> ako i zľahčením podmienok pre sociálny podnik pri strate znevýhodnených alebo zraniteľných zamestnancov, keďže sa ich počet bude vykazovať v štvrťročných intervaloch (v súvislosti s bodom </w:t>
      </w:r>
      <w:r w:rsidRPr="004424FC" w:rsidR="000B4CAE">
        <w:rPr>
          <w:rFonts w:ascii="Book Antiqua" w:hAnsi="Book Antiqua"/>
          <w:sz w:val="22"/>
          <w:szCs w:val="22"/>
        </w:rPr>
        <w:t>3</w:t>
      </w:r>
      <w:r w:rsidRPr="004424FC" w:rsidR="00644AD1">
        <w:rPr>
          <w:rFonts w:ascii="Book Antiqua" w:hAnsi="Book Antiqua"/>
          <w:sz w:val="22"/>
          <w:szCs w:val="22"/>
        </w:rPr>
        <w:t xml:space="preserve"> </w:t>
      </w:r>
      <w:r w:rsidRPr="004424FC" w:rsidR="006B5F73">
        <w:rPr>
          <w:rFonts w:ascii="Book Antiqua" w:hAnsi="Book Antiqua"/>
          <w:sz w:val="22"/>
          <w:szCs w:val="22"/>
        </w:rPr>
        <w:t xml:space="preserve">- § 14a ods. 2 </w:t>
      </w:r>
      <w:r w:rsidRPr="004424FC" w:rsidR="00644AD1">
        <w:rPr>
          <w:rFonts w:ascii="Book Antiqua" w:hAnsi="Book Antiqua"/>
          <w:sz w:val="22"/>
          <w:szCs w:val="22"/>
        </w:rPr>
        <w:t>tohto návrhu zákona). S cieľom dosiahnuť ešte výraznejší pozitívny sociálny vplyv, fikcia zavedená v odseku 4 zostáva zachovaná, čo ešte zmierňuje následky odchodu znevýhodneného</w:t>
      </w:r>
      <w:r w:rsidRPr="004424FC" w:rsidR="000B4CAE">
        <w:rPr>
          <w:rFonts w:ascii="Book Antiqua" w:hAnsi="Book Antiqua"/>
          <w:sz w:val="22"/>
          <w:szCs w:val="22"/>
        </w:rPr>
        <w:t xml:space="preserve"> alebo zraniteľného zamestnanca.</w:t>
      </w:r>
    </w:p>
    <w:p w:rsidR="00970E16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424FC">
        <w:rPr>
          <w:rFonts w:ascii="Book Antiqua" w:hAnsi="Book Antiqua"/>
          <w:sz w:val="22"/>
          <w:szCs w:val="22"/>
          <w:u w:val="single"/>
        </w:rPr>
        <w:t>K bodu 3</w:t>
      </w:r>
    </w:p>
    <w:p w:rsidR="00682D58" w:rsidRPr="004424FC" w:rsidP="00081509">
      <w:pPr>
        <w:tabs>
          <w:tab w:val="left" w:pos="851"/>
        </w:tabs>
        <w:bidi w:val="0"/>
        <w:spacing w:before="120" w:line="276" w:lineRule="auto"/>
        <w:jc w:val="both"/>
        <w:rPr>
          <w:rStyle w:val="PlaceholderText"/>
          <w:rFonts w:ascii="Book Antiqua" w:eastAsia="Times New Roman" w:hAnsi="Book Antiqua"/>
          <w:color w:val="auto"/>
          <w:sz w:val="22"/>
          <w:szCs w:val="22"/>
        </w:rPr>
      </w:pPr>
      <w:r w:rsidRPr="004424FC">
        <w:rPr>
          <w:rFonts w:ascii="Book Antiqua" w:hAnsi="Book Antiqua"/>
          <w:sz w:val="22"/>
          <w:szCs w:val="22"/>
        </w:rPr>
        <w:tab/>
      </w:r>
      <w:r w:rsidRPr="004424FC" w:rsidR="004C108F">
        <w:rPr>
          <w:rStyle w:val="PlaceholderText"/>
          <w:rFonts w:ascii="Book Antiqua" w:eastAsia="Times New Roman" w:hAnsi="Book Antiqua"/>
          <w:color w:val="auto"/>
          <w:sz w:val="22"/>
          <w:szCs w:val="22"/>
        </w:rPr>
        <w:t>Navrhujú sa povinnosti registrovaného sociálneho podniku v súvislosti so štvrťročnou správou a určuje sa obsah štvrťročnej správy. Už z názvu vyplýva, že ide o opakované vypraco</w:t>
      </w:r>
      <w:r w:rsidR="004424FC">
        <w:rPr>
          <w:rStyle w:val="PlaceholderText"/>
          <w:rFonts w:ascii="Book Antiqua" w:eastAsia="Times New Roman" w:hAnsi="Book Antiqua"/>
          <w:color w:val="auto"/>
          <w:sz w:val="22"/>
          <w:szCs w:val="22"/>
        </w:rPr>
        <w:t>vávanie správy v</w:t>
      </w:r>
      <w:r w:rsidRPr="004424FC" w:rsidR="004C108F">
        <w:rPr>
          <w:rStyle w:val="PlaceholderText"/>
          <w:rFonts w:ascii="Book Antiqua" w:eastAsia="Times New Roman" w:hAnsi="Book Antiqua"/>
          <w:color w:val="auto"/>
          <w:sz w:val="22"/>
          <w:szCs w:val="22"/>
        </w:rPr>
        <w:t xml:space="preserve"> štvrťročnej periodicite a jej zasielanie Ministerstvu práce, sociálnych vecí a rodiny SR</w:t>
      </w:r>
      <w:r w:rsidRPr="004424FC" w:rsidR="0089650B">
        <w:rPr>
          <w:rStyle w:val="PlaceholderText"/>
          <w:rFonts w:ascii="Book Antiqua" w:eastAsia="Times New Roman" w:hAnsi="Book Antiqua"/>
          <w:color w:val="auto"/>
          <w:sz w:val="22"/>
          <w:szCs w:val="22"/>
        </w:rPr>
        <w:t xml:space="preserve"> do 30 dní po skončení príslušného kalendárneho štvrťroka.</w:t>
      </w:r>
      <w:r w:rsidRPr="004424FC" w:rsidR="004C108F">
        <w:rPr>
          <w:rStyle w:val="PlaceholderText"/>
          <w:rFonts w:ascii="Book Antiqua" w:eastAsia="Times New Roman" w:hAnsi="Book Antiqua"/>
          <w:color w:val="auto"/>
          <w:sz w:val="22"/>
          <w:szCs w:val="22"/>
        </w:rPr>
        <w:t xml:space="preserve"> </w:t>
      </w:r>
      <w:r w:rsidRPr="004424FC" w:rsidR="00331778">
        <w:rPr>
          <w:rStyle w:val="PlaceholderText"/>
          <w:rFonts w:ascii="Book Antiqua" w:eastAsia="Times New Roman" w:hAnsi="Book Antiqua"/>
          <w:color w:val="auto"/>
          <w:sz w:val="22"/>
          <w:szCs w:val="22"/>
        </w:rPr>
        <w:t>Podrobnosti o </w:t>
      </w:r>
      <w:r w:rsidR="004424FC">
        <w:rPr>
          <w:rStyle w:val="PlaceholderText"/>
          <w:rFonts w:ascii="Book Antiqua" w:eastAsia="Times New Roman" w:hAnsi="Book Antiqua"/>
          <w:color w:val="auto"/>
          <w:sz w:val="22"/>
          <w:szCs w:val="22"/>
        </w:rPr>
        <w:t>štvrťročnej správe vrátane vzoru takejto správy</w:t>
      </w:r>
      <w:r w:rsidRPr="004424FC" w:rsidR="00331778">
        <w:rPr>
          <w:rStyle w:val="PlaceholderText"/>
          <w:rFonts w:ascii="Book Antiqua" w:eastAsia="Times New Roman" w:hAnsi="Book Antiqua"/>
          <w:color w:val="auto"/>
          <w:sz w:val="22"/>
          <w:szCs w:val="22"/>
        </w:rPr>
        <w:t xml:space="preserve"> upraví Ministerstvo práce, sociálnych vecí a rodiny SR vyhláškou. </w:t>
      </w:r>
    </w:p>
    <w:p w:rsidR="00682D58" w:rsidRPr="004424FC" w:rsidP="00081509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 w:cs="Arial"/>
          <w:sz w:val="22"/>
          <w:szCs w:val="22"/>
        </w:rPr>
      </w:pPr>
      <w:r w:rsidRPr="004424FC">
        <w:rPr>
          <w:rStyle w:val="PlaceholderText"/>
          <w:rFonts w:ascii="Book Antiqua" w:eastAsia="Times New Roman" w:hAnsi="Book Antiqua"/>
          <w:color w:val="auto"/>
          <w:sz w:val="22"/>
          <w:szCs w:val="22"/>
        </w:rPr>
        <w:tab/>
      </w:r>
      <w:r w:rsidRPr="004424FC" w:rsidR="00B6244B">
        <w:rPr>
          <w:rStyle w:val="PlaceholderText"/>
          <w:rFonts w:ascii="Book Antiqua" w:eastAsia="Times New Roman" w:hAnsi="Book Antiqua"/>
          <w:color w:val="auto"/>
          <w:sz w:val="22"/>
          <w:szCs w:val="22"/>
        </w:rPr>
        <w:t xml:space="preserve">Obsahom štvrťročnej správy sú údaje, ktoré má každý registrovaný sociálny podnik k dispozícií, keďže ide o údaje, ktoré sú predmetom účtovníctva v zmysle zákona </w:t>
      </w:r>
      <w:r w:rsidR="004424FC">
        <w:rPr>
          <w:rStyle w:val="PlaceholderText"/>
          <w:rFonts w:ascii="Book Antiqua" w:eastAsia="Times New Roman" w:hAnsi="Book Antiqua"/>
          <w:color w:val="auto"/>
          <w:sz w:val="22"/>
          <w:szCs w:val="22"/>
        </w:rPr>
        <w:t xml:space="preserve">                  </w:t>
      </w:r>
      <w:r w:rsidRPr="004424FC" w:rsidR="00B6244B">
        <w:rPr>
          <w:rStyle w:val="PlaceholderText"/>
          <w:rFonts w:ascii="Book Antiqua" w:eastAsia="Times New Roman" w:hAnsi="Book Antiqua"/>
          <w:color w:val="auto"/>
          <w:sz w:val="22"/>
          <w:szCs w:val="22"/>
        </w:rPr>
        <w:t xml:space="preserve">č. 431/2002 Z. z. </w:t>
      </w:r>
      <w:r w:rsidRPr="004424FC" w:rsidR="00D82676">
        <w:rPr>
          <w:rFonts w:ascii="Book Antiqua" w:hAnsi="Book Antiqua"/>
          <w:sz w:val="22"/>
          <w:szCs w:val="22"/>
        </w:rPr>
        <w:t>o</w:t>
      </w:r>
      <w:r w:rsidRPr="004424FC" w:rsidR="00B6244B">
        <w:rPr>
          <w:rFonts w:ascii="Book Antiqua" w:hAnsi="Book Antiqua"/>
          <w:sz w:val="22"/>
          <w:szCs w:val="22"/>
        </w:rPr>
        <w:t> </w:t>
      </w:r>
      <w:r w:rsidRPr="004424FC" w:rsidR="00D82676">
        <w:rPr>
          <w:rFonts w:ascii="Book Antiqua" w:hAnsi="Book Antiqua"/>
          <w:sz w:val="22"/>
          <w:szCs w:val="22"/>
        </w:rPr>
        <w:t>účtovníctve</w:t>
      </w:r>
      <w:r w:rsidRPr="004424FC" w:rsidR="00B6244B">
        <w:rPr>
          <w:rFonts w:ascii="Book Antiqua" w:hAnsi="Book Antiqua"/>
          <w:sz w:val="22"/>
          <w:szCs w:val="22"/>
        </w:rPr>
        <w:t xml:space="preserve"> v znení neskorších predpisov</w:t>
      </w:r>
      <w:r w:rsidRPr="004424FC" w:rsidR="0089650B">
        <w:rPr>
          <w:rFonts w:ascii="Book Antiqua" w:hAnsi="Book Antiqua"/>
          <w:sz w:val="22"/>
          <w:szCs w:val="22"/>
        </w:rPr>
        <w:t xml:space="preserve"> a vyplývajú z </w:t>
      </w:r>
      <w:r w:rsidRPr="004424FC" w:rsidR="0089650B">
        <w:rPr>
          <w:rStyle w:val="PlaceholderText"/>
          <w:rFonts w:ascii="Book Antiqua" w:eastAsia="Times New Roman" w:hAnsi="Book Antiqua"/>
          <w:color w:val="auto"/>
          <w:sz w:val="22"/>
          <w:szCs w:val="22"/>
        </w:rPr>
        <w:t>účtovnej evidencie podľa § 14 ods. 2 zákona o sociálnej ekonomike a sociálnych podnikoch</w:t>
      </w:r>
      <w:r w:rsidRPr="004424FC" w:rsidR="00B6244B">
        <w:rPr>
          <w:rFonts w:ascii="Book Antiqua" w:hAnsi="Book Antiqua"/>
          <w:sz w:val="22"/>
          <w:szCs w:val="22"/>
        </w:rPr>
        <w:t xml:space="preserve">. </w:t>
      </w:r>
      <w:r w:rsidRPr="004424FC" w:rsidR="00DC58F8">
        <w:rPr>
          <w:rFonts w:ascii="Book Antiqua" w:hAnsi="Book Antiqua"/>
          <w:sz w:val="22"/>
          <w:szCs w:val="22"/>
        </w:rPr>
        <w:t>Obsah štvrťročnej správy sa môže líšiť v závislosti od druhu sociálneho podniku. Vzhľadom na to, že integračný podnik je verejnoprospešný podnik, ktorého pozitívnym sociálnym vplyvom je podpora zamestnanosti prostredníctvom zamestnávania znevýhodnených osôb alebo zraniteľných osôb</w:t>
      </w:r>
      <w:r w:rsidRPr="004424FC" w:rsidR="006D1277">
        <w:rPr>
          <w:rFonts w:ascii="Book Antiqua" w:hAnsi="Book Antiqua"/>
          <w:sz w:val="22"/>
          <w:szCs w:val="22"/>
        </w:rPr>
        <w:t>,</w:t>
      </w:r>
      <w:r w:rsidRPr="004424FC" w:rsidR="00DC58F8">
        <w:rPr>
          <w:rFonts w:ascii="Book Antiqua" w:hAnsi="Book Antiqua"/>
          <w:sz w:val="22"/>
          <w:szCs w:val="22"/>
        </w:rPr>
        <w:t xml:space="preserve"> vyžadujú </w:t>
      </w:r>
      <w:r w:rsidRPr="004424FC" w:rsidR="006D1277">
        <w:rPr>
          <w:rFonts w:ascii="Book Antiqua" w:hAnsi="Book Antiqua"/>
          <w:sz w:val="22"/>
          <w:szCs w:val="22"/>
        </w:rPr>
        <w:t xml:space="preserve">sa </w:t>
      </w:r>
      <w:r w:rsidRPr="004424FC" w:rsidR="00DC58F8">
        <w:rPr>
          <w:rFonts w:ascii="Book Antiqua" w:hAnsi="Book Antiqua" w:cs="Arial"/>
          <w:sz w:val="22"/>
          <w:szCs w:val="22"/>
        </w:rPr>
        <w:t>údaje o počte zamestnancov a mzdových nákladoch na zamestnancov, ktorí sú znevýhodnenými osobami a zraniteľnými osoba</w:t>
      </w:r>
      <w:r w:rsidRPr="004424FC" w:rsidR="006D1277">
        <w:rPr>
          <w:rFonts w:ascii="Book Antiqua" w:hAnsi="Book Antiqua" w:cs="Arial"/>
          <w:sz w:val="22"/>
          <w:szCs w:val="22"/>
        </w:rPr>
        <w:t>mi</w:t>
      </w:r>
      <w:r w:rsidRPr="004424FC" w:rsidR="00DC58F8">
        <w:rPr>
          <w:rFonts w:ascii="Book Antiqua" w:hAnsi="Book Antiqua" w:cs="Arial"/>
          <w:sz w:val="22"/>
          <w:szCs w:val="22"/>
        </w:rPr>
        <w:t xml:space="preserve"> len v tomto prípade. V ostatných prípadoch </w:t>
      </w:r>
      <w:r w:rsidRPr="004424FC">
        <w:rPr>
          <w:rFonts w:ascii="Book Antiqua" w:hAnsi="Book Antiqua" w:cs="Arial"/>
          <w:sz w:val="22"/>
          <w:szCs w:val="22"/>
        </w:rPr>
        <w:t xml:space="preserve">ide o údaje, ktoré v štvrťročnej správe uvádzajú všetky </w:t>
      </w:r>
      <w:r w:rsidRPr="004424FC" w:rsidR="006D1277">
        <w:rPr>
          <w:rFonts w:ascii="Book Antiqua" w:hAnsi="Book Antiqua" w:cs="Arial"/>
          <w:sz w:val="22"/>
          <w:szCs w:val="22"/>
        </w:rPr>
        <w:t xml:space="preserve">registrované sociálne </w:t>
      </w:r>
      <w:r w:rsidRPr="004424FC">
        <w:rPr>
          <w:rFonts w:ascii="Book Antiqua" w:hAnsi="Book Antiqua" w:cs="Arial"/>
          <w:sz w:val="22"/>
          <w:szCs w:val="22"/>
        </w:rPr>
        <w:t>podniky, a to údaje o počte zamestnancov a mzdových nákladoch na zamestnancov, výnos</w:t>
      </w:r>
      <w:r w:rsidRPr="004424FC" w:rsidR="006D1277">
        <w:rPr>
          <w:rFonts w:ascii="Book Antiqua" w:hAnsi="Book Antiqua" w:cs="Arial"/>
          <w:sz w:val="22"/>
          <w:szCs w:val="22"/>
        </w:rPr>
        <w:t>och</w:t>
      </w:r>
      <w:r w:rsidRPr="004424FC">
        <w:rPr>
          <w:rFonts w:ascii="Book Antiqua" w:hAnsi="Book Antiqua" w:cs="Arial"/>
          <w:sz w:val="22"/>
          <w:szCs w:val="22"/>
        </w:rPr>
        <w:t xml:space="preserve"> registrovaného sociálneho podniku za kalendárny štvrťrok, náklad</w:t>
      </w:r>
      <w:r w:rsidRPr="004424FC" w:rsidR="006D1277">
        <w:rPr>
          <w:rFonts w:ascii="Book Antiqua" w:hAnsi="Book Antiqua" w:cs="Arial"/>
          <w:sz w:val="22"/>
          <w:szCs w:val="22"/>
        </w:rPr>
        <w:t>och</w:t>
      </w:r>
      <w:r w:rsidRPr="004424FC">
        <w:rPr>
          <w:rFonts w:ascii="Book Antiqua" w:hAnsi="Book Antiqua" w:cs="Arial"/>
          <w:sz w:val="22"/>
          <w:szCs w:val="22"/>
        </w:rPr>
        <w:t xml:space="preserve"> registrovaného sociálneho podniku</w:t>
      </w:r>
      <w:r w:rsidRPr="004424FC" w:rsidR="0089650B">
        <w:rPr>
          <w:rFonts w:ascii="Book Antiqua" w:hAnsi="Book Antiqua" w:cs="Arial"/>
          <w:sz w:val="22"/>
          <w:szCs w:val="22"/>
        </w:rPr>
        <w:t xml:space="preserve"> vrátane odpisov majetku za kalendárny štvrťrok </w:t>
      </w:r>
      <w:r w:rsidRPr="004424FC">
        <w:rPr>
          <w:rFonts w:ascii="Book Antiqua" w:hAnsi="Book Antiqua" w:cs="Arial"/>
          <w:sz w:val="22"/>
          <w:szCs w:val="22"/>
        </w:rPr>
        <w:t>a</w:t>
      </w:r>
      <w:r w:rsidRPr="004424FC" w:rsidR="006D1277">
        <w:rPr>
          <w:rFonts w:ascii="Book Antiqua" w:hAnsi="Book Antiqua" w:cs="Arial"/>
          <w:sz w:val="22"/>
          <w:szCs w:val="22"/>
        </w:rPr>
        <w:t> </w:t>
      </w:r>
      <w:r w:rsidRPr="004424FC">
        <w:rPr>
          <w:rFonts w:ascii="Book Antiqua" w:hAnsi="Book Antiqua" w:cs="Arial"/>
          <w:sz w:val="22"/>
          <w:szCs w:val="22"/>
        </w:rPr>
        <w:t>ostatn</w:t>
      </w:r>
      <w:r w:rsidRPr="004424FC" w:rsidR="006D1277">
        <w:rPr>
          <w:rFonts w:ascii="Book Antiqua" w:hAnsi="Book Antiqua" w:cs="Arial"/>
          <w:sz w:val="22"/>
          <w:szCs w:val="22"/>
        </w:rPr>
        <w:t xml:space="preserve">ých </w:t>
      </w:r>
      <w:r w:rsidRPr="004424FC">
        <w:rPr>
          <w:rFonts w:ascii="Book Antiqua" w:hAnsi="Book Antiqua" w:cs="Arial"/>
          <w:sz w:val="22"/>
          <w:szCs w:val="22"/>
        </w:rPr>
        <w:t>náklad</w:t>
      </w:r>
      <w:r w:rsidRPr="004424FC" w:rsidR="006D1277">
        <w:rPr>
          <w:rFonts w:ascii="Book Antiqua" w:hAnsi="Book Antiqua" w:cs="Arial"/>
          <w:sz w:val="22"/>
          <w:szCs w:val="22"/>
        </w:rPr>
        <w:t>och</w:t>
      </w:r>
      <w:r w:rsidRPr="004424FC">
        <w:rPr>
          <w:rFonts w:ascii="Book Antiqua" w:hAnsi="Book Antiqua" w:cs="Arial"/>
          <w:sz w:val="22"/>
          <w:szCs w:val="22"/>
        </w:rPr>
        <w:t xml:space="preserve"> registrovaného sociálneho podniku za kalendárny štvrťrok.</w:t>
      </w:r>
    </w:p>
    <w:p w:rsidR="00C852F2" w:rsidRPr="004424FC" w:rsidP="00081509">
      <w:pPr>
        <w:bidi w:val="0"/>
        <w:spacing w:before="120" w:line="276" w:lineRule="auto"/>
        <w:ind w:firstLine="567"/>
        <w:jc w:val="both"/>
        <w:rPr>
          <w:rFonts w:ascii="Book Antiqua" w:hAnsi="Book Antiqua" w:cs="Arial"/>
          <w:sz w:val="22"/>
          <w:szCs w:val="22"/>
        </w:rPr>
      </w:pPr>
      <w:r w:rsidRPr="004424FC" w:rsidR="00331778">
        <w:rPr>
          <w:rFonts w:ascii="Book Antiqua" w:hAnsi="Book Antiqua" w:cs="Arial"/>
          <w:sz w:val="22"/>
          <w:szCs w:val="22"/>
        </w:rPr>
        <w:t xml:space="preserve">Cieľom štvrťročných správ je </w:t>
      </w:r>
      <w:r w:rsidRPr="004424FC" w:rsidR="006D1277">
        <w:rPr>
          <w:rFonts w:ascii="Book Antiqua" w:hAnsi="Book Antiqua" w:cs="Arial"/>
          <w:sz w:val="22"/>
          <w:szCs w:val="22"/>
        </w:rPr>
        <w:t>poskytovanie</w:t>
      </w:r>
      <w:r w:rsidRPr="004424FC" w:rsidR="00331778">
        <w:rPr>
          <w:rFonts w:ascii="Book Antiqua" w:hAnsi="Book Antiqua" w:cs="Arial"/>
          <w:sz w:val="22"/>
          <w:szCs w:val="22"/>
        </w:rPr>
        <w:t xml:space="preserve"> údajov o registrovaných sociálnych podnikoch Ministerstvu </w:t>
      </w:r>
      <w:r w:rsidRPr="004424FC" w:rsidR="00331778">
        <w:rPr>
          <w:rStyle w:val="PlaceholderText"/>
          <w:rFonts w:ascii="Book Antiqua" w:eastAsia="Times New Roman" w:hAnsi="Book Antiqua"/>
          <w:color w:val="auto"/>
          <w:sz w:val="22"/>
          <w:szCs w:val="22"/>
        </w:rPr>
        <w:t>práce, sociálnych vecí a rodiny SR</w:t>
      </w:r>
      <w:r w:rsidR="004424FC">
        <w:rPr>
          <w:rStyle w:val="PlaceholderText"/>
          <w:rFonts w:ascii="Book Antiqua" w:eastAsia="Times New Roman" w:hAnsi="Book Antiqua"/>
          <w:color w:val="auto"/>
          <w:sz w:val="22"/>
          <w:szCs w:val="22"/>
        </w:rPr>
        <w:t>,</w:t>
      </w:r>
      <w:r w:rsidRPr="004424FC" w:rsidR="00331778">
        <w:rPr>
          <w:rStyle w:val="PlaceholderText"/>
          <w:rFonts w:ascii="Book Antiqua" w:eastAsia="Times New Roman" w:hAnsi="Book Antiqua"/>
          <w:color w:val="auto"/>
          <w:sz w:val="22"/>
          <w:szCs w:val="22"/>
        </w:rPr>
        <w:t xml:space="preserve"> ako i verejnosti prostredníctvom zverejnenia v registri sociálnych podnikov s výnimkou údajov, ktoré majú charakter obchodného tajomstva v zmysle Obchodného zákonníka. Takouto „kontrolou“ je možné odhaliť registrované sociálne podniky, ktoré porušuj</w:t>
      </w:r>
      <w:r w:rsidRPr="004424FC" w:rsidR="006F69DA">
        <w:rPr>
          <w:rStyle w:val="PlaceholderText"/>
          <w:rFonts w:ascii="Book Antiqua" w:eastAsia="Times New Roman" w:hAnsi="Book Antiqua"/>
          <w:color w:val="auto"/>
          <w:sz w:val="22"/>
          <w:szCs w:val="22"/>
        </w:rPr>
        <w:t>ú ducha zákona, príp.</w:t>
      </w:r>
      <w:r w:rsidRPr="004424FC" w:rsidR="00331778">
        <w:rPr>
          <w:rStyle w:val="PlaceholderText"/>
          <w:rFonts w:ascii="Book Antiqua" w:eastAsia="Times New Roman" w:hAnsi="Book Antiqua"/>
          <w:color w:val="auto"/>
          <w:sz w:val="22"/>
          <w:szCs w:val="22"/>
        </w:rPr>
        <w:t xml:space="preserve"> v určitom čase prestali spĺňať podmienky a neoznámili to (napr. pokles znevýhodnených zamestnancov v kalendárnom štvrťroku pod 30 % s prihliadnutím na fikciu stanovenú v § 12 ods. 4 zákona o sociálnej ekonomike a sociálnych podnikoch). </w:t>
      </w:r>
    </w:p>
    <w:p w:rsidR="00D82676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424FC">
        <w:rPr>
          <w:rFonts w:ascii="Book Antiqua" w:hAnsi="Book Antiqua"/>
          <w:sz w:val="22"/>
          <w:szCs w:val="22"/>
          <w:u w:val="single"/>
        </w:rPr>
        <w:t>K bodu 4</w:t>
      </w:r>
    </w:p>
    <w:p w:rsidR="00E7314D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424FC" w:rsidR="00C67A0C">
        <w:rPr>
          <w:rFonts w:ascii="Book Antiqua" w:hAnsi="Book Antiqua"/>
          <w:sz w:val="22"/>
          <w:szCs w:val="22"/>
        </w:rPr>
        <w:tab/>
        <w:t xml:space="preserve">Zákonom </w:t>
      </w:r>
      <w:r w:rsidRPr="004424FC" w:rsidR="001C63B3">
        <w:rPr>
          <w:rFonts w:ascii="Book Antiqua" w:hAnsi="Book Antiqua"/>
          <w:sz w:val="22"/>
          <w:szCs w:val="22"/>
        </w:rPr>
        <w:t>o sociálnej ekonomike a sociálnych podnikoch</w:t>
      </w:r>
      <w:r w:rsidRPr="004424FC" w:rsidR="002F60E1">
        <w:rPr>
          <w:rFonts w:ascii="Book Antiqua" w:hAnsi="Book Antiqua"/>
          <w:sz w:val="22"/>
          <w:szCs w:val="22"/>
        </w:rPr>
        <w:t xml:space="preserve"> </w:t>
      </w:r>
      <w:r w:rsidRPr="004424FC" w:rsidR="00C67A0C">
        <w:rPr>
          <w:rFonts w:ascii="Book Antiqua" w:hAnsi="Book Antiqua"/>
          <w:sz w:val="22"/>
          <w:szCs w:val="22"/>
        </w:rPr>
        <w:t>sa zaviedol register sociálnych po</w:t>
      </w:r>
      <w:r w:rsidRPr="004424FC" w:rsidR="006D1277">
        <w:rPr>
          <w:rFonts w:ascii="Book Antiqua" w:hAnsi="Book Antiqua"/>
          <w:sz w:val="22"/>
          <w:szCs w:val="22"/>
        </w:rPr>
        <w:t xml:space="preserve">dnikov a upravil sa jeho obsah a </w:t>
      </w:r>
      <w:r w:rsidRPr="004424FC" w:rsidR="00C67A0C">
        <w:rPr>
          <w:rFonts w:ascii="Book Antiqua" w:hAnsi="Book Antiqua"/>
          <w:sz w:val="22"/>
          <w:szCs w:val="22"/>
        </w:rPr>
        <w:t xml:space="preserve">postup sprístupňovania údajov </w:t>
      </w:r>
      <w:r w:rsidRPr="004424FC" w:rsidR="00C67A0C">
        <w:rPr>
          <w:rStyle w:val="PlaceholderText"/>
          <w:rFonts w:ascii="Book Antiqua" w:eastAsia="Times New Roman" w:hAnsi="Book Antiqua"/>
          <w:color w:val="auto"/>
          <w:sz w:val="22"/>
          <w:szCs w:val="22"/>
        </w:rPr>
        <w:t xml:space="preserve">obsiahnutých v registri </w:t>
      </w:r>
      <w:r w:rsidRPr="004424FC" w:rsidR="00C67A0C">
        <w:rPr>
          <w:rFonts w:ascii="Book Antiqua" w:hAnsi="Book Antiqua"/>
          <w:sz w:val="22"/>
          <w:szCs w:val="22"/>
        </w:rPr>
        <w:t>orgánom štátnej správy, súdom, o</w:t>
      </w:r>
      <w:r w:rsidR="004424FC">
        <w:rPr>
          <w:rFonts w:ascii="Book Antiqua" w:hAnsi="Book Antiqua"/>
          <w:sz w:val="22"/>
          <w:szCs w:val="22"/>
        </w:rPr>
        <w:t xml:space="preserve">bciam a vyšším územným celkom, </w:t>
      </w:r>
      <w:r w:rsidRPr="004424FC" w:rsidR="00C67A0C">
        <w:rPr>
          <w:rFonts w:ascii="Book Antiqua" w:hAnsi="Book Antiqua"/>
          <w:sz w:val="22"/>
          <w:szCs w:val="22"/>
        </w:rPr>
        <w:t xml:space="preserve">iným orgánom verejnej moci a ďalším subjektom. Zavedenie registra možno hodnotiť pozitívne s výhradou záväznosti registra a jeho využitia verejnosťou. </w:t>
      </w:r>
      <w:r w:rsidRPr="004424FC" w:rsidR="000956DB">
        <w:rPr>
          <w:rFonts w:ascii="Book Antiqua" w:hAnsi="Book Antiqua"/>
          <w:sz w:val="22"/>
          <w:szCs w:val="22"/>
        </w:rPr>
        <w:t xml:space="preserve">S prihliadnutím na elektronizáciu a vývoj informačných technológií je požiadavka na právnu záväznosť registrov, nie ich využitie len na informačné účely. </w:t>
      </w:r>
    </w:p>
    <w:p w:rsidR="0065786E" w:rsidRPr="004424FC" w:rsidP="00081509">
      <w:pPr>
        <w:bidi w:val="0"/>
        <w:spacing w:before="120" w:line="276" w:lineRule="auto"/>
        <w:ind w:firstLine="708"/>
        <w:jc w:val="both"/>
        <w:rPr>
          <w:rFonts w:ascii="Book Antiqua" w:hAnsi="Book Antiqua"/>
          <w:iCs/>
          <w:sz w:val="22"/>
          <w:szCs w:val="22"/>
          <w:lang w:eastAsia="cs-CZ"/>
        </w:rPr>
      </w:pPr>
      <w:r w:rsidRPr="004424FC" w:rsidR="000956DB">
        <w:rPr>
          <w:rFonts w:ascii="Book Antiqua" w:hAnsi="Book Antiqua"/>
          <w:sz w:val="22"/>
          <w:szCs w:val="22"/>
        </w:rPr>
        <w:t xml:space="preserve">Podľa súčasnej úpravy </w:t>
      </w:r>
      <w:r w:rsidRPr="004424FC" w:rsidR="00055338">
        <w:rPr>
          <w:rFonts w:ascii="Book Antiqua" w:hAnsi="Book Antiqua"/>
          <w:sz w:val="22"/>
          <w:szCs w:val="22"/>
        </w:rPr>
        <w:t xml:space="preserve">Ministerstvo práce, sociálnych vecí a rodiny SR zverejňuje </w:t>
      </w:r>
      <w:r w:rsidRPr="004424FC" w:rsidR="000956DB">
        <w:rPr>
          <w:rFonts w:ascii="Book Antiqua" w:hAnsi="Book Antiqua"/>
          <w:sz w:val="22"/>
          <w:szCs w:val="22"/>
        </w:rPr>
        <w:t>údaje z registra sociálnych podnikov na svojom webovom sídle</w:t>
      </w:r>
      <w:r w:rsidRPr="004424FC" w:rsidR="00055338">
        <w:rPr>
          <w:rFonts w:ascii="Book Antiqua" w:hAnsi="Book Antiqua"/>
          <w:sz w:val="22"/>
          <w:szCs w:val="22"/>
        </w:rPr>
        <w:t xml:space="preserve"> a poskytuje ich v elektronickej podobe, automatizovaným spôsobom vybraným subjektom.</w:t>
      </w:r>
      <w:r w:rsidRPr="004424FC" w:rsidR="000956DB">
        <w:rPr>
          <w:rFonts w:ascii="Book Antiqua" w:hAnsi="Book Antiqua"/>
          <w:sz w:val="22"/>
          <w:szCs w:val="22"/>
        </w:rPr>
        <w:t xml:space="preserve"> </w:t>
      </w:r>
      <w:r w:rsidRPr="004424FC">
        <w:rPr>
          <w:rFonts w:ascii="Book Antiqua" w:hAnsi="Book Antiqua"/>
          <w:sz w:val="22"/>
          <w:szCs w:val="22"/>
        </w:rPr>
        <w:t xml:space="preserve">Register sociálnych podnikov sa sprístupňuje na webovom sídle </w:t>
      </w:r>
      <w:r w:rsidRPr="004424FC" w:rsidR="006D1277">
        <w:rPr>
          <w:rFonts w:ascii="Book Antiqua" w:hAnsi="Book Antiqua"/>
          <w:sz w:val="22"/>
          <w:szCs w:val="22"/>
        </w:rPr>
        <w:t>M</w:t>
      </w:r>
      <w:r w:rsidRPr="004424FC">
        <w:rPr>
          <w:rFonts w:ascii="Book Antiqua" w:hAnsi="Book Antiqua"/>
          <w:sz w:val="22"/>
          <w:szCs w:val="22"/>
        </w:rPr>
        <w:t>inisterstva</w:t>
      </w:r>
      <w:r w:rsidRPr="004424FC" w:rsidR="006D1277">
        <w:rPr>
          <w:rFonts w:ascii="Book Antiqua" w:hAnsi="Book Antiqua"/>
          <w:sz w:val="22"/>
          <w:szCs w:val="22"/>
        </w:rPr>
        <w:t xml:space="preserve"> práce, sociálnych vecí a rodiny SR</w:t>
      </w:r>
      <w:r w:rsidRPr="004424FC">
        <w:rPr>
          <w:rFonts w:ascii="Book Antiqua" w:hAnsi="Book Antiqua"/>
          <w:sz w:val="22"/>
          <w:szCs w:val="22"/>
        </w:rPr>
        <w:t xml:space="preserve">, t. j. je dostupný každému a bezplatne. </w:t>
      </w:r>
      <w:r w:rsidRPr="004424FC" w:rsidR="000956DB">
        <w:rPr>
          <w:rFonts w:ascii="Book Antiqua" w:hAnsi="Book Antiqua"/>
          <w:sz w:val="22"/>
          <w:szCs w:val="22"/>
        </w:rPr>
        <w:t>Po vzore úpravy zákona č. 315/2016 Z. z.</w:t>
      </w:r>
      <w:r w:rsidRPr="004424FC" w:rsidR="003D34BB">
        <w:rPr>
          <w:rFonts w:ascii="Book Antiqua" w:hAnsi="Book Antiqua"/>
          <w:sz w:val="22"/>
          <w:szCs w:val="22"/>
        </w:rPr>
        <w:t xml:space="preserve"> o registri partnerov verejného sektora a o zmene a doplnení niektorých zákonov v znení neskorších predpisov</w:t>
      </w:r>
      <w:r w:rsidRPr="004424FC" w:rsidR="000956DB">
        <w:rPr>
          <w:rFonts w:ascii="Book Antiqua" w:hAnsi="Book Antiqua"/>
          <w:sz w:val="22"/>
          <w:szCs w:val="22"/>
        </w:rPr>
        <w:t xml:space="preserve"> sa navrhuje, aby register sociálnych podnikov </w:t>
      </w:r>
      <w:r w:rsidRPr="004424FC" w:rsidR="00055338">
        <w:rPr>
          <w:rFonts w:ascii="Book Antiqua" w:hAnsi="Book Antiqua"/>
          <w:sz w:val="22"/>
          <w:szCs w:val="22"/>
        </w:rPr>
        <w:t xml:space="preserve">vedený v elektronickej podobe bol právne záväzný. Právna záväznosť znamená, že údaje </w:t>
      </w:r>
      <w:r w:rsidRPr="004424FC" w:rsidR="000956DB">
        <w:rPr>
          <w:rFonts w:ascii="Book Antiqua" w:hAnsi="Book Antiqua"/>
          <w:sz w:val="22"/>
          <w:szCs w:val="22"/>
        </w:rPr>
        <w:t>zverejnené v </w:t>
      </w:r>
      <w:r w:rsidRPr="004424FC" w:rsidR="00055338">
        <w:rPr>
          <w:rFonts w:ascii="Book Antiqua" w:hAnsi="Book Antiqua"/>
          <w:sz w:val="22"/>
          <w:szCs w:val="22"/>
        </w:rPr>
        <w:t>registri</w:t>
      </w:r>
      <w:r w:rsidRPr="004424FC" w:rsidR="000956DB">
        <w:rPr>
          <w:rFonts w:ascii="Book Antiqua" w:hAnsi="Book Antiqua"/>
          <w:sz w:val="22"/>
          <w:szCs w:val="22"/>
        </w:rPr>
        <w:t xml:space="preserve"> sú účinné voči všetkým a nie je potrebné ich pred orgánmi verejnej moci preukazovať, t.</w:t>
      </w:r>
      <w:r w:rsidRPr="004424FC" w:rsidR="00055338">
        <w:rPr>
          <w:rFonts w:ascii="Book Antiqua" w:hAnsi="Book Antiqua"/>
          <w:sz w:val="22"/>
          <w:szCs w:val="22"/>
        </w:rPr>
        <w:t xml:space="preserve"> </w:t>
      </w:r>
      <w:r w:rsidRPr="004424FC" w:rsidR="000956DB">
        <w:rPr>
          <w:rFonts w:ascii="Book Antiqua" w:hAnsi="Book Antiqua"/>
          <w:sz w:val="22"/>
          <w:szCs w:val="22"/>
        </w:rPr>
        <w:t>j. orgán verejnej moci si má možnosť tieto údaje zistiť sám.</w:t>
      </w:r>
      <w:r w:rsidRPr="004424FC" w:rsidR="00055338">
        <w:rPr>
          <w:rFonts w:ascii="Book Antiqua" w:hAnsi="Book Antiqua"/>
          <w:sz w:val="22"/>
          <w:szCs w:val="22"/>
        </w:rPr>
        <w:t xml:space="preserve"> </w:t>
      </w:r>
      <w:r w:rsidRPr="004424FC" w:rsidR="004C4805">
        <w:rPr>
          <w:rFonts w:ascii="Book Antiqua" w:hAnsi="Book Antiqua"/>
          <w:sz w:val="22"/>
          <w:szCs w:val="22"/>
        </w:rPr>
        <w:t>Tým sa zároveň napĺňa zásada elek</w:t>
      </w:r>
      <w:r w:rsidRPr="004424FC">
        <w:rPr>
          <w:rFonts w:ascii="Book Antiqua" w:hAnsi="Book Antiqua"/>
          <w:sz w:val="22"/>
          <w:szCs w:val="22"/>
        </w:rPr>
        <w:t>tronického výkonu verejnej moci, vyjadrená v § 17 ods. 5 zákona č. 305/2013 Z. z. o elektronickej podobe výkonu pôsobnosti orgánov verejnej moci a o zmene a doplnení niektorých zákonov (zákon o e-Governmente).</w:t>
      </w:r>
      <w:r w:rsidRPr="004424FC" w:rsidR="004C4805">
        <w:rPr>
          <w:rFonts w:ascii="Book Antiqua" w:hAnsi="Book Antiqua"/>
          <w:sz w:val="22"/>
          <w:szCs w:val="22"/>
        </w:rPr>
        <w:t xml:space="preserve"> </w:t>
      </w:r>
      <w:r w:rsidRPr="004424FC">
        <w:rPr>
          <w:rFonts w:ascii="Book Antiqua" w:hAnsi="Book Antiqua"/>
          <w:iCs/>
          <w:sz w:val="22"/>
          <w:szCs w:val="22"/>
          <w:lang w:eastAsia="cs-CZ"/>
        </w:rPr>
        <w:t>Prístup k údajom registra sociálnych podnikov nie je neobmedzený, ale je limitovaný právnou úpravou obsiahnutou v odseku 6, ktor</w:t>
      </w:r>
      <w:r w:rsidRPr="004424FC" w:rsidR="004A4ADF">
        <w:rPr>
          <w:rFonts w:ascii="Book Antiqua" w:hAnsi="Book Antiqua"/>
          <w:iCs/>
          <w:sz w:val="22"/>
          <w:szCs w:val="22"/>
          <w:lang w:eastAsia="cs-CZ"/>
        </w:rPr>
        <w:t>ou</w:t>
      </w:r>
      <w:r w:rsidRPr="004424FC">
        <w:rPr>
          <w:rFonts w:ascii="Book Antiqua" w:hAnsi="Book Antiqua"/>
          <w:iCs/>
          <w:sz w:val="22"/>
          <w:szCs w:val="22"/>
          <w:lang w:eastAsia="cs-CZ"/>
        </w:rPr>
        <w:t xml:space="preserve"> sa obmedzenie vzťahuje na osobné údaje</w:t>
      </w:r>
      <w:r w:rsidRPr="004424FC" w:rsidR="006B5F73">
        <w:rPr>
          <w:rFonts w:ascii="Book Antiqua" w:hAnsi="Book Antiqua"/>
          <w:iCs/>
          <w:sz w:val="22"/>
          <w:szCs w:val="22"/>
          <w:lang w:eastAsia="cs-CZ"/>
        </w:rPr>
        <w:t>,</w:t>
      </w:r>
      <w:r w:rsidRPr="004424FC">
        <w:rPr>
          <w:rFonts w:ascii="Book Antiqua" w:hAnsi="Book Antiqua"/>
          <w:iCs/>
          <w:sz w:val="22"/>
          <w:szCs w:val="22"/>
          <w:lang w:eastAsia="cs-CZ"/>
        </w:rPr>
        <w:t xml:space="preserve"> akým je rodné číslo alebo iný identifikátor, ak ide o cudzinca. </w:t>
      </w:r>
    </w:p>
    <w:p w:rsidR="0065786E" w:rsidRPr="004424FC" w:rsidP="00081509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424FC">
        <w:rPr>
          <w:rFonts w:ascii="Book Antiqua" w:hAnsi="Book Antiqua"/>
          <w:sz w:val="22"/>
          <w:szCs w:val="22"/>
        </w:rPr>
        <w:t xml:space="preserve">Podľa odseku 5 návrhu zákona budú z registra sociálnych podnikov vydávané výpisy (obdobne ako v prípade obchodného registra alebo registra partnerov verejného sektora) a súčasne aj potvrdenia o tom, že určité údaje v registri sociálnych podnikoch zapísané nie sú. Z hľadiska technickej realizácie registra </w:t>
      </w:r>
      <w:r w:rsidRPr="004424FC" w:rsidR="006B5F73">
        <w:rPr>
          <w:rFonts w:ascii="Book Antiqua" w:hAnsi="Book Antiqua"/>
          <w:sz w:val="22"/>
          <w:szCs w:val="22"/>
        </w:rPr>
        <w:t xml:space="preserve">sociálnych podnikov </w:t>
      </w:r>
      <w:r w:rsidRPr="004424FC">
        <w:rPr>
          <w:rFonts w:ascii="Book Antiqua" w:hAnsi="Book Antiqua"/>
          <w:sz w:val="22"/>
          <w:szCs w:val="22"/>
        </w:rPr>
        <w:t xml:space="preserve">sa predpokladá možnosť vygenerovania autorizovaného výpisu v elektronickej podobe priamo na webovom sídle </w:t>
      </w:r>
      <w:r w:rsidRPr="004424FC" w:rsidR="006B5F73">
        <w:rPr>
          <w:rFonts w:ascii="Book Antiqua" w:hAnsi="Book Antiqua"/>
          <w:sz w:val="22"/>
          <w:szCs w:val="22"/>
        </w:rPr>
        <w:t>M</w:t>
      </w:r>
      <w:r w:rsidRPr="004424FC">
        <w:rPr>
          <w:rFonts w:ascii="Book Antiqua" w:hAnsi="Book Antiqua"/>
          <w:sz w:val="22"/>
          <w:szCs w:val="22"/>
        </w:rPr>
        <w:t>inisterstva</w:t>
      </w:r>
      <w:r w:rsidRPr="004424FC" w:rsidR="006B5F73">
        <w:rPr>
          <w:rFonts w:ascii="Book Antiqua" w:hAnsi="Book Antiqua"/>
          <w:sz w:val="22"/>
          <w:szCs w:val="22"/>
        </w:rPr>
        <w:t xml:space="preserve"> práce, sociálnych vecí a rodiny SR</w:t>
      </w:r>
      <w:r w:rsidRPr="004424FC">
        <w:rPr>
          <w:rFonts w:ascii="Book Antiqua" w:hAnsi="Book Antiqua"/>
          <w:sz w:val="22"/>
          <w:szCs w:val="22"/>
        </w:rPr>
        <w:t xml:space="preserve"> s možnosťou jeho stiahnutia a ďalšieho využitia. Ďalej návrh zákona predpokladá, že register bude sprístupnený aj v podobe datasetov, ktoré umožnia automatizované spracovanie zapísaných údajov v iných informačných systémov, resp. analytickú prácu so zapísanými údajmi, a to ako na strane štátnych orgánov, tak aj na strane verejnosti. </w:t>
      </w:r>
    </w:p>
    <w:p w:rsidR="00E7314D" w:rsidRPr="004424FC" w:rsidP="00081509">
      <w:pPr>
        <w:bidi w:val="0"/>
        <w:spacing w:before="120" w:line="276" w:lineRule="auto"/>
        <w:ind w:firstLine="708"/>
        <w:jc w:val="both"/>
        <w:rPr>
          <w:rFonts w:ascii="Book Antiqua" w:hAnsi="Book Antiqua"/>
          <w:iCs/>
          <w:sz w:val="22"/>
          <w:szCs w:val="22"/>
          <w:lang w:eastAsia="cs-CZ"/>
        </w:rPr>
      </w:pPr>
      <w:r w:rsidRPr="004424FC">
        <w:rPr>
          <w:rFonts w:ascii="Book Antiqua" w:hAnsi="Book Antiqua"/>
          <w:iCs/>
          <w:sz w:val="22"/>
          <w:szCs w:val="22"/>
          <w:lang w:eastAsia="cs-CZ"/>
        </w:rPr>
        <w:t xml:space="preserve">Navrhuje sa aj rozšírenie výpočtu údajov, ktoré sa do </w:t>
      </w:r>
      <w:r w:rsidRPr="004424FC" w:rsidR="006B5F73">
        <w:rPr>
          <w:rFonts w:ascii="Book Antiqua" w:hAnsi="Book Antiqua"/>
          <w:iCs/>
          <w:sz w:val="22"/>
          <w:szCs w:val="22"/>
          <w:lang w:eastAsia="cs-CZ"/>
        </w:rPr>
        <w:t>r</w:t>
      </w:r>
      <w:r w:rsidRPr="004424FC">
        <w:rPr>
          <w:rFonts w:ascii="Book Antiqua" w:hAnsi="Book Antiqua"/>
          <w:iCs/>
          <w:sz w:val="22"/>
          <w:szCs w:val="22"/>
          <w:lang w:eastAsia="cs-CZ"/>
        </w:rPr>
        <w:t xml:space="preserve">egistra sociálnych podnikov zapisujú o kontaktné údaje registrovaného sociálneho podniku, ktorými sú e-mailová adresa a telefónne číslo, ako i odkaz na webovú stránku podniku, ak ju má zriadenú, a to z dôvodu informovanosti a efektívnosti. Taktiež sa registrovanému </w:t>
      </w:r>
      <w:r w:rsidRPr="004424FC" w:rsidR="0089650B">
        <w:rPr>
          <w:rFonts w:ascii="Book Antiqua" w:hAnsi="Book Antiqua"/>
          <w:iCs/>
          <w:sz w:val="22"/>
          <w:szCs w:val="22"/>
          <w:lang w:eastAsia="cs-CZ"/>
        </w:rPr>
        <w:t xml:space="preserve">sociálnemu </w:t>
      </w:r>
      <w:r w:rsidRPr="004424FC">
        <w:rPr>
          <w:rFonts w:ascii="Book Antiqua" w:hAnsi="Book Antiqua"/>
          <w:iCs/>
          <w:sz w:val="22"/>
          <w:szCs w:val="22"/>
          <w:lang w:eastAsia="cs-CZ"/>
        </w:rPr>
        <w:t xml:space="preserve">podniku umožňuje uviesť v registri aj iné údaje, ktoré považuje za dôležité a chce ich uviesť (napr. opis činnosti, </w:t>
      </w:r>
      <w:r w:rsidRPr="004424FC">
        <w:rPr>
          <w:rFonts w:ascii="Book Antiqua" w:hAnsi="Book Antiqua"/>
          <w:sz w:val="22"/>
          <w:szCs w:val="22"/>
        </w:rPr>
        <w:t>na akú cieľ</w:t>
      </w:r>
      <w:r w:rsidRPr="004424FC" w:rsidR="004A4ADF">
        <w:rPr>
          <w:rFonts w:ascii="Book Antiqua" w:hAnsi="Book Antiqua"/>
          <w:sz w:val="22"/>
          <w:szCs w:val="22"/>
        </w:rPr>
        <w:t>o</w:t>
      </w:r>
      <w:r w:rsidRPr="004424FC">
        <w:rPr>
          <w:rFonts w:ascii="Book Antiqua" w:hAnsi="Book Antiqua"/>
          <w:sz w:val="22"/>
          <w:szCs w:val="22"/>
        </w:rPr>
        <w:t>vú skupinu sa zameriava, ktor</w:t>
      </w:r>
      <w:r w:rsidRPr="004424FC" w:rsidR="0089650B">
        <w:rPr>
          <w:rFonts w:ascii="Book Antiqua" w:hAnsi="Book Antiqua"/>
          <w:sz w:val="22"/>
          <w:szCs w:val="22"/>
        </w:rPr>
        <w:t xml:space="preserve">é typy aktivít vykonáva a pod.) </w:t>
      </w:r>
      <w:r w:rsidRPr="004424FC" w:rsidR="0089650B">
        <w:rPr>
          <w:rFonts w:ascii="Book Antiqua" w:hAnsi="Book Antiqua"/>
          <w:iCs/>
          <w:sz w:val="22"/>
          <w:szCs w:val="22"/>
          <w:lang w:eastAsia="cs-CZ"/>
        </w:rPr>
        <w:t>a ich zverejnenie nie je v rozpore s osobitnými predpismi</w:t>
      </w:r>
      <w:r w:rsidRPr="004424FC" w:rsidR="0089650B">
        <w:rPr>
          <w:rFonts w:ascii="Book Antiqua" w:hAnsi="Book Antiqua"/>
          <w:sz w:val="22"/>
          <w:szCs w:val="22"/>
        </w:rPr>
        <w:t xml:space="preserve"> </w:t>
      </w:r>
      <w:r w:rsidRPr="004424FC">
        <w:rPr>
          <w:rFonts w:ascii="Book Antiqua" w:hAnsi="Book Antiqua"/>
          <w:sz w:val="22"/>
          <w:szCs w:val="22"/>
        </w:rPr>
        <w:t>(napr. zákon o ochrane osobných údajov), pričom nejde o povinne zapisovan</w:t>
      </w:r>
      <w:r w:rsidRPr="004424FC" w:rsidR="0089650B">
        <w:rPr>
          <w:rFonts w:ascii="Book Antiqua" w:hAnsi="Book Antiqua"/>
          <w:sz w:val="22"/>
          <w:szCs w:val="22"/>
        </w:rPr>
        <w:t>é</w:t>
      </w:r>
      <w:r w:rsidRPr="004424FC">
        <w:rPr>
          <w:rFonts w:ascii="Book Antiqua" w:hAnsi="Book Antiqua"/>
          <w:sz w:val="22"/>
          <w:szCs w:val="22"/>
        </w:rPr>
        <w:t xml:space="preserve"> údaj</w:t>
      </w:r>
      <w:r w:rsidRPr="004424FC" w:rsidR="0089650B">
        <w:rPr>
          <w:rFonts w:ascii="Book Antiqua" w:hAnsi="Book Antiqua"/>
          <w:sz w:val="22"/>
          <w:szCs w:val="22"/>
        </w:rPr>
        <w:t xml:space="preserve">e. V registri sociálnych podnikov sa zverejňujú aj </w:t>
      </w:r>
      <w:r w:rsidRPr="004424FC" w:rsidR="006B5F73">
        <w:rPr>
          <w:rFonts w:ascii="Book Antiqua" w:hAnsi="Book Antiqua"/>
          <w:sz w:val="22"/>
          <w:szCs w:val="22"/>
        </w:rPr>
        <w:t xml:space="preserve">ďalšie údaje, ak tak stanoví zákon o sociálnej ekonomike a sociálnych podnikoch (napr. zverejňovanie štvrťročných správ podľa bodu 3 - § 14a ods. 3 návrhu zákona). </w:t>
      </w:r>
    </w:p>
    <w:p w:rsidR="004A4ADF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401BC0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4424FC">
        <w:rPr>
          <w:rFonts w:ascii="Book Antiqua" w:hAnsi="Book Antiqua"/>
          <w:b/>
          <w:sz w:val="22"/>
          <w:szCs w:val="22"/>
        </w:rPr>
        <w:t>K Čl. II</w:t>
      </w:r>
    </w:p>
    <w:p w:rsidR="0051153F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424FC">
        <w:rPr>
          <w:rFonts w:ascii="Book Antiqua" w:hAnsi="Book Antiqua"/>
          <w:sz w:val="22"/>
          <w:szCs w:val="22"/>
          <w:u w:val="single"/>
        </w:rPr>
        <w:t>K</w:t>
      </w:r>
      <w:r w:rsidRPr="004424FC" w:rsidR="00384F99">
        <w:rPr>
          <w:rFonts w:ascii="Book Antiqua" w:hAnsi="Book Antiqua"/>
          <w:sz w:val="22"/>
          <w:szCs w:val="22"/>
          <w:u w:val="single"/>
        </w:rPr>
        <w:t> bodu 1</w:t>
      </w:r>
    </w:p>
    <w:p w:rsidR="001C63B3" w:rsidRPr="004424FC" w:rsidP="0008150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424FC">
        <w:rPr>
          <w:rFonts w:ascii="Book Antiqua" w:hAnsi="Book Antiqua"/>
          <w:sz w:val="22"/>
          <w:szCs w:val="22"/>
        </w:rPr>
        <w:t xml:space="preserve">Zákon o sociálnej ekonomike a sociálnych podnikoch novelizoval aj zákon o verejnom </w:t>
      </w:r>
      <w:r w:rsidRPr="004424FC" w:rsidR="00F46843">
        <w:rPr>
          <w:rFonts w:ascii="Book Antiqua" w:hAnsi="Book Antiqua"/>
          <w:sz w:val="22"/>
          <w:szCs w:val="22"/>
        </w:rPr>
        <w:t xml:space="preserve">obstarávaní </w:t>
      </w:r>
      <w:r w:rsidRPr="004424FC" w:rsidR="0094574E">
        <w:rPr>
          <w:rFonts w:ascii="Book Antiqua" w:hAnsi="Book Antiqua"/>
          <w:sz w:val="22"/>
          <w:szCs w:val="22"/>
        </w:rPr>
        <w:t xml:space="preserve">a s účinnosťou od 1. januára 2020 zaviedol povinnosť pre verejného obstarávateľa a obstarávateľa </w:t>
      </w:r>
      <w:r w:rsidRPr="004424FC" w:rsidR="0094574E">
        <w:rPr>
          <w:rFonts w:ascii="Book Antiqua" w:hAnsi="Book Antiqua" w:cs="Arial"/>
          <w:sz w:val="22"/>
          <w:szCs w:val="22"/>
          <w:shd w:val="clear" w:color="auto" w:fill="FFFFFF"/>
        </w:rPr>
        <w:t xml:space="preserve">najmenej v 6 % z verejných obstarávaní </w:t>
      </w:r>
      <w:r w:rsidR="00DF0B50">
        <w:rPr>
          <w:rFonts w:ascii="Book Antiqua" w:hAnsi="Book Antiqua" w:cs="Arial"/>
          <w:sz w:val="22"/>
          <w:szCs w:val="22"/>
          <w:shd w:val="clear" w:color="auto" w:fill="FFFFFF"/>
        </w:rPr>
        <w:t xml:space="preserve">v priebehu kalendárneho roka </w:t>
      </w:r>
      <w:r w:rsidRPr="004424FC" w:rsidR="0094574E">
        <w:rPr>
          <w:rFonts w:ascii="Book Antiqua" w:hAnsi="Book Antiqua" w:cs="Arial"/>
          <w:sz w:val="22"/>
          <w:szCs w:val="22"/>
          <w:shd w:val="clear" w:color="auto" w:fill="FFFFFF"/>
        </w:rPr>
        <w:t xml:space="preserve">použiť sociálne hľadisko v opise predmetu zákazky ako osobitnú podmienku plnenia zmluvy alebo ako kritérium na vyhodnotenie ponúk, ak v kalendárnom roku začal alebo realizoval najmenej desať verejných obstarávaní okrem zákaziek s nízkou hodnotou. Zámer zákonodarcu možno hodnotiť pozitívne, avšak ak má byť cieľom predovšetkým integrácia znevýhodnených osôb a zraniteľných osôb a pokles </w:t>
      </w:r>
      <w:r w:rsidRPr="004424FC" w:rsidR="006B5F73">
        <w:rPr>
          <w:rFonts w:ascii="Book Antiqua" w:hAnsi="Book Antiqua" w:cs="Arial"/>
          <w:sz w:val="22"/>
          <w:szCs w:val="22"/>
          <w:shd w:val="clear" w:color="auto" w:fill="FFFFFF"/>
        </w:rPr>
        <w:t xml:space="preserve">ich počtu </w:t>
      </w:r>
      <w:r w:rsidRPr="004424FC" w:rsidR="0094574E">
        <w:rPr>
          <w:rFonts w:ascii="Book Antiqua" w:hAnsi="Book Antiqua" w:cs="Arial"/>
          <w:sz w:val="22"/>
          <w:szCs w:val="22"/>
          <w:shd w:val="clear" w:color="auto" w:fill="FFFFFF"/>
        </w:rPr>
        <w:t>mimo trhu práce, je potrebné viazať stanovenú povinnosť okrem sociálneho hľadiska aj na</w:t>
      </w:r>
      <w:r w:rsidRPr="004424FC" w:rsidR="003F6A20">
        <w:rPr>
          <w:rFonts w:ascii="Book Antiqua" w:hAnsi="Book Antiqua" w:cs="Arial"/>
          <w:sz w:val="22"/>
          <w:szCs w:val="22"/>
          <w:shd w:val="clear" w:color="auto" w:fill="FFFFFF"/>
        </w:rPr>
        <w:t xml:space="preserve"> vyhradenie účasti vo verejnom obstarávaní pre</w:t>
      </w:r>
      <w:r w:rsidRPr="004424FC" w:rsidR="0094574E">
        <w:rPr>
          <w:rFonts w:ascii="Book Antiqua" w:hAnsi="Book Antiqua" w:cs="Arial"/>
          <w:sz w:val="22"/>
          <w:szCs w:val="22"/>
          <w:shd w:val="clear" w:color="auto" w:fill="FFFFFF"/>
        </w:rPr>
        <w:t xml:space="preserve"> registrované sociálne podniky, v ktorých sú znevýhodnené osoby a zraniteľné osoby </w:t>
      </w:r>
      <w:r w:rsidRPr="004424FC" w:rsidR="003F6A20">
        <w:rPr>
          <w:rFonts w:ascii="Book Antiqua" w:hAnsi="Book Antiqua" w:cs="Arial"/>
          <w:sz w:val="22"/>
          <w:szCs w:val="22"/>
          <w:shd w:val="clear" w:color="auto" w:fill="FFFFFF"/>
        </w:rPr>
        <w:t>primárne</w:t>
      </w:r>
      <w:r w:rsidRPr="004424FC" w:rsidR="0094574E">
        <w:rPr>
          <w:rFonts w:ascii="Book Antiqua" w:hAnsi="Book Antiqua" w:cs="Arial"/>
          <w:sz w:val="22"/>
          <w:szCs w:val="22"/>
          <w:shd w:val="clear" w:color="auto" w:fill="FFFFFF"/>
        </w:rPr>
        <w:t xml:space="preserve"> zamestnávané, t. j. integračné podniky (§ 12 zákona o sociálnej ekonomike a sociálnych podnikoch). Iné typy sociálnych aktivít sú podporované napr. vo forme vylúčenia z pôsobnosti zákona o verejnom obstarávaní (§ 1 </w:t>
      </w:r>
      <w:r w:rsidRPr="004424FC" w:rsidR="00656E15">
        <w:rPr>
          <w:rFonts w:ascii="Book Antiqua" w:hAnsi="Book Antiqua" w:cs="Arial"/>
          <w:sz w:val="22"/>
          <w:szCs w:val="22"/>
          <w:shd w:val="clear" w:color="auto" w:fill="FFFFFF"/>
        </w:rPr>
        <w:t>ods. 12 písm. v) a § 1 ods. 13)</w:t>
      </w:r>
      <w:r w:rsidRPr="004424FC" w:rsidR="005A28B9">
        <w:rPr>
          <w:rFonts w:ascii="Book Antiqua" w:hAnsi="Book Antiqua" w:cs="Arial"/>
          <w:sz w:val="22"/>
          <w:szCs w:val="22"/>
          <w:shd w:val="clear" w:color="auto" w:fill="FFFFFF"/>
        </w:rPr>
        <w:t xml:space="preserve"> alebo vyhradených zákaziek podľa § 36a, § 108 ods. 2 </w:t>
      </w:r>
      <w:r w:rsidRPr="004424FC" w:rsidR="00342C48">
        <w:rPr>
          <w:rFonts w:ascii="Book Antiqua" w:hAnsi="Book Antiqua" w:cs="Arial"/>
          <w:sz w:val="22"/>
          <w:szCs w:val="22"/>
          <w:shd w:val="clear" w:color="auto" w:fill="FFFFFF"/>
        </w:rPr>
        <w:t>a § 117 ods. 1 zákona o verejnom obstarávaní</w:t>
      </w:r>
      <w:r w:rsidRPr="004424FC" w:rsidR="00656E15">
        <w:rPr>
          <w:rFonts w:ascii="Book Antiqua" w:hAnsi="Book Antiqua" w:cs="Arial"/>
          <w:sz w:val="22"/>
          <w:szCs w:val="22"/>
          <w:shd w:val="clear" w:color="auto" w:fill="FFFFFF"/>
        </w:rPr>
        <w:t xml:space="preserve">. </w:t>
      </w:r>
      <w:r w:rsidRPr="004424FC" w:rsidR="0094574E">
        <w:rPr>
          <w:rFonts w:ascii="Book Antiqua" w:hAnsi="Book Antiqua" w:cs="Arial"/>
          <w:sz w:val="22"/>
          <w:szCs w:val="22"/>
          <w:shd w:val="clear" w:color="auto" w:fill="FFFFFF"/>
        </w:rPr>
        <w:t xml:space="preserve"> </w:t>
      </w:r>
    </w:p>
    <w:p w:rsidR="0051153F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424FC">
        <w:rPr>
          <w:rFonts w:ascii="Book Antiqua" w:hAnsi="Book Antiqua"/>
          <w:sz w:val="22"/>
          <w:szCs w:val="22"/>
          <w:u w:val="single"/>
        </w:rPr>
        <w:t xml:space="preserve">K bodom </w:t>
      </w:r>
      <w:r w:rsidRPr="004424FC" w:rsidR="0089650B">
        <w:rPr>
          <w:rFonts w:ascii="Book Antiqua" w:hAnsi="Book Antiqua"/>
          <w:sz w:val="22"/>
          <w:szCs w:val="22"/>
          <w:u w:val="single"/>
        </w:rPr>
        <w:t>2</w:t>
      </w:r>
      <w:r w:rsidRPr="004424FC">
        <w:rPr>
          <w:rFonts w:ascii="Book Antiqua" w:hAnsi="Book Antiqua"/>
          <w:sz w:val="22"/>
          <w:szCs w:val="22"/>
          <w:u w:val="single"/>
        </w:rPr>
        <w:t xml:space="preserve"> a</w:t>
      </w:r>
      <w:r w:rsidRPr="004424FC" w:rsidR="001C63B3">
        <w:rPr>
          <w:rFonts w:ascii="Book Antiqua" w:hAnsi="Book Antiqua"/>
          <w:sz w:val="22"/>
          <w:szCs w:val="22"/>
          <w:u w:val="single"/>
        </w:rPr>
        <w:t> </w:t>
      </w:r>
      <w:r w:rsidRPr="004424FC" w:rsidR="0089650B">
        <w:rPr>
          <w:rFonts w:ascii="Book Antiqua" w:hAnsi="Book Antiqua"/>
          <w:sz w:val="22"/>
          <w:szCs w:val="22"/>
          <w:u w:val="single"/>
        </w:rPr>
        <w:t>3</w:t>
      </w:r>
    </w:p>
    <w:p w:rsidR="001C63B3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424FC">
        <w:rPr>
          <w:rFonts w:ascii="Book Antiqua" w:hAnsi="Book Antiqua"/>
          <w:sz w:val="22"/>
          <w:szCs w:val="22"/>
        </w:rPr>
        <w:tab/>
      </w:r>
      <w:r w:rsidRPr="004424FC" w:rsidR="00342C48">
        <w:rPr>
          <w:rFonts w:ascii="Book Antiqua" w:hAnsi="Book Antiqua"/>
          <w:sz w:val="22"/>
          <w:szCs w:val="22"/>
        </w:rPr>
        <w:t>S poukazom na hlavný cieľ návrhu zákona, ktorým je uplatnenie znevýhodnených osôb a zraniteľných osôb na trhu práce zamestnávaných predovšetkým v registrovaných integračných sociálnych podnikov, sa navrhuje zúžiť okruh účastníkov- registrovaných sociálnych podnikov pri zadávaní vyhradených podlimitných zákaziek (ako i zákaziek s nízkou hodnotou podľa § 117 ods. 1 zákona o verejnom obstarávaní) na registrovaný integračný sociálny podnik. Obdobná úprava sa už v súčasnosti aplikuje v prípade vyhradených nadlimitných zákaziek podľa § 36a zákona o verejnom obstarávaní.</w:t>
      </w:r>
    </w:p>
    <w:p w:rsidR="0051153F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424FC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4424FC" w:rsidR="0089650B">
        <w:rPr>
          <w:rFonts w:ascii="Book Antiqua" w:hAnsi="Book Antiqua"/>
          <w:sz w:val="22"/>
          <w:szCs w:val="22"/>
          <w:u w:val="single"/>
        </w:rPr>
        <w:t>4</w:t>
      </w:r>
    </w:p>
    <w:p w:rsidR="0051153F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424FC">
        <w:rPr>
          <w:rFonts w:ascii="Book Antiqua" w:hAnsi="Book Antiqua"/>
          <w:sz w:val="22"/>
          <w:szCs w:val="22"/>
        </w:rPr>
        <w:tab/>
        <w:t>Zákon o sociálnej ekonomike a sociálnych podnikoch rieši problematiku dlhodobo nezamestnaných a</w:t>
      </w:r>
      <w:r w:rsidRPr="004424FC" w:rsidR="006B5F73">
        <w:rPr>
          <w:rFonts w:ascii="Book Antiqua" w:hAnsi="Book Antiqua"/>
          <w:sz w:val="22"/>
          <w:szCs w:val="22"/>
        </w:rPr>
        <w:t> možnosti i</w:t>
      </w:r>
      <w:r w:rsidRPr="004424FC">
        <w:rPr>
          <w:rFonts w:ascii="Book Antiqua" w:hAnsi="Book Antiqua"/>
          <w:sz w:val="22"/>
          <w:szCs w:val="22"/>
        </w:rPr>
        <w:t xml:space="preserve">ch </w:t>
      </w:r>
      <w:r w:rsidRPr="004424FC" w:rsidR="006B5F73">
        <w:rPr>
          <w:rFonts w:ascii="Book Antiqua" w:hAnsi="Book Antiqua"/>
          <w:sz w:val="22"/>
          <w:szCs w:val="22"/>
        </w:rPr>
        <w:t>uplatnenia</w:t>
      </w:r>
      <w:r w:rsidRPr="004424FC">
        <w:rPr>
          <w:rFonts w:ascii="Book Antiqua" w:hAnsi="Book Antiqua"/>
          <w:sz w:val="22"/>
          <w:szCs w:val="22"/>
        </w:rPr>
        <w:t xml:space="preserve"> na trhu práce. </w:t>
      </w:r>
      <w:r w:rsidRPr="004424FC" w:rsidR="001C63B3">
        <w:rPr>
          <w:rFonts w:ascii="Book Antiqua" w:hAnsi="Book Antiqua"/>
          <w:sz w:val="22"/>
          <w:szCs w:val="22"/>
        </w:rPr>
        <w:t xml:space="preserve">Dôsledné uplatnenie povinnosti stanovenej pre verejného obstarávateľa a obstarávateľa podľa § 10 ods. 7 </w:t>
      </w:r>
      <w:r w:rsidRPr="004424FC" w:rsidR="0089650B">
        <w:rPr>
          <w:rFonts w:ascii="Book Antiqua" w:hAnsi="Book Antiqua"/>
          <w:sz w:val="22"/>
          <w:szCs w:val="22"/>
        </w:rPr>
        <w:t>návrhu zákona</w:t>
      </w:r>
      <w:r w:rsidRPr="004424FC" w:rsidR="001C63B3">
        <w:rPr>
          <w:rFonts w:ascii="Book Antiqua" w:hAnsi="Book Antiqua"/>
          <w:sz w:val="22"/>
          <w:szCs w:val="22"/>
        </w:rPr>
        <w:t xml:space="preserve"> bude účinné len v prípade, ak povinnosti bude zodpovedať príslušná sankcia. Dohľad nad plnen</w:t>
      </w:r>
      <w:r w:rsidR="00DF0B50">
        <w:rPr>
          <w:rFonts w:ascii="Book Antiqua" w:hAnsi="Book Antiqua"/>
          <w:sz w:val="22"/>
          <w:szCs w:val="22"/>
        </w:rPr>
        <w:t xml:space="preserve">ím povinnosti podľa § 10 ods. 7 </w:t>
      </w:r>
      <w:r w:rsidRPr="004424FC" w:rsidR="00384F99">
        <w:rPr>
          <w:rFonts w:ascii="Book Antiqua" w:hAnsi="Book Antiqua"/>
          <w:sz w:val="22"/>
          <w:szCs w:val="22"/>
        </w:rPr>
        <w:t xml:space="preserve">návrhu </w:t>
      </w:r>
      <w:r w:rsidRPr="004424FC" w:rsidR="001C63B3">
        <w:rPr>
          <w:rFonts w:ascii="Book Antiqua" w:hAnsi="Book Antiqua"/>
          <w:sz w:val="22"/>
          <w:szCs w:val="22"/>
        </w:rPr>
        <w:t xml:space="preserve">zákona vykonáva Úrad </w:t>
      </w:r>
      <w:r w:rsidRPr="004424FC" w:rsidR="00572C41">
        <w:rPr>
          <w:rFonts w:ascii="Book Antiqua" w:hAnsi="Book Antiqua"/>
          <w:sz w:val="22"/>
          <w:szCs w:val="22"/>
        </w:rPr>
        <w:t>pre verejné obstarávanie</w:t>
      </w:r>
      <w:r w:rsidRPr="004424FC" w:rsidR="001C63B3">
        <w:rPr>
          <w:rFonts w:ascii="Book Antiqua" w:hAnsi="Book Antiqua"/>
          <w:sz w:val="22"/>
          <w:szCs w:val="22"/>
        </w:rPr>
        <w:t xml:space="preserve"> </w:t>
      </w:r>
      <w:r w:rsidRPr="004424FC" w:rsidR="006B5F73">
        <w:rPr>
          <w:rFonts w:ascii="Book Antiqua" w:hAnsi="Book Antiqua"/>
          <w:sz w:val="22"/>
          <w:szCs w:val="22"/>
        </w:rPr>
        <w:t xml:space="preserve">a </w:t>
      </w:r>
      <w:r w:rsidRPr="004424FC" w:rsidR="001C63B3">
        <w:rPr>
          <w:rFonts w:ascii="Book Antiqua" w:hAnsi="Book Antiqua"/>
          <w:sz w:val="22"/>
          <w:szCs w:val="22"/>
        </w:rPr>
        <w:t>v zmysle § 167 ods. 2 písm. c) zákona o verejnom obstarávaní ukladá pokuty za správne delikty - pokuta</w:t>
      </w:r>
      <w:r w:rsidRPr="004424FC" w:rsidR="001C63B3">
        <w:rPr>
          <w:rFonts w:ascii="Book Antiqua" w:hAnsi="Book Antiqua" w:cs="Arial"/>
          <w:sz w:val="22"/>
          <w:szCs w:val="22"/>
          <w:shd w:val="clear" w:color="auto" w:fill="FFFFFF"/>
        </w:rPr>
        <w:t xml:space="preserve"> od 500 eur do 30 000 eur za porušenie povinnosti podľa § 10 </w:t>
      </w:r>
      <w:r w:rsidR="00DF0B50">
        <w:rPr>
          <w:rFonts w:ascii="Book Antiqua" w:hAnsi="Book Antiqua" w:cs="Arial"/>
          <w:sz w:val="22"/>
          <w:szCs w:val="22"/>
          <w:shd w:val="clear" w:color="auto" w:fill="FFFFFF"/>
        </w:rPr>
        <w:t xml:space="preserve">  </w:t>
      </w:r>
      <w:r w:rsidRPr="004424FC" w:rsidR="001C63B3">
        <w:rPr>
          <w:rFonts w:ascii="Book Antiqua" w:hAnsi="Book Antiqua" w:cs="Arial"/>
          <w:sz w:val="22"/>
          <w:szCs w:val="22"/>
          <w:shd w:val="clear" w:color="auto" w:fill="FFFFFF"/>
        </w:rPr>
        <w:t xml:space="preserve">ods. 7 </w:t>
      </w:r>
      <w:r w:rsidRPr="004424FC" w:rsidR="001C63B3">
        <w:rPr>
          <w:rFonts w:ascii="Book Antiqua" w:hAnsi="Book Antiqua"/>
          <w:sz w:val="22"/>
          <w:szCs w:val="22"/>
        </w:rPr>
        <w:t>zákona o verejnom obstarávaní.</w:t>
      </w:r>
    </w:p>
    <w:p w:rsidR="00C852F2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424FC">
        <w:rPr>
          <w:rFonts w:ascii="Book Antiqua" w:hAnsi="Book Antiqua"/>
          <w:sz w:val="22"/>
          <w:szCs w:val="22"/>
        </w:rPr>
        <w:tab/>
      </w:r>
    </w:p>
    <w:p w:rsidR="00C852F2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4424FC">
        <w:rPr>
          <w:rFonts w:ascii="Book Antiqua" w:hAnsi="Book Antiqua"/>
          <w:b/>
          <w:sz w:val="22"/>
          <w:szCs w:val="22"/>
        </w:rPr>
        <w:t>K Čl. III</w:t>
      </w:r>
    </w:p>
    <w:p w:rsidR="00401BC0" w:rsidRPr="004424FC" w:rsidP="00081509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424FC">
        <w:rPr>
          <w:rFonts w:ascii="Book Antiqua" w:hAnsi="Book Antiqua"/>
          <w:sz w:val="22"/>
          <w:szCs w:val="22"/>
        </w:rPr>
        <w:t>Navrhuje sa účinnosť predkladaného zákona so zohľadnením legisvakančnej lehoty</w:t>
      </w:r>
      <w:r w:rsidRPr="004424FC" w:rsidR="00664A22">
        <w:rPr>
          <w:rFonts w:ascii="Book Antiqua" w:hAnsi="Book Antiqua"/>
          <w:sz w:val="22"/>
          <w:szCs w:val="22"/>
        </w:rPr>
        <w:t xml:space="preserve">, </w:t>
      </w:r>
      <w:r w:rsidRPr="004424FC">
        <w:rPr>
          <w:rFonts w:ascii="Book Antiqua" w:hAnsi="Book Antiqua"/>
          <w:sz w:val="22"/>
          <w:szCs w:val="22"/>
        </w:rPr>
        <w:t>a to od</w:t>
      </w:r>
      <w:r w:rsidRPr="004424FC" w:rsidR="00E7314D">
        <w:rPr>
          <w:rFonts w:ascii="Book Antiqua" w:hAnsi="Book Antiqua"/>
          <w:sz w:val="22"/>
          <w:szCs w:val="22"/>
        </w:rPr>
        <w:t xml:space="preserve"> 1. novembra 2018.</w:t>
      </w:r>
      <w:r w:rsidRPr="004424FC" w:rsidR="0051153F">
        <w:rPr>
          <w:rFonts w:ascii="Book Antiqua" w:hAnsi="Book Antiqua"/>
          <w:sz w:val="22"/>
          <w:szCs w:val="22"/>
        </w:rPr>
        <w:t xml:space="preserve"> Návrh zákona stanovuje delenú účinnos</w:t>
      </w:r>
      <w:r w:rsidRPr="004424FC" w:rsidR="003918E0">
        <w:rPr>
          <w:rFonts w:ascii="Book Antiqua" w:hAnsi="Book Antiqua"/>
          <w:sz w:val="22"/>
          <w:szCs w:val="22"/>
        </w:rPr>
        <w:t>ť vo vzťahu k Čl. II bodom 1 a 4</w:t>
      </w:r>
      <w:r w:rsidRPr="004424FC" w:rsidR="0051153F">
        <w:rPr>
          <w:rFonts w:ascii="Book Antiqua" w:hAnsi="Book Antiqua"/>
          <w:sz w:val="22"/>
          <w:szCs w:val="22"/>
        </w:rPr>
        <w:t xml:space="preserve"> návrhu zákona, ktoré nadobúdajú účinnosť 1. januára 2020 (účinnosť </w:t>
      </w:r>
      <w:r w:rsidR="00DF0B50">
        <w:rPr>
          <w:rFonts w:ascii="Book Antiqua" w:hAnsi="Book Antiqua"/>
          <w:sz w:val="22"/>
          <w:szCs w:val="22"/>
        </w:rPr>
        <w:t xml:space="preserve">totožná s účinnosťou </w:t>
      </w:r>
      <w:r w:rsidRPr="004424FC" w:rsidR="0051153F">
        <w:rPr>
          <w:rFonts w:ascii="Book Antiqua" w:hAnsi="Book Antiqua"/>
          <w:sz w:val="22"/>
          <w:szCs w:val="22"/>
        </w:rPr>
        <w:t xml:space="preserve">Čl. XVIII piateho bodu zákona o sociálnej ekonomike a sociálnych podnikoch). </w:t>
      </w:r>
    </w:p>
    <w:p w:rsidR="00401BC0" w:rsidRPr="004424FC" w:rsidP="00081509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424FC" w:rsidR="00A06D10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4424FC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401BC0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F5399E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highlight w:val="yellow"/>
        </w:rPr>
      </w:pPr>
      <w:r w:rsidRPr="004424FC" w:rsidR="00401BC0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4424FC" w:rsidR="00401BC0">
        <w:rPr>
          <w:rFonts w:ascii="Book Antiqua" w:hAnsi="Book Antiqua"/>
          <w:sz w:val="22"/>
          <w:szCs w:val="22"/>
        </w:rPr>
        <w:t xml:space="preserve"> </w:t>
      </w:r>
      <w:r w:rsidRPr="004424FC" w:rsidR="00472E74">
        <w:rPr>
          <w:rFonts w:ascii="Book Antiqua" w:hAnsi="Book Antiqua"/>
          <w:sz w:val="22"/>
          <w:szCs w:val="22"/>
        </w:rPr>
        <w:t>skupina poslancov</w:t>
      </w:r>
      <w:r w:rsidRPr="004424FC" w:rsidR="00401BC0">
        <w:rPr>
          <w:rFonts w:ascii="Book Antiqua" w:hAnsi="Book Antiqua"/>
          <w:sz w:val="22"/>
          <w:szCs w:val="22"/>
        </w:rPr>
        <w:t xml:space="preserve"> Národnej rady Slovenskej republiky </w:t>
      </w:r>
    </w:p>
    <w:p w:rsidR="00401BC0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424FC">
        <w:rPr>
          <w:rFonts w:ascii="Book Antiqua" w:hAnsi="Book Antiqua"/>
          <w:sz w:val="22"/>
          <w:szCs w:val="22"/>
        </w:rPr>
        <w:t> </w:t>
      </w:r>
    </w:p>
    <w:p w:rsidR="00A61020" w:rsidRPr="004424FC" w:rsidP="00081509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424FC" w:rsidR="00401BC0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4424FC" w:rsidR="00401BC0">
        <w:rPr>
          <w:rFonts w:ascii="Book Antiqua" w:hAnsi="Book Antiqua"/>
          <w:sz w:val="22"/>
          <w:szCs w:val="22"/>
        </w:rPr>
        <w:t xml:space="preserve"> návrh zákona, </w:t>
      </w:r>
      <w:r w:rsidRPr="004424FC">
        <w:rPr>
          <w:rFonts w:ascii="Book Antiqua" w:hAnsi="Book Antiqua"/>
          <w:sz w:val="22"/>
          <w:szCs w:val="22"/>
        </w:rPr>
        <w:t xml:space="preserve">ktorým sa mení a </w:t>
      </w:r>
      <w:r w:rsidRPr="004424FC">
        <w:rPr>
          <w:rFonts w:ascii="Book Antiqua" w:hAnsi="Book Antiqua"/>
          <w:bCs/>
          <w:sz w:val="22"/>
          <w:szCs w:val="22"/>
        </w:rPr>
        <w:t xml:space="preserve">dopĺňa zákon </w:t>
      </w:r>
      <w:r w:rsidRPr="004424FC" w:rsidR="00432CE4">
        <w:rPr>
          <w:rFonts w:ascii="Book Antiqua" w:hAnsi="Book Antiqua"/>
          <w:bCs/>
          <w:sz w:val="22"/>
          <w:szCs w:val="22"/>
        </w:rPr>
        <w:t xml:space="preserve"> č. 112/2018 Z. z. o sociálnej ekonomike a sociálnych podnikoch a o zmene a doplnení niektorých zákonov</w:t>
      </w:r>
      <w:r w:rsidRPr="004424FC" w:rsidR="004C108F">
        <w:rPr>
          <w:rFonts w:ascii="Book Antiqua" w:hAnsi="Book Antiqua"/>
          <w:bCs/>
          <w:sz w:val="22"/>
          <w:szCs w:val="22"/>
        </w:rPr>
        <w:t xml:space="preserve"> a ktorým sa mení a dopĺňa zákon č. 343/2015 Z. z. o verejnom obstarávaní a o zmene a doplnení niektorých zákonov v znení neskorších predpisov</w:t>
      </w:r>
    </w:p>
    <w:p w:rsidR="00FA4421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32C0E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424FC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4F27F8" w:rsidRPr="004424FC" w:rsidP="00081509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424FC" w:rsidR="00E32C0E">
        <w:rPr>
          <w:rFonts w:ascii="Book Antiqua" w:hAnsi="Book Antiqua"/>
          <w:bCs/>
          <w:sz w:val="22"/>
          <w:szCs w:val="22"/>
        </w:rPr>
        <w:t>je upravený v primárnom práve Európskej únie</w:t>
      </w:r>
      <w:r w:rsidRPr="004424FC" w:rsidR="00E32C0E">
        <w:rPr>
          <w:rFonts w:ascii="Book Antiqua" w:hAnsi="Book Antiqua"/>
          <w:sz w:val="22"/>
          <w:szCs w:val="22"/>
        </w:rPr>
        <w:t>,</w:t>
      </w:r>
      <w:r w:rsidRPr="004424FC" w:rsidR="00E32C0E">
        <w:rPr>
          <w:rFonts w:ascii="Book Antiqua" w:hAnsi="Book Antiqua"/>
          <w:bCs/>
          <w:sz w:val="22"/>
          <w:szCs w:val="22"/>
        </w:rPr>
        <w:t xml:space="preserve"> a</w:t>
      </w:r>
      <w:r w:rsidRPr="004424FC" w:rsidR="00350F28">
        <w:rPr>
          <w:rFonts w:ascii="Book Antiqua" w:hAnsi="Book Antiqua"/>
          <w:bCs/>
          <w:sz w:val="22"/>
          <w:szCs w:val="22"/>
        </w:rPr>
        <w:t> </w:t>
      </w:r>
      <w:r w:rsidRPr="004424FC" w:rsidR="00E32C0E">
        <w:rPr>
          <w:rFonts w:ascii="Book Antiqua" w:hAnsi="Book Antiqua"/>
          <w:bCs/>
          <w:sz w:val="22"/>
          <w:szCs w:val="22"/>
        </w:rPr>
        <w:t>to</w:t>
      </w:r>
      <w:r w:rsidRPr="004424FC">
        <w:rPr>
          <w:rFonts w:ascii="Book Antiqua" w:hAnsi="Book Antiqua"/>
          <w:sz w:val="22"/>
          <w:szCs w:val="22"/>
        </w:rPr>
        <w:t xml:space="preserve"> v čl. </w:t>
      </w:r>
      <w:r w:rsidRPr="004424FC" w:rsidR="00A238B6">
        <w:rPr>
          <w:rFonts w:ascii="Book Antiqua" w:hAnsi="Book Antiqua"/>
          <w:sz w:val="22"/>
          <w:szCs w:val="22"/>
        </w:rPr>
        <w:t>107 a 108</w:t>
      </w:r>
      <w:r w:rsidRPr="004424FC" w:rsidR="001A6C43">
        <w:rPr>
          <w:rFonts w:ascii="Book Antiqua" w:hAnsi="Book Antiqua"/>
          <w:sz w:val="22"/>
          <w:szCs w:val="22"/>
        </w:rPr>
        <w:t xml:space="preserve"> (</w:t>
      </w:r>
      <w:r w:rsidRPr="004424FC" w:rsidR="00A238B6">
        <w:rPr>
          <w:rFonts w:ascii="Book Antiqua" w:hAnsi="Book Antiqua"/>
          <w:sz w:val="22"/>
          <w:szCs w:val="22"/>
        </w:rPr>
        <w:t>pomoc poskytovaná štátmi</w:t>
      </w:r>
      <w:r w:rsidRPr="004424FC" w:rsidR="001A6C43">
        <w:rPr>
          <w:rFonts w:ascii="Book Antiqua" w:hAnsi="Book Antiqua"/>
          <w:sz w:val="22"/>
          <w:szCs w:val="22"/>
        </w:rPr>
        <w:t>)</w:t>
      </w:r>
      <w:r w:rsidRPr="004424FC">
        <w:rPr>
          <w:rFonts w:ascii="Book Antiqua" w:hAnsi="Book Antiqua"/>
          <w:sz w:val="22"/>
          <w:szCs w:val="22"/>
        </w:rPr>
        <w:t xml:space="preserve"> Zmluvy o fungovaní Európskej únie (Ú. v. EÚ C </w:t>
      </w:r>
      <w:r w:rsidRPr="004424FC" w:rsidR="00A238B6">
        <w:rPr>
          <w:rFonts w:ascii="Book Antiqua" w:hAnsi="Book Antiqua"/>
          <w:sz w:val="22"/>
          <w:szCs w:val="22"/>
        </w:rPr>
        <w:t>326</w:t>
      </w:r>
      <w:r w:rsidRPr="004424FC">
        <w:rPr>
          <w:rFonts w:ascii="Book Antiqua" w:hAnsi="Book Antiqua"/>
          <w:sz w:val="22"/>
          <w:szCs w:val="22"/>
        </w:rPr>
        <w:t xml:space="preserve">, </w:t>
      </w:r>
      <w:r w:rsidRPr="004424FC" w:rsidR="00A238B6">
        <w:rPr>
          <w:rFonts w:ascii="Book Antiqua" w:hAnsi="Book Antiqua"/>
          <w:sz w:val="22"/>
          <w:szCs w:val="22"/>
        </w:rPr>
        <w:t>26</w:t>
      </w:r>
      <w:r w:rsidRPr="004424FC">
        <w:rPr>
          <w:rFonts w:ascii="Book Antiqua" w:hAnsi="Book Antiqua"/>
          <w:sz w:val="22"/>
          <w:szCs w:val="22"/>
        </w:rPr>
        <w:t xml:space="preserve">. </w:t>
      </w:r>
      <w:r w:rsidRPr="004424FC" w:rsidR="00A238B6">
        <w:rPr>
          <w:rFonts w:ascii="Book Antiqua" w:hAnsi="Book Antiqua"/>
          <w:sz w:val="22"/>
          <w:szCs w:val="22"/>
        </w:rPr>
        <w:t>10.</w:t>
      </w:r>
      <w:r w:rsidR="00DF0B50">
        <w:rPr>
          <w:rFonts w:ascii="Book Antiqua" w:hAnsi="Book Antiqua"/>
          <w:sz w:val="22"/>
          <w:szCs w:val="22"/>
        </w:rPr>
        <w:t xml:space="preserve"> </w:t>
      </w:r>
      <w:r w:rsidRPr="004424FC">
        <w:rPr>
          <w:rFonts w:ascii="Book Antiqua" w:hAnsi="Book Antiqua"/>
          <w:sz w:val="22"/>
          <w:szCs w:val="22"/>
        </w:rPr>
        <w:t>201</w:t>
      </w:r>
      <w:r w:rsidRPr="004424FC" w:rsidR="00A238B6">
        <w:rPr>
          <w:rFonts w:ascii="Book Antiqua" w:hAnsi="Book Antiqua"/>
          <w:sz w:val="22"/>
          <w:szCs w:val="22"/>
        </w:rPr>
        <w:t>2, s.</w:t>
      </w:r>
      <w:r w:rsidR="00DF0B50">
        <w:rPr>
          <w:rFonts w:ascii="Book Antiqua" w:hAnsi="Book Antiqua"/>
          <w:sz w:val="22"/>
          <w:szCs w:val="22"/>
        </w:rPr>
        <w:t xml:space="preserve"> </w:t>
      </w:r>
      <w:r w:rsidRPr="004424FC" w:rsidR="00A238B6">
        <w:rPr>
          <w:rFonts w:ascii="Book Antiqua" w:hAnsi="Book Antiqua"/>
          <w:sz w:val="22"/>
          <w:szCs w:val="22"/>
        </w:rPr>
        <w:t>1-390</w:t>
      </w:r>
      <w:r w:rsidRPr="004424FC">
        <w:rPr>
          <w:rFonts w:ascii="Book Antiqua" w:hAnsi="Book Antiqua"/>
          <w:sz w:val="22"/>
          <w:szCs w:val="22"/>
        </w:rPr>
        <w:t>)</w:t>
      </w:r>
      <w:r w:rsidRPr="004424FC" w:rsidR="008E2E0C">
        <w:rPr>
          <w:rFonts w:ascii="Book Antiqua" w:hAnsi="Book Antiqua" w:cs="Lucida Sans Unicode"/>
          <w:iCs/>
          <w:sz w:val="22"/>
          <w:szCs w:val="22"/>
        </w:rPr>
        <w:t>,</w:t>
      </w:r>
    </w:p>
    <w:p w:rsidR="00E32C0E" w:rsidRPr="004424FC" w:rsidP="00081509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424FC">
        <w:rPr>
          <w:rFonts w:ascii="Book Antiqua" w:hAnsi="Book Antiqua"/>
          <w:bCs/>
          <w:sz w:val="22"/>
          <w:szCs w:val="22"/>
        </w:rPr>
        <w:t>je upravený v sekundárnom práve Európskej únie, a to v:</w:t>
      </w:r>
    </w:p>
    <w:p w:rsidR="00A238B6" w:rsidRPr="004424FC" w:rsidP="00081509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Style w:val="Strong"/>
          <w:rFonts w:ascii="Book Antiqua" w:hAnsi="Book Antiqua"/>
          <w:bCs/>
          <w:sz w:val="22"/>
          <w:szCs w:val="22"/>
        </w:rPr>
      </w:pPr>
      <w:r w:rsidRPr="004424FC" w:rsidR="002C04A6">
        <w:rPr>
          <w:rStyle w:val="Strong"/>
          <w:rFonts w:ascii="Book Antiqua" w:hAnsi="Book Antiqua"/>
          <w:b w:val="0"/>
          <w:bCs/>
          <w:sz w:val="22"/>
          <w:szCs w:val="22"/>
        </w:rPr>
        <w:t>s</w:t>
      </w:r>
      <w:r w:rsidRPr="004424FC" w:rsidR="00E32C0E">
        <w:rPr>
          <w:rStyle w:val="Strong"/>
          <w:rFonts w:ascii="Book Antiqua" w:hAnsi="Book Antiqua"/>
          <w:b w:val="0"/>
          <w:bCs/>
          <w:sz w:val="22"/>
          <w:szCs w:val="22"/>
        </w:rPr>
        <w:t xml:space="preserve">mernici </w:t>
      </w:r>
      <w:r w:rsidRPr="004424FC">
        <w:rPr>
          <w:rFonts w:ascii="Book Antiqua" w:hAnsi="Book Antiqua"/>
          <w:iCs/>
          <w:sz w:val="22"/>
          <w:szCs w:val="22"/>
        </w:rPr>
        <w:t>Európskeho parlamentu a Rady 2014/24/EÚ o verejnom obstarávaní a o zrušení smernice 2004/18/ES (Ú. v. EÚ L 94, 28.3.2014</w:t>
      </w:r>
      <w:r w:rsidRPr="004424FC" w:rsidR="00466CAE">
        <w:rPr>
          <w:rFonts w:ascii="Book Antiqua" w:hAnsi="Book Antiqua"/>
          <w:iCs/>
          <w:sz w:val="22"/>
          <w:szCs w:val="22"/>
        </w:rPr>
        <w:t>, s. 65-242</w:t>
      </w:r>
      <w:r w:rsidRPr="004424FC">
        <w:rPr>
          <w:rFonts w:ascii="Book Antiqua" w:hAnsi="Book Antiqua"/>
          <w:iCs/>
          <w:sz w:val="22"/>
          <w:szCs w:val="22"/>
        </w:rPr>
        <w:t>) v platnom znení</w:t>
      </w:r>
      <w:r w:rsidRPr="004424FC" w:rsidR="00C37F05">
        <w:rPr>
          <w:rFonts w:ascii="Book Antiqua" w:hAnsi="Book Antiqua"/>
          <w:iCs/>
          <w:sz w:val="22"/>
          <w:szCs w:val="22"/>
        </w:rPr>
        <w:t xml:space="preserve"> v čl. 23, 36, 37, 40, 92, 93 preambul</w:t>
      </w:r>
      <w:r w:rsidRPr="004424FC" w:rsidR="00FA4421">
        <w:rPr>
          <w:rFonts w:ascii="Book Antiqua" w:hAnsi="Book Antiqua"/>
          <w:iCs/>
          <w:sz w:val="22"/>
          <w:szCs w:val="22"/>
        </w:rPr>
        <w:t>y</w:t>
      </w:r>
      <w:r w:rsidRPr="004424FC" w:rsidR="00C37F05">
        <w:rPr>
          <w:rFonts w:ascii="Book Antiqua" w:hAnsi="Book Antiqua"/>
          <w:iCs/>
          <w:sz w:val="22"/>
          <w:szCs w:val="22"/>
        </w:rPr>
        <w:t xml:space="preserve">, v čl. 20 (vyhradené zákazky), </w:t>
      </w:r>
      <w:r w:rsidRPr="004424FC" w:rsidR="00A46EE2">
        <w:rPr>
          <w:rFonts w:ascii="Book Antiqua" w:hAnsi="Book Antiqua"/>
          <w:iCs/>
          <w:sz w:val="22"/>
          <w:szCs w:val="22"/>
        </w:rPr>
        <w:t xml:space="preserve">čl. 43 (značky), </w:t>
      </w:r>
      <w:r w:rsidRPr="004424FC" w:rsidR="00C37F05">
        <w:rPr>
          <w:rFonts w:ascii="Book Antiqua" w:hAnsi="Book Antiqua"/>
          <w:iCs/>
          <w:sz w:val="22"/>
          <w:szCs w:val="22"/>
        </w:rPr>
        <w:t>čl. 67 (kritériá na vyhodnotenie ponúk)</w:t>
      </w:r>
      <w:r w:rsidRPr="004424FC" w:rsidR="00FA4421">
        <w:rPr>
          <w:rFonts w:ascii="Book Antiqua" w:hAnsi="Book Antiqua"/>
          <w:iCs/>
          <w:sz w:val="22"/>
          <w:szCs w:val="22"/>
        </w:rPr>
        <w:t xml:space="preserve"> a</w:t>
      </w:r>
      <w:r w:rsidRPr="004424FC" w:rsidR="00C37F05">
        <w:rPr>
          <w:rFonts w:ascii="Book Antiqua" w:hAnsi="Book Antiqua"/>
          <w:iCs/>
          <w:sz w:val="22"/>
          <w:szCs w:val="22"/>
        </w:rPr>
        <w:t xml:space="preserve"> čl. 70 (podmienky plnenia zákaziek), </w:t>
      </w:r>
    </w:p>
    <w:p w:rsidR="00E32C0E" w:rsidRPr="004424FC" w:rsidP="00081509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424FC" w:rsidR="00A238B6">
        <w:rPr>
          <w:rFonts w:ascii="Book Antiqua" w:hAnsi="Book Antiqua"/>
          <w:bCs/>
          <w:sz w:val="22"/>
          <w:szCs w:val="22"/>
        </w:rPr>
        <w:t xml:space="preserve">nie je </w:t>
      </w:r>
      <w:r w:rsidRPr="004424FC">
        <w:rPr>
          <w:rFonts w:ascii="Book Antiqua" w:hAnsi="Book Antiqua"/>
          <w:bCs/>
          <w:sz w:val="22"/>
          <w:szCs w:val="22"/>
        </w:rPr>
        <w:t xml:space="preserve"> obsiahnutý v judikatú</w:t>
      </w:r>
      <w:r w:rsidRPr="004424FC" w:rsidR="005F7169">
        <w:rPr>
          <w:rFonts w:ascii="Book Antiqua" w:hAnsi="Book Antiqua"/>
          <w:bCs/>
          <w:sz w:val="22"/>
          <w:szCs w:val="22"/>
        </w:rPr>
        <w:t>re Súdneho dvora Európskej únie.</w:t>
      </w:r>
    </w:p>
    <w:p w:rsidR="00FA4421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32C0E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424FC">
        <w:rPr>
          <w:rFonts w:ascii="Book Antiqua" w:hAnsi="Book Antiqua"/>
          <w:b/>
          <w:bCs/>
          <w:sz w:val="22"/>
          <w:szCs w:val="22"/>
        </w:rPr>
        <w:t>4. Záväzky Slovenskej republiky vo vzťahu k Európskej únii:</w:t>
      </w:r>
    </w:p>
    <w:p w:rsidR="00E32C0E" w:rsidRPr="004424FC" w:rsidP="00081509">
      <w:pPr>
        <w:pStyle w:val="NormalWeb"/>
        <w:numPr>
          <w:numId w:val="1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424FC" w:rsidR="00FA4421">
        <w:rPr>
          <w:rFonts w:ascii="Book Antiqua" w:hAnsi="Book Antiqua"/>
          <w:bCs/>
          <w:sz w:val="22"/>
          <w:szCs w:val="22"/>
        </w:rPr>
        <w:t xml:space="preserve">lehota na transpozíciu </w:t>
      </w:r>
      <w:r w:rsidRPr="004424FC" w:rsidR="004371E1">
        <w:rPr>
          <w:rStyle w:val="Strong"/>
          <w:rFonts w:ascii="Book Antiqua" w:hAnsi="Book Antiqua"/>
          <w:b w:val="0"/>
          <w:bCs/>
          <w:sz w:val="22"/>
          <w:szCs w:val="22"/>
        </w:rPr>
        <w:t xml:space="preserve">smernice </w:t>
      </w:r>
      <w:r w:rsidRPr="004424FC" w:rsidR="004371E1">
        <w:rPr>
          <w:rFonts w:ascii="Book Antiqua" w:hAnsi="Book Antiqua"/>
          <w:iCs/>
          <w:sz w:val="22"/>
          <w:szCs w:val="22"/>
        </w:rPr>
        <w:t>Európskeho parlamentu a Rady 2014/24/EÚ o verejnom obstarávaní a o zrušení smernice 2004/18/ES</w:t>
      </w:r>
      <w:r w:rsidRPr="004424FC">
        <w:rPr>
          <w:rFonts w:ascii="Book Antiqua" w:hAnsi="Book Antiqua"/>
          <w:bCs/>
          <w:sz w:val="22"/>
          <w:szCs w:val="22"/>
        </w:rPr>
        <w:t xml:space="preserve"> uplynula</w:t>
      </w:r>
      <w:r w:rsidRPr="004424FC" w:rsidR="007E7AAC">
        <w:rPr>
          <w:rFonts w:ascii="Book Antiqua" w:hAnsi="Book Antiqua"/>
          <w:bCs/>
          <w:sz w:val="22"/>
          <w:szCs w:val="22"/>
        </w:rPr>
        <w:t xml:space="preserve"> </w:t>
      </w:r>
      <w:r w:rsidRPr="004424FC" w:rsidR="004371E1">
        <w:rPr>
          <w:rFonts w:ascii="Book Antiqua" w:hAnsi="Book Antiqua"/>
          <w:bCs/>
          <w:sz w:val="22"/>
          <w:szCs w:val="22"/>
        </w:rPr>
        <w:t>18. apríla 2016</w:t>
      </w:r>
      <w:r w:rsidR="00DF0B50">
        <w:rPr>
          <w:rFonts w:ascii="Book Antiqua" w:hAnsi="Book Antiqua"/>
          <w:bCs/>
          <w:sz w:val="22"/>
          <w:szCs w:val="22"/>
        </w:rPr>
        <w:t xml:space="preserve"> a v tejto lehote bola transponovaná do právnych predpisov uvedených v písmene c)</w:t>
      </w:r>
      <w:r w:rsidRPr="004424FC" w:rsidR="007E7AAC">
        <w:rPr>
          <w:rFonts w:ascii="Book Antiqua" w:hAnsi="Book Antiqua"/>
          <w:bCs/>
          <w:sz w:val="22"/>
          <w:szCs w:val="22"/>
        </w:rPr>
        <w:t>,</w:t>
      </w:r>
    </w:p>
    <w:p w:rsidR="00E32C0E" w:rsidRPr="004424FC" w:rsidP="00081509">
      <w:pPr>
        <w:pStyle w:val="NormalWeb"/>
        <w:numPr>
          <w:numId w:val="1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424FC">
        <w:rPr>
          <w:rFonts w:ascii="Book Antiqua" w:hAnsi="Book Antiqua"/>
          <w:bCs/>
          <w:sz w:val="22"/>
          <w:szCs w:val="22"/>
        </w:rPr>
        <w:t>v danej oblasti nebol proti Slovenskej republike začatý postup Európskej komisie a ani konanie Súdneho dvora Európskej únie podľa článkov 258 až 260 Zmluvy o fungovaní Európskej únie,</w:t>
      </w:r>
    </w:p>
    <w:p w:rsidR="007E7AAC" w:rsidRPr="004424FC" w:rsidP="00081509">
      <w:pPr>
        <w:pStyle w:val="NormalWeb"/>
        <w:numPr>
          <w:numId w:val="1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424FC">
        <w:rPr>
          <w:rFonts w:ascii="Book Antiqua" w:hAnsi="Book Antiqua"/>
          <w:bCs/>
          <w:sz w:val="22"/>
          <w:szCs w:val="22"/>
        </w:rPr>
        <w:t>smernic</w:t>
      </w:r>
      <w:r w:rsidRPr="004424FC" w:rsidR="00FA4421">
        <w:rPr>
          <w:rFonts w:ascii="Book Antiqua" w:hAnsi="Book Antiqua"/>
          <w:bCs/>
          <w:sz w:val="22"/>
          <w:szCs w:val="22"/>
        </w:rPr>
        <w:t>a</w:t>
      </w:r>
      <w:r w:rsidRPr="004424FC">
        <w:rPr>
          <w:rFonts w:ascii="Book Antiqua" w:hAnsi="Book Antiqua"/>
          <w:bCs/>
          <w:sz w:val="22"/>
          <w:szCs w:val="22"/>
        </w:rPr>
        <w:t xml:space="preserve"> </w:t>
      </w:r>
      <w:r w:rsidRPr="004424FC" w:rsidR="00E32C0E">
        <w:rPr>
          <w:rFonts w:ascii="Book Antiqua" w:hAnsi="Book Antiqua"/>
          <w:bCs/>
          <w:sz w:val="22"/>
          <w:szCs w:val="22"/>
        </w:rPr>
        <w:t>bol</w:t>
      </w:r>
      <w:r w:rsidRPr="004424FC" w:rsidR="00FA4421">
        <w:rPr>
          <w:rFonts w:ascii="Book Antiqua" w:hAnsi="Book Antiqua"/>
          <w:bCs/>
          <w:sz w:val="22"/>
          <w:szCs w:val="22"/>
        </w:rPr>
        <w:t>a</w:t>
      </w:r>
      <w:r w:rsidRPr="004424FC" w:rsidR="00E32C0E">
        <w:rPr>
          <w:rFonts w:ascii="Book Antiqua" w:hAnsi="Book Antiqua"/>
          <w:bCs/>
          <w:sz w:val="22"/>
          <w:szCs w:val="22"/>
        </w:rPr>
        <w:t xml:space="preserve"> prebrat</w:t>
      </w:r>
      <w:r w:rsidRPr="004424FC" w:rsidR="00FA4421">
        <w:rPr>
          <w:rFonts w:ascii="Book Antiqua" w:hAnsi="Book Antiqua"/>
          <w:bCs/>
          <w:sz w:val="22"/>
          <w:szCs w:val="22"/>
        </w:rPr>
        <w:t>á</w:t>
      </w:r>
      <w:r w:rsidRPr="004424FC" w:rsidR="00E32C0E">
        <w:rPr>
          <w:rFonts w:ascii="Book Antiqua" w:hAnsi="Book Antiqua"/>
          <w:bCs/>
          <w:sz w:val="22"/>
          <w:szCs w:val="22"/>
        </w:rPr>
        <w:t xml:space="preserve"> do týchto právnych predpisov:</w:t>
      </w:r>
    </w:p>
    <w:p w:rsidR="009F3848" w:rsidRPr="004424FC" w:rsidP="00081509">
      <w:pPr>
        <w:pStyle w:val="NormalWeb"/>
        <w:numPr>
          <w:numId w:val="14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DF0B50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4424FC">
        <w:rPr>
          <w:rFonts w:ascii="Book Antiqua" w:hAnsi="Book Antiqua" w:cs="Lucida Sans Unicode"/>
          <w:sz w:val="22"/>
          <w:szCs w:val="22"/>
          <w:bdr w:val="nil"/>
        </w:rPr>
        <w:t>ákon č. 343/2015 Z. z. o verejnom obstarávaní a o zmene a doplnení niektorých zákono</w:t>
      </w:r>
      <w:r w:rsidR="00DF0B50">
        <w:rPr>
          <w:rFonts w:ascii="Book Antiqua" w:hAnsi="Book Antiqua" w:cs="Lucida Sans Unicode"/>
          <w:sz w:val="22"/>
          <w:szCs w:val="22"/>
          <w:bdr w:val="nil"/>
        </w:rPr>
        <w:t>v v znení neskorších predpisov,</w:t>
      </w:r>
    </w:p>
    <w:p w:rsidR="009F3848" w:rsidRPr="004424FC" w:rsidP="00081509">
      <w:pPr>
        <w:pStyle w:val="NormalWeb"/>
        <w:numPr>
          <w:numId w:val="14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cs="Lucida Sans Unicode"/>
          <w:sz w:val="22"/>
          <w:szCs w:val="22"/>
          <w:bdr w:val="nil"/>
        </w:rPr>
      </w:pPr>
      <w:hyperlink r:id="rId5" w:history="1">
        <w:r w:rsidR="00DF0B50">
          <w:rPr>
            <w:rFonts w:ascii="Book Antiqua" w:hAnsi="Book Antiqua"/>
            <w:sz w:val="22"/>
            <w:szCs w:val="22"/>
          </w:rPr>
          <w:t>v</w:t>
        </w:r>
        <w:r w:rsidRPr="004424FC">
          <w:rPr>
            <w:rFonts w:ascii="Book Antiqua" w:hAnsi="Book Antiqua"/>
            <w:sz w:val="22"/>
            <w:szCs w:val="22"/>
          </w:rPr>
          <w:t>yhláška Úradu pre verejné obstarávanie č. 152/2016 Z. z., ktorou sa ustanovujú podrobnosti o oznámeniach používaných vo verejnom obstarávaní a o ich obsahu</w:t>
        </w:r>
      </w:hyperlink>
      <w:r w:rsidR="00DF0B50">
        <w:rPr>
          <w:rFonts w:ascii="Book Antiqua" w:hAnsi="Book Antiqua" w:cs="Lucida Sans Unicode"/>
          <w:sz w:val="22"/>
          <w:szCs w:val="22"/>
          <w:bdr w:val="nil"/>
        </w:rPr>
        <w:t>,</w:t>
      </w:r>
    </w:p>
    <w:p w:rsidR="00FA4421" w:rsidRPr="00DF0B50" w:rsidP="00081509">
      <w:pPr>
        <w:pStyle w:val="NormalWeb"/>
        <w:numPr>
          <w:numId w:val="14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cs="Lucida Sans Unicode"/>
          <w:sz w:val="22"/>
          <w:szCs w:val="22"/>
          <w:bdr w:val="nil"/>
        </w:rPr>
      </w:pPr>
      <w:hyperlink r:id="rId6" w:history="1">
        <w:r w:rsidR="00DF0B50">
          <w:rPr>
            <w:rFonts w:ascii="Book Antiqua" w:hAnsi="Book Antiqua"/>
            <w:sz w:val="22"/>
            <w:szCs w:val="22"/>
          </w:rPr>
          <w:t>v</w:t>
        </w:r>
        <w:r w:rsidRPr="004424FC" w:rsidR="009F3848">
          <w:rPr>
            <w:rFonts w:ascii="Book Antiqua" w:hAnsi="Book Antiqua"/>
            <w:sz w:val="22"/>
            <w:szCs w:val="22"/>
          </w:rPr>
          <w:t>yhláška Úradu pre verejné obstarávanie č. 118/2018 Z. z., ktorou sa ustanovuje finančný limit pre nadlimitnú zákazku, finančný limit pre nadlimitnú koncesiu a finančný limit pri súťaži návrhov</w:t>
        </w:r>
      </w:hyperlink>
      <w:r w:rsidRPr="004424FC" w:rsidR="005F7169">
        <w:rPr>
          <w:rFonts w:ascii="Book Antiqua" w:hAnsi="Book Antiqua" w:cs="Lucida Sans Unicode"/>
          <w:sz w:val="22"/>
          <w:szCs w:val="22"/>
          <w:bdr w:val="nil"/>
        </w:rPr>
        <w:t>.</w:t>
      </w:r>
    </w:p>
    <w:p w:rsidR="00E32C0E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424FC">
        <w:rPr>
          <w:rFonts w:ascii="Book Antiqua" w:hAnsi="Book Antiqua"/>
          <w:b/>
          <w:bCs/>
          <w:sz w:val="22"/>
          <w:szCs w:val="22"/>
        </w:rPr>
        <w:t>5. Návrh zákona je zlučiteľný s právom Európskej únie</w:t>
      </w:r>
    </w:p>
    <w:p w:rsidR="002A08FD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424FC" w:rsidR="002C04A6">
        <w:rPr>
          <w:rFonts w:ascii="Book Antiqua" w:hAnsi="Book Antiqua"/>
          <w:bCs/>
          <w:sz w:val="22"/>
          <w:szCs w:val="22"/>
        </w:rPr>
        <w:t xml:space="preserve">- </w:t>
      </w:r>
      <w:r w:rsidRPr="004424FC" w:rsidR="009F3848">
        <w:rPr>
          <w:rFonts w:ascii="Book Antiqua" w:hAnsi="Book Antiqua"/>
          <w:bCs/>
          <w:sz w:val="22"/>
          <w:szCs w:val="22"/>
        </w:rPr>
        <w:t>úplný</w:t>
      </w:r>
      <w:r w:rsidRPr="004424FC" w:rsidR="00E32C0E">
        <w:rPr>
          <w:rFonts w:ascii="Book Antiqua" w:hAnsi="Book Antiqua"/>
          <w:bCs/>
          <w:sz w:val="22"/>
          <w:szCs w:val="22"/>
        </w:rPr>
        <w:t>.</w:t>
      </w:r>
    </w:p>
    <w:p w:rsidR="00401BC0" w:rsidRPr="004424FC" w:rsidP="00081509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4424FC" w:rsidR="002A08FD">
        <w:rPr>
          <w:rFonts w:ascii="Book Antiqua" w:hAnsi="Book Antiqua"/>
          <w:bCs/>
          <w:sz w:val="22"/>
          <w:szCs w:val="22"/>
        </w:rPr>
        <w:br w:type="page"/>
      </w:r>
      <w:r w:rsidRPr="004424FC">
        <w:rPr>
          <w:rFonts w:ascii="Book Antiqua" w:hAnsi="Book Antiqua"/>
          <w:b/>
          <w:bCs/>
          <w:caps/>
          <w:spacing w:val="30"/>
          <w:sz w:val="22"/>
          <w:szCs w:val="22"/>
        </w:rPr>
        <w:t>Doložka</w:t>
      </w:r>
    </w:p>
    <w:p w:rsidR="00401BC0" w:rsidRPr="004424FC" w:rsidP="00081509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424FC">
        <w:rPr>
          <w:rFonts w:ascii="Book Antiqua" w:hAnsi="Book Antiqua"/>
          <w:b/>
          <w:bCs/>
          <w:sz w:val="22"/>
          <w:szCs w:val="22"/>
        </w:rPr>
        <w:t>vybraných vplyvov</w:t>
      </w:r>
    </w:p>
    <w:p w:rsidR="00401BC0" w:rsidRPr="004424FC" w:rsidP="00081509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4424FC">
        <w:rPr>
          <w:rFonts w:ascii="Book Antiqua" w:hAnsi="Book Antiqua"/>
          <w:sz w:val="22"/>
          <w:szCs w:val="22"/>
        </w:rPr>
        <w:t> </w:t>
      </w:r>
    </w:p>
    <w:p w:rsidR="00401BC0" w:rsidRPr="004424FC" w:rsidP="0008150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424FC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4424FC">
        <w:rPr>
          <w:rFonts w:ascii="Book Antiqua" w:hAnsi="Book Antiqua"/>
          <w:bCs/>
          <w:sz w:val="22"/>
          <w:szCs w:val="22"/>
        </w:rPr>
        <w:t>n</w:t>
      </w:r>
      <w:r w:rsidRPr="004424FC">
        <w:rPr>
          <w:rFonts w:ascii="Book Antiqua" w:hAnsi="Book Antiqua"/>
          <w:sz w:val="22"/>
          <w:szCs w:val="22"/>
        </w:rPr>
        <w:t xml:space="preserve">ávrh zákona, </w:t>
      </w:r>
      <w:r w:rsidRPr="004424FC" w:rsidR="00A61020">
        <w:rPr>
          <w:rFonts w:ascii="Book Antiqua" w:hAnsi="Book Antiqua"/>
          <w:sz w:val="22"/>
          <w:szCs w:val="22"/>
        </w:rPr>
        <w:t xml:space="preserve">ktorým sa mení a </w:t>
      </w:r>
      <w:r w:rsidRPr="004424FC" w:rsidR="00A61020">
        <w:rPr>
          <w:rFonts w:ascii="Book Antiqua" w:hAnsi="Book Antiqua"/>
          <w:bCs/>
          <w:sz w:val="22"/>
          <w:szCs w:val="22"/>
        </w:rPr>
        <w:t xml:space="preserve">dopĺňa zákon </w:t>
      </w:r>
      <w:r w:rsidRPr="004424FC" w:rsidR="00432CE4">
        <w:rPr>
          <w:rFonts w:ascii="Book Antiqua" w:hAnsi="Book Antiqua"/>
          <w:bCs/>
          <w:sz w:val="22"/>
          <w:szCs w:val="22"/>
        </w:rPr>
        <w:t>č. 112/2018 Z. z. o sociálnej ekonomike a sociálnych podnikoch a o zmene a doplnení niektorých zákonov</w:t>
      </w:r>
      <w:r w:rsidRPr="004424FC" w:rsidR="004C108F">
        <w:rPr>
          <w:rFonts w:ascii="Book Antiqua" w:hAnsi="Book Antiqua"/>
          <w:bCs/>
          <w:sz w:val="22"/>
          <w:szCs w:val="22"/>
        </w:rPr>
        <w:t xml:space="preserve"> a ktorým sa mení a dopĺňa zákon č. 343/2015 Z. z. o verejnom obstarávaní a o zmene a doplnení niektorých zákonov v znení neskorších predpisov</w:t>
      </w:r>
    </w:p>
    <w:p w:rsidR="002C04A6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01BC0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424FC">
        <w:rPr>
          <w:rFonts w:ascii="Book Antiqua" w:hAnsi="Book Antiqua"/>
          <w:b/>
          <w:bCs/>
          <w:sz w:val="22"/>
          <w:szCs w:val="22"/>
        </w:rPr>
        <w:t>Termín začatia a ukončenia PPK:</w:t>
      </w:r>
      <w:r w:rsidRPr="004424FC">
        <w:rPr>
          <w:rFonts w:ascii="Book Antiqua" w:hAnsi="Book Antiqua"/>
          <w:sz w:val="22"/>
          <w:szCs w:val="22"/>
        </w:rPr>
        <w:t xml:space="preserve"> </w:t>
      </w:r>
      <w:r w:rsidRPr="004424FC">
        <w:rPr>
          <w:rFonts w:ascii="Book Antiqua" w:hAnsi="Book Antiqua"/>
          <w:i/>
          <w:iCs/>
          <w:sz w:val="22"/>
          <w:szCs w:val="22"/>
        </w:rPr>
        <w:t>bezpredmetné</w:t>
      </w:r>
    </w:p>
    <w:p w:rsidR="00401BC0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424FC">
        <w:rPr>
          <w:rFonts w:ascii="Book Antiqua" w:hAnsi="Book Antiqua"/>
          <w:b/>
          <w:bCs/>
          <w:sz w:val="22"/>
          <w:szCs w:val="22"/>
        </w:rPr>
        <w:t> </w:t>
      </w:r>
    </w:p>
    <w:p w:rsidR="00401BC0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424FC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Style w:val="TableNormal"/>
        <w:tblW w:w="5000" w:type="pct"/>
        <w:tblInd w:w="2" w:type="dxa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424FC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424FC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424FC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424FC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424FC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424FC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424FC" w:rsidR="00432CE4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424FC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424FC" w:rsidR="00F94A0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  <w:highlight w:val="yellow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424FC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424FC" w:rsidR="00A6102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rPr>
          <w:trHeight w:val="441"/>
        </w:trPr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424FC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424FC" w:rsidR="00F94A0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424FC">
              <w:rPr>
                <w:rFonts w:ascii="Book Antiqua" w:hAnsi="Book Antiqua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424FC" w:rsidR="00E32C0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424FC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424FC">
              <w:rPr>
                <w:rFonts w:ascii="Book Antiqua" w:hAnsi="Book Antiqua"/>
                <w:sz w:val="22"/>
                <w:szCs w:val="22"/>
              </w:rPr>
              <w:t> </w:t>
            </w:r>
            <w:r w:rsidRPr="004424FC" w:rsidR="00E32C0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424FC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424FC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424FC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424FC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424FC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424FC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424FC" w:rsidR="00432CE4">
              <w:rPr>
                <w:rFonts w:ascii="Book Antiqua" w:hAnsi="Book Antiqua"/>
                <w:sz w:val="22"/>
                <w:szCs w:val="22"/>
              </w:rPr>
              <w:t>x</w:t>
            </w:r>
            <w:r w:rsidRPr="004424FC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424FC" w:rsidP="0008150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424FC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:rsidR="002C04A6" w:rsidRPr="004424FC" w:rsidP="00081509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4424FC" w:rsidR="00401BC0">
        <w:rPr>
          <w:rFonts w:ascii="Book Antiqua" w:hAnsi="Book Antiqua"/>
          <w:sz w:val="22"/>
          <w:szCs w:val="22"/>
        </w:rPr>
        <w:t> </w:t>
      </w:r>
    </w:p>
    <w:p w:rsidR="00401BC0" w:rsidRPr="004424FC" w:rsidP="00081509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sz w:val="22"/>
          <w:szCs w:val="22"/>
        </w:rPr>
      </w:pPr>
      <w:r w:rsidRPr="004424FC">
        <w:rPr>
          <w:rFonts w:ascii="Book Antiqua" w:hAnsi="Book Antiqua"/>
          <w:b/>
          <w:bCs/>
          <w:sz w:val="22"/>
          <w:szCs w:val="22"/>
        </w:rPr>
        <w:t>A.3. Poznámky</w:t>
      </w:r>
    </w:p>
    <w:p w:rsidR="00F94A05" w:rsidRPr="004424FC" w:rsidP="00DF0B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4424FC" w:rsidR="00E32C0E">
        <w:rPr>
          <w:rFonts w:ascii="Book Antiqua" w:hAnsi="Book Antiqua"/>
          <w:i/>
          <w:sz w:val="22"/>
          <w:szCs w:val="22"/>
        </w:rPr>
        <w:t>Návrh zákona vyvoláva pozitívne s</w:t>
      </w:r>
      <w:r w:rsidR="00DF0B50">
        <w:rPr>
          <w:rFonts w:ascii="Book Antiqua" w:hAnsi="Book Antiqua"/>
          <w:i/>
          <w:sz w:val="22"/>
          <w:szCs w:val="22"/>
        </w:rPr>
        <w:t>ociálne vplyvy, najmä s ohľadom na povinnosť</w:t>
      </w:r>
      <w:r w:rsidRPr="004424FC">
        <w:rPr>
          <w:rFonts w:ascii="Book Antiqua" w:hAnsi="Book Antiqua"/>
          <w:i/>
          <w:sz w:val="22"/>
          <w:szCs w:val="22"/>
        </w:rPr>
        <w:t xml:space="preserve"> zapojiť do verejného obstarávania registrované integ</w:t>
      </w:r>
      <w:r w:rsidR="00DF0B50">
        <w:rPr>
          <w:rFonts w:ascii="Book Antiqua" w:hAnsi="Book Antiqua"/>
          <w:i/>
          <w:sz w:val="22"/>
          <w:szCs w:val="22"/>
        </w:rPr>
        <w:t>račné sociálne podniky a tiež na možnosť</w:t>
      </w:r>
      <w:r w:rsidRPr="004424FC" w:rsidR="00E32C0E">
        <w:rPr>
          <w:rFonts w:ascii="Book Antiqua" w:hAnsi="Book Antiqua"/>
          <w:i/>
          <w:sz w:val="22"/>
          <w:szCs w:val="22"/>
        </w:rPr>
        <w:t xml:space="preserve"> </w:t>
      </w:r>
      <w:r w:rsidRPr="004424FC">
        <w:rPr>
          <w:rFonts w:ascii="Book Antiqua" w:hAnsi="Book Antiqua"/>
          <w:i/>
          <w:sz w:val="22"/>
          <w:szCs w:val="22"/>
        </w:rPr>
        <w:t>realizovať verejné obstarávanie ako vyhradené zákazky, pretože takáto úprava bude mať pozitívny vplyv na hospodárenie dotknutých domácností v podobe zvýšenia disponibilných príjmov. Domácnosti s členom domácnosti, ktorý je nezamestnaný a zároveň znevýhodnený na trhu práce alebo patrí medzi zraniteľné skupiny obyvateľstva a zamestná sa v sociálnom podniku, ktorý sa bude môcť ľahšie zapojiť do verejného obstarávania</w:t>
      </w:r>
      <w:r w:rsidR="00DF0B50">
        <w:rPr>
          <w:rFonts w:ascii="Book Antiqua" w:hAnsi="Book Antiqua"/>
          <w:i/>
          <w:sz w:val="22"/>
          <w:szCs w:val="22"/>
        </w:rPr>
        <w:t>, pocítia pozitívny vplyv návrhu zákona na ich príjmy (hospodárenie obyvateľstva)</w:t>
      </w:r>
      <w:r w:rsidRPr="004424FC">
        <w:rPr>
          <w:rFonts w:ascii="Book Antiqua" w:hAnsi="Book Antiqua"/>
          <w:i/>
          <w:sz w:val="22"/>
          <w:szCs w:val="22"/>
        </w:rPr>
        <w:t>. Zároveň sa eliminuje sociálna exklúzia osôb, ktoré možno označiť ako znevýhodnené alebo zraniteľné.</w:t>
      </w:r>
    </w:p>
    <w:p w:rsidR="00F94A05" w:rsidRPr="004424FC" w:rsidP="00DF0B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4424FC">
        <w:rPr>
          <w:rFonts w:ascii="Book Antiqua" w:hAnsi="Book Antiqua"/>
          <w:i/>
          <w:sz w:val="22"/>
          <w:szCs w:val="22"/>
        </w:rPr>
        <w:t>Predpokladá sa pozitívny vplyv na informatizáciu spoločnosti, a to z dôvodu rozšírenia údajov registra sociálnych podnikov a stanove</w:t>
      </w:r>
      <w:r w:rsidRPr="004424FC" w:rsidR="00FA4421">
        <w:rPr>
          <w:rFonts w:ascii="Book Antiqua" w:hAnsi="Book Antiqua"/>
          <w:i/>
          <w:sz w:val="22"/>
          <w:szCs w:val="22"/>
        </w:rPr>
        <w:t>nia</w:t>
      </w:r>
      <w:r w:rsidRPr="004424FC">
        <w:rPr>
          <w:rFonts w:ascii="Book Antiqua" w:hAnsi="Book Antiqua"/>
          <w:i/>
          <w:sz w:val="22"/>
          <w:szCs w:val="22"/>
        </w:rPr>
        <w:t xml:space="preserve"> jeho právnej záväznosti. </w:t>
      </w:r>
    </w:p>
    <w:p w:rsidR="00E32C0E" w:rsidRPr="004424FC" w:rsidP="00DF0B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4424FC">
        <w:rPr>
          <w:rFonts w:ascii="Book Antiqua" w:hAnsi="Book Antiqua"/>
          <w:i/>
          <w:sz w:val="22"/>
          <w:szCs w:val="22"/>
        </w:rPr>
        <w:t xml:space="preserve">Nepredpokladá sa dopad návrhu zákona </w:t>
      </w:r>
      <w:r w:rsidRPr="004424FC" w:rsidR="00F94A05">
        <w:rPr>
          <w:rFonts w:ascii="Book Antiqua" w:hAnsi="Book Antiqua"/>
          <w:i/>
          <w:sz w:val="22"/>
          <w:szCs w:val="22"/>
        </w:rPr>
        <w:t xml:space="preserve">rozpočet verejnej správy, na podnikateľské prostredie ani vplyv na </w:t>
      </w:r>
      <w:r w:rsidRPr="004424FC">
        <w:rPr>
          <w:rFonts w:ascii="Book Antiqua" w:hAnsi="Book Antiqua"/>
          <w:i/>
          <w:sz w:val="22"/>
          <w:szCs w:val="22"/>
        </w:rPr>
        <w:t xml:space="preserve">životné prostredie. </w:t>
      </w:r>
    </w:p>
    <w:p w:rsidR="00401BC0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bookmarkStart w:id="0" w:name="_GoBack"/>
      <w:bookmarkEnd w:id="0"/>
      <w:r w:rsidRPr="004424FC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:rsidR="00401BC0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4424FC">
        <w:rPr>
          <w:rFonts w:ascii="Book Antiqua" w:hAnsi="Book Antiqua"/>
          <w:i/>
          <w:iCs/>
          <w:sz w:val="22"/>
          <w:szCs w:val="22"/>
        </w:rPr>
        <w:t>bezpredmetné</w:t>
      </w:r>
    </w:p>
    <w:p w:rsidR="00401BC0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01BC0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424FC">
        <w:rPr>
          <w:rFonts w:ascii="Book Antiqua" w:hAnsi="Book Antiqua"/>
          <w:b/>
          <w:bCs/>
          <w:sz w:val="22"/>
          <w:szCs w:val="22"/>
        </w:rPr>
        <w:t>A.5. Stanovisko gestorov</w:t>
      </w:r>
    </w:p>
    <w:p w:rsidR="00401BC0" w:rsidRPr="004424FC" w:rsidP="0008150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4424FC">
        <w:rPr>
          <w:rFonts w:ascii="Book Antiqua" w:hAnsi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D829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ucida Sans Unicode">
    <w:panose1 w:val="00000000000000000000"/>
    <w:charset w:val="EE"/>
    <w:family w:val="swiss"/>
    <w:pitch w:val="variable"/>
    <w:sig w:usb0="00000000" w:usb1="00000000" w:usb2="00000000" w:usb3="00000000" w:csb0="000000B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258" w:rsidRPr="00D82961" w:rsidP="000C5A62">
    <w:pPr>
      <w:pStyle w:val="Footer"/>
      <w:framePr w:vAnchor="text" w:hAnchor="margin" w:xAlign="right"/>
      <w:bidi w:val="0"/>
      <w:rPr>
        <w:rStyle w:val="PageNumber"/>
        <w:rFonts w:ascii="Book Antiqua" w:hAnsi="Book Antiqua"/>
        <w:sz w:val="22"/>
        <w:szCs w:val="22"/>
      </w:rPr>
    </w:pPr>
    <w:r w:rsidRPr="00D82961">
      <w:rPr>
        <w:rStyle w:val="PageNumber"/>
        <w:rFonts w:ascii="Book Antiqua" w:hAnsi="Book Antiqua"/>
        <w:sz w:val="22"/>
        <w:szCs w:val="22"/>
      </w:rPr>
      <w:fldChar w:fldCharType="begin"/>
    </w:r>
    <w:r w:rsidRPr="00D82961">
      <w:rPr>
        <w:rStyle w:val="PageNumber"/>
        <w:rFonts w:ascii="Book Antiqua" w:hAnsi="Book Antiqua"/>
        <w:sz w:val="22"/>
        <w:szCs w:val="22"/>
      </w:rPr>
      <w:instrText xml:space="preserve">PAGE  </w:instrText>
    </w:r>
    <w:r w:rsidRPr="00D82961">
      <w:rPr>
        <w:rStyle w:val="PageNumber"/>
        <w:rFonts w:ascii="Book Antiqua" w:hAnsi="Book Antiqua"/>
        <w:sz w:val="22"/>
        <w:szCs w:val="22"/>
      </w:rPr>
      <w:fldChar w:fldCharType="separate"/>
    </w:r>
    <w:r w:rsidR="00F84CED">
      <w:rPr>
        <w:rStyle w:val="PageNumber"/>
        <w:rFonts w:ascii="Book Antiqua" w:hAnsi="Book Antiqua"/>
        <w:noProof/>
        <w:sz w:val="22"/>
        <w:szCs w:val="22"/>
      </w:rPr>
      <w:t>1</w:t>
    </w:r>
    <w:r w:rsidRPr="00D82961">
      <w:rPr>
        <w:rStyle w:val="PageNumber"/>
        <w:rFonts w:ascii="Book Antiqua" w:hAnsi="Book Antiqua"/>
        <w:sz w:val="22"/>
        <w:szCs w:val="22"/>
      </w:rPr>
      <w:fldChar w:fldCharType="end"/>
    </w:r>
  </w:p>
  <w:p w:rsidR="00230258" w:rsidP="00D82961">
    <w:pPr>
      <w:pStyle w:val="Footer"/>
      <w:bidi w:val="0"/>
      <w:ind w:right="360"/>
      <w:jc w:val="right"/>
      <w:rPr>
        <w:rFonts w:ascii="Times New Roman" w:hAnsi="Times New Roman"/>
      </w:rPr>
    </w:pPr>
  </w:p>
  <w:p w:rsidR="00230258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258">
    <w:pPr>
      <w:bidi w:val="0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left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000002"/>
    <w:multiLevelType w:val="hybridMultilevel"/>
    <w:tmpl w:val="B68CBE52"/>
    <w:lvl w:ilvl="0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0000004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left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left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02A11474"/>
    <w:multiLevelType w:val="hybridMultilevel"/>
    <w:tmpl w:val="D272E4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451445D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">
    <w:nsid w:val="0A261774"/>
    <w:multiLevelType w:val="hybridMultilevel"/>
    <w:tmpl w:val="FA88CD4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CA071A"/>
    <w:multiLevelType w:val="hybridMultilevel"/>
    <w:tmpl w:val="C98487F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1FDF76BF"/>
    <w:multiLevelType w:val="hybridMultilevel"/>
    <w:tmpl w:val="FF42295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EF2D5B"/>
    <w:multiLevelType w:val="hybridMultilevel"/>
    <w:tmpl w:val="65C255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34B52"/>
    <w:multiLevelType w:val="hybridMultilevel"/>
    <w:tmpl w:val="028AB61E"/>
    <w:lvl w:ilvl="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sz w:val="27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5E5194"/>
    <w:multiLevelType w:val="hybridMultilevel"/>
    <w:tmpl w:val="C2967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0E3A2B"/>
    <w:multiLevelType w:val="hybridMultilevel"/>
    <w:tmpl w:val="A176B3C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3">
    <w:nsid w:val="2483794B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2753522C"/>
    <w:multiLevelType w:val="hybridMultilevel"/>
    <w:tmpl w:val="734A616C"/>
    <w:lvl w:ilvl="0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6">
    <w:nsid w:val="2AEA0DCB"/>
    <w:multiLevelType w:val="hybridMultilevel"/>
    <w:tmpl w:val="BF4EA50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0B95C51"/>
    <w:multiLevelType w:val="hybridMultilevel"/>
    <w:tmpl w:val="E8021E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E4E795E"/>
    <w:multiLevelType w:val="hybridMultilevel"/>
    <w:tmpl w:val="A5FAD09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3100A1B"/>
    <w:multiLevelType w:val="hybridMultilevel"/>
    <w:tmpl w:val="EF80A038"/>
    <w:lvl w:ilvl="0">
      <w:start w:val="1"/>
      <w:numFmt w:val="lowerLetter"/>
      <w:lvlText w:val="%1)"/>
      <w:lvlJc w:val="left"/>
      <w:pPr>
        <w:ind w:left="157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9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1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3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5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7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9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1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35" w:hanging="180"/>
      </w:pPr>
      <w:rPr>
        <w:rFonts w:cs="Times New Roman"/>
        <w:rtl w:val="0"/>
        <w:cs w:val="0"/>
      </w:rPr>
    </w:lvl>
  </w:abstractNum>
  <w:abstractNum w:abstractNumId="21">
    <w:nsid w:val="7A74058F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5"/>
  </w:num>
  <w:num w:numId="9">
    <w:abstractNumId w:val="13"/>
  </w:num>
  <w:num w:numId="10">
    <w:abstractNumId w:val="19"/>
  </w:num>
  <w:num w:numId="11">
    <w:abstractNumId w:val="17"/>
  </w:num>
  <w:num w:numId="12">
    <w:abstractNumId w:val="18"/>
  </w:num>
  <w:num w:numId="13">
    <w:abstractNumId w:val="7"/>
  </w:num>
  <w:num w:numId="14">
    <w:abstractNumId w:val="12"/>
  </w:num>
  <w:num w:numId="15">
    <w:abstractNumId w:val="16"/>
  </w:num>
  <w:num w:numId="16">
    <w:abstractNumId w:val="9"/>
  </w:num>
  <w:num w:numId="17">
    <w:abstractNumId w:val="8"/>
  </w:num>
  <w:num w:numId="18">
    <w:abstractNumId w:val="4"/>
  </w:num>
  <w:num w:numId="19">
    <w:abstractNumId w:val="6"/>
  </w:num>
  <w:num w:numId="20">
    <w:abstractNumId w:val="10"/>
  </w:num>
  <w:num w:numId="21">
    <w:abstractNumId w:val="11"/>
  </w:num>
  <w:num w:numId="22">
    <w:abstractNumId w:val="20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/>
  <w:rsids>
    <w:rsidRoot w:val="00322B2C"/>
    <w:rsid w:val="000060E4"/>
    <w:rsid w:val="000108A3"/>
    <w:rsid w:val="00012EF0"/>
    <w:rsid w:val="00015689"/>
    <w:rsid w:val="0002339C"/>
    <w:rsid w:val="0002568E"/>
    <w:rsid w:val="00030666"/>
    <w:rsid w:val="000529D5"/>
    <w:rsid w:val="00055338"/>
    <w:rsid w:val="000622DE"/>
    <w:rsid w:val="00081509"/>
    <w:rsid w:val="0008193B"/>
    <w:rsid w:val="00086310"/>
    <w:rsid w:val="00092312"/>
    <w:rsid w:val="000956DB"/>
    <w:rsid w:val="00096AAC"/>
    <w:rsid w:val="000A0A58"/>
    <w:rsid w:val="000B0960"/>
    <w:rsid w:val="000B4CAE"/>
    <w:rsid w:val="000C5A62"/>
    <w:rsid w:val="000C76EB"/>
    <w:rsid w:val="000D3BFF"/>
    <w:rsid w:val="000E18EC"/>
    <w:rsid w:val="000E20A1"/>
    <w:rsid w:val="000E4E29"/>
    <w:rsid w:val="000F1130"/>
    <w:rsid w:val="000F5233"/>
    <w:rsid w:val="00116DFE"/>
    <w:rsid w:val="00117C68"/>
    <w:rsid w:val="00126DE2"/>
    <w:rsid w:val="00132C49"/>
    <w:rsid w:val="00147577"/>
    <w:rsid w:val="001600E0"/>
    <w:rsid w:val="00161A2D"/>
    <w:rsid w:val="00164A6B"/>
    <w:rsid w:val="0018286A"/>
    <w:rsid w:val="0018663C"/>
    <w:rsid w:val="00197FCE"/>
    <w:rsid w:val="001A6C43"/>
    <w:rsid w:val="001C1E94"/>
    <w:rsid w:val="001C63B3"/>
    <w:rsid w:val="001F31C0"/>
    <w:rsid w:val="001F3365"/>
    <w:rsid w:val="002013A4"/>
    <w:rsid w:val="00230258"/>
    <w:rsid w:val="002318BB"/>
    <w:rsid w:val="00236F3E"/>
    <w:rsid w:val="00237F87"/>
    <w:rsid w:val="00247514"/>
    <w:rsid w:val="00247FBC"/>
    <w:rsid w:val="00251CC5"/>
    <w:rsid w:val="0028373E"/>
    <w:rsid w:val="002844AA"/>
    <w:rsid w:val="002917C4"/>
    <w:rsid w:val="002A08FD"/>
    <w:rsid w:val="002A11AF"/>
    <w:rsid w:val="002C04A6"/>
    <w:rsid w:val="002C29C8"/>
    <w:rsid w:val="002E0307"/>
    <w:rsid w:val="002E0B07"/>
    <w:rsid w:val="002F0EC7"/>
    <w:rsid w:val="002F60E1"/>
    <w:rsid w:val="00314C54"/>
    <w:rsid w:val="00322B2C"/>
    <w:rsid w:val="00325F58"/>
    <w:rsid w:val="00331778"/>
    <w:rsid w:val="00342C48"/>
    <w:rsid w:val="00350F28"/>
    <w:rsid w:val="003567D0"/>
    <w:rsid w:val="00367040"/>
    <w:rsid w:val="00380A73"/>
    <w:rsid w:val="00383A02"/>
    <w:rsid w:val="00384F99"/>
    <w:rsid w:val="003918E0"/>
    <w:rsid w:val="0039772C"/>
    <w:rsid w:val="003A24D3"/>
    <w:rsid w:val="003A2C4E"/>
    <w:rsid w:val="003A356E"/>
    <w:rsid w:val="003D1619"/>
    <w:rsid w:val="003D34BB"/>
    <w:rsid w:val="003F6A20"/>
    <w:rsid w:val="00401BC0"/>
    <w:rsid w:val="00405310"/>
    <w:rsid w:val="00405ECC"/>
    <w:rsid w:val="00432CE4"/>
    <w:rsid w:val="004371E1"/>
    <w:rsid w:val="004424FC"/>
    <w:rsid w:val="004508F7"/>
    <w:rsid w:val="00452775"/>
    <w:rsid w:val="00453A8E"/>
    <w:rsid w:val="00456DF2"/>
    <w:rsid w:val="00461442"/>
    <w:rsid w:val="004648CC"/>
    <w:rsid w:val="00466CAE"/>
    <w:rsid w:val="00470806"/>
    <w:rsid w:val="00472E74"/>
    <w:rsid w:val="004838F8"/>
    <w:rsid w:val="00485384"/>
    <w:rsid w:val="00497D39"/>
    <w:rsid w:val="004A0FAE"/>
    <w:rsid w:val="004A4ADF"/>
    <w:rsid w:val="004A6B71"/>
    <w:rsid w:val="004B1F2E"/>
    <w:rsid w:val="004C108F"/>
    <w:rsid w:val="004C4805"/>
    <w:rsid w:val="004D77E2"/>
    <w:rsid w:val="004E11FA"/>
    <w:rsid w:val="004F241A"/>
    <w:rsid w:val="004F2546"/>
    <w:rsid w:val="004F27F8"/>
    <w:rsid w:val="004F3FCB"/>
    <w:rsid w:val="004F5039"/>
    <w:rsid w:val="0051153F"/>
    <w:rsid w:val="005341EB"/>
    <w:rsid w:val="00551EBE"/>
    <w:rsid w:val="00553823"/>
    <w:rsid w:val="005557B0"/>
    <w:rsid w:val="00571591"/>
    <w:rsid w:val="00572C41"/>
    <w:rsid w:val="00573F31"/>
    <w:rsid w:val="0059103B"/>
    <w:rsid w:val="00596668"/>
    <w:rsid w:val="005A28B9"/>
    <w:rsid w:val="005B04A2"/>
    <w:rsid w:val="005B1827"/>
    <w:rsid w:val="005B32DE"/>
    <w:rsid w:val="005C5FD8"/>
    <w:rsid w:val="005D7438"/>
    <w:rsid w:val="005F5A3E"/>
    <w:rsid w:val="005F7169"/>
    <w:rsid w:val="00610AE8"/>
    <w:rsid w:val="00610F9E"/>
    <w:rsid w:val="00615F19"/>
    <w:rsid w:val="00622B06"/>
    <w:rsid w:val="0064238A"/>
    <w:rsid w:val="00642B0A"/>
    <w:rsid w:val="00644AD1"/>
    <w:rsid w:val="00646EC2"/>
    <w:rsid w:val="00655D6C"/>
    <w:rsid w:val="00656E15"/>
    <w:rsid w:val="00657413"/>
    <w:rsid w:val="0065786E"/>
    <w:rsid w:val="00664A22"/>
    <w:rsid w:val="00682D58"/>
    <w:rsid w:val="006A0F0F"/>
    <w:rsid w:val="006A1C1A"/>
    <w:rsid w:val="006A7CFA"/>
    <w:rsid w:val="006B5F73"/>
    <w:rsid w:val="006D1277"/>
    <w:rsid w:val="006D476C"/>
    <w:rsid w:val="006D6F93"/>
    <w:rsid w:val="006E740A"/>
    <w:rsid w:val="006F4306"/>
    <w:rsid w:val="006F69DA"/>
    <w:rsid w:val="00701EDA"/>
    <w:rsid w:val="00703111"/>
    <w:rsid w:val="0070319D"/>
    <w:rsid w:val="00703F44"/>
    <w:rsid w:val="00730A60"/>
    <w:rsid w:val="0073371B"/>
    <w:rsid w:val="00735999"/>
    <w:rsid w:val="00744E14"/>
    <w:rsid w:val="007450D7"/>
    <w:rsid w:val="00784842"/>
    <w:rsid w:val="00791EF6"/>
    <w:rsid w:val="00795CAA"/>
    <w:rsid w:val="00797861"/>
    <w:rsid w:val="007E7AAC"/>
    <w:rsid w:val="0080704B"/>
    <w:rsid w:val="00827133"/>
    <w:rsid w:val="00833079"/>
    <w:rsid w:val="00840136"/>
    <w:rsid w:val="00851077"/>
    <w:rsid w:val="00870B16"/>
    <w:rsid w:val="00891FAF"/>
    <w:rsid w:val="0089650B"/>
    <w:rsid w:val="008A396F"/>
    <w:rsid w:val="008C1446"/>
    <w:rsid w:val="008E2E0C"/>
    <w:rsid w:val="00910D1F"/>
    <w:rsid w:val="00912561"/>
    <w:rsid w:val="00914037"/>
    <w:rsid w:val="0091412D"/>
    <w:rsid w:val="0091537B"/>
    <w:rsid w:val="00916862"/>
    <w:rsid w:val="0094574E"/>
    <w:rsid w:val="00946341"/>
    <w:rsid w:val="00970E16"/>
    <w:rsid w:val="00970F11"/>
    <w:rsid w:val="009A5009"/>
    <w:rsid w:val="009B4DCD"/>
    <w:rsid w:val="009C2886"/>
    <w:rsid w:val="009D019C"/>
    <w:rsid w:val="009D740B"/>
    <w:rsid w:val="009E038D"/>
    <w:rsid w:val="009E654F"/>
    <w:rsid w:val="009E6883"/>
    <w:rsid w:val="009E71BB"/>
    <w:rsid w:val="009F3848"/>
    <w:rsid w:val="009F3A00"/>
    <w:rsid w:val="009F3D4C"/>
    <w:rsid w:val="00A06BEA"/>
    <w:rsid w:val="00A06D10"/>
    <w:rsid w:val="00A11F9E"/>
    <w:rsid w:val="00A12B54"/>
    <w:rsid w:val="00A149CB"/>
    <w:rsid w:val="00A16005"/>
    <w:rsid w:val="00A238B6"/>
    <w:rsid w:val="00A46EE2"/>
    <w:rsid w:val="00A61020"/>
    <w:rsid w:val="00A645E1"/>
    <w:rsid w:val="00A70ABC"/>
    <w:rsid w:val="00A7681F"/>
    <w:rsid w:val="00A76F81"/>
    <w:rsid w:val="00AB41DC"/>
    <w:rsid w:val="00AC1BF6"/>
    <w:rsid w:val="00AC5CFD"/>
    <w:rsid w:val="00AE40BE"/>
    <w:rsid w:val="00AE471D"/>
    <w:rsid w:val="00AF1500"/>
    <w:rsid w:val="00AF1BB6"/>
    <w:rsid w:val="00AF7FF0"/>
    <w:rsid w:val="00B1085C"/>
    <w:rsid w:val="00B17506"/>
    <w:rsid w:val="00B177E5"/>
    <w:rsid w:val="00B318AD"/>
    <w:rsid w:val="00B33098"/>
    <w:rsid w:val="00B354A5"/>
    <w:rsid w:val="00B44AD3"/>
    <w:rsid w:val="00B6244B"/>
    <w:rsid w:val="00B7029B"/>
    <w:rsid w:val="00B750C3"/>
    <w:rsid w:val="00B7703C"/>
    <w:rsid w:val="00B82A5B"/>
    <w:rsid w:val="00B831C9"/>
    <w:rsid w:val="00BA0270"/>
    <w:rsid w:val="00BE6770"/>
    <w:rsid w:val="00BF7CA8"/>
    <w:rsid w:val="00BF7CEC"/>
    <w:rsid w:val="00C0011A"/>
    <w:rsid w:val="00C00605"/>
    <w:rsid w:val="00C00B00"/>
    <w:rsid w:val="00C00EF4"/>
    <w:rsid w:val="00C10D5D"/>
    <w:rsid w:val="00C12AC4"/>
    <w:rsid w:val="00C17AAC"/>
    <w:rsid w:val="00C348CB"/>
    <w:rsid w:val="00C37F05"/>
    <w:rsid w:val="00C466DF"/>
    <w:rsid w:val="00C5385E"/>
    <w:rsid w:val="00C55540"/>
    <w:rsid w:val="00C66B0C"/>
    <w:rsid w:val="00C67A0C"/>
    <w:rsid w:val="00C84C48"/>
    <w:rsid w:val="00C852F2"/>
    <w:rsid w:val="00C953AC"/>
    <w:rsid w:val="00C9749D"/>
    <w:rsid w:val="00CA38C1"/>
    <w:rsid w:val="00CA64A3"/>
    <w:rsid w:val="00CB6982"/>
    <w:rsid w:val="00CC55A2"/>
    <w:rsid w:val="00CC775E"/>
    <w:rsid w:val="00CD5C80"/>
    <w:rsid w:val="00CE12F3"/>
    <w:rsid w:val="00CE6280"/>
    <w:rsid w:val="00CF7CB8"/>
    <w:rsid w:val="00D01DB1"/>
    <w:rsid w:val="00D02C54"/>
    <w:rsid w:val="00D151D6"/>
    <w:rsid w:val="00D260BB"/>
    <w:rsid w:val="00D276DD"/>
    <w:rsid w:val="00D31B56"/>
    <w:rsid w:val="00D42FBB"/>
    <w:rsid w:val="00D82676"/>
    <w:rsid w:val="00D82961"/>
    <w:rsid w:val="00D82A20"/>
    <w:rsid w:val="00D86BF6"/>
    <w:rsid w:val="00D92B5C"/>
    <w:rsid w:val="00D9617F"/>
    <w:rsid w:val="00DA220A"/>
    <w:rsid w:val="00DA2C0D"/>
    <w:rsid w:val="00DA2DBD"/>
    <w:rsid w:val="00DB0A24"/>
    <w:rsid w:val="00DC47BF"/>
    <w:rsid w:val="00DC58F8"/>
    <w:rsid w:val="00DE412F"/>
    <w:rsid w:val="00DE42CC"/>
    <w:rsid w:val="00DE466C"/>
    <w:rsid w:val="00DE7F17"/>
    <w:rsid w:val="00DF0B50"/>
    <w:rsid w:val="00DF212E"/>
    <w:rsid w:val="00E11632"/>
    <w:rsid w:val="00E24697"/>
    <w:rsid w:val="00E32C0E"/>
    <w:rsid w:val="00E34024"/>
    <w:rsid w:val="00E34F61"/>
    <w:rsid w:val="00E4488A"/>
    <w:rsid w:val="00E7314D"/>
    <w:rsid w:val="00E77E23"/>
    <w:rsid w:val="00EB4937"/>
    <w:rsid w:val="00ED1BEE"/>
    <w:rsid w:val="00ED3C18"/>
    <w:rsid w:val="00EE652D"/>
    <w:rsid w:val="00EE7CE9"/>
    <w:rsid w:val="00EF7E77"/>
    <w:rsid w:val="00F04E08"/>
    <w:rsid w:val="00F135B9"/>
    <w:rsid w:val="00F16311"/>
    <w:rsid w:val="00F21D50"/>
    <w:rsid w:val="00F22FB7"/>
    <w:rsid w:val="00F26CEA"/>
    <w:rsid w:val="00F30741"/>
    <w:rsid w:val="00F369BA"/>
    <w:rsid w:val="00F40294"/>
    <w:rsid w:val="00F403E7"/>
    <w:rsid w:val="00F46843"/>
    <w:rsid w:val="00F5399E"/>
    <w:rsid w:val="00F64B19"/>
    <w:rsid w:val="00F754CE"/>
    <w:rsid w:val="00F84CED"/>
    <w:rsid w:val="00F94A05"/>
    <w:rsid w:val="00FA4421"/>
    <w:rsid w:val="00FC19F3"/>
    <w:rsid w:val="00FD0DC4"/>
    <w:rsid w:val="00FD7532"/>
    <w:rsid w:val="00FD764B"/>
    <w:rsid w:val="00FE1D6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Normal (Web)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B1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F64B1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64B19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F64B19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rsid w:val="00F64B19"/>
    <w:pPr>
      <w:jc w:val="both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F64B19"/>
    <w:rPr>
      <w:rFonts w:ascii="Times New Roman" w:hAnsi="Times New Roman" w:cs="Times New Roman"/>
      <w:sz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F64B19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64B19"/>
    <w:rPr>
      <w:rFonts w:ascii="Times New Roman" w:hAnsi="Times New Roman" w:cs="Times New Roman"/>
      <w:sz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rsid w:val="00F64B19"/>
    <w:rPr>
      <w:rFonts w:cs="Times New Roman"/>
      <w:color w:val="0000FF"/>
      <w:u w:val="single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F64B19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F64B19"/>
    <w:rPr>
      <w:rFonts w:ascii="Times New Roman" w:hAnsi="Times New Roman" w:cs="Times New Roman"/>
      <w:sz w:val="24"/>
      <w:rtl w:val="0"/>
      <w:cs w:val="0"/>
      <w:lang w:val="x-none" w:eastAsia="sk-SK"/>
    </w:rPr>
  </w:style>
  <w:style w:type="character" w:customStyle="1" w:styleId="apple-converted-space">
    <w:name w:val="apple-converted-space"/>
    <w:rsid w:val="00F64B19"/>
  </w:style>
  <w:style w:type="paragraph" w:styleId="BodyTextIndent">
    <w:name w:val="Body Text Indent"/>
    <w:basedOn w:val="Normal"/>
    <w:link w:val="ZarkazkladnhotextuChar"/>
    <w:uiPriority w:val="99"/>
    <w:rsid w:val="00F64B19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F64B19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18663C"/>
    <w:pPr>
      <w:ind w:left="708"/>
      <w:jc w:val="left"/>
    </w:pPr>
  </w:style>
  <w:style w:type="character" w:customStyle="1" w:styleId="odsekChar">
    <w:name w:val="odsek Char"/>
    <w:link w:val="odsek"/>
    <w:uiPriority w:val="99"/>
    <w:locked/>
    <w:rsid w:val="0018663C"/>
    <w:rPr>
      <w:sz w:val="24"/>
    </w:rPr>
  </w:style>
  <w:style w:type="paragraph" w:customStyle="1" w:styleId="odsek">
    <w:name w:val="odsek"/>
    <w:basedOn w:val="Normal"/>
    <w:link w:val="odsekChar"/>
    <w:uiPriority w:val="99"/>
    <w:rsid w:val="0018663C"/>
    <w:pPr>
      <w:keepNext/>
      <w:ind w:firstLine="709"/>
      <w:jc w:val="both"/>
    </w:pPr>
    <w:rPr>
      <w:rFonts w:ascii="Calibri" w:hAnsi="Calibri"/>
      <w:szCs w:val="20"/>
    </w:rPr>
  </w:style>
  <w:style w:type="paragraph" w:customStyle="1" w:styleId="odsek1">
    <w:name w:val="odsek1"/>
    <w:basedOn w:val="Normal"/>
    <w:uiPriority w:val="99"/>
    <w:rsid w:val="0018663C"/>
    <w:pPr>
      <w:keepNext/>
      <w:numPr>
        <w:numId w:val="6"/>
      </w:numPr>
      <w:spacing w:before="120" w:after="120"/>
      <w:ind w:left="1353" w:firstLine="709"/>
      <w:jc w:val="both"/>
    </w:pPr>
  </w:style>
  <w:style w:type="character" w:customStyle="1" w:styleId="Textzstupnhosymbolu1">
    <w:name w:val="Text zástupného symbolu1"/>
    <w:semiHidden/>
    <w:rsid w:val="0018663C"/>
    <w:rPr>
      <w:rFonts w:ascii="Times New Roman" w:hAnsi="Times New Roman" w:cs="Times New Roman"/>
      <w:color w:val="808080"/>
    </w:rPr>
  </w:style>
  <w:style w:type="character" w:styleId="PageNumber">
    <w:name w:val="page number"/>
    <w:basedOn w:val="DefaultParagraphFont"/>
    <w:uiPriority w:val="99"/>
    <w:rsid w:val="00D82961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D8296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80704B"/>
    <w:rPr>
      <w:rFonts w:cs="Times New Roman"/>
      <w:i/>
      <w:rtl w:val="0"/>
      <w:cs w:val="0"/>
    </w:rPr>
  </w:style>
  <w:style w:type="character" w:styleId="Strong">
    <w:name w:val="Strong"/>
    <w:basedOn w:val="DefaultParagraphFont"/>
    <w:uiPriority w:val="22"/>
    <w:qFormat/>
    <w:locked/>
    <w:rsid w:val="00E32C0E"/>
    <w:rPr>
      <w:rFonts w:cs="Times New Roman"/>
      <w:b/>
      <w:rtl w:val="0"/>
      <w:cs w:val="0"/>
    </w:rPr>
  </w:style>
  <w:style w:type="character" w:customStyle="1" w:styleId="italic">
    <w:name w:val="italic"/>
    <w:rsid w:val="00E34F61"/>
  </w:style>
  <w:style w:type="paragraph" w:customStyle="1" w:styleId="Standard">
    <w:name w:val="Standard"/>
    <w:rsid w:val="00C55540"/>
    <w:pPr>
      <w:framePr w:wrap="auto"/>
      <w:widowControl/>
      <w:suppressAutoHyphens/>
      <w:autoSpaceDE/>
      <w:autoSpaceDN w:val="0"/>
      <w:adjustRightInd/>
      <w:ind w:left="0" w:right="0"/>
      <w:jc w:val="left"/>
      <w:textAlignment w:val="baseline"/>
    </w:pPr>
    <w:rPr>
      <w:rFonts w:cs="Times New Roman"/>
      <w:kern w:val="3"/>
      <w:sz w:val="24"/>
      <w:szCs w:val="24"/>
      <w:rtl w:val="0"/>
      <w:cs w:val="0"/>
      <w:lang w:val="sk-SK" w:eastAsia="sk-SK" w:bidi="ar-SA"/>
    </w:rPr>
  </w:style>
  <w:style w:type="paragraph" w:styleId="HTMLPreformatted">
    <w:name w:val="HTML Preformatted"/>
    <w:basedOn w:val="Normal"/>
    <w:link w:val="PredformtovanHTMLChar"/>
    <w:uiPriority w:val="99"/>
    <w:unhideWhenUsed/>
    <w:rsid w:val="00DA2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locked/>
    <w:rsid w:val="00DA220A"/>
    <w:rPr>
      <w:rFonts w:ascii="Courier New" w:hAnsi="Courier New" w:cs="Courier New"/>
      <w:rtl w:val="0"/>
      <w:cs w:val="0"/>
    </w:rPr>
  </w:style>
  <w:style w:type="character" w:styleId="PlaceholderText">
    <w:name w:val="Placeholder Text"/>
    <w:basedOn w:val="DefaultParagraphFont"/>
    <w:uiPriority w:val="99"/>
    <w:rsid w:val="00C67A0C"/>
    <w:rPr>
      <w:rFonts w:ascii="Times New Roman" w:eastAsia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eur-lex.europa.eu/legal-content/SK/TXT/?uri=NIM:237162&amp;qid=1526632282629" TargetMode="External" /><Relationship Id="rId6" Type="http://schemas.openxmlformats.org/officeDocument/2006/relationships/hyperlink" Target="https://eur-lex.europa.eu/legal-content/SK/TXT/?uri=NIM:237163&amp;qid=1526632282629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17C9E-991F-4C3D-B524-576509E0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2727</Words>
  <Characters>15550</Characters>
  <Application>Microsoft Office Word</Application>
  <DocSecurity>0</DocSecurity>
  <Lines>0</Lines>
  <Paragraphs>0</Paragraphs>
  <ScaleCrop>false</ScaleCrop>
  <Company>Kancelaria NR SR</Company>
  <LinksUpToDate>false</LinksUpToDate>
  <CharactersWithSpaces>18241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Miroslav_Kaduc</dc:creator>
  <cp:lastModifiedBy>Lukáč, Jozef (asistent)</cp:lastModifiedBy>
  <cp:revision>2</cp:revision>
  <cp:lastPrinted>2017-01-13T15:42:00Z</cp:lastPrinted>
  <dcterms:created xsi:type="dcterms:W3CDTF">2018-05-23T09:55:00Z</dcterms:created>
  <dcterms:modified xsi:type="dcterms:W3CDTF">2018-05-23T09:55:00Z</dcterms:modified>
</cp:coreProperties>
</file>