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5F90" w:rsidRPr="00C568DA" w:rsidP="00C568DA">
      <w:pPr>
        <w:pStyle w:val="TOC1"/>
        <w:bidi w:val="0"/>
        <w:rPr>
          <w:rFonts w:ascii="Times New Roman" w:hAnsi="Times New Roman"/>
        </w:rPr>
      </w:pPr>
      <w:r w:rsidRPr="00C568DA">
        <w:rPr>
          <w:rFonts w:ascii="Times New Roman" w:hAnsi="Times New Roman"/>
          <w:sz w:val="24"/>
          <w:szCs w:val="24"/>
        </w:rPr>
        <w:t>Obsah</w:t>
      </w:r>
    </w:p>
    <w:p w:rsidR="00A94DF6" w:rsidRPr="000E1273" w:rsidP="00A94DF6">
      <w:pPr>
        <w:bidi w:val="0"/>
        <w:rPr>
          <w:rFonts w:ascii="Times New Roman" w:hAnsi="Times New Roman"/>
        </w:rPr>
      </w:pPr>
    </w:p>
    <w:p w:rsidR="00C568DA" w:rsidRPr="00C568DA">
      <w:pPr>
        <w:pStyle w:val="TOC1"/>
        <w:bidi w:val="0"/>
        <w:rPr>
          <w:rFonts w:ascii="Times New Roman" w:hAnsi="Times New Roman" w:eastAsiaTheme="minorEastAsia"/>
          <w:b w:val="0"/>
          <w:bCs w:val="0"/>
          <w:sz w:val="20"/>
          <w:szCs w:val="20"/>
          <w:lang w:eastAsia="sk-SK"/>
        </w:rPr>
      </w:pPr>
      <w:bookmarkStart w:id="0" w:name="_Toc449622818"/>
      <w:bookmarkStart w:id="1" w:name="_Toc370908622"/>
      <w:bookmarkStart w:id="2" w:name="_Toc385230566"/>
      <w:bookmarkStart w:id="3" w:name="_Toc385246510"/>
      <w:bookmarkStart w:id="4" w:name="_Toc479313221"/>
      <w:r w:rsidRPr="00C568DA" w:rsidR="00FE3037">
        <w:rPr>
          <w:rFonts w:ascii="Times New Roman" w:hAnsi="Times New Roman"/>
          <w:sz w:val="20"/>
          <w:szCs w:val="20"/>
        </w:rPr>
        <w:fldChar w:fldCharType="begin"/>
      </w:r>
      <w:r w:rsidRPr="00C568DA" w:rsidR="00FE3037">
        <w:rPr>
          <w:rFonts w:ascii="Times New Roman" w:hAnsi="Times New Roman"/>
          <w:sz w:val="20"/>
          <w:szCs w:val="20"/>
        </w:rPr>
        <w:instrText xml:space="preserve"> TOC \o "1-4" \h \z \u </w:instrText>
      </w:r>
      <w:r w:rsidRPr="00C568DA" w:rsidR="00FE3037">
        <w:rPr>
          <w:rFonts w:ascii="Times New Roman" w:hAnsi="Times New Roman"/>
          <w:sz w:val="20"/>
          <w:szCs w:val="20"/>
        </w:rPr>
        <w:fldChar w:fldCharType="separate"/>
      </w:r>
      <w:hyperlink w:anchor="_Toc512599651" w:history="1">
        <w:r w:rsidRPr="00C568DA">
          <w:rPr>
            <w:rStyle w:val="Hyperlink"/>
            <w:rFonts w:ascii="Times New Roman" w:hAnsi="Times New Roman"/>
            <w:sz w:val="20"/>
            <w:szCs w:val="20"/>
          </w:rPr>
          <w:t>Zhrnutie</w:t>
        </w:r>
        <w:r w:rsidRPr="00C568DA">
          <w:rPr>
            <w:rFonts w:ascii="Times New Roman" w:hAnsi="Times New Roman"/>
            <w:webHidden/>
            <w:sz w:val="20"/>
            <w:szCs w:val="20"/>
          </w:rPr>
          <w:tab/>
        </w:r>
        <w:r w:rsidRPr="00C568DA">
          <w:rPr>
            <w:rFonts w:ascii="Times New Roman" w:hAnsi="Times New Roman"/>
            <w:webHidden/>
            <w:sz w:val="20"/>
            <w:szCs w:val="20"/>
          </w:rPr>
          <w:fldChar w:fldCharType="begin"/>
        </w:r>
        <w:r w:rsidRPr="00C568DA">
          <w:rPr>
            <w:rFonts w:ascii="Times New Roman" w:hAnsi="Times New Roman"/>
            <w:webHidden/>
            <w:sz w:val="20"/>
            <w:szCs w:val="20"/>
          </w:rPr>
          <w:instrText xml:space="preserve"> PAGEREF _Toc512599651 \h </w:instrText>
        </w:r>
        <w:r w:rsidRPr="00C568DA">
          <w:rPr>
            <w:rFonts w:ascii="Times New Roman" w:hAnsi="Times New Roman"/>
            <w:webHidden/>
            <w:sz w:val="20"/>
            <w:szCs w:val="20"/>
          </w:rPr>
          <w:fldChar w:fldCharType="separate"/>
        </w:r>
        <w:r w:rsidR="00A51867">
          <w:rPr>
            <w:rFonts w:ascii="Times New Roman" w:hAnsi="Times New Roman"/>
            <w:webHidden/>
            <w:sz w:val="20"/>
            <w:szCs w:val="20"/>
          </w:rPr>
          <w:t>2</w:t>
        </w:r>
        <w:r w:rsidRPr="00C568DA">
          <w:rPr>
            <w:rFonts w:ascii="Times New Roman" w:hAnsi="Times New Roman"/>
            <w:webHidden/>
            <w:sz w:val="20"/>
            <w:szCs w:val="20"/>
          </w:rPr>
          <w:fldChar w:fldCharType="end"/>
        </w:r>
      </w:hyperlink>
    </w:p>
    <w:p w:rsidR="00C568DA" w:rsidRPr="00C568DA">
      <w:pPr>
        <w:pStyle w:val="TOC1"/>
        <w:bidi w:val="0"/>
        <w:rPr>
          <w:rFonts w:ascii="Times New Roman" w:hAnsi="Times New Roman" w:eastAsiaTheme="minorEastAsia"/>
          <w:b w:val="0"/>
          <w:bCs w:val="0"/>
          <w:sz w:val="20"/>
          <w:szCs w:val="20"/>
          <w:lang w:eastAsia="sk-SK"/>
        </w:rPr>
      </w:pPr>
      <w:hyperlink w:anchor="_Toc512599652" w:history="1">
        <w:r w:rsidRPr="00C568DA">
          <w:rPr>
            <w:rStyle w:val="Hyperlink"/>
            <w:rFonts w:ascii="Times New Roman" w:hAnsi="Times New Roman"/>
            <w:sz w:val="20"/>
            <w:szCs w:val="20"/>
          </w:rPr>
          <w:t>1   Ekonomický rámec rozpočtového hospodárenia Slovenskej republiky</w:t>
        </w:r>
        <w:r w:rsidRPr="00C568DA">
          <w:rPr>
            <w:rFonts w:ascii="Times New Roman" w:hAnsi="Times New Roman"/>
            <w:webHidden/>
            <w:sz w:val="20"/>
            <w:szCs w:val="20"/>
          </w:rPr>
          <w:tab/>
        </w:r>
        <w:r w:rsidRPr="00C568DA">
          <w:rPr>
            <w:rFonts w:ascii="Times New Roman" w:hAnsi="Times New Roman"/>
            <w:webHidden/>
            <w:sz w:val="20"/>
            <w:szCs w:val="20"/>
          </w:rPr>
          <w:fldChar w:fldCharType="begin"/>
        </w:r>
        <w:r w:rsidRPr="00C568DA">
          <w:rPr>
            <w:rFonts w:ascii="Times New Roman" w:hAnsi="Times New Roman"/>
            <w:webHidden/>
            <w:sz w:val="20"/>
            <w:szCs w:val="20"/>
          </w:rPr>
          <w:instrText xml:space="preserve"> PAGEREF _Toc512599652 \h </w:instrText>
        </w:r>
        <w:r w:rsidRPr="00C568DA">
          <w:rPr>
            <w:rFonts w:ascii="Times New Roman" w:hAnsi="Times New Roman"/>
            <w:webHidden/>
            <w:sz w:val="20"/>
            <w:szCs w:val="20"/>
          </w:rPr>
          <w:fldChar w:fldCharType="separate"/>
        </w:r>
        <w:r w:rsidR="00A51867">
          <w:rPr>
            <w:rFonts w:ascii="Times New Roman" w:hAnsi="Times New Roman"/>
            <w:webHidden/>
            <w:sz w:val="20"/>
            <w:szCs w:val="20"/>
          </w:rPr>
          <w:t>3</w:t>
        </w:r>
        <w:r w:rsidRPr="00C568DA">
          <w:rPr>
            <w:rFonts w:ascii="Times New Roman" w:hAnsi="Times New Roman"/>
            <w:webHidden/>
            <w:sz w:val="20"/>
            <w:szCs w:val="20"/>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53" w:history="1">
        <w:r w:rsidRPr="00C568DA">
          <w:rPr>
            <w:rStyle w:val="Hyperlink"/>
            <w:rFonts w:ascii="Times New Roman" w:hAnsi="Times New Roman"/>
            <w:noProof/>
          </w:rPr>
          <w:t>1.1</w:t>
        </w:r>
        <w:r w:rsidRPr="00C568DA">
          <w:rPr>
            <w:rFonts w:ascii="Times New Roman" w:hAnsi="Times New Roman" w:eastAsiaTheme="minorEastAsia"/>
            <w:b w:val="0"/>
            <w:bCs w:val="0"/>
            <w:noProof/>
            <w:lang w:eastAsia="sk-SK"/>
          </w:rPr>
          <w:tab/>
        </w:r>
        <w:r w:rsidRPr="00C568DA">
          <w:rPr>
            <w:rStyle w:val="Hyperlink"/>
            <w:rFonts w:ascii="Times New Roman" w:hAnsi="Times New Roman"/>
            <w:noProof/>
          </w:rPr>
          <w:t>Vonkajšie ekonomické prostredie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_Toc512599653 \h </w:instrText>
        </w:r>
        <w:r w:rsidRPr="00C568DA">
          <w:rPr>
            <w:rFonts w:ascii="Times New Roman" w:hAnsi="Times New Roman"/>
            <w:noProof/>
            <w:webHidden/>
          </w:rPr>
          <w:fldChar w:fldCharType="separate"/>
        </w:r>
        <w:r w:rsidR="00A51867">
          <w:rPr>
            <w:rFonts w:ascii="Times New Roman" w:hAnsi="Times New Roman"/>
            <w:noProof/>
            <w:webHidden/>
          </w:rPr>
          <w:t>3</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54" w:history="1">
        <w:r w:rsidRPr="00C568DA">
          <w:rPr>
            <w:rStyle w:val="Hyperlink"/>
            <w:rFonts w:ascii="Times New Roman" w:hAnsi="Times New Roman"/>
            <w:noProof/>
          </w:rPr>
          <w:t>1.2</w:t>
        </w:r>
        <w:r w:rsidRPr="00C568DA">
          <w:rPr>
            <w:rFonts w:ascii="Times New Roman" w:hAnsi="Times New Roman" w:eastAsiaTheme="minorEastAsia"/>
            <w:b w:val="0"/>
            <w:bCs w:val="0"/>
            <w:noProof/>
            <w:lang w:eastAsia="sk-SK"/>
          </w:rPr>
          <w:tab/>
        </w:r>
        <w:r w:rsidRPr="00C568DA">
          <w:rPr>
            <w:rStyle w:val="Hyperlink"/>
            <w:rFonts w:ascii="Times New Roman" w:hAnsi="Times New Roman"/>
            <w:noProof/>
          </w:rPr>
          <w:t>Makroekonomický vývoj SR</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_Toc512599654 \h </w:instrText>
        </w:r>
        <w:r w:rsidRPr="00C568DA">
          <w:rPr>
            <w:rFonts w:ascii="Times New Roman" w:hAnsi="Times New Roman"/>
            <w:noProof/>
            <w:webHidden/>
          </w:rPr>
          <w:fldChar w:fldCharType="separate"/>
        </w:r>
        <w:r w:rsidR="00A51867">
          <w:rPr>
            <w:rFonts w:ascii="Times New Roman" w:hAnsi="Times New Roman"/>
            <w:noProof/>
            <w:webHidden/>
          </w:rPr>
          <w:t>4</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55" w:history="1">
        <w:r w:rsidRPr="00C568DA">
          <w:rPr>
            <w:rStyle w:val="Hyperlink"/>
            <w:rFonts w:ascii="Times New Roman" w:hAnsi="Times New Roman"/>
            <w:noProof/>
          </w:rPr>
          <w:t>1.2.1</w:t>
        </w:r>
        <w:r w:rsidRPr="00C568DA">
          <w:rPr>
            <w:rFonts w:ascii="Times New Roman" w:hAnsi="Times New Roman" w:eastAsiaTheme="minorEastAsia"/>
            <w:noProof/>
            <w:lang w:eastAsia="sk-SK"/>
          </w:rPr>
          <w:tab/>
        </w:r>
        <w:r w:rsidRPr="00C568DA">
          <w:rPr>
            <w:rStyle w:val="Hyperlink"/>
            <w:rFonts w:ascii="Times New Roman" w:hAnsi="Times New Roman"/>
            <w:noProof/>
          </w:rPr>
          <w:t>Hrubý domáci produkt</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_Toc512599655 \h </w:instrText>
        </w:r>
        <w:r w:rsidRPr="00C568DA">
          <w:rPr>
            <w:rFonts w:ascii="Times New Roman" w:hAnsi="Times New Roman"/>
            <w:noProof/>
            <w:webHidden/>
          </w:rPr>
          <w:fldChar w:fldCharType="separate"/>
        </w:r>
        <w:r w:rsidR="00A51867">
          <w:rPr>
            <w:rFonts w:ascii="Times New Roman" w:hAnsi="Times New Roman"/>
            <w:noProof/>
            <w:webHidden/>
          </w:rPr>
          <w:t>4</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56" w:history="1">
        <w:r w:rsidRPr="00C568DA">
          <w:rPr>
            <w:rStyle w:val="Hyperlink"/>
            <w:rFonts w:ascii="Times New Roman" w:hAnsi="Times New Roman"/>
            <w:noProof/>
          </w:rPr>
          <w:t>1.2.2</w:t>
        </w:r>
        <w:r w:rsidRPr="00C568DA">
          <w:rPr>
            <w:rFonts w:ascii="Times New Roman" w:hAnsi="Times New Roman" w:eastAsiaTheme="minorEastAsia"/>
            <w:noProof/>
            <w:lang w:eastAsia="sk-SK"/>
          </w:rPr>
          <w:tab/>
        </w:r>
        <w:r w:rsidRPr="00C568DA">
          <w:rPr>
            <w:rStyle w:val="Hyperlink"/>
            <w:rFonts w:ascii="Times New Roman" w:hAnsi="Times New Roman"/>
            <w:noProof/>
          </w:rPr>
          <w:t>Trh práce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_Toc512599656 \h </w:instrText>
        </w:r>
        <w:r w:rsidRPr="00C568DA">
          <w:rPr>
            <w:rFonts w:ascii="Times New Roman" w:hAnsi="Times New Roman"/>
            <w:noProof/>
            <w:webHidden/>
          </w:rPr>
          <w:fldChar w:fldCharType="separate"/>
        </w:r>
        <w:r w:rsidR="00A51867">
          <w:rPr>
            <w:rFonts w:ascii="Times New Roman" w:hAnsi="Times New Roman"/>
            <w:noProof/>
            <w:webHidden/>
          </w:rPr>
          <w:t>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57" w:history="1">
        <w:r w:rsidRPr="00C568DA">
          <w:rPr>
            <w:rStyle w:val="Hyperlink"/>
            <w:rFonts w:ascii="Times New Roman" w:hAnsi="Times New Roman"/>
            <w:noProof/>
          </w:rPr>
          <w:t>1.2.3</w:t>
        </w:r>
        <w:r w:rsidRPr="00C568DA">
          <w:rPr>
            <w:rFonts w:ascii="Times New Roman" w:hAnsi="Times New Roman" w:eastAsiaTheme="minorEastAsia"/>
            <w:noProof/>
            <w:lang w:eastAsia="sk-SK"/>
          </w:rPr>
          <w:tab/>
        </w:r>
        <w:r w:rsidRPr="00C568DA">
          <w:rPr>
            <w:rStyle w:val="Hyperlink"/>
            <w:rFonts w:ascii="Times New Roman" w:hAnsi="Times New Roman"/>
            <w:noProof/>
          </w:rPr>
          <w:t>Vývoj cien</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_Toc512599657 \h </w:instrText>
        </w:r>
        <w:r w:rsidRPr="00C568DA">
          <w:rPr>
            <w:rFonts w:ascii="Times New Roman" w:hAnsi="Times New Roman"/>
            <w:noProof/>
            <w:webHidden/>
          </w:rPr>
          <w:fldChar w:fldCharType="separate"/>
        </w:r>
        <w:r w:rsidR="00A51867">
          <w:rPr>
            <w:rFonts w:ascii="Times New Roman" w:hAnsi="Times New Roman"/>
            <w:noProof/>
            <w:webHidden/>
          </w:rPr>
          <w:t>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58" w:history="1">
        <w:r w:rsidRPr="00C568DA">
          <w:rPr>
            <w:rStyle w:val="Hyperlink"/>
            <w:rFonts w:ascii="Times New Roman" w:hAnsi="Times New Roman"/>
            <w:noProof/>
          </w:rPr>
          <w:t>1.2.4</w:t>
        </w:r>
        <w:r w:rsidRPr="00C568DA">
          <w:rPr>
            <w:rFonts w:ascii="Times New Roman" w:hAnsi="Times New Roman" w:eastAsiaTheme="minorEastAsia"/>
            <w:noProof/>
            <w:lang w:eastAsia="sk-SK"/>
          </w:rPr>
          <w:tab/>
        </w:r>
        <w:r w:rsidRPr="00C568DA">
          <w:rPr>
            <w:rStyle w:val="Hyperlink"/>
            <w:rFonts w:ascii="Times New Roman" w:hAnsi="Times New Roman"/>
            <w:noProof/>
          </w:rPr>
          <w:t>Platobná bilancia</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_Toc512599658 \h </w:instrText>
        </w:r>
        <w:r w:rsidRPr="00C568DA">
          <w:rPr>
            <w:rFonts w:ascii="Times New Roman" w:hAnsi="Times New Roman"/>
            <w:noProof/>
            <w:webHidden/>
          </w:rPr>
          <w:fldChar w:fldCharType="separate"/>
        </w:r>
        <w:r w:rsidR="00A51867">
          <w:rPr>
            <w:rFonts w:ascii="Times New Roman" w:hAnsi="Times New Roman"/>
            <w:noProof/>
            <w:webHidden/>
          </w:rPr>
          <w:t>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59" w:history="1">
        <w:r w:rsidRPr="00C568DA">
          <w:rPr>
            <w:rStyle w:val="Hyperlink"/>
            <w:rFonts w:ascii="Times New Roman" w:hAnsi="Times New Roman"/>
            <w:noProof/>
          </w:rPr>
          <w:t>1.2.5</w:t>
        </w:r>
        <w:r w:rsidRPr="00C568DA">
          <w:rPr>
            <w:rFonts w:ascii="Times New Roman" w:hAnsi="Times New Roman" w:eastAsiaTheme="minorEastAsia"/>
            <w:noProof/>
            <w:lang w:eastAsia="sk-SK"/>
          </w:rPr>
          <w:tab/>
        </w:r>
        <w:r w:rsidRPr="00C568DA">
          <w:rPr>
            <w:rStyle w:val="Hyperlink"/>
            <w:rFonts w:ascii="Times New Roman" w:hAnsi="Times New Roman"/>
            <w:noProof/>
          </w:rPr>
          <w:t>Porovnanie makroekonomických predpokladov rozpočtu a skutočnosti</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_Toc512599659 \h </w:instrText>
        </w:r>
        <w:r w:rsidRPr="00C568DA">
          <w:rPr>
            <w:rFonts w:ascii="Times New Roman" w:hAnsi="Times New Roman"/>
            <w:noProof/>
            <w:webHidden/>
          </w:rPr>
          <w:fldChar w:fldCharType="separate"/>
        </w:r>
        <w:r w:rsidR="00A51867">
          <w:rPr>
            <w:rFonts w:ascii="Times New Roman" w:hAnsi="Times New Roman"/>
            <w:noProof/>
            <w:webHidden/>
          </w:rPr>
          <w:t>6</w:t>
        </w:r>
        <w:r w:rsidRPr="00C568DA">
          <w:rPr>
            <w:rFonts w:ascii="Times New Roman" w:hAnsi="Times New Roman"/>
            <w:noProof/>
            <w:webHidden/>
          </w:rPr>
          <w:fldChar w:fldCharType="end"/>
        </w:r>
      </w:hyperlink>
    </w:p>
    <w:p w:rsidR="00C568DA" w:rsidRPr="00C568DA">
      <w:pPr>
        <w:pStyle w:val="TOC1"/>
        <w:bidi w:val="0"/>
        <w:rPr>
          <w:rFonts w:ascii="Times New Roman" w:hAnsi="Times New Roman" w:eastAsiaTheme="minorEastAsia"/>
          <w:b w:val="0"/>
          <w:bCs w:val="0"/>
          <w:sz w:val="20"/>
          <w:szCs w:val="20"/>
          <w:lang w:eastAsia="sk-SK"/>
        </w:rPr>
      </w:pPr>
      <w:hyperlink w:anchor="_Toc512599660" w:history="1">
        <w:r w:rsidRPr="00C568DA">
          <w:rPr>
            <w:rStyle w:val="Hyperlink"/>
            <w:rFonts w:ascii="Times New Roman" w:hAnsi="Times New Roman"/>
            <w:sz w:val="20"/>
            <w:szCs w:val="20"/>
          </w:rPr>
          <w:t>2   Hospodárenie verejnej správy v metodike ESA 2010</w:t>
        </w:r>
        <w:r w:rsidRPr="00C568DA">
          <w:rPr>
            <w:rFonts w:ascii="Times New Roman" w:hAnsi="Times New Roman"/>
            <w:webHidden/>
            <w:sz w:val="20"/>
            <w:szCs w:val="20"/>
          </w:rPr>
          <w:tab/>
        </w:r>
        <w:r w:rsidRPr="00C568DA">
          <w:rPr>
            <w:rFonts w:ascii="Times New Roman" w:hAnsi="Times New Roman"/>
            <w:webHidden/>
            <w:sz w:val="20"/>
            <w:szCs w:val="20"/>
          </w:rPr>
          <w:fldChar w:fldCharType="begin"/>
        </w:r>
        <w:r w:rsidRPr="00C568DA">
          <w:rPr>
            <w:rFonts w:ascii="Times New Roman" w:hAnsi="Times New Roman"/>
            <w:webHidden/>
            <w:sz w:val="20"/>
            <w:szCs w:val="20"/>
          </w:rPr>
          <w:instrText xml:space="preserve"> PAGEREF _Toc512599660 \h </w:instrText>
        </w:r>
        <w:r w:rsidRPr="00C568DA">
          <w:rPr>
            <w:rFonts w:ascii="Times New Roman" w:hAnsi="Times New Roman"/>
            <w:webHidden/>
            <w:sz w:val="20"/>
            <w:szCs w:val="20"/>
          </w:rPr>
          <w:fldChar w:fldCharType="separate"/>
        </w:r>
        <w:r w:rsidR="00A51867">
          <w:rPr>
            <w:rFonts w:ascii="Times New Roman" w:hAnsi="Times New Roman"/>
            <w:webHidden/>
            <w:sz w:val="20"/>
            <w:szCs w:val="20"/>
          </w:rPr>
          <w:t>7</w:t>
        </w:r>
        <w:r w:rsidRPr="00C568DA">
          <w:rPr>
            <w:rFonts w:ascii="Times New Roman" w:hAnsi="Times New Roman"/>
            <w:webHidden/>
            <w:sz w:val="20"/>
            <w:szCs w:val="20"/>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61" w:history="1">
        <w:r w:rsidRPr="00C568DA">
          <w:rPr>
            <w:rStyle w:val="Hyperlink"/>
            <w:rFonts w:ascii="Times New Roman" w:hAnsi="Times New Roman"/>
            <w:noProof/>
          </w:rPr>
          <w:t>2.1 Saldo verejnej správy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_Toc512599661 \h </w:instrText>
        </w:r>
        <w:r w:rsidRPr="00C568DA">
          <w:rPr>
            <w:rFonts w:ascii="Times New Roman" w:hAnsi="Times New Roman"/>
            <w:noProof/>
            <w:webHidden/>
          </w:rPr>
          <w:fldChar w:fldCharType="separate"/>
        </w:r>
        <w:r w:rsidR="00A51867">
          <w:rPr>
            <w:rFonts w:ascii="Times New Roman" w:hAnsi="Times New Roman"/>
            <w:noProof/>
            <w:webHidden/>
          </w:rPr>
          <w:t>7</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62" w:history="1">
        <w:r w:rsidRPr="00C568DA">
          <w:rPr>
            <w:rStyle w:val="Hyperlink"/>
            <w:rFonts w:ascii="Times New Roman" w:hAnsi="Times New Roman"/>
            <w:noProof/>
          </w:rPr>
          <w:t>2.2.</w:t>
        </w:r>
        <w:r w:rsidRPr="00C568DA">
          <w:rPr>
            <w:rFonts w:ascii="Times New Roman" w:hAnsi="Times New Roman" w:eastAsiaTheme="minorEastAsia"/>
            <w:b w:val="0"/>
            <w:bCs w:val="0"/>
            <w:noProof/>
            <w:lang w:eastAsia="sk-SK"/>
          </w:rPr>
          <w:tab/>
        </w:r>
        <w:r w:rsidRPr="00C568DA">
          <w:rPr>
            <w:rStyle w:val="Hyperlink"/>
            <w:rFonts w:ascii="Times New Roman" w:hAnsi="Times New Roman"/>
            <w:noProof/>
          </w:rPr>
          <w:t>Dlh verejnej správy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_Toc512599662 \h </w:instrText>
        </w:r>
        <w:r w:rsidRPr="00C568DA">
          <w:rPr>
            <w:rFonts w:ascii="Times New Roman" w:hAnsi="Times New Roman"/>
            <w:noProof/>
            <w:webHidden/>
          </w:rPr>
          <w:fldChar w:fldCharType="separate"/>
        </w:r>
        <w:r w:rsidR="00A51867">
          <w:rPr>
            <w:rFonts w:ascii="Times New Roman" w:hAnsi="Times New Roman"/>
            <w:noProof/>
            <w:webHidden/>
          </w:rPr>
          <w:t>15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63" w:history="1">
        <w:r w:rsidRPr="00C568DA">
          <w:rPr>
            <w:rStyle w:val="Hyperlink"/>
            <w:rFonts w:ascii="Times New Roman" w:hAnsi="Times New Roman"/>
            <w:noProof/>
          </w:rPr>
          <w:t>2.2.1 Maastrichtský dlh štátnych rozpočtových organizácií</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_Toc512599663 \h </w:instrText>
        </w:r>
        <w:r w:rsidRPr="00C568DA">
          <w:rPr>
            <w:rFonts w:ascii="Times New Roman" w:hAnsi="Times New Roman"/>
            <w:noProof/>
            <w:webHidden/>
          </w:rPr>
          <w:fldChar w:fldCharType="separate"/>
        </w:r>
        <w:r w:rsidR="00A51867">
          <w:rPr>
            <w:rFonts w:ascii="Times New Roman" w:hAnsi="Times New Roman"/>
            <w:noProof/>
            <w:webHidden/>
          </w:rPr>
          <w:t>18</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64" w:history="1">
        <w:r w:rsidRPr="00C568DA">
          <w:rPr>
            <w:rStyle w:val="Hyperlink"/>
            <w:rFonts w:ascii="Times New Roman" w:hAnsi="Times New Roman"/>
            <w:noProof/>
          </w:rPr>
          <w:t>2.2.2 Maastrichtský dlh ostatných subjektov verejnej správy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_Toc512599664 \h </w:instrText>
        </w:r>
        <w:r w:rsidRPr="00C568DA">
          <w:rPr>
            <w:rFonts w:ascii="Times New Roman" w:hAnsi="Times New Roman"/>
            <w:noProof/>
            <w:webHidden/>
          </w:rPr>
          <w:fldChar w:fldCharType="separate"/>
        </w:r>
        <w:r w:rsidR="00A51867">
          <w:rPr>
            <w:rFonts w:ascii="Times New Roman" w:hAnsi="Times New Roman"/>
            <w:noProof/>
            <w:webHidden/>
          </w:rPr>
          <w:t>19</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65" w:history="1">
        <w:r w:rsidRPr="00C568DA">
          <w:rPr>
            <w:rStyle w:val="Hyperlink"/>
            <w:rFonts w:ascii="Times New Roman" w:hAnsi="Times New Roman"/>
            <w:noProof/>
          </w:rPr>
          <w:t>2.3 Porovnanie salda a dlhu verejnej správy v Európskej únii</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_Toc512599665 \h </w:instrText>
        </w:r>
        <w:r w:rsidRPr="00C568DA">
          <w:rPr>
            <w:rFonts w:ascii="Times New Roman" w:hAnsi="Times New Roman"/>
            <w:noProof/>
            <w:webHidden/>
          </w:rPr>
          <w:fldChar w:fldCharType="separate"/>
        </w:r>
        <w:r w:rsidR="00A51867">
          <w:rPr>
            <w:rFonts w:ascii="Times New Roman" w:hAnsi="Times New Roman"/>
            <w:noProof/>
            <w:webHidden/>
          </w:rPr>
          <w:t>22</w:t>
        </w:r>
        <w:r w:rsidRPr="00C568DA">
          <w:rPr>
            <w:rFonts w:ascii="Times New Roman" w:hAnsi="Times New Roman"/>
            <w:noProof/>
            <w:webHidden/>
          </w:rPr>
          <w:fldChar w:fldCharType="end"/>
        </w:r>
      </w:hyperlink>
    </w:p>
    <w:p w:rsidR="00C568DA" w:rsidRPr="00C568DA">
      <w:pPr>
        <w:pStyle w:val="TOC1"/>
        <w:bidi w:val="0"/>
        <w:rPr>
          <w:rFonts w:ascii="Times New Roman" w:hAnsi="Times New Roman" w:eastAsiaTheme="minorEastAsia"/>
          <w:b w:val="0"/>
          <w:bCs w:val="0"/>
          <w:sz w:val="20"/>
          <w:szCs w:val="20"/>
          <w:lang w:eastAsia="sk-SK"/>
        </w:rPr>
      </w:pPr>
      <w:hyperlink w:anchor="_Toc512599666" w:history="1">
        <w:r w:rsidRPr="00C568DA">
          <w:rPr>
            <w:rStyle w:val="Hyperlink"/>
            <w:rFonts w:ascii="Times New Roman" w:hAnsi="Times New Roman"/>
            <w:sz w:val="20"/>
            <w:szCs w:val="20"/>
          </w:rPr>
          <w:t>3  Hospodárenie štátneho rozpočtu na hotovostnej báze</w:t>
        </w:r>
        <w:r w:rsidRPr="00C568DA">
          <w:rPr>
            <w:rFonts w:ascii="Times New Roman" w:hAnsi="Times New Roman"/>
            <w:webHidden/>
            <w:sz w:val="20"/>
            <w:szCs w:val="20"/>
          </w:rPr>
          <w:tab/>
        </w:r>
        <w:r w:rsidRPr="00C568DA">
          <w:rPr>
            <w:rFonts w:ascii="Times New Roman" w:hAnsi="Times New Roman"/>
            <w:webHidden/>
            <w:sz w:val="20"/>
            <w:szCs w:val="20"/>
          </w:rPr>
          <w:fldChar w:fldCharType="begin"/>
        </w:r>
        <w:r w:rsidRPr="00C568DA">
          <w:rPr>
            <w:rFonts w:ascii="Times New Roman" w:hAnsi="Times New Roman"/>
            <w:webHidden/>
            <w:sz w:val="20"/>
            <w:szCs w:val="20"/>
          </w:rPr>
          <w:instrText xml:space="preserve"> PAGEREF _Toc512599666 \h </w:instrText>
        </w:r>
        <w:r w:rsidRPr="00C568DA">
          <w:rPr>
            <w:rFonts w:ascii="Times New Roman" w:hAnsi="Times New Roman"/>
            <w:webHidden/>
            <w:sz w:val="20"/>
            <w:szCs w:val="20"/>
          </w:rPr>
          <w:fldChar w:fldCharType="separate"/>
        </w:r>
        <w:r w:rsidR="00A51867">
          <w:rPr>
            <w:rFonts w:ascii="Times New Roman" w:hAnsi="Times New Roman"/>
            <w:webHidden/>
            <w:sz w:val="20"/>
            <w:szCs w:val="20"/>
          </w:rPr>
          <w:t>24</w:t>
        </w:r>
        <w:r w:rsidRPr="00C568DA">
          <w:rPr>
            <w:rFonts w:ascii="Times New Roman" w:hAnsi="Times New Roman"/>
            <w:webHidden/>
            <w:sz w:val="20"/>
            <w:szCs w:val="20"/>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67" w:history="1">
        <w:r w:rsidRPr="00C568DA">
          <w:rPr>
            <w:rStyle w:val="Hyperlink"/>
            <w:rFonts w:ascii="Times New Roman" w:hAnsi="Times New Roman"/>
            <w:noProof/>
          </w:rPr>
          <w:t>3.1 Príjmy štátneho rozpočtu</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_Toc512599667 \h </w:instrText>
        </w:r>
        <w:r w:rsidRPr="00C568DA">
          <w:rPr>
            <w:rFonts w:ascii="Times New Roman" w:hAnsi="Times New Roman"/>
            <w:noProof/>
            <w:webHidden/>
          </w:rPr>
          <w:fldChar w:fldCharType="separate"/>
        </w:r>
        <w:r w:rsidR="00A51867">
          <w:rPr>
            <w:rFonts w:ascii="Times New Roman" w:hAnsi="Times New Roman"/>
            <w:noProof/>
            <w:webHidden/>
          </w:rPr>
          <w:t>27</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68" w:history="1">
        <w:r w:rsidRPr="00C568DA">
          <w:rPr>
            <w:rStyle w:val="Hyperlink"/>
            <w:rFonts w:ascii="Times New Roman" w:hAnsi="Times New Roman"/>
            <w:noProof/>
          </w:rPr>
          <w:t>3.1.1  Daňové príjmy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_Toc512599668 \h </w:instrText>
        </w:r>
        <w:r w:rsidRPr="00C568DA">
          <w:rPr>
            <w:rFonts w:ascii="Times New Roman" w:hAnsi="Times New Roman"/>
            <w:noProof/>
            <w:webHidden/>
          </w:rPr>
          <w:fldChar w:fldCharType="separate"/>
        </w:r>
        <w:r w:rsidR="00A51867">
          <w:rPr>
            <w:rFonts w:ascii="Times New Roman" w:hAnsi="Times New Roman"/>
            <w:noProof/>
            <w:webHidden/>
          </w:rPr>
          <w:t>27</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69" w:history="1">
        <w:r w:rsidRPr="00C568DA">
          <w:rPr>
            <w:rStyle w:val="Hyperlink"/>
            <w:rFonts w:ascii="Times New Roman" w:hAnsi="Times New Roman"/>
            <w:noProof/>
          </w:rPr>
          <w:t>3.1.2 Nedaňové príjmy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_Toc512599669 \h </w:instrText>
        </w:r>
        <w:r w:rsidRPr="00C568DA">
          <w:rPr>
            <w:rFonts w:ascii="Times New Roman" w:hAnsi="Times New Roman"/>
            <w:noProof/>
            <w:webHidden/>
          </w:rPr>
          <w:fldChar w:fldCharType="separate"/>
        </w:r>
        <w:r w:rsidR="00A51867">
          <w:rPr>
            <w:rFonts w:ascii="Times New Roman" w:hAnsi="Times New Roman"/>
            <w:noProof/>
            <w:webHidden/>
          </w:rPr>
          <w:t>31</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0" w:history="1">
        <w:r w:rsidRPr="00C568DA">
          <w:rPr>
            <w:rStyle w:val="Hyperlink"/>
            <w:rFonts w:ascii="Times New Roman" w:hAnsi="Times New Roman"/>
            <w:noProof/>
          </w:rPr>
          <w:t>3.1.3 Granty a transfery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_Toc512599670 \h </w:instrText>
        </w:r>
        <w:r w:rsidRPr="00C568DA">
          <w:rPr>
            <w:rFonts w:ascii="Times New Roman" w:hAnsi="Times New Roman"/>
            <w:noProof/>
            <w:webHidden/>
          </w:rPr>
          <w:fldChar w:fldCharType="separate"/>
        </w:r>
        <w:r w:rsidR="00A51867">
          <w:rPr>
            <w:rFonts w:ascii="Times New Roman" w:hAnsi="Times New Roman"/>
            <w:noProof/>
            <w:webHidden/>
          </w:rPr>
          <w:t>38</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71" w:history="1">
        <w:r w:rsidRPr="00C568DA">
          <w:rPr>
            <w:rStyle w:val="Hyperlink"/>
            <w:rFonts w:ascii="Times New Roman" w:hAnsi="Times New Roman"/>
            <w:noProof/>
          </w:rPr>
          <w:t>3.2  Výdavky štátneho rozpočtu</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_Toc512599671 \h </w:instrText>
        </w:r>
        <w:r w:rsidRPr="00C568DA">
          <w:rPr>
            <w:rFonts w:ascii="Times New Roman" w:hAnsi="Times New Roman"/>
            <w:noProof/>
            <w:webHidden/>
          </w:rPr>
          <w:fldChar w:fldCharType="separate"/>
        </w:r>
        <w:r w:rsidR="00A51867">
          <w:rPr>
            <w:rFonts w:ascii="Times New Roman" w:hAnsi="Times New Roman"/>
            <w:noProof/>
            <w:webHidden/>
          </w:rPr>
          <w:t>41</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2" w:history="1">
        <w:r w:rsidRPr="00C568DA">
          <w:rPr>
            <w:rStyle w:val="Hyperlink"/>
            <w:rFonts w:ascii="Times New Roman" w:hAnsi="Times New Roman"/>
            <w:noProof/>
          </w:rPr>
          <w:t>3.2.1 Výdavky štátneho rozpočtu podľa ekonomickej klasifikácie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_Toc512599672 \h </w:instrText>
        </w:r>
        <w:r w:rsidRPr="00C568DA">
          <w:rPr>
            <w:rFonts w:ascii="Times New Roman" w:hAnsi="Times New Roman"/>
            <w:noProof/>
            <w:webHidden/>
          </w:rPr>
          <w:fldChar w:fldCharType="separate"/>
        </w:r>
        <w:r w:rsidR="00A51867">
          <w:rPr>
            <w:rFonts w:ascii="Times New Roman" w:hAnsi="Times New Roman"/>
            <w:noProof/>
            <w:webHidden/>
          </w:rPr>
          <w:t>41</w:t>
        </w:r>
        <w:r w:rsidRPr="00C568DA">
          <w:rPr>
            <w:rFonts w:ascii="Times New Roman" w:hAnsi="Times New Roman"/>
            <w:noProof/>
            <w:webHidden/>
          </w:rPr>
          <w:fldChar w:fldCharType="end"/>
        </w:r>
      </w:hyperlink>
    </w:p>
    <w:p w:rsidR="00C568DA" w:rsidRPr="00C568DA">
      <w:pPr>
        <w:pStyle w:val="TOC4"/>
        <w:tabs>
          <w:tab w:val="right" w:leader="dot" w:pos="8778"/>
        </w:tabs>
        <w:bidi w:val="0"/>
        <w:rPr>
          <w:rFonts w:ascii="Times New Roman" w:hAnsi="Times New Roman" w:eastAsiaTheme="minorEastAsia"/>
          <w:noProof/>
          <w:lang w:eastAsia="sk-SK"/>
        </w:rPr>
      </w:pPr>
      <w:hyperlink w:anchor="_Toc512599673" w:history="1">
        <w:r w:rsidRPr="00C568DA">
          <w:rPr>
            <w:rStyle w:val="Hyperlink"/>
            <w:rFonts w:ascii="Times New Roman" w:hAnsi="Times New Roman"/>
            <w:noProof/>
          </w:rPr>
          <w:t>3.2.1.1 Bežné výdavky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_Toc512599673 \h </w:instrText>
        </w:r>
        <w:r w:rsidRPr="00C568DA">
          <w:rPr>
            <w:rFonts w:ascii="Times New Roman" w:hAnsi="Times New Roman"/>
            <w:noProof/>
            <w:webHidden/>
          </w:rPr>
          <w:fldChar w:fldCharType="separate"/>
        </w:r>
        <w:r w:rsidR="00A51867">
          <w:rPr>
            <w:rFonts w:ascii="Times New Roman" w:hAnsi="Times New Roman"/>
            <w:noProof/>
            <w:webHidden/>
          </w:rPr>
          <w:t>41</w:t>
        </w:r>
        <w:r w:rsidRPr="00C568DA">
          <w:rPr>
            <w:rFonts w:ascii="Times New Roman" w:hAnsi="Times New Roman"/>
            <w:noProof/>
            <w:webHidden/>
          </w:rPr>
          <w:fldChar w:fldCharType="end"/>
        </w:r>
      </w:hyperlink>
    </w:p>
    <w:p w:rsidR="00C568DA" w:rsidRPr="00C568DA">
      <w:pPr>
        <w:pStyle w:val="TOC4"/>
        <w:tabs>
          <w:tab w:val="right" w:leader="dot" w:pos="8778"/>
        </w:tabs>
        <w:bidi w:val="0"/>
        <w:rPr>
          <w:rFonts w:ascii="Times New Roman" w:hAnsi="Times New Roman" w:eastAsiaTheme="minorEastAsia"/>
          <w:noProof/>
          <w:lang w:eastAsia="sk-SK"/>
        </w:rPr>
      </w:pPr>
      <w:hyperlink w:anchor="_Toc512599674" w:history="1">
        <w:r w:rsidRPr="00C568DA">
          <w:rPr>
            <w:rStyle w:val="Hyperlink"/>
            <w:rFonts w:ascii="Times New Roman" w:hAnsi="Times New Roman"/>
            <w:noProof/>
          </w:rPr>
          <w:t>3.2.1.2  Kapitálové výdavky</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_Toc512599674 \h </w:instrText>
        </w:r>
        <w:r w:rsidRPr="00C568DA">
          <w:rPr>
            <w:rFonts w:ascii="Times New Roman" w:hAnsi="Times New Roman"/>
            <w:noProof/>
            <w:webHidden/>
          </w:rPr>
          <w:fldChar w:fldCharType="separate"/>
        </w:r>
        <w:r w:rsidR="00A51867">
          <w:rPr>
            <w:rFonts w:ascii="Times New Roman" w:hAnsi="Times New Roman"/>
            <w:noProof/>
            <w:webHidden/>
          </w:rPr>
          <w:t>58</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5" w:history="1">
        <w:r w:rsidRPr="00C568DA">
          <w:rPr>
            <w:rStyle w:val="Hyperlink"/>
            <w:rFonts w:ascii="Times New Roman" w:hAnsi="Times New Roman"/>
            <w:noProof/>
          </w:rPr>
          <w:t>3.2.2  Výdavky podľa funkčnej klasifikácie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_Toc512599675 \h </w:instrText>
        </w:r>
        <w:r w:rsidRPr="00C568DA">
          <w:rPr>
            <w:rFonts w:ascii="Times New Roman" w:hAnsi="Times New Roman"/>
            <w:noProof/>
            <w:webHidden/>
          </w:rPr>
          <w:fldChar w:fldCharType="separate"/>
        </w:r>
        <w:r w:rsidR="00A51867">
          <w:rPr>
            <w:rFonts w:ascii="Times New Roman" w:hAnsi="Times New Roman"/>
            <w:noProof/>
            <w:webHidden/>
          </w:rPr>
          <w:t>65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6" w:history="1">
        <w:r w:rsidRPr="00C568DA">
          <w:rPr>
            <w:rStyle w:val="Hyperlink"/>
            <w:rFonts w:ascii="Times New Roman" w:hAnsi="Times New Roman"/>
            <w:noProof/>
          </w:rPr>
          <w:t>3.2.3  Vzťahy štátneho rozpočtu k obciam</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_Toc512599676 \h </w:instrText>
        </w:r>
        <w:r w:rsidRPr="00C568DA">
          <w:rPr>
            <w:rFonts w:ascii="Times New Roman" w:hAnsi="Times New Roman"/>
            <w:noProof/>
            <w:webHidden/>
          </w:rPr>
          <w:fldChar w:fldCharType="separate"/>
        </w:r>
        <w:r w:rsidR="00A51867">
          <w:rPr>
            <w:rFonts w:ascii="Times New Roman" w:hAnsi="Times New Roman"/>
            <w:noProof/>
            <w:webHidden/>
          </w:rPr>
          <w:t>69</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7" w:history="1">
        <w:r w:rsidRPr="00C568DA">
          <w:rPr>
            <w:rStyle w:val="Hyperlink"/>
            <w:rFonts w:ascii="Times New Roman" w:hAnsi="Times New Roman"/>
            <w:noProof/>
          </w:rPr>
          <w:t>3.2.4  Vzťahy štátneho rozpočtu k vyšším územným celkom</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_Toc512599677 \h </w:instrText>
        </w:r>
        <w:r w:rsidRPr="00C568DA">
          <w:rPr>
            <w:rFonts w:ascii="Times New Roman" w:hAnsi="Times New Roman"/>
            <w:noProof/>
            <w:webHidden/>
          </w:rPr>
          <w:fldChar w:fldCharType="separate"/>
        </w:r>
        <w:r w:rsidR="00A51867">
          <w:rPr>
            <w:rFonts w:ascii="Times New Roman" w:hAnsi="Times New Roman"/>
            <w:noProof/>
            <w:webHidden/>
          </w:rPr>
          <w:t>73</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78" w:history="1">
        <w:r w:rsidRPr="00C568DA">
          <w:rPr>
            <w:rStyle w:val="Hyperlink"/>
            <w:rFonts w:ascii="Times New Roman" w:hAnsi="Times New Roman"/>
            <w:noProof/>
          </w:rPr>
          <w:t>3.2.5  Čerpanie rezerv štátneho rozpočtu</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_Toc512599678 \h </w:instrText>
        </w:r>
        <w:r w:rsidRPr="00C568DA">
          <w:rPr>
            <w:rFonts w:ascii="Times New Roman" w:hAnsi="Times New Roman"/>
            <w:noProof/>
            <w:webHidden/>
          </w:rPr>
          <w:fldChar w:fldCharType="separate"/>
        </w:r>
        <w:r w:rsidR="00A51867">
          <w:rPr>
            <w:rFonts w:ascii="Times New Roman" w:hAnsi="Times New Roman"/>
            <w:noProof/>
            <w:webHidden/>
          </w:rPr>
          <w:t>76</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79" w:history="1">
        <w:r w:rsidRPr="00C568DA">
          <w:rPr>
            <w:rStyle w:val="Hyperlink"/>
            <w:rFonts w:ascii="Times New Roman" w:hAnsi="Times New Roman"/>
            <w:noProof/>
          </w:rPr>
          <w:t>3.3  Štátne finančné aktíva</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_Toc512599679 \h </w:instrText>
        </w:r>
        <w:r w:rsidRPr="00C568DA">
          <w:rPr>
            <w:rFonts w:ascii="Times New Roman" w:hAnsi="Times New Roman"/>
            <w:noProof/>
            <w:webHidden/>
          </w:rPr>
          <w:fldChar w:fldCharType="separate"/>
        </w:r>
        <w:r w:rsidR="00A51867">
          <w:rPr>
            <w:rFonts w:ascii="Times New Roman" w:hAnsi="Times New Roman"/>
            <w:noProof/>
            <w:webHidden/>
          </w:rPr>
          <w:t>78</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80" w:history="1">
        <w:r w:rsidRPr="00C568DA">
          <w:rPr>
            <w:rStyle w:val="Hyperlink"/>
            <w:rFonts w:ascii="Times New Roman" w:hAnsi="Times New Roman"/>
            <w:noProof/>
          </w:rPr>
          <w:t>3.4  Vzťahy štátneho rozpočtu k Európskej únii</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_Toc512599680 \h </w:instrText>
        </w:r>
        <w:r w:rsidRPr="00C568DA">
          <w:rPr>
            <w:rFonts w:ascii="Times New Roman" w:hAnsi="Times New Roman"/>
            <w:noProof/>
            <w:webHidden/>
          </w:rPr>
          <w:fldChar w:fldCharType="separate"/>
        </w:r>
        <w:r w:rsidR="00A51867">
          <w:rPr>
            <w:rFonts w:ascii="Times New Roman" w:hAnsi="Times New Roman"/>
            <w:noProof/>
            <w:webHidden/>
          </w:rPr>
          <w:t>81</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81" w:history="1">
        <w:r w:rsidRPr="00C568DA">
          <w:rPr>
            <w:rStyle w:val="Hyperlink"/>
            <w:rFonts w:ascii="Times New Roman" w:hAnsi="Times New Roman"/>
            <w:noProof/>
          </w:rPr>
          <w:t>3.4.1  Príjmy z rozpočtu Európskej únie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_Toc512599681 \h </w:instrText>
        </w:r>
        <w:r w:rsidRPr="00C568DA">
          <w:rPr>
            <w:rFonts w:ascii="Times New Roman" w:hAnsi="Times New Roman"/>
            <w:noProof/>
            <w:webHidden/>
          </w:rPr>
          <w:fldChar w:fldCharType="separate"/>
        </w:r>
        <w:r w:rsidR="00A51867">
          <w:rPr>
            <w:rFonts w:ascii="Times New Roman" w:hAnsi="Times New Roman"/>
            <w:noProof/>
            <w:webHidden/>
          </w:rPr>
          <w:t>83</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82" w:history="1">
        <w:r w:rsidRPr="00C568DA">
          <w:rPr>
            <w:rStyle w:val="Hyperlink"/>
            <w:rFonts w:ascii="Times New Roman" w:hAnsi="Times New Roman"/>
            <w:noProof/>
          </w:rPr>
          <w:t>3.4.2 Výdavky štátneho rozpočtu rozpočtované vo väzbe na príjmy z Európskej únie</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_Toc512599682 \h </w:instrText>
        </w:r>
        <w:r w:rsidRPr="00C568DA">
          <w:rPr>
            <w:rFonts w:ascii="Times New Roman" w:hAnsi="Times New Roman"/>
            <w:noProof/>
            <w:webHidden/>
          </w:rPr>
          <w:fldChar w:fldCharType="separate"/>
        </w:r>
        <w:r w:rsidR="00A51867">
          <w:rPr>
            <w:rFonts w:ascii="Times New Roman" w:hAnsi="Times New Roman"/>
            <w:noProof/>
            <w:webHidden/>
          </w:rPr>
          <w:t>85</w:t>
        </w:r>
        <w:r w:rsidRPr="00C568DA">
          <w:rPr>
            <w:rFonts w:ascii="Times New Roman" w:hAnsi="Times New Roman"/>
            <w:noProof/>
            <w:webHidden/>
          </w:rPr>
          <w:fldChar w:fldCharType="end"/>
        </w:r>
      </w:hyperlink>
    </w:p>
    <w:p w:rsidR="00C568DA" w:rsidRPr="00C568DA">
      <w:pPr>
        <w:pStyle w:val="TOC3"/>
        <w:bidi w:val="0"/>
        <w:rPr>
          <w:rFonts w:ascii="Times New Roman" w:hAnsi="Times New Roman" w:eastAsiaTheme="minorEastAsia"/>
          <w:noProof/>
          <w:lang w:eastAsia="sk-SK"/>
        </w:rPr>
      </w:pPr>
      <w:hyperlink w:anchor="_Toc512599683" w:history="1">
        <w:r w:rsidRPr="00C568DA">
          <w:rPr>
            <w:rStyle w:val="Hyperlink"/>
            <w:rFonts w:ascii="Times New Roman" w:hAnsi="Times New Roman"/>
            <w:noProof/>
          </w:rPr>
          <w:t>3.4.3  Prostriedky poskytnuté SR a používané prostredníctvom mimorozpočtových účtov</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_Toc512599683 \h </w:instrText>
        </w:r>
        <w:r w:rsidRPr="00C568DA">
          <w:rPr>
            <w:rFonts w:ascii="Times New Roman" w:hAnsi="Times New Roman"/>
            <w:noProof/>
            <w:webHidden/>
          </w:rPr>
          <w:fldChar w:fldCharType="separate"/>
        </w:r>
        <w:r w:rsidR="00A51867">
          <w:rPr>
            <w:rFonts w:ascii="Times New Roman" w:hAnsi="Times New Roman"/>
            <w:noProof/>
            <w:webHidden/>
          </w:rPr>
          <w:t>88</w:t>
        </w:r>
        <w:r w:rsidRPr="00C568DA">
          <w:rPr>
            <w:rFonts w:ascii="Times New Roman" w:hAnsi="Times New Roman"/>
            <w:noProof/>
            <w:webHidden/>
          </w:rPr>
          <w:fldChar w:fldCharType="end"/>
        </w:r>
      </w:hyperlink>
    </w:p>
    <w:p w:rsidR="00C568DA" w:rsidRPr="00C568DA">
      <w:pPr>
        <w:pStyle w:val="TOC2"/>
        <w:bidi w:val="0"/>
        <w:rPr>
          <w:rFonts w:ascii="Times New Roman" w:hAnsi="Times New Roman" w:eastAsiaTheme="minorEastAsia"/>
          <w:b w:val="0"/>
          <w:bCs w:val="0"/>
          <w:noProof/>
          <w:lang w:eastAsia="sk-SK"/>
        </w:rPr>
      </w:pPr>
      <w:hyperlink w:anchor="_Toc512599684" w:history="1">
        <w:r w:rsidRPr="00C568DA">
          <w:rPr>
            <w:rStyle w:val="Hyperlink"/>
            <w:rFonts w:ascii="Times New Roman" w:hAnsi="Times New Roman"/>
            <w:noProof/>
          </w:rPr>
          <w:t>3.5   Zhrnutie čerpania záväzkov programových období po vstupe SR do EÚ</w:t>
        </w:r>
        <w:r w:rsidRPr="00C568DA">
          <w:rPr>
            <w:rFonts w:ascii="Times New Roman" w:hAnsi="Times New Roman"/>
            <w:noProof/>
            <w:webHidden/>
          </w:rPr>
          <w:tab/>
        </w:r>
        <w:r w:rsidRPr="00C568DA">
          <w:rPr>
            <w:rFonts w:ascii="Times New Roman" w:hAnsi="Times New Roman"/>
            <w:noProof/>
            <w:webHidden/>
          </w:rPr>
          <w:fldChar w:fldCharType="begin"/>
        </w:r>
        <w:r w:rsidRPr="00C568DA">
          <w:rPr>
            <w:rFonts w:ascii="Times New Roman" w:hAnsi="Times New Roman"/>
            <w:noProof/>
            <w:webHidden/>
          </w:rPr>
          <w:instrText xml:space="preserve"> PAGEREF _Toc512599684 \h </w:instrText>
        </w:r>
        <w:r w:rsidRPr="00C568DA">
          <w:rPr>
            <w:rFonts w:ascii="Times New Roman" w:hAnsi="Times New Roman"/>
            <w:noProof/>
            <w:webHidden/>
          </w:rPr>
          <w:fldChar w:fldCharType="separate"/>
        </w:r>
        <w:r w:rsidR="00A51867">
          <w:rPr>
            <w:rFonts w:ascii="Times New Roman" w:hAnsi="Times New Roman"/>
            <w:noProof/>
            <w:webHidden/>
          </w:rPr>
          <w:t>89</w:t>
        </w:r>
        <w:r w:rsidRPr="00C568DA">
          <w:rPr>
            <w:rFonts w:ascii="Times New Roman" w:hAnsi="Times New Roman"/>
            <w:noProof/>
            <w:webHidden/>
          </w:rPr>
          <w:fldChar w:fldCharType="end"/>
        </w:r>
      </w:hyperlink>
    </w:p>
    <w:p w:rsidR="00C568DA" w:rsidRPr="00C568DA">
      <w:pPr>
        <w:pStyle w:val="TOC1"/>
        <w:bidi w:val="0"/>
        <w:rPr>
          <w:rFonts w:ascii="Times New Roman" w:hAnsi="Times New Roman" w:eastAsiaTheme="minorEastAsia"/>
          <w:b w:val="0"/>
          <w:bCs w:val="0"/>
          <w:sz w:val="20"/>
          <w:szCs w:val="20"/>
          <w:lang w:eastAsia="sk-SK"/>
        </w:rPr>
      </w:pPr>
      <w:hyperlink w:anchor="_Toc512599685" w:history="1">
        <w:r w:rsidRPr="00C568DA">
          <w:rPr>
            <w:rStyle w:val="Hyperlink"/>
            <w:rFonts w:ascii="Times New Roman" w:hAnsi="Times New Roman"/>
            <w:sz w:val="20"/>
            <w:szCs w:val="20"/>
          </w:rPr>
          <w:t>4  Tabuľková príloha</w:t>
        </w:r>
        <w:r w:rsidRPr="00C568DA">
          <w:rPr>
            <w:rFonts w:ascii="Times New Roman" w:hAnsi="Times New Roman"/>
            <w:webHidden/>
            <w:sz w:val="20"/>
            <w:szCs w:val="20"/>
          </w:rPr>
          <w:tab/>
        </w:r>
        <w:r w:rsidRPr="00C568DA">
          <w:rPr>
            <w:rFonts w:ascii="Times New Roman" w:hAnsi="Times New Roman"/>
            <w:webHidden/>
            <w:sz w:val="20"/>
            <w:szCs w:val="20"/>
          </w:rPr>
          <w:fldChar w:fldCharType="begin"/>
        </w:r>
        <w:r w:rsidRPr="00C568DA">
          <w:rPr>
            <w:rFonts w:ascii="Times New Roman" w:hAnsi="Times New Roman"/>
            <w:webHidden/>
            <w:sz w:val="20"/>
            <w:szCs w:val="20"/>
          </w:rPr>
          <w:instrText xml:space="preserve"> PAGEREF _Toc512599685 \h </w:instrText>
        </w:r>
        <w:r w:rsidRPr="00C568DA">
          <w:rPr>
            <w:rFonts w:ascii="Times New Roman" w:hAnsi="Times New Roman"/>
            <w:webHidden/>
            <w:sz w:val="20"/>
            <w:szCs w:val="20"/>
          </w:rPr>
          <w:fldChar w:fldCharType="separate"/>
        </w:r>
        <w:r w:rsidR="00A51867">
          <w:rPr>
            <w:rFonts w:ascii="Times New Roman" w:hAnsi="Times New Roman"/>
            <w:webHidden/>
            <w:sz w:val="20"/>
            <w:szCs w:val="20"/>
          </w:rPr>
          <w:t>90</w:t>
        </w:r>
        <w:r w:rsidRPr="00C568DA">
          <w:rPr>
            <w:rFonts w:ascii="Times New Roman" w:hAnsi="Times New Roman"/>
            <w:webHidden/>
            <w:sz w:val="20"/>
            <w:szCs w:val="20"/>
          </w:rPr>
          <w:fldChar w:fldCharType="end"/>
        </w:r>
      </w:hyperlink>
    </w:p>
    <w:p w:rsidR="006C33A0" w:rsidRPr="00A339AF" w:rsidP="003E2C97">
      <w:pPr>
        <w:pStyle w:val="Heading1"/>
        <w:bidi w:val="0"/>
        <w:rPr>
          <w:rFonts w:ascii="Times New Roman" w:hAnsi="Times New Roman"/>
          <w:highlight w:val="yellow"/>
        </w:rPr>
      </w:pPr>
      <w:r w:rsidRPr="00C568DA" w:rsidR="00FE3037">
        <w:rPr>
          <w:rFonts w:ascii="Times New Roman" w:hAnsi="Times New Roman"/>
          <w:sz w:val="20"/>
          <w:szCs w:val="20"/>
        </w:rPr>
        <w:fldChar w:fldCharType="end"/>
      </w:r>
      <w:r w:rsidRPr="00A339AF" w:rsidR="004606AB">
        <w:rPr>
          <w:rFonts w:ascii="Times New Roman" w:hAnsi="Times New Roman"/>
          <w:sz w:val="24"/>
          <w:szCs w:val="24"/>
          <w:highlight w:val="yellow"/>
        </w:rPr>
        <w:t xml:space="preserve"> </w:t>
      </w:r>
      <w:r w:rsidRPr="00A339AF">
        <w:rPr>
          <w:rFonts w:ascii="Times New Roman" w:hAnsi="Times New Roman"/>
          <w:highlight w:val="yellow"/>
        </w:rPr>
        <w:br w:type="page"/>
      </w:r>
    </w:p>
    <w:p w:rsidR="004606AB" w:rsidRPr="003E2C97" w:rsidP="003E2C97">
      <w:pPr>
        <w:pStyle w:val="Heading1"/>
        <w:bidi w:val="0"/>
        <w:rPr>
          <w:rFonts w:ascii="Times New Roman" w:hAnsi="Times New Roman"/>
          <w:bCs/>
        </w:rPr>
      </w:pPr>
      <w:bookmarkStart w:id="5" w:name="_Toc512599651"/>
      <w:r w:rsidRPr="003E2C97">
        <w:rPr>
          <w:rFonts w:ascii="Times New Roman" w:hAnsi="Times New Roman"/>
        </w:rPr>
        <w:t>Zhrnutie</w:t>
      </w:r>
      <w:bookmarkEnd w:id="0"/>
      <w:bookmarkEnd w:id="5"/>
      <w:r w:rsidRPr="003E2C97">
        <w:rPr>
          <w:rFonts w:ascii="Times New Roman" w:hAnsi="Times New Roman"/>
          <w:bCs/>
        </w:rPr>
        <w:t xml:space="preserve"> </w:t>
      </w:r>
      <w:bookmarkEnd w:id="1"/>
      <w:bookmarkEnd w:id="2"/>
      <w:bookmarkEnd w:id="3"/>
    </w:p>
    <w:p w:rsidR="000E4633" w:rsidRPr="00C93493" w:rsidP="000E4633">
      <w:pPr>
        <w:bidi w:val="0"/>
        <w:rPr>
          <w:rFonts w:ascii="Times New Roman" w:hAnsi="Times New Roman"/>
        </w:rPr>
      </w:pPr>
    </w:p>
    <w:p w:rsidR="004606AB" w:rsidRPr="00C93493" w:rsidP="00130FFC">
      <w:pPr>
        <w:numPr>
          <w:numId w:val="16"/>
        </w:numPr>
        <w:bidi w:val="0"/>
        <w:ind w:right="-286"/>
        <w:rPr>
          <w:rFonts w:ascii="Times New Roman" w:hAnsi="Times New Roman"/>
          <w:szCs w:val="22"/>
        </w:rPr>
      </w:pPr>
      <w:r w:rsidRPr="00C93493">
        <w:rPr>
          <w:rFonts w:ascii="Times New Roman" w:hAnsi="Times New Roman"/>
          <w:b/>
          <w:szCs w:val="22"/>
        </w:rPr>
        <w:t>Schodok verejnej správy</w:t>
      </w:r>
      <w:r w:rsidRPr="00C93493">
        <w:rPr>
          <w:rFonts w:ascii="Times New Roman" w:hAnsi="Times New Roman"/>
          <w:szCs w:val="22"/>
        </w:rPr>
        <w:t xml:space="preserve"> podľa metodiky ESA 2010 </w:t>
      </w:r>
      <w:r w:rsidRPr="00C93493" w:rsidR="006C33A0">
        <w:rPr>
          <w:rFonts w:ascii="Times New Roman" w:hAnsi="Times New Roman"/>
          <w:b/>
          <w:szCs w:val="22"/>
        </w:rPr>
        <w:t>dosiahol v roku 201</w:t>
      </w:r>
      <w:r w:rsidRPr="00C93493" w:rsidR="00FA77B5">
        <w:rPr>
          <w:rFonts w:ascii="Times New Roman" w:hAnsi="Times New Roman"/>
          <w:b/>
          <w:szCs w:val="22"/>
        </w:rPr>
        <w:t>7</w:t>
      </w:r>
      <w:r w:rsidRPr="00C93493" w:rsidR="00C514D8">
        <w:rPr>
          <w:rFonts w:ascii="Times New Roman" w:hAnsi="Times New Roman"/>
          <w:b/>
          <w:szCs w:val="22"/>
        </w:rPr>
        <w:t xml:space="preserve"> </w:t>
      </w:r>
      <w:r w:rsidR="00A54E1B">
        <w:rPr>
          <w:rFonts w:ascii="Times New Roman" w:hAnsi="Times New Roman"/>
          <w:b/>
          <w:szCs w:val="22"/>
        </w:rPr>
        <w:t>hodnotu</w:t>
      </w:r>
      <w:r w:rsidRPr="00C93493" w:rsidR="00FA77B5">
        <w:rPr>
          <w:rFonts w:ascii="Times New Roman" w:hAnsi="Times New Roman"/>
          <w:b/>
          <w:szCs w:val="22"/>
        </w:rPr>
        <w:br/>
        <w:t>884 464</w:t>
      </w:r>
      <w:r w:rsidRPr="00C93493" w:rsidR="00977CD5">
        <w:rPr>
          <w:rFonts w:ascii="Times New Roman" w:hAnsi="Times New Roman"/>
          <w:b/>
          <w:szCs w:val="22"/>
        </w:rPr>
        <w:t> tis. </w:t>
      </w:r>
      <w:r w:rsidRPr="00C93493" w:rsidR="006C33A0">
        <w:rPr>
          <w:rFonts w:ascii="Times New Roman" w:hAnsi="Times New Roman"/>
          <w:b/>
          <w:szCs w:val="22"/>
        </w:rPr>
        <w:t xml:space="preserve">eur </w:t>
      </w:r>
      <w:r w:rsidR="00A54E1B">
        <w:rPr>
          <w:rFonts w:ascii="Times New Roman" w:hAnsi="Times New Roman"/>
          <w:b/>
          <w:szCs w:val="22"/>
        </w:rPr>
        <w:t xml:space="preserve">a v pomere k HDP išlo o historicky najnižšiu úroveň </w:t>
      </w:r>
      <w:r w:rsidRPr="00C93493" w:rsidR="006C33A0">
        <w:rPr>
          <w:rFonts w:ascii="Times New Roman" w:hAnsi="Times New Roman"/>
          <w:b/>
          <w:szCs w:val="22"/>
        </w:rPr>
        <w:t>1,</w:t>
      </w:r>
      <w:r w:rsidRPr="00C93493" w:rsidR="00FA77B5">
        <w:rPr>
          <w:rFonts w:ascii="Times New Roman" w:hAnsi="Times New Roman"/>
          <w:b/>
          <w:szCs w:val="22"/>
        </w:rPr>
        <w:t>04</w:t>
      </w:r>
      <w:r w:rsidRPr="00C93493" w:rsidR="006C33A0">
        <w:rPr>
          <w:rFonts w:ascii="Times New Roman" w:hAnsi="Times New Roman"/>
          <w:b/>
          <w:szCs w:val="22"/>
        </w:rPr>
        <w:t xml:space="preserve"> %</w:t>
      </w:r>
      <w:r w:rsidRPr="00C93493" w:rsidR="00C514D8">
        <w:rPr>
          <w:rFonts w:ascii="Times New Roman" w:hAnsi="Times New Roman"/>
          <w:b/>
          <w:szCs w:val="22"/>
        </w:rPr>
        <w:t xml:space="preserve">. </w:t>
      </w:r>
      <w:r w:rsidRPr="00C93493" w:rsidR="00C514D8">
        <w:rPr>
          <w:rFonts w:ascii="Times New Roman" w:hAnsi="Times New Roman"/>
          <w:szCs w:val="22"/>
        </w:rPr>
        <w:t>Dosiahnutý s</w:t>
      </w:r>
      <w:r w:rsidRPr="00C93493">
        <w:rPr>
          <w:rFonts w:ascii="Times New Roman" w:hAnsi="Times New Roman"/>
          <w:szCs w:val="22"/>
        </w:rPr>
        <w:t xml:space="preserve">chodok </w:t>
      </w:r>
      <w:r w:rsidRPr="00C93493" w:rsidR="00C514D8">
        <w:rPr>
          <w:rFonts w:ascii="Times New Roman" w:hAnsi="Times New Roman"/>
          <w:szCs w:val="22"/>
        </w:rPr>
        <w:t xml:space="preserve">v pomere k HDP bol </w:t>
      </w:r>
      <w:r w:rsidRPr="00C93493">
        <w:rPr>
          <w:rFonts w:ascii="Times New Roman" w:hAnsi="Times New Roman"/>
          <w:szCs w:val="22"/>
        </w:rPr>
        <w:t>oproti rozpočtovanej hodnote na rok 201</w:t>
      </w:r>
      <w:r w:rsidRPr="00C93493" w:rsidR="00FA77B5">
        <w:rPr>
          <w:rFonts w:ascii="Times New Roman" w:hAnsi="Times New Roman"/>
          <w:szCs w:val="22"/>
        </w:rPr>
        <w:t>7</w:t>
      </w:r>
      <w:r w:rsidRPr="00C93493">
        <w:rPr>
          <w:rFonts w:ascii="Times New Roman" w:hAnsi="Times New Roman"/>
          <w:szCs w:val="22"/>
        </w:rPr>
        <w:t xml:space="preserve"> </w:t>
      </w:r>
      <w:r w:rsidRPr="00C93493" w:rsidR="00C514D8">
        <w:rPr>
          <w:rFonts w:ascii="Times New Roman" w:hAnsi="Times New Roman"/>
          <w:szCs w:val="22"/>
        </w:rPr>
        <w:t xml:space="preserve">nižší </w:t>
      </w:r>
      <w:r w:rsidRPr="00C93493">
        <w:rPr>
          <w:rFonts w:ascii="Times New Roman" w:hAnsi="Times New Roman"/>
          <w:szCs w:val="22"/>
        </w:rPr>
        <w:t>o 0,</w:t>
      </w:r>
      <w:r w:rsidRPr="00C93493" w:rsidR="006C33A0">
        <w:rPr>
          <w:rFonts w:ascii="Times New Roman" w:hAnsi="Times New Roman"/>
          <w:szCs w:val="22"/>
        </w:rPr>
        <w:t>25</w:t>
      </w:r>
      <w:r w:rsidRPr="00C93493">
        <w:rPr>
          <w:rFonts w:ascii="Times New Roman" w:hAnsi="Times New Roman"/>
          <w:szCs w:val="22"/>
        </w:rPr>
        <w:t> </w:t>
      </w:r>
      <w:r w:rsidRPr="00C93493" w:rsidR="00634083">
        <w:rPr>
          <w:rFonts w:ascii="Times New Roman" w:hAnsi="Times New Roman"/>
          <w:szCs w:val="22"/>
        </w:rPr>
        <w:t>p.</w:t>
      </w:r>
      <w:r w:rsidRPr="00C93493" w:rsidR="008153BD">
        <w:rPr>
          <w:rFonts w:ascii="Times New Roman" w:hAnsi="Times New Roman"/>
          <w:szCs w:val="22"/>
        </w:rPr>
        <w:t xml:space="preserve"> </w:t>
      </w:r>
      <w:r w:rsidRPr="00C93493" w:rsidR="00634083">
        <w:rPr>
          <w:rFonts w:ascii="Times New Roman" w:hAnsi="Times New Roman"/>
          <w:szCs w:val="22"/>
        </w:rPr>
        <w:t>b.</w:t>
      </w:r>
      <w:r w:rsidRPr="00C93493">
        <w:rPr>
          <w:rFonts w:ascii="Times New Roman" w:hAnsi="Times New Roman"/>
          <w:szCs w:val="22"/>
        </w:rPr>
        <w:t xml:space="preserve"> a </w:t>
      </w:r>
      <w:r w:rsidRPr="00C93493">
        <w:rPr>
          <w:rFonts w:ascii="Times New Roman" w:hAnsi="Times New Roman"/>
          <w:b/>
          <w:szCs w:val="22"/>
        </w:rPr>
        <w:t xml:space="preserve">oproti </w:t>
      </w:r>
      <w:r w:rsidRPr="00C93493" w:rsidR="006C33A0">
        <w:rPr>
          <w:rFonts w:ascii="Times New Roman" w:hAnsi="Times New Roman"/>
          <w:b/>
          <w:szCs w:val="22"/>
        </w:rPr>
        <w:t xml:space="preserve">výsledku za </w:t>
      </w:r>
      <w:r w:rsidRPr="00C93493">
        <w:rPr>
          <w:rFonts w:ascii="Times New Roman" w:hAnsi="Times New Roman"/>
          <w:b/>
          <w:szCs w:val="22"/>
        </w:rPr>
        <w:t>rok 201</w:t>
      </w:r>
      <w:r w:rsidRPr="00C93493" w:rsidR="00FA77B5">
        <w:rPr>
          <w:rFonts w:ascii="Times New Roman" w:hAnsi="Times New Roman"/>
          <w:b/>
          <w:szCs w:val="22"/>
        </w:rPr>
        <w:t>6</w:t>
      </w:r>
      <w:r w:rsidRPr="00C93493">
        <w:rPr>
          <w:rFonts w:ascii="Times New Roman" w:hAnsi="Times New Roman"/>
          <w:b/>
          <w:szCs w:val="22"/>
        </w:rPr>
        <w:t xml:space="preserve"> bol</w:t>
      </w:r>
      <w:r w:rsidRPr="00C93493" w:rsidR="006C33A0">
        <w:rPr>
          <w:rFonts w:ascii="Times New Roman" w:hAnsi="Times New Roman"/>
          <w:b/>
          <w:szCs w:val="22"/>
        </w:rPr>
        <w:t xml:space="preserve"> nižší až </w:t>
      </w:r>
      <w:r w:rsidRPr="00C93493">
        <w:rPr>
          <w:rFonts w:ascii="Times New Roman" w:hAnsi="Times New Roman"/>
          <w:b/>
          <w:szCs w:val="22"/>
        </w:rPr>
        <w:t>o</w:t>
      </w:r>
      <w:r w:rsidRPr="00C93493" w:rsidR="006C33A0">
        <w:rPr>
          <w:rFonts w:ascii="Times New Roman" w:hAnsi="Times New Roman"/>
          <w:b/>
          <w:szCs w:val="22"/>
        </w:rPr>
        <w:t> 1,</w:t>
      </w:r>
      <w:r w:rsidRPr="00C93493" w:rsidR="00C93493">
        <w:rPr>
          <w:rFonts w:ascii="Times New Roman" w:hAnsi="Times New Roman"/>
          <w:b/>
          <w:szCs w:val="22"/>
        </w:rPr>
        <w:t>1</w:t>
      </w:r>
      <w:r w:rsidRPr="00C93493" w:rsidR="006C33A0">
        <w:rPr>
          <w:rFonts w:ascii="Times New Roman" w:hAnsi="Times New Roman"/>
          <w:b/>
          <w:szCs w:val="22"/>
        </w:rPr>
        <w:t xml:space="preserve">6 </w:t>
      </w:r>
      <w:r w:rsidRPr="00C93493" w:rsidR="00634083">
        <w:rPr>
          <w:rFonts w:ascii="Times New Roman" w:hAnsi="Times New Roman"/>
          <w:b/>
          <w:szCs w:val="22"/>
        </w:rPr>
        <w:t>p.</w:t>
      </w:r>
      <w:r w:rsidRPr="00C93493" w:rsidR="008153BD">
        <w:rPr>
          <w:rFonts w:ascii="Times New Roman" w:hAnsi="Times New Roman"/>
          <w:b/>
          <w:szCs w:val="22"/>
        </w:rPr>
        <w:t xml:space="preserve"> </w:t>
      </w:r>
      <w:r w:rsidRPr="00C93493" w:rsidR="00634083">
        <w:rPr>
          <w:rFonts w:ascii="Times New Roman" w:hAnsi="Times New Roman"/>
          <w:b/>
          <w:szCs w:val="22"/>
        </w:rPr>
        <w:t>b.</w:t>
      </w:r>
      <w:r w:rsidRPr="00C93493">
        <w:rPr>
          <w:rFonts w:ascii="Times New Roman" w:hAnsi="Times New Roman"/>
          <w:szCs w:val="22"/>
        </w:rPr>
        <w:t xml:space="preserve">. </w:t>
      </w:r>
    </w:p>
    <w:p w:rsidR="004606AB" w:rsidRPr="003F6C50" w:rsidP="00130FFC">
      <w:pPr>
        <w:numPr>
          <w:numId w:val="16"/>
        </w:numPr>
        <w:bidi w:val="0"/>
        <w:ind w:right="-286"/>
        <w:rPr>
          <w:rFonts w:ascii="Times New Roman" w:hAnsi="Times New Roman"/>
          <w:szCs w:val="22"/>
        </w:rPr>
      </w:pPr>
      <w:r w:rsidRPr="00C93493" w:rsidR="00634083">
        <w:rPr>
          <w:rFonts w:ascii="Times New Roman" w:hAnsi="Times New Roman"/>
          <w:szCs w:val="22"/>
        </w:rPr>
        <w:t>Plnenie r</w:t>
      </w:r>
      <w:r w:rsidRPr="00C93493">
        <w:rPr>
          <w:rFonts w:ascii="Times New Roman" w:hAnsi="Times New Roman"/>
          <w:szCs w:val="22"/>
        </w:rPr>
        <w:t>ozpočt</w:t>
      </w:r>
      <w:r w:rsidRPr="00C93493" w:rsidR="00634083">
        <w:rPr>
          <w:rFonts w:ascii="Times New Roman" w:hAnsi="Times New Roman"/>
          <w:szCs w:val="22"/>
        </w:rPr>
        <w:t>u</w:t>
      </w:r>
      <w:r w:rsidRPr="00C93493">
        <w:rPr>
          <w:rFonts w:ascii="Times New Roman" w:hAnsi="Times New Roman"/>
          <w:szCs w:val="22"/>
        </w:rPr>
        <w:t xml:space="preserve"> verejnej správy v roku 201</w:t>
      </w:r>
      <w:r w:rsidRPr="00C93493" w:rsidR="00C93493">
        <w:rPr>
          <w:rFonts w:ascii="Times New Roman" w:hAnsi="Times New Roman"/>
          <w:szCs w:val="22"/>
        </w:rPr>
        <w:t>7</w:t>
      </w:r>
      <w:r w:rsidRPr="00C93493">
        <w:rPr>
          <w:rFonts w:ascii="Times New Roman" w:hAnsi="Times New Roman"/>
          <w:szCs w:val="22"/>
        </w:rPr>
        <w:t xml:space="preserve"> </w:t>
      </w:r>
      <w:r w:rsidRPr="00C93493" w:rsidR="00634083">
        <w:rPr>
          <w:rFonts w:ascii="Times New Roman" w:hAnsi="Times New Roman"/>
          <w:szCs w:val="22"/>
        </w:rPr>
        <w:t xml:space="preserve">bolo </w:t>
      </w:r>
      <w:r w:rsidRPr="00C93493">
        <w:rPr>
          <w:rFonts w:ascii="Times New Roman" w:hAnsi="Times New Roman"/>
          <w:szCs w:val="22"/>
        </w:rPr>
        <w:t>ovplyvnen</w:t>
      </w:r>
      <w:r w:rsidRPr="00C93493" w:rsidR="00634083">
        <w:rPr>
          <w:rFonts w:ascii="Times New Roman" w:hAnsi="Times New Roman"/>
          <w:szCs w:val="22"/>
        </w:rPr>
        <w:t>é</w:t>
      </w:r>
      <w:r w:rsidRPr="00C93493">
        <w:rPr>
          <w:rFonts w:ascii="Times New Roman" w:hAnsi="Times New Roman"/>
          <w:szCs w:val="22"/>
        </w:rPr>
        <w:t xml:space="preserve"> viacerými faktormi. Na príjmy rozpočtu pozitívne vplýval rast ekonomiky SR</w:t>
      </w:r>
      <w:r w:rsidRPr="00C93493" w:rsidR="00634083">
        <w:rPr>
          <w:rFonts w:ascii="Times New Roman" w:hAnsi="Times New Roman"/>
          <w:szCs w:val="22"/>
        </w:rPr>
        <w:t>,</w:t>
      </w:r>
      <w:r w:rsidRPr="00C93493">
        <w:rPr>
          <w:rFonts w:ascii="Times New Roman" w:hAnsi="Times New Roman"/>
          <w:szCs w:val="22"/>
        </w:rPr>
        <w:t xml:space="preserve"> s t</w:t>
      </w:r>
      <w:r w:rsidRPr="00C93493" w:rsidR="006C33A0">
        <w:rPr>
          <w:rFonts w:ascii="Times New Roman" w:hAnsi="Times New Roman"/>
          <w:szCs w:val="22"/>
        </w:rPr>
        <w:t>ým súvisiaci rast zamestnanosti a</w:t>
      </w:r>
      <w:r w:rsidRPr="00C93493">
        <w:rPr>
          <w:rFonts w:ascii="Times New Roman" w:hAnsi="Times New Roman"/>
          <w:szCs w:val="22"/>
        </w:rPr>
        <w:t xml:space="preserve"> lepší výber </w:t>
      </w:r>
      <w:r w:rsidRPr="00C93493" w:rsidR="00634083">
        <w:rPr>
          <w:rFonts w:ascii="Times New Roman" w:hAnsi="Times New Roman"/>
          <w:szCs w:val="22"/>
        </w:rPr>
        <w:t>odvodov</w:t>
      </w:r>
      <w:r w:rsidRPr="00C93493">
        <w:rPr>
          <w:rFonts w:ascii="Times New Roman" w:hAnsi="Times New Roman"/>
          <w:szCs w:val="22"/>
        </w:rPr>
        <w:t xml:space="preserve">. </w:t>
      </w:r>
      <w:r w:rsidRPr="00C93493" w:rsidR="006C33A0">
        <w:rPr>
          <w:rFonts w:ascii="Times New Roman" w:hAnsi="Times New Roman"/>
          <w:szCs w:val="22"/>
        </w:rPr>
        <w:t xml:space="preserve">V rámci ekonomiky SR sa </w:t>
      </w:r>
      <w:r w:rsidRPr="00C93493" w:rsidR="00870D19">
        <w:rPr>
          <w:rFonts w:ascii="Times New Roman" w:hAnsi="Times New Roman"/>
          <w:szCs w:val="22"/>
        </w:rPr>
        <w:t xml:space="preserve">medziročne </w:t>
      </w:r>
      <w:r w:rsidRPr="00C93493" w:rsidR="006C33A0">
        <w:rPr>
          <w:rFonts w:ascii="Times New Roman" w:hAnsi="Times New Roman"/>
          <w:szCs w:val="22"/>
        </w:rPr>
        <w:t xml:space="preserve">vytvorilo </w:t>
      </w:r>
      <w:r w:rsidRPr="00C93493" w:rsidR="00D91565">
        <w:rPr>
          <w:rFonts w:ascii="Times New Roman" w:hAnsi="Times New Roman"/>
          <w:szCs w:val="22"/>
        </w:rPr>
        <w:t>viac ako</w:t>
      </w:r>
      <w:r w:rsidRPr="00C93493" w:rsidR="006C33A0">
        <w:rPr>
          <w:rFonts w:ascii="Times New Roman" w:hAnsi="Times New Roman"/>
          <w:szCs w:val="22"/>
        </w:rPr>
        <w:t xml:space="preserve"> 5</w:t>
      </w:r>
      <w:r w:rsidRPr="00C93493" w:rsidR="00C93493">
        <w:rPr>
          <w:rFonts w:ascii="Times New Roman" w:hAnsi="Times New Roman"/>
          <w:szCs w:val="22"/>
        </w:rPr>
        <w:t>1</w:t>
      </w:r>
      <w:r w:rsidRPr="00C93493" w:rsidR="006C33A0">
        <w:rPr>
          <w:rFonts w:ascii="Times New Roman" w:hAnsi="Times New Roman"/>
          <w:szCs w:val="22"/>
        </w:rPr>
        <w:t xml:space="preserve"> t</w:t>
      </w:r>
      <w:r w:rsidRPr="00C93493" w:rsidR="000D4E9E">
        <w:rPr>
          <w:rFonts w:ascii="Times New Roman" w:hAnsi="Times New Roman"/>
          <w:szCs w:val="22"/>
        </w:rPr>
        <w:t>is. nových pracovných miest</w:t>
      </w:r>
      <w:r w:rsidRPr="00C93493" w:rsidR="00C93493">
        <w:rPr>
          <w:rFonts w:ascii="Times New Roman" w:hAnsi="Times New Roman"/>
          <w:szCs w:val="22"/>
        </w:rPr>
        <w:t xml:space="preserve"> (v roku 2016: 5</w:t>
      </w:r>
      <w:r w:rsidR="009612A3">
        <w:rPr>
          <w:rFonts w:ascii="Times New Roman" w:hAnsi="Times New Roman"/>
          <w:szCs w:val="22"/>
        </w:rPr>
        <w:t>4</w:t>
      </w:r>
      <w:r w:rsidRPr="00C93493" w:rsidR="00C93493">
        <w:rPr>
          <w:rFonts w:ascii="Times New Roman" w:hAnsi="Times New Roman"/>
          <w:szCs w:val="22"/>
        </w:rPr>
        <w:t xml:space="preserve"> tis.)</w:t>
      </w:r>
      <w:r w:rsidRPr="00C93493" w:rsidR="000D4E9E">
        <w:rPr>
          <w:rFonts w:ascii="Times New Roman" w:hAnsi="Times New Roman"/>
          <w:szCs w:val="22"/>
        </w:rPr>
        <w:t>, čo pozitívne ovplyvnilo nielen príjmy verejnej správy, ale aj výdavky, keďže bola napríklad nižšia potreba financovania príspevkov nezamestnaným.</w:t>
      </w:r>
      <w:r w:rsidRPr="00C93493">
        <w:rPr>
          <w:rFonts w:ascii="Times New Roman" w:hAnsi="Times New Roman"/>
          <w:szCs w:val="22"/>
        </w:rPr>
        <w:t xml:space="preserve"> </w:t>
      </w:r>
      <w:r w:rsidRPr="00223682" w:rsidR="000E094A">
        <w:rPr>
          <w:rFonts w:ascii="Times New Roman" w:hAnsi="Times New Roman"/>
          <w:b/>
          <w:bCs/>
          <w:color w:val="000000"/>
          <w:szCs w:val="22"/>
        </w:rPr>
        <w:t>Daňové a odvodové príjmy verejnej správy za rok 2017</w:t>
      </w:r>
      <w:r w:rsidRPr="00223682" w:rsidR="000E094A">
        <w:rPr>
          <w:rFonts w:ascii="Times New Roman" w:hAnsi="Times New Roman"/>
          <w:color w:val="000000"/>
          <w:szCs w:val="22"/>
        </w:rPr>
        <w:t xml:space="preserve"> boli oproti schválenému rozpočtu vyššie o</w:t>
      </w:r>
      <w:r w:rsidR="000E094A">
        <w:rPr>
          <w:rFonts w:ascii="Times New Roman" w:hAnsi="Times New Roman"/>
          <w:color w:val="000000"/>
          <w:szCs w:val="22"/>
        </w:rPr>
        <w:t> </w:t>
      </w:r>
      <w:r w:rsidR="000E094A">
        <w:rPr>
          <w:rFonts w:ascii="Times New Roman" w:hAnsi="Times New Roman"/>
          <w:bCs/>
          <w:color w:val="000000"/>
          <w:szCs w:val="22"/>
        </w:rPr>
        <w:t xml:space="preserve">249 </w:t>
      </w:r>
      <w:r w:rsidR="009612A3">
        <w:rPr>
          <w:rFonts w:ascii="Times New Roman" w:hAnsi="Times New Roman"/>
          <w:bCs/>
          <w:color w:val="000000"/>
          <w:szCs w:val="22"/>
        </w:rPr>
        <w:t>961</w:t>
      </w:r>
      <w:r w:rsidRPr="00223682" w:rsidR="000E094A">
        <w:rPr>
          <w:rFonts w:ascii="Times New Roman" w:hAnsi="Times New Roman"/>
          <w:bCs/>
          <w:color w:val="000000"/>
          <w:szCs w:val="22"/>
        </w:rPr>
        <w:t> tis. eur</w:t>
      </w:r>
      <w:r w:rsidR="000E094A">
        <w:rPr>
          <w:rFonts w:ascii="Times New Roman" w:hAnsi="Times New Roman"/>
          <w:bCs/>
          <w:color w:val="000000"/>
          <w:szCs w:val="22"/>
        </w:rPr>
        <w:t>.</w:t>
      </w:r>
      <w:r w:rsidRPr="003F6C50" w:rsidR="000E094A">
        <w:rPr>
          <w:rFonts w:ascii="Times New Roman" w:hAnsi="Times New Roman"/>
          <w:szCs w:val="22"/>
        </w:rPr>
        <w:t xml:space="preserve"> </w:t>
      </w:r>
      <w:r w:rsidRPr="003F6C50" w:rsidR="00CA2320">
        <w:rPr>
          <w:rFonts w:ascii="Times New Roman" w:hAnsi="Times New Roman"/>
          <w:szCs w:val="22"/>
        </w:rPr>
        <w:t>Pozitívne sa skončilo hospodáreni</w:t>
      </w:r>
      <w:r w:rsidRPr="003F6C50" w:rsidR="006D0B6D">
        <w:rPr>
          <w:rFonts w:ascii="Times New Roman" w:hAnsi="Times New Roman"/>
          <w:szCs w:val="22"/>
        </w:rPr>
        <w:t>e</w:t>
      </w:r>
      <w:r w:rsidRPr="003F6C50" w:rsidR="00CA2320">
        <w:rPr>
          <w:rFonts w:ascii="Times New Roman" w:hAnsi="Times New Roman"/>
          <w:szCs w:val="22"/>
        </w:rPr>
        <w:t xml:space="preserve"> </w:t>
      </w:r>
      <w:r w:rsidRPr="003F6C50" w:rsidR="00C93493">
        <w:rPr>
          <w:rFonts w:ascii="Times New Roman" w:hAnsi="Times New Roman"/>
          <w:szCs w:val="22"/>
        </w:rPr>
        <w:t>Sociálnej poisťovne a oblasti verejného zdravotného poistenia, na ktoré mal</w:t>
      </w:r>
      <w:r w:rsidR="003F6C50">
        <w:rPr>
          <w:rFonts w:ascii="Times New Roman" w:hAnsi="Times New Roman"/>
          <w:szCs w:val="22"/>
        </w:rPr>
        <w:t>i</w:t>
      </w:r>
      <w:r w:rsidRPr="003F6C50" w:rsidR="00C93493">
        <w:rPr>
          <w:rFonts w:ascii="Times New Roman" w:hAnsi="Times New Roman"/>
          <w:szCs w:val="22"/>
        </w:rPr>
        <w:t xml:space="preserve"> vplyv najmä vývoj zamestnanosti a rast miezd.</w:t>
      </w:r>
      <w:r w:rsidRPr="003F6C50" w:rsidR="00CA2320">
        <w:rPr>
          <w:rFonts w:ascii="Times New Roman" w:hAnsi="Times New Roman"/>
          <w:szCs w:val="22"/>
        </w:rPr>
        <w:t xml:space="preserve"> </w:t>
      </w:r>
    </w:p>
    <w:p w:rsidR="004606AB" w:rsidRPr="00442E9A" w:rsidP="00130FFC">
      <w:pPr>
        <w:numPr>
          <w:numId w:val="16"/>
        </w:numPr>
        <w:bidi w:val="0"/>
        <w:ind w:right="-286"/>
        <w:rPr>
          <w:rFonts w:ascii="Times New Roman" w:hAnsi="Times New Roman"/>
          <w:szCs w:val="22"/>
        </w:rPr>
      </w:pPr>
      <w:r w:rsidRPr="00442E9A">
        <w:rPr>
          <w:rFonts w:ascii="Times New Roman" w:hAnsi="Times New Roman"/>
          <w:b/>
          <w:szCs w:val="22"/>
        </w:rPr>
        <w:t>Dlh verejnej správy</w:t>
      </w:r>
      <w:r w:rsidRPr="00442E9A">
        <w:rPr>
          <w:rFonts w:ascii="Times New Roman" w:hAnsi="Times New Roman"/>
          <w:szCs w:val="22"/>
        </w:rPr>
        <w:t xml:space="preserve"> podľa metodiky ESA 2010 </w:t>
      </w:r>
      <w:r w:rsidRPr="00442E9A">
        <w:rPr>
          <w:rFonts w:ascii="Times New Roman" w:hAnsi="Times New Roman"/>
          <w:b/>
          <w:szCs w:val="22"/>
        </w:rPr>
        <w:t>dosiahol k 31.12.201</w:t>
      </w:r>
      <w:r w:rsidRPr="00442E9A" w:rsidR="004F49DB">
        <w:rPr>
          <w:rFonts w:ascii="Times New Roman" w:hAnsi="Times New Roman"/>
          <w:b/>
          <w:szCs w:val="22"/>
        </w:rPr>
        <w:t>7</w:t>
      </w:r>
      <w:r w:rsidRPr="00442E9A">
        <w:rPr>
          <w:rFonts w:ascii="Times New Roman" w:hAnsi="Times New Roman"/>
          <w:b/>
          <w:szCs w:val="22"/>
        </w:rPr>
        <w:t xml:space="preserve"> výšku </w:t>
      </w:r>
      <w:r w:rsidRPr="00442E9A" w:rsidR="004F49DB">
        <w:rPr>
          <w:rFonts w:ascii="Times New Roman" w:hAnsi="Times New Roman"/>
          <w:b/>
          <w:szCs w:val="22"/>
        </w:rPr>
        <w:t>43 226 tis. eur</w:t>
      </w:r>
      <w:r w:rsidRPr="00442E9A">
        <w:rPr>
          <w:rFonts w:ascii="Times New Roman" w:hAnsi="Times New Roman"/>
          <w:b/>
          <w:szCs w:val="22"/>
        </w:rPr>
        <w:t xml:space="preserve"> (5</w:t>
      </w:r>
      <w:r w:rsidRPr="00442E9A" w:rsidR="00200912">
        <w:rPr>
          <w:rFonts w:ascii="Times New Roman" w:hAnsi="Times New Roman"/>
          <w:b/>
          <w:szCs w:val="22"/>
        </w:rPr>
        <w:t>0</w:t>
      </w:r>
      <w:r w:rsidRPr="00442E9A">
        <w:rPr>
          <w:rFonts w:ascii="Times New Roman" w:hAnsi="Times New Roman"/>
          <w:b/>
          <w:szCs w:val="22"/>
        </w:rPr>
        <w:t>,9 % HDP)</w:t>
      </w:r>
      <w:r w:rsidRPr="00442E9A">
        <w:rPr>
          <w:rFonts w:ascii="Times New Roman" w:hAnsi="Times New Roman"/>
          <w:szCs w:val="22"/>
        </w:rPr>
        <w:t>. Dlh verejnej správy sa v roku 201</w:t>
      </w:r>
      <w:r w:rsidRPr="00442E9A" w:rsidR="00200912">
        <w:rPr>
          <w:rFonts w:ascii="Times New Roman" w:hAnsi="Times New Roman"/>
          <w:szCs w:val="22"/>
        </w:rPr>
        <w:t>7</w:t>
      </w:r>
      <w:r w:rsidRPr="00442E9A">
        <w:rPr>
          <w:rFonts w:ascii="Times New Roman" w:hAnsi="Times New Roman"/>
          <w:szCs w:val="22"/>
        </w:rPr>
        <w:t xml:space="preserve"> </w:t>
      </w:r>
      <w:r w:rsidRPr="00442E9A">
        <w:rPr>
          <w:rFonts w:ascii="Times New Roman" w:hAnsi="Times New Roman"/>
          <w:b/>
          <w:szCs w:val="22"/>
        </w:rPr>
        <w:t>oproti predchádzajúcemu roku 201</w:t>
      </w:r>
      <w:r w:rsidRPr="00442E9A" w:rsidR="00200912">
        <w:rPr>
          <w:rFonts w:ascii="Times New Roman" w:hAnsi="Times New Roman"/>
          <w:b/>
          <w:szCs w:val="22"/>
        </w:rPr>
        <w:t>6</w:t>
      </w:r>
      <w:r w:rsidRPr="00442E9A">
        <w:rPr>
          <w:rFonts w:ascii="Times New Roman" w:hAnsi="Times New Roman"/>
          <w:b/>
          <w:szCs w:val="22"/>
        </w:rPr>
        <w:t xml:space="preserve"> znížil </w:t>
      </w:r>
      <w:r w:rsidRPr="00442E9A" w:rsidR="00634083">
        <w:rPr>
          <w:rFonts w:ascii="Times New Roman" w:hAnsi="Times New Roman"/>
          <w:b/>
          <w:szCs w:val="22"/>
        </w:rPr>
        <w:t xml:space="preserve">v pomere k HDP </w:t>
      </w:r>
      <w:r w:rsidRPr="00442E9A">
        <w:rPr>
          <w:rFonts w:ascii="Times New Roman" w:hAnsi="Times New Roman"/>
          <w:b/>
          <w:szCs w:val="22"/>
        </w:rPr>
        <w:t>o </w:t>
      </w:r>
      <w:r w:rsidRPr="00442E9A" w:rsidR="00200912">
        <w:rPr>
          <w:rFonts w:ascii="Times New Roman" w:hAnsi="Times New Roman"/>
          <w:b/>
          <w:szCs w:val="22"/>
        </w:rPr>
        <w:t>1</w:t>
      </w:r>
      <w:r w:rsidRPr="00442E9A">
        <w:rPr>
          <w:rFonts w:ascii="Times New Roman" w:hAnsi="Times New Roman"/>
          <w:b/>
          <w:szCs w:val="22"/>
        </w:rPr>
        <w:t> </w:t>
      </w:r>
      <w:r w:rsidRPr="00442E9A" w:rsidR="00634083">
        <w:rPr>
          <w:rFonts w:ascii="Times New Roman" w:hAnsi="Times New Roman"/>
          <w:b/>
          <w:szCs w:val="22"/>
        </w:rPr>
        <w:t>p.</w:t>
      </w:r>
      <w:r w:rsidRPr="00442E9A" w:rsidR="00200912">
        <w:rPr>
          <w:rFonts w:ascii="Times New Roman" w:hAnsi="Times New Roman"/>
          <w:b/>
          <w:szCs w:val="22"/>
        </w:rPr>
        <w:t xml:space="preserve"> </w:t>
      </w:r>
      <w:r w:rsidRPr="00442E9A" w:rsidR="00634083">
        <w:rPr>
          <w:rFonts w:ascii="Times New Roman" w:hAnsi="Times New Roman"/>
          <w:b/>
          <w:szCs w:val="22"/>
        </w:rPr>
        <w:t>b.</w:t>
      </w:r>
      <w:r w:rsidR="005C60FB">
        <w:rPr>
          <w:rFonts w:ascii="Times New Roman" w:hAnsi="Times New Roman"/>
          <w:szCs w:val="22"/>
        </w:rPr>
        <w:t xml:space="preserve">, pričom klesá už </w:t>
      </w:r>
      <w:r w:rsidR="0005775B">
        <w:rPr>
          <w:rFonts w:ascii="Times New Roman" w:hAnsi="Times New Roman"/>
          <w:szCs w:val="22"/>
        </w:rPr>
        <w:t>štvrtý</w:t>
      </w:r>
      <w:r w:rsidR="005C60FB">
        <w:rPr>
          <w:rFonts w:ascii="Times New Roman" w:hAnsi="Times New Roman"/>
          <w:szCs w:val="22"/>
        </w:rPr>
        <w:t xml:space="preserve"> rok v rade.</w:t>
      </w:r>
      <w:r w:rsidRPr="00442E9A">
        <w:rPr>
          <w:rFonts w:ascii="Times New Roman" w:hAnsi="Times New Roman"/>
          <w:szCs w:val="22"/>
        </w:rPr>
        <w:t xml:space="preserve"> V rámci Európskej únie (28 krajín) v roku 201</w:t>
      </w:r>
      <w:r w:rsidRPr="00442E9A" w:rsidR="00200912">
        <w:rPr>
          <w:rFonts w:ascii="Times New Roman" w:hAnsi="Times New Roman"/>
          <w:szCs w:val="22"/>
        </w:rPr>
        <w:t>7</w:t>
      </w:r>
      <w:r w:rsidRPr="00442E9A">
        <w:rPr>
          <w:rFonts w:ascii="Times New Roman" w:hAnsi="Times New Roman"/>
          <w:szCs w:val="22"/>
        </w:rPr>
        <w:t xml:space="preserve"> dosiahlo </w:t>
      </w:r>
      <w:r w:rsidRPr="00442E9A" w:rsidR="007454A3">
        <w:rPr>
          <w:rFonts w:ascii="Times New Roman" w:hAnsi="Times New Roman"/>
          <w:szCs w:val="22"/>
        </w:rPr>
        <w:t>8</w:t>
      </w:r>
      <w:r w:rsidRPr="00442E9A">
        <w:rPr>
          <w:rFonts w:ascii="Times New Roman" w:hAnsi="Times New Roman"/>
          <w:szCs w:val="22"/>
        </w:rPr>
        <w:t xml:space="preserve"> krajín vyšší schodok a </w:t>
      </w:r>
      <w:r w:rsidRPr="00442E9A" w:rsidR="007454A3">
        <w:rPr>
          <w:rFonts w:ascii="Times New Roman" w:hAnsi="Times New Roman"/>
          <w:szCs w:val="22"/>
        </w:rPr>
        <w:t>16</w:t>
      </w:r>
      <w:r w:rsidRPr="00442E9A">
        <w:rPr>
          <w:rFonts w:ascii="Times New Roman" w:hAnsi="Times New Roman"/>
          <w:szCs w:val="22"/>
        </w:rPr>
        <w:t xml:space="preserve"> krajín dosiahlo vyšší dlh verejnej správy ako Slovenská republika. </w:t>
      </w:r>
      <w:r w:rsidRPr="00442E9A" w:rsidR="00634083">
        <w:rPr>
          <w:rFonts w:ascii="Times New Roman" w:hAnsi="Times New Roman"/>
          <w:szCs w:val="22"/>
        </w:rPr>
        <w:t>Za rok 201</w:t>
      </w:r>
      <w:r w:rsidRPr="00442E9A" w:rsidR="00200912">
        <w:rPr>
          <w:rFonts w:ascii="Times New Roman" w:hAnsi="Times New Roman"/>
          <w:szCs w:val="22"/>
        </w:rPr>
        <w:t>7</w:t>
      </w:r>
      <w:r w:rsidRPr="00442E9A" w:rsidR="00634083">
        <w:rPr>
          <w:rFonts w:ascii="Times New Roman" w:hAnsi="Times New Roman"/>
          <w:szCs w:val="22"/>
        </w:rPr>
        <w:t xml:space="preserve"> bol p</w:t>
      </w:r>
      <w:r w:rsidRPr="00442E9A">
        <w:rPr>
          <w:rFonts w:ascii="Times New Roman" w:hAnsi="Times New Roman"/>
          <w:b/>
          <w:szCs w:val="22"/>
        </w:rPr>
        <w:t xml:space="preserve">riemerný schodok EÚ 28 </w:t>
      </w:r>
      <w:r w:rsidRPr="00442E9A" w:rsidR="00634083">
        <w:rPr>
          <w:rFonts w:ascii="Times New Roman" w:hAnsi="Times New Roman"/>
          <w:b/>
          <w:szCs w:val="22"/>
        </w:rPr>
        <w:t>vo výške</w:t>
      </w:r>
      <w:r w:rsidRPr="00442E9A">
        <w:rPr>
          <w:rFonts w:ascii="Times New Roman" w:hAnsi="Times New Roman"/>
          <w:b/>
          <w:szCs w:val="22"/>
        </w:rPr>
        <w:t xml:space="preserve"> </w:t>
      </w:r>
      <w:r w:rsidRPr="00442E9A" w:rsidR="007454A3">
        <w:rPr>
          <w:rFonts w:ascii="Times New Roman" w:hAnsi="Times New Roman"/>
          <w:b/>
          <w:szCs w:val="22"/>
        </w:rPr>
        <w:t>1,0</w:t>
      </w:r>
      <w:r w:rsidRPr="00442E9A">
        <w:rPr>
          <w:rFonts w:ascii="Times New Roman" w:hAnsi="Times New Roman"/>
          <w:b/>
          <w:szCs w:val="22"/>
        </w:rPr>
        <w:t> % HDP</w:t>
      </w:r>
      <w:r w:rsidRPr="00442E9A">
        <w:rPr>
          <w:rFonts w:ascii="Times New Roman" w:hAnsi="Times New Roman"/>
          <w:szCs w:val="22"/>
        </w:rPr>
        <w:t xml:space="preserve"> a </w:t>
      </w:r>
      <w:r w:rsidRPr="00442E9A">
        <w:rPr>
          <w:rFonts w:ascii="Times New Roman" w:hAnsi="Times New Roman"/>
          <w:b/>
          <w:szCs w:val="22"/>
        </w:rPr>
        <w:t xml:space="preserve">priemerný dlh verejnej správy EÚ 28 </w:t>
      </w:r>
      <w:r w:rsidRPr="00442E9A" w:rsidR="00634083">
        <w:rPr>
          <w:rFonts w:ascii="Times New Roman" w:hAnsi="Times New Roman"/>
          <w:b/>
          <w:szCs w:val="22"/>
        </w:rPr>
        <w:t>dosiahol</w:t>
      </w:r>
      <w:r w:rsidRPr="00442E9A">
        <w:rPr>
          <w:rFonts w:ascii="Times New Roman" w:hAnsi="Times New Roman"/>
          <w:b/>
          <w:szCs w:val="22"/>
        </w:rPr>
        <w:t xml:space="preserve"> </w:t>
      </w:r>
      <w:r w:rsidRPr="00442E9A" w:rsidR="007454A3">
        <w:rPr>
          <w:rFonts w:ascii="Times New Roman" w:hAnsi="Times New Roman"/>
          <w:b/>
          <w:szCs w:val="22"/>
        </w:rPr>
        <w:t>81</w:t>
      </w:r>
      <w:r w:rsidRPr="00442E9A">
        <w:rPr>
          <w:rFonts w:ascii="Times New Roman" w:hAnsi="Times New Roman"/>
          <w:b/>
          <w:szCs w:val="22"/>
        </w:rPr>
        <w:t>,</w:t>
      </w:r>
      <w:r w:rsidRPr="00442E9A" w:rsidR="007454A3">
        <w:rPr>
          <w:rFonts w:ascii="Times New Roman" w:hAnsi="Times New Roman"/>
          <w:b/>
          <w:szCs w:val="22"/>
        </w:rPr>
        <w:t>6</w:t>
      </w:r>
      <w:r w:rsidRPr="00442E9A">
        <w:rPr>
          <w:rFonts w:ascii="Times New Roman" w:hAnsi="Times New Roman"/>
          <w:b/>
          <w:szCs w:val="22"/>
        </w:rPr>
        <w:t> % HDP</w:t>
      </w:r>
      <w:r w:rsidRPr="00442E9A" w:rsidR="00634083">
        <w:rPr>
          <w:rFonts w:ascii="Times New Roman" w:hAnsi="Times New Roman"/>
          <w:szCs w:val="22"/>
        </w:rPr>
        <w:t>.</w:t>
      </w:r>
      <w:r w:rsidRPr="00442E9A">
        <w:rPr>
          <w:rFonts w:ascii="Times New Roman" w:hAnsi="Times New Roman"/>
          <w:szCs w:val="22"/>
        </w:rPr>
        <w:t xml:space="preserve">  </w:t>
      </w:r>
    </w:p>
    <w:p w:rsidR="004606AB" w:rsidRPr="00221DB8" w:rsidP="00130FFC">
      <w:pPr>
        <w:numPr>
          <w:numId w:val="16"/>
        </w:numPr>
        <w:bidi w:val="0"/>
        <w:ind w:right="-286"/>
        <w:rPr>
          <w:rFonts w:ascii="Times New Roman" w:hAnsi="Times New Roman"/>
          <w:szCs w:val="22"/>
        </w:rPr>
      </w:pPr>
      <w:r w:rsidRPr="00221DB8">
        <w:rPr>
          <w:rFonts w:ascii="Times New Roman" w:hAnsi="Times New Roman"/>
          <w:szCs w:val="22"/>
        </w:rPr>
        <w:t xml:space="preserve">Na dosiahnutie nižšieho </w:t>
      </w:r>
      <w:r w:rsidRPr="00221DB8" w:rsidR="00D91565">
        <w:rPr>
          <w:rFonts w:ascii="Times New Roman" w:hAnsi="Times New Roman"/>
          <w:szCs w:val="22"/>
        </w:rPr>
        <w:t xml:space="preserve">schodku ako aj </w:t>
      </w:r>
      <w:r w:rsidRPr="00221DB8">
        <w:rPr>
          <w:rFonts w:ascii="Times New Roman" w:hAnsi="Times New Roman"/>
          <w:szCs w:val="22"/>
        </w:rPr>
        <w:t xml:space="preserve">dlhu </w:t>
      </w:r>
      <w:r w:rsidRPr="00221DB8" w:rsidR="00D91565">
        <w:rPr>
          <w:rFonts w:ascii="Times New Roman" w:hAnsi="Times New Roman"/>
          <w:szCs w:val="22"/>
        </w:rPr>
        <w:t xml:space="preserve">verejnej správy </w:t>
      </w:r>
      <w:r w:rsidRPr="00221DB8">
        <w:rPr>
          <w:rFonts w:ascii="Times New Roman" w:hAnsi="Times New Roman"/>
          <w:szCs w:val="22"/>
        </w:rPr>
        <w:t xml:space="preserve">oproti rozpočtovanému mal pozitívny vplyv </w:t>
      </w:r>
      <w:r w:rsidRPr="00221DB8" w:rsidR="003B722E">
        <w:rPr>
          <w:rFonts w:ascii="Times New Roman" w:hAnsi="Times New Roman"/>
          <w:szCs w:val="22"/>
        </w:rPr>
        <w:t xml:space="preserve">aj </w:t>
      </w:r>
      <w:r w:rsidRPr="00221DB8">
        <w:rPr>
          <w:rFonts w:ascii="Times New Roman" w:hAnsi="Times New Roman"/>
          <w:b/>
          <w:szCs w:val="22"/>
        </w:rPr>
        <w:t>nižší hotovostný schodok štátneho rozpočtu o</w:t>
      </w:r>
      <w:r w:rsidRPr="00221DB8" w:rsidR="00E04431">
        <w:rPr>
          <w:rFonts w:ascii="Times New Roman" w:hAnsi="Times New Roman"/>
          <w:b/>
          <w:szCs w:val="22"/>
        </w:rPr>
        <w:t> </w:t>
      </w:r>
      <w:r w:rsidRPr="00221DB8" w:rsidR="00200912">
        <w:rPr>
          <w:rFonts w:ascii="Times New Roman" w:hAnsi="Times New Roman"/>
          <w:b/>
          <w:szCs w:val="22"/>
        </w:rPr>
        <w:t>773</w:t>
      </w:r>
      <w:r w:rsidRPr="00221DB8">
        <w:rPr>
          <w:rFonts w:ascii="Times New Roman" w:hAnsi="Times New Roman"/>
          <w:b/>
          <w:szCs w:val="22"/>
        </w:rPr>
        <w:t xml:space="preserve"> </w:t>
      </w:r>
      <w:r w:rsidR="00221DB8">
        <w:rPr>
          <w:rFonts w:ascii="Times New Roman" w:hAnsi="Times New Roman"/>
          <w:b/>
          <w:szCs w:val="22"/>
        </w:rPr>
        <w:t xml:space="preserve"> 087 </w:t>
      </w:r>
      <w:r w:rsidRPr="00221DB8">
        <w:rPr>
          <w:rFonts w:ascii="Times New Roman" w:hAnsi="Times New Roman"/>
          <w:b/>
          <w:szCs w:val="22"/>
        </w:rPr>
        <w:t xml:space="preserve">tis. eur </w:t>
      </w:r>
      <w:r w:rsidRPr="00221DB8">
        <w:rPr>
          <w:rFonts w:ascii="Times New Roman" w:hAnsi="Times New Roman"/>
          <w:szCs w:val="22"/>
        </w:rPr>
        <w:t>a tým aj nižšia potreba jeho refinancovania.</w:t>
      </w:r>
      <w:r w:rsidRPr="00221DB8">
        <w:rPr>
          <w:rFonts w:ascii="Times New Roman" w:hAnsi="Times New Roman"/>
          <w:color w:val="1F497D"/>
          <w:szCs w:val="22"/>
        </w:rPr>
        <w:t xml:space="preserve"> </w:t>
      </w:r>
    </w:p>
    <w:p w:rsidR="00E04431" w:rsidRPr="00221DB8" w:rsidP="00130FFC">
      <w:pPr>
        <w:numPr>
          <w:numId w:val="16"/>
        </w:numPr>
        <w:bidi w:val="0"/>
        <w:ind w:left="357" w:right="-286" w:hanging="357"/>
        <w:rPr>
          <w:rFonts w:ascii="Times New Roman" w:hAnsi="Times New Roman"/>
          <w:szCs w:val="22"/>
        </w:rPr>
      </w:pPr>
      <w:r w:rsidRPr="00221DB8" w:rsidR="004606AB">
        <w:rPr>
          <w:rFonts w:ascii="Times New Roman" w:hAnsi="Times New Roman"/>
          <w:b/>
          <w:bCs/>
          <w:szCs w:val="22"/>
        </w:rPr>
        <w:t>Hotovostné príjmy štátneho rozpočtu</w:t>
      </w:r>
      <w:r w:rsidRPr="00221DB8" w:rsidR="004606AB">
        <w:rPr>
          <w:rFonts w:ascii="Times New Roman" w:hAnsi="Times New Roman"/>
          <w:szCs w:val="22"/>
        </w:rPr>
        <w:t xml:space="preserve"> dosiahli v roku 201</w:t>
      </w:r>
      <w:r w:rsidRPr="00221DB8" w:rsidR="00200912">
        <w:rPr>
          <w:rFonts w:ascii="Times New Roman" w:hAnsi="Times New Roman"/>
          <w:szCs w:val="22"/>
        </w:rPr>
        <w:t>7</w:t>
      </w:r>
      <w:r w:rsidRPr="00221DB8" w:rsidR="004606AB">
        <w:rPr>
          <w:rFonts w:ascii="Times New Roman" w:hAnsi="Times New Roman"/>
          <w:szCs w:val="22"/>
        </w:rPr>
        <w:t xml:space="preserve"> výšku </w:t>
      </w:r>
      <w:r w:rsidRPr="00221DB8" w:rsidR="00CD2967">
        <w:rPr>
          <w:rFonts w:ascii="Times New Roman" w:hAnsi="Times New Roman"/>
          <w:szCs w:val="22"/>
        </w:rPr>
        <w:t>14</w:t>
      </w:r>
      <w:r w:rsidRPr="00221DB8" w:rsidR="00221DB8">
        <w:rPr>
          <w:rFonts w:ascii="Times New Roman" w:hAnsi="Times New Roman"/>
          <w:szCs w:val="22"/>
        </w:rPr>
        <w:t> 014 129</w:t>
      </w:r>
      <w:r w:rsidRPr="00221DB8" w:rsidR="004606AB">
        <w:rPr>
          <w:rFonts w:ascii="Times New Roman" w:hAnsi="Times New Roman"/>
          <w:szCs w:val="22"/>
        </w:rPr>
        <w:t xml:space="preserve"> tis. eur, čo znamená</w:t>
      </w:r>
      <w:r w:rsidRPr="00221DB8" w:rsidR="004606AB">
        <w:rPr>
          <w:rFonts w:ascii="Times New Roman" w:hAnsi="Times New Roman"/>
          <w:b/>
          <w:bCs/>
          <w:szCs w:val="22"/>
        </w:rPr>
        <w:t xml:space="preserve"> medziročný </w:t>
      </w:r>
      <w:r w:rsidRPr="00221DB8" w:rsidR="00CD2967">
        <w:rPr>
          <w:rFonts w:ascii="Times New Roman" w:hAnsi="Times New Roman"/>
          <w:b/>
          <w:bCs/>
          <w:szCs w:val="22"/>
        </w:rPr>
        <w:t>pokles</w:t>
      </w:r>
      <w:r w:rsidRPr="00221DB8" w:rsidR="004606AB">
        <w:rPr>
          <w:rFonts w:ascii="Times New Roman" w:hAnsi="Times New Roman"/>
          <w:b/>
          <w:bCs/>
          <w:szCs w:val="22"/>
        </w:rPr>
        <w:t xml:space="preserve"> </w:t>
      </w:r>
      <w:r w:rsidRPr="00221DB8" w:rsidR="00CD2967">
        <w:rPr>
          <w:rFonts w:ascii="Times New Roman" w:hAnsi="Times New Roman"/>
          <w:b/>
          <w:bCs/>
          <w:szCs w:val="22"/>
        </w:rPr>
        <w:t>o</w:t>
      </w:r>
      <w:r w:rsidR="00034032">
        <w:rPr>
          <w:rFonts w:ascii="Times New Roman" w:hAnsi="Times New Roman"/>
          <w:b/>
          <w:bCs/>
          <w:szCs w:val="22"/>
        </w:rPr>
        <w:t> </w:t>
      </w:r>
      <w:r w:rsidRPr="00221DB8">
        <w:rPr>
          <w:rFonts w:ascii="Times New Roman" w:hAnsi="Times New Roman"/>
          <w:b/>
          <w:bCs/>
          <w:szCs w:val="22"/>
        </w:rPr>
        <w:t>1</w:t>
      </w:r>
      <w:r w:rsidR="00034032">
        <w:rPr>
          <w:rFonts w:ascii="Times New Roman" w:hAnsi="Times New Roman"/>
          <w:b/>
          <w:bCs/>
          <w:szCs w:val="22"/>
        </w:rPr>
        <w:t>,9</w:t>
      </w:r>
      <w:r w:rsidRPr="00221DB8" w:rsidR="004606AB">
        <w:rPr>
          <w:rFonts w:ascii="Times New Roman" w:hAnsi="Times New Roman"/>
          <w:b/>
          <w:bCs/>
          <w:szCs w:val="22"/>
        </w:rPr>
        <w:t xml:space="preserve"> %</w:t>
      </w:r>
      <w:r w:rsidRPr="00221DB8" w:rsidR="004606AB">
        <w:rPr>
          <w:rFonts w:ascii="Times New Roman" w:hAnsi="Times New Roman"/>
          <w:szCs w:val="22"/>
        </w:rPr>
        <w:t xml:space="preserve">. </w:t>
      </w:r>
      <w:r w:rsidRPr="00221DB8" w:rsidR="004606AB">
        <w:rPr>
          <w:rFonts w:ascii="Times New Roman" w:hAnsi="Times New Roman"/>
          <w:b/>
          <w:bCs/>
          <w:szCs w:val="22"/>
        </w:rPr>
        <w:t>Hotovostné výdavky</w:t>
      </w:r>
      <w:r w:rsidRPr="00221DB8" w:rsidR="004606AB">
        <w:rPr>
          <w:rFonts w:ascii="Times New Roman" w:hAnsi="Times New Roman"/>
          <w:szCs w:val="22"/>
        </w:rPr>
        <w:t xml:space="preserve"> boli vo výške </w:t>
      </w:r>
      <w:r w:rsidRPr="00221DB8">
        <w:rPr>
          <w:rFonts w:ascii="Times New Roman" w:hAnsi="Times New Roman"/>
          <w:szCs w:val="22"/>
        </w:rPr>
        <w:t>15</w:t>
      </w:r>
      <w:r w:rsidRPr="00221DB8" w:rsidR="00221DB8">
        <w:rPr>
          <w:rFonts w:ascii="Times New Roman" w:hAnsi="Times New Roman"/>
          <w:szCs w:val="22"/>
        </w:rPr>
        <w:t xml:space="preserve"> 234 261 </w:t>
      </w:r>
      <w:r w:rsidRPr="00221DB8" w:rsidR="006E0724">
        <w:rPr>
          <w:rFonts w:ascii="Times New Roman" w:hAnsi="Times New Roman"/>
          <w:szCs w:val="22"/>
        </w:rPr>
        <w:t>tis. eur, čo </w:t>
      </w:r>
      <w:r w:rsidRPr="00221DB8" w:rsidR="004606AB">
        <w:rPr>
          <w:rFonts w:ascii="Times New Roman" w:hAnsi="Times New Roman"/>
          <w:szCs w:val="22"/>
        </w:rPr>
        <w:t xml:space="preserve">predstavuje medziročný </w:t>
      </w:r>
      <w:r w:rsidRPr="00221DB8">
        <w:rPr>
          <w:rFonts w:ascii="Times New Roman" w:hAnsi="Times New Roman"/>
          <w:b/>
          <w:bCs/>
          <w:szCs w:val="22"/>
        </w:rPr>
        <w:t>pokles</w:t>
      </w:r>
      <w:r w:rsidRPr="00221DB8" w:rsidR="004606AB">
        <w:rPr>
          <w:rFonts w:ascii="Times New Roman" w:hAnsi="Times New Roman"/>
          <w:b/>
          <w:bCs/>
          <w:szCs w:val="22"/>
        </w:rPr>
        <w:t xml:space="preserve"> </w:t>
      </w:r>
      <w:r w:rsidRPr="00221DB8">
        <w:rPr>
          <w:rFonts w:ascii="Times New Roman" w:hAnsi="Times New Roman"/>
          <w:b/>
          <w:bCs/>
          <w:szCs w:val="22"/>
        </w:rPr>
        <w:t>o</w:t>
      </w:r>
      <w:r w:rsidR="00034032">
        <w:rPr>
          <w:rFonts w:ascii="Times New Roman" w:hAnsi="Times New Roman"/>
          <w:b/>
          <w:bCs/>
          <w:szCs w:val="22"/>
        </w:rPr>
        <w:t> 0,</w:t>
      </w:r>
      <w:r w:rsidRPr="00221DB8">
        <w:rPr>
          <w:rFonts w:ascii="Times New Roman" w:hAnsi="Times New Roman"/>
          <w:b/>
          <w:bCs/>
          <w:szCs w:val="22"/>
        </w:rPr>
        <w:t>1</w:t>
      </w:r>
      <w:r w:rsidRPr="00221DB8" w:rsidR="004606AB">
        <w:rPr>
          <w:rFonts w:ascii="Times New Roman" w:hAnsi="Times New Roman"/>
          <w:b/>
          <w:bCs/>
          <w:szCs w:val="22"/>
        </w:rPr>
        <w:t> %.</w:t>
      </w:r>
      <w:r w:rsidRPr="00221DB8" w:rsidR="004606AB">
        <w:rPr>
          <w:rFonts w:ascii="Times New Roman" w:hAnsi="Times New Roman"/>
          <w:szCs w:val="22"/>
        </w:rPr>
        <w:t xml:space="preserve"> </w:t>
      </w:r>
      <w:r w:rsidRPr="00221DB8" w:rsidR="004606AB">
        <w:rPr>
          <w:rFonts w:ascii="Times New Roman" w:hAnsi="Times New Roman"/>
          <w:b/>
          <w:bCs/>
          <w:szCs w:val="22"/>
        </w:rPr>
        <w:t xml:space="preserve">Hotovostný schodok </w:t>
      </w:r>
      <w:r w:rsidRPr="00221DB8" w:rsidR="004606AB">
        <w:rPr>
          <w:rFonts w:ascii="Times New Roman" w:hAnsi="Times New Roman"/>
          <w:szCs w:val="22"/>
        </w:rPr>
        <w:t xml:space="preserve">štátneho rozpočtu dosiahol výšku </w:t>
      </w:r>
      <w:r w:rsidRPr="00221DB8" w:rsidR="00221DB8">
        <w:rPr>
          <w:rFonts w:ascii="Times New Roman" w:hAnsi="Times New Roman"/>
          <w:szCs w:val="22"/>
        </w:rPr>
        <w:t>1 220 132</w:t>
      </w:r>
      <w:r w:rsidRPr="00221DB8" w:rsidR="004606AB">
        <w:rPr>
          <w:rFonts w:ascii="Times New Roman" w:hAnsi="Times New Roman"/>
          <w:szCs w:val="22"/>
        </w:rPr>
        <w:t> tis. eur, a oproti minu</w:t>
      </w:r>
      <w:r w:rsidRPr="00221DB8" w:rsidR="00221DB8">
        <w:rPr>
          <w:rFonts w:ascii="Times New Roman" w:hAnsi="Times New Roman"/>
          <w:szCs w:val="22"/>
        </w:rPr>
        <w:t>lému roku vzrástol o 239 877 tis. eur</w:t>
      </w:r>
      <w:r w:rsidRPr="00221DB8" w:rsidR="004606AB">
        <w:rPr>
          <w:rFonts w:ascii="Times New Roman" w:hAnsi="Times New Roman"/>
          <w:szCs w:val="22"/>
        </w:rPr>
        <w:t>.</w:t>
      </w:r>
    </w:p>
    <w:p w:rsidR="00E04431" w:rsidRPr="00A339AF" w:rsidP="00E04431">
      <w:pPr>
        <w:bidi w:val="0"/>
        <w:rPr>
          <w:rFonts w:ascii="Times New Roman" w:hAnsi="Times New Roman"/>
          <w:highlight w:val="yellow"/>
        </w:rPr>
      </w:pPr>
      <w:r w:rsidRPr="00A339AF">
        <w:rPr>
          <w:rFonts w:ascii="Times New Roman" w:hAnsi="Times New Roman"/>
          <w:highlight w:val="yellow"/>
        </w:rPr>
        <w:br w:type="page"/>
      </w:r>
    </w:p>
    <w:p w:rsidR="00097DCF" w:rsidRPr="004D79E7" w:rsidP="003E2C97">
      <w:pPr>
        <w:pStyle w:val="Heading1"/>
        <w:bidi w:val="0"/>
        <w:rPr>
          <w:rFonts w:ascii="Times New Roman" w:hAnsi="Times New Roman"/>
        </w:rPr>
      </w:pPr>
      <w:bookmarkStart w:id="6" w:name="_Toc512599652"/>
      <w:r w:rsidR="003E2C97">
        <w:rPr>
          <w:rFonts w:ascii="Times New Roman" w:hAnsi="Times New Roman"/>
        </w:rPr>
        <w:t xml:space="preserve">1   </w:t>
      </w:r>
      <w:r w:rsidRPr="004D79E7">
        <w:rPr>
          <w:rFonts w:ascii="Times New Roman" w:hAnsi="Times New Roman"/>
        </w:rPr>
        <w:t>Ekonomický rámec rozpočtového hospodárenia Slovenskej republiky</w:t>
      </w:r>
      <w:bookmarkEnd w:id="4"/>
      <w:bookmarkEnd w:id="6"/>
      <w:r w:rsidRPr="004D79E7" w:rsidR="00584B07">
        <w:rPr>
          <w:rFonts w:ascii="Times New Roman" w:hAnsi="Times New Roman"/>
        </w:rPr>
        <w:t xml:space="preserve"> </w:t>
      </w:r>
    </w:p>
    <w:p w:rsidR="00584B07" w:rsidRPr="007244DD" w:rsidP="007244DD">
      <w:pPr>
        <w:bidi w:val="0"/>
        <w:rPr>
          <w:rFonts w:ascii="Times New Roman" w:hAnsi="Times New Roman"/>
          <w:szCs w:val="22"/>
        </w:rPr>
      </w:pPr>
      <w:r w:rsidRPr="007244DD" w:rsidR="000E1273">
        <w:rPr>
          <w:rFonts w:ascii="Times New Roman" w:hAnsi="Times New Roman"/>
          <w:szCs w:val="22"/>
        </w:rPr>
        <w:t>Slovenská ekonomika vlani vzrástla o 3,4 %. Hlavným zdrojom rastu bola spotreba domácností, ktorá reagovala na pozitívny vývoj na trhu práce. Export rástol pomalšie oproti fundamentom v</w:t>
      </w:r>
      <w:r w:rsidR="007244DD">
        <w:rPr>
          <w:rFonts w:ascii="Times New Roman" w:hAnsi="Times New Roman"/>
          <w:szCs w:val="22"/>
        </w:rPr>
        <w:t> </w:t>
      </w:r>
      <w:r w:rsidRPr="007244DD" w:rsidR="000E1273">
        <w:rPr>
          <w:rFonts w:ascii="Times New Roman" w:hAnsi="Times New Roman"/>
          <w:szCs w:val="22"/>
        </w:rPr>
        <w:t>zahraničnom dopyte, čo je dôsledkom viacerých dočasných faktorov, napr. končiaci sa životný cyklus niektorých modelov áut vyrábaných na Slovensku. Z pohľadu makroekonomických základní pre daňové a odvodové príjmy makroekonomický vývoj v roku 2017 predbehol očakávania rozpočtovej prognózy M</w:t>
      </w:r>
      <w:r w:rsidR="002E4DE0">
        <w:rPr>
          <w:rFonts w:ascii="Times New Roman" w:hAnsi="Times New Roman"/>
          <w:szCs w:val="22"/>
        </w:rPr>
        <w:t>inisterstva financií</w:t>
      </w:r>
      <w:r w:rsidRPr="007244DD" w:rsidR="000E1273">
        <w:rPr>
          <w:rFonts w:ascii="Times New Roman" w:hAnsi="Times New Roman"/>
          <w:szCs w:val="22"/>
        </w:rPr>
        <w:t xml:space="preserve"> SR</w:t>
      </w:r>
      <w:r>
        <w:rPr>
          <w:rStyle w:val="FootnoteReference"/>
          <w:rFonts w:ascii="Times New Roman" w:hAnsi="Times New Roman"/>
          <w:szCs w:val="22"/>
          <w:rtl w:val="0"/>
        </w:rPr>
        <w:footnoteReference w:id="2"/>
      </w:r>
      <w:r w:rsidRPr="007244DD" w:rsidR="000E1273">
        <w:rPr>
          <w:rFonts w:ascii="Times New Roman" w:hAnsi="Times New Roman"/>
          <w:szCs w:val="22"/>
        </w:rPr>
        <w:t>.</w:t>
      </w:r>
    </w:p>
    <w:p w:rsidR="007244DD" w:rsidRPr="007244DD" w:rsidP="007244DD">
      <w:pPr>
        <w:pStyle w:val="Footer"/>
        <w:tabs>
          <w:tab w:val="clear" w:pos="4536"/>
          <w:tab w:val="clear" w:pos="9072"/>
        </w:tabs>
        <w:bidi w:val="0"/>
        <w:jc w:val="both"/>
        <w:rPr>
          <w:rFonts w:ascii="Arial Narrow" w:hAnsi="Arial Narrow" w:cs="Arial Narrow"/>
          <w:highlight w:val="yellow"/>
        </w:rPr>
      </w:pPr>
    </w:p>
    <w:p w:rsidR="00097DCF" w:rsidRPr="004D79E7" w:rsidP="00285DB8">
      <w:pPr>
        <w:pStyle w:val="Heading2"/>
        <w:bidi w:val="0"/>
        <w:rPr>
          <w:rFonts w:hint="default"/>
        </w:rPr>
      </w:pPr>
      <w:bookmarkStart w:id="7" w:name="_Toc479313222"/>
      <w:bookmarkStart w:id="8" w:name="_Toc512599653"/>
      <w:r w:rsidRPr="004D79E7" w:rsidR="00285DB8">
        <w:t>Von</w:t>
      </w:r>
      <w:r w:rsidRPr="004D79E7">
        <w:rPr>
          <w:rFonts w:hint="default"/>
        </w:rPr>
        <w:t>kajš</w:t>
      </w:r>
      <w:r w:rsidRPr="004D79E7">
        <w:rPr>
          <w:rFonts w:hint="default"/>
        </w:rPr>
        <w:t>ie ekonomické</w:t>
      </w:r>
      <w:r w:rsidRPr="004D79E7">
        <w:rPr>
          <w:rFonts w:hint="default"/>
        </w:rPr>
        <w:t xml:space="preserve"> prostredie</w:t>
      </w:r>
      <w:bookmarkEnd w:id="7"/>
      <w:bookmarkEnd w:id="8"/>
    </w:p>
    <w:p w:rsidR="007244DD" w:rsidRPr="007244DD" w:rsidP="007244DD">
      <w:pPr>
        <w:bidi w:val="0"/>
        <w:rPr>
          <w:rFonts w:ascii="Times New Roman" w:hAnsi="Times New Roman"/>
          <w:szCs w:val="22"/>
        </w:rPr>
      </w:pPr>
      <w:r w:rsidRPr="007244DD">
        <w:rPr>
          <w:rFonts w:ascii="Times New Roman" w:hAnsi="Times New Roman"/>
          <w:szCs w:val="22"/>
        </w:rPr>
        <w:t>Externé prostredie slovenskej ekonomiky pokračovalo v roku 2017 v expanzii a</w:t>
      </w:r>
      <w:r>
        <w:rPr>
          <w:rFonts w:ascii="Times New Roman" w:hAnsi="Times New Roman"/>
          <w:szCs w:val="22"/>
        </w:rPr>
        <w:t xml:space="preserve"> </w:t>
      </w:r>
      <w:r w:rsidRPr="007244DD">
        <w:rPr>
          <w:rFonts w:ascii="Times New Roman" w:hAnsi="Times New Roman"/>
          <w:szCs w:val="22"/>
        </w:rPr>
        <w:t>predstihlo očakávania. Ekonomika eurozóny vzrástla o 2,4 %, ťažiac predovšetkým z domácej spotreby a</w:t>
      </w:r>
      <w:r>
        <w:rPr>
          <w:rFonts w:ascii="Times New Roman" w:hAnsi="Times New Roman"/>
          <w:szCs w:val="22"/>
        </w:rPr>
        <w:t xml:space="preserve"> </w:t>
      </w:r>
      <w:r w:rsidRPr="007244DD">
        <w:rPr>
          <w:rFonts w:ascii="Times New Roman" w:hAnsi="Times New Roman"/>
          <w:szCs w:val="22"/>
        </w:rPr>
        <w:t>investíci</w:t>
      </w:r>
      <w:r>
        <w:rPr>
          <w:rFonts w:ascii="Times New Roman" w:hAnsi="Times New Roman"/>
          <w:szCs w:val="22"/>
        </w:rPr>
        <w:t>í</w:t>
      </w:r>
      <w:r w:rsidRPr="007244DD">
        <w:rPr>
          <w:rFonts w:ascii="Times New Roman" w:hAnsi="Times New Roman"/>
          <w:szCs w:val="22"/>
        </w:rPr>
        <w:t>, ale aj zo zahraničného dopytu. Oživenie bolo podporené silným trhom práce, zintenzívnením globálnej aktivity a</w:t>
      </w:r>
      <w:r>
        <w:rPr>
          <w:rFonts w:ascii="Times New Roman" w:hAnsi="Times New Roman"/>
          <w:szCs w:val="22"/>
        </w:rPr>
        <w:t xml:space="preserve"> </w:t>
      </w:r>
      <w:r w:rsidRPr="007244DD">
        <w:rPr>
          <w:rFonts w:ascii="Times New Roman" w:hAnsi="Times New Roman"/>
          <w:szCs w:val="22"/>
        </w:rPr>
        <w:t>optimistickými očakávaniami spotrebiteľov aj firiem. Miera nezamestnanosti v eurozóne poklesla v roku 2017 na úroveň 9,1</w:t>
      </w:r>
      <w:r w:rsidR="0080791D">
        <w:rPr>
          <w:rFonts w:ascii="Times New Roman" w:hAnsi="Times New Roman"/>
          <w:szCs w:val="22"/>
        </w:rPr>
        <w:t xml:space="preserve"> </w:t>
      </w:r>
      <w:r w:rsidRPr="007244DD">
        <w:rPr>
          <w:rFonts w:ascii="Times New Roman" w:hAnsi="Times New Roman"/>
          <w:szCs w:val="22"/>
        </w:rPr>
        <w:t xml:space="preserve">%. </w:t>
      </w:r>
    </w:p>
    <w:p w:rsidR="007244DD" w:rsidRPr="007244DD" w:rsidP="007244DD">
      <w:pPr>
        <w:bidi w:val="0"/>
        <w:rPr>
          <w:rFonts w:ascii="Times New Roman" w:hAnsi="Times New Roman"/>
          <w:szCs w:val="22"/>
        </w:rPr>
      </w:pPr>
      <w:r w:rsidRPr="007244DD">
        <w:rPr>
          <w:rFonts w:ascii="Times New Roman" w:hAnsi="Times New Roman"/>
          <w:szCs w:val="22"/>
        </w:rPr>
        <w:t>Rovnako aj ekonomiky regionálnych partnerov Slovenska rástli nad očakávania. Dynamicky rástla najmä poľská ekonomika, a</w:t>
      </w:r>
      <w:r>
        <w:rPr>
          <w:rFonts w:ascii="Times New Roman" w:hAnsi="Times New Roman"/>
          <w:szCs w:val="22"/>
        </w:rPr>
        <w:t xml:space="preserve"> </w:t>
      </w:r>
      <w:r w:rsidRPr="007244DD">
        <w:rPr>
          <w:rFonts w:ascii="Times New Roman" w:hAnsi="Times New Roman"/>
          <w:szCs w:val="22"/>
        </w:rPr>
        <w:t>to vďaka spotrebe domácností a</w:t>
      </w:r>
      <w:r>
        <w:rPr>
          <w:rFonts w:ascii="Times New Roman" w:hAnsi="Times New Roman"/>
          <w:szCs w:val="22"/>
        </w:rPr>
        <w:t xml:space="preserve"> </w:t>
      </w:r>
      <w:r w:rsidRPr="007244DD">
        <w:rPr>
          <w:rFonts w:ascii="Times New Roman" w:hAnsi="Times New Roman"/>
          <w:szCs w:val="22"/>
        </w:rPr>
        <w:t>zahraničnému dopytu. Avšak aj česká a maďarská ekonomika zrýchlila tempo rastu nad 4 %. Rýchly rast spotreby domácností a pnutie na trhoch práce signalizujú v celom regióne mierne prehrievanie ekonomík.</w:t>
      </w:r>
    </w:p>
    <w:p w:rsidR="007244DD" w:rsidRPr="007244DD" w:rsidP="007244DD">
      <w:pPr>
        <w:bidi w:val="0"/>
        <w:rPr>
          <w:rFonts w:ascii="Times New Roman" w:hAnsi="Times New Roman"/>
          <w:szCs w:val="22"/>
        </w:rPr>
      </w:pPr>
      <w:r w:rsidRPr="007244DD">
        <w:rPr>
          <w:rFonts w:ascii="Times New Roman" w:hAnsi="Times New Roman"/>
          <w:szCs w:val="22"/>
        </w:rPr>
        <w:t>Akcelerácia externého prostredia bola mohutná aj napriek pretrvávajúcej politickej neistote. Nejasná politická situácia po parlamentných voľbách v Nemecku, zdĺhavé rokovania o Brexite, ako aj zvýšenie politickej neistoty v Španielsku a Taliansku, kumulovali potenciálne riziká, ktoré sa však výraznejšie vo výkonoch ekonomík neprejavili.</w:t>
      </w:r>
    </w:p>
    <w:p w:rsidR="007244DD" w:rsidRPr="007244DD" w:rsidP="007244DD">
      <w:pPr>
        <w:bidi w:val="0"/>
        <w:rPr>
          <w:rFonts w:ascii="Times New Roman" w:hAnsi="Times New Roman"/>
          <w:szCs w:val="22"/>
        </w:rPr>
      </w:pPr>
      <w:r w:rsidRPr="007244DD">
        <w:rPr>
          <w:rFonts w:ascii="Times New Roman" w:hAnsi="Times New Roman"/>
          <w:szCs w:val="22"/>
        </w:rPr>
        <w:t>Akciové trhy boli naďalej stimulované pokračujúcim hos</w:t>
      </w:r>
      <w:r w:rsidR="00DE23F6">
        <w:rPr>
          <w:rFonts w:ascii="Times New Roman" w:hAnsi="Times New Roman"/>
          <w:szCs w:val="22"/>
        </w:rPr>
        <w:t>podárskym rastom v kombinácii s </w:t>
      </w:r>
      <w:r w:rsidRPr="007244DD">
        <w:rPr>
          <w:rFonts w:ascii="Times New Roman" w:hAnsi="Times New Roman"/>
          <w:szCs w:val="22"/>
        </w:rPr>
        <w:t>očakávanými fiškálnymi stimulmi a stabilnými výsledkami trhu práce v USA. V dlhšom horizonte však môžu byť tieto krátkodobé benefity vyvážené negatívnym efektom novej vlny protekcionizmu. Výnosy na vládnych dlhopisoch rástli, najviac sa darilo americkým. FED zvýšil v roku 2017 úrokové sadzby 3-krát na úroveň 1,5</w:t>
      </w:r>
      <w:r w:rsidR="0080791D">
        <w:rPr>
          <w:rFonts w:ascii="Times New Roman" w:hAnsi="Times New Roman"/>
          <w:szCs w:val="22"/>
        </w:rPr>
        <w:t xml:space="preserve"> </w:t>
      </w:r>
      <w:r w:rsidRPr="007244DD">
        <w:rPr>
          <w:rFonts w:ascii="Times New Roman" w:hAnsi="Times New Roman"/>
          <w:szCs w:val="22"/>
        </w:rPr>
        <w:t xml:space="preserve">% a ďalšia normalizácia monetárnej politiky je očakávaná aj v roku 2018. To, čo investori zarobili na vyšších výnosoch amerických dlhopisov, prerobili na oslabení dolára. Euru sa darilo najmä kvôli robustnému ekonomickému rastu. Pozícia britskej libry voči ostatným zahraničným menám bola ovplyvnená najmä vývojom rokovaní o Brexit-e. Rast cien ropy v druhom polroku prispel k stabilnému vývoju na komoditnom trhu. Dohoda o obmedzení ťažby v krajinách OPEC znamenala pre cenu ropy prekročenie hranice </w:t>
      </w:r>
      <w:r w:rsidR="001150D1">
        <w:rPr>
          <w:rFonts w:ascii="Times New Roman" w:hAnsi="Times New Roman"/>
          <w:szCs w:val="22"/>
        </w:rPr>
        <w:br/>
      </w:r>
      <w:r w:rsidRPr="007244DD">
        <w:rPr>
          <w:rFonts w:ascii="Times New Roman" w:hAnsi="Times New Roman"/>
          <w:szCs w:val="22"/>
        </w:rPr>
        <w:t>70 USD za barel, čím sa dosiahol jej strop.</w:t>
      </w:r>
    </w:p>
    <w:p w:rsidR="007244DD" w:rsidP="007244DD">
      <w:pPr>
        <w:bidi w:val="0"/>
        <w:rPr>
          <w:rFonts w:ascii="Times New Roman" w:hAnsi="Times New Roman"/>
          <w:szCs w:val="22"/>
        </w:rPr>
      </w:pPr>
      <w:r w:rsidRPr="007244DD">
        <w:rPr>
          <w:rFonts w:ascii="Times New Roman" w:hAnsi="Times New Roman"/>
          <w:szCs w:val="22"/>
        </w:rPr>
        <w:t>Monetárna politika ECB pokračovala v podpore ekonomiky, aj vzhľadom na nie príliš presvedčivý vývoj inflácie. Výnosy na vládnych dlhopisoch rástli len mierne, čo spôsobuje pozvoľný rast inflačných očakávaní. Referenčná úroková sadzba zostala na 0</w:t>
      </w:r>
      <w:r w:rsidR="0080791D">
        <w:rPr>
          <w:rFonts w:ascii="Times New Roman" w:hAnsi="Times New Roman"/>
          <w:szCs w:val="22"/>
        </w:rPr>
        <w:t> </w:t>
      </w:r>
      <w:r w:rsidRPr="007244DD">
        <w:rPr>
          <w:rFonts w:ascii="Times New Roman" w:hAnsi="Times New Roman"/>
          <w:szCs w:val="22"/>
        </w:rPr>
        <w:t>% a jej zvýšenie sa očakáva najskôr až v prvej polovici roku 2019. Mesačný objem nákupov aktív bol ponechaný na úrovni 60 mld. eur mesačne až do konca roku 2017, aby následne klesol na polovicu.</w:t>
      </w:r>
    </w:p>
    <w:tbl>
      <w:tblPr>
        <w:tblStyle w:val="TableNormal"/>
        <w:tblW w:w="8703" w:type="dxa"/>
        <w:jc w:val="center"/>
        <w:tblCellMar>
          <w:left w:w="70" w:type="dxa"/>
          <w:right w:w="70" w:type="dxa"/>
        </w:tblCellMar>
        <w:tblLook w:val="04A0"/>
      </w:tblPr>
      <w:tblGrid>
        <w:gridCol w:w="5712"/>
        <w:gridCol w:w="904"/>
        <w:gridCol w:w="997"/>
        <w:gridCol w:w="1090"/>
      </w:tblGrid>
      <w:tr>
        <w:tblPrEx>
          <w:tblW w:w="8703" w:type="dxa"/>
          <w:jc w:val="center"/>
          <w:tblCellMar>
            <w:left w:w="70" w:type="dxa"/>
            <w:right w:w="70" w:type="dxa"/>
          </w:tblCellMar>
          <w:tblLook w:val="04A0"/>
        </w:tblPrEx>
        <w:trPr>
          <w:trHeight w:val="300"/>
          <w:jc w:val="center"/>
        </w:trPr>
        <w:tc>
          <w:tcPr>
            <w:tcW w:w="8703" w:type="dxa"/>
            <w:gridSpan w:val="4"/>
            <w:tcBorders>
              <w:top w:val="nil"/>
              <w:left w:val="nil"/>
              <w:bottom w:val="nil"/>
              <w:right w:val="nil"/>
            </w:tcBorders>
            <w:shd w:val="clear" w:color="000000" w:fill="000000"/>
            <w:noWrap/>
            <w:textDirection w:val="lrTb"/>
            <w:vAlign w:val="center"/>
            <w:hideMark/>
          </w:tcPr>
          <w:p w:rsidR="007244DD" w:rsidRPr="00584B07" w:rsidP="00875C4A">
            <w:pPr>
              <w:bidi w:val="0"/>
              <w:rPr>
                <w:rFonts w:ascii="Times New Roman" w:hAnsi="Times New Roman"/>
                <w:b/>
                <w:bCs/>
                <w:color w:val="FFFFFF"/>
                <w:sz w:val="18"/>
                <w:szCs w:val="18"/>
              </w:rPr>
            </w:pPr>
            <w:r w:rsidRPr="00584B07">
              <w:rPr>
                <w:rFonts w:ascii="Times New Roman" w:hAnsi="Times New Roman"/>
                <w:b/>
                <w:bCs/>
                <w:color w:val="FFFFFF"/>
                <w:sz w:val="18"/>
                <w:szCs w:val="18"/>
              </w:rPr>
              <w:t>Vývoj vybraných ukazovateľov eurozón</w:t>
            </w:r>
            <w:r>
              <w:rPr>
                <w:rFonts w:ascii="Times New Roman" w:hAnsi="Times New Roman"/>
                <w:b/>
                <w:bCs/>
                <w:color w:val="FFFFFF"/>
                <w:sz w:val="18"/>
                <w:szCs w:val="18"/>
              </w:rPr>
              <w:t>y</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single" w:sz="4" w:space="0" w:color="auto"/>
              <w:right w:val="nil"/>
            </w:tcBorders>
            <w:shd w:val="clear" w:color="000000" w:fill="C0C0C0"/>
            <w:noWrap/>
            <w:textDirection w:val="lrTb"/>
            <w:vAlign w:val="bottom"/>
            <w:hideMark/>
          </w:tcPr>
          <w:p w:rsidR="007244DD" w:rsidRPr="00584B07" w:rsidP="00AD2D3A">
            <w:pPr>
              <w:bidi w:val="0"/>
              <w:jc w:val="center"/>
              <w:rPr>
                <w:rFonts w:ascii="Times New Roman" w:hAnsi="Times New Roman"/>
                <w:color w:val="000000"/>
                <w:sz w:val="18"/>
                <w:szCs w:val="18"/>
              </w:rPr>
            </w:pPr>
          </w:p>
        </w:tc>
        <w:tc>
          <w:tcPr>
            <w:tcW w:w="904" w:type="dxa"/>
            <w:tcBorders>
              <w:top w:val="nil"/>
              <w:left w:val="nil"/>
              <w:bottom w:val="single" w:sz="4" w:space="0" w:color="auto"/>
              <w:right w:val="nil"/>
            </w:tcBorders>
            <w:shd w:val="clear" w:color="000000" w:fill="C0C0C0"/>
            <w:noWrap/>
            <w:textDirection w:val="lrTb"/>
            <w:vAlign w:val="bottom"/>
            <w:hideMark/>
          </w:tcPr>
          <w:p w:rsidR="007244DD" w:rsidRPr="00584B07" w:rsidP="00AD2D3A">
            <w:pPr>
              <w:bidi w:val="0"/>
              <w:jc w:val="center"/>
              <w:rPr>
                <w:rFonts w:ascii="Times New Roman" w:hAnsi="Times New Roman"/>
                <w:b/>
                <w:bCs/>
                <w:color w:val="000000"/>
                <w:sz w:val="18"/>
                <w:szCs w:val="18"/>
              </w:rPr>
            </w:pPr>
            <w:r w:rsidRPr="00584B07">
              <w:rPr>
                <w:rFonts w:ascii="Times New Roman" w:hAnsi="Times New Roman"/>
                <w:b/>
                <w:bCs/>
                <w:color w:val="000000"/>
                <w:sz w:val="18"/>
                <w:szCs w:val="18"/>
              </w:rPr>
              <w:t>201</w:t>
            </w:r>
            <w:r>
              <w:rPr>
                <w:rFonts w:ascii="Times New Roman" w:hAnsi="Times New Roman"/>
                <w:b/>
                <w:bCs/>
                <w:color w:val="000000"/>
                <w:sz w:val="18"/>
                <w:szCs w:val="18"/>
              </w:rPr>
              <w:t>5</w:t>
            </w:r>
          </w:p>
        </w:tc>
        <w:tc>
          <w:tcPr>
            <w:tcW w:w="997" w:type="dxa"/>
            <w:tcBorders>
              <w:top w:val="nil"/>
              <w:left w:val="nil"/>
              <w:bottom w:val="single" w:sz="4" w:space="0" w:color="auto"/>
              <w:right w:val="nil"/>
            </w:tcBorders>
            <w:shd w:val="clear" w:color="000000" w:fill="C0C0C0"/>
            <w:noWrap/>
            <w:textDirection w:val="lrTb"/>
            <w:vAlign w:val="bottom"/>
            <w:hideMark/>
          </w:tcPr>
          <w:p w:rsidR="007244DD" w:rsidRPr="00584B07" w:rsidP="00AD2D3A">
            <w:pPr>
              <w:bidi w:val="0"/>
              <w:jc w:val="center"/>
              <w:rPr>
                <w:rFonts w:ascii="Times New Roman" w:hAnsi="Times New Roman"/>
                <w:b/>
                <w:bCs/>
                <w:color w:val="000000"/>
                <w:sz w:val="18"/>
                <w:szCs w:val="18"/>
              </w:rPr>
            </w:pPr>
            <w:r w:rsidRPr="00584B07">
              <w:rPr>
                <w:rFonts w:ascii="Times New Roman" w:hAnsi="Times New Roman"/>
                <w:b/>
                <w:bCs/>
                <w:color w:val="000000"/>
                <w:sz w:val="18"/>
                <w:szCs w:val="18"/>
              </w:rPr>
              <w:t>2</w:t>
            </w:r>
            <w:r>
              <w:rPr>
                <w:rFonts w:ascii="Times New Roman" w:hAnsi="Times New Roman"/>
                <w:b/>
                <w:bCs/>
                <w:color w:val="000000"/>
                <w:sz w:val="18"/>
                <w:szCs w:val="18"/>
              </w:rPr>
              <w:t>016</w:t>
            </w:r>
          </w:p>
        </w:tc>
        <w:tc>
          <w:tcPr>
            <w:tcW w:w="1090" w:type="dxa"/>
            <w:tcBorders>
              <w:top w:val="nil"/>
              <w:left w:val="nil"/>
              <w:bottom w:val="single" w:sz="4" w:space="0" w:color="auto"/>
              <w:right w:val="nil"/>
            </w:tcBorders>
            <w:shd w:val="clear" w:color="000000" w:fill="C0C0C0"/>
            <w:noWrap/>
            <w:textDirection w:val="lrTb"/>
            <w:vAlign w:val="bottom"/>
            <w:hideMark/>
          </w:tcPr>
          <w:p w:rsidR="007244DD" w:rsidRPr="00584B07" w:rsidP="00AD2D3A">
            <w:pPr>
              <w:bidi w:val="0"/>
              <w:jc w:val="center"/>
              <w:rPr>
                <w:rFonts w:ascii="Times New Roman" w:hAnsi="Times New Roman"/>
                <w:b/>
                <w:bCs/>
                <w:color w:val="000000"/>
                <w:sz w:val="18"/>
                <w:szCs w:val="18"/>
              </w:rPr>
            </w:pPr>
            <w:r>
              <w:rPr>
                <w:rFonts w:ascii="Times New Roman" w:hAnsi="Times New Roman"/>
                <w:b/>
                <w:bCs/>
                <w:color w:val="000000"/>
                <w:sz w:val="18"/>
                <w:szCs w:val="18"/>
              </w:rPr>
              <w:t>2017</w:t>
            </w:r>
          </w:p>
        </w:tc>
      </w:tr>
      <w:tr>
        <w:tblPrEx>
          <w:tblW w:w="8703" w:type="dxa"/>
          <w:jc w:val="center"/>
          <w:tblCellMar>
            <w:left w:w="70" w:type="dxa"/>
            <w:right w:w="70" w:type="dxa"/>
          </w:tblCellMar>
          <w:tblLook w:val="04A0"/>
        </w:tblPrEx>
        <w:trPr>
          <w:trHeight w:val="300"/>
          <w:jc w:val="center"/>
        </w:trPr>
        <w:tc>
          <w:tcPr>
            <w:tcW w:w="5712" w:type="dxa"/>
            <w:tcBorders>
              <w:top w:val="single" w:sz="4" w:space="0" w:color="auto"/>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Hrubý domáci produkt (% rast)</w:t>
            </w:r>
          </w:p>
        </w:tc>
        <w:tc>
          <w:tcPr>
            <w:tcW w:w="904" w:type="dxa"/>
            <w:tcBorders>
              <w:top w:val="single" w:sz="4" w:space="0" w:color="auto"/>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2,0</w:t>
            </w:r>
          </w:p>
        </w:tc>
        <w:tc>
          <w:tcPr>
            <w:tcW w:w="997" w:type="dxa"/>
            <w:tcBorders>
              <w:top w:val="single" w:sz="4" w:space="0" w:color="auto"/>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1,7</w:t>
            </w:r>
          </w:p>
        </w:tc>
        <w:tc>
          <w:tcPr>
            <w:tcW w:w="1090" w:type="dxa"/>
            <w:tcBorders>
              <w:top w:val="single" w:sz="4" w:space="0" w:color="auto"/>
              <w:left w:val="nil"/>
              <w:bottom w:val="nil"/>
              <w:right w:val="nil"/>
            </w:tcBorders>
            <w:shd w:val="clear" w:color="auto" w:fill="BFBFBF"/>
            <w:noWrap/>
            <w:textDirection w:val="lrTb"/>
            <w:vAlign w:val="center"/>
          </w:tcPr>
          <w:p w:rsidR="007244DD" w:rsidRPr="00AD2D3A" w:rsidP="00AD2D3A">
            <w:pPr>
              <w:bidi w:val="0"/>
              <w:spacing w:after="0" w:line="240" w:lineRule="auto"/>
              <w:jc w:val="center"/>
              <w:rPr>
                <w:rFonts w:ascii="Times New Roman" w:hAnsi="Times New Roman"/>
                <w:color w:val="000000"/>
                <w:sz w:val="18"/>
                <w:szCs w:val="18"/>
                <w:lang w:eastAsia="sk-SK"/>
              </w:rPr>
            </w:pPr>
            <w:r w:rsidRPr="009B6C4A">
              <w:rPr>
                <w:rFonts w:ascii="Times New Roman" w:hAnsi="Times New Roman"/>
                <w:color w:val="000000"/>
                <w:sz w:val="18"/>
                <w:szCs w:val="18"/>
                <w:lang w:eastAsia="sk-SK"/>
              </w:rPr>
              <w:t>2,4</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Zamestnanosť (ESA, % rast)</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1,9</w:t>
            </w:r>
          </w:p>
        </w:tc>
        <w:tc>
          <w:tcPr>
            <w:tcW w:w="997" w:type="dxa"/>
            <w:tcBorders>
              <w:top w:val="nil"/>
              <w:left w:val="nil"/>
              <w:bottom w:val="nil"/>
              <w:right w:val="nil"/>
            </w:tcBorders>
            <w:noWrap/>
            <w:textDirection w:val="lrTb"/>
            <w:vAlign w:val="center"/>
            <w:hideMark/>
          </w:tcPr>
          <w:p w:rsidR="007244DD" w:rsidRPr="00AD2D3A"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1,3</w:t>
            </w:r>
          </w:p>
        </w:tc>
        <w:tc>
          <w:tcPr>
            <w:tcW w:w="1090" w:type="dxa"/>
            <w:tcBorders>
              <w:top w:val="nil"/>
              <w:left w:val="nil"/>
              <w:bottom w:val="nil"/>
              <w:right w:val="nil"/>
            </w:tcBorders>
            <w:shd w:val="clear" w:color="auto" w:fill="BFBFBF"/>
            <w:noWrap/>
            <w:textDirection w:val="lrTb"/>
            <w:vAlign w:val="center"/>
          </w:tcPr>
          <w:p w:rsidR="007244DD" w:rsidRPr="00AD2D3A" w:rsidP="00AD2D3A">
            <w:pPr>
              <w:bidi w:val="0"/>
              <w:spacing w:after="0" w:line="240" w:lineRule="auto"/>
              <w:jc w:val="center"/>
              <w:rPr>
                <w:rFonts w:ascii="Times New Roman" w:hAnsi="Times New Roman"/>
                <w:color w:val="000000"/>
                <w:sz w:val="18"/>
                <w:szCs w:val="18"/>
                <w:lang w:eastAsia="sk-SK"/>
              </w:rPr>
            </w:pPr>
            <w:r w:rsidRPr="00FA3B58">
              <w:rPr>
                <w:rFonts w:ascii="Times New Roman" w:hAnsi="Times New Roman"/>
                <w:color w:val="000000"/>
                <w:sz w:val="18"/>
                <w:szCs w:val="18"/>
                <w:lang w:eastAsia="sk-SK"/>
              </w:rPr>
              <w:t>1,6</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Miera nezamestnanosti (VZPS, %)</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10</w:t>
            </w:r>
            <w:r w:rsidRPr="00584B07">
              <w:rPr>
                <w:rFonts w:ascii="Times New Roman" w:hAnsi="Times New Roman"/>
                <w:color w:val="000000"/>
                <w:sz w:val="18"/>
                <w:szCs w:val="18"/>
                <w:lang w:eastAsia="sk-SK"/>
              </w:rPr>
              <w:t>,</w:t>
            </w:r>
            <w:r>
              <w:rPr>
                <w:rFonts w:ascii="Times New Roman" w:hAnsi="Times New Roman"/>
                <w:color w:val="000000"/>
                <w:sz w:val="18"/>
                <w:szCs w:val="18"/>
                <w:lang w:eastAsia="sk-SK"/>
              </w:rPr>
              <w:t>9</w:t>
            </w:r>
          </w:p>
        </w:tc>
        <w:tc>
          <w:tcPr>
            <w:tcW w:w="997"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sidRPr="00584B07">
              <w:rPr>
                <w:rFonts w:ascii="Times New Roman" w:hAnsi="Times New Roman"/>
                <w:color w:val="000000"/>
                <w:sz w:val="18"/>
                <w:szCs w:val="18"/>
                <w:lang w:eastAsia="sk-SK"/>
              </w:rPr>
              <w:t>1</w:t>
            </w:r>
            <w:r>
              <w:rPr>
                <w:rFonts w:ascii="Times New Roman" w:hAnsi="Times New Roman"/>
                <w:color w:val="000000"/>
                <w:sz w:val="18"/>
                <w:szCs w:val="18"/>
                <w:lang w:eastAsia="sk-SK"/>
              </w:rPr>
              <w:t>0,0</w:t>
            </w:r>
          </w:p>
        </w:tc>
        <w:tc>
          <w:tcPr>
            <w:tcW w:w="1090" w:type="dxa"/>
            <w:tcBorders>
              <w:top w:val="nil"/>
              <w:left w:val="nil"/>
              <w:bottom w:val="nil"/>
              <w:right w:val="nil"/>
            </w:tcBorders>
            <w:shd w:val="clear" w:color="auto" w:fill="BFBFBF"/>
            <w:noWrap/>
            <w:textDirection w:val="lrTb"/>
            <w:vAlign w:val="center"/>
          </w:tcPr>
          <w:p w:rsidR="007244DD" w:rsidRPr="00AD2D3A" w:rsidP="00AD2D3A">
            <w:pPr>
              <w:bidi w:val="0"/>
              <w:spacing w:after="0" w:line="240" w:lineRule="auto"/>
              <w:jc w:val="center"/>
              <w:rPr>
                <w:rFonts w:ascii="Times New Roman" w:hAnsi="Times New Roman"/>
                <w:color w:val="000000"/>
                <w:sz w:val="18"/>
                <w:szCs w:val="18"/>
                <w:lang w:eastAsia="sk-SK"/>
              </w:rPr>
            </w:pPr>
            <w:r w:rsidRPr="009B6C4A">
              <w:rPr>
                <w:rFonts w:ascii="Times New Roman" w:hAnsi="Times New Roman"/>
                <w:color w:val="000000"/>
                <w:sz w:val="18"/>
                <w:szCs w:val="18"/>
                <w:lang w:eastAsia="sk-SK"/>
              </w:rPr>
              <w:t>9,1</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Kompenzácie na zamestnanca</w:t>
            </w:r>
            <w:r w:rsidRPr="00AD2D3A">
              <w:rPr>
                <w:rFonts w:ascii="Times New Roman" w:hAnsi="Times New Roman"/>
                <w:color w:val="000000"/>
                <w:sz w:val="18"/>
                <w:szCs w:val="18"/>
                <w:lang w:eastAsia="sk-SK"/>
              </w:rPr>
              <w:t>*</w:t>
            </w:r>
            <w:r w:rsidRPr="00584B07">
              <w:rPr>
                <w:rFonts w:ascii="Times New Roman" w:hAnsi="Times New Roman"/>
                <w:color w:val="000000"/>
                <w:sz w:val="18"/>
                <w:szCs w:val="18"/>
                <w:lang w:eastAsia="sk-SK"/>
              </w:rPr>
              <w:t xml:space="preserve"> (% rast)</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1,4</w:t>
            </w:r>
          </w:p>
        </w:tc>
        <w:tc>
          <w:tcPr>
            <w:tcW w:w="997"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1,2</w:t>
            </w:r>
          </w:p>
        </w:tc>
        <w:tc>
          <w:tcPr>
            <w:tcW w:w="1090" w:type="dxa"/>
            <w:tcBorders>
              <w:top w:val="nil"/>
              <w:left w:val="nil"/>
              <w:bottom w:val="nil"/>
              <w:right w:val="nil"/>
            </w:tcBorders>
            <w:shd w:val="clear" w:color="auto" w:fill="BFBFBF"/>
            <w:noWrap/>
            <w:textDirection w:val="lrTb"/>
            <w:vAlign w:val="center"/>
          </w:tcPr>
          <w:p w:rsidR="007244DD" w:rsidRPr="00AD2D3A" w:rsidP="00AD2D3A">
            <w:pPr>
              <w:bidi w:val="0"/>
              <w:spacing w:after="0" w:line="240" w:lineRule="auto"/>
              <w:jc w:val="center"/>
              <w:rPr>
                <w:rFonts w:ascii="Times New Roman" w:hAnsi="Times New Roman"/>
                <w:color w:val="000000"/>
                <w:sz w:val="18"/>
                <w:szCs w:val="18"/>
                <w:lang w:eastAsia="sk-SK"/>
              </w:rPr>
            </w:pPr>
            <w:r w:rsidRPr="004E2D5A">
              <w:rPr>
                <w:rFonts w:ascii="Times New Roman" w:hAnsi="Times New Roman"/>
                <w:color w:val="000000"/>
                <w:sz w:val="18"/>
                <w:szCs w:val="18"/>
                <w:lang w:eastAsia="sk-SK"/>
              </w:rPr>
              <w:t>1,</w:t>
            </w:r>
            <w:r>
              <w:rPr>
                <w:rFonts w:ascii="Times New Roman" w:hAnsi="Times New Roman"/>
                <w:color w:val="000000"/>
                <w:sz w:val="18"/>
                <w:szCs w:val="18"/>
                <w:lang w:eastAsia="sk-SK"/>
              </w:rPr>
              <w:t>6</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Miera inflácie (HICP, %)</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0,0</w:t>
            </w:r>
          </w:p>
        </w:tc>
        <w:tc>
          <w:tcPr>
            <w:tcW w:w="997" w:type="dxa"/>
            <w:tcBorders>
              <w:top w:val="nil"/>
              <w:left w:val="nil"/>
              <w:bottom w:val="nil"/>
              <w:right w:val="nil"/>
            </w:tcBorders>
            <w:noWrap/>
            <w:textDirection w:val="lrTb"/>
            <w:vAlign w:val="center"/>
            <w:hideMark/>
          </w:tcPr>
          <w:p w:rsidR="007244DD" w:rsidRPr="00047491" w:rsidP="00AD2D3A">
            <w:pPr>
              <w:bidi w:val="0"/>
              <w:spacing w:after="0" w:line="240" w:lineRule="auto"/>
              <w:jc w:val="center"/>
              <w:rPr>
                <w:rFonts w:ascii="Times New Roman" w:hAnsi="Times New Roman"/>
                <w:color w:val="000000"/>
                <w:sz w:val="18"/>
                <w:szCs w:val="18"/>
                <w:lang w:eastAsia="sk-SK"/>
              </w:rPr>
            </w:pPr>
            <w:r w:rsidRPr="00047491">
              <w:rPr>
                <w:rFonts w:ascii="Times New Roman" w:hAnsi="Times New Roman"/>
                <w:color w:val="000000"/>
                <w:sz w:val="18"/>
                <w:szCs w:val="18"/>
                <w:lang w:eastAsia="sk-SK"/>
              </w:rPr>
              <w:t>0,2</w:t>
            </w:r>
          </w:p>
        </w:tc>
        <w:tc>
          <w:tcPr>
            <w:tcW w:w="1090" w:type="dxa"/>
            <w:tcBorders>
              <w:top w:val="nil"/>
              <w:left w:val="nil"/>
              <w:bottom w:val="nil"/>
              <w:right w:val="nil"/>
            </w:tcBorders>
            <w:shd w:val="clear" w:color="auto" w:fill="BFBFBF"/>
            <w:noWrap/>
            <w:textDirection w:val="lrTb"/>
            <w:vAlign w:val="center"/>
          </w:tcPr>
          <w:p w:rsidR="007244DD" w:rsidRPr="00047491" w:rsidP="00AD2D3A">
            <w:pPr>
              <w:bidi w:val="0"/>
              <w:spacing w:after="0" w:line="240" w:lineRule="auto"/>
              <w:jc w:val="center"/>
              <w:rPr>
                <w:rFonts w:ascii="Times New Roman" w:hAnsi="Times New Roman"/>
                <w:color w:val="000000"/>
                <w:sz w:val="18"/>
                <w:szCs w:val="18"/>
                <w:lang w:eastAsia="sk-SK"/>
              </w:rPr>
            </w:pPr>
            <w:r w:rsidRPr="00047491">
              <w:rPr>
                <w:rFonts w:ascii="Times New Roman" w:hAnsi="Times New Roman"/>
                <w:color w:val="000000"/>
                <w:sz w:val="18"/>
                <w:szCs w:val="18"/>
                <w:lang w:eastAsia="sk-SK"/>
              </w:rPr>
              <w:t>1,5</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10 ročný nemecký dlhopis (% výnos)</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0,53</w:t>
            </w:r>
          </w:p>
        </w:tc>
        <w:tc>
          <w:tcPr>
            <w:tcW w:w="997"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0,14</w:t>
            </w:r>
          </w:p>
        </w:tc>
        <w:tc>
          <w:tcPr>
            <w:tcW w:w="1090" w:type="dxa"/>
            <w:tcBorders>
              <w:top w:val="nil"/>
              <w:left w:val="nil"/>
              <w:bottom w:val="nil"/>
              <w:right w:val="nil"/>
            </w:tcBorders>
            <w:shd w:val="clear" w:color="auto" w:fill="BFBFBF"/>
            <w:noWrap/>
            <w:textDirection w:val="lrTb"/>
            <w:vAlign w:val="center"/>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0,39</w:t>
            </w:r>
          </w:p>
        </w:tc>
      </w:tr>
      <w:tr>
        <w:tblPrEx>
          <w:tblW w:w="8703" w:type="dxa"/>
          <w:jc w:val="center"/>
          <w:tblCellMar>
            <w:left w:w="70" w:type="dxa"/>
            <w:right w:w="70" w:type="dxa"/>
          </w:tblCellMar>
          <w:tblLook w:val="04A0"/>
        </w:tblPrEx>
        <w:trPr>
          <w:trHeight w:val="300"/>
          <w:jc w:val="center"/>
        </w:trPr>
        <w:tc>
          <w:tcPr>
            <w:tcW w:w="5712" w:type="dxa"/>
            <w:tcBorders>
              <w:top w:val="nil"/>
              <w:left w:val="nil"/>
              <w:bottom w:val="nil"/>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Kurz USD/EUR</w:t>
            </w:r>
            <w:r>
              <w:rPr>
                <w:rFonts w:ascii="Times New Roman" w:hAnsi="Times New Roman"/>
                <w:color w:val="000000"/>
                <w:sz w:val="18"/>
                <w:szCs w:val="18"/>
                <w:lang w:eastAsia="sk-SK"/>
              </w:rPr>
              <w:t xml:space="preserve"> (priemer roka)</w:t>
            </w:r>
          </w:p>
        </w:tc>
        <w:tc>
          <w:tcPr>
            <w:tcW w:w="904"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1,11</w:t>
            </w:r>
          </w:p>
        </w:tc>
        <w:tc>
          <w:tcPr>
            <w:tcW w:w="997" w:type="dxa"/>
            <w:tcBorders>
              <w:top w:val="nil"/>
              <w:left w:val="nil"/>
              <w:bottom w:val="nil"/>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sidRPr="00584B07">
              <w:rPr>
                <w:rFonts w:ascii="Times New Roman" w:hAnsi="Times New Roman"/>
                <w:color w:val="000000"/>
                <w:sz w:val="18"/>
                <w:szCs w:val="18"/>
                <w:lang w:eastAsia="sk-SK"/>
              </w:rPr>
              <w:t>1,11</w:t>
            </w:r>
          </w:p>
        </w:tc>
        <w:tc>
          <w:tcPr>
            <w:tcW w:w="1090" w:type="dxa"/>
            <w:tcBorders>
              <w:top w:val="nil"/>
              <w:left w:val="nil"/>
              <w:bottom w:val="nil"/>
              <w:right w:val="nil"/>
            </w:tcBorders>
            <w:shd w:val="clear" w:color="auto" w:fill="BFBFBF"/>
            <w:noWrap/>
            <w:textDirection w:val="lrTb"/>
            <w:vAlign w:val="center"/>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1,13</w:t>
            </w:r>
          </w:p>
        </w:tc>
      </w:tr>
      <w:tr>
        <w:tblPrEx>
          <w:tblW w:w="8703" w:type="dxa"/>
          <w:jc w:val="center"/>
          <w:tblCellMar>
            <w:left w:w="70" w:type="dxa"/>
            <w:right w:w="70" w:type="dxa"/>
          </w:tblCellMar>
          <w:tblLook w:val="04A0"/>
        </w:tblPrEx>
        <w:trPr>
          <w:trHeight w:val="315"/>
          <w:jc w:val="center"/>
        </w:trPr>
        <w:tc>
          <w:tcPr>
            <w:tcW w:w="5712" w:type="dxa"/>
            <w:tcBorders>
              <w:top w:val="nil"/>
              <w:left w:val="nil"/>
              <w:bottom w:val="single" w:sz="8" w:space="0" w:color="auto"/>
              <w:right w:val="nil"/>
            </w:tcBorders>
            <w:noWrap/>
            <w:textDirection w:val="lrTb"/>
            <w:vAlign w:val="center"/>
            <w:hideMark/>
          </w:tcPr>
          <w:p w:rsidR="007244DD" w:rsidRPr="00584B07" w:rsidP="00AD2D3A">
            <w:pPr>
              <w:bidi w:val="0"/>
              <w:spacing w:after="0" w:line="240" w:lineRule="auto"/>
              <w:jc w:val="left"/>
              <w:rPr>
                <w:rFonts w:ascii="Times New Roman" w:hAnsi="Times New Roman"/>
                <w:color w:val="000000"/>
                <w:sz w:val="18"/>
                <w:szCs w:val="18"/>
                <w:lang w:eastAsia="sk-SK"/>
              </w:rPr>
            </w:pPr>
            <w:r w:rsidRPr="00584B07">
              <w:rPr>
                <w:rFonts w:ascii="Times New Roman" w:hAnsi="Times New Roman"/>
                <w:color w:val="000000"/>
                <w:sz w:val="18"/>
                <w:szCs w:val="18"/>
                <w:lang w:eastAsia="sk-SK"/>
              </w:rPr>
              <w:t>Cena ropy Brent (USD/bl)</w:t>
            </w:r>
          </w:p>
        </w:tc>
        <w:tc>
          <w:tcPr>
            <w:tcW w:w="904" w:type="dxa"/>
            <w:tcBorders>
              <w:top w:val="nil"/>
              <w:left w:val="nil"/>
              <w:bottom w:val="single" w:sz="8" w:space="0" w:color="auto"/>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53,6</w:t>
            </w:r>
          </w:p>
        </w:tc>
        <w:tc>
          <w:tcPr>
            <w:tcW w:w="997" w:type="dxa"/>
            <w:tcBorders>
              <w:top w:val="nil"/>
              <w:left w:val="nil"/>
              <w:bottom w:val="single" w:sz="8" w:space="0" w:color="auto"/>
              <w:right w:val="nil"/>
            </w:tcBorders>
            <w:noWrap/>
            <w:textDirection w:val="lrTb"/>
            <w:vAlign w:val="center"/>
            <w:hideMark/>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45,0</w:t>
            </w:r>
          </w:p>
        </w:tc>
        <w:tc>
          <w:tcPr>
            <w:tcW w:w="1090" w:type="dxa"/>
            <w:tcBorders>
              <w:top w:val="nil"/>
              <w:left w:val="nil"/>
              <w:bottom w:val="single" w:sz="8" w:space="0" w:color="auto"/>
              <w:right w:val="nil"/>
            </w:tcBorders>
            <w:shd w:val="clear" w:color="auto" w:fill="BFBFBF"/>
            <w:noWrap/>
            <w:textDirection w:val="lrTb"/>
            <w:vAlign w:val="center"/>
          </w:tcPr>
          <w:p w:rsidR="007244DD" w:rsidRPr="00584B07" w:rsidP="00AD2D3A">
            <w:pPr>
              <w:bidi w:val="0"/>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54,8</w:t>
            </w:r>
          </w:p>
        </w:tc>
      </w:tr>
    </w:tbl>
    <w:p w:rsidR="007244DD" w:rsidP="00F16082">
      <w:pPr>
        <w:bidi w:val="0"/>
        <w:spacing w:line="240" w:lineRule="auto"/>
        <w:ind w:left="6550"/>
        <w:rPr>
          <w:rFonts w:ascii="Times New Roman" w:hAnsi="Times New Roman"/>
          <w:iCs/>
          <w:color w:val="000000"/>
          <w:sz w:val="18"/>
          <w:szCs w:val="18"/>
        </w:rPr>
      </w:pPr>
      <w:r w:rsidRPr="00584B07">
        <w:rPr>
          <w:rFonts w:ascii="Times New Roman" w:hAnsi="Times New Roman"/>
          <w:iCs/>
          <w:color w:val="000000"/>
          <w:sz w:val="18"/>
          <w:szCs w:val="18"/>
        </w:rPr>
        <w:t>Zdroj: Eurostat, Bloomberg</w:t>
      </w:r>
      <w:r>
        <w:rPr>
          <w:rFonts w:ascii="Times New Roman" w:hAnsi="Times New Roman"/>
          <w:iCs/>
          <w:color w:val="000000"/>
          <w:sz w:val="18"/>
          <w:szCs w:val="18"/>
        </w:rPr>
        <w:t xml:space="preserve"> </w:t>
      </w:r>
    </w:p>
    <w:p w:rsidR="007244DD" w:rsidP="00F16082">
      <w:pPr>
        <w:bidi w:val="0"/>
        <w:spacing w:line="240" w:lineRule="auto"/>
        <w:jc w:val="left"/>
        <w:rPr>
          <w:rFonts w:ascii="Times New Roman" w:hAnsi="Times New Roman"/>
          <w:iCs/>
          <w:color w:val="000000"/>
          <w:sz w:val="18"/>
          <w:szCs w:val="18"/>
        </w:rPr>
      </w:pPr>
      <w:r>
        <w:rPr>
          <w:rFonts w:ascii="Times New Roman" w:hAnsi="Times New Roman"/>
          <w:iCs/>
          <w:color w:val="000000"/>
          <w:sz w:val="18"/>
          <w:szCs w:val="18"/>
          <w:vertAlign w:val="superscript"/>
        </w:rPr>
        <w:t>*</w:t>
      </w:r>
      <w:r>
        <w:rPr>
          <w:rFonts w:ascii="Times New Roman" w:hAnsi="Times New Roman"/>
          <w:color w:val="1F497D"/>
        </w:rPr>
        <w:t xml:space="preserve"> </w:t>
      </w:r>
      <w:r w:rsidRPr="00153FE4">
        <w:rPr>
          <w:rFonts w:ascii="Times New Roman" w:hAnsi="Times New Roman"/>
          <w:iCs/>
          <w:color w:val="000000"/>
          <w:sz w:val="18"/>
          <w:szCs w:val="18"/>
        </w:rPr>
        <w:t xml:space="preserve">suma všetkých miezd a odvodov na jedného zamestnanca v ekonomike </w:t>
      </w:r>
      <w:r>
        <w:rPr>
          <w:rFonts w:ascii="Times New Roman" w:hAnsi="Times New Roman"/>
          <w:iCs/>
          <w:color w:val="000000"/>
          <w:sz w:val="18"/>
          <w:szCs w:val="18"/>
        </w:rPr>
        <w:t>(„</w:t>
      </w:r>
      <w:r w:rsidRPr="00153FE4">
        <w:rPr>
          <w:rFonts w:ascii="Times New Roman" w:hAnsi="Times New Roman"/>
          <w:iCs/>
          <w:color w:val="000000"/>
          <w:sz w:val="18"/>
          <w:szCs w:val="18"/>
        </w:rPr>
        <w:t>superhrubá</w:t>
      </w:r>
      <w:r>
        <w:rPr>
          <w:rFonts w:ascii="Times New Roman" w:hAnsi="Times New Roman"/>
          <w:iCs/>
          <w:color w:val="000000"/>
          <w:sz w:val="18"/>
          <w:szCs w:val="18"/>
        </w:rPr>
        <w:t>“</w:t>
      </w:r>
      <w:r w:rsidRPr="00153FE4">
        <w:rPr>
          <w:rFonts w:ascii="Times New Roman" w:hAnsi="Times New Roman"/>
          <w:iCs/>
          <w:color w:val="000000"/>
          <w:sz w:val="18"/>
          <w:szCs w:val="18"/>
        </w:rPr>
        <w:t xml:space="preserve"> mzda</w:t>
      </w:r>
      <w:r>
        <w:rPr>
          <w:rFonts w:ascii="Times New Roman" w:hAnsi="Times New Roman"/>
          <w:color w:val="1F497D"/>
        </w:rPr>
        <w:t>)</w:t>
      </w:r>
      <w:r w:rsidRPr="004E2D5A">
        <w:rPr>
          <w:rFonts w:ascii="Times New Roman" w:hAnsi="Times New Roman"/>
          <w:iCs/>
          <w:color w:val="000000"/>
          <w:sz w:val="18"/>
          <w:szCs w:val="18"/>
        </w:rPr>
        <w:t xml:space="preserve">, </w:t>
      </w:r>
      <w:r>
        <w:rPr>
          <w:rFonts w:ascii="Times New Roman" w:hAnsi="Times New Roman"/>
          <w:iCs/>
          <w:color w:val="000000"/>
          <w:sz w:val="18"/>
          <w:szCs w:val="18"/>
        </w:rPr>
        <w:t>podľa EK z AMECO</w:t>
      </w:r>
    </w:p>
    <w:p w:rsidR="00097DCF" w:rsidRPr="004D79E7" w:rsidP="00876052">
      <w:pPr>
        <w:pStyle w:val="Heading2"/>
        <w:bidi w:val="0"/>
        <w:spacing w:before="240"/>
        <w:rPr>
          <w:rFonts w:hint="default"/>
        </w:rPr>
      </w:pPr>
      <w:bookmarkStart w:id="9" w:name="_Toc479313223"/>
      <w:bookmarkStart w:id="10" w:name="_Toc512599654"/>
      <w:r w:rsidRPr="004D79E7">
        <w:rPr>
          <w:rFonts w:hint="default"/>
        </w:rPr>
        <w:t>Makroekonomický</w:t>
      </w:r>
      <w:r w:rsidRPr="004D79E7">
        <w:rPr>
          <w:rFonts w:hint="default"/>
        </w:rPr>
        <w:t xml:space="preserve"> vý</w:t>
      </w:r>
      <w:r w:rsidRPr="004D79E7">
        <w:rPr>
          <w:rFonts w:hint="default"/>
        </w:rPr>
        <w:t>voj SR</w:t>
      </w:r>
      <w:bookmarkEnd w:id="9"/>
      <w:bookmarkEnd w:id="10"/>
    </w:p>
    <w:p w:rsidR="00097DCF" w:rsidRPr="004D79E7" w:rsidP="00C55201">
      <w:pPr>
        <w:pStyle w:val="Heading3"/>
        <w:bidi w:val="0"/>
        <w:ind w:left="709"/>
        <w:rPr>
          <w:rFonts w:hint="default"/>
          <w:szCs w:val="26"/>
        </w:rPr>
      </w:pPr>
      <w:bookmarkStart w:id="11" w:name="_Toc479313224"/>
      <w:bookmarkStart w:id="12" w:name="_Toc512599655"/>
      <w:r w:rsidRPr="004D79E7">
        <w:rPr>
          <w:rFonts w:hint="default"/>
          <w:szCs w:val="26"/>
        </w:rPr>
        <w:t>Hrubý</w:t>
      </w:r>
      <w:r w:rsidRPr="004D79E7">
        <w:rPr>
          <w:rFonts w:hint="default"/>
          <w:szCs w:val="26"/>
        </w:rPr>
        <w:t xml:space="preserve"> domá</w:t>
      </w:r>
      <w:r w:rsidRPr="004D79E7">
        <w:rPr>
          <w:rFonts w:hint="default"/>
          <w:szCs w:val="26"/>
        </w:rPr>
        <w:t>ci produkt</w:t>
      </w:r>
      <w:bookmarkEnd w:id="11"/>
      <w:bookmarkEnd w:id="12"/>
    </w:p>
    <w:p w:rsidR="007244DD" w:rsidRPr="007244DD" w:rsidP="007244DD">
      <w:pPr>
        <w:bidi w:val="0"/>
        <w:rPr>
          <w:rFonts w:ascii="Times New Roman" w:hAnsi="Times New Roman"/>
          <w:szCs w:val="22"/>
        </w:rPr>
      </w:pPr>
      <w:r w:rsidRPr="007244DD">
        <w:rPr>
          <w:rFonts w:ascii="Times New Roman" w:hAnsi="Times New Roman"/>
          <w:szCs w:val="22"/>
        </w:rPr>
        <w:t xml:space="preserve">Slovenská ekonomika vlani vzrástla o 3,4 %. Hlavným zdrojom rastu bola spotreba domácností, ktorá reagovala na pozitívny vývoj na trhu práce. Export rástol pomalšie oproti fundamentom </w:t>
      </w:r>
      <w:r w:rsidR="001150D1">
        <w:rPr>
          <w:rFonts w:ascii="Times New Roman" w:hAnsi="Times New Roman"/>
          <w:szCs w:val="22"/>
        </w:rPr>
        <w:br/>
      </w:r>
      <w:r w:rsidRPr="007244DD">
        <w:rPr>
          <w:rFonts w:ascii="Times New Roman" w:hAnsi="Times New Roman"/>
          <w:szCs w:val="22"/>
        </w:rPr>
        <w:t xml:space="preserve">v zahraničnom dopyte, čo je dôsledkom viacerých dočasných faktorov, napr. končiaci sa životný cyklus niektorých modelov áut vyrábaných na Slovensku. Investície rástli pozvoľne pod vplyvom silného bázického efektu, najmä v prvej polovici roka. Ten súvisí s dočerpávaním eurofondov </w:t>
      </w:r>
      <w:r w:rsidR="001150D1">
        <w:rPr>
          <w:rFonts w:ascii="Times New Roman" w:hAnsi="Times New Roman"/>
          <w:szCs w:val="22"/>
        </w:rPr>
        <w:br/>
      </w:r>
      <w:r w:rsidRPr="007244DD">
        <w:rPr>
          <w:rFonts w:ascii="Times New Roman" w:hAnsi="Times New Roman"/>
          <w:szCs w:val="22"/>
        </w:rPr>
        <w:t>v rovnakom období predchádzajúceho roka. V druhej polovici roka začali investície postupne zrýchľovať a pridal sa k nim aj export. Vládna spotreba ekonomiku tlmila a v reálnom vyjadrení stagnovala.</w:t>
      </w:r>
    </w:p>
    <w:tbl>
      <w:tblPr>
        <w:tblStyle w:val="TableNormal"/>
        <w:tblW w:w="9017" w:type="dxa"/>
        <w:tblInd w:w="70" w:type="dxa"/>
        <w:tblCellMar>
          <w:left w:w="70" w:type="dxa"/>
          <w:right w:w="70" w:type="dxa"/>
        </w:tblCellMar>
        <w:tblLook w:val="04A0"/>
      </w:tblPr>
      <w:tblGrid>
        <w:gridCol w:w="1508"/>
        <w:gridCol w:w="889"/>
        <w:gridCol w:w="615"/>
        <w:gridCol w:w="615"/>
        <w:gridCol w:w="592"/>
        <w:gridCol w:w="4798"/>
      </w:tblGrid>
      <w:tr>
        <w:tblPrEx>
          <w:tblW w:w="9017" w:type="dxa"/>
          <w:tblInd w:w="70" w:type="dxa"/>
          <w:tblCellMar>
            <w:left w:w="70" w:type="dxa"/>
            <w:right w:w="70" w:type="dxa"/>
          </w:tblCellMar>
          <w:tblLook w:val="04A0"/>
        </w:tblPrEx>
        <w:trPr>
          <w:trHeight w:val="293"/>
        </w:trPr>
        <w:tc>
          <w:tcPr>
            <w:tcW w:w="9017" w:type="dxa"/>
            <w:gridSpan w:val="6"/>
            <w:tcBorders>
              <w:top w:val="nil"/>
              <w:left w:val="nil"/>
              <w:bottom w:val="nil"/>
              <w:right w:val="nil"/>
            </w:tcBorders>
            <w:shd w:val="clear" w:color="000000" w:fill="000000"/>
            <w:textDirection w:val="lrTb"/>
            <w:vAlign w:val="center"/>
            <w:hideMark/>
          </w:tcPr>
          <w:p w:rsidR="00875C4A" w:rsidRPr="00875C4A" w:rsidP="00875C4A">
            <w:pPr>
              <w:bidi w:val="0"/>
              <w:rPr>
                <w:rFonts w:ascii="Times New Roman" w:hAnsi="Times New Roman"/>
                <w:b/>
                <w:bCs/>
                <w:color w:val="FFFFFF"/>
                <w:sz w:val="20"/>
              </w:rPr>
            </w:pPr>
            <w:r w:rsidRPr="00875C4A">
              <w:rPr>
                <w:rFonts w:ascii="Times New Roman" w:hAnsi="Times New Roman"/>
                <w:b/>
                <w:bCs/>
                <w:color w:val="FFFFFF"/>
                <w:sz w:val="20"/>
              </w:rPr>
              <w:t xml:space="preserve">Vývoj HDP a jeho hlavných  zložiek </w:t>
            </w:r>
          </w:p>
        </w:tc>
      </w:tr>
      <w:tr>
        <w:tblPrEx>
          <w:tblW w:w="9017" w:type="dxa"/>
          <w:tblInd w:w="70" w:type="dxa"/>
          <w:tblLook w:val="04A0"/>
        </w:tblPrEx>
        <w:trPr>
          <w:trHeight w:val="271"/>
        </w:trPr>
        <w:tc>
          <w:tcPr>
            <w:tcW w:w="2397" w:type="dxa"/>
            <w:gridSpan w:val="2"/>
            <w:tcBorders>
              <w:top w:val="nil"/>
              <w:left w:val="nil"/>
              <w:bottom w:val="single" w:sz="4" w:space="0" w:color="auto"/>
              <w:right w:val="nil"/>
            </w:tcBorders>
            <w:shd w:val="clear" w:color="auto" w:fill="BFBFBF"/>
            <w:textDirection w:val="lrTb"/>
            <w:vAlign w:val="center"/>
            <w:hideMark/>
          </w:tcPr>
          <w:p w:rsidR="00875C4A" w:rsidRPr="00875C4A" w:rsidP="00875C4A">
            <w:pPr>
              <w:bidi w:val="0"/>
              <w:jc w:val="center"/>
              <w:rPr>
                <w:rFonts w:ascii="Times New Roman" w:hAnsi="Times New Roman"/>
                <w:b/>
                <w:bCs/>
                <w:color w:val="000000"/>
                <w:sz w:val="18"/>
                <w:szCs w:val="18"/>
              </w:rPr>
            </w:pPr>
            <w:r w:rsidRPr="00875C4A">
              <w:rPr>
                <w:rFonts w:ascii="Times New Roman" w:hAnsi="Times New Roman"/>
                <w:b/>
                <w:bCs/>
                <w:color w:val="000000"/>
                <w:sz w:val="18"/>
                <w:szCs w:val="16"/>
              </w:rPr>
              <w:t>reálny rast v %</w:t>
            </w:r>
          </w:p>
        </w:tc>
        <w:tc>
          <w:tcPr>
            <w:tcW w:w="615" w:type="dxa"/>
            <w:tcBorders>
              <w:top w:val="nil"/>
              <w:left w:val="nil"/>
              <w:bottom w:val="single" w:sz="4" w:space="0" w:color="auto"/>
              <w:right w:val="nil"/>
            </w:tcBorders>
            <w:shd w:val="clear" w:color="auto" w:fill="BFBFBF"/>
            <w:textDirection w:val="lrTb"/>
            <w:vAlign w:val="center"/>
            <w:hideMark/>
          </w:tcPr>
          <w:p w:rsidR="00875C4A" w:rsidRPr="00875C4A" w:rsidP="00875C4A">
            <w:pPr>
              <w:bidi w:val="0"/>
              <w:jc w:val="center"/>
              <w:rPr>
                <w:rFonts w:ascii="Times New Roman" w:hAnsi="Times New Roman"/>
                <w:b/>
                <w:bCs/>
                <w:color w:val="000000"/>
                <w:sz w:val="18"/>
                <w:szCs w:val="18"/>
              </w:rPr>
            </w:pPr>
            <w:r w:rsidRPr="00875C4A">
              <w:rPr>
                <w:rFonts w:ascii="Times New Roman" w:hAnsi="Times New Roman"/>
                <w:b/>
                <w:bCs/>
                <w:color w:val="000000"/>
                <w:sz w:val="18"/>
                <w:szCs w:val="16"/>
              </w:rPr>
              <w:t>201</w:t>
            </w:r>
            <w:r>
              <w:rPr>
                <w:rFonts w:ascii="Times New Roman" w:hAnsi="Times New Roman"/>
                <w:b/>
                <w:bCs/>
                <w:color w:val="000000"/>
                <w:sz w:val="18"/>
                <w:szCs w:val="16"/>
              </w:rPr>
              <w:t>5</w:t>
            </w:r>
          </w:p>
        </w:tc>
        <w:tc>
          <w:tcPr>
            <w:tcW w:w="615" w:type="dxa"/>
            <w:tcBorders>
              <w:top w:val="nil"/>
              <w:left w:val="nil"/>
              <w:bottom w:val="single" w:sz="4" w:space="0" w:color="auto"/>
              <w:right w:val="nil"/>
            </w:tcBorders>
            <w:shd w:val="clear" w:color="auto" w:fill="BFBFBF"/>
            <w:textDirection w:val="lrTb"/>
            <w:vAlign w:val="center"/>
            <w:hideMark/>
          </w:tcPr>
          <w:p w:rsidR="00875C4A" w:rsidRPr="00875C4A" w:rsidP="00875C4A">
            <w:pPr>
              <w:bidi w:val="0"/>
              <w:jc w:val="center"/>
              <w:rPr>
                <w:rFonts w:ascii="Times New Roman" w:hAnsi="Times New Roman"/>
                <w:b/>
                <w:bCs/>
                <w:color w:val="000000"/>
                <w:sz w:val="18"/>
                <w:szCs w:val="18"/>
              </w:rPr>
            </w:pPr>
            <w:r w:rsidRPr="00875C4A">
              <w:rPr>
                <w:rFonts w:ascii="Times New Roman" w:hAnsi="Times New Roman"/>
                <w:b/>
                <w:bCs/>
                <w:color w:val="000000"/>
                <w:sz w:val="18"/>
                <w:szCs w:val="16"/>
              </w:rPr>
              <w:t>201</w:t>
            </w:r>
            <w:r>
              <w:rPr>
                <w:rFonts w:ascii="Times New Roman" w:hAnsi="Times New Roman"/>
                <w:b/>
                <w:bCs/>
                <w:color w:val="000000"/>
                <w:sz w:val="18"/>
                <w:szCs w:val="16"/>
              </w:rPr>
              <w:t>6</w:t>
            </w:r>
          </w:p>
        </w:tc>
        <w:tc>
          <w:tcPr>
            <w:tcW w:w="592" w:type="dxa"/>
            <w:tcBorders>
              <w:top w:val="nil"/>
              <w:left w:val="nil"/>
              <w:bottom w:val="single" w:sz="4" w:space="0" w:color="auto"/>
              <w:right w:val="nil"/>
            </w:tcBorders>
            <w:shd w:val="clear" w:color="auto" w:fill="BFBFBF"/>
            <w:textDirection w:val="lrTb"/>
            <w:vAlign w:val="center"/>
            <w:hideMark/>
          </w:tcPr>
          <w:p w:rsidR="00875C4A" w:rsidRPr="00875C4A" w:rsidP="00875C4A">
            <w:pPr>
              <w:bidi w:val="0"/>
              <w:jc w:val="center"/>
              <w:rPr>
                <w:rFonts w:ascii="Times New Roman" w:hAnsi="Times New Roman"/>
                <w:b/>
                <w:bCs/>
                <w:color w:val="000000"/>
                <w:sz w:val="18"/>
                <w:szCs w:val="18"/>
              </w:rPr>
            </w:pPr>
            <w:r w:rsidRPr="00875C4A">
              <w:rPr>
                <w:rFonts w:ascii="Times New Roman" w:hAnsi="Times New Roman"/>
                <w:b/>
                <w:bCs/>
                <w:color w:val="000000"/>
                <w:sz w:val="18"/>
                <w:szCs w:val="16"/>
              </w:rPr>
              <w:t>201</w:t>
            </w:r>
            <w:r>
              <w:rPr>
                <w:rFonts w:ascii="Times New Roman" w:hAnsi="Times New Roman"/>
                <w:b/>
                <w:bCs/>
                <w:color w:val="000000"/>
                <w:sz w:val="18"/>
                <w:szCs w:val="16"/>
              </w:rPr>
              <w:t>7</w:t>
            </w:r>
          </w:p>
        </w:tc>
        <w:tc>
          <w:tcPr>
            <w:tcW w:w="4798" w:type="dxa"/>
            <w:vMerge w:val="restart"/>
            <w:tcBorders>
              <w:top w:val="nil"/>
              <w:left w:val="nil"/>
              <w:bottom w:val="single" w:sz="4" w:space="0" w:color="auto"/>
              <w:right w:val="nil"/>
            </w:tcBorders>
            <w:textDirection w:val="lrTb"/>
            <w:vAlign w:val="top"/>
            <w:hideMark/>
          </w:tcPr>
          <w:p w:rsidR="00875C4A" w:rsidRPr="00875C4A" w:rsidP="00875C4A">
            <w:pPr>
              <w:bidi w:val="0"/>
              <w:jc w:val="center"/>
              <w:rPr>
                <w:rFonts w:ascii="Times New Roman" w:hAnsi="Times New Roman"/>
                <w:b/>
                <w:bCs/>
                <w:color w:val="000000"/>
                <w:sz w:val="18"/>
                <w:szCs w:val="18"/>
              </w:rPr>
            </w:pPr>
            <w:r>
              <w:rPr>
                <w:rFonts w:ascii="Times New Roman" w:hAnsi="Times New Roman"/>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6" o:spid="_x0000_i1025" type="#_x0000_t75" style="width:229pt;height:164.15pt;visibility:visible" stroked="f">
                  <v:imagedata r:id="rId6" o:title=""/>
                  <o:lock v:ext="edit" aspectratio="f"/>
                </v:shape>
              </w:pict>
            </w: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nil"/>
              <w:right w:val="nil"/>
            </w:tcBorders>
            <w:textDirection w:val="lrTb"/>
            <w:vAlign w:val="center"/>
            <w:hideMark/>
          </w:tcPr>
          <w:p w:rsidR="00875C4A" w:rsidRPr="00AD2D3A" w:rsidP="00AD2D3A">
            <w:pPr>
              <w:bidi w:val="0"/>
              <w:spacing w:after="0" w:line="240" w:lineRule="auto"/>
              <w:jc w:val="left"/>
              <w:rPr>
                <w:rFonts w:ascii="Times New Roman" w:hAnsi="Times New Roman"/>
                <w:b/>
                <w:color w:val="000000"/>
                <w:sz w:val="18"/>
                <w:szCs w:val="18"/>
                <w:lang w:eastAsia="sk-SK"/>
              </w:rPr>
            </w:pPr>
            <w:r w:rsidRPr="00AD2D3A">
              <w:rPr>
                <w:rFonts w:ascii="Times New Roman" w:hAnsi="Times New Roman"/>
                <w:b/>
                <w:color w:val="000000"/>
                <w:sz w:val="18"/>
                <w:szCs w:val="18"/>
                <w:lang w:eastAsia="sk-SK"/>
              </w:rPr>
              <w:t xml:space="preserve">HDP </w:t>
            </w:r>
          </w:p>
        </w:tc>
        <w:tc>
          <w:tcPr>
            <w:tcW w:w="615" w:type="dxa"/>
            <w:tcBorders>
              <w:top w:val="nil"/>
              <w:left w:val="nil"/>
              <w:bottom w:val="nil"/>
              <w:right w:val="nil"/>
            </w:tcBorders>
            <w:textDirection w:val="lrTb"/>
            <w:vAlign w:val="center"/>
            <w:hideMark/>
          </w:tcPr>
          <w:p w:rsidR="00875C4A" w:rsidRPr="00AD2D3A" w:rsidP="00AD2D3A">
            <w:pPr>
              <w:bidi w:val="0"/>
              <w:spacing w:after="0" w:line="240" w:lineRule="auto"/>
              <w:jc w:val="center"/>
              <w:rPr>
                <w:rFonts w:ascii="Times New Roman" w:hAnsi="Times New Roman"/>
                <w:b/>
                <w:color w:val="000000"/>
                <w:sz w:val="18"/>
                <w:szCs w:val="18"/>
                <w:lang w:eastAsia="sk-SK"/>
              </w:rPr>
            </w:pPr>
            <w:r w:rsidRPr="00AD2D3A">
              <w:rPr>
                <w:rFonts w:ascii="Times New Roman" w:hAnsi="Times New Roman"/>
                <w:b/>
                <w:color w:val="000000"/>
                <w:sz w:val="18"/>
                <w:szCs w:val="18"/>
                <w:lang w:eastAsia="sk-SK"/>
              </w:rPr>
              <w:t>3,9</w:t>
            </w:r>
          </w:p>
        </w:tc>
        <w:tc>
          <w:tcPr>
            <w:tcW w:w="615" w:type="dxa"/>
            <w:tcBorders>
              <w:top w:val="nil"/>
              <w:left w:val="nil"/>
              <w:bottom w:val="nil"/>
              <w:right w:val="nil"/>
            </w:tcBorders>
            <w:textDirection w:val="lrTb"/>
            <w:vAlign w:val="center"/>
            <w:hideMark/>
          </w:tcPr>
          <w:p w:rsidR="00875C4A" w:rsidRPr="00AD2D3A" w:rsidP="00AD2D3A">
            <w:pPr>
              <w:bidi w:val="0"/>
              <w:spacing w:after="0" w:line="240" w:lineRule="auto"/>
              <w:jc w:val="center"/>
              <w:rPr>
                <w:rFonts w:ascii="Times New Roman" w:hAnsi="Times New Roman"/>
                <w:b/>
                <w:color w:val="000000"/>
                <w:sz w:val="18"/>
                <w:szCs w:val="18"/>
                <w:lang w:eastAsia="sk-SK"/>
              </w:rPr>
            </w:pPr>
            <w:r w:rsidRPr="00AD2D3A">
              <w:rPr>
                <w:rFonts w:ascii="Times New Roman" w:hAnsi="Times New Roman"/>
                <w:b/>
                <w:color w:val="000000"/>
                <w:sz w:val="18"/>
                <w:szCs w:val="18"/>
                <w:lang w:eastAsia="sk-SK"/>
              </w:rPr>
              <w:t>3,3</w:t>
            </w: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b/>
                <w:color w:val="000000"/>
                <w:sz w:val="18"/>
                <w:szCs w:val="18"/>
                <w:lang w:eastAsia="sk-SK"/>
              </w:rPr>
            </w:pPr>
            <w:r w:rsidRPr="00AD2D3A">
              <w:rPr>
                <w:rFonts w:ascii="Times New Roman" w:hAnsi="Times New Roman"/>
                <w:b/>
                <w:color w:val="000000"/>
                <w:sz w:val="18"/>
                <w:szCs w:val="18"/>
                <w:lang w:eastAsia="sk-SK"/>
              </w:rPr>
              <w:t>3,4</w:t>
            </w:r>
          </w:p>
        </w:tc>
        <w:tc>
          <w:tcPr>
            <w:tcW w:w="4798" w:type="dxa"/>
            <w:vMerge/>
            <w:tcBorders>
              <w:top w:val="nil"/>
              <w:left w:val="nil"/>
              <w:bottom w:val="single" w:sz="4" w:space="0" w:color="auto"/>
              <w:right w:val="nil"/>
            </w:tcBorders>
            <w:textDirection w:val="lrTb"/>
            <w:vAlign w:val="center"/>
            <w:hideMark/>
          </w:tcPr>
          <w:p w:rsidR="00875C4A" w:rsidRPr="00AD2D3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1508" w:type="dxa"/>
            <w:tcBorders>
              <w:top w:val="nil"/>
              <w:left w:val="nil"/>
              <w:bottom w:val="nil"/>
              <w:right w:val="nil"/>
            </w:tcBorders>
            <w:textDirection w:val="lrTb"/>
            <w:vAlign w:val="center"/>
            <w:hideMark/>
          </w:tcPr>
          <w:p w:rsidR="00875C4A" w:rsidRPr="00875C4A" w:rsidP="00AD2D3A">
            <w:pPr>
              <w:bidi w:val="0"/>
              <w:spacing w:after="0" w:line="240" w:lineRule="auto"/>
              <w:jc w:val="left"/>
              <w:rPr>
                <w:rFonts w:ascii="Times New Roman" w:hAnsi="Times New Roman"/>
                <w:color w:val="000000"/>
                <w:sz w:val="18"/>
                <w:szCs w:val="18"/>
                <w:lang w:eastAsia="sk-SK"/>
              </w:rPr>
            </w:pPr>
            <w:r w:rsidRPr="00875C4A">
              <w:rPr>
                <w:rFonts w:ascii="Times New Roman" w:hAnsi="Times New Roman"/>
                <w:color w:val="000000"/>
                <w:sz w:val="18"/>
                <w:szCs w:val="18"/>
                <w:lang w:eastAsia="sk-SK"/>
              </w:rPr>
              <w:t>z toho:</w:t>
            </w:r>
          </w:p>
        </w:tc>
        <w:tc>
          <w:tcPr>
            <w:tcW w:w="1504" w:type="dxa"/>
            <w:gridSpan w:val="2"/>
            <w:tcBorders>
              <w:top w:val="nil"/>
              <w:left w:val="nil"/>
              <w:bottom w:val="nil"/>
              <w:right w:val="nil"/>
            </w:tcBorders>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p>
        </w:tc>
        <w:tc>
          <w:tcPr>
            <w:tcW w:w="615" w:type="dxa"/>
            <w:tcBorders>
              <w:top w:val="nil"/>
              <w:left w:val="nil"/>
              <w:bottom w:val="nil"/>
              <w:right w:val="nil"/>
            </w:tcBorders>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nil"/>
              <w:right w:val="nil"/>
            </w:tcBorders>
            <w:textDirection w:val="lrTb"/>
            <w:vAlign w:val="center"/>
            <w:hideMark/>
          </w:tcPr>
          <w:p w:rsidR="00875C4A" w:rsidRPr="00875C4A" w:rsidP="00AD2D3A">
            <w:pPr>
              <w:bidi w:val="0"/>
              <w:spacing w:after="0" w:line="240" w:lineRule="auto"/>
              <w:jc w:val="left"/>
              <w:rPr>
                <w:rFonts w:ascii="Times New Roman" w:hAnsi="Times New Roman"/>
                <w:color w:val="000000"/>
                <w:sz w:val="18"/>
                <w:szCs w:val="18"/>
                <w:lang w:eastAsia="sk-SK"/>
              </w:rPr>
            </w:pPr>
            <w:r w:rsidRPr="00AD2D3A">
              <w:rPr>
                <w:rFonts w:ascii="Times New Roman" w:hAnsi="Times New Roman"/>
                <w:color w:val="000000"/>
                <w:sz w:val="18"/>
                <w:szCs w:val="18"/>
                <w:lang w:eastAsia="sk-SK"/>
              </w:rPr>
              <w:t>Konečná spotreba domácností</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2,3</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2,6</w:t>
            </w: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3,7</w:t>
            </w: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nil"/>
              <w:right w:val="nil"/>
            </w:tcBorders>
            <w:textDirection w:val="lrTb"/>
            <w:vAlign w:val="center"/>
            <w:hideMark/>
          </w:tcPr>
          <w:p w:rsidR="00875C4A" w:rsidRPr="00875C4A" w:rsidP="001545D9">
            <w:pPr>
              <w:bidi w:val="0"/>
              <w:spacing w:after="0" w:line="240" w:lineRule="auto"/>
              <w:jc w:val="left"/>
              <w:rPr>
                <w:rFonts w:ascii="Times New Roman" w:hAnsi="Times New Roman"/>
                <w:color w:val="000000"/>
                <w:sz w:val="18"/>
                <w:szCs w:val="18"/>
                <w:lang w:eastAsia="sk-SK"/>
              </w:rPr>
            </w:pPr>
            <w:r w:rsidRPr="00AD2D3A">
              <w:rPr>
                <w:rFonts w:ascii="Times New Roman" w:hAnsi="Times New Roman"/>
                <w:color w:val="000000"/>
                <w:sz w:val="18"/>
                <w:szCs w:val="18"/>
                <w:lang w:eastAsia="sk-SK"/>
              </w:rPr>
              <w:t>Konečná spotreba ver. správy</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5,4</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1,6</w:t>
            </w: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0,2</w:t>
            </w: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nil"/>
              <w:right w:val="nil"/>
            </w:tcBorders>
            <w:textDirection w:val="lrTb"/>
            <w:vAlign w:val="center"/>
            <w:hideMark/>
          </w:tcPr>
          <w:p w:rsidR="00875C4A" w:rsidRPr="00875C4A" w:rsidP="00AD2D3A">
            <w:pPr>
              <w:bidi w:val="0"/>
              <w:spacing w:after="0" w:line="240" w:lineRule="auto"/>
              <w:jc w:val="left"/>
              <w:rPr>
                <w:rFonts w:ascii="Times New Roman" w:hAnsi="Times New Roman"/>
                <w:color w:val="000000"/>
                <w:sz w:val="18"/>
                <w:szCs w:val="18"/>
                <w:lang w:eastAsia="sk-SK"/>
              </w:rPr>
            </w:pPr>
            <w:r w:rsidRPr="00875C4A">
              <w:rPr>
                <w:rFonts w:ascii="Times New Roman" w:hAnsi="Times New Roman"/>
                <w:color w:val="000000"/>
                <w:sz w:val="18"/>
                <w:szCs w:val="18"/>
                <w:lang w:eastAsia="sk-SK"/>
              </w:rPr>
              <w:t>Tvorba hrubého fixného kapitálu</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19,8</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-8,3</w:t>
            </w: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3,2</w:t>
            </w: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nil"/>
              <w:right w:val="nil"/>
            </w:tcBorders>
            <w:textDirection w:val="lrTb"/>
            <w:vAlign w:val="center"/>
            <w:hideMark/>
          </w:tcPr>
          <w:p w:rsidR="00875C4A" w:rsidRPr="00875C4A" w:rsidP="00AD2D3A">
            <w:pPr>
              <w:bidi w:val="0"/>
              <w:spacing w:after="0" w:line="240" w:lineRule="auto"/>
              <w:jc w:val="left"/>
              <w:rPr>
                <w:rFonts w:ascii="Times New Roman" w:hAnsi="Times New Roman"/>
                <w:color w:val="000000"/>
                <w:sz w:val="18"/>
                <w:szCs w:val="18"/>
                <w:lang w:eastAsia="sk-SK"/>
              </w:rPr>
            </w:pPr>
            <w:r w:rsidRPr="00AD2D3A">
              <w:rPr>
                <w:rFonts w:ascii="Times New Roman" w:hAnsi="Times New Roman"/>
                <w:color w:val="000000"/>
                <w:sz w:val="18"/>
                <w:szCs w:val="18"/>
                <w:lang w:eastAsia="sk-SK"/>
              </w:rPr>
              <w:t>Vývoz výrobkov a služieb</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6,4</w:t>
            </w:r>
          </w:p>
        </w:tc>
        <w:tc>
          <w:tcPr>
            <w:tcW w:w="615" w:type="dxa"/>
            <w:tcBorders>
              <w:top w:val="nil"/>
              <w:left w:val="nil"/>
              <w:bottom w:val="nil"/>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6,2</w:t>
            </w:r>
          </w:p>
        </w:tc>
        <w:tc>
          <w:tcPr>
            <w:tcW w:w="592" w:type="dxa"/>
            <w:tcBorders>
              <w:top w:val="nil"/>
              <w:left w:val="nil"/>
              <w:bottom w:val="nil"/>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4,3</w:t>
            </w: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397" w:type="dxa"/>
            <w:gridSpan w:val="2"/>
            <w:tcBorders>
              <w:top w:val="nil"/>
              <w:left w:val="nil"/>
              <w:bottom w:val="single" w:sz="4" w:space="0" w:color="auto"/>
              <w:right w:val="nil"/>
            </w:tcBorders>
            <w:textDirection w:val="lrTb"/>
            <w:vAlign w:val="center"/>
            <w:hideMark/>
          </w:tcPr>
          <w:p w:rsidR="00875C4A" w:rsidRPr="00875C4A" w:rsidP="00AD2D3A">
            <w:pPr>
              <w:bidi w:val="0"/>
              <w:spacing w:after="0" w:line="240" w:lineRule="auto"/>
              <w:jc w:val="left"/>
              <w:rPr>
                <w:rFonts w:ascii="Times New Roman" w:hAnsi="Times New Roman"/>
                <w:color w:val="000000"/>
                <w:sz w:val="18"/>
                <w:szCs w:val="18"/>
                <w:lang w:eastAsia="sk-SK"/>
              </w:rPr>
            </w:pPr>
            <w:r w:rsidRPr="00AD2D3A">
              <w:rPr>
                <w:rFonts w:ascii="Times New Roman" w:hAnsi="Times New Roman"/>
                <w:color w:val="000000"/>
                <w:sz w:val="18"/>
                <w:szCs w:val="18"/>
                <w:lang w:eastAsia="sk-SK"/>
              </w:rPr>
              <w:t>Dovoz výrobkov a služieb</w:t>
            </w:r>
          </w:p>
        </w:tc>
        <w:tc>
          <w:tcPr>
            <w:tcW w:w="615" w:type="dxa"/>
            <w:tcBorders>
              <w:top w:val="nil"/>
              <w:left w:val="nil"/>
              <w:bottom w:val="single" w:sz="4" w:space="0" w:color="auto"/>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8,4</w:t>
            </w:r>
          </w:p>
        </w:tc>
        <w:tc>
          <w:tcPr>
            <w:tcW w:w="615" w:type="dxa"/>
            <w:tcBorders>
              <w:top w:val="nil"/>
              <w:left w:val="nil"/>
              <w:bottom w:val="single" w:sz="4" w:space="0" w:color="auto"/>
              <w:right w:val="nil"/>
            </w:tcBorders>
            <w:textDirection w:val="lrTb"/>
            <w:vAlign w:val="center"/>
            <w:hideMark/>
          </w:tcPr>
          <w:p w:rsidR="00875C4A" w:rsidRPr="00875C4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3,7</w:t>
            </w:r>
          </w:p>
        </w:tc>
        <w:tc>
          <w:tcPr>
            <w:tcW w:w="592" w:type="dxa"/>
            <w:tcBorders>
              <w:top w:val="nil"/>
              <w:left w:val="nil"/>
              <w:bottom w:val="single" w:sz="4" w:space="0" w:color="auto"/>
              <w:right w:val="nil"/>
            </w:tcBorders>
            <w:shd w:val="clear" w:color="auto" w:fill="D9D9D9"/>
            <w:textDirection w:val="lrTb"/>
            <w:vAlign w:val="center"/>
            <w:hideMark/>
          </w:tcPr>
          <w:p w:rsidR="00875C4A" w:rsidRPr="00AD2D3A" w:rsidP="00AD2D3A">
            <w:pPr>
              <w:bidi w:val="0"/>
              <w:spacing w:after="0" w:line="240" w:lineRule="auto"/>
              <w:jc w:val="center"/>
              <w:rPr>
                <w:rFonts w:ascii="Times New Roman" w:hAnsi="Times New Roman"/>
                <w:color w:val="000000"/>
                <w:sz w:val="18"/>
                <w:szCs w:val="18"/>
                <w:lang w:eastAsia="sk-SK"/>
              </w:rPr>
            </w:pPr>
            <w:r w:rsidRPr="00AD2D3A">
              <w:rPr>
                <w:rFonts w:ascii="Times New Roman" w:hAnsi="Times New Roman"/>
                <w:color w:val="000000"/>
                <w:sz w:val="18"/>
                <w:szCs w:val="18"/>
                <w:lang w:eastAsia="sk-SK"/>
              </w:rPr>
              <w:t>3,9</w:t>
            </w:r>
          </w:p>
        </w:tc>
        <w:tc>
          <w:tcPr>
            <w:tcW w:w="4798" w:type="dxa"/>
            <w:vMerge/>
            <w:tcBorders>
              <w:top w:val="nil"/>
              <w:left w:val="nil"/>
              <w:bottom w:val="single" w:sz="4" w:space="0" w:color="auto"/>
              <w:right w:val="nil"/>
            </w:tcBorders>
            <w:textDirection w:val="lrTb"/>
            <w:vAlign w:val="center"/>
            <w:hideMark/>
          </w:tcPr>
          <w:p w:rsidR="00875C4A" w:rsidRPr="00875C4A" w:rsidP="00875C4A">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4219" w:type="dxa"/>
            <w:gridSpan w:val="5"/>
            <w:tcBorders>
              <w:top w:val="nil"/>
              <w:left w:val="nil"/>
              <w:bottom w:val="nil"/>
              <w:right w:val="nil"/>
            </w:tcBorders>
            <w:textDirection w:val="lrTb"/>
            <w:vAlign w:val="center"/>
            <w:hideMark/>
          </w:tcPr>
          <w:p w:rsidR="00875C4A" w:rsidRPr="004D79E7" w:rsidP="00875C4A">
            <w:pPr>
              <w:bidi w:val="0"/>
              <w:jc w:val="right"/>
              <w:rPr>
                <w:rFonts w:ascii="Times New Roman" w:hAnsi="Times New Roman"/>
                <w:iCs/>
                <w:color w:val="000000"/>
                <w:sz w:val="18"/>
                <w:szCs w:val="18"/>
              </w:rPr>
            </w:pPr>
            <w:r w:rsidRPr="004D79E7">
              <w:rPr>
                <w:rFonts w:ascii="Times New Roman" w:hAnsi="Times New Roman"/>
                <w:iCs/>
                <w:color w:val="000000"/>
                <w:sz w:val="18"/>
                <w:szCs w:val="18"/>
              </w:rPr>
              <w:t>Zdroj: ŠÚ SR</w:t>
            </w:r>
          </w:p>
        </w:tc>
        <w:tc>
          <w:tcPr>
            <w:tcW w:w="4798" w:type="dxa"/>
            <w:tcBorders>
              <w:top w:val="single" w:sz="4" w:space="0" w:color="auto"/>
              <w:left w:val="nil"/>
              <w:bottom w:val="nil"/>
              <w:right w:val="nil"/>
            </w:tcBorders>
            <w:textDirection w:val="lrTb"/>
            <w:vAlign w:val="center"/>
            <w:hideMark/>
          </w:tcPr>
          <w:p w:rsidR="00875C4A" w:rsidRPr="004D79E7" w:rsidP="00875C4A">
            <w:pPr>
              <w:bidi w:val="0"/>
              <w:jc w:val="right"/>
              <w:rPr>
                <w:rFonts w:ascii="Times New Roman" w:hAnsi="Times New Roman"/>
                <w:color w:val="000000"/>
                <w:sz w:val="18"/>
                <w:szCs w:val="18"/>
              </w:rPr>
            </w:pPr>
            <w:r w:rsidRPr="004D79E7">
              <w:rPr>
                <w:rFonts w:ascii="Times New Roman" w:hAnsi="Times New Roman"/>
                <w:color w:val="000000"/>
                <w:sz w:val="18"/>
                <w:szCs w:val="18"/>
              </w:rPr>
              <w:t xml:space="preserve"> </w:t>
            </w:r>
            <w:r w:rsidRPr="004D79E7">
              <w:rPr>
                <w:rFonts w:ascii="Times New Roman" w:hAnsi="Times New Roman"/>
                <w:iCs/>
                <w:color w:val="000000"/>
                <w:sz w:val="18"/>
                <w:szCs w:val="18"/>
              </w:rPr>
              <w:t>Zdroj: ŠÚ SR</w:t>
            </w:r>
          </w:p>
        </w:tc>
      </w:tr>
    </w:tbl>
    <w:p w:rsidR="007244DD" w:rsidRPr="007244DD" w:rsidP="007244DD">
      <w:pPr>
        <w:bidi w:val="0"/>
        <w:rPr>
          <w:rFonts w:ascii="Times New Roman" w:hAnsi="Times New Roman"/>
          <w:szCs w:val="22"/>
        </w:rPr>
      </w:pPr>
      <w:r w:rsidRPr="007244DD" w:rsidR="00DC1853">
        <w:rPr>
          <w:rFonts w:ascii="Times New Roman" w:hAnsi="Times New Roman"/>
          <w:szCs w:val="22"/>
        </w:rPr>
        <w:t xml:space="preserve">Zo sektorového pohľadu k reálnemu rastu HDP v roku 2017 najviac prispela pridaná hodnota </w:t>
      </w:r>
      <w:r w:rsidR="001150D1">
        <w:rPr>
          <w:rFonts w:ascii="Times New Roman" w:hAnsi="Times New Roman"/>
          <w:szCs w:val="22"/>
        </w:rPr>
        <w:br/>
      </w:r>
      <w:r w:rsidRPr="007244DD" w:rsidR="00DC1853">
        <w:rPr>
          <w:rFonts w:ascii="Times New Roman" w:hAnsi="Times New Roman"/>
          <w:szCs w:val="22"/>
        </w:rPr>
        <w:t>v službách s rastom o 5,3 % (príspevok k rastu HDP 2,2 p.b.). Pridaná hodnota v stavebníctve stúpla o 2,8 % (príspevok k rastu HDP 0,1 p.b.), čo je dané obnovením rastu investícií v súlade s fázou ekonomickým cyklom. Pridaná hodnota v priemysle vzrástla o 3,3 % (príspevok k rastu HDP 1 p.b.).</w:t>
      </w:r>
    </w:p>
    <w:p w:rsidR="00097DCF" w:rsidRPr="004D79E7" w:rsidP="00B37EBE">
      <w:pPr>
        <w:pStyle w:val="Heading3"/>
        <w:bidi w:val="0"/>
        <w:ind w:left="709"/>
        <w:rPr>
          <w:rFonts w:hint="default"/>
        </w:rPr>
      </w:pPr>
      <w:bookmarkStart w:id="13" w:name="_Toc479313225"/>
      <w:bookmarkStart w:id="14" w:name="_Toc512599656"/>
      <w:r w:rsidRPr="004D79E7">
        <w:rPr>
          <w:rFonts w:hint="default"/>
        </w:rPr>
        <w:t>Trh prá</w:t>
      </w:r>
      <w:r w:rsidRPr="004D79E7">
        <w:rPr>
          <w:rFonts w:hint="default"/>
        </w:rPr>
        <w:t>ce</w:t>
      </w:r>
      <w:bookmarkEnd w:id="13"/>
      <w:bookmarkEnd w:id="14"/>
    </w:p>
    <w:p w:rsidR="00875C4A" w:rsidRPr="00875C4A" w:rsidP="00875C4A">
      <w:pPr>
        <w:bidi w:val="0"/>
        <w:rPr>
          <w:rFonts w:ascii="Times New Roman" w:hAnsi="Times New Roman"/>
          <w:szCs w:val="22"/>
        </w:rPr>
      </w:pPr>
      <w:r w:rsidRPr="00875C4A">
        <w:rPr>
          <w:rFonts w:ascii="Times New Roman" w:hAnsi="Times New Roman"/>
          <w:szCs w:val="22"/>
        </w:rPr>
        <w:t>Trh práce v roku 2017 opäť zaznamenal jeden z najlepších rokov. Počet pracujúcich sa zvýšil o</w:t>
      </w:r>
      <w:r>
        <w:rPr>
          <w:rFonts w:ascii="Times New Roman" w:hAnsi="Times New Roman"/>
          <w:szCs w:val="22"/>
        </w:rPr>
        <w:t> </w:t>
      </w:r>
      <w:r w:rsidRPr="00875C4A">
        <w:rPr>
          <w:rFonts w:ascii="Times New Roman" w:hAnsi="Times New Roman"/>
          <w:szCs w:val="22"/>
        </w:rPr>
        <w:t>51</w:t>
      </w:r>
      <w:r>
        <w:rPr>
          <w:rFonts w:ascii="Times New Roman" w:hAnsi="Times New Roman"/>
          <w:szCs w:val="22"/>
        </w:rPr>
        <w:t> </w:t>
      </w:r>
      <w:r w:rsidRPr="00875C4A">
        <w:rPr>
          <w:rFonts w:ascii="Times New Roman" w:hAnsi="Times New Roman"/>
          <w:szCs w:val="22"/>
        </w:rPr>
        <w:t xml:space="preserve">tisíc (podľa </w:t>
      </w:r>
      <w:r>
        <w:rPr>
          <w:rFonts w:ascii="Times New Roman" w:hAnsi="Times New Roman"/>
          <w:szCs w:val="22"/>
        </w:rPr>
        <w:t xml:space="preserve">metodiky </w:t>
      </w:r>
      <w:r w:rsidRPr="00875C4A">
        <w:rPr>
          <w:rFonts w:ascii="Times New Roman" w:hAnsi="Times New Roman"/>
          <w:szCs w:val="22"/>
        </w:rPr>
        <w:t>ESA).</w:t>
      </w:r>
      <w:r>
        <w:rPr>
          <w:rFonts w:ascii="Times New Roman" w:hAnsi="Times New Roman"/>
          <w:szCs w:val="22"/>
        </w:rPr>
        <w:t xml:space="preserve"> </w:t>
      </w:r>
      <w:r w:rsidRPr="00875C4A">
        <w:rPr>
          <w:rFonts w:ascii="Times New Roman" w:hAnsi="Times New Roman"/>
          <w:szCs w:val="22"/>
        </w:rPr>
        <w:t xml:space="preserve">Pracovné miesta sa tvorili vo všetkých sektoroch domácej ekonomiky, najvýraznejšie však v priemysle. </w:t>
      </w:r>
      <w:r w:rsidR="001A21C4">
        <w:rPr>
          <w:rFonts w:ascii="Times New Roman" w:hAnsi="Times New Roman"/>
          <w:szCs w:val="22"/>
        </w:rPr>
        <w:t>R</w:t>
      </w:r>
      <w:r w:rsidRPr="00875C4A">
        <w:rPr>
          <w:rFonts w:ascii="Times New Roman" w:hAnsi="Times New Roman"/>
          <w:szCs w:val="22"/>
        </w:rPr>
        <w:t xml:space="preserve">ástol </w:t>
      </w:r>
      <w:r w:rsidR="001A21C4">
        <w:rPr>
          <w:rFonts w:ascii="Times New Roman" w:hAnsi="Times New Roman"/>
          <w:szCs w:val="22"/>
        </w:rPr>
        <w:t xml:space="preserve">aj </w:t>
      </w:r>
      <w:r w:rsidRPr="00875C4A">
        <w:rPr>
          <w:rFonts w:ascii="Times New Roman" w:hAnsi="Times New Roman"/>
          <w:szCs w:val="22"/>
        </w:rPr>
        <w:t xml:space="preserve">počet cudzincov pracujúcich na Slovensku (nárast o 12 tisíc), ktorí obsadili každé štvrté novovytvorené pracovné miesto. Odrazom tohto priaznivého vývoja bol pokles miery nezamestnanosti, ktorá sa znížila na 8,1 % podľa </w:t>
      </w:r>
      <w:r w:rsidR="001A21C4">
        <w:rPr>
          <w:rFonts w:ascii="Times New Roman" w:hAnsi="Times New Roman"/>
          <w:szCs w:val="22"/>
        </w:rPr>
        <w:t>v</w:t>
      </w:r>
      <w:r>
        <w:rPr>
          <w:rFonts w:ascii="Times New Roman" w:hAnsi="Times New Roman"/>
          <w:szCs w:val="22"/>
        </w:rPr>
        <w:t>ýberových zisťovaní pracovných síl</w:t>
      </w:r>
      <w:r w:rsidR="001A21C4">
        <w:rPr>
          <w:rFonts w:ascii="Times New Roman" w:hAnsi="Times New Roman"/>
          <w:szCs w:val="22"/>
        </w:rPr>
        <w:t xml:space="preserve"> (VZPS</w:t>
      </w:r>
      <w:r w:rsidRPr="00875C4A">
        <w:rPr>
          <w:rFonts w:ascii="Times New Roman" w:hAnsi="Times New Roman"/>
          <w:szCs w:val="22"/>
        </w:rPr>
        <w:t>) pri medziročnom znížení o 1,5 p.</w:t>
      </w:r>
      <w:r w:rsidR="00D86ECF">
        <w:rPr>
          <w:rFonts w:ascii="Times New Roman" w:hAnsi="Times New Roman"/>
          <w:szCs w:val="22"/>
        </w:rPr>
        <w:t xml:space="preserve"> </w:t>
      </w:r>
      <w:r w:rsidRPr="00875C4A">
        <w:rPr>
          <w:rFonts w:ascii="Times New Roman" w:hAnsi="Times New Roman"/>
          <w:szCs w:val="22"/>
        </w:rPr>
        <w:t xml:space="preserve">b. </w:t>
      </w:r>
    </w:p>
    <w:p w:rsidR="00875C4A" w:rsidP="00875C4A">
      <w:pPr>
        <w:bidi w:val="0"/>
        <w:rPr>
          <w:rFonts w:ascii="Times New Roman" w:hAnsi="Times New Roman"/>
          <w:szCs w:val="22"/>
        </w:rPr>
      </w:pPr>
      <w:r w:rsidRPr="00875C4A">
        <w:rPr>
          <w:rFonts w:ascii="Times New Roman" w:hAnsi="Times New Roman"/>
          <w:szCs w:val="22"/>
        </w:rPr>
        <w:t>Rast miezd v minulom roku zrýchlil na 4,6 %. Priemerná nominálna mesačná mzda sa dostala na úroveň 954 eur</w:t>
      </w:r>
      <w:r w:rsidR="0033083E">
        <w:rPr>
          <w:rFonts w:ascii="Times New Roman" w:hAnsi="Times New Roman"/>
          <w:szCs w:val="22"/>
        </w:rPr>
        <w:t xml:space="preserve"> (</w:t>
      </w:r>
      <w:r w:rsidR="00C46BF4">
        <w:rPr>
          <w:rFonts w:ascii="Times New Roman" w:hAnsi="Times New Roman"/>
          <w:szCs w:val="22"/>
        </w:rPr>
        <w:t xml:space="preserve">v 2016: </w:t>
      </w:r>
      <w:r w:rsidR="0033083E">
        <w:rPr>
          <w:rFonts w:ascii="Times New Roman" w:hAnsi="Times New Roman"/>
          <w:szCs w:val="22"/>
        </w:rPr>
        <w:t>912 eur)</w:t>
      </w:r>
      <w:r w:rsidRPr="00875C4A">
        <w:rPr>
          <w:rFonts w:ascii="Times New Roman" w:hAnsi="Times New Roman"/>
          <w:szCs w:val="22"/>
        </w:rPr>
        <w:t>. Zrýchlenie inflácie však znamenalo, že rast reálnych miezd spomalil na 3,3 %. Už štvrtý rok po sebe rastú mzdy rýchlejšie ako produktivita práce. Čiastočne však ide o dobiehanie vývoja z predchádzajúcich rokov, kedy vývoj miezd za produktivitou výrazne zaostával. K vyšším mzdám v ekonomike najviac prispeli služby a</w:t>
      </w:r>
      <w:r>
        <w:rPr>
          <w:rFonts w:ascii="Times New Roman" w:hAnsi="Times New Roman"/>
          <w:szCs w:val="22"/>
        </w:rPr>
        <w:t xml:space="preserve"> </w:t>
      </w:r>
      <w:r w:rsidRPr="00875C4A">
        <w:rPr>
          <w:rFonts w:ascii="Times New Roman" w:hAnsi="Times New Roman"/>
          <w:szCs w:val="22"/>
        </w:rPr>
        <w:t>verejná správa, rast zaznamenali aj mzdy v priemysle.</w:t>
      </w:r>
    </w:p>
    <w:tbl>
      <w:tblPr>
        <w:tblStyle w:val="TableNormal"/>
        <w:tblW w:w="5121" w:type="pct"/>
        <w:tblLayout w:type="fixed"/>
        <w:tblCellMar>
          <w:left w:w="70" w:type="dxa"/>
          <w:right w:w="70" w:type="dxa"/>
        </w:tblCellMar>
      </w:tblPr>
      <w:tblGrid>
        <w:gridCol w:w="4603"/>
        <w:gridCol w:w="4325"/>
        <w:gridCol w:w="216"/>
      </w:tblGrid>
      <w:tr>
        <w:tblPrEx>
          <w:tblW w:w="5121" w:type="pct"/>
          <w:tblLayout w:type="fixed"/>
          <w:tblCellMar>
            <w:left w:w="70" w:type="dxa"/>
            <w:right w:w="70" w:type="dxa"/>
          </w:tblCellMar>
        </w:tblPrEx>
        <w:trPr>
          <w:trHeight w:val="562"/>
        </w:trPr>
        <w:tc>
          <w:tcPr>
            <w:tcW w:w="2517" w:type="pct"/>
            <w:tcBorders>
              <w:top w:val="nil"/>
              <w:left w:val="nil"/>
              <w:bottom w:val="nil"/>
              <w:right w:val="nil"/>
            </w:tcBorders>
            <w:shd w:val="clear" w:color="auto" w:fill="000000"/>
            <w:textDirection w:val="lrTb"/>
            <w:vAlign w:val="center"/>
          </w:tcPr>
          <w:p w:rsidR="00875C4A" w:rsidRPr="00F16082" w:rsidP="00875C4A">
            <w:pPr>
              <w:bidi w:val="0"/>
              <w:rPr>
                <w:rFonts w:ascii="Times New Roman" w:hAnsi="Times New Roman"/>
                <w:b/>
                <w:bCs/>
                <w:color w:val="FFFFFF"/>
                <w:sz w:val="18"/>
                <w:szCs w:val="18"/>
              </w:rPr>
            </w:pPr>
            <w:r w:rsidRPr="00F16082">
              <w:rPr>
                <w:rFonts w:ascii="Times New Roman" w:hAnsi="Times New Roman"/>
                <w:b/>
                <w:color w:val="FFFFFF"/>
                <w:sz w:val="18"/>
                <w:szCs w:val="18"/>
              </w:rPr>
              <w:t>Príspevky sektorov k vývoju zamestnanosti (ESA, v p. b.)</w:t>
            </w:r>
          </w:p>
        </w:tc>
        <w:tc>
          <w:tcPr>
            <w:tcW w:w="2483" w:type="pct"/>
            <w:gridSpan w:val="2"/>
            <w:tcBorders>
              <w:top w:val="nil"/>
              <w:left w:val="nil"/>
              <w:bottom w:val="nil"/>
              <w:right w:val="nil"/>
            </w:tcBorders>
            <w:shd w:val="clear" w:color="auto" w:fill="000000"/>
            <w:textDirection w:val="lrTb"/>
            <w:vAlign w:val="center"/>
          </w:tcPr>
          <w:p w:rsidR="00875C4A" w:rsidRPr="00F16082" w:rsidP="00875C4A">
            <w:pPr>
              <w:bidi w:val="0"/>
              <w:rPr>
                <w:rFonts w:ascii="Times New Roman" w:hAnsi="Times New Roman"/>
                <w:b/>
                <w:bCs/>
                <w:color w:val="FFFFFF"/>
                <w:sz w:val="18"/>
                <w:szCs w:val="18"/>
              </w:rPr>
            </w:pPr>
            <w:r w:rsidRPr="00F16082">
              <w:rPr>
                <w:rFonts w:ascii="Times New Roman" w:hAnsi="Times New Roman"/>
                <w:b/>
                <w:color w:val="FFFFFF"/>
                <w:sz w:val="18"/>
                <w:szCs w:val="18"/>
              </w:rPr>
              <w:t>Rast nominálnej produktivity práce a mzdy (v %)</w:t>
            </w:r>
          </w:p>
        </w:tc>
      </w:tr>
      <w:tr>
        <w:tblPrEx>
          <w:tblW w:w="5121" w:type="pct"/>
          <w:tblLayout w:type="fixed"/>
          <w:tblCellMar>
            <w:left w:w="70" w:type="dxa"/>
            <w:right w:w="70" w:type="dxa"/>
          </w:tblCellMar>
        </w:tblPrEx>
        <w:trPr>
          <w:gridAfter w:val="1"/>
          <w:wAfter w:w="118" w:type="dxa"/>
          <w:trHeight w:val="3118"/>
        </w:trPr>
        <w:tc>
          <w:tcPr>
            <w:tcW w:w="2517" w:type="pct"/>
            <w:tcBorders>
              <w:top w:val="nil"/>
              <w:left w:val="nil"/>
              <w:bottom w:val="single" w:sz="8" w:space="0" w:color="auto"/>
              <w:right w:val="nil"/>
            </w:tcBorders>
            <w:textDirection w:val="lrTb"/>
            <w:vAlign w:val="top"/>
          </w:tcPr>
          <w:p w:rsidR="00875C4A" w:rsidRPr="00F16082" w:rsidP="00875C4A">
            <w:pPr>
              <w:bidi w:val="0"/>
              <w:rPr>
                <w:rFonts w:ascii="NeueHaasGroteskText W02" w:hAnsi="NeueHaasGroteskText W02" w:cs="Garamond"/>
                <w:b/>
                <w:bCs/>
                <w:sz w:val="18"/>
                <w:szCs w:val="18"/>
              </w:rPr>
            </w:pPr>
            <w:r>
              <w:rPr>
                <w:rFonts w:ascii="Times New Roman" w:hAnsi="Times New Roman"/>
                <w:noProof/>
                <w:sz w:val="18"/>
                <w:szCs w:val="18"/>
                <w:rtl w:val="0"/>
                <w:lang w:eastAsia="sk-SK"/>
              </w:rPr>
              <w:pict>
                <v:shape id="Graf 8" o:spid="_x0000_i1026" type="#_x0000_t75" style="width:231.85pt;height:188.2pt;visibility:visible" stroked="f">
                  <v:imagedata r:id="rId7" o:title=""/>
                  <o:lock v:ext="edit" aspectratio="f"/>
                </v:shape>
              </w:pict>
            </w:r>
          </w:p>
        </w:tc>
        <w:tc>
          <w:tcPr>
            <w:tcW w:w="2365" w:type="pct"/>
            <w:tcBorders>
              <w:top w:val="nil"/>
              <w:left w:val="nil"/>
              <w:bottom w:val="single" w:sz="8" w:space="0" w:color="auto"/>
              <w:right w:val="nil"/>
            </w:tcBorders>
            <w:textDirection w:val="lrTb"/>
            <w:vAlign w:val="top"/>
          </w:tcPr>
          <w:p w:rsidR="00875C4A" w:rsidRPr="00F16082" w:rsidP="00875C4A">
            <w:pPr>
              <w:bidi w:val="0"/>
              <w:spacing w:after="100" w:afterAutospacing="1"/>
              <w:rPr>
                <w:rFonts w:ascii="NeueHaasGroteskText W02" w:hAnsi="NeueHaasGroteskText W02" w:cs="Garamond"/>
                <w:b/>
                <w:bCs/>
                <w:sz w:val="18"/>
                <w:szCs w:val="18"/>
              </w:rPr>
            </w:pPr>
            <w:r>
              <w:rPr>
                <w:rFonts w:ascii="Times New Roman" w:hAnsi="Times New Roman"/>
                <w:noProof/>
                <w:sz w:val="18"/>
                <w:szCs w:val="18"/>
                <w:rtl w:val="0"/>
                <w:lang w:eastAsia="sk-SK"/>
              </w:rPr>
              <w:pict>
                <v:shape id="Graf 7" o:spid="_x0000_i1027" type="#_x0000_t75" style="width:218.4pt;height:161.75pt;visibility:visible" stroked="f">
                  <v:imagedata r:id="rId8" o:title=""/>
                  <o:lock v:ext="edit" aspectratio="f"/>
                </v:shape>
              </w:pict>
            </w:r>
          </w:p>
        </w:tc>
      </w:tr>
      <w:tr>
        <w:tblPrEx>
          <w:tblW w:w="5121" w:type="pct"/>
          <w:tblLayout w:type="fixed"/>
          <w:tblCellMar>
            <w:left w:w="70" w:type="dxa"/>
            <w:right w:w="70" w:type="dxa"/>
          </w:tblCellMar>
        </w:tblPrEx>
        <w:trPr>
          <w:gridAfter w:val="1"/>
          <w:wAfter w:w="118" w:type="dxa"/>
          <w:trHeight w:val="515"/>
        </w:trPr>
        <w:tc>
          <w:tcPr>
            <w:tcW w:w="2517" w:type="pct"/>
            <w:tcBorders>
              <w:top w:val="nil"/>
              <w:left w:val="nil"/>
              <w:bottom w:val="nil"/>
              <w:right w:val="nil"/>
            </w:tcBorders>
            <w:textDirection w:val="lrTb"/>
            <w:vAlign w:val="top"/>
          </w:tcPr>
          <w:p w:rsidR="00875C4A" w:rsidRPr="00F16082" w:rsidP="00875C4A">
            <w:pPr>
              <w:bidi w:val="0"/>
              <w:jc w:val="right"/>
              <w:rPr>
                <w:rFonts w:ascii="Times New Roman" w:hAnsi="Times New Roman"/>
                <w:iCs/>
                <w:sz w:val="18"/>
                <w:szCs w:val="18"/>
              </w:rPr>
            </w:pPr>
            <w:r w:rsidRPr="00F16082">
              <w:rPr>
                <w:rFonts w:ascii="Times New Roman" w:hAnsi="Times New Roman"/>
                <w:iCs/>
                <w:sz w:val="18"/>
                <w:szCs w:val="18"/>
              </w:rPr>
              <w:t xml:space="preserve">Zdroj: ŠÚ SR, MF SR   </w:t>
            </w:r>
          </w:p>
        </w:tc>
        <w:tc>
          <w:tcPr>
            <w:tcW w:w="2365" w:type="pct"/>
            <w:tcBorders>
              <w:top w:val="nil"/>
              <w:left w:val="nil"/>
              <w:bottom w:val="nil"/>
              <w:right w:val="nil"/>
            </w:tcBorders>
            <w:textDirection w:val="lrTb"/>
            <w:vAlign w:val="top"/>
          </w:tcPr>
          <w:p w:rsidR="00875C4A" w:rsidRPr="00F16082" w:rsidP="00875C4A">
            <w:pPr>
              <w:bidi w:val="0"/>
              <w:jc w:val="right"/>
              <w:rPr>
                <w:rFonts w:ascii="Times New Roman" w:hAnsi="Times New Roman"/>
                <w:iCs/>
                <w:sz w:val="18"/>
                <w:szCs w:val="18"/>
              </w:rPr>
            </w:pPr>
            <w:r w:rsidRPr="00F16082">
              <w:rPr>
                <w:rFonts w:ascii="Times New Roman" w:hAnsi="Times New Roman"/>
                <w:iCs/>
                <w:sz w:val="18"/>
                <w:szCs w:val="18"/>
              </w:rPr>
              <w:t xml:space="preserve">Zdroj: ŠÚ SR, MF SR </w:t>
            </w:r>
          </w:p>
        </w:tc>
      </w:tr>
    </w:tbl>
    <w:p w:rsidR="00097DCF" w:rsidRPr="004D79E7" w:rsidP="00B37EBE">
      <w:pPr>
        <w:pStyle w:val="Heading3"/>
        <w:bidi w:val="0"/>
        <w:ind w:left="709"/>
        <w:rPr>
          <w:rFonts w:hint="default"/>
        </w:rPr>
      </w:pPr>
      <w:bookmarkStart w:id="15" w:name="_Toc479313226"/>
      <w:bookmarkStart w:id="16" w:name="_Toc512599657"/>
      <w:r w:rsidRPr="004D79E7">
        <w:rPr>
          <w:rFonts w:hint="default"/>
        </w:rPr>
        <w:t>Vý</w:t>
      </w:r>
      <w:r w:rsidRPr="004D79E7">
        <w:rPr>
          <w:rFonts w:hint="default"/>
        </w:rPr>
        <w:t>voj cien</w:t>
      </w:r>
      <w:bookmarkEnd w:id="15"/>
      <w:bookmarkEnd w:id="16"/>
    </w:p>
    <w:p w:rsidR="00D86ECF" w:rsidRPr="00D86ECF" w:rsidP="00D86ECF">
      <w:pPr>
        <w:bidi w:val="0"/>
        <w:rPr>
          <w:rFonts w:ascii="Times New Roman" w:hAnsi="Times New Roman"/>
          <w:szCs w:val="22"/>
        </w:rPr>
      </w:pPr>
      <w:r w:rsidRPr="00D86ECF">
        <w:rPr>
          <w:rFonts w:ascii="Times New Roman" w:hAnsi="Times New Roman"/>
          <w:szCs w:val="22"/>
        </w:rPr>
        <w:t>Inflácia sa v roku 2017 po troch rokoch poklesu vrátila k pozitívnym číslam s priemerným ročným rastom na úrovni 1,3 %. Za otočením vývoja stál najmä nárast cien potravín, pomáhali však aj pohonné látky, reagujúce na rast ceny ropy, a</w:t>
      </w:r>
      <w:r>
        <w:rPr>
          <w:rFonts w:ascii="Times New Roman" w:hAnsi="Times New Roman"/>
          <w:szCs w:val="22"/>
        </w:rPr>
        <w:t xml:space="preserve"> </w:t>
      </w:r>
      <w:r w:rsidRPr="00D86ECF">
        <w:rPr>
          <w:rFonts w:ascii="Times New Roman" w:hAnsi="Times New Roman"/>
          <w:szCs w:val="22"/>
        </w:rPr>
        <w:t>služby. Rast cien služieb poukazuje na obnovenie väzby medzi trhom práce a vývojom cien. Ceny obchodovateľných tovarov rástli pomalšie, tlmené silnejším kurzom eura. Ku koncu roka sa inflácia priblížila k hranici 2 %</w:t>
      </w:r>
      <w:r w:rsidR="00D43F30">
        <w:rPr>
          <w:rFonts w:ascii="Times New Roman" w:hAnsi="Times New Roman"/>
          <w:szCs w:val="22"/>
        </w:rPr>
        <w:t>.</w:t>
      </w:r>
      <w:r w:rsidRPr="00D86ECF">
        <w:rPr>
          <w:rFonts w:ascii="Times New Roman" w:hAnsi="Times New Roman"/>
          <w:szCs w:val="22"/>
        </w:rPr>
        <w:t xml:space="preserve"> </w:t>
      </w:r>
    </w:p>
    <w:p w:rsidR="00BD72E6" w:rsidRPr="00A339AF" w:rsidP="00BD72E6">
      <w:pPr>
        <w:bidi w:val="0"/>
        <w:rPr>
          <w:rFonts w:ascii="Times New Roman" w:hAnsi="Times New Roman"/>
          <w:color w:val="000000"/>
          <w:szCs w:val="22"/>
          <w:highlight w:val="yellow"/>
        </w:rPr>
      </w:pPr>
    </w:p>
    <w:p w:rsidR="00097DCF" w:rsidRPr="004D79E7" w:rsidP="00B37EBE">
      <w:pPr>
        <w:pStyle w:val="Heading3"/>
        <w:bidi w:val="0"/>
        <w:ind w:left="709"/>
        <w:rPr>
          <w:rFonts w:hint="default"/>
        </w:rPr>
      </w:pPr>
      <w:bookmarkStart w:id="17" w:name="_Toc479313227"/>
      <w:bookmarkStart w:id="18" w:name="_Toc512599658"/>
      <w:r w:rsidRPr="004D79E7">
        <w:rPr>
          <w:rFonts w:hint="default"/>
        </w:rPr>
        <w:t>Platobná</w:t>
      </w:r>
      <w:r w:rsidRPr="004D79E7">
        <w:rPr>
          <w:rFonts w:hint="default"/>
        </w:rPr>
        <w:t xml:space="preserve"> bilancia</w:t>
      </w:r>
      <w:bookmarkEnd w:id="17"/>
      <w:bookmarkEnd w:id="18"/>
    </w:p>
    <w:p w:rsidR="00BD72E6" w:rsidP="00BD72E6">
      <w:pPr>
        <w:bidi w:val="0"/>
        <w:rPr>
          <w:rFonts w:ascii="Times New Roman" w:hAnsi="Times New Roman"/>
          <w:szCs w:val="22"/>
        </w:rPr>
      </w:pPr>
      <w:r w:rsidRPr="00D86ECF" w:rsidR="00D86ECF">
        <w:rPr>
          <w:rFonts w:ascii="Times New Roman" w:hAnsi="Times New Roman"/>
          <w:szCs w:val="22"/>
        </w:rPr>
        <w:t>Deficit bežného účtu platobnej bilancie sa v roku 2017 prehĺbil na 1,8 % HDP z 1,5 % HDP v roku 2016. Zvýšenie dovozu investičných tovarov viedlo k poklesu prebytku bilancie tovarov na 1,0 %. Ani najvyšší prebytok bilancie služieb za posledných 11 rokov (rovnako 1,0 %), ani mierne zlepšenie deficitov primárnych aj sekundárnych výnosov tento pokles nevykompenzovali. História platobnej bilancie bola ovplyvnená revíziou údajov N</w:t>
      </w:r>
      <w:r w:rsidR="00D86ECF">
        <w:rPr>
          <w:rFonts w:ascii="Times New Roman" w:hAnsi="Times New Roman"/>
          <w:szCs w:val="22"/>
        </w:rPr>
        <w:t>árodnej banky Slovenka</w:t>
      </w:r>
      <w:r w:rsidRPr="00D86ECF" w:rsidR="00D86ECF">
        <w:rPr>
          <w:rFonts w:ascii="Times New Roman" w:hAnsi="Times New Roman"/>
          <w:szCs w:val="22"/>
        </w:rPr>
        <w:t xml:space="preserve"> od roku 2013.</w:t>
      </w:r>
    </w:p>
    <w:tbl>
      <w:tblPr>
        <w:tblStyle w:val="TableNormal"/>
        <w:tblW w:w="5000" w:type="pct"/>
        <w:tblLayout w:type="fixed"/>
        <w:tblCellMar>
          <w:left w:w="70" w:type="dxa"/>
          <w:right w:w="70" w:type="dxa"/>
        </w:tblCellMar>
      </w:tblPr>
      <w:tblGrid>
        <w:gridCol w:w="4603"/>
        <w:gridCol w:w="4325"/>
      </w:tblGrid>
      <w:tr>
        <w:tblPrEx>
          <w:tblW w:w="5000" w:type="pct"/>
          <w:tblLayout w:type="fixed"/>
          <w:tblCellMar>
            <w:left w:w="70" w:type="dxa"/>
            <w:right w:w="70" w:type="dxa"/>
          </w:tblCellMar>
        </w:tblPrEx>
        <w:trPr>
          <w:trHeight w:val="562"/>
        </w:trPr>
        <w:tc>
          <w:tcPr>
            <w:tcW w:w="2578" w:type="pct"/>
            <w:tcBorders>
              <w:top w:val="nil"/>
              <w:left w:val="nil"/>
              <w:bottom w:val="nil"/>
              <w:right w:val="nil"/>
            </w:tcBorders>
            <w:shd w:val="clear" w:color="auto" w:fill="000000"/>
            <w:textDirection w:val="lrTb"/>
            <w:vAlign w:val="center"/>
          </w:tcPr>
          <w:p w:rsidR="00D86ECF" w:rsidRPr="00D86ECF" w:rsidP="007759B0">
            <w:pPr>
              <w:bidi w:val="0"/>
              <w:rPr>
                <w:rFonts w:ascii="Times New Roman" w:hAnsi="Times New Roman"/>
                <w:b/>
                <w:bCs/>
                <w:color w:val="FFFFFF"/>
                <w:sz w:val="18"/>
                <w:szCs w:val="18"/>
                <w:highlight w:val="yellow"/>
              </w:rPr>
            </w:pPr>
            <w:r w:rsidRPr="00D86ECF">
              <w:rPr>
                <w:rFonts w:ascii="Times New Roman" w:hAnsi="Times New Roman"/>
                <w:b/>
                <w:color w:val="FFFFFF"/>
                <w:sz w:val="18"/>
                <w:szCs w:val="18"/>
              </w:rPr>
              <w:t xml:space="preserve">Štruktúra spotrebiteľskej inflácie – medziročné príspevky zložiek CPI (p. b.) </w:t>
            </w:r>
          </w:p>
        </w:tc>
        <w:tc>
          <w:tcPr>
            <w:tcW w:w="2422" w:type="pct"/>
            <w:tcBorders>
              <w:top w:val="nil"/>
              <w:left w:val="nil"/>
              <w:bottom w:val="nil"/>
              <w:right w:val="nil"/>
            </w:tcBorders>
            <w:shd w:val="clear" w:color="auto" w:fill="000000"/>
            <w:textDirection w:val="lrTb"/>
            <w:vAlign w:val="center"/>
          </w:tcPr>
          <w:p w:rsidR="00D86ECF" w:rsidRPr="00D86ECF" w:rsidP="007759B0">
            <w:pPr>
              <w:bidi w:val="0"/>
              <w:rPr>
                <w:rFonts w:ascii="Times New Roman" w:hAnsi="Times New Roman"/>
                <w:b/>
                <w:bCs/>
                <w:color w:val="FFFFFF"/>
                <w:sz w:val="18"/>
                <w:szCs w:val="18"/>
                <w:highlight w:val="yellow"/>
              </w:rPr>
            </w:pPr>
            <w:r w:rsidRPr="00D86ECF">
              <w:rPr>
                <w:rFonts w:ascii="Times New Roman" w:hAnsi="Times New Roman"/>
                <w:b/>
                <w:bCs/>
                <w:color w:val="FFFFFF"/>
                <w:sz w:val="18"/>
                <w:szCs w:val="18"/>
              </w:rPr>
              <w:t>Vývoj bežného účtu platobnej bilancie podľa jeho zložiek (% HDP)</w:t>
            </w:r>
          </w:p>
        </w:tc>
      </w:tr>
      <w:tr>
        <w:tblPrEx>
          <w:tblW w:w="5000" w:type="pct"/>
          <w:tblLayout w:type="fixed"/>
          <w:tblCellMar>
            <w:left w:w="70" w:type="dxa"/>
            <w:right w:w="70" w:type="dxa"/>
          </w:tblCellMar>
        </w:tblPrEx>
        <w:trPr>
          <w:trHeight w:val="3118"/>
        </w:trPr>
        <w:tc>
          <w:tcPr>
            <w:tcW w:w="2578" w:type="pct"/>
            <w:tcBorders>
              <w:top w:val="nil"/>
              <w:left w:val="nil"/>
              <w:bottom w:val="single" w:sz="8" w:space="0" w:color="auto"/>
              <w:right w:val="nil"/>
            </w:tcBorders>
            <w:textDirection w:val="lrTb"/>
            <w:vAlign w:val="top"/>
          </w:tcPr>
          <w:p w:rsidR="00D86ECF" w:rsidRPr="001D52D8" w:rsidP="007759B0">
            <w:pPr>
              <w:bidi w:val="0"/>
              <w:rPr>
                <w:rFonts w:ascii="NeueHaasGroteskText W02" w:hAnsi="NeueHaasGroteskText W02" w:cs="Garamond"/>
                <w:b/>
                <w:bCs/>
                <w:sz w:val="16"/>
                <w:szCs w:val="16"/>
                <w:highlight w:val="yellow"/>
              </w:rPr>
            </w:pPr>
            <w:r>
              <w:rPr>
                <w:rFonts w:ascii="Times New Roman" w:hAnsi="Times New Roman"/>
                <w:noProof/>
                <w:rtl w:val="0"/>
                <w:lang w:eastAsia="sk-SK"/>
              </w:rPr>
              <w:pict>
                <v:shape id="Graf 10" o:spid="_x0000_i1028" type="#_x0000_t75" style="width:217.45pt;height:168pt;visibility:visible" stroked="f">
                  <v:imagedata r:id="rId9" o:title=""/>
                  <o:lock v:ext="edit" aspectratio="f"/>
                </v:shape>
              </w:pict>
            </w:r>
          </w:p>
        </w:tc>
        <w:tc>
          <w:tcPr>
            <w:tcW w:w="2422" w:type="pct"/>
            <w:tcBorders>
              <w:top w:val="nil"/>
              <w:left w:val="nil"/>
              <w:bottom w:val="single" w:sz="8" w:space="0" w:color="auto"/>
              <w:right w:val="nil"/>
            </w:tcBorders>
            <w:textDirection w:val="lrTb"/>
            <w:vAlign w:val="top"/>
          </w:tcPr>
          <w:p w:rsidR="00D86ECF" w:rsidRPr="001D52D8" w:rsidP="007759B0">
            <w:pPr>
              <w:bidi w:val="0"/>
              <w:spacing w:after="100" w:afterAutospacing="1"/>
              <w:rPr>
                <w:rFonts w:ascii="NeueHaasGroteskText W02" w:hAnsi="NeueHaasGroteskText W02" w:cs="Garamond"/>
                <w:b/>
                <w:bCs/>
                <w:sz w:val="16"/>
                <w:szCs w:val="16"/>
                <w:highlight w:val="yellow"/>
              </w:rPr>
            </w:pPr>
            <w:r>
              <w:rPr>
                <w:rFonts w:ascii="Times New Roman" w:hAnsi="Times New Roman"/>
                <w:noProof/>
                <w:rtl w:val="0"/>
                <w:lang w:eastAsia="sk-SK"/>
              </w:rPr>
              <w:pict>
                <v:shape id="Graf 9" o:spid="_x0000_i1029" type="#_x0000_t75" style="width:198.25pt;height:164.15pt;visibility:visible" stroked="f">
                  <v:imagedata r:id="rId10" o:title=""/>
                  <o:lock v:ext="edit" aspectratio="f"/>
                </v:shape>
              </w:pict>
            </w:r>
          </w:p>
        </w:tc>
      </w:tr>
      <w:tr>
        <w:tblPrEx>
          <w:tblW w:w="5000" w:type="pct"/>
          <w:tblLayout w:type="fixed"/>
          <w:tblCellMar>
            <w:left w:w="70" w:type="dxa"/>
            <w:right w:w="70" w:type="dxa"/>
          </w:tblCellMar>
        </w:tblPrEx>
        <w:trPr>
          <w:trHeight w:val="113"/>
        </w:trPr>
        <w:tc>
          <w:tcPr>
            <w:tcW w:w="2578" w:type="pct"/>
            <w:tcBorders>
              <w:top w:val="nil"/>
              <w:left w:val="nil"/>
              <w:bottom w:val="nil"/>
              <w:right w:val="nil"/>
            </w:tcBorders>
            <w:textDirection w:val="lrTb"/>
            <w:vAlign w:val="top"/>
          </w:tcPr>
          <w:p w:rsidR="00D86ECF" w:rsidP="007759B0">
            <w:pPr>
              <w:bidi w:val="0"/>
              <w:jc w:val="right"/>
              <w:rPr>
                <w:rFonts w:ascii="Times New Roman" w:hAnsi="Times New Roman"/>
                <w:iCs/>
                <w:sz w:val="18"/>
                <w:szCs w:val="18"/>
              </w:rPr>
            </w:pPr>
            <w:r w:rsidRPr="00D86ECF">
              <w:rPr>
                <w:rFonts w:ascii="Times New Roman" w:hAnsi="Times New Roman"/>
                <w:iCs/>
                <w:sz w:val="18"/>
                <w:szCs w:val="18"/>
              </w:rPr>
              <w:t>Zdroj: ŠÚ SR, MF SR</w:t>
            </w:r>
          </w:p>
          <w:p w:rsidR="00D86ECF" w:rsidRPr="00D86ECF" w:rsidP="007759B0">
            <w:pPr>
              <w:bidi w:val="0"/>
              <w:jc w:val="right"/>
              <w:rPr>
                <w:rFonts w:ascii="Times New Roman" w:hAnsi="Times New Roman"/>
                <w:iCs/>
                <w:sz w:val="18"/>
                <w:szCs w:val="18"/>
              </w:rPr>
            </w:pPr>
          </w:p>
        </w:tc>
        <w:tc>
          <w:tcPr>
            <w:tcW w:w="2422" w:type="pct"/>
            <w:tcBorders>
              <w:top w:val="nil"/>
              <w:left w:val="nil"/>
              <w:bottom w:val="nil"/>
              <w:right w:val="nil"/>
            </w:tcBorders>
            <w:textDirection w:val="lrTb"/>
            <w:vAlign w:val="top"/>
          </w:tcPr>
          <w:p w:rsidR="00D86ECF" w:rsidRPr="00D86ECF" w:rsidP="007759B0">
            <w:pPr>
              <w:bidi w:val="0"/>
              <w:jc w:val="right"/>
              <w:rPr>
                <w:rFonts w:ascii="Times New Roman" w:hAnsi="Times New Roman"/>
                <w:iCs/>
                <w:sz w:val="18"/>
                <w:szCs w:val="18"/>
              </w:rPr>
            </w:pPr>
            <w:r w:rsidRPr="00D86ECF">
              <w:rPr>
                <w:rFonts w:ascii="Times New Roman" w:hAnsi="Times New Roman"/>
                <w:iCs/>
                <w:sz w:val="18"/>
                <w:szCs w:val="18"/>
              </w:rPr>
              <w:t xml:space="preserve">Zdroj: NBS, MF SR </w:t>
            </w:r>
          </w:p>
        </w:tc>
      </w:tr>
    </w:tbl>
    <w:p w:rsidR="00097DCF" w:rsidRPr="004D79E7" w:rsidP="00B37EBE">
      <w:pPr>
        <w:pStyle w:val="Heading3"/>
        <w:bidi w:val="0"/>
        <w:ind w:left="709"/>
      </w:pPr>
      <w:bookmarkStart w:id="19" w:name="_Toc479313228"/>
      <w:bookmarkStart w:id="20" w:name="_Toc512599659"/>
      <w:r w:rsidRPr="004D79E7" w:rsidR="00693173">
        <w:rPr>
          <w:rFonts w:hint="default"/>
        </w:rPr>
        <w:t>Porovnanie makroekonomický</w:t>
      </w:r>
      <w:r w:rsidRPr="004D79E7" w:rsidR="00693173">
        <w:rPr>
          <w:rFonts w:hint="default"/>
        </w:rPr>
        <w:t>ch predpokladov rozpoč</w:t>
      </w:r>
      <w:r w:rsidRPr="004D79E7" w:rsidR="00693173">
        <w:rPr>
          <w:rFonts w:hint="default"/>
        </w:rPr>
        <w:t>tu a</w:t>
      </w:r>
      <w:r w:rsidRPr="004D79E7" w:rsidR="00BD72E6">
        <w:t> </w:t>
      </w:r>
      <w:r w:rsidRPr="004D79E7" w:rsidR="00693173">
        <w:rPr>
          <w:rFonts w:hint="default"/>
        </w:rPr>
        <w:t>skutoč</w:t>
      </w:r>
      <w:r w:rsidRPr="004D79E7" w:rsidR="00693173">
        <w:rPr>
          <w:rFonts w:hint="default"/>
        </w:rPr>
        <w:t>nosti</w:t>
      </w:r>
      <w:bookmarkEnd w:id="19"/>
      <w:bookmarkEnd w:id="20"/>
    </w:p>
    <w:p w:rsidR="00D86ECF" w:rsidRPr="00D86ECF" w:rsidP="00D86ECF">
      <w:pPr>
        <w:bidi w:val="0"/>
        <w:rPr>
          <w:rFonts w:ascii="Times New Roman" w:hAnsi="Times New Roman"/>
          <w:szCs w:val="22"/>
        </w:rPr>
      </w:pPr>
      <w:r w:rsidRPr="00D86ECF">
        <w:rPr>
          <w:rFonts w:ascii="Times New Roman" w:hAnsi="Times New Roman"/>
          <w:szCs w:val="22"/>
        </w:rPr>
        <w:t>Reálny rast ekonomiky bol mierne nižší ako prognóza M</w:t>
      </w:r>
      <w:r w:rsidR="00BC1333">
        <w:rPr>
          <w:rFonts w:ascii="Times New Roman" w:hAnsi="Times New Roman"/>
          <w:szCs w:val="22"/>
        </w:rPr>
        <w:t>inisterstva financií</w:t>
      </w:r>
      <w:r w:rsidRPr="00D86ECF">
        <w:rPr>
          <w:rFonts w:ascii="Times New Roman" w:hAnsi="Times New Roman"/>
          <w:szCs w:val="22"/>
        </w:rPr>
        <w:t xml:space="preserve"> SR použitá </w:t>
      </w:r>
      <w:r w:rsidR="00AF076D">
        <w:rPr>
          <w:rFonts w:ascii="Times New Roman" w:hAnsi="Times New Roman"/>
          <w:szCs w:val="22"/>
        </w:rPr>
        <w:br/>
      </w:r>
      <w:r w:rsidRPr="00D86ECF">
        <w:rPr>
          <w:rFonts w:ascii="Times New Roman" w:hAnsi="Times New Roman"/>
          <w:szCs w:val="22"/>
        </w:rPr>
        <w:t>pri zostavovaní rozpočtu verejnej správy pre rok 2017. Pozitívne rast HDP ovplyvnili najmä výrazne vyšší rast súkromnej spotreby. Pomalšie oproti prognóze rástli vládna spotreba aj investície. Najvýraznejšie však rast HDP smerom nadol ovplyvnil zahraničný obchod. Export aj import rástli pomalšie ako čakala prognóza, export však spomalil výraznejšie. Nominálnemu HDP však pomohol rýchlejší návrat inflácie.</w:t>
      </w:r>
    </w:p>
    <w:tbl>
      <w:tblPr>
        <w:tblStyle w:val="TableNormal"/>
        <w:tblW w:w="9108" w:type="dxa"/>
        <w:jc w:val="center"/>
        <w:tblInd w:w="-1095" w:type="dxa"/>
        <w:tblCellMar>
          <w:left w:w="70" w:type="dxa"/>
          <w:right w:w="70" w:type="dxa"/>
        </w:tblCellMar>
        <w:tblLook w:val="04A0"/>
      </w:tblPr>
      <w:tblGrid>
        <w:gridCol w:w="4839"/>
        <w:gridCol w:w="1559"/>
        <w:gridCol w:w="1418"/>
        <w:gridCol w:w="1292"/>
      </w:tblGrid>
      <w:tr>
        <w:tblPrEx>
          <w:tblW w:w="9108" w:type="dxa"/>
          <w:jc w:val="center"/>
          <w:tblInd w:w="-1095" w:type="dxa"/>
          <w:tblCellMar>
            <w:left w:w="70" w:type="dxa"/>
            <w:right w:w="70" w:type="dxa"/>
          </w:tblCellMar>
          <w:tblLook w:val="04A0"/>
        </w:tblPrEx>
        <w:trPr>
          <w:trHeight w:val="268"/>
          <w:jc w:val="center"/>
        </w:trPr>
        <w:tc>
          <w:tcPr>
            <w:tcW w:w="9108" w:type="dxa"/>
            <w:gridSpan w:val="4"/>
            <w:tcBorders>
              <w:top w:val="nil"/>
              <w:left w:val="nil"/>
              <w:bottom w:val="nil"/>
              <w:right w:val="nil"/>
            </w:tcBorders>
            <w:shd w:val="clear" w:color="000000" w:fill="000000"/>
            <w:textDirection w:val="lrTb"/>
            <w:vAlign w:val="bottom"/>
            <w:hideMark/>
          </w:tcPr>
          <w:p w:rsidR="00BC1333" w:rsidRPr="00BC1333" w:rsidP="007759B0">
            <w:pPr>
              <w:bidi w:val="0"/>
              <w:rPr>
                <w:rFonts w:ascii="Times New Roman" w:hAnsi="Times New Roman"/>
                <w:b/>
                <w:bCs/>
                <w:color w:val="FFFFFF"/>
                <w:sz w:val="18"/>
                <w:szCs w:val="18"/>
              </w:rPr>
            </w:pPr>
            <w:r w:rsidRPr="00BC1333">
              <w:rPr>
                <w:rFonts w:ascii="Times New Roman" w:hAnsi="Times New Roman"/>
                <w:b/>
                <w:bCs/>
                <w:color w:val="FFFFFF"/>
                <w:sz w:val="18"/>
                <w:szCs w:val="18"/>
              </w:rPr>
              <w:t>Porovnanie skutočnosti za rok 2017 s predpokladmi pre tvorbu rozpočtu na roky 2017-2020</w:t>
            </w:r>
          </w:p>
        </w:tc>
      </w:tr>
      <w:tr>
        <w:tblPrEx>
          <w:tblW w:w="9108" w:type="dxa"/>
          <w:jc w:val="center"/>
          <w:tblInd w:w="-1095" w:type="dxa"/>
          <w:tblCellMar>
            <w:left w:w="70" w:type="dxa"/>
            <w:right w:w="70" w:type="dxa"/>
          </w:tblCellMar>
          <w:tblLook w:val="04A0"/>
        </w:tblPrEx>
        <w:trPr>
          <w:trHeight w:val="80"/>
          <w:jc w:val="center"/>
        </w:trPr>
        <w:tc>
          <w:tcPr>
            <w:tcW w:w="4839" w:type="dxa"/>
            <w:tcBorders>
              <w:top w:val="nil"/>
              <w:left w:val="nil"/>
              <w:bottom w:val="single" w:sz="8" w:space="0" w:color="auto"/>
              <w:right w:val="nil"/>
            </w:tcBorders>
            <w:shd w:val="clear" w:color="000000" w:fill="C0C0C0"/>
            <w:textDirection w:val="lrTb"/>
            <w:vAlign w:val="bottom"/>
            <w:hideMark/>
          </w:tcPr>
          <w:p w:rsidR="00BC1333" w:rsidRPr="00BC1333" w:rsidP="007759B0">
            <w:pPr>
              <w:bidi w:val="0"/>
              <w:rPr>
                <w:rFonts w:ascii="Times New Roman" w:hAnsi="Times New Roman"/>
                <w:b/>
                <w:bCs/>
                <w:color w:val="000000"/>
                <w:sz w:val="18"/>
                <w:szCs w:val="18"/>
              </w:rPr>
            </w:pPr>
            <w:r w:rsidRPr="00BC1333">
              <w:rPr>
                <w:rFonts w:ascii="Times New Roman" w:hAnsi="Times New Roman"/>
                <w:b/>
                <w:bCs/>
                <w:color w:val="000000"/>
                <w:sz w:val="18"/>
                <w:szCs w:val="18"/>
              </w:rPr>
              <w:t>v %, ak nie je uvedené inak</w:t>
            </w:r>
          </w:p>
        </w:tc>
        <w:tc>
          <w:tcPr>
            <w:tcW w:w="1559" w:type="dxa"/>
            <w:tcBorders>
              <w:top w:val="nil"/>
              <w:left w:val="nil"/>
              <w:bottom w:val="single" w:sz="8" w:space="0" w:color="auto"/>
              <w:right w:val="nil"/>
            </w:tcBorders>
            <w:shd w:val="clear" w:color="000000" w:fill="C0C0C0"/>
            <w:textDirection w:val="lrTb"/>
            <w:vAlign w:val="bottom"/>
            <w:hideMark/>
          </w:tcPr>
          <w:p w:rsidR="00BC1333" w:rsidRPr="00BC1333" w:rsidP="007759B0">
            <w:pPr>
              <w:bidi w:val="0"/>
              <w:jc w:val="center"/>
              <w:rPr>
                <w:rFonts w:ascii="Times New Roman" w:hAnsi="Times New Roman"/>
                <w:b/>
                <w:bCs/>
                <w:color w:val="000000"/>
                <w:sz w:val="18"/>
                <w:szCs w:val="18"/>
              </w:rPr>
            </w:pPr>
            <w:r w:rsidRPr="00BC1333">
              <w:rPr>
                <w:rFonts w:ascii="Times New Roman" w:hAnsi="Times New Roman"/>
                <w:b/>
                <w:bCs/>
                <w:color w:val="000000"/>
                <w:sz w:val="18"/>
                <w:szCs w:val="18"/>
              </w:rPr>
              <w:t>Rozpočet 201</w:t>
            </w:r>
            <w:r>
              <w:rPr>
                <w:rFonts w:ascii="Times New Roman" w:hAnsi="Times New Roman"/>
                <w:b/>
                <w:bCs/>
                <w:color w:val="000000"/>
                <w:sz w:val="18"/>
                <w:szCs w:val="18"/>
              </w:rPr>
              <w:t>7</w:t>
            </w:r>
          </w:p>
        </w:tc>
        <w:tc>
          <w:tcPr>
            <w:tcW w:w="1418" w:type="dxa"/>
            <w:tcBorders>
              <w:top w:val="nil"/>
              <w:left w:val="nil"/>
              <w:bottom w:val="single" w:sz="8" w:space="0" w:color="auto"/>
              <w:right w:val="nil"/>
            </w:tcBorders>
            <w:shd w:val="clear" w:color="000000" w:fill="C0C0C0"/>
            <w:textDirection w:val="lrTb"/>
            <w:vAlign w:val="bottom"/>
            <w:hideMark/>
          </w:tcPr>
          <w:p w:rsidR="00BC1333" w:rsidRPr="00BC1333" w:rsidP="007759B0">
            <w:pPr>
              <w:bidi w:val="0"/>
              <w:jc w:val="center"/>
              <w:rPr>
                <w:rFonts w:ascii="Times New Roman" w:hAnsi="Times New Roman"/>
                <w:b/>
                <w:bCs/>
                <w:color w:val="000000"/>
                <w:sz w:val="18"/>
                <w:szCs w:val="18"/>
              </w:rPr>
            </w:pPr>
            <w:r w:rsidRPr="00BC1333">
              <w:rPr>
                <w:rFonts w:ascii="Times New Roman" w:hAnsi="Times New Roman"/>
                <w:b/>
                <w:bCs/>
                <w:color w:val="000000"/>
                <w:sz w:val="18"/>
                <w:szCs w:val="18"/>
              </w:rPr>
              <w:t>Skutočnosť</w:t>
            </w:r>
          </w:p>
        </w:tc>
        <w:tc>
          <w:tcPr>
            <w:tcW w:w="1292" w:type="dxa"/>
            <w:tcBorders>
              <w:top w:val="nil"/>
              <w:left w:val="nil"/>
              <w:bottom w:val="single" w:sz="8" w:space="0" w:color="auto"/>
              <w:right w:val="nil"/>
            </w:tcBorders>
            <w:shd w:val="clear" w:color="000000" w:fill="C0C0C0"/>
            <w:textDirection w:val="lrTb"/>
            <w:vAlign w:val="bottom"/>
            <w:hideMark/>
          </w:tcPr>
          <w:p w:rsidR="00BC1333" w:rsidRPr="00BC1333" w:rsidP="007759B0">
            <w:pPr>
              <w:bidi w:val="0"/>
              <w:jc w:val="center"/>
              <w:rPr>
                <w:rFonts w:ascii="Times New Roman" w:hAnsi="Times New Roman"/>
                <w:b/>
                <w:bCs/>
                <w:color w:val="000000"/>
                <w:sz w:val="18"/>
                <w:szCs w:val="18"/>
              </w:rPr>
            </w:pPr>
            <w:r w:rsidRPr="00BC1333">
              <w:rPr>
                <w:rFonts w:ascii="Times New Roman" w:hAnsi="Times New Roman"/>
                <w:b/>
                <w:bCs/>
                <w:color w:val="000000"/>
                <w:sz w:val="18"/>
                <w:szCs w:val="18"/>
              </w:rPr>
              <w:t>Rozdiel v p.b.</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Hrubý domáci produkt,  reálny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3,5</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3,4</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-0,1</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Hrubý domáci produkt v bežných cenách mld. Eur</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84,0</w:t>
            </w:r>
          </w:p>
        </w:tc>
        <w:tc>
          <w:tcPr>
            <w:tcW w:w="1418" w:type="dxa"/>
            <w:tcBorders>
              <w:top w:val="nil"/>
              <w:left w:val="nil"/>
              <w:bottom w:val="nil"/>
              <w:right w:val="nil"/>
            </w:tcBorders>
            <w:shd w:val="clear" w:color="auto" w:fill="BFBFBF"/>
            <w:noWrap/>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85,0</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+1,0</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Konečná spotreba domácností a NISD,  reálny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2,5</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3,6</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+1,1</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Konečná spotreba domácností a NISD,  nominálny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3,4</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5,0</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+1,6</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Priemerná mesačná mzda,  reálny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3,5</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3,3</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-0,2</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Priemerná mesačná mzda,  nominálny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2,6</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4,6</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+2,0</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Zamestnanosť (ESA)</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1,5</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2,2</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+0,7</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Miera nezamestnanosti (VZPS)</w:t>
            </w:r>
          </w:p>
        </w:tc>
        <w:tc>
          <w:tcPr>
            <w:tcW w:w="1559" w:type="dxa"/>
            <w:tcBorders>
              <w:top w:val="nil"/>
              <w:left w:val="nil"/>
              <w:bottom w:val="nil"/>
              <w:right w:val="nil"/>
            </w:tcBorders>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8,5</w:t>
            </w:r>
          </w:p>
        </w:tc>
        <w:tc>
          <w:tcPr>
            <w:tcW w:w="1418" w:type="dxa"/>
            <w:tcBorders>
              <w:top w:val="nil"/>
              <w:left w:val="nil"/>
              <w:bottom w:val="nil"/>
              <w:right w:val="nil"/>
            </w:tcBorders>
            <w:shd w:val="clear" w:color="auto" w:fill="BFBFBF"/>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8,1</w:t>
            </w:r>
          </w:p>
        </w:tc>
        <w:tc>
          <w:tcPr>
            <w:tcW w:w="1292" w:type="dxa"/>
            <w:tcBorders>
              <w:top w:val="nil"/>
              <w:left w:val="nil"/>
              <w:bottom w:val="nil"/>
              <w:right w:val="nil"/>
            </w:tcBorders>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-0,4</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hideMark/>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Index spotrebiteľských cien,  priemerný rast</w:t>
            </w:r>
          </w:p>
        </w:tc>
        <w:tc>
          <w:tcPr>
            <w:tcW w:w="1559"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0,9</w:t>
            </w:r>
          </w:p>
        </w:tc>
        <w:tc>
          <w:tcPr>
            <w:tcW w:w="1418" w:type="dxa"/>
            <w:tcBorders>
              <w:top w:val="nil"/>
              <w:left w:val="nil"/>
              <w:bottom w:val="nil"/>
              <w:right w:val="nil"/>
            </w:tcBorders>
            <w:shd w:val="clear" w:color="auto" w:fill="BFBFBF"/>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1,7</w:t>
            </w:r>
          </w:p>
        </w:tc>
        <w:tc>
          <w:tcPr>
            <w:tcW w:w="1292" w:type="dxa"/>
            <w:tcBorders>
              <w:top w:val="nil"/>
              <w:left w:val="nil"/>
              <w:bottom w:val="nil"/>
              <w:right w:val="nil"/>
            </w:tcBorders>
            <w:textDirection w:val="lrTb"/>
            <w:vAlign w:val="bottom"/>
            <w:hideMark/>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+0,8</w:t>
            </w:r>
          </w:p>
        </w:tc>
      </w:tr>
      <w:tr>
        <w:tblPrEx>
          <w:tblW w:w="9108" w:type="dxa"/>
          <w:jc w:val="center"/>
          <w:tblInd w:w="-1095" w:type="dxa"/>
          <w:tblCellMar>
            <w:left w:w="70" w:type="dxa"/>
            <w:right w:w="70" w:type="dxa"/>
          </w:tblCellMar>
          <w:tblLook w:val="04A0"/>
        </w:tblPrEx>
        <w:trPr>
          <w:trHeight w:val="268"/>
          <w:jc w:val="center"/>
        </w:trPr>
        <w:tc>
          <w:tcPr>
            <w:tcW w:w="4839" w:type="dxa"/>
            <w:tcBorders>
              <w:top w:val="nil"/>
              <w:left w:val="nil"/>
              <w:bottom w:val="nil"/>
              <w:right w:val="nil"/>
            </w:tcBorders>
            <w:textDirection w:val="lrTb"/>
            <w:vAlign w:val="bottom"/>
          </w:tcPr>
          <w:p w:rsidR="00BC1333" w:rsidRPr="00BC1333" w:rsidP="00AD2D3A">
            <w:pPr>
              <w:bidi w:val="0"/>
              <w:spacing w:after="0" w:line="240" w:lineRule="auto"/>
              <w:jc w:val="left"/>
              <w:rPr>
                <w:rFonts w:ascii="Times New Roman" w:hAnsi="Times New Roman"/>
                <w:color w:val="000000"/>
                <w:sz w:val="18"/>
                <w:szCs w:val="18"/>
                <w:lang w:eastAsia="sk-SK"/>
              </w:rPr>
            </w:pPr>
            <w:r w:rsidRPr="00BC1333">
              <w:rPr>
                <w:rFonts w:ascii="Times New Roman" w:hAnsi="Times New Roman"/>
                <w:color w:val="000000"/>
                <w:sz w:val="18"/>
                <w:szCs w:val="18"/>
                <w:lang w:eastAsia="sk-SK"/>
              </w:rPr>
              <w:t>Saldo bežného účtu platobnej bilancie (% HDP)</w:t>
            </w:r>
          </w:p>
        </w:tc>
        <w:tc>
          <w:tcPr>
            <w:tcW w:w="1559" w:type="dxa"/>
            <w:tcBorders>
              <w:top w:val="nil"/>
              <w:left w:val="nil"/>
              <w:bottom w:val="nil"/>
              <w:right w:val="nil"/>
            </w:tcBorders>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-0,3</w:t>
            </w:r>
          </w:p>
        </w:tc>
        <w:tc>
          <w:tcPr>
            <w:tcW w:w="1418" w:type="dxa"/>
            <w:tcBorders>
              <w:top w:val="nil"/>
              <w:left w:val="nil"/>
              <w:bottom w:val="nil"/>
              <w:right w:val="nil"/>
            </w:tcBorders>
            <w:shd w:val="clear" w:color="auto" w:fill="BFBFBF"/>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-1,8</w:t>
            </w:r>
          </w:p>
        </w:tc>
        <w:tc>
          <w:tcPr>
            <w:tcW w:w="1292" w:type="dxa"/>
            <w:tcBorders>
              <w:top w:val="nil"/>
              <w:left w:val="nil"/>
              <w:bottom w:val="nil"/>
              <w:right w:val="nil"/>
            </w:tcBorders>
            <w:textDirection w:val="lrTb"/>
            <w:vAlign w:val="bottom"/>
          </w:tcPr>
          <w:p w:rsidR="00BC1333" w:rsidRPr="00BC1333" w:rsidP="00AD2D3A">
            <w:pPr>
              <w:bidi w:val="0"/>
              <w:spacing w:after="0" w:line="240" w:lineRule="auto"/>
              <w:jc w:val="center"/>
              <w:rPr>
                <w:rFonts w:ascii="Times New Roman" w:hAnsi="Times New Roman"/>
                <w:color w:val="000000"/>
                <w:sz w:val="18"/>
                <w:szCs w:val="18"/>
                <w:lang w:eastAsia="sk-SK"/>
              </w:rPr>
            </w:pPr>
            <w:r w:rsidRPr="00BC1333">
              <w:rPr>
                <w:rFonts w:ascii="Times New Roman" w:hAnsi="Times New Roman"/>
                <w:color w:val="000000"/>
                <w:sz w:val="18"/>
                <w:szCs w:val="18"/>
                <w:lang w:eastAsia="sk-SK"/>
              </w:rPr>
              <w:t>-1,5</w:t>
            </w:r>
          </w:p>
        </w:tc>
      </w:tr>
      <w:tr>
        <w:tblPrEx>
          <w:tblW w:w="9108" w:type="dxa"/>
          <w:jc w:val="center"/>
          <w:tblInd w:w="-1095" w:type="dxa"/>
          <w:tblCellMar>
            <w:left w:w="70" w:type="dxa"/>
            <w:right w:w="70" w:type="dxa"/>
          </w:tblCellMar>
          <w:tblLook w:val="04A0"/>
        </w:tblPrEx>
        <w:trPr>
          <w:trHeight w:val="268"/>
          <w:jc w:val="center"/>
        </w:trPr>
        <w:tc>
          <w:tcPr>
            <w:tcW w:w="9108" w:type="dxa"/>
            <w:gridSpan w:val="4"/>
            <w:tcBorders>
              <w:top w:val="single" w:sz="8" w:space="0" w:color="auto"/>
              <w:left w:val="nil"/>
              <w:bottom w:val="nil"/>
              <w:right w:val="nil"/>
            </w:tcBorders>
            <w:textDirection w:val="lrTb"/>
            <w:vAlign w:val="bottom"/>
            <w:hideMark/>
          </w:tcPr>
          <w:p w:rsidR="00BC1333" w:rsidRPr="00BC1333" w:rsidP="007759B0">
            <w:pPr>
              <w:bidi w:val="0"/>
              <w:jc w:val="right"/>
              <w:rPr>
                <w:rFonts w:ascii="Times New Roman" w:hAnsi="Times New Roman"/>
                <w:iCs/>
                <w:color w:val="000000"/>
                <w:sz w:val="18"/>
                <w:szCs w:val="18"/>
              </w:rPr>
            </w:pPr>
            <w:r w:rsidRPr="00BC1333">
              <w:rPr>
                <w:rFonts w:ascii="Times New Roman" w:hAnsi="Times New Roman"/>
                <w:iCs/>
                <w:color w:val="000000"/>
                <w:sz w:val="18"/>
                <w:szCs w:val="18"/>
                <w:lang w:val="de-DE"/>
              </w:rPr>
              <w:t>Zdroj: MF SR, ŠÚ SR</w:t>
            </w:r>
          </w:p>
        </w:tc>
      </w:tr>
    </w:tbl>
    <w:p w:rsidR="00DC1853" w:rsidP="00AF076D">
      <w:pPr>
        <w:bidi w:val="0"/>
        <w:rPr>
          <w:rFonts w:ascii="Times New Roman" w:hAnsi="Times New Roman" w:eastAsiaTheme="majorEastAsia"/>
          <w:b/>
          <w:bCs/>
          <w:sz w:val="26"/>
          <w:szCs w:val="28"/>
        </w:rPr>
      </w:pPr>
      <w:r w:rsidRPr="00D86ECF">
        <w:rPr>
          <w:rFonts w:ascii="Times New Roman" w:hAnsi="Times New Roman"/>
          <w:szCs w:val="22"/>
        </w:rPr>
        <w:t>Rok 2017 si polepšil oproti rozpočtu aj z pohľadu makroekonomických základní pre dane a odvody. Výrazne rýchlejšie rástla mzdová báza, ktorá je najvýznamnejšou základňou pre daň z príjmu fyzických osôb a odvodov. Očakávania predbehli najmä rast miezd, prognózu však prekonal aj rast zamestnanosti. Rýchlejší než očakávaný rast cien podporil nominálnu spotrebu domácností a</w:t>
      </w:r>
      <w:r>
        <w:rPr>
          <w:rFonts w:ascii="Times New Roman" w:hAnsi="Times New Roman"/>
          <w:szCs w:val="22"/>
        </w:rPr>
        <w:t xml:space="preserve"> </w:t>
      </w:r>
      <w:r w:rsidRPr="00D86ECF">
        <w:rPr>
          <w:rFonts w:ascii="Times New Roman" w:hAnsi="Times New Roman"/>
          <w:szCs w:val="22"/>
        </w:rPr>
        <w:t>HDP, čo sú základne pre DPH a</w:t>
      </w:r>
      <w:r>
        <w:rPr>
          <w:rFonts w:ascii="Times New Roman" w:hAnsi="Times New Roman"/>
          <w:szCs w:val="22"/>
        </w:rPr>
        <w:t xml:space="preserve"> </w:t>
      </w:r>
      <w:r w:rsidRPr="00D86ECF">
        <w:rPr>
          <w:rFonts w:ascii="Times New Roman" w:hAnsi="Times New Roman"/>
          <w:szCs w:val="22"/>
        </w:rPr>
        <w:t>daň z príjmu právnických osôb. Celkovo tak makroekonomický vývoj vytvoril pozitívne riziká pre rozpočtované príjmy verejnej správy v 2017.</w:t>
      </w:r>
      <w:bookmarkStart w:id="21" w:name="_Toc479313229"/>
      <w:r>
        <w:rPr>
          <w:rFonts w:ascii="Times New Roman" w:hAnsi="Times New Roman"/>
        </w:rPr>
        <w:br w:type="page"/>
      </w:r>
    </w:p>
    <w:p w:rsidR="00693173" w:rsidRPr="00F36078" w:rsidP="003E2C97">
      <w:pPr>
        <w:pStyle w:val="Heading1"/>
        <w:bidi w:val="0"/>
        <w:rPr>
          <w:rFonts w:ascii="Times New Roman" w:hAnsi="Times New Roman"/>
        </w:rPr>
      </w:pPr>
      <w:bookmarkStart w:id="22" w:name="_Toc512599660"/>
      <w:r w:rsidR="003E2C97">
        <w:rPr>
          <w:rFonts w:ascii="Times New Roman" w:hAnsi="Times New Roman"/>
        </w:rPr>
        <w:t xml:space="preserve">2   </w:t>
      </w:r>
      <w:r w:rsidRPr="00F36078">
        <w:rPr>
          <w:rFonts w:ascii="Times New Roman" w:hAnsi="Times New Roman"/>
        </w:rPr>
        <w:t>Hospodárenie verejnej správy v metodike ESA 2010</w:t>
      </w:r>
      <w:bookmarkEnd w:id="21"/>
      <w:bookmarkEnd w:id="22"/>
    </w:p>
    <w:p w:rsidR="00F36078" w:rsidRPr="00223682" w:rsidP="00F36078">
      <w:pPr>
        <w:bidi w:val="0"/>
        <w:rPr>
          <w:rFonts w:ascii="Times New Roman" w:hAnsi="Times New Roman"/>
          <w:szCs w:val="22"/>
        </w:rPr>
      </w:pPr>
      <w:bookmarkStart w:id="23" w:name="_Toc479313230"/>
      <w:r w:rsidRPr="00223682">
        <w:rPr>
          <w:rFonts w:ascii="Times New Roman" w:hAnsi="Times New Roman"/>
          <w:szCs w:val="22"/>
        </w:rPr>
        <w:t xml:space="preserve">Výsledky hospodárenia verejnej správy sa predkladajú Eurostatu dvakrát ročne na základe nariadenia o nadmernom schodku prvýkrát do 1. apríla bežného roka a druhýkrát do 1. októbra bežného roka. Do 1. apríla bežného roka sa predkladá odhad schodku za predchádzajúci rozpočtový rok a do 1. októbra bežného roka sa predkladá aktualizovaný schodok za predchádzajúci rozpočtový rok. V zmysle uvedeného pravidla je potrebné všetky údaje v nasledujúcom texte chápať ako predbežné, ktoré môžu byť v období do 1. októbra tohto roka revidované. Základnou databázou o hospodárení jednotlivých subjektov verejnej správy sú údaje </w:t>
      </w:r>
      <w:r w:rsidR="00566F4F">
        <w:rPr>
          <w:rFonts w:ascii="Times New Roman" w:hAnsi="Times New Roman"/>
          <w:szCs w:val="22"/>
        </w:rPr>
        <w:br/>
      </w:r>
      <w:r w:rsidRPr="00223682">
        <w:rPr>
          <w:rFonts w:ascii="Times New Roman" w:hAnsi="Times New Roman"/>
          <w:szCs w:val="22"/>
        </w:rPr>
        <w:t>z finančných výkazov za rok 2017, avšak nie všetky boli verifikované schvaľovacím procesom. Definitívne údaje o hospodárení verejnej správy za rok 2017 budú prezentované po skončení schvaľovacieho procesu, na základe vykonaných auditov finančných výkazov a po získaní definitívnych údajov pre časové rozlíšenie daní a poistného z Finančnej správy SR, Sociálnej poisťovne a zdravotných poisťovní. Z hľadiska definitívnych výsledkov hospodárenia verejnej správy za rok 2017 bude preto rozhodujúce stanovisko Eurostatu pri notifikácii výsledkov predložených do 1. októbra 2018.</w:t>
      </w:r>
    </w:p>
    <w:p w:rsidR="00693173" w:rsidRPr="00F36078" w:rsidP="003E2C97">
      <w:pPr>
        <w:pStyle w:val="Heading2"/>
        <w:numPr>
          <w:ilvl w:val="0"/>
          <w:numId w:val="0"/>
        </w:numPr>
        <w:bidi w:val="0"/>
        <w:ind w:firstLine="0"/>
        <w:rPr>
          <w:rFonts w:hint="default"/>
        </w:rPr>
      </w:pPr>
      <w:bookmarkStart w:id="24" w:name="_Toc512599661"/>
      <w:r w:rsidR="003E2C97">
        <w:t xml:space="preserve">2.1 </w:t>
      </w:r>
      <w:r w:rsidRPr="00F36078">
        <w:rPr>
          <w:rFonts w:hint="default"/>
        </w:rPr>
        <w:t>Saldo verejnej sprá</w:t>
      </w:r>
      <w:r w:rsidRPr="00F36078">
        <w:rPr>
          <w:rFonts w:hint="default"/>
        </w:rPr>
        <w:t>vy</w:t>
      </w:r>
      <w:bookmarkEnd w:id="23"/>
      <w:bookmarkEnd w:id="24"/>
    </w:p>
    <w:p w:rsidR="00F36078" w:rsidRPr="00223682" w:rsidP="000A162C">
      <w:pPr>
        <w:bidi w:val="0"/>
        <w:rPr>
          <w:rFonts w:ascii="Times New Roman" w:hAnsi="Times New Roman"/>
          <w:szCs w:val="22"/>
        </w:rPr>
      </w:pPr>
      <w:bookmarkStart w:id="25" w:name="_Toc479313234"/>
      <w:r w:rsidRPr="00223682">
        <w:rPr>
          <w:rFonts w:ascii="Times New Roman" w:hAnsi="Times New Roman"/>
          <w:szCs w:val="22"/>
        </w:rPr>
        <w:t>Rozpočet verejnej správy na rok 2017, ktorý bol schválený vládou SR uznesením č. 461/2016 a uznesením NR SR č. 341/2016</w:t>
      </w:r>
      <w:r w:rsidR="00F958EB">
        <w:rPr>
          <w:rFonts w:ascii="Times New Roman" w:hAnsi="Times New Roman"/>
          <w:szCs w:val="22"/>
        </w:rPr>
        <w:t xml:space="preserve"> vzatým na vedomie</w:t>
      </w:r>
      <w:r w:rsidRPr="00223682">
        <w:rPr>
          <w:rFonts w:ascii="Times New Roman" w:hAnsi="Times New Roman"/>
          <w:szCs w:val="22"/>
        </w:rPr>
        <w:t xml:space="preserve">, predpokladal podiel </w:t>
      </w:r>
      <w:r w:rsidRPr="00223682">
        <w:rPr>
          <w:rFonts w:ascii="Times New Roman" w:hAnsi="Times New Roman"/>
          <w:b/>
          <w:szCs w:val="22"/>
        </w:rPr>
        <w:t>schodku</w:t>
      </w:r>
      <w:r w:rsidRPr="00223682">
        <w:rPr>
          <w:rFonts w:ascii="Times New Roman" w:hAnsi="Times New Roman"/>
          <w:szCs w:val="22"/>
        </w:rPr>
        <w:t xml:space="preserve"> k HDP vo výške </w:t>
      </w:r>
      <w:r w:rsidRPr="00223682">
        <w:rPr>
          <w:rFonts w:ascii="Times New Roman" w:hAnsi="Times New Roman"/>
          <w:b/>
          <w:szCs w:val="22"/>
        </w:rPr>
        <w:t xml:space="preserve">1,29 %. </w:t>
      </w:r>
      <w:r w:rsidRPr="00223682">
        <w:rPr>
          <w:rFonts w:ascii="Times New Roman" w:hAnsi="Times New Roman"/>
          <w:szCs w:val="22"/>
        </w:rPr>
        <w:t xml:space="preserve">Slovenská republika odoslala do Eurostatu dňa 29. 3. 2018 predbežné výsledky hospodárenia verejných financií za rok 2017, pričom </w:t>
      </w:r>
      <w:r w:rsidRPr="00223682">
        <w:rPr>
          <w:rFonts w:ascii="Times New Roman" w:hAnsi="Times New Roman"/>
          <w:b/>
          <w:szCs w:val="22"/>
        </w:rPr>
        <w:t>deficit</w:t>
      </w:r>
      <w:r w:rsidRPr="00223682">
        <w:rPr>
          <w:rFonts w:ascii="Times New Roman" w:hAnsi="Times New Roman"/>
          <w:szCs w:val="22"/>
        </w:rPr>
        <w:t xml:space="preserve"> bol deklarovaný vo výške </w:t>
      </w:r>
      <w:r w:rsidRPr="00223682">
        <w:rPr>
          <w:rFonts w:ascii="Times New Roman" w:hAnsi="Times New Roman"/>
          <w:b/>
          <w:szCs w:val="22"/>
        </w:rPr>
        <w:t>1,04 %</w:t>
      </w:r>
      <w:r w:rsidRPr="00223682">
        <w:rPr>
          <w:rFonts w:ascii="Times New Roman" w:hAnsi="Times New Roman"/>
          <w:szCs w:val="22"/>
        </w:rPr>
        <w:t xml:space="preserve"> HDP. Ten už obsahoval aj nevyhnutné korekcie EÚ fondov, ktoré boli mimo dosahu rozpočtovej politiky vlády. </w:t>
      </w:r>
    </w:p>
    <w:p w:rsidR="00F36078" w:rsidP="00F36078">
      <w:pPr>
        <w:bidi w:val="0"/>
        <w:rPr>
          <w:rFonts w:ascii="Times New Roman" w:hAnsi="Times New Roman"/>
          <w:szCs w:val="22"/>
        </w:rPr>
      </w:pPr>
      <w:r w:rsidRPr="00223682">
        <w:rPr>
          <w:rFonts w:ascii="Times New Roman" w:hAnsi="Times New Roman"/>
          <w:szCs w:val="22"/>
        </w:rPr>
        <w:t>V roku 2017 dosiahlo celkové hospodárenie s verejnými financiami podľa metodiky ESA 2010 schodok vo výške 884 464 tis. eur (1,04 % z HDP). Schodok verejnej správy bol nižší oproti rozpočtovanej hodnote na rok 2017</w:t>
      </w:r>
      <w:r w:rsidRPr="00223682">
        <w:rPr>
          <w:rFonts w:ascii="Times New Roman" w:hAnsi="Times New Roman"/>
          <w:color w:val="FF0000"/>
          <w:szCs w:val="22"/>
        </w:rPr>
        <w:t xml:space="preserve"> </w:t>
      </w:r>
      <w:r w:rsidRPr="00223682">
        <w:rPr>
          <w:rFonts w:ascii="Times New Roman" w:hAnsi="Times New Roman"/>
          <w:szCs w:val="22"/>
        </w:rPr>
        <w:t xml:space="preserve">o 199 </w:t>
      </w:r>
      <w:r w:rsidR="00FA32D8">
        <w:rPr>
          <w:rFonts w:ascii="Times New Roman" w:hAnsi="Times New Roman"/>
          <w:szCs w:val="22"/>
        </w:rPr>
        <w:t>024</w:t>
      </w:r>
      <w:r w:rsidRPr="00223682" w:rsidR="00FA32D8">
        <w:rPr>
          <w:rFonts w:ascii="Times New Roman" w:hAnsi="Times New Roman"/>
          <w:szCs w:val="22"/>
        </w:rPr>
        <w:t> </w:t>
      </w:r>
      <w:r w:rsidRPr="00223682">
        <w:rPr>
          <w:rFonts w:ascii="Times New Roman" w:hAnsi="Times New Roman"/>
          <w:szCs w:val="22"/>
        </w:rPr>
        <w:t xml:space="preserve">tis. eur (0,25 % HDP), čo bolo spôsobené pozitívnym vývojom slovenskej ekonomiky, ako aj lepším hospodárením subjektov verejnej správy. </w:t>
      </w:r>
    </w:p>
    <w:tbl>
      <w:tblPr>
        <w:tblStyle w:val="TableNormal"/>
        <w:tblW w:w="8212" w:type="dxa"/>
        <w:tblInd w:w="70" w:type="dxa"/>
        <w:tblCellMar>
          <w:left w:w="70" w:type="dxa"/>
          <w:right w:w="70" w:type="dxa"/>
        </w:tblCellMar>
        <w:tblLook w:val="04A0"/>
      </w:tblPr>
      <w:tblGrid>
        <w:gridCol w:w="2235"/>
        <w:gridCol w:w="1384"/>
        <w:gridCol w:w="1192"/>
        <w:gridCol w:w="1192"/>
        <w:gridCol w:w="1133"/>
        <w:gridCol w:w="1076"/>
      </w:tblGrid>
      <w:tr>
        <w:tblPrEx>
          <w:tblW w:w="8212" w:type="dxa"/>
          <w:tblInd w:w="70" w:type="dxa"/>
          <w:tblCellMar>
            <w:left w:w="70" w:type="dxa"/>
            <w:right w:w="70" w:type="dxa"/>
          </w:tblCellMar>
          <w:tblLook w:val="04A0"/>
        </w:tblPrEx>
        <w:trPr>
          <w:trHeight w:val="330"/>
        </w:trPr>
        <w:tc>
          <w:tcPr>
            <w:tcW w:w="7136" w:type="dxa"/>
            <w:gridSpan w:val="5"/>
            <w:tcBorders>
              <w:top w:val="nil"/>
              <w:left w:val="nil"/>
              <w:bottom w:val="single" w:sz="4" w:space="0" w:color="auto"/>
              <w:right w:val="nil"/>
            </w:tcBorders>
            <w:shd w:val="clear" w:color="000000" w:fill="000000"/>
            <w:noWrap/>
            <w:textDirection w:val="lrTb"/>
            <w:vAlign w:val="center"/>
            <w:hideMark/>
          </w:tcPr>
          <w:p w:rsidR="001222C2" w:rsidRPr="001222C2" w:rsidP="001222C2">
            <w:pPr>
              <w:bidi w:val="0"/>
              <w:spacing w:after="0" w:line="240" w:lineRule="auto"/>
              <w:jc w:val="left"/>
              <w:rPr>
                <w:rFonts w:ascii="Times New Roman" w:hAnsi="Times New Roman"/>
                <w:b/>
                <w:bCs/>
                <w:color w:val="FFFFFF"/>
                <w:sz w:val="20"/>
                <w:szCs w:val="20"/>
                <w:lang w:eastAsia="sk-SK"/>
              </w:rPr>
            </w:pPr>
            <w:r w:rsidRPr="001222C2">
              <w:rPr>
                <w:rFonts w:ascii="Times New Roman" w:hAnsi="Times New Roman"/>
                <w:b/>
                <w:bCs/>
                <w:color w:val="FFFFFF"/>
                <w:sz w:val="20"/>
                <w:szCs w:val="20"/>
                <w:lang w:eastAsia="sk-SK"/>
              </w:rPr>
              <w:t>Plnenie príjmov a výdavkov verejnej správy (na akruálnej báze)</w:t>
            </w:r>
          </w:p>
        </w:tc>
        <w:tc>
          <w:tcPr>
            <w:tcW w:w="1076" w:type="dxa"/>
            <w:tcBorders>
              <w:top w:val="nil"/>
              <w:left w:val="nil"/>
              <w:bottom w:val="nil"/>
              <w:right w:val="nil"/>
            </w:tcBorders>
            <w:shd w:val="clear" w:color="000000" w:fill="000000"/>
            <w:noWrap/>
            <w:textDirection w:val="lrTb"/>
            <w:vAlign w:val="center"/>
            <w:hideMark/>
          </w:tcPr>
          <w:p w:rsidR="001222C2" w:rsidRPr="001222C2" w:rsidP="001222C2">
            <w:pPr>
              <w:bidi w:val="0"/>
              <w:spacing w:after="0" w:line="240" w:lineRule="auto"/>
              <w:jc w:val="right"/>
              <w:rPr>
                <w:rFonts w:ascii="Times New Roman" w:hAnsi="Times New Roman"/>
                <w:b/>
                <w:bCs/>
                <w:color w:val="FFFFFF"/>
                <w:sz w:val="20"/>
                <w:szCs w:val="20"/>
                <w:lang w:eastAsia="sk-SK"/>
              </w:rPr>
            </w:pPr>
            <w:r w:rsidRPr="001222C2">
              <w:rPr>
                <w:rFonts w:ascii="Times New Roman" w:hAnsi="Times New Roman"/>
                <w:b/>
                <w:bCs/>
                <w:color w:val="FFFFFF"/>
                <w:sz w:val="20"/>
                <w:szCs w:val="20"/>
                <w:lang w:eastAsia="sk-SK"/>
              </w:rPr>
              <w:t>v tis. eur</w:t>
            </w:r>
          </w:p>
        </w:tc>
      </w:tr>
      <w:tr>
        <w:tblPrEx>
          <w:tblW w:w="8212" w:type="dxa"/>
          <w:tblInd w:w="70" w:type="dxa"/>
          <w:tblCellMar>
            <w:left w:w="70" w:type="dxa"/>
            <w:right w:w="70" w:type="dxa"/>
          </w:tblCellMar>
          <w:tblLook w:val="04A0"/>
        </w:tblPrEx>
        <w:trPr>
          <w:trHeight w:val="330"/>
        </w:trPr>
        <w:tc>
          <w:tcPr>
            <w:tcW w:w="2235"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 </w:t>
            </w:r>
          </w:p>
        </w:tc>
        <w:tc>
          <w:tcPr>
            <w:tcW w:w="1384"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2015</w:t>
            </w:r>
          </w:p>
        </w:tc>
        <w:tc>
          <w:tcPr>
            <w:tcW w:w="1192"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2016</w:t>
            </w:r>
          </w:p>
        </w:tc>
        <w:tc>
          <w:tcPr>
            <w:tcW w:w="1192"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2017</w:t>
            </w:r>
          </w:p>
        </w:tc>
        <w:tc>
          <w:tcPr>
            <w:tcW w:w="1133"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2017</w:t>
            </w:r>
          </w:p>
        </w:tc>
        <w:tc>
          <w:tcPr>
            <w:tcW w:w="1076" w:type="dxa"/>
            <w:tcBorders>
              <w:top w:val="single" w:sz="4" w:space="0" w:color="auto"/>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2017</w:t>
            </w:r>
          </w:p>
        </w:tc>
      </w:tr>
      <w:tr>
        <w:tblPrEx>
          <w:tblW w:w="8212" w:type="dxa"/>
          <w:tblInd w:w="70" w:type="dxa"/>
          <w:tblCellMar>
            <w:left w:w="70" w:type="dxa"/>
            <w:right w:w="70" w:type="dxa"/>
          </w:tblCellMar>
          <w:tblLook w:val="04A0"/>
        </w:tblPrEx>
        <w:trPr>
          <w:trHeight w:val="126"/>
        </w:trPr>
        <w:tc>
          <w:tcPr>
            <w:tcW w:w="2235"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 </w:t>
            </w:r>
          </w:p>
        </w:tc>
        <w:tc>
          <w:tcPr>
            <w:tcW w:w="1384"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Skutočnosť</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Skutočnosť</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Skutočnosť</w:t>
            </w:r>
          </w:p>
        </w:tc>
        <w:tc>
          <w:tcPr>
            <w:tcW w:w="1133"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Rozpočet</w:t>
            </w:r>
          </w:p>
        </w:tc>
        <w:tc>
          <w:tcPr>
            <w:tcW w:w="1076"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center"/>
              <w:rPr>
                <w:rFonts w:ascii="Times New Roman" w:hAnsi="Times New Roman"/>
                <w:b/>
                <w:bCs/>
                <w:sz w:val="20"/>
                <w:szCs w:val="20"/>
                <w:lang w:eastAsia="sk-SK"/>
              </w:rPr>
            </w:pPr>
            <w:r w:rsidRPr="001222C2">
              <w:rPr>
                <w:rFonts w:ascii="Times New Roman" w:hAnsi="Times New Roman"/>
                <w:b/>
                <w:bCs/>
                <w:sz w:val="20"/>
                <w:szCs w:val="20"/>
                <w:lang w:eastAsia="sk-SK"/>
              </w:rPr>
              <w:t>(S -R)</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Príjmy spolu, v tom:</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35 646 275</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31 566 369</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33 359 032</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33 322 979</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36 053</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color w:val="000000"/>
                <w:sz w:val="20"/>
                <w:szCs w:val="20"/>
                <w:lang w:eastAsia="sk-SK"/>
              </w:rPr>
            </w:pPr>
            <w:r w:rsidRPr="001222C2">
              <w:rPr>
                <w:rFonts w:ascii="Times New Roman" w:hAnsi="Times New Roman"/>
                <w:color w:val="000000"/>
                <w:sz w:val="20"/>
                <w:szCs w:val="20"/>
                <w:lang w:eastAsia="sk-SK"/>
              </w:rPr>
              <w:t>Daňové a poistné príjmy</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25 330 990</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25 798 164</w:t>
            </w:r>
          </w:p>
        </w:tc>
        <w:tc>
          <w:tcPr>
            <w:tcW w:w="1192" w:type="dxa"/>
            <w:tcBorders>
              <w:top w:val="nil"/>
              <w:left w:val="nil"/>
              <w:bottom w:val="nil"/>
              <w:right w:val="nil"/>
            </w:tcBorders>
            <w:shd w:val="clear" w:color="000000" w:fill="BFBFBF"/>
            <w:noWrap/>
            <w:textDirection w:val="lrTb"/>
            <w:vAlign w:val="center"/>
            <w:hideMark/>
          </w:tcPr>
          <w:p w:rsidR="001222C2" w:rsidRPr="001222C2" w:rsidP="007B3A16">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 xml:space="preserve">27 </w:t>
            </w:r>
            <w:r w:rsidR="007B3A16">
              <w:rPr>
                <w:rFonts w:ascii="Times New Roman" w:hAnsi="Times New Roman"/>
                <w:sz w:val="20"/>
                <w:szCs w:val="20"/>
                <w:lang w:eastAsia="sk-SK"/>
              </w:rPr>
              <w:t>877 861</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007B3A16">
              <w:rPr>
                <w:rFonts w:ascii="Times New Roman" w:hAnsi="Times New Roman"/>
                <w:sz w:val="20"/>
                <w:szCs w:val="20"/>
                <w:lang w:eastAsia="sk-SK"/>
              </w:rPr>
              <w:t>27 627 900</w:t>
            </w:r>
          </w:p>
        </w:tc>
        <w:tc>
          <w:tcPr>
            <w:tcW w:w="1076" w:type="dxa"/>
            <w:tcBorders>
              <w:top w:val="nil"/>
              <w:left w:val="nil"/>
              <w:bottom w:val="nil"/>
              <w:right w:val="nil"/>
            </w:tcBorders>
            <w:shd w:val="clear" w:color="000000" w:fill="FFFFFF"/>
            <w:noWrap/>
            <w:textDirection w:val="lrTb"/>
            <w:vAlign w:val="center"/>
            <w:hideMark/>
          </w:tcPr>
          <w:p w:rsidR="001222C2" w:rsidRPr="001222C2" w:rsidP="007B3A16">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 xml:space="preserve">249 </w:t>
            </w:r>
            <w:r w:rsidR="007B3A16">
              <w:rPr>
                <w:rFonts w:ascii="Times New Roman" w:hAnsi="Times New Roman"/>
                <w:sz w:val="20"/>
                <w:szCs w:val="20"/>
                <w:lang w:eastAsia="sk-SK"/>
              </w:rPr>
              <w:t>961</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color w:val="000000"/>
                <w:sz w:val="20"/>
                <w:szCs w:val="20"/>
                <w:lang w:eastAsia="sk-SK"/>
              </w:rPr>
            </w:pPr>
            <w:r w:rsidRPr="001222C2">
              <w:rPr>
                <w:rFonts w:ascii="Times New Roman" w:hAnsi="Times New Roman"/>
                <w:color w:val="000000"/>
                <w:sz w:val="20"/>
                <w:szCs w:val="20"/>
                <w:lang w:eastAsia="sk-SK"/>
              </w:rPr>
              <w:t>Nedaňové príjmy</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4 784 478</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4 890 137</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007B3A16">
              <w:rPr>
                <w:rFonts w:ascii="Times New Roman" w:hAnsi="Times New Roman"/>
                <w:sz w:val="20"/>
                <w:szCs w:val="20"/>
                <w:lang w:eastAsia="sk-SK"/>
              </w:rPr>
              <w:t>4 685 008</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007B3A16">
              <w:rPr>
                <w:rFonts w:ascii="Times New Roman" w:hAnsi="Times New Roman"/>
                <w:sz w:val="20"/>
                <w:szCs w:val="20"/>
                <w:lang w:eastAsia="sk-SK"/>
              </w:rPr>
              <w:t>4 633 622</w:t>
            </w:r>
          </w:p>
        </w:tc>
        <w:tc>
          <w:tcPr>
            <w:tcW w:w="1076" w:type="dxa"/>
            <w:tcBorders>
              <w:top w:val="nil"/>
              <w:left w:val="nil"/>
              <w:bottom w:val="nil"/>
              <w:right w:val="nil"/>
            </w:tcBorders>
            <w:shd w:val="clear" w:color="000000" w:fill="FFFFFF"/>
            <w:noWrap/>
            <w:textDirection w:val="lrTb"/>
            <w:vAlign w:val="center"/>
            <w:hideMark/>
          </w:tcPr>
          <w:p w:rsidR="001222C2" w:rsidRPr="001222C2" w:rsidP="007B3A16">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 xml:space="preserve">52 </w:t>
            </w:r>
            <w:r w:rsidR="007B3A16">
              <w:rPr>
                <w:rFonts w:ascii="Times New Roman" w:hAnsi="Times New Roman"/>
                <w:sz w:val="20"/>
                <w:szCs w:val="20"/>
                <w:lang w:eastAsia="sk-SK"/>
              </w:rPr>
              <w:t>386</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color w:val="000000"/>
                <w:sz w:val="20"/>
                <w:szCs w:val="20"/>
                <w:lang w:eastAsia="sk-SK"/>
              </w:rPr>
            </w:pPr>
            <w:r w:rsidRPr="001222C2">
              <w:rPr>
                <w:rFonts w:ascii="Times New Roman" w:hAnsi="Times New Roman"/>
                <w:color w:val="000000"/>
                <w:sz w:val="20"/>
                <w:szCs w:val="20"/>
                <w:lang w:eastAsia="sk-SK"/>
              </w:rPr>
              <w:t>Granty a transfery</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5 530 807</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878 068</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796 163</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1 061 457</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-265 294</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Výdavky spolu, v tom:</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37 797 134</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33 357 028</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34 243 496</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34 406 467</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-162 971</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color w:val="000000"/>
                <w:sz w:val="20"/>
                <w:szCs w:val="20"/>
                <w:lang w:eastAsia="sk-SK"/>
              </w:rPr>
            </w:pPr>
            <w:r w:rsidRPr="001222C2">
              <w:rPr>
                <w:rFonts w:ascii="Times New Roman" w:hAnsi="Times New Roman"/>
                <w:color w:val="000000"/>
                <w:sz w:val="20"/>
                <w:szCs w:val="20"/>
                <w:lang w:eastAsia="sk-SK"/>
              </w:rPr>
              <w:t>Bežné výdavky</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31 729 100</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33 026 579</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31 558 844</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31 150 947</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407 897</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color w:val="000000"/>
                <w:sz w:val="20"/>
                <w:szCs w:val="20"/>
                <w:lang w:eastAsia="sk-SK"/>
              </w:rPr>
            </w:pPr>
            <w:r w:rsidRPr="001222C2">
              <w:rPr>
                <w:rFonts w:ascii="Times New Roman" w:hAnsi="Times New Roman"/>
                <w:color w:val="000000"/>
                <w:sz w:val="20"/>
                <w:szCs w:val="20"/>
                <w:lang w:eastAsia="sk-SK"/>
              </w:rPr>
              <w:t>Kapitálové výdavky</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6 068 034</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330 449</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2 684 652</w:t>
            </w:r>
          </w:p>
        </w:tc>
        <w:tc>
          <w:tcPr>
            <w:tcW w:w="1133"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3 255 520</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sz w:val="20"/>
                <w:szCs w:val="20"/>
                <w:lang w:eastAsia="sk-SK"/>
              </w:rPr>
            </w:pPr>
            <w:r w:rsidRPr="001222C2">
              <w:rPr>
                <w:rFonts w:ascii="Times New Roman" w:hAnsi="Times New Roman"/>
                <w:sz w:val="20"/>
                <w:szCs w:val="20"/>
                <w:lang w:eastAsia="sk-SK"/>
              </w:rPr>
              <w:t>-570 868</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Saldo podľa ESA 2010</w:t>
            </w:r>
          </w:p>
        </w:tc>
        <w:tc>
          <w:tcPr>
            <w:tcW w:w="1384"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-2 150 859</w:t>
            </w:r>
          </w:p>
        </w:tc>
        <w:tc>
          <w:tcPr>
            <w:tcW w:w="1192"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-1 790 659</w:t>
            </w:r>
          </w:p>
        </w:tc>
        <w:tc>
          <w:tcPr>
            <w:tcW w:w="1192" w:type="dxa"/>
            <w:tcBorders>
              <w:top w:val="nil"/>
              <w:left w:val="nil"/>
              <w:bottom w:val="nil"/>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-884 464</w:t>
            </w:r>
          </w:p>
        </w:tc>
        <w:tc>
          <w:tcPr>
            <w:tcW w:w="1133" w:type="dxa"/>
            <w:tcBorders>
              <w:top w:val="nil"/>
              <w:left w:val="nil"/>
              <w:bottom w:val="nil"/>
              <w:right w:val="nil"/>
            </w:tcBorders>
            <w:shd w:val="clear" w:color="000000" w:fill="FFFFFF"/>
            <w:noWrap/>
            <w:textDirection w:val="lrTb"/>
            <w:vAlign w:val="center"/>
            <w:hideMark/>
          </w:tcPr>
          <w:p w:rsidR="001222C2" w:rsidRPr="001222C2" w:rsidP="00FC7C66">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w:t>
            </w:r>
            <w:r w:rsidR="00FC7C66">
              <w:rPr>
                <w:rFonts w:ascii="Times New Roman" w:hAnsi="Times New Roman"/>
                <w:b/>
                <w:bCs/>
                <w:sz w:val="20"/>
                <w:szCs w:val="20"/>
                <w:lang w:eastAsia="sk-SK"/>
              </w:rPr>
              <w:t xml:space="preserve"> 1 083 488</w:t>
            </w:r>
          </w:p>
        </w:tc>
        <w:tc>
          <w:tcPr>
            <w:tcW w:w="1076" w:type="dxa"/>
            <w:tcBorders>
              <w:top w:val="nil"/>
              <w:left w:val="nil"/>
              <w:bottom w:val="nil"/>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199 024</w:t>
            </w:r>
          </w:p>
        </w:tc>
      </w:tr>
      <w:tr>
        <w:tblPrEx>
          <w:tblW w:w="8212" w:type="dxa"/>
          <w:tblInd w:w="70" w:type="dxa"/>
          <w:tblCellMar>
            <w:left w:w="70" w:type="dxa"/>
            <w:right w:w="70" w:type="dxa"/>
          </w:tblCellMar>
          <w:tblLook w:val="04A0"/>
        </w:tblPrEx>
        <w:trPr>
          <w:trHeight w:val="330"/>
        </w:trPr>
        <w:tc>
          <w:tcPr>
            <w:tcW w:w="2235" w:type="dxa"/>
            <w:tcBorders>
              <w:top w:val="nil"/>
              <w:left w:val="nil"/>
              <w:bottom w:val="single" w:sz="4" w:space="0" w:color="auto"/>
              <w:right w:val="nil"/>
            </w:tcBorders>
            <w:shd w:val="clear" w:color="000000" w:fill="FFFFFF"/>
            <w:noWrap/>
            <w:textDirection w:val="lrTb"/>
            <w:vAlign w:val="center"/>
            <w:hideMark/>
          </w:tcPr>
          <w:p w:rsidR="001222C2" w:rsidRPr="001222C2" w:rsidP="001222C2">
            <w:pPr>
              <w:bidi w:val="0"/>
              <w:spacing w:after="0" w:line="240" w:lineRule="auto"/>
              <w:jc w:val="left"/>
              <w:rPr>
                <w:rFonts w:ascii="Times New Roman" w:hAnsi="Times New Roman"/>
                <w:b/>
                <w:bCs/>
                <w:sz w:val="20"/>
                <w:szCs w:val="20"/>
                <w:lang w:eastAsia="sk-SK"/>
              </w:rPr>
            </w:pPr>
            <w:r w:rsidRPr="001222C2">
              <w:rPr>
                <w:rFonts w:ascii="Times New Roman" w:hAnsi="Times New Roman"/>
                <w:b/>
                <w:bCs/>
                <w:sz w:val="20"/>
                <w:szCs w:val="20"/>
                <w:lang w:eastAsia="sk-SK"/>
              </w:rPr>
              <w:t xml:space="preserve">           % z HDP</w:t>
            </w:r>
          </w:p>
        </w:tc>
        <w:tc>
          <w:tcPr>
            <w:tcW w:w="1384" w:type="dxa"/>
            <w:tcBorders>
              <w:top w:val="nil"/>
              <w:left w:val="nil"/>
              <w:bottom w:val="single" w:sz="4" w:space="0" w:color="auto"/>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-2,73</w:t>
            </w:r>
          </w:p>
        </w:tc>
        <w:tc>
          <w:tcPr>
            <w:tcW w:w="1192" w:type="dxa"/>
            <w:tcBorders>
              <w:top w:val="nil"/>
              <w:left w:val="nil"/>
              <w:bottom w:val="single" w:sz="4" w:space="0" w:color="auto"/>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-2,21</w:t>
            </w:r>
          </w:p>
        </w:tc>
        <w:tc>
          <w:tcPr>
            <w:tcW w:w="1192" w:type="dxa"/>
            <w:tcBorders>
              <w:top w:val="nil"/>
              <w:left w:val="nil"/>
              <w:bottom w:val="single" w:sz="4" w:space="0" w:color="auto"/>
              <w:right w:val="nil"/>
            </w:tcBorders>
            <w:shd w:val="clear" w:color="000000" w:fill="BFBFB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-1,04</w:t>
            </w:r>
          </w:p>
        </w:tc>
        <w:tc>
          <w:tcPr>
            <w:tcW w:w="1133" w:type="dxa"/>
            <w:tcBorders>
              <w:top w:val="nil"/>
              <w:left w:val="nil"/>
              <w:bottom w:val="single" w:sz="4" w:space="0" w:color="auto"/>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-1,29</w:t>
            </w:r>
          </w:p>
        </w:tc>
        <w:tc>
          <w:tcPr>
            <w:tcW w:w="1076" w:type="dxa"/>
            <w:tcBorders>
              <w:top w:val="nil"/>
              <w:left w:val="nil"/>
              <w:bottom w:val="single" w:sz="4" w:space="0" w:color="auto"/>
              <w:right w:val="nil"/>
            </w:tcBorders>
            <w:shd w:val="clear" w:color="000000" w:fill="FFFFFF"/>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r w:rsidRPr="001222C2">
              <w:rPr>
                <w:rFonts w:ascii="Times New Roman" w:hAnsi="Times New Roman"/>
                <w:b/>
                <w:bCs/>
                <w:sz w:val="20"/>
                <w:szCs w:val="20"/>
                <w:lang w:eastAsia="sk-SK"/>
              </w:rPr>
              <w:t>0,25</w:t>
            </w:r>
          </w:p>
        </w:tc>
      </w:tr>
      <w:tr>
        <w:tblPrEx>
          <w:tblW w:w="8212" w:type="dxa"/>
          <w:tblInd w:w="70" w:type="dxa"/>
          <w:tblCellMar>
            <w:left w:w="70" w:type="dxa"/>
            <w:right w:w="70" w:type="dxa"/>
          </w:tblCellMar>
          <w:tblLook w:val="04A0"/>
        </w:tblPrEx>
        <w:trPr>
          <w:trHeight w:val="330"/>
        </w:trPr>
        <w:tc>
          <w:tcPr>
            <w:tcW w:w="2235" w:type="dxa"/>
            <w:tcBorders>
              <w:top w:val="nil"/>
              <w:left w:val="nil"/>
              <w:bottom w:val="nil"/>
              <w:right w:val="nil"/>
            </w:tcBorders>
            <w:noWrap/>
            <w:textDirection w:val="lrTb"/>
            <w:vAlign w:val="center"/>
            <w:hideMark/>
          </w:tcPr>
          <w:p w:rsidR="001222C2" w:rsidRPr="001222C2" w:rsidP="001222C2">
            <w:pPr>
              <w:bidi w:val="0"/>
              <w:spacing w:after="0" w:line="240" w:lineRule="auto"/>
              <w:jc w:val="right"/>
              <w:rPr>
                <w:rFonts w:ascii="Times New Roman" w:hAnsi="Times New Roman"/>
                <w:b/>
                <w:bCs/>
                <w:sz w:val="20"/>
                <w:szCs w:val="20"/>
                <w:lang w:eastAsia="sk-SK"/>
              </w:rPr>
            </w:pPr>
          </w:p>
        </w:tc>
        <w:tc>
          <w:tcPr>
            <w:tcW w:w="1384" w:type="dxa"/>
            <w:tcBorders>
              <w:top w:val="nil"/>
              <w:left w:val="nil"/>
              <w:bottom w:val="nil"/>
              <w:right w:val="nil"/>
            </w:tcBorders>
            <w:textDirection w:val="lrTb"/>
            <w:vAlign w:val="center"/>
            <w:hideMark/>
          </w:tcPr>
          <w:p w:rsidR="001222C2" w:rsidRPr="001222C2" w:rsidP="001222C2">
            <w:pPr>
              <w:bidi w:val="0"/>
              <w:spacing w:after="0" w:line="240" w:lineRule="auto"/>
              <w:jc w:val="left"/>
              <w:rPr>
                <w:rFonts w:ascii="Times New Roman" w:hAnsi="Times New Roman"/>
                <w:sz w:val="20"/>
                <w:szCs w:val="20"/>
                <w:lang w:eastAsia="sk-SK"/>
              </w:rPr>
            </w:pPr>
          </w:p>
        </w:tc>
        <w:tc>
          <w:tcPr>
            <w:tcW w:w="1192" w:type="dxa"/>
            <w:tcBorders>
              <w:top w:val="nil"/>
              <w:left w:val="nil"/>
              <w:bottom w:val="nil"/>
              <w:right w:val="nil"/>
            </w:tcBorders>
            <w:textDirection w:val="lrTb"/>
            <w:vAlign w:val="center"/>
            <w:hideMark/>
          </w:tcPr>
          <w:p w:rsidR="001222C2" w:rsidRPr="001222C2" w:rsidP="001222C2">
            <w:pPr>
              <w:bidi w:val="0"/>
              <w:spacing w:after="0" w:line="240" w:lineRule="auto"/>
              <w:jc w:val="left"/>
              <w:rPr>
                <w:rFonts w:ascii="Times New Roman" w:hAnsi="Times New Roman"/>
                <w:sz w:val="20"/>
                <w:szCs w:val="20"/>
                <w:lang w:eastAsia="sk-SK"/>
              </w:rPr>
            </w:pPr>
          </w:p>
        </w:tc>
        <w:tc>
          <w:tcPr>
            <w:tcW w:w="1192" w:type="dxa"/>
            <w:tcBorders>
              <w:top w:val="nil"/>
              <w:left w:val="nil"/>
              <w:bottom w:val="nil"/>
              <w:right w:val="nil"/>
            </w:tcBorders>
            <w:textDirection w:val="lrTb"/>
            <w:vAlign w:val="center"/>
            <w:hideMark/>
          </w:tcPr>
          <w:p w:rsidR="001222C2" w:rsidRPr="001222C2" w:rsidP="001222C2">
            <w:pPr>
              <w:bidi w:val="0"/>
              <w:spacing w:after="0" w:line="240" w:lineRule="auto"/>
              <w:jc w:val="left"/>
              <w:rPr>
                <w:rFonts w:ascii="Times New Roman" w:hAnsi="Times New Roman"/>
                <w:sz w:val="20"/>
                <w:szCs w:val="20"/>
                <w:lang w:eastAsia="sk-SK"/>
              </w:rPr>
            </w:pPr>
          </w:p>
        </w:tc>
        <w:tc>
          <w:tcPr>
            <w:tcW w:w="1133" w:type="dxa"/>
            <w:tcBorders>
              <w:top w:val="nil"/>
              <w:left w:val="nil"/>
              <w:bottom w:val="nil"/>
              <w:right w:val="nil"/>
            </w:tcBorders>
            <w:textDirection w:val="lrTb"/>
            <w:vAlign w:val="center"/>
            <w:hideMark/>
          </w:tcPr>
          <w:p w:rsidR="001222C2" w:rsidRPr="001222C2" w:rsidP="001222C2">
            <w:pPr>
              <w:bidi w:val="0"/>
              <w:spacing w:after="0" w:line="240" w:lineRule="auto"/>
              <w:jc w:val="left"/>
              <w:rPr>
                <w:rFonts w:ascii="Times New Roman" w:hAnsi="Times New Roman"/>
                <w:sz w:val="20"/>
                <w:szCs w:val="20"/>
                <w:lang w:eastAsia="sk-SK"/>
              </w:rPr>
            </w:pPr>
          </w:p>
        </w:tc>
        <w:tc>
          <w:tcPr>
            <w:tcW w:w="1076" w:type="dxa"/>
            <w:tcBorders>
              <w:top w:val="nil"/>
              <w:left w:val="nil"/>
              <w:bottom w:val="nil"/>
              <w:right w:val="nil"/>
            </w:tcBorders>
            <w:noWrap/>
            <w:textDirection w:val="lrTb"/>
            <w:vAlign w:val="top"/>
            <w:hideMark/>
          </w:tcPr>
          <w:p w:rsidR="001222C2" w:rsidRPr="001222C2" w:rsidP="001222C2">
            <w:pPr>
              <w:bidi w:val="0"/>
              <w:spacing w:after="0" w:line="240" w:lineRule="auto"/>
              <w:jc w:val="right"/>
              <w:rPr>
                <w:rFonts w:ascii="Times New Roman" w:hAnsi="Times New Roman"/>
                <w:sz w:val="16"/>
                <w:szCs w:val="16"/>
                <w:lang w:eastAsia="sk-SK"/>
              </w:rPr>
            </w:pPr>
            <w:r w:rsidRPr="001222C2">
              <w:rPr>
                <w:rFonts w:ascii="Times New Roman" w:hAnsi="Times New Roman"/>
                <w:sz w:val="16"/>
                <w:szCs w:val="16"/>
                <w:lang w:eastAsia="sk-SK"/>
              </w:rPr>
              <w:t>Zdroj: MF SR</w:t>
            </w:r>
          </w:p>
        </w:tc>
      </w:tr>
    </w:tbl>
    <w:p w:rsidR="009F6786" w:rsidRPr="00F36078" w:rsidP="009F6786">
      <w:pPr>
        <w:bidi w:val="0"/>
        <w:spacing w:line="240" w:lineRule="auto"/>
        <w:rPr>
          <w:rFonts w:ascii="Times New Roman" w:hAnsi="Times New Roman"/>
          <w:sz w:val="18"/>
          <w:szCs w:val="18"/>
        </w:rPr>
      </w:pPr>
      <w:r w:rsidRPr="00F36078">
        <w:rPr>
          <w:rFonts w:ascii="Times New Roman" w:hAnsi="Times New Roman"/>
          <w:sz w:val="18"/>
          <w:szCs w:val="18"/>
          <w:vertAlign w:val="superscript"/>
        </w:rPr>
        <w:t>1)</w:t>
      </w:r>
      <w:r w:rsidRPr="00F36078">
        <w:rPr>
          <w:rFonts w:ascii="Times New Roman" w:hAnsi="Times New Roman"/>
          <w:sz w:val="18"/>
          <w:szCs w:val="18"/>
        </w:rPr>
        <w:t xml:space="preserve"> Údaje nezahŕňajú príjmy a výdavky spoločnosti JAVYS a.</w:t>
      </w:r>
      <w:r w:rsidR="00FC7C66">
        <w:rPr>
          <w:rFonts w:ascii="Times New Roman" w:hAnsi="Times New Roman"/>
          <w:sz w:val="18"/>
          <w:szCs w:val="18"/>
        </w:rPr>
        <w:t xml:space="preserve"> </w:t>
      </w:r>
      <w:r w:rsidRPr="00F36078">
        <w:rPr>
          <w:rFonts w:ascii="Times New Roman" w:hAnsi="Times New Roman"/>
          <w:sz w:val="18"/>
          <w:szCs w:val="18"/>
        </w:rPr>
        <w:t>s. v roku 2015.</w:t>
      </w:r>
    </w:p>
    <w:p w:rsidR="00F36078" w:rsidRPr="00223682" w:rsidP="000A162C">
      <w:pPr>
        <w:bidi w:val="0"/>
        <w:rPr>
          <w:rFonts w:ascii="Times New Roman" w:hAnsi="Times New Roman"/>
          <w:color w:val="FF0000"/>
          <w:szCs w:val="22"/>
        </w:rPr>
      </w:pPr>
      <w:r w:rsidRPr="00223682">
        <w:rPr>
          <w:rFonts w:ascii="Times New Roman" w:hAnsi="Times New Roman"/>
          <w:b/>
          <w:szCs w:val="22"/>
        </w:rPr>
        <w:t>Príjmy verejnej správy</w:t>
      </w:r>
      <w:r w:rsidRPr="00223682">
        <w:rPr>
          <w:rFonts w:ascii="Times New Roman" w:hAnsi="Times New Roman"/>
          <w:szCs w:val="22"/>
        </w:rPr>
        <w:t xml:space="preserve"> boli oproti rozpočtovanej hodnote v roku 2017 </w:t>
      </w:r>
      <w:r>
        <w:rPr>
          <w:rFonts w:ascii="Times New Roman" w:hAnsi="Times New Roman"/>
          <w:szCs w:val="22"/>
        </w:rPr>
        <w:t xml:space="preserve">úhrnom </w:t>
      </w:r>
      <w:r w:rsidRPr="00223682">
        <w:rPr>
          <w:rFonts w:ascii="Times New Roman" w:hAnsi="Times New Roman"/>
          <w:szCs w:val="22"/>
        </w:rPr>
        <w:t>vyššie o </w:t>
      </w:r>
      <w:r w:rsidR="00FA32D8">
        <w:rPr>
          <w:rFonts w:ascii="Times New Roman" w:hAnsi="Times New Roman"/>
          <w:szCs w:val="22"/>
        </w:rPr>
        <w:t>36 053</w:t>
      </w:r>
      <w:r w:rsidRPr="00223682">
        <w:rPr>
          <w:rFonts w:ascii="Times New Roman" w:hAnsi="Times New Roman"/>
          <w:szCs w:val="22"/>
        </w:rPr>
        <w:t xml:space="preserve"> tis. eur, z toho najvyšší nárast oproti rozpočtovaným príjmom mali </w:t>
      </w:r>
      <w:r w:rsidRPr="00017EF2">
        <w:rPr>
          <w:rFonts w:ascii="Times New Roman" w:hAnsi="Times New Roman"/>
          <w:szCs w:val="22"/>
        </w:rPr>
        <w:t xml:space="preserve">daňové a poistné príjmy </w:t>
      </w:r>
      <w:r w:rsidR="00566F4F">
        <w:rPr>
          <w:rFonts w:ascii="Times New Roman" w:hAnsi="Times New Roman"/>
          <w:szCs w:val="22"/>
        </w:rPr>
        <w:br/>
      </w:r>
      <w:r w:rsidRPr="00017EF2">
        <w:rPr>
          <w:rFonts w:ascii="Times New Roman" w:hAnsi="Times New Roman"/>
          <w:szCs w:val="22"/>
        </w:rPr>
        <w:t xml:space="preserve">o 249 185 tis. eur. V roku 2017 boli </w:t>
      </w:r>
      <w:r w:rsidRPr="00017EF2">
        <w:rPr>
          <w:rFonts w:ascii="Times New Roman" w:hAnsi="Times New Roman"/>
          <w:b/>
          <w:szCs w:val="22"/>
        </w:rPr>
        <w:t>výdavky verejnej správy</w:t>
      </w:r>
      <w:r w:rsidRPr="00017EF2">
        <w:rPr>
          <w:rFonts w:ascii="Times New Roman" w:hAnsi="Times New Roman"/>
          <w:szCs w:val="22"/>
        </w:rPr>
        <w:t xml:space="preserve"> nižšie oproti rozpočtovanej hodnote o </w:t>
      </w:r>
      <w:r w:rsidR="00470FCA">
        <w:rPr>
          <w:rFonts w:ascii="Times New Roman" w:hAnsi="Times New Roman"/>
          <w:szCs w:val="22"/>
        </w:rPr>
        <w:t>162 971</w:t>
      </w:r>
      <w:r w:rsidRPr="00017EF2">
        <w:rPr>
          <w:rFonts w:ascii="Times New Roman" w:hAnsi="Times New Roman"/>
          <w:szCs w:val="22"/>
        </w:rPr>
        <w:t xml:space="preserve"> tis. eur, z toho najvyšší pokles oproti rozpočtovaným výdavkom mali kapitálové výdavky </w:t>
      </w:r>
      <w:r>
        <w:rPr>
          <w:rFonts w:ascii="Times New Roman" w:hAnsi="Times New Roman"/>
          <w:szCs w:val="22"/>
        </w:rPr>
        <w:t>o</w:t>
      </w:r>
      <w:r w:rsidRPr="00223682">
        <w:rPr>
          <w:rFonts w:ascii="Times New Roman" w:hAnsi="Times New Roman"/>
          <w:szCs w:val="22"/>
        </w:rPr>
        <w:t xml:space="preserve"> </w:t>
      </w:r>
      <w:r w:rsidR="00470FCA">
        <w:rPr>
          <w:rFonts w:ascii="Times New Roman" w:hAnsi="Times New Roman"/>
          <w:szCs w:val="22"/>
        </w:rPr>
        <w:t>570 868</w:t>
      </w:r>
      <w:r w:rsidRPr="00223682">
        <w:rPr>
          <w:rFonts w:ascii="Times New Roman" w:hAnsi="Times New Roman"/>
          <w:szCs w:val="22"/>
        </w:rPr>
        <w:t xml:space="preserve"> tis. eur.</w:t>
      </w:r>
    </w:p>
    <w:tbl>
      <w:tblPr>
        <w:tblStyle w:val="TableNormal"/>
        <w:tblW w:w="5000" w:type="pct"/>
        <w:tblLayout w:type="fixed"/>
        <w:tblCellMar>
          <w:left w:w="70" w:type="dxa"/>
          <w:right w:w="70" w:type="dxa"/>
        </w:tblCellMar>
        <w:tblLook w:val="04A0"/>
      </w:tblPr>
      <w:tblGrid>
        <w:gridCol w:w="3329"/>
        <w:gridCol w:w="1445"/>
        <w:gridCol w:w="1105"/>
        <w:gridCol w:w="995"/>
        <w:gridCol w:w="1136"/>
        <w:gridCol w:w="918"/>
      </w:tblGrid>
      <w:tr>
        <w:tblPrEx>
          <w:tblW w:w="5000" w:type="pct"/>
          <w:tblLayout w:type="fixed"/>
          <w:tblCellMar>
            <w:left w:w="70" w:type="dxa"/>
            <w:right w:w="70" w:type="dxa"/>
          </w:tblCellMar>
          <w:tblLook w:val="04A0"/>
        </w:tblPrEx>
        <w:trPr>
          <w:trHeight w:hRule="exact" w:val="284"/>
        </w:trPr>
        <w:tc>
          <w:tcPr>
            <w:tcW w:w="5000" w:type="pct"/>
            <w:gridSpan w:val="6"/>
            <w:tcBorders>
              <w:top w:val="nil"/>
              <w:left w:val="nil"/>
              <w:bottom w:val="none" w:sz="0" w:space="0" w:color="auto"/>
              <w:right w:val="nil"/>
            </w:tcBorders>
            <w:shd w:val="clear" w:color="auto" w:fill="000000"/>
            <w:noWrap/>
            <w:textDirection w:val="lrTb"/>
            <w:vAlign w:val="center"/>
            <w:hideMark/>
          </w:tcPr>
          <w:p w:rsidR="00A63247" w:rsidRPr="00223682" w:rsidP="004B1438">
            <w:pPr>
              <w:bidi w:val="0"/>
              <w:rPr>
                <w:rFonts w:ascii="Times New Roman" w:hAnsi="Times New Roman"/>
                <w:b/>
                <w:bCs/>
                <w:color w:val="FFFFFF"/>
                <w:sz w:val="20"/>
                <w:szCs w:val="20"/>
              </w:rPr>
            </w:pPr>
            <w:r w:rsidRPr="00223682">
              <w:rPr>
                <w:rFonts w:ascii="Times New Roman" w:hAnsi="Times New Roman"/>
                <w:b/>
                <w:bCs/>
                <w:color w:val="FFFFFF"/>
                <w:sz w:val="20"/>
                <w:szCs w:val="20"/>
              </w:rPr>
              <w:t>Daňové a odvodové príjmy verejnej správy v roku 2017 podľa ESA 2010                                   v tis. eur</w:t>
            </w:r>
          </w:p>
        </w:tc>
      </w:tr>
      <w:tr>
        <w:tblPrEx>
          <w:tblW w:w="5000" w:type="pct"/>
          <w:tblLayout w:type="fixed"/>
          <w:tblCellMar>
            <w:left w:w="70" w:type="dxa"/>
            <w:right w:w="70" w:type="dxa"/>
          </w:tblCellMar>
          <w:tblLook w:val="04A0"/>
        </w:tblPrEx>
        <w:trPr>
          <w:trHeight w:val="656"/>
        </w:trPr>
        <w:tc>
          <w:tcPr>
            <w:tcW w:w="1865" w:type="pct"/>
            <w:tcBorders>
              <w:top w:val="nil"/>
              <w:left w:val="nil"/>
              <w:bottom w:val="single" w:sz="4" w:space="0" w:color="auto"/>
              <w:right w:val="nil"/>
            </w:tcBorders>
            <w:shd w:val="clear" w:color="auto" w:fill="BFBFBF"/>
            <w:noWrap/>
            <w:textDirection w:val="lrTb"/>
            <w:vAlign w:val="center"/>
            <w:hideMark/>
          </w:tcPr>
          <w:p w:rsidR="00A63247" w:rsidRPr="00223682" w:rsidP="004B1438">
            <w:pPr>
              <w:bidi w:val="0"/>
              <w:rPr>
                <w:rFonts w:ascii="Times New Roman" w:hAnsi="Times New Roman"/>
                <w:b/>
                <w:bCs/>
                <w:sz w:val="18"/>
                <w:szCs w:val="18"/>
              </w:rPr>
            </w:pPr>
            <w:r w:rsidRPr="00223682">
              <w:rPr>
                <w:rFonts w:ascii="Times New Roman" w:hAnsi="Times New Roman"/>
                <w:b/>
                <w:bCs/>
                <w:sz w:val="18"/>
                <w:szCs w:val="18"/>
              </w:rPr>
              <w:t xml:space="preserve">    </w:t>
            </w:r>
          </w:p>
        </w:tc>
        <w:tc>
          <w:tcPr>
            <w:tcW w:w="809" w:type="pct"/>
            <w:tcBorders>
              <w:top w:val="nil"/>
              <w:left w:val="nil"/>
              <w:bottom w:val="single" w:sz="4" w:space="0" w:color="auto"/>
              <w:right w:val="nil"/>
            </w:tcBorders>
            <w:shd w:val="clear" w:color="auto" w:fill="BFBFBF"/>
            <w:textDirection w:val="lrTb"/>
            <w:vAlign w:val="center"/>
            <w:hideMark/>
          </w:tcPr>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kód ESA 2010</w:t>
            </w:r>
          </w:p>
        </w:tc>
        <w:tc>
          <w:tcPr>
            <w:tcW w:w="619" w:type="pct"/>
            <w:tcBorders>
              <w:top w:val="nil"/>
              <w:left w:val="nil"/>
              <w:bottom w:val="single" w:sz="4" w:space="0" w:color="auto"/>
              <w:right w:val="nil"/>
            </w:tcBorders>
            <w:shd w:val="clear" w:color="auto" w:fill="BFBFBF"/>
            <w:textDirection w:val="lrTb"/>
            <w:vAlign w:val="center"/>
            <w:hideMark/>
          </w:tcPr>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2017</w:t>
            </w:r>
          </w:p>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 xml:space="preserve">Skutočnosť </w:t>
            </w:r>
          </w:p>
        </w:tc>
        <w:tc>
          <w:tcPr>
            <w:tcW w:w="557" w:type="pct"/>
            <w:tcBorders>
              <w:top w:val="nil"/>
              <w:left w:val="nil"/>
              <w:bottom w:val="single" w:sz="4" w:space="0" w:color="auto"/>
              <w:right w:val="nil"/>
            </w:tcBorders>
            <w:shd w:val="clear" w:color="auto" w:fill="BFBFBF"/>
            <w:textDirection w:val="lrTb"/>
            <w:vAlign w:val="center"/>
            <w:hideMark/>
          </w:tcPr>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2017</w:t>
            </w:r>
          </w:p>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 xml:space="preserve">Rozpočet </w:t>
            </w:r>
          </w:p>
        </w:tc>
        <w:tc>
          <w:tcPr>
            <w:tcW w:w="636" w:type="pct"/>
            <w:tcBorders>
              <w:top w:val="nil"/>
              <w:left w:val="nil"/>
              <w:bottom w:val="single" w:sz="4" w:space="0" w:color="auto"/>
              <w:right w:val="nil"/>
            </w:tcBorders>
            <w:shd w:val="clear" w:color="auto" w:fill="BFBFBF"/>
            <w:textDirection w:val="lrTb"/>
            <w:vAlign w:val="center"/>
            <w:hideMark/>
          </w:tcPr>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2017             (S - R)</w:t>
            </w:r>
          </w:p>
        </w:tc>
        <w:tc>
          <w:tcPr>
            <w:tcW w:w="514" w:type="pct"/>
            <w:tcBorders>
              <w:top w:val="nil"/>
              <w:left w:val="nil"/>
              <w:bottom w:val="single" w:sz="4" w:space="0" w:color="auto"/>
              <w:right w:val="nil"/>
            </w:tcBorders>
            <w:shd w:val="clear" w:color="auto" w:fill="BFBFBF"/>
            <w:textDirection w:val="lrTb"/>
            <w:vAlign w:val="center"/>
            <w:hideMark/>
          </w:tcPr>
          <w:p w:rsidR="00A63247" w:rsidRPr="00223682" w:rsidP="004B1438">
            <w:pPr>
              <w:bidi w:val="0"/>
              <w:jc w:val="center"/>
              <w:rPr>
                <w:rFonts w:ascii="Times New Roman" w:hAnsi="Times New Roman"/>
                <w:b/>
                <w:bCs/>
                <w:sz w:val="18"/>
                <w:szCs w:val="18"/>
              </w:rPr>
            </w:pPr>
            <w:r w:rsidRPr="00223682">
              <w:rPr>
                <w:rFonts w:ascii="Times New Roman" w:hAnsi="Times New Roman"/>
                <w:b/>
                <w:bCs/>
                <w:sz w:val="18"/>
                <w:szCs w:val="18"/>
              </w:rPr>
              <w:t>Rozdiel             (% HDP)</w:t>
            </w:r>
          </w:p>
        </w:tc>
      </w:tr>
      <w:tr>
        <w:tblPrEx>
          <w:tblW w:w="5000" w:type="pct"/>
          <w:tblLayout w:type="fixed"/>
          <w:tblCellMar>
            <w:left w:w="70" w:type="dxa"/>
            <w:right w:w="70" w:type="dxa"/>
          </w:tblCellMar>
          <w:tblLook w:val="04A0"/>
        </w:tblPrEx>
        <w:trPr>
          <w:trHeight w:val="330"/>
        </w:trPr>
        <w:tc>
          <w:tcPr>
            <w:tcW w:w="1865" w:type="pct"/>
            <w:tcBorders>
              <w:top w:val="nil"/>
              <w:left w:val="nil"/>
              <w:bottom w:val="single" w:sz="4" w:space="0" w:color="auto"/>
              <w:right w:val="nil"/>
            </w:tcBorders>
            <w:noWrap/>
            <w:textDirection w:val="lrTb"/>
            <w:vAlign w:val="center"/>
            <w:hideMark/>
          </w:tcPr>
          <w:p w:rsidR="00A63247" w:rsidRPr="00223682" w:rsidP="004B1438">
            <w:pPr>
              <w:bidi w:val="0"/>
              <w:spacing w:after="0"/>
              <w:rPr>
                <w:rFonts w:ascii="Times New Roman" w:hAnsi="Times New Roman"/>
                <w:b/>
                <w:bCs/>
                <w:color w:val="000000"/>
                <w:sz w:val="18"/>
                <w:szCs w:val="18"/>
              </w:rPr>
            </w:pPr>
            <w:r w:rsidRPr="00223682">
              <w:rPr>
                <w:rFonts w:ascii="Times New Roman" w:hAnsi="Times New Roman"/>
                <w:b/>
                <w:bCs/>
                <w:color w:val="000000"/>
                <w:sz w:val="18"/>
                <w:szCs w:val="18"/>
              </w:rPr>
              <w:t>Daňové príjmy</w:t>
            </w:r>
          </w:p>
        </w:tc>
        <w:tc>
          <w:tcPr>
            <w:tcW w:w="809" w:type="pct"/>
            <w:tcBorders>
              <w:top w:val="nil"/>
              <w:left w:val="nil"/>
              <w:bottom w:val="single" w:sz="4" w:space="0" w:color="auto"/>
              <w:right w:val="nil"/>
            </w:tcBorders>
            <w:noWrap/>
            <w:textDirection w:val="lrTb"/>
            <w:vAlign w:val="center"/>
            <w:hideMark/>
          </w:tcPr>
          <w:p w:rsidR="00A63247" w:rsidRPr="00223682" w:rsidP="004B1438">
            <w:pPr>
              <w:bidi w:val="0"/>
              <w:spacing w:after="0"/>
              <w:jc w:val="center"/>
              <w:rPr>
                <w:rFonts w:ascii="Times New Roman" w:hAnsi="Times New Roman"/>
                <w:b/>
                <w:bCs/>
                <w:sz w:val="18"/>
                <w:szCs w:val="18"/>
              </w:rPr>
            </w:pPr>
            <w:r w:rsidRPr="00223682">
              <w:rPr>
                <w:rFonts w:ascii="Times New Roman" w:hAnsi="Times New Roman"/>
                <w:b/>
                <w:bCs/>
                <w:sz w:val="18"/>
                <w:szCs w:val="18"/>
              </w:rPr>
              <w:t>D.2+D.5+D.91</w:t>
            </w:r>
          </w:p>
        </w:tc>
        <w:tc>
          <w:tcPr>
            <w:tcW w:w="619" w:type="pct"/>
            <w:tcBorders>
              <w:top w:val="single" w:sz="4" w:space="0" w:color="auto"/>
              <w:left w:val="nil"/>
              <w:bottom w:val="single" w:sz="4" w:space="0" w:color="auto"/>
              <w:right w:val="nil"/>
            </w:tcBorders>
            <w:shd w:val="clear" w:color="auto" w:fill="BFBFBF"/>
            <w:noWrap/>
            <w:textDirection w:val="lrTb"/>
            <w:vAlign w:val="center"/>
            <w:hideMark/>
          </w:tcPr>
          <w:p w:rsidR="00A63247" w:rsidRPr="00223682" w:rsidP="004B1438">
            <w:pPr>
              <w:bidi w:val="0"/>
              <w:spacing w:after="0"/>
              <w:jc w:val="right"/>
              <w:rPr>
                <w:rFonts w:ascii="Times New Roman" w:hAnsi="Times New Roman"/>
                <w:b/>
                <w:bCs/>
                <w:sz w:val="18"/>
                <w:szCs w:val="18"/>
              </w:rPr>
            </w:pPr>
            <w:r w:rsidRPr="00223682">
              <w:rPr>
                <w:rFonts w:ascii="Times New Roman" w:hAnsi="Times New Roman"/>
                <w:b/>
                <w:bCs/>
                <w:sz w:val="18"/>
                <w:szCs w:val="18"/>
              </w:rPr>
              <w:t>15 344 189</w:t>
            </w:r>
          </w:p>
        </w:tc>
        <w:tc>
          <w:tcPr>
            <w:tcW w:w="557" w:type="pct"/>
            <w:tcBorders>
              <w:top w:val="nil"/>
              <w:left w:val="nil"/>
              <w:bottom w:val="single" w:sz="4" w:space="0" w:color="auto"/>
              <w:right w:val="nil"/>
            </w:tcBorders>
            <w:noWrap/>
            <w:textDirection w:val="lrTb"/>
            <w:vAlign w:val="center"/>
            <w:hideMark/>
          </w:tcPr>
          <w:p w:rsidR="00A63247" w:rsidRPr="00223682" w:rsidP="004B1438">
            <w:pPr>
              <w:bidi w:val="0"/>
              <w:spacing w:after="0"/>
              <w:jc w:val="right"/>
              <w:rPr>
                <w:rFonts w:ascii="Times New Roman" w:hAnsi="Times New Roman"/>
                <w:b/>
                <w:bCs/>
                <w:sz w:val="18"/>
                <w:szCs w:val="18"/>
              </w:rPr>
            </w:pPr>
            <w:r w:rsidRPr="00223682">
              <w:rPr>
                <w:rFonts w:ascii="Times New Roman" w:hAnsi="Times New Roman"/>
                <w:b/>
                <w:bCs/>
                <w:sz w:val="18"/>
                <w:szCs w:val="18"/>
              </w:rPr>
              <w:t>15 594 230</w:t>
            </w:r>
          </w:p>
        </w:tc>
        <w:tc>
          <w:tcPr>
            <w:tcW w:w="636" w:type="pct"/>
            <w:tcBorders>
              <w:top w:val="nil"/>
              <w:left w:val="nil"/>
              <w:bottom w:val="single" w:sz="4" w:space="0" w:color="auto"/>
              <w:right w:val="nil"/>
            </w:tcBorders>
            <w:noWrap/>
            <w:textDirection w:val="lrTb"/>
            <w:vAlign w:val="center"/>
            <w:hideMark/>
          </w:tcPr>
          <w:p w:rsidR="00A63247" w:rsidRPr="00223682" w:rsidP="004B1438">
            <w:pPr>
              <w:bidi w:val="0"/>
              <w:spacing w:after="0"/>
              <w:jc w:val="right"/>
              <w:rPr>
                <w:rFonts w:ascii="Times New Roman" w:hAnsi="Times New Roman"/>
                <w:b/>
                <w:bCs/>
                <w:sz w:val="18"/>
                <w:szCs w:val="18"/>
              </w:rPr>
            </w:pPr>
            <w:r w:rsidRPr="00223682">
              <w:rPr>
                <w:rFonts w:ascii="Times New Roman" w:hAnsi="Times New Roman"/>
                <w:b/>
                <w:bCs/>
                <w:sz w:val="18"/>
                <w:szCs w:val="18"/>
              </w:rPr>
              <w:t>-250 041</w:t>
            </w:r>
          </w:p>
        </w:tc>
        <w:tc>
          <w:tcPr>
            <w:tcW w:w="514" w:type="pct"/>
            <w:tcBorders>
              <w:top w:val="nil"/>
              <w:left w:val="nil"/>
              <w:bottom w:val="single" w:sz="4" w:space="0" w:color="auto"/>
              <w:right w:val="nil"/>
            </w:tcBorders>
            <w:noWrap/>
            <w:textDirection w:val="lrTb"/>
            <w:vAlign w:val="center"/>
            <w:hideMark/>
          </w:tcPr>
          <w:p w:rsidR="00A63247" w:rsidRPr="00223682" w:rsidP="004B1438">
            <w:pPr>
              <w:bidi w:val="0"/>
              <w:spacing w:after="0"/>
              <w:jc w:val="right"/>
              <w:rPr>
                <w:rFonts w:ascii="Times New Roman" w:hAnsi="Times New Roman"/>
                <w:b/>
                <w:bCs/>
                <w:sz w:val="18"/>
                <w:szCs w:val="18"/>
              </w:rPr>
            </w:pPr>
            <w:r w:rsidRPr="00223682">
              <w:rPr>
                <w:rFonts w:ascii="Times New Roman" w:hAnsi="Times New Roman"/>
                <w:b/>
                <w:bCs/>
                <w:sz w:val="18"/>
                <w:szCs w:val="18"/>
              </w:rPr>
              <w:t>-0,29</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Dane z produkcie a dovozu</w:t>
            </w:r>
          </w:p>
        </w:tc>
        <w:tc>
          <w:tcPr>
            <w:tcW w:w="809" w:type="pct"/>
            <w:tcBorders>
              <w:top w:val="nil"/>
              <w:left w:val="nil"/>
              <w:bottom w:val="nil"/>
              <w:right w:val="nil"/>
            </w:tcBorders>
            <w:noWrap/>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D.2</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9 291 959</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9 138 441</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153 518</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0,18</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Daň z pridanej hodnoty</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 xml:space="preserve">D.211 </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5 957 889</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5 759 704</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198 185</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0,23</w:t>
            </w:r>
          </w:p>
        </w:tc>
      </w:tr>
      <w:tr>
        <w:tblPrEx>
          <w:tblW w:w="5000" w:type="pct"/>
          <w:tblLayout w:type="fixed"/>
          <w:tblCellMar>
            <w:left w:w="70" w:type="dxa"/>
            <w:right w:w="70" w:type="dxa"/>
          </w:tblCellMar>
          <w:tblLook w:val="04A0"/>
        </w:tblPrEx>
        <w:trPr>
          <w:trHeight w:hRule="exact" w:val="502"/>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Spotrebné dane</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D.214A + D.2122C</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2 250 888</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2 259 753</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-8 865</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-0,01</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 toho: minerálny olej</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1 229 542</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1 215 702</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13 840</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0,02</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 toho: tabak a tabakové výrobky</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710 688</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732 519</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-21 831</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-0,03</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Dane z majetku a iné</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 xml:space="preserve">D.29A </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245 895</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241 744</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4 151</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0,00</w:t>
            </w:r>
          </w:p>
        </w:tc>
      </w:tr>
      <w:tr>
        <w:tblPrEx>
          <w:tblW w:w="5000" w:type="pct"/>
          <w:tblLayout w:type="fixed"/>
          <w:tblCellMar>
            <w:left w:w="70" w:type="dxa"/>
            <w:right w:w="70" w:type="dxa"/>
          </w:tblCellMar>
          <w:tblLook w:val="04A0"/>
        </w:tblPrEx>
        <w:trPr>
          <w:trHeight w:hRule="exact" w:val="590"/>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Ostatné dane a poplatky</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D.214 (B-L) + D29 (B,E,F,H)</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837 287</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877 240</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-39 953</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-0,05</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 toho: OO z finančných inštitúcií</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D29H</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127 284</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126 692</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592</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0,00</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Bežné dane z dôchodkov, majetku</w:t>
            </w:r>
          </w:p>
        </w:tc>
        <w:tc>
          <w:tcPr>
            <w:tcW w:w="809" w:type="pct"/>
            <w:tcBorders>
              <w:top w:val="nil"/>
              <w:left w:val="nil"/>
              <w:bottom w:val="nil"/>
              <w:right w:val="nil"/>
            </w:tcBorders>
            <w:noWrap/>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D.5</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6 052 230</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6 455 789</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-403 559</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-0,47</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Daň z príjmov fyzických osôb</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 xml:space="preserve">D.51A </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2 876 845</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2 802 818</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74 027</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0,09</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zo závislej činnosti</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2 746 625</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2 668 252</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78 373</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0,09</w:t>
            </w:r>
          </w:p>
        </w:tc>
      </w:tr>
      <w:tr>
        <w:tblPrEx>
          <w:tblW w:w="5000" w:type="pct"/>
          <w:tblLayout w:type="fixed"/>
          <w:tblCellMar>
            <w:left w:w="70" w:type="dxa"/>
            <w:right w:w="70" w:type="dxa"/>
          </w:tblCellMar>
          <w:tblLook w:val="04A0"/>
        </w:tblPrEx>
        <w:trPr>
          <w:trHeight w:hRule="exact" w:val="584"/>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 podnikania a inej sam. zár. </w:t>
            </w:r>
            <w:r>
              <w:rPr>
                <w:rFonts w:ascii="Times New Roman" w:hAnsi="Times New Roman"/>
                <w:color w:val="000000"/>
                <w:sz w:val="18"/>
                <w:szCs w:val="18"/>
              </w:rPr>
              <w:br/>
              <w:t xml:space="preserve">                 </w:t>
            </w:r>
            <w:r w:rsidRPr="00223682">
              <w:rPr>
                <w:rFonts w:ascii="Times New Roman" w:hAnsi="Times New Roman"/>
                <w:color w:val="000000"/>
                <w:sz w:val="18"/>
                <w:szCs w:val="18"/>
              </w:rPr>
              <w:t>činnosti</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130 066</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134 566</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-4 500</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-0,01</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Daň z príjmov právnických osôb</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 xml:space="preserve">D.51B </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2 726 201</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3 195 887</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-469 686</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-0,55</w:t>
            </w:r>
          </w:p>
        </w:tc>
      </w:tr>
      <w:tr>
        <w:tblPrEx>
          <w:tblW w:w="5000" w:type="pct"/>
          <w:tblLayout w:type="fixed"/>
          <w:tblCellMar>
            <w:left w:w="70" w:type="dxa"/>
            <w:right w:w="70" w:type="dxa"/>
          </w:tblCellMar>
          <w:tblLook w:val="04A0"/>
        </w:tblPrEx>
        <w:trPr>
          <w:trHeight w:hRule="exact" w:val="541"/>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540" w:firstLineChars="300"/>
              <w:rPr>
                <w:rFonts w:ascii="Times New Roman" w:hAnsi="Times New Roman"/>
                <w:color w:val="000000"/>
                <w:sz w:val="18"/>
                <w:szCs w:val="18"/>
              </w:rPr>
            </w:pPr>
            <w:r w:rsidRPr="00223682">
              <w:rPr>
                <w:rFonts w:ascii="Times New Roman" w:hAnsi="Times New Roman"/>
                <w:color w:val="000000"/>
                <w:sz w:val="18"/>
                <w:szCs w:val="18"/>
              </w:rPr>
              <w:t xml:space="preserve"> - z toho: OO z regulovaných odvetví</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00D12560">
              <w:rPr>
                <w:rFonts w:ascii="Times New Roman" w:hAnsi="Times New Roman"/>
                <w:sz w:val="18"/>
                <w:szCs w:val="18"/>
              </w:rPr>
              <w:t>166 335</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211 600</w:t>
            </w:r>
          </w:p>
        </w:tc>
        <w:tc>
          <w:tcPr>
            <w:tcW w:w="636" w:type="pct"/>
            <w:tcBorders>
              <w:top w:val="nil"/>
              <w:left w:val="nil"/>
              <w:bottom w:val="nil"/>
              <w:right w:val="nil"/>
            </w:tcBorders>
            <w:noWrap/>
            <w:textDirection w:val="lrTb"/>
            <w:vAlign w:val="center"/>
            <w:hideMark/>
          </w:tcPr>
          <w:p w:rsidR="00F36078" w:rsidRPr="00223682" w:rsidP="00D12560">
            <w:pPr>
              <w:bidi w:val="0"/>
              <w:spacing w:after="0"/>
              <w:jc w:val="right"/>
              <w:rPr>
                <w:rFonts w:ascii="Times New Roman" w:hAnsi="Times New Roman"/>
                <w:sz w:val="18"/>
                <w:szCs w:val="18"/>
              </w:rPr>
            </w:pPr>
            <w:r w:rsidRPr="00223682">
              <w:rPr>
                <w:rFonts w:ascii="Times New Roman" w:hAnsi="Times New Roman"/>
                <w:sz w:val="18"/>
                <w:szCs w:val="18"/>
              </w:rPr>
              <w:t>-</w:t>
            </w:r>
            <w:r w:rsidR="00D12560">
              <w:rPr>
                <w:rFonts w:ascii="Times New Roman" w:hAnsi="Times New Roman"/>
                <w:sz w:val="18"/>
                <w:szCs w:val="18"/>
              </w:rPr>
              <w:t>45 265</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w:t>
            </w:r>
            <w:r w:rsidR="00D12560">
              <w:rPr>
                <w:rFonts w:ascii="Times New Roman" w:hAnsi="Times New Roman"/>
                <w:sz w:val="18"/>
                <w:szCs w:val="18"/>
              </w:rPr>
              <w:t>5</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Daň z príjmov vyberaná zrážkou </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D.51E</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178 431</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190 024</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-11 593</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-0,01</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Dane z majetku a iné</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D.59A</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114 813</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111 367</w:t>
            </w:r>
          </w:p>
        </w:tc>
        <w:tc>
          <w:tcPr>
            <w:tcW w:w="636"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3 446</w:t>
            </w:r>
          </w:p>
        </w:tc>
        <w:tc>
          <w:tcPr>
            <w:tcW w:w="514"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0,00</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one" w:sz="0" w:space="0" w:color="auto"/>
              <w:right w:val="nil"/>
            </w:tcBorders>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 xml:space="preserve">   - Ostatné dane a poplatky</w:t>
            </w:r>
          </w:p>
        </w:tc>
        <w:tc>
          <w:tcPr>
            <w:tcW w:w="809" w:type="pct"/>
            <w:tcBorders>
              <w:top w:val="nil"/>
              <w:left w:val="nil"/>
              <w:bottom w:val="none" w:sz="0" w:space="0" w:color="auto"/>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D.59D</w:t>
            </w:r>
          </w:p>
        </w:tc>
        <w:tc>
          <w:tcPr>
            <w:tcW w:w="619" w:type="pct"/>
            <w:tcBorders>
              <w:top w:val="nil"/>
              <w:left w:val="nil"/>
              <w:bottom w:val="none" w:sz="0" w:space="0" w:color="auto"/>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155 940</w:t>
            </w:r>
          </w:p>
        </w:tc>
        <w:tc>
          <w:tcPr>
            <w:tcW w:w="557" w:type="pct"/>
            <w:tcBorders>
              <w:top w:val="nil"/>
              <w:left w:val="nil"/>
              <w:bottom w:val="none" w:sz="0"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155 693</w:t>
            </w:r>
          </w:p>
        </w:tc>
        <w:tc>
          <w:tcPr>
            <w:tcW w:w="636" w:type="pct"/>
            <w:tcBorders>
              <w:top w:val="nil"/>
              <w:left w:val="nil"/>
              <w:bottom w:val="none" w:sz="0"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247</w:t>
            </w:r>
          </w:p>
        </w:tc>
        <w:tc>
          <w:tcPr>
            <w:tcW w:w="514" w:type="pct"/>
            <w:tcBorders>
              <w:top w:val="nil"/>
              <w:left w:val="nil"/>
              <w:bottom w:val="none" w:sz="0"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0,00</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single" w:sz="4" w:space="0" w:color="auto"/>
              <w:right w:val="nil"/>
            </w:tcBorders>
            <w:noWrap/>
            <w:textDirection w:val="lrTb"/>
            <w:vAlign w:val="center"/>
            <w:hideMark/>
          </w:tcPr>
          <w:p w:rsidR="00F36078" w:rsidRPr="00223682" w:rsidP="000A162C">
            <w:pPr>
              <w:bidi w:val="0"/>
              <w:spacing w:after="0"/>
              <w:rPr>
                <w:rFonts w:ascii="Times New Roman" w:hAnsi="Times New Roman"/>
                <w:color w:val="000000"/>
                <w:sz w:val="18"/>
                <w:szCs w:val="18"/>
              </w:rPr>
            </w:pPr>
            <w:r w:rsidRPr="00223682">
              <w:rPr>
                <w:rFonts w:ascii="Times New Roman" w:hAnsi="Times New Roman"/>
                <w:color w:val="000000"/>
                <w:sz w:val="18"/>
                <w:szCs w:val="18"/>
              </w:rPr>
              <w:t>Dane z kapitálu</w:t>
            </w:r>
          </w:p>
        </w:tc>
        <w:tc>
          <w:tcPr>
            <w:tcW w:w="809" w:type="pct"/>
            <w:tcBorders>
              <w:top w:val="nil"/>
              <w:left w:val="nil"/>
              <w:bottom w:val="single" w:sz="4" w:space="0" w:color="auto"/>
              <w:right w:val="nil"/>
            </w:tcBorders>
            <w:noWrap/>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D.91</w:t>
            </w:r>
          </w:p>
        </w:tc>
        <w:tc>
          <w:tcPr>
            <w:tcW w:w="619" w:type="pct"/>
            <w:tcBorders>
              <w:top w:val="nil"/>
              <w:left w:val="nil"/>
              <w:bottom w:val="single" w:sz="4" w:space="0" w:color="auto"/>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w:t>
            </w:r>
          </w:p>
        </w:tc>
        <w:tc>
          <w:tcPr>
            <w:tcW w:w="557" w:type="pct"/>
            <w:tcBorders>
              <w:top w:val="nil"/>
              <w:left w:val="nil"/>
              <w:bottom w:val="single" w:sz="4"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w:t>
            </w:r>
          </w:p>
        </w:tc>
        <w:tc>
          <w:tcPr>
            <w:tcW w:w="636" w:type="pct"/>
            <w:tcBorders>
              <w:top w:val="nil"/>
              <w:left w:val="nil"/>
              <w:bottom w:val="single" w:sz="4"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w:t>
            </w:r>
          </w:p>
        </w:tc>
        <w:tc>
          <w:tcPr>
            <w:tcW w:w="514" w:type="pct"/>
            <w:tcBorders>
              <w:top w:val="nil"/>
              <w:left w:val="nil"/>
              <w:bottom w:val="single" w:sz="4" w:space="0" w:color="auto"/>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0,00</w:t>
            </w:r>
          </w:p>
        </w:tc>
      </w:tr>
      <w:tr>
        <w:tblPrEx>
          <w:tblW w:w="5000" w:type="pct"/>
          <w:tblLayout w:type="fixed"/>
          <w:tblCellMar>
            <w:left w:w="70" w:type="dxa"/>
            <w:right w:w="70" w:type="dxa"/>
          </w:tblCellMar>
          <w:tblLook w:val="04A0"/>
        </w:tblPrEx>
        <w:trPr>
          <w:trHeight w:val="330"/>
        </w:trPr>
        <w:tc>
          <w:tcPr>
            <w:tcW w:w="1865"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rPr>
                <w:rFonts w:ascii="Times New Roman" w:hAnsi="Times New Roman"/>
                <w:b/>
                <w:bCs/>
                <w:color w:val="000000"/>
                <w:sz w:val="18"/>
                <w:szCs w:val="18"/>
              </w:rPr>
            </w:pPr>
            <w:r w:rsidRPr="00223682">
              <w:rPr>
                <w:rFonts w:ascii="Times New Roman" w:hAnsi="Times New Roman"/>
                <w:b/>
                <w:bCs/>
                <w:color w:val="000000"/>
                <w:sz w:val="18"/>
                <w:szCs w:val="18"/>
              </w:rPr>
              <w:t>Príspevky na sociálne zabezpečenie (odvody)</w:t>
            </w:r>
          </w:p>
        </w:tc>
        <w:tc>
          <w:tcPr>
            <w:tcW w:w="809"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jc w:val="center"/>
              <w:rPr>
                <w:rFonts w:ascii="Times New Roman" w:hAnsi="Times New Roman"/>
                <w:bCs/>
                <w:sz w:val="18"/>
                <w:szCs w:val="18"/>
              </w:rPr>
            </w:pPr>
            <w:r w:rsidRPr="00223682">
              <w:rPr>
                <w:rFonts w:ascii="Times New Roman" w:hAnsi="Times New Roman"/>
                <w:bCs/>
                <w:sz w:val="18"/>
                <w:szCs w:val="18"/>
              </w:rPr>
              <w:t>D.61</w:t>
            </w:r>
          </w:p>
        </w:tc>
        <w:tc>
          <w:tcPr>
            <w:tcW w:w="619" w:type="pct"/>
            <w:tcBorders>
              <w:top w:val="single" w:sz="4" w:space="0" w:color="auto"/>
              <w:left w:val="nil"/>
              <w:bottom w:val="single" w:sz="4" w:space="0" w:color="auto"/>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b/>
                <w:bCs/>
                <w:sz w:val="18"/>
                <w:szCs w:val="18"/>
              </w:rPr>
              <w:t>10 432 957</w:t>
            </w:r>
          </w:p>
        </w:tc>
        <w:tc>
          <w:tcPr>
            <w:tcW w:w="557"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b/>
                <w:bCs/>
                <w:sz w:val="18"/>
                <w:szCs w:val="18"/>
              </w:rPr>
              <w:t>10 138 137</w:t>
            </w:r>
          </w:p>
        </w:tc>
        <w:tc>
          <w:tcPr>
            <w:tcW w:w="636" w:type="pct"/>
            <w:tcBorders>
              <w:top w:val="single" w:sz="4" w:space="0" w:color="auto"/>
              <w:left w:val="nil"/>
              <w:bottom w:val="single" w:sz="4" w:space="0" w:color="auto"/>
              <w:right w:val="nil"/>
            </w:tcBorders>
            <w:noWrap/>
            <w:textDirection w:val="lrTb"/>
            <w:vAlign w:val="center"/>
            <w:hideMark/>
          </w:tcPr>
          <w:p w:rsidR="00F36078" w:rsidRPr="00017EF2" w:rsidP="000A162C">
            <w:pPr>
              <w:bidi w:val="0"/>
              <w:spacing w:after="0"/>
              <w:jc w:val="right"/>
              <w:rPr>
                <w:rFonts w:ascii="Times New Roman" w:hAnsi="Times New Roman"/>
                <w:b/>
                <w:bCs/>
                <w:sz w:val="18"/>
                <w:szCs w:val="18"/>
              </w:rPr>
            </w:pPr>
            <w:r w:rsidRPr="00017EF2">
              <w:rPr>
                <w:rFonts w:ascii="Times New Roman" w:hAnsi="Times New Roman"/>
                <w:b/>
                <w:bCs/>
                <w:sz w:val="18"/>
                <w:szCs w:val="18"/>
              </w:rPr>
              <w:t>294 820</w:t>
            </w:r>
          </w:p>
        </w:tc>
        <w:tc>
          <w:tcPr>
            <w:tcW w:w="514" w:type="pct"/>
            <w:tcBorders>
              <w:top w:val="single" w:sz="4" w:space="0" w:color="auto"/>
              <w:left w:val="nil"/>
              <w:bottom w:val="single" w:sz="4" w:space="0" w:color="auto"/>
              <w:right w:val="nil"/>
            </w:tcBorders>
            <w:noWrap/>
            <w:textDirection w:val="lrTb"/>
            <w:vAlign w:val="center"/>
            <w:hideMark/>
          </w:tcPr>
          <w:p w:rsidR="00F36078" w:rsidRPr="00017EF2" w:rsidP="000A162C">
            <w:pPr>
              <w:bidi w:val="0"/>
              <w:spacing w:after="0"/>
              <w:jc w:val="right"/>
              <w:rPr>
                <w:rFonts w:ascii="Times New Roman" w:hAnsi="Times New Roman"/>
                <w:b/>
                <w:bCs/>
                <w:sz w:val="18"/>
                <w:szCs w:val="18"/>
              </w:rPr>
            </w:pPr>
            <w:r w:rsidRPr="00017EF2">
              <w:rPr>
                <w:rFonts w:ascii="Times New Roman" w:hAnsi="Times New Roman"/>
                <w:b/>
                <w:bCs/>
                <w:sz w:val="18"/>
                <w:szCs w:val="18"/>
              </w:rPr>
              <w:t>0,35</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180" w:firstLineChars="100"/>
              <w:rPr>
                <w:rFonts w:ascii="Times New Roman" w:hAnsi="Times New Roman"/>
                <w:color w:val="000000"/>
                <w:sz w:val="18"/>
                <w:szCs w:val="18"/>
              </w:rPr>
            </w:pPr>
            <w:r w:rsidRPr="00223682">
              <w:rPr>
                <w:rFonts w:ascii="Times New Roman" w:hAnsi="Times New Roman"/>
                <w:color w:val="000000"/>
                <w:sz w:val="18"/>
                <w:szCs w:val="18"/>
              </w:rPr>
              <w:t>Sociálne odvody</w:t>
            </w:r>
            <w:r w:rsidRPr="00223682">
              <w:rPr>
                <w:rFonts w:ascii="Times New Roman" w:hAnsi="Times New Roman"/>
                <w:color w:val="000000"/>
                <w:sz w:val="18"/>
                <w:szCs w:val="18"/>
                <w:vertAlign w:val="superscript"/>
              </w:rPr>
              <w:t>1)</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7 103 878</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6 934 675</w:t>
            </w:r>
          </w:p>
        </w:tc>
        <w:tc>
          <w:tcPr>
            <w:tcW w:w="636" w:type="pct"/>
            <w:tcBorders>
              <w:top w:val="nil"/>
              <w:left w:val="nil"/>
              <w:bottom w:val="nil"/>
              <w:right w:val="nil"/>
            </w:tcBorders>
            <w:noWrap/>
            <w:textDirection w:val="lrTb"/>
            <w:vAlign w:val="center"/>
            <w:hideMark/>
          </w:tcPr>
          <w:p w:rsidR="00F36078" w:rsidRPr="00017EF2" w:rsidP="000A162C">
            <w:pPr>
              <w:bidi w:val="0"/>
              <w:spacing w:after="0"/>
              <w:jc w:val="right"/>
              <w:rPr>
                <w:rFonts w:ascii="Times New Roman" w:hAnsi="Times New Roman"/>
                <w:sz w:val="18"/>
                <w:szCs w:val="18"/>
              </w:rPr>
            </w:pPr>
            <w:r w:rsidRPr="00017EF2">
              <w:rPr>
                <w:rFonts w:ascii="Times New Roman" w:hAnsi="Times New Roman"/>
                <w:sz w:val="18"/>
                <w:szCs w:val="18"/>
              </w:rPr>
              <w:t>169 203</w:t>
            </w:r>
          </w:p>
        </w:tc>
        <w:tc>
          <w:tcPr>
            <w:tcW w:w="514" w:type="pct"/>
            <w:tcBorders>
              <w:top w:val="nil"/>
              <w:left w:val="nil"/>
              <w:bottom w:val="nil"/>
              <w:right w:val="nil"/>
            </w:tcBorders>
            <w:noWrap/>
            <w:textDirection w:val="lrTb"/>
            <w:vAlign w:val="center"/>
            <w:hideMark/>
          </w:tcPr>
          <w:p w:rsidR="00F36078" w:rsidRPr="00017EF2" w:rsidP="000A162C">
            <w:pPr>
              <w:bidi w:val="0"/>
              <w:spacing w:after="0"/>
              <w:jc w:val="right"/>
              <w:rPr>
                <w:rFonts w:ascii="Times New Roman" w:hAnsi="Times New Roman"/>
                <w:sz w:val="18"/>
                <w:szCs w:val="18"/>
              </w:rPr>
            </w:pPr>
            <w:r w:rsidRPr="00017EF2">
              <w:rPr>
                <w:rFonts w:ascii="Times New Roman" w:hAnsi="Times New Roman"/>
                <w:sz w:val="18"/>
                <w:szCs w:val="18"/>
              </w:rPr>
              <w:t>0,20</w:t>
            </w:r>
          </w:p>
        </w:tc>
      </w:tr>
      <w:tr>
        <w:tblPrEx>
          <w:tblW w:w="5000" w:type="pct"/>
          <w:tblLayout w:type="fixed"/>
          <w:tblCellMar>
            <w:left w:w="70" w:type="dxa"/>
            <w:right w:w="70" w:type="dxa"/>
          </w:tblCellMar>
          <w:tblLook w:val="04A0"/>
        </w:tblPrEx>
        <w:trPr>
          <w:trHeight w:hRule="exact" w:val="255"/>
        </w:trPr>
        <w:tc>
          <w:tcPr>
            <w:tcW w:w="1865" w:type="pct"/>
            <w:tcBorders>
              <w:top w:val="nil"/>
              <w:left w:val="nil"/>
              <w:bottom w:val="nil"/>
              <w:right w:val="nil"/>
            </w:tcBorders>
            <w:noWrap/>
            <w:textDirection w:val="lrTb"/>
            <w:vAlign w:val="center"/>
            <w:hideMark/>
          </w:tcPr>
          <w:p w:rsidR="00F36078" w:rsidRPr="00223682" w:rsidP="000A162C">
            <w:pPr>
              <w:bidi w:val="0"/>
              <w:spacing w:after="0"/>
              <w:ind w:firstLine="180" w:firstLineChars="100"/>
              <w:rPr>
                <w:rFonts w:ascii="Times New Roman" w:hAnsi="Times New Roman"/>
                <w:color w:val="000000"/>
                <w:sz w:val="18"/>
                <w:szCs w:val="18"/>
              </w:rPr>
            </w:pPr>
            <w:r w:rsidRPr="00223682">
              <w:rPr>
                <w:rFonts w:ascii="Times New Roman" w:hAnsi="Times New Roman"/>
                <w:color w:val="000000"/>
                <w:sz w:val="18"/>
                <w:szCs w:val="18"/>
              </w:rPr>
              <w:t xml:space="preserve">Zdravotné odvody </w:t>
            </w:r>
            <w:r w:rsidRPr="00223682">
              <w:rPr>
                <w:rFonts w:ascii="Times New Roman" w:hAnsi="Times New Roman"/>
                <w:color w:val="000000"/>
                <w:sz w:val="18"/>
                <w:szCs w:val="18"/>
                <w:vertAlign w:val="superscript"/>
              </w:rPr>
              <w:t>2)</w:t>
            </w:r>
          </w:p>
        </w:tc>
        <w:tc>
          <w:tcPr>
            <w:tcW w:w="809" w:type="pct"/>
            <w:tcBorders>
              <w:top w:val="nil"/>
              <w:left w:val="nil"/>
              <w:bottom w:val="nil"/>
              <w:right w:val="nil"/>
            </w:tcBorders>
            <w:textDirection w:val="lrTb"/>
            <w:vAlign w:val="center"/>
            <w:hideMark/>
          </w:tcPr>
          <w:p w:rsidR="00F36078" w:rsidRPr="00223682" w:rsidP="000A162C">
            <w:pPr>
              <w:bidi w:val="0"/>
              <w:spacing w:after="0"/>
              <w:jc w:val="center"/>
              <w:rPr>
                <w:rFonts w:ascii="Times New Roman" w:hAnsi="Times New Roman"/>
                <w:sz w:val="18"/>
                <w:szCs w:val="18"/>
              </w:rPr>
            </w:pPr>
            <w:r w:rsidRPr="00223682">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3 329 078</w:t>
            </w:r>
          </w:p>
        </w:tc>
        <w:tc>
          <w:tcPr>
            <w:tcW w:w="557" w:type="pct"/>
            <w:tcBorders>
              <w:top w:val="nil"/>
              <w:left w:val="nil"/>
              <w:bottom w:val="nil"/>
              <w:right w:val="nil"/>
            </w:tcBorders>
            <w:noWrap/>
            <w:textDirection w:val="lrTb"/>
            <w:vAlign w:val="center"/>
            <w:hideMark/>
          </w:tcPr>
          <w:p w:rsidR="00F36078" w:rsidRPr="00223682" w:rsidP="000A162C">
            <w:pPr>
              <w:bidi w:val="0"/>
              <w:spacing w:after="0"/>
              <w:jc w:val="right"/>
              <w:rPr>
                <w:rFonts w:ascii="Times New Roman" w:hAnsi="Times New Roman"/>
                <w:sz w:val="18"/>
                <w:szCs w:val="18"/>
              </w:rPr>
            </w:pPr>
            <w:r w:rsidRPr="00223682">
              <w:rPr>
                <w:rFonts w:ascii="Times New Roman" w:hAnsi="Times New Roman"/>
                <w:sz w:val="18"/>
                <w:szCs w:val="18"/>
              </w:rPr>
              <w:t>3 203 462</w:t>
            </w:r>
          </w:p>
        </w:tc>
        <w:tc>
          <w:tcPr>
            <w:tcW w:w="636" w:type="pct"/>
            <w:tcBorders>
              <w:top w:val="nil"/>
              <w:left w:val="nil"/>
              <w:bottom w:val="nil"/>
              <w:right w:val="nil"/>
            </w:tcBorders>
            <w:noWrap/>
            <w:textDirection w:val="lrTb"/>
            <w:vAlign w:val="center"/>
            <w:hideMark/>
          </w:tcPr>
          <w:p w:rsidR="00F36078" w:rsidRPr="00017EF2" w:rsidP="000A162C">
            <w:pPr>
              <w:bidi w:val="0"/>
              <w:spacing w:after="0"/>
              <w:jc w:val="right"/>
              <w:rPr>
                <w:rFonts w:ascii="Times New Roman" w:hAnsi="Times New Roman"/>
                <w:sz w:val="18"/>
                <w:szCs w:val="18"/>
              </w:rPr>
            </w:pPr>
            <w:r w:rsidRPr="00017EF2">
              <w:rPr>
                <w:rFonts w:ascii="Times New Roman" w:hAnsi="Times New Roman"/>
                <w:sz w:val="18"/>
                <w:szCs w:val="18"/>
              </w:rPr>
              <w:t>125 616</w:t>
            </w:r>
          </w:p>
        </w:tc>
        <w:tc>
          <w:tcPr>
            <w:tcW w:w="514" w:type="pct"/>
            <w:tcBorders>
              <w:top w:val="nil"/>
              <w:left w:val="nil"/>
              <w:bottom w:val="nil"/>
              <w:right w:val="nil"/>
            </w:tcBorders>
            <w:noWrap/>
            <w:textDirection w:val="lrTb"/>
            <w:vAlign w:val="center"/>
            <w:hideMark/>
          </w:tcPr>
          <w:p w:rsidR="00F36078" w:rsidRPr="00017EF2" w:rsidP="000A162C">
            <w:pPr>
              <w:bidi w:val="0"/>
              <w:spacing w:after="0"/>
              <w:jc w:val="right"/>
              <w:rPr>
                <w:rFonts w:ascii="Times New Roman" w:hAnsi="Times New Roman"/>
                <w:sz w:val="18"/>
                <w:szCs w:val="18"/>
              </w:rPr>
            </w:pPr>
            <w:r w:rsidRPr="00017EF2">
              <w:rPr>
                <w:rFonts w:ascii="Times New Roman" w:hAnsi="Times New Roman"/>
                <w:sz w:val="18"/>
                <w:szCs w:val="18"/>
              </w:rPr>
              <w:t>0,15</w:t>
            </w:r>
          </w:p>
        </w:tc>
      </w:tr>
      <w:tr>
        <w:tblPrEx>
          <w:tblW w:w="5000" w:type="pct"/>
          <w:tblLayout w:type="fixed"/>
          <w:tblCellMar>
            <w:left w:w="70" w:type="dxa"/>
            <w:right w:w="70" w:type="dxa"/>
          </w:tblCellMar>
          <w:tblLook w:val="04A0"/>
        </w:tblPrEx>
        <w:trPr>
          <w:trHeight w:val="330"/>
        </w:trPr>
        <w:tc>
          <w:tcPr>
            <w:tcW w:w="1865"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rPr>
                <w:rFonts w:ascii="Times New Roman" w:hAnsi="Times New Roman"/>
                <w:b/>
                <w:bCs/>
                <w:color w:val="000000"/>
                <w:sz w:val="18"/>
                <w:szCs w:val="18"/>
              </w:rPr>
            </w:pPr>
            <w:r w:rsidRPr="00223682">
              <w:rPr>
                <w:rFonts w:ascii="Times New Roman" w:hAnsi="Times New Roman"/>
                <w:b/>
                <w:bCs/>
                <w:color w:val="000000"/>
                <w:sz w:val="18"/>
                <w:szCs w:val="18"/>
              </w:rPr>
              <w:t>Spolu daňové a odvodové príjmy</w:t>
            </w:r>
          </w:p>
        </w:tc>
        <w:tc>
          <w:tcPr>
            <w:tcW w:w="809"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rPr>
                <w:rFonts w:ascii="Times New Roman" w:hAnsi="Times New Roman"/>
                <w:b/>
                <w:bCs/>
                <w:color w:val="000000"/>
                <w:sz w:val="18"/>
                <w:szCs w:val="18"/>
              </w:rPr>
            </w:pPr>
            <w:r w:rsidRPr="00223682">
              <w:rPr>
                <w:rFonts w:ascii="Times New Roman" w:hAnsi="Times New Roman"/>
                <w:b/>
                <w:bCs/>
                <w:color w:val="000000"/>
                <w:sz w:val="18"/>
                <w:szCs w:val="18"/>
              </w:rPr>
              <w:t> </w:t>
            </w:r>
          </w:p>
        </w:tc>
        <w:tc>
          <w:tcPr>
            <w:tcW w:w="619" w:type="pct"/>
            <w:tcBorders>
              <w:top w:val="single" w:sz="4" w:space="0" w:color="auto"/>
              <w:left w:val="nil"/>
              <w:bottom w:val="single" w:sz="4" w:space="0" w:color="auto"/>
              <w:right w:val="nil"/>
            </w:tcBorders>
            <w:shd w:val="clear" w:color="auto" w:fill="BFBFBF"/>
            <w:noWrap/>
            <w:textDirection w:val="lrTb"/>
            <w:vAlign w:val="center"/>
            <w:hideMark/>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b/>
                <w:bCs/>
                <w:sz w:val="18"/>
                <w:szCs w:val="18"/>
              </w:rPr>
              <w:t>25 777 146</w:t>
            </w:r>
          </w:p>
        </w:tc>
        <w:tc>
          <w:tcPr>
            <w:tcW w:w="557" w:type="pct"/>
            <w:tcBorders>
              <w:top w:val="single" w:sz="4" w:space="0" w:color="auto"/>
              <w:left w:val="nil"/>
              <w:bottom w:val="single" w:sz="4" w:space="0" w:color="auto"/>
              <w:right w:val="nil"/>
            </w:tcBorders>
            <w:noWrap/>
            <w:textDirection w:val="lrTb"/>
            <w:vAlign w:val="center"/>
            <w:hideMark/>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b/>
                <w:bCs/>
                <w:sz w:val="18"/>
                <w:szCs w:val="18"/>
              </w:rPr>
              <w:t>25 732 367</w:t>
            </w:r>
          </w:p>
        </w:tc>
        <w:tc>
          <w:tcPr>
            <w:tcW w:w="636" w:type="pct"/>
            <w:tcBorders>
              <w:top w:val="single" w:sz="4" w:space="0" w:color="auto"/>
              <w:left w:val="nil"/>
              <w:bottom w:val="single" w:sz="4" w:space="0" w:color="auto"/>
              <w:right w:val="nil"/>
            </w:tcBorders>
            <w:noWrap/>
            <w:textDirection w:val="lrTb"/>
            <w:vAlign w:val="center"/>
            <w:hideMark/>
          </w:tcPr>
          <w:p w:rsidR="00F36078" w:rsidRPr="00017EF2" w:rsidP="000A162C">
            <w:pPr>
              <w:bidi w:val="0"/>
              <w:spacing w:after="0"/>
              <w:jc w:val="right"/>
              <w:rPr>
                <w:rFonts w:ascii="Times New Roman" w:hAnsi="Times New Roman"/>
                <w:b/>
                <w:bCs/>
                <w:sz w:val="18"/>
                <w:szCs w:val="18"/>
              </w:rPr>
            </w:pPr>
            <w:r w:rsidRPr="00017EF2">
              <w:rPr>
                <w:rFonts w:ascii="Times New Roman" w:hAnsi="Times New Roman"/>
                <w:b/>
                <w:bCs/>
                <w:sz w:val="18"/>
                <w:szCs w:val="18"/>
              </w:rPr>
              <w:t>44 779</w:t>
            </w:r>
          </w:p>
        </w:tc>
        <w:tc>
          <w:tcPr>
            <w:tcW w:w="514" w:type="pct"/>
            <w:tcBorders>
              <w:top w:val="single" w:sz="4" w:space="0" w:color="auto"/>
              <w:left w:val="nil"/>
              <w:bottom w:val="single" w:sz="4" w:space="0" w:color="auto"/>
              <w:right w:val="nil"/>
            </w:tcBorders>
            <w:noWrap/>
            <w:textDirection w:val="lrTb"/>
            <w:vAlign w:val="center"/>
            <w:hideMark/>
          </w:tcPr>
          <w:p w:rsidR="00F36078" w:rsidRPr="00017EF2" w:rsidP="000A162C">
            <w:pPr>
              <w:bidi w:val="0"/>
              <w:spacing w:after="0"/>
              <w:jc w:val="right"/>
              <w:rPr>
                <w:rFonts w:ascii="Times New Roman" w:hAnsi="Times New Roman"/>
                <w:b/>
                <w:bCs/>
                <w:sz w:val="18"/>
                <w:szCs w:val="18"/>
              </w:rPr>
            </w:pPr>
            <w:r w:rsidRPr="00017EF2">
              <w:rPr>
                <w:rFonts w:ascii="Times New Roman" w:hAnsi="Times New Roman"/>
                <w:b/>
                <w:bCs/>
                <w:sz w:val="18"/>
                <w:szCs w:val="18"/>
              </w:rPr>
              <w:t>0,05</w:t>
            </w:r>
          </w:p>
        </w:tc>
      </w:tr>
      <w:tr>
        <w:tblPrEx>
          <w:tblW w:w="5000" w:type="pct"/>
          <w:tblLayout w:type="fixed"/>
          <w:tblCellMar>
            <w:left w:w="70" w:type="dxa"/>
            <w:right w:w="70" w:type="dxa"/>
          </w:tblCellMar>
          <w:tblLook w:val="04A0"/>
        </w:tblPrEx>
        <w:trPr>
          <w:trHeight w:val="330"/>
        </w:trPr>
        <w:tc>
          <w:tcPr>
            <w:tcW w:w="1865" w:type="pct"/>
            <w:tcBorders>
              <w:top w:val="single" w:sz="4" w:space="0" w:color="auto"/>
              <w:left w:val="nil"/>
              <w:bottom w:val="single" w:sz="4" w:space="0" w:color="auto"/>
              <w:right w:val="nil"/>
            </w:tcBorders>
            <w:noWrap/>
            <w:textDirection w:val="lrTb"/>
            <w:vAlign w:val="center"/>
          </w:tcPr>
          <w:p w:rsidR="00F36078" w:rsidRPr="00223682" w:rsidP="000A162C">
            <w:pPr>
              <w:bidi w:val="0"/>
              <w:spacing w:after="0"/>
              <w:rPr>
                <w:rFonts w:ascii="Times New Roman" w:hAnsi="Times New Roman"/>
                <w:bCs/>
                <w:color w:val="000000"/>
                <w:sz w:val="18"/>
                <w:szCs w:val="18"/>
              </w:rPr>
            </w:pPr>
            <w:r w:rsidRPr="00223682">
              <w:rPr>
                <w:rFonts w:ascii="Times New Roman" w:hAnsi="Times New Roman"/>
                <w:bCs/>
                <w:color w:val="000000"/>
                <w:sz w:val="18"/>
                <w:szCs w:val="18"/>
              </w:rPr>
              <w:t>VPÚ + daňové kredity</w:t>
            </w:r>
          </w:p>
        </w:tc>
        <w:tc>
          <w:tcPr>
            <w:tcW w:w="809" w:type="pct"/>
            <w:tcBorders>
              <w:top w:val="single" w:sz="4" w:space="0" w:color="auto"/>
              <w:left w:val="nil"/>
              <w:bottom w:val="single" w:sz="4" w:space="0" w:color="auto"/>
              <w:right w:val="nil"/>
            </w:tcBorders>
            <w:noWrap/>
            <w:textDirection w:val="lrTb"/>
            <w:vAlign w:val="center"/>
          </w:tcPr>
          <w:p w:rsidR="00F36078" w:rsidRPr="00223682" w:rsidP="000A162C">
            <w:pPr>
              <w:bidi w:val="0"/>
              <w:spacing w:after="0"/>
              <w:rPr>
                <w:rFonts w:ascii="Times New Roman" w:hAnsi="Times New Roman"/>
                <w:b/>
                <w:bCs/>
                <w:color w:val="000000"/>
                <w:sz w:val="18"/>
                <w:szCs w:val="18"/>
              </w:rPr>
            </w:pPr>
          </w:p>
        </w:tc>
        <w:tc>
          <w:tcPr>
            <w:tcW w:w="619" w:type="pct"/>
            <w:tcBorders>
              <w:top w:val="single" w:sz="4" w:space="0" w:color="auto"/>
              <w:left w:val="nil"/>
              <w:bottom w:val="single" w:sz="4" w:space="0" w:color="auto"/>
              <w:right w:val="nil"/>
            </w:tcBorders>
            <w:shd w:val="clear" w:color="auto" w:fill="BFBFBF"/>
            <w:noWrap/>
            <w:textDirection w:val="lrTb"/>
            <w:vAlign w:val="center"/>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sz w:val="18"/>
                <w:szCs w:val="18"/>
              </w:rPr>
              <w:t>329 740</w:t>
            </w:r>
          </w:p>
        </w:tc>
        <w:tc>
          <w:tcPr>
            <w:tcW w:w="557" w:type="pct"/>
            <w:tcBorders>
              <w:top w:val="single" w:sz="4" w:space="0" w:color="auto"/>
              <w:left w:val="nil"/>
              <w:bottom w:val="single" w:sz="4" w:space="0" w:color="auto"/>
              <w:right w:val="nil"/>
            </w:tcBorders>
            <w:noWrap/>
            <w:textDirection w:val="lrTb"/>
            <w:vAlign w:val="center"/>
          </w:tcPr>
          <w:p w:rsidR="00F36078" w:rsidRPr="00223682" w:rsidP="000A162C">
            <w:pPr>
              <w:bidi w:val="0"/>
              <w:spacing w:after="0"/>
              <w:jc w:val="right"/>
              <w:rPr>
                <w:rFonts w:ascii="Times New Roman" w:hAnsi="Times New Roman"/>
                <w:b/>
                <w:bCs/>
                <w:sz w:val="18"/>
                <w:szCs w:val="18"/>
              </w:rPr>
            </w:pPr>
            <w:r w:rsidRPr="00223682">
              <w:rPr>
                <w:rFonts w:ascii="Times New Roman" w:hAnsi="Times New Roman"/>
                <w:sz w:val="18"/>
                <w:szCs w:val="18"/>
              </w:rPr>
              <w:t>317 043</w:t>
            </w:r>
          </w:p>
        </w:tc>
        <w:tc>
          <w:tcPr>
            <w:tcW w:w="636" w:type="pct"/>
            <w:tcBorders>
              <w:top w:val="single" w:sz="4" w:space="0" w:color="auto"/>
              <w:left w:val="nil"/>
              <w:bottom w:val="single" w:sz="4" w:space="0" w:color="auto"/>
              <w:right w:val="nil"/>
            </w:tcBorders>
            <w:noWrap/>
            <w:textDirection w:val="lrTb"/>
            <w:vAlign w:val="center"/>
          </w:tcPr>
          <w:p w:rsidR="00F36078" w:rsidRPr="00223682" w:rsidP="000A162C">
            <w:pPr>
              <w:bidi w:val="0"/>
              <w:spacing w:after="0"/>
              <w:ind w:firstLine="360" w:firstLineChars="200"/>
              <w:jc w:val="right"/>
              <w:rPr>
                <w:rFonts w:ascii="Times New Roman" w:hAnsi="Times New Roman"/>
                <w:b/>
                <w:bCs/>
                <w:sz w:val="18"/>
                <w:szCs w:val="18"/>
              </w:rPr>
            </w:pPr>
            <w:r w:rsidRPr="00223682">
              <w:rPr>
                <w:rFonts w:ascii="Times New Roman" w:hAnsi="Times New Roman"/>
                <w:sz w:val="18"/>
                <w:szCs w:val="18"/>
              </w:rPr>
              <w:t>12 697</w:t>
            </w:r>
          </w:p>
        </w:tc>
        <w:tc>
          <w:tcPr>
            <w:tcW w:w="514" w:type="pct"/>
            <w:tcBorders>
              <w:top w:val="single" w:sz="4" w:space="0" w:color="auto"/>
              <w:left w:val="nil"/>
              <w:bottom w:val="single" w:sz="4" w:space="0" w:color="auto"/>
              <w:right w:val="nil"/>
            </w:tcBorders>
            <w:noWrap/>
            <w:textDirection w:val="lrTb"/>
            <w:vAlign w:val="center"/>
          </w:tcPr>
          <w:p w:rsidR="00F36078" w:rsidRPr="00223682" w:rsidP="000A162C">
            <w:pPr>
              <w:bidi w:val="0"/>
              <w:spacing w:after="0"/>
              <w:jc w:val="right"/>
              <w:rPr>
                <w:rFonts w:ascii="Times New Roman" w:hAnsi="Times New Roman"/>
                <w:b/>
                <w:bCs/>
                <w:color w:val="FF0000"/>
                <w:sz w:val="18"/>
                <w:szCs w:val="18"/>
              </w:rPr>
            </w:pPr>
            <w:r w:rsidRPr="00223682">
              <w:rPr>
                <w:rFonts w:ascii="Times New Roman" w:hAnsi="Times New Roman"/>
                <w:sz w:val="18"/>
                <w:szCs w:val="18"/>
              </w:rPr>
              <w:t>0,01</w:t>
            </w:r>
          </w:p>
        </w:tc>
      </w:tr>
      <w:tr>
        <w:tblPrEx>
          <w:tblW w:w="5000" w:type="pct"/>
          <w:tblLayout w:type="fixed"/>
          <w:tblCellMar>
            <w:left w:w="70" w:type="dxa"/>
            <w:right w:w="70" w:type="dxa"/>
          </w:tblCellMar>
          <w:tblLook w:val="04A0"/>
        </w:tblPrEx>
        <w:trPr>
          <w:trHeight w:val="330"/>
        </w:trPr>
        <w:tc>
          <w:tcPr>
            <w:tcW w:w="3850" w:type="pct"/>
            <w:gridSpan w:val="4"/>
            <w:tcBorders>
              <w:top w:val="single" w:sz="4" w:space="0" w:color="auto"/>
              <w:left w:val="nil"/>
              <w:bottom w:val="none" w:sz="0" w:space="0" w:color="auto"/>
              <w:right w:val="nil"/>
            </w:tcBorders>
            <w:noWrap/>
            <w:textDirection w:val="lrTb"/>
            <w:vAlign w:val="center"/>
          </w:tcPr>
          <w:p w:rsidR="00F36078" w:rsidRPr="00223682" w:rsidP="00F36078">
            <w:pPr>
              <w:bidi w:val="0"/>
              <w:spacing w:after="0" w:line="240" w:lineRule="auto"/>
              <w:rPr>
                <w:rFonts w:ascii="Times New Roman" w:hAnsi="Times New Roman"/>
                <w:bCs/>
                <w:color w:val="000000"/>
                <w:sz w:val="16"/>
                <w:szCs w:val="16"/>
              </w:rPr>
            </w:pPr>
            <w:r w:rsidRPr="00223682">
              <w:rPr>
                <w:rFonts w:ascii="Times New Roman" w:hAnsi="Times New Roman"/>
                <w:bCs/>
                <w:color w:val="000000"/>
                <w:sz w:val="16"/>
                <w:szCs w:val="16"/>
              </w:rPr>
              <w:t>1) Príspevky na sociálne zabezpečenie, neobsahujú okrem štátom plateného poistného aj príjmy z odvodov za ozbrojené zložky, penále a imputované poistné.</w:t>
            </w:r>
          </w:p>
        </w:tc>
        <w:tc>
          <w:tcPr>
            <w:tcW w:w="1150" w:type="pct"/>
            <w:gridSpan w:val="2"/>
            <w:tcBorders>
              <w:top w:val="single" w:sz="4" w:space="0" w:color="auto"/>
              <w:left w:val="nil"/>
              <w:bottom w:val="none" w:sz="0" w:space="0" w:color="auto"/>
              <w:right w:val="nil"/>
            </w:tcBorders>
            <w:noWrap/>
            <w:textDirection w:val="lrTb"/>
            <w:vAlign w:val="center"/>
          </w:tcPr>
          <w:p w:rsidR="00F36078" w:rsidRPr="00223682" w:rsidP="000A162C">
            <w:pPr>
              <w:bidi w:val="0"/>
              <w:jc w:val="right"/>
              <w:rPr>
                <w:rFonts w:ascii="Times New Roman" w:hAnsi="Times New Roman"/>
                <w:bCs/>
                <w:color w:val="FF0000"/>
                <w:sz w:val="16"/>
                <w:szCs w:val="16"/>
              </w:rPr>
            </w:pPr>
            <w:r w:rsidRPr="00223682">
              <w:rPr>
                <w:rFonts w:ascii="Times New Roman" w:hAnsi="Times New Roman"/>
                <w:bCs/>
                <w:sz w:val="16"/>
                <w:szCs w:val="16"/>
              </w:rPr>
              <w:t>Zdroj: IFP, MF SR</w:t>
            </w:r>
          </w:p>
        </w:tc>
      </w:tr>
      <w:tr>
        <w:tblPrEx>
          <w:tblW w:w="5000" w:type="pct"/>
          <w:tblLayout w:type="fixed"/>
          <w:tblCellMar>
            <w:left w:w="70" w:type="dxa"/>
            <w:right w:w="70" w:type="dxa"/>
          </w:tblCellMar>
          <w:tblLook w:val="04A0"/>
        </w:tblPrEx>
        <w:trPr>
          <w:trHeight w:val="330"/>
        </w:trPr>
        <w:tc>
          <w:tcPr>
            <w:tcW w:w="3850" w:type="pct"/>
            <w:gridSpan w:val="4"/>
            <w:tcBorders>
              <w:top w:val="none" w:sz="0" w:space="0" w:color="auto"/>
              <w:left w:val="nil"/>
              <w:bottom w:val="none" w:sz="0" w:space="0" w:color="auto"/>
              <w:right w:val="nil"/>
            </w:tcBorders>
            <w:noWrap/>
            <w:textDirection w:val="lrTb"/>
            <w:vAlign w:val="center"/>
          </w:tcPr>
          <w:p w:rsidR="00F36078" w:rsidRPr="00223682" w:rsidP="00F36078">
            <w:pPr>
              <w:bidi w:val="0"/>
              <w:spacing w:after="0" w:line="240" w:lineRule="auto"/>
              <w:ind w:left="45"/>
              <w:rPr>
                <w:rFonts w:ascii="Times New Roman" w:hAnsi="Times New Roman"/>
                <w:b/>
                <w:bCs/>
                <w:sz w:val="16"/>
                <w:szCs w:val="16"/>
              </w:rPr>
            </w:pPr>
            <w:r w:rsidRPr="00223682">
              <w:rPr>
                <w:rFonts w:ascii="Times New Roman" w:hAnsi="Times New Roman"/>
                <w:bCs/>
                <w:color w:val="000000"/>
                <w:sz w:val="16"/>
                <w:szCs w:val="16"/>
              </w:rPr>
              <w:t>2) Zdravotné odvody neobsahujú štátom platené poistné</w:t>
            </w:r>
          </w:p>
        </w:tc>
        <w:tc>
          <w:tcPr>
            <w:tcW w:w="636" w:type="pct"/>
            <w:tcBorders>
              <w:top w:val="none" w:sz="0" w:space="0" w:color="auto"/>
              <w:left w:val="nil"/>
              <w:bottom w:val="none" w:sz="0" w:space="0" w:color="auto"/>
              <w:right w:val="nil"/>
            </w:tcBorders>
            <w:noWrap/>
            <w:textDirection w:val="lrTb"/>
            <w:vAlign w:val="center"/>
          </w:tcPr>
          <w:p w:rsidR="00F36078" w:rsidRPr="00223682" w:rsidP="000A162C">
            <w:pPr>
              <w:bidi w:val="0"/>
              <w:ind w:firstLine="360" w:firstLineChars="200"/>
              <w:jc w:val="right"/>
              <w:rPr>
                <w:rFonts w:ascii="Times New Roman" w:hAnsi="Times New Roman"/>
                <w:b/>
                <w:bCs/>
                <w:sz w:val="18"/>
                <w:szCs w:val="18"/>
              </w:rPr>
            </w:pPr>
          </w:p>
        </w:tc>
        <w:tc>
          <w:tcPr>
            <w:tcW w:w="514" w:type="pct"/>
            <w:tcBorders>
              <w:top w:val="none" w:sz="0" w:space="0" w:color="auto"/>
              <w:left w:val="nil"/>
              <w:bottom w:val="none" w:sz="0" w:space="0" w:color="auto"/>
              <w:right w:val="nil"/>
            </w:tcBorders>
            <w:noWrap/>
            <w:textDirection w:val="lrTb"/>
            <w:vAlign w:val="center"/>
          </w:tcPr>
          <w:p w:rsidR="00F36078" w:rsidRPr="00223682" w:rsidP="000A162C">
            <w:pPr>
              <w:bidi w:val="0"/>
              <w:jc w:val="right"/>
              <w:rPr>
                <w:rFonts w:ascii="Times New Roman" w:hAnsi="Times New Roman"/>
                <w:b/>
                <w:bCs/>
                <w:color w:val="FF0000"/>
                <w:sz w:val="18"/>
                <w:szCs w:val="18"/>
              </w:rPr>
            </w:pPr>
          </w:p>
        </w:tc>
      </w:tr>
    </w:tbl>
    <w:p w:rsidR="00F36078" w:rsidRPr="00223682" w:rsidP="00715E46">
      <w:pPr>
        <w:bidi w:val="0"/>
        <w:spacing w:before="120"/>
        <w:rPr>
          <w:rFonts w:ascii="Times New Roman" w:hAnsi="Times New Roman"/>
          <w:szCs w:val="22"/>
        </w:rPr>
      </w:pPr>
      <w:r w:rsidRPr="00223682">
        <w:rPr>
          <w:rFonts w:ascii="Times New Roman" w:hAnsi="Times New Roman"/>
          <w:b/>
          <w:bCs/>
          <w:color w:val="000000"/>
          <w:szCs w:val="22"/>
        </w:rPr>
        <w:t>Daňové a odvodové príjmy verejnej správy za rok 2017</w:t>
      </w:r>
      <w:r w:rsidRPr="00223682">
        <w:rPr>
          <w:rFonts w:ascii="Times New Roman" w:hAnsi="Times New Roman"/>
          <w:color w:val="000000"/>
          <w:szCs w:val="22"/>
        </w:rPr>
        <w:t xml:space="preserve"> boli oproti schválenému rozpočtu vyššie o</w:t>
      </w:r>
      <w:r>
        <w:rPr>
          <w:rFonts w:ascii="Times New Roman" w:hAnsi="Times New Roman"/>
          <w:color w:val="000000"/>
          <w:szCs w:val="22"/>
        </w:rPr>
        <w:t> </w:t>
      </w:r>
      <w:r>
        <w:rPr>
          <w:rFonts w:ascii="Times New Roman" w:hAnsi="Times New Roman"/>
          <w:bCs/>
          <w:color w:val="000000"/>
          <w:szCs w:val="22"/>
        </w:rPr>
        <w:t xml:space="preserve">249 </w:t>
      </w:r>
      <w:r w:rsidR="00C418E1">
        <w:rPr>
          <w:rFonts w:ascii="Times New Roman" w:hAnsi="Times New Roman"/>
          <w:bCs/>
          <w:color w:val="000000"/>
          <w:szCs w:val="22"/>
        </w:rPr>
        <w:t>961</w:t>
      </w:r>
      <w:r w:rsidRPr="00223682" w:rsidR="00C418E1">
        <w:rPr>
          <w:rFonts w:ascii="Times New Roman" w:hAnsi="Times New Roman"/>
          <w:bCs/>
          <w:color w:val="000000"/>
          <w:szCs w:val="22"/>
        </w:rPr>
        <w:t> </w:t>
      </w:r>
      <w:r w:rsidRPr="00223682">
        <w:rPr>
          <w:rFonts w:ascii="Times New Roman" w:hAnsi="Times New Roman"/>
          <w:bCs/>
          <w:color w:val="000000"/>
          <w:szCs w:val="22"/>
        </w:rPr>
        <w:t>tis. eur</w:t>
      </w:r>
      <w:r>
        <w:rPr>
          <w:rStyle w:val="FootnoteReference"/>
          <w:rFonts w:ascii="Times New Roman" w:hAnsi="Times New Roman"/>
          <w:bCs/>
          <w:color w:val="000000"/>
          <w:szCs w:val="22"/>
          <w:rtl w:val="0"/>
        </w:rPr>
        <w:footnoteReference w:id="3"/>
      </w:r>
      <w:r w:rsidRPr="00223682">
        <w:rPr>
          <w:rFonts w:ascii="Times New Roman" w:hAnsi="Times New Roman"/>
          <w:color w:val="000000"/>
          <w:szCs w:val="22"/>
        </w:rPr>
        <w:t>. L</w:t>
      </w:r>
      <w:r w:rsidRPr="00223682">
        <w:rPr>
          <w:rFonts w:ascii="Times New Roman" w:hAnsi="Times New Roman"/>
          <w:szCs w:val="22"/>
        </w:rPr>
        <w:t xml:space="preserve">epší vývoj na trhu práce pozitívne vplýval na vyšší výnos sociálnych a zdravotných odvodov (o 294 820 tis. eur) aj na vyšší výnos  dane z príjmov fyzických osôb </w:t>
      </w:r>
      <w:r>
        <w:rPr>
          <w:rFonts w:ascii="Times New Roman" w:hAnsi="Times New Roman"/>
          <w:szCs w:val="22"/>
        </w:rPr>
        <w:t>(o</w:t>
      </w:r>
      <w:r w:rsidRPr="00223682">
        <w:rPr>
          <w:rFonts w:ascii="Times New Roman" w:hAnsi="Times New Roman"/>
          <w:szCs w:val="22"/>
        </w:rPr>
        <w:t xml:space="preserve"> 74 027 tis. eur). Vyššia úspešnosť výberu dane prispela najmä k vyššiemu výberu DPH (o 198 185 tis. eur). </w:t>
      </w:r>
      <w:r>
        <w:rPr>
          <w:rFonts w:ascii="Times New Roman" w:hAnsi="Times New Roman"/>
          <w:szCs w:val="22"/>
        </w:rPr>
        <w:t>Naopak r</w:t>
      </w:r>
      <w:r w:rsidRPr="00223682">
        <w:rPr>
          <w:rFonts w:ascii="Times New Roman" w:hAnsi="Times New Roman"/>
          <w:szCs w:val="22"/>
        </w:rPr>
        <w:t>ozpočet sa nenaplnil pri dani z príjmov právnických osôb (o 469 686 tis. eur).</w:t>
      </w:r>
    </w:p>
    <w:p w:rsidR="00F36078" w:rsidRPr="00223682" w:rsidP="000A162C">
      <w:pPr>
        <w:bidi w:val="0"/>
        <w:spacing w:before="120"/>
        <w:rPr>
          <w:rFonts w:ascii="Times New Roman" w:hAnsi="Times New Roman"/>
          <w:szCs w:val="22"/>
        </w:rPr>
      </w:pPr>
      <w:r w:rsidRPr="00223682">
        <w:rPr>
          <w:rFonts w:ascii="Times New Roman" w:hAnsi="Times New Roman"/>
          <w:szCs w:val="22"/>
        </w:rPr>
        <w:t xml:space="preserve">Za vyšším akruálnym výnosom </w:t>
      </w:r>
      <w:r w:rsidRPr="00A7187F">
        <w:rPr>
          <w:rFonts w:ascii="Times New Roman" w:hAnsi="Times New Roman"/>
          <w:b/>
          <w:szCs w:val="22"/>
        </w:rPr>
        <w:t>sociálnych aj zdravotných odvodov</w:t>
      </w:r>
      <w:r w:rsidRPr="00223682">
        <w:rPr>
          <w:rFonts w:ascii="Times New Roman" w:hAnsi="Times New Roman"/>
          <w:szCs w:val="22"/>
        </w:rPr>
        <w:t xml:space="preserve"> je najmä rastúca mzdová báza, s čím sú spojené tak vyššie mzdy ako aj rast zamestnanosti. </w:t>
      </w:r>
      <w:r>
        <w:rPr>
          <w:rFonts w:ascii="Times New Roman" w:hAnsi="Times New Roman"/>
          <w:szCs w:val="22"/>
        </w:rPr>
        <w:t>V slovenskej ekonomike sa v uplynulom roku vytvorilo 51 000 nových pracovných miest (2016: 5</w:t>
      </w:r>
      <w:r w:rsidR="00C418E1">
        <w:rPr>
          <w:rFonts w:ascii="Times New Roman" w:hAnsi="Times New Roman"/>
          <w:szCs w:val="22"/>
        </w:rPr>
        <w:t>4</w:t>
      </w:r>
      <w:r>
        <w:rPr>
          <w:rFonts w:ascii="Times New Roman" w:hAnsi="Times New Roman"/>
          <w:szCs w:val="22"/>
        </w:rPr>
        <w:t xml:space="preserve"> 000). </w:t>
      </w:r>
      <w:r w:rsidRPr="00223682">
        <w:rPr>
          <w:rFonts w:ascii="Times New Roman" w:hAnsi="Times New Roman"/>
          <w:szCs w:val="22"/>
        </w:rPr>
        <w:t xml:space="preserve">Výnos sociálnych odvodov za ekonomicky aktívne osoby oproti rozpočtu vzrástol o 169 203 tis. eur. Skutočný výnos zdravotných odvodov od ekonomicky aktívnych osôb je lepší ako rozpočtovaný o 125 616 tis. eur. Vplyv odvodovej odpočítateľnej položky (OOP) zo zdravotných odvodov, ktorá je v platnosti </w:t>
      </w:r>
      <w:r w:rsidR="00BB5F1C">
        <w:rPr>
          <w:rFonts w:ascii="Times New Roman" w:hAnsi="Times New Roman"/>
          <w:szCs w:val="22"/>
        </w:rPr>
        <w:br/>
      </w:r>
      <w:r w:rsidRPr="00223682">
        <w:rPr>
          <w:rFonts w:ascii="Times New Roman" w:hAnsi="Times New Roman"/>
          <w:szCs w:val="22"/>
        </w:rPr>
        <w:t>od roku 2015, bol oproti rozpočtovanej hodnote nižší o 14 962 tis</w:t>
      </w:r>
      <w:r>
        <w:rPr>
          <w:rFonts w:ascii="Times New Roman" w:hAnsi="Times New Roman"/>
          <w:szCs w:val="22"/>
        </w:rPr>
        <w:t xml:space="preserve">. eur. Od roku 2018 sa OOP </w:t>
      </w:r>
      <w:r w:rsidR="00BB5F1C">
        <w:rPr>
          <w:rFonts w:ascii="Times New Roman" w:hAnsi="Times New Roman"/>
          <w:szCs w:val="22"/>
        </w:rPr>
        <w:br/>
      </w:r>
      <w:r>
        <w:rPr>
          <w:rFonts w:ascii="Times New Roman" w:hAnsi="Times New Roman"/>
          <w:szCs w:val="22"/>
        </w:rPr>
        <w:t>na zdravotné odvody</w:t>
      </w:r>
      <w:r w:rsidRPr="00223682">
        <w:rPr>
          <w:rFonts w:ascii="Times New Roman" w:hAnsi="Times New Roman"/>
          <w:szCs w:val="22"/>
        </w:rPr>
        <w:t xml:space="preserve"> čiastočne ruší</w:t>
      </w:r>
      <w:r>
        <w:rPr>
          <w:rFonts w:ascii="Times New Roman" w:hAnsi="Times New Roman"/>
          <w:szCs w:val="22"/>
        </w:rPr>
        <w:t>, p</w:t>
      </w:r>
      <w:r w:rsidRPr="00223682">
        <w:rPr>
          <w:rFonts w:ascii="Times New Roman" w:hAnsi="Times New Roman"/>
          <w:szCs w:val="22"/>
        </w:rPr>
        <w:t xml:space="preserve">o novom sa OOP vzťahuje iba na odvody zamestnanca. </w:t>
      </w:r>
    </w:p>
    <w:p w:rsidR="00F36078" w:rsidRPr="00223682" w:rsidP="000A162C">
      <w:pPr>
        <w:bidi w:val="0"/>
        <w:spacing w:before="120"/>
        <w:rPr>
          <w:rFonts w:ascii="Times New Roman" w:hAnsi="Times New Roman"/>
          <w:szCs w:val="22"/>
        </w:rPr>
      </w:pPr>
      <w:r w:rsidRPr="00223682">
        <w:rPr>
          <w:rFonts w:ascii="Times New Roman" w:hAnsi="Times New Roman"/>
          <w:szCs w:val="22"/>
        </w:rPr>
        <w:t xml:space="preserve">V prípade </w:t>
      </w:r>
      <w:r w:rsidRPr="00F233ED">
        <w:rPr>
          <w:rFonts w:ascii="Times New Roman" w:hAnsi="Times New Roman"/>
          <w:b/>
          <w:szCs w:val="22"/>
        </w:rPr>
        <w:t>dane z príjmov fyzických osôb</w:t>
      </w:r>
      <w:r w:rsidRPr="00223682">
        <w:rPr>
          <w:rFonts w:ascii="Times New Roman" w:hAnsi="Times New Roman"/>
          <w:szCs w:val="22"/>
        </w:rPr>
        <w:t xml:space="preserve"> (DPFO) sa na celkovom rozdiele oproti rozpočtu vo výške 73 873 tis. eur podieľal najmä výber DPFO zo závislej činnosti v sume 78 373 tis. eur. K vyššiemu výnosu prispel pozitívny vývoj na trhu práce aj vyššia úspešnosť výberu dane. Výnos DPFO z podnikania</w:t>
      </w:r>
      <w:r>
        <w:rPr>
          <w:rStyle w:val="FootnoteReference"/>
          <w:rFonts w:ascii="Times New Roman" w:hAnsi="Times New Roman"/>
          <w:szCs w:val="22"/>
          <w:rtl w:val="0"/>
        </w:rPr>
        <w:footnoteReference w:id="4"/>
      </w:r>
      <w:r w:rsidRPr="00223682">
        <w:rPr>
          <w:rFonts w:ascii="Times New Roman" w:hAnsi="Times New Roman"/>
          <w:szCs w:val="22"/>
        </w:rPr>
        <w:t xml:space="preserve"> bol oproti rozpočtu nižší o 4 500 tis. eur. </w:t>
      </w:r>
    </w:p>
    <w:p w:rsidR="00F36078" w:rsidRPr="00223682" w:rsidP="000A162C">
      <w:pPr>
        <w:bidi w:val="0"/>
        <w:rPr>
          <w:rFonts w:ascii="Times New Roman" w:hAnsi="Times New Roman"/>
          <w:szCs w:val="22"/>
        </w:rPr>
      </w:pPr>
      <w:r w:rsidRPr="00223682">
        <w:rPr>
          <w:rFonts w:ascii="Times New Roman" w:hAnsi="Times New Roman"/>
          <w:szCs w:val="22"/>
        </w:rPr>
        <w:t xml:space="preserve">Výnos </w:t>
      </w:r>
      <w:r w:rsidRPr="00F233ED">
        <w:rPr>
          <w:rFonts w:ascii="Times New Roman" w:hAnsi="Times New Roman"/>
          <w:b/>
          <w:szCs w:val="22"/>
        </w:rPr>
        <w:t>dane z príjmov právnických osôb</w:t>
      </w:r>
      <w:r>
        <w:rPr>
          <w:rFonts w:ascii="Times New Roman" w:hAnsi="Times New Roman"/>
          <w:szCs w:val="22"/>
        </w:rPr>
        <w:t xml:space="preserve"> (</w:t>
      </w:r>
      <w:r w:rsidRPr="00223682">
        <w:rPr>
          <w:rFonts w:ascii="Times New Roman" w:hAnsi="Times New Roman"/>
          <w:szCs w:val="22"/>
        </w:rPr>
        <w:t>DPPO</w:t>
      </w:r>
      <w:r>
        <w:rPr>
          <w:rFonts w:ascii="Times New Roman" w:hAnsi="Times New Roman"/>
          <w:szCs w:val="22"/>
          <w:vertAlign w:val="superscript"/>
          <w:rtl w:val="0"/>
        </w:rPr>
        <w:footnoteReference w:id="5"/>
      </w:r>
      <w:r>
        <w:rPr>
          <w:rFonts w:ascii="Times New Roman" w:hAnsi="Times New Roman"/>
          <w:szCs w:val="22"/>
        </w:rPr>
        <w:t>)</w:t>
      </w:r>
      <w:r w:rsidRPr="00223682">
        <w:rPr>
          <w:rFonts w:ascii="Times New Roman" w:hAnsi="Times New Roman"/>
          <w:szCs w:val="22"/>
        </w:rPr>
        <w:t xml:space="preserve"> za rok 2017 je oproti rozpočtu nižší </w:t>
      </w:r>
      <w:r>
        <w:rPr>
          <w:rFonts w:ascii="Times New Roman" w:hAnsi="Times New Roman"/>
          <w:szCs w:val="22"/>
        </w:rPr>
        <w:br/>
      </w:r>
      <w:r w:rsidRPr="00223682">
        <w:rPr>
          <w:rFonts w:ascii="Times New Roman" w:hAnsi="Times New Roman"/>
          <w:szCs w:val="22"/>
        </w:rPr>
        <w:t>o</w:t>
      </w:r>
      <w:r>
        <w:rPr>
          <w:rFonts w:ascii="Times New Roman" w:hAnsi="Times New Roman"/>
          <w:szCs w:val="22"/>
        </w:rPr>
        <w:t> </w:t>
      </w:r>
      <w:r w:rsidR="00C418E1">
        <w:rPr>
          <w:rFonts w:ascii="Times New Roman" w:hAnsi="Times New Roman"/>
          <w:szCs w:val="22"/>
        </w:rPr>
        <w:t>424 424</w:t>
      </w:r>
      <w:r w:rsidRPr="005D4BFB">
        <w:rPr>
          <w:rFonts w:ascii="Times New Roman" w:hAnsi="Times New Roman"/>
          <w:szCs w:val="22"/>
        </w:rPr>
        <w:t xml:space="preserve"> tis.</w:t>
      </w:r>
      <w:r w:rsidRPr="00223682">
        <w:rPr>
          <w:rFonts w:ascii="Times New Roman" w:hAnsi="Times New Roman"/>
          <w:szCs w:val="22"/>
        </w:rPr>
        <w:t xml:space="preserve"> eur. Pri tvorbe rozpočtu na rok 2017 nebola ešte známa skutočnosť za rok 2016. Vyrovnanie dane za rok 2016 bolo výrazne nižšie ako sa očakávalo, a to sa následne prenieslo aj </w:t>
      </w:r>
      <w:r>
        <w:rPr>
          <w:rFonts w:ascii="Times New Roman" w:hAnsi="Times New Roman"/>
          <w:szCs w:val="22"/>
        </w:rPr>
        <w:br/>
      </w:r>
      <w:r w:rsidRPr="00223682">
        <w:rPr>
          <w:rFonts w:ascii="Times New Roman" w:hAnsi="Times New Roman"/>
          <w:szCs w:val="22"/>
        </w:rPr>
        <w:t xml:space="preserve">do roku 2017. </w:t>
      </w:r>
    </w:p>
    <w:p w:rsidR="00F36078" w:rsidP="000A162C">
      <w:pPr>
        <w:bidi w:val="0"/>
        <w:rPr>
          <w:rFonts w:ascii="Times New Roman" w:hAnsi="Times New Roman"/>
          <w:szCs w:val="22"/>
        </w:rPr>
      </w:pPr>
      <w:r w:rsidRPr="00223682">
        <w:rPr>
          <w:rFonts w:ascii="Times New Roman" w:hAnsi="Times New Roman"/>
          <w:szCs w:val="22"/>
        </w:rPr>
        <w:t xml:space="preserve">Výnos </w:t>
      </w:r>
      <w:r w:rsidRPr="00F233ED">
        <w:rPr>
          <w:rFonts w:ascii="Times New Roman" w:hAnsi="Times New Roman"/>
          <w:b/>
          <w:szCs w:val="22"/>
        </w:rPr>
        <w:t>dane z pridanej hodnoty</w:t>
      </w:r>
      <w:r>
        <w:rPr>
          <w:rStyle w:val="FootnoteReference"/>
          <w:rFonts w:ascii="Times New Roman" w:hAnsi="Times New Roman"/>
          <w:szCs w:val="22"/>
          <w:rtl w:val="0"/>
        </w:rPr>
        <w:footnoteReference w:id="6"/>
      </w:r>
      <w:r>
        <w:rPr>
          <w:rFonts w:ascii="Times New Roman" w:hAnsi="Times New Roman"/>
          <w:b/>
          <w:szCs w:val="22"/>
        </w:rPr>
        <w:t xml:space="preserve"> </w:t>
      </w:r>
      <w:r w:rsidRPr="00F233ED">
        <w:rPr>
          <w:rFonts w:ascii="Times New Roman" w:hAnsi="Times New Roman"/>
          <w:szCs w:val="22"/>
        </w:rPr>
        <w:t>(DPH) je</w:t>
      </w:r>
      <w:r w:rsidRPr="00223682">
        <w:rPr>
          <w:rFonts w:ascii="Times New Roman" w:hAnsi="Times New Roman"/>
          <w:szCs w:val="22"/>
        </w:rPr>
        <w:t xml:space="preserve"> oproti rozpočtu vyšší o 198 098 tis. eur</w:t>
      </w:r>
      <w:r>
        <w:rPr>
          <w:rFonts w:ascii="Times New Roman" w:hAnsi="Times New Roman"/>
          <w:szCs w:val="22"/>
        </w:rPr>
        <w:t>, k čomu prispela</w:t>
      </w:r>
      <w:r w:rsidRPr="00223682">
        <w:rPr>
          <w:rFonts w:ascii="Times New Roman" w:hAnsi="Times New Roman"/>
          <w:szCs w:val="22"/>
        </w:rPr>
        <w:t> vyššia ako očakávaná úspešnosť výberu dane a  priaznivý vývoj makroekonomického prostredia</w:t>
      </w:r>
      <w:r>
        <w:rPr>
          <w:rFonts w:ascii="Times New Roman" w:hAnsi="Times New Roman"/>
          <w:szCs w:val="22"/>
        </w:rPr>
        <w:t>,</w:t>
      </w:r>
      <w:r w:rsidRPr="00223682">
        <w:rPr>
          <w:rFonts w:ascii="Times New Roman" w:hAnsi="Times New Roman"/>
          <w:szCs w:val="22"/>
        </w:rPr>
        <w:t xml:space="preserve"> najmä konečnej spotreby domácností. </w:t>
      </w:r>
    </w:p>
    <w:p w:rsidR="00F36078" w:rsidP="00F36078">
      <w:pPr>
        <w:bidi w:val="0"/>
        <w:rPr>
          <w:rFonts w:ascii="Times New Roman" w:hAnsi="Times New Roman"/>
          <w:szCs w:val="22"/>
        </w:rPr>
      </w:pPr>
      <w:r w:rsidRPr="00223682">
        <w:rPr>
          <w:rFonts w:ascii="Times New Roman" w:hAnsi="Times New Roman"/>
          <w:szCs w:val="22"/>
        </w:rPr>
        <w:t xml:space="preserve">Výnos </w:t>
      </w:r>
      <w:r w:rsidRPr="00094DD3">
        <w:rPr>
          <w:rFonts w:ascii="Times New Roman" w:hAnsi="Times New Roman"/>
          <w:b/>
          <w:szCs w:val="22"/>
        </w:rPr>
        <w:t>spotrebných daní</w:t>
      </w:r>
      <w:r w:rsidRPr="00223682">
        <w:rPr>
          <w:rFonts w:ascii="Times New Roman" w:hAnsi="Times New Roman"/>
          <w:szCs w:val="22"/>
        </w:rPr>
        <w:t xml:space="preserve"> pozostáva najmä zo spotrebnej dane z minerálnych olejov a spotrebnej dane z tabaku a tabakových výrobkov. Výnos spotrebnej dane z minerálnych olejov bol oproti rozpočtovanej hodnote vyšší o 13 840 tis. eur. Vyšší výnos súvisí s rastúcou spotrebou pohonných hmôt, najmä motorovej nafty, ktorá bola v roku </w:t>
      </w:r>
      <w:r>
        <w:rPr>
          <w:rFonts w:ascii="Times New Roman" w:hAnsi="Times New Roman"/>
          <w:szCs w:val="22"/>
        </w:rPr>
        <w:t>2017 podporená rastom ekonomiky, naopak p</w:t>
      </w:r>
      <w:r w:rsidRPr="00223682">
        <w:rPr>
          <w:rFonts w:ascii="Times New Roman" w:hAnsi="Times New Roman"/>
          <w:szCs w:val="22"/>
        </w:rPr>
        <w:t xml:space="preserve">ríjem zo spotrebnej dane z tabakových výrobkov bol v skutočnosti nižší oproti rozpočtu o 21 831 tis. eur.  Výpadok tvorí z prevažnej časti aktualizácia vplyvu legislatívnych zmien (-16 600 tis. eur). Tie sa týkali úpravy zdanenia cigár a cigariek (prechod zo zdaňovania množstva na zdaňovanie hmotnosti) a zvýšenia počtu kusov cigariet v spotrebiteľskom balení z 19 na 20. </w:t>
      </w:r>
    </w:p>
    <w:p w:rsidR="00F36078" w:rsidRPr="00223682" w:rsidP="00F36078">
      <w:pPr>
        <w:bidi w:val="0"/>
        <w:rPr>
          <w:rFonts w:ascii="Times New Roman" w:hAnsi="Times New Roman"/>
          <w:szCs w:val="22"/>
        </w:rPr>
      </w:pPr>
      <w:r w:rsidRPr="00275967">
        <w:rPr>
          <w:rFonts w:ascii="Times New Roman" w:hAnsi="Times New Roman"/>
          <w:b/>
          <w:szCs w:val="22"/>
        </w:rPr>
        <w:t>Osobitný odvod z regulovaných odvetví</w:t>
      </w:r>
      <w:r>
        <w:rPr>
          <w:rStyle w:val="FootnoteReference"/>
          <w:rFonts w:ascii="Times New Roman" w:hAnsi="Times New Roman"/>
          <w:szCs w:val="22"/>
          <w:rtl w:val="0"/>
        </w:rPr>
        <w:footnoteReference w:id="7"/>
      </w:r>
      <w:r w:rsidRPr="00223682">
        <w:rPr>
          <w:rFonts w:ascii="Times New Roman" w:hAnsi="Times New Roman"/>
          <w:szCs w:val="22"/>
        </w:rPr>
        <w:t xml:space="preserve"> je oproti rozpočtu nižší o 37 671 tis. eur. Jedným </w:t>
      </w:r>
      <w:r w:rsidR="00BB5F1C">
        <w:rPr>
          <w:rFonts w:ascii="Times New Roman" w:hAnsi="Times New Roman"/>
          <w:szCs w:val="22"/>
        </w:rPr>
        <w:br/>
      </w:r>
      <w:r w:rsidRPr="00223682">
        <w:rPr>
          <w:rFonts w:ascii="Times New Roman" w:hAnsi="Times New Roman"/>
          <w:szCs w:val="22"/>
        </w:rPr>
        <w:t xml:space="preserve">z dôvodov nenaplnenia rozpočtu je vplyv legislatívnej zmeny zavedenej od roku 2017, ktorá zmenila spôsob výpočtu odvodu. Subjekty zmenili správanie a efektívne si znížili daňové zaťaženie, ktoré premietli do nižších preddavkov osobitného odvodu za rok 2017. </w:t>
      </w:r>
      <w:r w:rsidR="002E15D0">
        <w:rPr>
          <w:rFonts w:ascii="Times New Roman" w:hAnsi="Times New Roman"/>
          <w:szCs w:val="22"/>
        </w:rPr>
        <w:br/>
      </w:r>
      <w:r w:rsidRPr="00223682">
        <w:rPr>
          <w:rFonts w:ascii="Times New Roman" w:hAnsi="Times New Roman"/>
          <w:szCs w:val="22"/>
        </w:rPr>
        <w:t>Ďalším dôvodom je fakt, že pri tvorbe rozpočtu na rok 2017 nebola známa skutočnosť za rok 2016. Vplyv skutočného nižšieho zúčtovania odvodu za rok 2016 sa preniesol aj do roku 2017.</w:t>
      </w:r>
    </w:p>
    <w:tbl>
      <w:tblPr>
        <w:tblStyle w:val="TableNormal"/>
        <w:tblW w:w="9071" w:type="dxa"/>
        <w:tblCellMar>
          <w:left w:w="70" w:type="dxa"/>
          <w:right w:w="70" w:type="dxa"/>
        </w:tblCellMar>
        <w:tblLook w:val="04A0"/>
      </w:tblPr>
      <w:tblGrid>
        <w:gridCol w:w="7041"/>
        <w:gridCol w:w="1215"/>
        <w:gridCol w:w="815"/>
      </w:tblGrid>
      <w:tr>
        <w:tblPrEx>
          <w:tblW w:w="9071" w:type="dxa"/>
          <w:tblCellMar>
            <w:left w:w="70" w:type="dxa"/>
            <w:right w:w="70" w:type="dxa"/>
          </w:tblCellMar>
          <w:tblLook w:val="04A0"/>
        </w:tblPrEx>
        <w:trPr>
          <w:trHeight w:val="328"/>
        </w:trPr>
        <w:tc>
          <w:tcPr>
            <w:tcW w:w="7041" w:type="dxa"/>
            <w:tcBorders>
              <w:top w:val="nil"/>
              <w:left w:val="nil"/>
              <w:bottom w:val="nil"/>
              <w:right w:val="nil"/>
            </w:tcBorders>
            <w:shd w:val="clear" w:color="000000" w:fill="000000"/>
            <w:noWrap/>
            <w:textDirection w:val="lrTb"/>
            <w:vAlign w:val="center"/>
            <w:hideMark/>
          </w:tcPr>
          <w:p w:rsidR="00F36078" w:rsidRPr="00223682" w:rsidP="00F36078">
            <w:pPr>
              <w:bidi w:val="0"/>
              <w:spacing w:after="0" w:line="240" w:lineRule="auto"/>
              <w:jc w:val="left"/>
              <w:rPr>
                <w:rFonts w:ascii="Times New Roman" w:hAnsi="Times New Roman"/>
                <w:b/>
                <w:bCs/>
                <w:color w:val="FFFFFF"/>
                <w:sz w:val="20"/>
                <w:szCs w:val="20"/>
                <w:lang w:eastAsia="sk-SK"/>
              </w:rPr>
            </w:pPr>
            <w:bookmarkStart w:id="26" w:name="RANGE!B11:D62"/>
            <w:bookmarkEnd w:id="26"/>
            <w:r w:rsidRPr="00223682">
              <w:rPr>
                <w:rFonts w:ascii="Times New Roman" w:hAnsi="Times New Roman"/>
                <w:b/>
                <w:bCs/>
                <w:color w:val="FFFFFF"/>
                <w:sz w:val="20"/>
                <w:szCs w:val="20"/>
                <w:lang w:eastAsia="sk-SK"/>
              </w:rPr>
              <w:t xml:space="preserve">Saldo verejnej správy v roku 2017 podľa ESA2010                                                                          </w:t>
            </w:r>
          </w:p>
        </w:tc>
        <w:tc>
          <w:tcPr>
            <w:tcW w:w="2030" w:type="dxa"/>
            <w:gridSpan w:val="2"/>
            <w:tcBorders>
              <w:top w:val="nil"/>
              <w:left w:val="nil"/>
              <w:bottom w:val="nil"/>
              <w:right w:val="nil"/>
            </w:tcBorders>
            <w:shd w:val="clear" w:color="000000" w:fill="000000"/>
            <w:noWrap/>
            <w:textDirection w:val="lrTb"/>
            <w:vAlign w:val="center"/>
            <w:hideMark/>
          </w:tcPr>
          <w:p w:rsidR="00F36078" w:rsidRPr="00223682" w:rsidP="000A162C">
            <w:pPr>
              <w:bidi w:val="0"/>
              <w:spacing w:after="0" w:line="240" w:lineRule="auto"/>
              <w:jc w:val="left"/>
              <w:rPr>
                <w:rFonts w:ascii="Times New Roman" w:hAnsi="Times New Roman"/>
                <w:b/>
                <w:bCs/>
                <w:color w:val="FFFFFF"/>
                <w:sz w:val="20"/>
                <w:szCs w:val="20"/>
                <w:lang w:eastAsia="sk-SK"/>
              </w:rPr>
            </w:pPr>
            <w:r w:rsidRPr="00223682">
              <w:rPr>
                <w:rFonts w:ascii="Times New Roman" w:hAnsi="Times New Roman"/>
                <w:b/>
                <w:bCs/>
                <w:color w:val="FFFFFF"/>
                <w:sz w:val="20"/>
                <w:szCs w:val="20"/>
                <w:lang w:eastAsia="sk-SK"/>
              </w:rPr>
              <w:t> </w:t>
            </w:r>
          </w:p>
          <w:p w:rsidR="00F36078" w:rsidRPr="00223682" w:rsidP="00F36078">
            <w:pPr>
              <w:bidi w:val="0"/>
              <w:spacing w:after="0" w:line="240" w:lineRule="auto"/>
              <w:jc w:val="right"/>
              <w:rPr>
                <w:rFonts w:ascii="Times New Roman" w:hAnsi="Times New Roman"/>
                <w:b/>
                <w:bCs/>
                <w:color w:val="FFFFFF"/>
                <w:sz w:val="20"/>
                <w:szCs w:val="20"/>
                <w:lang w:eastAsia="sk-SK"/>
              </w:rPr>
            </w:pPr>
            <w:r w:rsidRPr="00223682">
              <w:rPr>
                <w:rFonts w:ascii="Times New Roman" w:hAnsi="Times New Roman"/>
                <w:b/>
                <w:bCs/>
                <w:color w:val="FFFFFF"/>
                <w:sz w:val="20"/>
                <w:szCs w:val="20"/>
                <w:lang w:eastAsia="sk-SK"/>
              </w:rPr>
              <w:t>v tis. eur</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shd w:val="clear" w:color="000000" w:fill="BFBFBF"/>
            <w:noWrap/>
            <w:textDirection w:val="lrTb"/>
            <w:vAlign w:val="center"/>
            <w:hideMark/>
          </w:tcPr>
          <w:p w:rsidR="0012261B" w:rsidRPr="00223682" w:rsidP="004B1438">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 </w:t>
            </w:r>
          </w:p>
        </w:tc>
        <w:tc>
          <w:tcPr>
            <w:tcW w:w="1215" w:type="dxa"/>
            <w:tcBorders>
              <w:top w:val="nil"/>
              <w:left w:val="nil"/>
              <w:bottom w:val="nil"/>
              <w:right w:val="nil"/>
            </w:tcBorders>
            <w:shd w:val="clear" w:color="000000" w:fill="BFBFBF"/>
            <w:noWrap/>
            <w:textDirection w:val="lrTb"/>
            <w:vAlign w:val="center"/>
            <w:hideMark/>
          </w:tcPr>
          <w:p w:rsidR="0012261B" w:rsidRPr="00223682" w:rsidP="004B1438">
            <w:pPr>
              <w:bidi w:val="0"/>
              <w:spacing w:after="0" w:line="240" w:lineRule="auto"/>
              <w:jc w:val="center"/>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2017</w:t>
            </w:r>
          </w:p>
        </w:tc>
        <w:tc>
          <w:tcPr>
            <w:tcW w:w="815" w:type="dxa"/>
            <w:vMerge w:val="restart"/>
            <w:tcBorders>
              <w:top w:val="nil"/>
              <w:left w:val="nil"/>
              <w:bottom w:val="nil"/>
              <w:right w:val="nil"/>
            </w:tcBorders>
            <w:shd w:val="clear" w:color="000000" w:fill="BFBFBF"/>
            <w:textDirection w:val="lrTb"/>
            <w:vAlign w:val="center"/>
            <w:hideMark/>
          </w:tcPr>
          <w:p w:rsidR="0012261B" w:rsidRPr="00223682" w:rsidP="004B1438">
            <w:pPr>
              <w:bidi w:val="0"/>
              <w:spacing w:after="0" w:line="240" w:lineRule="auto"/>
              <w:jc w:val="center"/>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Rozdiel</w:t>
              <w:br/>
              <w:t>(% HDP)</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shd w:val="clear" w:color="000000" w:fill="BFBFBF"/>
            <w:noWrap/>
            <w:textDirection w:val="lrTb"/>
            <w:vAlign w:val="center"/>
            <w:hideMark/>
          </w:tcPr>
          <w:p w:rsidR="0012261B" w:rsidRPr="00223682" w:rsidP="004B1438">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 </w:t>
            </w:r>
          </w:p>
        </w:tc>
        <w:tc>
          <w:tcPr>
            <w:tcW w:w="1215" w:type="dxa"/>
            <w:tcBorders>
              <w:top w:val="nil"/>
              <w:left w:val="nil"/>
              <w:bottom w:val="nil"/>
              <w:right w:val="nil"/>
            </w:tcBorders>
            <w:shd w:val="clear" w:color="000000" w:fill="BFBFBF"/>
            <w:noWrap/>
            <w:textDirection w:val="lrTb"/>
            <w:vAlign w:val="center"/>
            <w:hideMark/>
          </w:tcPr>
          <w:p w:rsidR="0012261B" w:rsidRPr="00223682" w:rsidP="004B1438">
            <w:pPr>
              <w:bidi w:val="0"/>
              <w:spacing w:after="0" w:line="240" w:lineRule="auto"/>
              <w:jc w:val="center"/>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(S - R)</w:t>
            </w:r>
          </w:p>
        </w:tc>
        <w:tc>
          <w:tcPr>
            <w:tcW w:w="815" w:type="dxa"/>
            <w:vMerge/>
            <w:tcBorders>
              <w:top w:val="nil"/>
              <w:left w:val="nil"/>
              <w:bottom w:val="nil"/>
              <w:right w:val="nil"/>
            </w:tcBorders>
            <w:textDirection w:val="lrTb"/>
            <w:vAlign w:val="center"/>
            <w:hideMark/>
          </w:tcPr>
          <w:p w:rsidR="0012261B" w:rsidRPr="00223682" w:rsidP="004B1438">
            <w:pPr>
              <w:bidi w:val="0"/>
              <w:spacing w:after="0" w:line="240" w:lineRule="auto"/>
              <w:jc w:val="left"/>
              <w:rPr>
                <w:rFonts w:ascii="Times New Roman" w:hAnsi="Times New Roman"/>
                <w:b/>
                <w:bCs/>
                <w:color w:val="000000"/>
                <w:sz w:val="20"/>
                <w:szCs w:val="20"/>
                <w:lang w:eastAsia="sk-SK"/>
              </w:rPr>
            </w:pP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 xml:space="preserve">1. Saldo verejnej správy - rozpočet </w:t>
            </w:r>
          </w:p>
        </w:tc>
        <w:tc>
          <w:tcPr>
            <w:tcW w:w="1215" w:type="dxa"/>
            <w:tcBorders>
              <w:top w:val="nil"/>
              <w:left w:val="nil"/>
              <w:bottom w:val="nil"/>
              <w:right w:val="nil"/>
            </w:tcBorders>
            <w:noWrap/>
            <w:textDirection w:val="lrTb"/>
            <w:vAlign w:val="center"/>
            <w:hideMark/>
          </w:tcPr>
          <w:p w:rsidR="00F36078" w:rsidRPr="0012261B" w:rsidP="005E79DD">
            <w:pPr>
              <w:bidi w:val="0"/>
              <w:spacing w:after="0" w:line="240" w:lineRule="auto"/>
              <w:jc w:val="right"/>
              <w:rPr>
                <w:rFonts w:ascii="Times New Roman" w:hAnsi="Times New Roman"/>
                <w:b/>
                <w:bCs/>
                <w:color w:val="000000"/>
                <w:sz w:val="20"/>
                <w:szCs w:val="20"/>
                <w:lang w:eastAsia="sk-SK"/>
              </w:rPr>
            </w:pPr>
            <w:r w:rsidRPr="0012261B" w:rsidR="00A57B98">
              <w:rPr>
                <w:rFonts w:ascii="Times New Roman" w:hAnsi="Times New Roman"/>
                <w:b/>
                <w:bCs/>
                <w:color w:val="000000"/>
                <w:sz w:val="20"/>
                <w:szCs w:val="20"/>
                <w:lang w:eastAsia="sk-SK"/>
              </w:rPr>
              <w:t>- 1</w:t>
            </w:r>
            <w:r w:rsidRPr="00690EA1" w:rsidR="00A57B98">
              <w:rPr>
                <w:rFonts w:ascii="Times New Roman" w:hAnsi="Times New Roman"/>
                <w:b/>
                <w:bCs/>
                <w:color w:val="000000"/>
                <w:sz w:val="20"/>
                <w:szCs w:val="20"/>
                <w:lang w:eastAsia="sk-SK"/>
              </w:rPr>
              <w:t> </w:t>
            </w:r>
            <w:r w:rsidRPr="0012261B" w:rsidR="00A57B98">
              <w:rPr>
                <w:rFonts w:ascii="Times New Roman" w:hAnsi="Times New Roman"/>
                <w:b/>
                <w:bCs/>
                <w:color w:val="000000"/>
                <w:sz w:val="20"/>
                <w:szCs w:val="20"/>
                <w:lang w:eastAsia="sk-SK"/>
              </w:rPr>
              <w:t>083 488</w:t>
            </w:r>
          </w:p>
        </w:tc>
        <w:tc>
          <w:tcPr>
            <w:tcW w:w="815" w:type="dxa"/>
            <w:tcBorders>
              <w:top w:val="nil"/>
              <w:left w:val="nil"/>
              <w:bottom w:val="nil"/>
              <w:right w:val="nil"/>
            </w:tcBorders>
            <w:noWrap/>
            <w:textDirection w:val="lrTb"/>
            <w:vAlign w:val="center"/>
            <w:hideMark/>
          </w:tcPr>
          <w:p w:rsidR="00F36078" w:rsidRPr="0012261B" w:rsidP="005E79DD">
            <w:pPr>
              <w:bidi w:val="0"/>
              <w:spacing w:after="0" w:line="240" w:lineRule="auto"/>
              <w:jc w:val="right"/>
              <w:rPr>
                <w:rFonts w:ascii="Times New Roman" w:hAnsi="Times New Roman"/>
                <w:b/>
                <w:bCs/>
                <w:color w:val="000000"/>
                <w:sz w:val="20"/>
                <w:szCs w:val="20"/>
                <w:lang w:eastAsia="sk-SK"/>
              </w:rPr>
            </w:pPr>
            <w:r w:rsidRPr="0012261B">
              <w:rPr>
                <w:rFonts w:ascii="Times New Roman" w:hAnsi="Times New Roman"/>
                <w:b/>
                <w:bCs/>
                <w:color w:val="000000"/>
                <w:sz w:val="20"/>
                <w:szCs w:val="20"/>
                <w:lang w:eastAsia="sk-SK"/>
              </w:rPr>
              <w:t>-1,2</w:t>
            </w:r>
            <w:r w:rsidRPr="0012261B" w:rsidR="005E79DD">
              <w:rPr>
                <w:rFonts w:ascii="Times New Roman" w:hAnsi="Times New Roman"/>
                <w:b/>
                <w:bCs/>
                <w:color w:val="000000"/>
                <w:sz w:val="20"/>
                <w:szCs w:val="20"/>
                <w:lang w:eastAsia="sk-SK"/>
              </w:rPr>
              <w:t>9</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1. Daňové a odvodové príjmy verejnej správy</w:t>
            </w:r>
          </w:p>
        </w:tc>
        <w:tc>
          <w:tcPr>
            <w:tcW w:w="1215" w:type="dxa"/>
            <w:tcBorders>
              <w:top w:val="nil"/>
              <w:left w:val="nil"/>
              <w:bottom w:val="nil"/>
              <w:right w:val="nil"/>
            </w:tcBorders>
            <w:noWrap/>
            <w:textDirection w:val="lrTb"/>
            <w:vAlign w:val="center"/>
            <w:hideMark/>
          </w:tcPr>
          <w:p w:rsidR="00F36078" w:rsidRPr="00223682" w:rsidP="007B3A16">
            <w:pPr>
              <w:bidi w:val="0"/>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 xml:space="preserve">249 </w:t>
            </w:r>
            <w:r w:rsidR="007B3A16">
              <w:rPr>
                <w:rFonts w:ascii="Times New Roman" w:hAnsi="Times New Roman"/>
                <w:color w:val="000000"/>
                <w:sz w:val="20"/>
                <w:szCs w:val="20"/>
                <w:lang w:eastAsia="sk-SK"/>
              </w:rPr>
              <w:t>961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0,29</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z toho: daňové príjmy</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-250 041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-0,29</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Odvodové príjmy SP a ZP</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sz w:val="20"/>
                <w:szCs w:val="20"/>
                <w:lang w:eastAsia="sk-SK"/>
              </w:rPr>
            </w:pPr>
            <w:r w:rsidR="007B3A16">
              <w:rPr>
                <w:rFonts w:ascii="Times New Roman" w:hAnsi="Times New Roman"/>
                <w:sz w:val="20"/>
                <w:szCs w:val="20"/>
                <w:lang w:eastAsia="sk-SK"/>
              </w:rPr>
              <w:t>395 086</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0,46</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Odvodové príjmy MRÚ</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sz w:val="20"/>
                <w:szCs w:val="20"/>
                <w:lang w:eastAsia="sk-SK"/>
              </w:rPr>
            </w:pPr>
            <w:r>
              <w:rPr>
                <w:rFonts w:ascii="Times New Roman" w:hAnsi="Times New Roman"/>
                <w:sz w:val="20"/>
                <w:szCs w:val="20"/>
                <w:lang w:eastAsia="sk-SK"/>
              </w:rPr>
              <w:t>104 916</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2. Vplyv </w:t>
            </w:r>
            <w:r>
              <w:rPr>
                <w:rFonts w:ascii="Times New Roman" w:hAnsi="Times New Roman"/>
                <w:color w:val="000000"/>
                <w:sz w:val="20"/>
                <w:szCs w:val="20"/>
                <w:lang w:eastAsia="sk-SK"/>
              </w:rPr>
              <w:t xml:space="preserve">iných ako daňových </w:t>
            </w:r>
            <w:r w:rsidRPr="00223682">
              <w:rPr>
                <w:rFonts w:ascii="Times New Roman" w:hAnsi="Times New Roman"/>
                <w:color w:val="000000"/>
                <w:sz w:val="20"/>
                <w:szCs w:val="20"/>
                <w:lang w:eastAsia="sk-SK"/>
              </w:rPr>
              <w:t xml:space="preserve">vybraných  príjmov verejnej správy </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w:t>
            </w:r>
            <w:r>
              <w:rPr>
                <w:rFonts w:ascii="Times New Roman" w:hAnsi="Times New Roman"/>
                <w:color w:val="000000"/>
                <w:sz w:val="20"/>
                <w:szCs w:val="20"/>
                <w:lang w:eastAsia="sk-SK"/>
              </w:rPr>
              <w:t>568 872</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-0,6</w:t>
            </w:r>
            <w:r>
              <w:rPr>
                <w:rFonts w:ascii="Times New Roman" w:hAnsi="Times New Roman"/>
                <w:color w:val="000000"/>
                <w:sz w:val="20"/>
                <w:szCs w:val="20"/>
                <w:lang w:eastAsia="sk-SK"/>
              </w:rPr>
              <w:t>7</w:t>
            </w:r>
          </w:p>
        </w:tc>
      </w:tr>
      <w:tr>
        <w:tblPrEx>
          <w:tblW w:w="9071" w:type="dxa"/>
          <w:tblCellMar>
            <w:left w:w="70" w:type="dxa"/>
            <w:right w:w="70" w:type="dxa"/>
          </w:tblCellMar>
          <w:tblLook w:val="04A0"/>
        </w:tblPrEx>
        <w:trPr>
          <w:trHeight w:val="507"/>
        </w:trPr>
        <w:tc>
          <w:tcPr>
            <w:tcW w:w="7041" w:type="dxa"/>
            <w:tcBorders>
              <w:top w:val="nil"/>
              <w:left w:val="nil"/>
              <w:bottom w:val="nil"/>
              <w:right w:val="nil"/>
            </w:tcBorders>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Príjmy z dividend a z odvodov zo zisku ŠR a MH Manažment, a.s.  </w:t>
            </w:r>
            <w:r>
              <w:rPr>
                <w:rFonts w:ascii="Times New Roman" w:hAnsi="Times New Roman"/>
                <w:color w:val="000000"/>
                <w:sz w:val="20"/>
                <w:szCs w:val="20"/>
                <w:lang w:eastAsia="sk-SK"/>
              </w:rPr>
              <w:br/>
              <w:t xml:space="preserve">               </w:t>
            </w:r>
            <w:r w:rsidRPr="00223682">
              <w:rPr>
                <w:rFonts w:ascii="Times New Roman" w:hAnsi="Times New Roman"/>
                <w:color w:val="000000"/>
                <w:sz w:val="20"/>
                <w:szCs w:val="20"/>
                <w:lang w:eastAsia="sk-SK"/>
              </w:rPr>
              <w:t>(vrátane časového rozlíšenia)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-77 643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-0,09</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Príjmy z predaja emisných kvót</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-61 315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Príjmy nedaňové  ŠR a ŠFA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          57 237</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Príjmy EÚ</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-487 151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-0,57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3. Vplyv vybraných výdavkov štátneho rozpočtu, z</w:t>
            </w:r>
            <w:r>
              <w:rPr>
                <w:rFonts w:ascii="Times New Roman" w:hAnsi="Times New Roman"/>
                <w:color w:val="000000"/>
                <w:sz w:val="20"/>
                <w:szCs w:val="20"/>
                <w:lang w:eastAsia="sk-SK"/>
              </w:rPr>
              <w:t> </w:t>
            </w:r>
            <w:r w:rsidRPr="00223682">
              <w:rPr>
                <w:rFonts w:ascii="Times New Roman" w:hAnsi="Times New Roman"/>
                <w:color w:val="000000"/>
                <w:sz w:val="20"/>
                <w:szCs w:val="20"/>
                <w:lang w:eastAsia="sk-SK"/>
              </w:rPr>
              <w:t>toho</w:t>
            </w:r>
            <w:r>
              <w:rPr>
                <w:rFonts w:ascii="Times New Roman" w:hAnsi="Times New Roman"/>
                <w:color w:val="000000"/>
                <w:sz w:val="20"/>
                <w:szCs w:val="20"/>
                <w:lang w:eastAsia="sk-SK"/>
              </w:rPr>
              <w:t>:</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BB08FC">
              <w:rPr>
                <w:rFonts w:ascii="Times New Roman" w:hAnsi="Times New Roman"/>
                <w:color w:val="000000"/>
                <w:sz w:val="20"/>
                <w:szCs w:val="20"/>
                <w:lang w:eastAsia="sk-SK"/>
              </w:rPr>
              <w:t>1 247 453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1,47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Výdavky EÚ</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487 151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0,57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Spolufinancovanie</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297 359</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0,35</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Prenesené výdavky štátneho rozpočtu </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388 297</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0,46</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D41C79">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Preklasifikovanie vkladu do zákl. imania MH </w:t>
            </w:r>
            <w:r w:rsidR="00D41C79">
              <w:rPr>
                <w:rFonts w:ascii="Times New Roman" w:hAnsi="Times New Roman"/>
                <w:color w:val="000000"/>
                <w:sz w:val="20"/>
                <w:szCs w:val="20"/>
                <w:lang w:eastAsia="sk-SK"/>
              </w:rPr>
              <w:t>I</w:t>
            </w:r>
            <w:r w:rsidRPr="00223682">
              <w:rPr>
                <w:rFonts w:ascii="Times New Roman" w:hAnsi="Times New Roman"/>
                <w:color w:val="000000"/>
                <w:sz w:val="20"/>
                <w:szCs w:val="20"/>
                <w:lang w:eastAsia="sk-SK"/>
              </w:rPr>
              <w:t xml:space="preserve">nvest I na KT </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17 100</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BB08FC" w:rsidP="000A162C">
            <w:pPr>
              <w:bidi w:val="0"/>
              <w:spacing w:after="0" w:line="240" w:lineRule="auto"/>
              <w:ind w:firstLine="600" w:firstLineChars="300"/>
              <w:jc w:val="left"/>
              <w:rPr>
                <w:rFonts w:ascii="Times New Roman" w:hAnsi="Times New Roman"/>
                <w:color w:val="000000"/>
                <w:sz w:val="20"/>
                <w:szCs w:val="20"/>
                <w:lang w:eastAsia="sk-SK"/>
              </w:rPr>
            </w:pPr>
            <w:r w:rsidRPr="00BB08FC">
              <w:rPr>
                <w:rFonts w:ascii="Times New Roman" w:hAnsi="Times New Roman"/>
                <w:color w:val="000000"/>
                <w:sz w:val="20"/>
                <w:szCs w:val="20"/>
                <w:lang w:eastAsia="sk-SK"/>
              </w:rPr>
              <w:t xml:space="preserve"> - Kapitálový transfer do Leteckých opravovní Trenčín,</w:t>
            </w:r>
            <w:r w:rsidR="0092416E">
              <w:rPr>
                <w:rFonts w:ascii="Times New Roman" w:hAnsi="Times New Roman"/>
                <w:color w:val="000000"/>
                <w:sz w:val="20"/>
                <w:szCs w:val="20"/>
                <w:lang w:eastAsia="sk-SK"/>
              </w:rPr>
              <w:t xml:space="preserve"> </w:t>
            </w:r>
            <w:r w:rsidRPr="00BB08FC">
              <w:rPr>
                <w:rFonts w:ascii="Times New Roman" w:hAnsi="Times New Roman"/>
                <w:color w:val="000000"/>
                <w:sz w:val="20"/>
                <w:szCs w:val="20"/>
                <w:lang w:eastAsia="sk-SK"/>
              </w:rPr>
              <w:t>a.s.</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-20 000</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BB08FC" w:rsidP="000A162C">
            <w:pPr>
              <w:bidi w:val="0"/>
              <w:spacing w:after="0" w:line="240" w:lineRule="auto"/>
              <w:ind w:firstLine="600" w:firstLineChars="300"/>
              <w:jc w:val="left"/>
              <w:rPr>
                <w:rFonts w:ascii="Times New Roman" w:hAnsi="Times New Roman"/>
                <w:color w:val="000000"/>
                <w:sz w:val="20"/>
                <w:szCs w:val="20"/>
                <w:lang w:eastAsia="sk-SK"/>
              </w:rPr>
            </w:pPr>
            <w:r w:rsidRPr="00BB08FC">
              <w:rPr>
                <w:rFonts w:ascii="Times New Roman" w:hAnsi="Times New Roman"/>
                <w:color w:val="000000"/>
                <w:sz w:val="20"/>
                <w:szCs w:val="20"/>
                <w:lang w:eastAsia="sk-SK"/>
              </w:rPr>
              <w:t xml:space="preserve"> - Kapitálový transfer do NDS,</w:t>
            </w:r>
            <w:r w:rsidR="0092416E">
              <w:rPr>
                <w:rFonts w:ascii="Times New Roman" w:hAnsi="Times New Roman"/>
                <w:color w:val="000000"/>
                <w:sz w:val="20"/>
                <w:szCs w:val="20"/>
                <w:lang w:eastAsia="sk-SK"/>
              </w:rPr>
              <w:t xml:space="preserve"> </w:t>
            </w:r>
            <w:r w:rsidRPr="00BB08FC">
              <w:rPr>
                <w:rFonts w:ascii="Times New Roman" w:hAnsi="Times New Roman"/>
                <w:color w:val="000000"/>
                <w:sz w:val="20"/>
                <w:szCs w:val="20"/>
                <w:lang w:eastAsia="sk-SK"/>
              </w:rPr>
              <w:t>a.s.</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-19 506</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Kapitálo</w:t>
            </w:r>
            <w:r>
              <w:rPr>
                <w:rFonts w:ascii="Times New Roman" w:hAnsi="Times New Roman"/>
                <w:color w:val="000000"/>
                <w:sz w:val="20"/>
                <w:szCs w:val="20"/>
                <w:lang w:eastAsia="sk-SK"/>
              </w:rPr>
              <w:t>vé transfery do MH I</w:t>
            </w:r>
            <w:r w:rsidRPr="00223682">
              <w:rPr>
                <w:rFonts w:ascii="Times New Roman" w:hAnsi="Times New Roman"/>
                <w:color w:val="000000"/>
                <w:sz w:val="20"/>
                <w:szCs w:val="20"/>
                <w:lang w:eastAsia="sk-SK"/>
              </w:rPr>
              <w:t>nvest II na priemyselné parky</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-28 026</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-0,03</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4. Vplyv hospodárenia mimorozpočtových účtov</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-69 455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-0,08</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5. Vplyv akruálnych príjmov a výdavkov súvisiacich s </w:t>
            </w:r>
            <w:r w:rsidRPr="00223682" w:rsidR="00D41C79">
              <w:rPr>
                <w:rFonts w:ascii="Times New Roman" w:hAnsi="Times New Roman"/>
                <w:color w:val="000000"/>
                <w:sz w:val="20"/>
                <w:szCs w:val="20"/>
                <w:lang w:eastAsia="sk-SK"/>
              </w:rPr>
              <w:t>obsluhou</w:t>
            </w:r>
            <w:r w:rsidRPr="00223682">
              <w:rPr>
                <w:rFonts w:ascii="Times New Roman" w:hAnsi="Times New Roman"/>
                <w:color w:val="000000"/>
                <w:sz w:val="20"/>
                <w:szCs w:val="20"/>
                <w:lang w:eastAsia="sk-SK"/>
              </w:rPr>
              <w:t xml:space="preserve"> štátneho dlhu</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-134 629</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-0,16</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6. Zmena stavu pohľadávok a záväzkov štátneho rozpočtu</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-83 422</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-0,10</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2200" w:firstLineChars="11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Zmena stavu pohľadávok</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-3 713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0,00</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2200" w:firstLineChars="11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Zmena stavu záväzkov</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-79 709</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-0,09</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7. Vybrané transakcie súvisiace s EÚ</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81 702</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0,10</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Odvod  do rozpočtu EÚ</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71 085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0,08</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Upravujúca položka na elimináciu vplyvov EU tokov na saldo verejnej </w:t>
            </w:r>
            <w:r>
              <w:rPr>
                <w:rFonts w:ascii="Times New Roman" w:hAnsi="Times New Roman"/>
                <w:color w:val="000000"/>
                <w:sz w:val="20"/>
                <w:szCs w:val="20"/>
                <w:lang w:eastAsia="sk-SK"/>
              </w:rPr>
              <w:br/>
              <w:t xml:space="preserve">               </w:t>
            </w:r>
            <w:r w:rsidRPr="00223682">
              <w:rPr>
                <w:rFonts w:ascii="Times New Roman" w:hAnsi="Times New Roman"/>
                <w:color w:val="000000"/>
                <w:sz w:val="20"/>
                <w:szCs w:val="20"/>
                <w:lang w:eastAsia="sk-SK"/>
              </w:rPr>
              <w:t>správy</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7 741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0,01</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Korekcie k fondom EÚ </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-26 175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-0,03</w:t>
            </w:r>
          </w:p>
        </w:tc>
      </w:tr>
      <w:tr>
        <w:tblPrEx>
          <w:tblW w:w="9071" w:type="dxa"/>
          <w:tblCellMar>
            <w:left w:w="70" w:type="dxa"/>
            <w:right w:w="70" w:type="dxa"/>
          </w:tblCellMar>
          <w:tblLook w:val="04A0"/>
        </w:tblPrEx>
        <w:trPr>
          <w:trHeight w:val="566"/>
        </w:trPr>
        <w:tc>
          <w:tcPr>
            <w:tcW w:w="7041" w:type="dxa"/>
            <w:tcBorders>
              <w:top w:val="nil"/>
              <w:left w:val="nil"/>
              <w:bottom w:val="nil"/>
              <w:right w:val="nil"/>
            </w:tcBorders>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Upravujúca položka-očistenie vplyvu príjmov PJ za prostriedky EU z </w:t>
            </w:r>
            <w:r>
              <w:rPr>
                <w:rFonts w:ascii="Times New Roman" w:hAnsi="Times New Roman"/>
                <w:color w:val="000000"/>
                <w:sz w:val="20"/>
                <w:szCs w:val="20"/>
                <w:lang w:eastAsia="sk-SK"/>
              </w:rPr>
              <w:br/>
              <w:t xml:space="preserve">                </w:t>
            </w:r>
            <w:r w:rsidRPr="00223682">
              <w:rPr>
                <w:rFonts w:ascii="Times New Roman" w:hAnsi="Times New Roman"/>
                <w:color w:val="000000"/>
                <w:sz w:val="20"/>
                <w:szCs w:val="20"/>
                <w:lang w:eastAsia="sk-SK"/>
              </w:rPr>
              <w:t xml:space="preserve">uhradených korekcií nahlásených v roku rozhodnutia </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29 051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0,03</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8. Výdavky sociálneho a zdravotného poistenia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-91 685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-0,11</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Výdavky sociálneho poistenia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-29 605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-0,03</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Výdavky verejného zdravotného poistenia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-62 080</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-0,07</w:t>
            </w:r>
          </w:p>
        </w:tc>
      </w:tr>
      <w:tr>
        <w:tblPrEx>
          <w:tblW w:w="9071" w:type="dxa"/>
          <w:tblCellMar>
            <w:left w:w="70" w:type="dxa"/>
            <w:right w:w="70" w:type="dxa"/>
          </w:tblCellMar>
          <w:tblLook w:val="04A0"/>
        </w:tblPrEx>
        <w:trPr>
          <w:trHeight w:val="507"/>
        </w:trPr>
        <w:tc>
          <w:tcPr>
            <w:tcW w:w="7041" w:type="dxa"/>
            <w:tcBorders>
              <w:top w:val="nil"/>
              <w:left w:val="nil"/>
              <w:bottom w:val="nil"/>
              <w:right w:val="nil"/>
            </w:tcBorders>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9. Rozdiel v hospodárení fondov sociálneho zabezpečenia (okrem odvodových </w:t>
            </w:r>
            <w:r>
              <w:rPr>
                <w:rFonts w:ascii="Times New Roman" w:hAnsi="Times New Roman"/>
                <w:color w:val="000000"/>
                <w:sz w:val="20"/>
                <w:szCs w:val="20"/>
                <w:lang w:eastAsia="sk-SK"/>
              </w:rPr>
              <w:br/>
              <w:t xml:space="preserve">            </w:t>
            </w:r>
            <w:r w:rsidRPr="00223682">
              <w:rPr>
                <w:rFonts w:ascii="Times New Roman" w:hAnsi="Times New Roman"/>
                <w:color w:val="000000"/>
                <w:sz w:val="20"/>
                <w:szCs w:val="20"/>
                <w:lang w:eastAsia="sk-SK"/>
              </w:rPr>
              <w:t xml:space="preserve">príjmov a výdavkov poistenia  verejného zdravotného poistenia a sociálneho </w:t>
            </w:r>
            <w:r>
              <w:rPr>
                <w:rFonts w:ascii="Times New Roman" w:hAnsi="Times New Roman"/>
                <w:color w:val="000000"/>
                <w:sz w:val="20"/>
                <w:szCs w:val="20"/>
                <w:lang w:eastAsia="sk-SK"/>
              </w:rPr>
              <w:br/>
              <w:t xml:space="preserve">            </w:t>
            </w:r>
            <w:r w:rsidRPr="00223682">
              <w:rPr>
                <w:rFonts w:ascii="Times New Roman" w:hAnsi="Times New Roman"/>
                <w:color w:val="000000"/>
                <w:sz w:val="20"/>
                <w:szCs w:val="20"/>
                <w:lang w:eastAsia="sk-SK"/>
              </w:rPr>
              <w:t>poistenia)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-108 892</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-0,13</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10. Ro</w:t>
            </w:r>
            <w:r>
              <w:rPr>
                <w:rFonts w:ascii="Times New Roman" w:hAnsi="Times New Roman"/>
                <w:color w:val="000000"/>
                <w:sz w:val="20"/>
                <w:szCs w:val="20"/>
                <w:lang w:eastAsia="sk-SK"/>
              </w:rPr>
              <w:t xml:space="preserve">zdiel v hospodárení </w:t>
            </w:r>
            <w:r w:rsidRPr="00223682">
              <w:rPr>
                <w:rFonts w:ascii="Times New Roman" w:hAnsi="Times New Roman"/>
                <w:color w:val="000000"/>
                <w:sz w:val="20"/>
                <w:szCs w:val="20"/>
                <w:lang w:eastAsia="sk-SK"/>
              </w:rPr>
              <w:t xml:space="preserve">subjektov </w:t>
            </w:r>
            <w:r>
              <w:rPr>
                <w:rFonts w:ascii="Times New Roman" w:hAnsi="Times New Roman"/>
                <w:color w:val="000000"/>
                <w:sz w:val="20"/>
                <w:szCs w:val="20"/>
                <w:lang w:eastAsia="sk-SK"/>
              </w:rPr>
              <w:t>ústredne</w:t>
            </w:r>
            <w:r w:rsidRPr="00223682">
              <w:rPr>
                <w:rFonts w:ascii="Times New Roman" w:hAnsi="Times New Roman"/>
                <w:color w:val="000000"/>
                <w:sz w:val="20"/>
                <w:szCs w:val="20"/>
                <w:lang w:eastAsia="sk-SK"/>
              </w:rPr>
              <w:t>j správy bez daňových príjmov</w:t>
            </w:r>
          </w:p>
        </w:tc>
        <w:tc>
          <w:tcPr>
            <w:tcW w:w="1215" w:type="dxa"/>
            <w:tcBorders>
              <w:top w:val="nil"/>
              <w:left w:val="nil"/>
              <w:bottom w:val="nil"/>
              <w:right w:val="nil"/>
            </w:tcBorders>
            <w:noWrap/>
            <w:textDirection w:val="lrTb"/>
            <w:vAlign w:val="center"/>
            <w:hideMark/>
          </w:tcPr>
          <w:p w:rsidR="00F36078" w:rsidRPr="00F92A9B" w:rsidP="005E79DD">
            <w:pPr>
              <w:bidi w:val="0"/>
              <w:spacing w:after="0" w:line="240" w:lineRule="auto"/>
              <w:jc w:val="right"/>
              <w:rPr>
                <w:rFonts w:ascii="Times New Roman" w:hAnsi="Times New Roman"/>
                <w:color w:val="000000"/>
                <w:sz w:val="20"/>
                <w:szCs w:val="20"/>
                <w:lang w:eastAsia="sk-SK"/>
              </w:rPr>
            </w:pPr>
            <w:r w:rsidRPr="00F92A9B" w:rsidR="00A57B98">
              <w:rPr>
                <w:rFonts w:ascii="Times New Roman" w:hAnsi="Times New Roman"/>
                <w:color w:val="000000"/>
                <w:sz w:val="20"/>
                <w:szCs w:val="20"/>
                <w:lang w:eastAsia="sk-SK"/>
              </w:rPr>
              <w:t>-56 301</w:t>
            </w:r>
          </w:p>
        </w:tc>
        <w:tc>
          <w:tcPr>
            <w:tcW w:w="815" w:type="dxa"/>
            <w:tcBorders>
              <w:top w:val="nil"/>
              <w:left w:val="nil"/>
              <w:bottom w:val="nil"/>
              <w:right w:val="nil"/>
            </w:tcBorders>
            <w:noWrap/>
            <w:textDirection w:val="lrTb"/>
            <w:vAlign w:val="center"/>
            <w:hideMark/>
          </w:tcPr>
          <w:p w:rsidR="00F36078" w:rsidRPr="00F92A9B" w:rsidP="000A162C">
            <w:pPr>
              <w:bidi w:val="0"/>
              <w:spacing w:after="0" w:line="240" w:lineRule="auto"/>
              <w:jc w:val="right"/>
              <w:rPr>
                <w:rFonts w:ascii="Times New Roman" w:hAnsi="Times New Roman"/>
                <w:color w:val="000000"/>
                <w:sz w:val="20"/>
                <w:szCs w:val="20"/>
                <w:lang w:eastAsia="sk-SK"/>
              </w:rPr>
            </w:pPr>
            <w:r w:rsidRPr="00F92A9B">
              <w:rPr>
                <w:rFonts w:ascii="Times New Roman" w:hAnsi="Times New Roman"/>
                <w:color w:val="000000"/>
                <w:sz w:val="20"/>
                <w:szCs w:val="20"/>
                <w:lang w:eastAsia="sk-SK"/>
              </w:rPr>
              <w:t>-0,07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obchodné spoločnosti štátu</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-141 001</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-0,17</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zdravotnícke zariadenia</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-31 943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-0,04</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PO štátu</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47 114</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0,06</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VVŠ</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21 203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štátne fondy bez</w:t>
            </w:r>
            <w:r>
              <w:rPr>
                <w:rFonts w:ascii="Times New Roman" w:hAnsi="Times New Roman"/>
                <w:color w:val="000000"/>
                <w:sz w:val="20"/>
                <w:szCs w:val="20"/>
                <w:lang w:eastAsia="sk-SK"/>
              </w:rPr>
              <w:t xml:space="preserve"> vplyvu príjmov z emisných kvót</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-2 293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0,00</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Slovenský pozemkový fond</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20 825</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0,02</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ostatné subjekty ústrednej správy</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30 718</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0,04</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400" w:firstLineChars="2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11. Rozdiel v hospodárení územnej samosprávy bez daňových príjmov</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-266 060</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-0,31</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obce</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-131 237</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-0,15</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VUC</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-125 638</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-0,15</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dopravné podniky</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-8 054</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-0,01</w:t>
            </w:r>
          </w:p>
        </w:tc>
      </w:tr>
      <w:tr>
        <w:tblPrEx>
          <w:tblW w:w="9071" w:type="dxa"/>
          <w:tblCellMar>
            <w:left w:w="70" w:type="dxa"/>
            <w:right w:w="70" w:type="dxa"/>
          </w:tblCellMar>
          <w:tblLook w:val="04A0"/>
        </w:tblPrEx>
        <w:trPr>
          <w:trHeight w:val="328"/>
        </w:trPr>
        <w:tc>
          <w:tcPr>
            <w:tcW w:w="7041" w:type="dxa"/>
            <w:tcBorders>
              <w:top w:val="nil"/>
              <w:left w:val="nil"/>
              <w:bottom w:val="nil"/>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príspevkové organizácie obcí a VUC</w:t>
            </w:r>
          </w:p>
        </w:tc>
        <w:tc>
          <w:tcPr>
            <w:tcW w:w="12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4 753</w:t>
            </w:r>
          </w:p>
        </w:tc>
        <w:tc>
          <w:tcPr>
            <w:tcW w:w="815" w:type="dxa"/>
            <w:tcBorders>
              <w:top w:val="nil"/>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0,01</w:t>
            </w:r>
          </w:p>
        </w:tc>
      </w:tr>
      <w:tr>
        <w:tblPrEx>
          <w:tblW w:w="9071" w:type="dxa"/>
          <w:tblCellMar>
            <w:left w:w="70" w:type="dxa"/>
            <w:right w:w="70" w:type="dxa"/>
          </w:tblCellMar>
          <w:tblLook w:val="04A0"/>
        </w:tblPrEx>
        <w:trPr>
          <w:trHeight w:val="328"/>
        </w:trPr>
        <w:tc>
          <w:tcPr>
            <w:tcW w:w="7041" w:type="dxa"/>
            <w:tcBorders>
              <w:top w:val="nil"/>
              <w:left w:val="nil"/>
              <w:bottom w:val="none" w:sz="0" w:space="0" w:color="auto"/>
              <w:right w:val="nil"/>
            </w:tcBorders>
            <w:noWrap/>
            <w:textDirection w:val="lrTb"/>
            <w:vAlign w:val="center"/>
            <w:hideMark/>
          </w:tcPr>
          <w:p w:rsidR="00F36078" w:rsidRPr="00223682" w:rsidP="000A162C">
            <w:pPr>
              <w:bidi w:val="0"/>
              <w:spacing w:after="0" w:line="240" w:lineRule="auto"/>
              <w:ind w:firstLine="600" w:firstLineChars="300"/>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 z toho ostatné subjekty miestnej samosprávy</w:t>
            </w:r>
          </w:p>
        </w:tc>
        <w:tc>
          <w:tcPr>
            <w:tcW w:w="1215" w:type="dxa"/>
            <w:tcBorders>
              <w:top w:val="nil"/>
              <w:left w:val="nil"/>
              <w:bottom w:val="none" w:sz="0" w:space="0" w:color="auto"/>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-5 884</w:t>
            </w:r>
          </w:p>
        </w:tc>
        <w:tc>
          <w:tcPr>
            <w:tcW w:w="815" w:type="dxa"/>
            <w:tcBorders>
              <w:top w:val="nil"/>
              <w:left w:val="nil"/>
              <w:bottom w:val="none" w:sz="0" w:space="0" w:color="auto"/>
              <w:right w:val="nil"/>
            </w:tcBorders>
            <w:noWrap/>
            <w:textDirection w:val="lrTb"/>
            <w:vAlign w:val="center"/>
            <w:hideMark/>
          </w:tcPr>
          <w:p w:rsidR="00F36078"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-0,01</w:t>
            </w:r>
          </w:p>
        </w:tc>
      </w:tr>
      <w:tr>
        <w:tblPrEx>
          <w:tblW w:w="9071" w:type="dxa"/>
          <w:tblCellMar>
            <w:left w:w="70" w:type="dxa"/>
            <w:right w:w="70" w:type="dxa"/>
          </w:tblCellMar>
          <w:tblLook w:val="04A0"/>
        </w:tblPrEx>
        <w:trPr>
          <w:trHeight w:val="328"/>
        </w:trPr>
        <w:tc>
          <w:tcPr>
            <w:tcW w:w="7041" w:type="dxa"/>
            <w:tcBorders>
              <w:top w:val="nil"/>
              <w:left w:val="nil"/>
              <w:bottom w:val="single" w:sz="4" w:space="0" w:color="auto"/>
              <w:right w:val="nil"/>
            </w:tcBorders>
            <w:noWrap/>
            <w:textDirection w:val="lrTb"/>
            <w:vAlign w:val="center"/>
            <w:hideMark/>
          </w:tcPr>
          <w:p w:rsidR="00F36078" w:rsidRPr="00223682" w:rsidP="000A162C">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2. Saldo verejnej správy - skutočnosť</w:t>
            </w:r>
          </w:p>
        </w:tc>
        <w:tc>
          <w:tcPr>
            <w:tcW w:w="1215" w:type="dxa"/>
            <w:tcBorders>
              <w:top w:val="nil"/>
              <w:left w:val="nil"/>
              <w:bottom w:val="single" w:sz="4" w:space="0" w:color="auto"/>
              <w:right w:val="nil"/>
            </w:tcBorders>
            <w:noWrap/>
            <w:textDirection w:val="lrTb"/>
            <w:vAlign w:val="center"/>
            <w:hideMark/>
          </w:tcPr>
          <w:p w:rsidR="00F36078" w:rsidRPr="00223682" w:rsidP="000A162C">
            <w:pPr>
              <w:bidi w:val="0"/>
              <w:spacing w:after="0" w:line="240" w:lineRule="auto"/>
              <w:jc w:val="righ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-884 464</w:t>
            </w:r>
          </w:p>
        </w:tc>
        <w:tc>
          <w:tcPr>
            <w:tcW w:w="815" w:type="dxa"/>
            <w:tcBorders>
              <w:top w:val="nil"/>
              <w:left w:val="nil"/>
              <w:bottom w:val="single" w:sz="4" w:space="0" w:color="auto"/>
              <w:right w:val="nil"/>
            </w:tcBorders>
            <w:noWrap/>
            <w:textDirection w:val="lrTb"/>
            <w:vAlign w:val="center"/>
            <w:hideMark/>
          </w:tcPr>
          <w:p w:rsidR="00F36078" w:rsidRPr="00223682" w:rsidP="000A162C">
            <w:pPr>
              <w:bidi w:val="0"/>
              <w:spacing w:after="0" w:line="240" w:lineRule="auto"/>
              <w:jc w:val="righ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-1,04</w:t>
            </w:r>
          </w:p>
        </w:tc>
      </w:tr>
      <w:tr>
        <w:tblPrEx>
          <w:tblW w:w="9071" w:type="dxa"/>
          <w:tblCellMar>
            <w:left w:w="70" w:type="dxa"/>
            <w:right w:w="70" w:type="dxa"/>
          </w:tblCellMar>
          <w:tblLook w:val="04A0"/>
        </w:tblPrEx>
        <w:trPr>
          <w:trHeight w:val="328"/>
        </w:trPr>
        <w:tc>
          <w:tcPr>
            <w:tcW w:w="7041" w:type="dxa"/>
            <w:tcBorders>
              <w:top w:val="single" w:sz="4" w:space="0" w:color="auto"/>
              <w:left w:val="nil"/>
              <w:bottom w:val="nil"/>
              <w:right w:val="nil"/>
            </w:tcBorders>
            <w:noWrap/>
            <w:textDirection w:val="lrTb"/>
            <w:vAlign w:val="center"/>
            <w:hideMark/>
          </w:tcPr>
          <w:p w:rsidR="00F36078" w:rsidRPr="00223682" w:rsidP="000A162C">
            <w:pPr>
              <w:bidi w:val="0"/>
              <w:spacing w:after="0" w:line="240" w:lineRule="auto"/>
              <w:jc w:val="left"/>
              <w:rPr>
                <w:rFonts w:ascii="Times New Roman" w:hAnsi="Times New Roman"/>
                <w:i/>
                <w:iCs/>
                <w:color w:val="000000"/>
                <w:sz w:val="16"/>
                <w:szCs w:val="16"/>
                <w:lang w:eastAsia="sk-SK"/>
              </w:rPr>
            </w:pPr>
            <w:r w:rsidRPr="00223682">
              <w:rPr>
                <w:rFonts w:ascii="Times New Roman" w:hAnsi="Times New Roman"/>
                <w:i/>
                <w:iCs/>
                <w:color w:val="000000"/>
                <w:sz w:val="16"/>
                <w:szCs w:val="16"/>
                <w:lang w:eastAsia="sk-SK"/>
              </w:rPr>
              <w:t>Pozn.: (+) znamená pozitívny vplyv a (-) negatívny vplyv na saldo VS</w:t>
            </w:r>
          </w:p>
        </w:tc>
        <w:tc>
          <w:tcPr>
            <w:tcW w:w="1215" w:type="dxa"/>
            <w:tcBorders>
              <w:top w:val="single" w:sz="4" w:space="0" w:color="auto"/>
              <w:left w:val="nil"/>
              <w:bottom w:val="nil"/>
              <w:right w:val="nil"/>
            </w:tcBorders>
            <w:noWrap/>
            <w:textDirection w:val="lrTb"/>
            <w:vAlign w:val="center"/>
            <w:hideMark/>
          </w:tcPr>
          <w:p w:rsidR="00F36078" w:rsidRPr="00223682" w:rsidP="000A162C">
            <w:pPr>
              <w:bidi w:val="0"/>
              <w:spacing w:after="0" w:line="240" w:lineRule="auto"/>
              <w:jc w:val="left"/>
              <w:rPr>
                <w:rFonts w:ascii="Times New Roman" w:hAnsi="Times New Roman"/>
                <w:i/>
                <w:iCs/>
                <w:color w:val="000000"/>
                <w:sz w:val="16"/>
                <w:szCs w:val="16"/>
                <w:lang w:eastAsia="sk-SK"/>
              </w:rPr>
            </w:pPr>
          </w:p>
        </w:tc>
        <w:tc>
          <w:tcPr>
            <w:tcW w:w="815" w:type="dxa"/>
            <w:tcBorders>
              <w:top w:val="single" w:sz="4" w:space="0" w:color="auto"/>
              <w:left w:val="nil"/>
              <w:bottom w:val="nil"/>
              <w:right w:val="nil"/>
            </w:tcBorders>
            <w:noWrap/>
            <w:textDirection w:val="lrTb"/>
            <w:vAlign w:val="center"/>
            <w:hideMark/>
          </w:tcPr>
          <w:p w:rsidR="00F36078" w:rsidRPr="00223682" w:rsidP="000A162C">
            <w:pPr>
              <w:bidi w:val="0"/>
              <w:spacing w:after="0" w:line="240" w:lineRule="auto"/>
              <w:jc w:val="right"/>
              <w:rPr>
                <w:rFonts w:ascii="Times New Roman" w:hAnsi="Times New Roman"/>
                <w:sz w:val="20"/>
                <w:szCs w:val="20"/>
                <w:lang w:eastAsia="sk-SK"/>
              </w:rPr>
            </w:pPr>
          </w:p>
        </w:tc>
      </w:tr>
    </w:tbl>
    <w:p w:rsidR="00496E50" w:rsidRPr="00223682" w:rsidP="00496E50">
      <w:pPr>
        <w:bidi w:val="0"/>
        <w:spacing w:before="120"/>
        <w:rPr>
          <w:rFonts w:ascii="Times New Roman" w:hAnsi="Times New Roman"/>
          <w:color w:val="FF0000"/>
          <w:szCs w:val="22"/>
        </w:rPr>
      </w:pPr>
      <w:r w:rsidRPr="00223682">
        <w:rPr>
          <w:rFonts w:ascii="Times New Roman" w:hAnsi="Times New Roman"/>
          <w:szCs w:val="22"/>
        </w:rPr>
        <w:t xml:space="preserve">Skutočný objem prijatých </w:t>
      </w:r>
      <w:r w:rsidRPr="00223682">
        <w:rPr>
          <w:rFonts w:ascii="Times New Roman" w:hAnsi="Times New Roman"/>
          <w:b/>
          <w:bCs/>
          <w:szCs w:val="22"/>
        </w:rPr>
        <w:t>dividend</w:t>
      </w:r>
      <w:r w:rsidRPr="00223682">
        <w:rPr>
          <w:rFonts w:ascii="Times New Roman" w:hAnsi="Times New Roman"/>
          <w:szCs w:val="22"/>
        </w:rPr>
        <w:t xml:space="preserve"> vrátane časového rozlíšenia bol v porovnaní s predpokladaným výnosom z dividend nižší o 77 643 tis. eur. Dôvodom vzniku rozdielov v prekročení, prípadne neplnení rozpočtovaného objemu dividend, boli odlišné výsledky hospodárenia dosiahnuté obchodnými spoločnosťami za rok 2016. </w:t>
      </w:r>
      <w:r>
        <w:rPr>
          <w:rFonts w:ascii="Times New Roman" w:hAnsi="Times New Roman"/>
          <w:szCs w:val="22"/>
        </w:rPr>
        <w:t xml:space="preserve">Objemovo najvyšší negatívny vplyv zaznamenal </w:t>
      </w:r>
      <w:r w:rsidRPr="00223682">
        <w:rPr>
          <w:rFonts w:ascii="Times New Roman" w:hAnsi="Times New Roman"/>
          <w:szCs w:val="22"/>
        </w:rPr>
        <w:t xml:space="preserve">Slovenský plynárenský priemysel, a.s. </w:t>
      </w:r>
      <w:r>
        <w:rPr>
          <w:rFonts w:ascii="Times New Roman" w:hAnsi="Times New Roman"/>
          <w:szCs w:val="22"/>
        </w:rPr>
        <w:t xml:space="preserve"> a </w:t>
      </w:r>
      <w:r w:rsidRPr="00223682">
        <w:rPr>
          <w:rFonts w:ascii="Times New Roman" w:hAnsi="Times New Roman"/>
          <w:szCs w:val="22"/>
        </w:rPr>
        <w:t>vplyv</w:t>
      </w:r>
      <w:r>
        <w:rPr>
          <w:rFonts w:ascii="Times New Roman" w:hAnsi="Times New Roman"/>
          <w:szCs w:val="22"/>
        </w:rPr>
        <w:t>om</w:t>
      </w:r>
      <w:r w:rsidRPr="00223682">
        <w:rPr>
          <w:rFonts w:ascii="Times New Roman" w:hAnsi="Times New Roman"/>
          <w:szCs w:val="22"/>
        </w:rPr>
        <w:t xml:space="preserve"> vyššieho podielu precenenia majetku skupiny na výnosoch spoločnosti.</w:t>
      </w:r>
    </w:p>
    <w:p w:rsidR="00496E50" w:rsidRPr="00223682" w:rsidP="00496E50">
      <w:pPr>
        <w:bidi w:val="0"/>
        <w:rPr>
          <w:rFonts w:ascii="Times New Roman" w:hAnsi="Times New Roman"/>
          <w:szCs w:val="22"/>
        </w:rPr>
      </w:pPr>
      <w:r w:rsidRPr="00223682">
        <w:rPr>
          <w:rFonts w:ascii="Times New Roman" w:hAnsi="Times New Roman"/>
          <w:szCs w:val="22"/>
        </w:rPr>
        <w:t xml:space="preserve">V roku 2017 došlo k horšiemu hospodáreniu </w:t>
      </w:r>
      <w:r w:rsidRPr="00223682">
        <w:rPr>
          <w:rFonts w:ascii="Times New Roman" w:hAnsi="Times New Roman"/>
          <w:b/>
          <w:szCs w:val="22"/>
        </w:rPr>
        <w:t>Envirofondu</w:t>
      </w:r>
      <w:r w:rsidRPr="00223682">
        <w:rPr>
          <w:rFonts w:ascii="Times New Roman" w:hAnsi="Times New Roman"/>
          <w:szCs w:val="22"/>
        </w:rPr>
        <w:t xml:space="preserve"> oproti rozpočtu o</w:t>
      </w:r>
      <w:r>
        <w:rPr>
          <w:rFonts w:ascii="Times New Roman" w:hAnsi="Times New Roman"/>
          <w:szCs w:val="22"/>
        </w:rPr>
        <w:t xml:space="preserve"> </w:t>
      </w:r>
      <w:r w:rsidRPr="00223682">
        <w:rPr>
          <w:rFonts w:ascii="Times New Roman" w:hAnsi="Times New Roman"/>
          <w:szCs w:val="22"/>
        </w:rPr>
        <w:t xml:space="preserve">66 738 tis. eur. Rozpočtovaný </w:t>
      </w:r>
      <w:r w:rsidRPr="00223682">
        <w:rPr>
          <w:rFonts w:ascii="Times New Roman" w:hAnsi="Times New Roman"/>
          <w:b/>
          <w:szCs w:val="22"/>
        </w:rPr>
        <w:t>príjem z emisných kvót</w:t>
      </w:r>
      <w:r w:rsidRPr="00223682">
        <w:rPr>
          <w:rFonts w:ascii="Times New Roman" w:hAnsi="Times New Roman"/>
          <w:szCs w:val="22"/>
        </w:rPr>
        <w:t xml:space="preserve"> bol 116 659 tis. eur, skutočné príjmy boli 86 977 tis. eur a teda nižšie o 29 682 tis. eur, z toho akruálne zaznamenanie príjmov z emisných kvót má negatívny vplyv v sume 31 633 tis. eur.  Podľa metodiky ESA 2010 sú príjmom len tie príjmy z predaja emisií, ktoré sú spotrebované v ekonomike.</w:t>
      </w:r>
    </w:p>
    <w:p w:rsidR="00496E50" w:rsidRPr="00223682" w:rsidP="00496E50">
      <w:pPr>
        <w:pStyle w:val="default0"/>
        <w:bidi w:val="0"/>
        <w:spacing w:after="120" w:line="336" w:lineRule="auto"/>
        <w:jc w:val="both"/>
        <w:rPr>
          <w:rFonts w:ascii="Times New Roman" w:hAnsi="Times New Roman"/>
        </w:rPr>
      </w:pPr>
      <w:r w:rsidRPr="00223682">
        <w:rPr>
          <w:rFonts w:ascii="Times New Roman" w:hAnsi="Times New Roman"/>
          <w:b/>
          <w:bCs/>
          <w:color w:val="auto"/>
          <w:sz w:val="22"/>
          <w:szCs w:val="22"/>
        </w:rPr>
        <w:t>Prenesené výdavky štátneho rozpočtu</w:t>
      </w:r>
      <w:r w:rsidRPr="00223682">
        <w:rPr>
          <w:rFonts w:ascii="Times New Roman" w:hAnsi="Times New Roman"/>
          <w:color w:val="auto"/>
          <w:sz w:val="22"/>
          <w:szCs w:val="22"/>
        </w:rPr>
        <w:t xml:space="preserve">. Podľa </w:t>
      </w:r>
      <w:r w:rsidRPr="00EF2BB7" w:rsidR="00BD1913">
        <w:rPr>
          <w:rFonts w:ascii="Times New Roman" w:hAnsi="Times New Roman"/>
          <w:sz w:val="22"/>
          <w:szCs w:val="22"/>
        </w:rPr>
        <w:t>zákona č. 523/2004 Z. z. o</w:t>
      </w:r>
      <w:r w:rsidRPr="005E6C1C" w:rsidR="00BD1913">
        <w:rPr>
          <w:rFonts w:ascii="Times New Roman" w:hAnsi="Times New Roman"/>
          <w:sz w:val="22"/>
          <w:szCs w:val="22"/>
        </w:rPr>
        <w:t> </w:t>
      </w:r>
      <w:r w:rsidRPr="00EF2BB7" w:rsidR="00BD1913">
        <w:rPr>
          <w:rFonts w:ascii="Times New Roman" w:hAnsi="Times New Roman"/>
          <w:sz w:val="22"/>
          <w:szCs w:val="22"/>
        </w:rPr>
        <w:t>rozpočtových pravidlách verejnej správy a o</w:t>
      </w:r>
      <w:r w:rsidRPr="005E6C1C" w:rsidR="00BD1913">
        <w:rPr>
          <w:rFonts w:ascii="Times New Roman" w:hAnsi="Times New Roman"/>
          <w:sz w:val="22"/>
          <w:szCs w:val="22"/>
        </w:rPr>
        <w:t> </w:t>
      </w:r>
      <w:r w:rsidRPr="00EF2BB7" w:rsidR="00BD1913">
        <w:rPr>
          <w:rFonts w:ascii="Times New Roman" w:hAnsi="Times New Roman"/>
          <w:sz w:val="22"/>
          <w:szCs w:val="22"/>
        </w:rPr>
        <w:t>zmene a</w:t>
      </w:r>
      <w:r w:rsidRPr="005E6C1C" w:rsidR="00BD1913">
        <w:rPr>
          <w:rFonts w:ascii="Times New Roman" w:hAnsi="Times New Roman"/>
          <w:sz w:val="22"/>
          <w:szCs w:val="22"/>
        </w:rPr>
        <w:t> </w:t>
      </w:r>
      <w:r w:rsidRPr="00EF2BB7" w:rsidR="00BD1913">
        <w:rPr>
          <w:rFonts w:ascii="Times New Roman" w:hAnsi="Times New Roman"/>
          <w:sz w:val="22"/>
          <w:szCs w:val="22"/>
        </w:rPr>
        <w:t>doplnení niektorých zákonov</w:t>
      </w:r>
      <w:r w:rsidRPr="005E6C1C" w:rsidR="00BD1913">
        <w:rPr>
          <w:rFonts w:ascii="Times New Roman" w:hAnsi="Times New Roman"/>
          <w:color w:val="auto"/>
          <w:sz w:val="22"/>
          <w:szCs w:val="22"/>
        </w:rPr>
        <w:t xml:space="preserve"> (ďalej len</w:t>
      </w:r>
      <w:r w:rsidR="00BD1913">
        <w:rPr>
          <w:rFonts w:ascii="Times New Roman" w:hAnsi="Times New Roman"/>
          <w:color w:val="auto"/>
          <w:sz w:val="22"/>
          <w:szCs w:val="22"/>
        </w:rPr>
        <w:t xml:space="preserve"> „</w:t>
      </w:r>
      <w:r w:rsidRPr="00223682">
        <w:rPr>
          <w:rFonts w:ascii="Times New Roman" w:hAnsi="Times New Roman"/>
          <w:color w:val="auto"/>
          <w:sz w:val="22"/>
          <w:szCs w:val="22"/>
        </w:rPr>
        <w:t xml:space="preserve">zákon </w:t>
      </w:r>
      <w:r w:rsidR="0092416E">
        <w:rPr>
          <w:rFonts w:ascii="Times New Roman" w:hAnsi="Times New Roman"/>
          <w:color w:val="auto"/>
          <w:sz w:val="22"/>
          <w:szCs w:val="22"/>
        </w:rPr>
        <w:br/>
      </w:r>
      <w:r w:rsidRPr="00223682">
        <w:rPr>
          <w:rFonts w:ascii="Times New Roman" w:hAnsi="Times New Roman"/>
          <w:color w:val="auto"/>
          <w:sz w:val="22"/>
          <w:szCs w:val="22"/>
        </w:rPr>
        <w:t>o rozpočtových pravidlách</w:t>
      </w:r>
      <w:r w:rsidR="00BD1913">
        <w:rPr>
          <w:rFonts w:ascii="Times New Roman" w:hAnsi="Times New Roman"/>
          <w:color w:val="auto"/>
          <w:sz w:val="22"/>
          <w:szCs w:val="22"/>
        </w:rPr>
        <w:t>“)</w:t>
      </w:r>
      <w:r w:rsidRPr="00223682">
        <w:rPr>
          <w:rFonts w:ascii="Times New Roman" w:hAnsi="Times New Roman"/>
          <w:color w:val="auto"/>
          <w:sz w:val="22"/>
          <w:szCs w:val="22"/>
        </w:rPr>
        <w:t xml:space="preserve"> je možné kapitálové výdavky a vybrané bežné výdavky štátneho rozpočtu použiť na určený účel aj v nasledujúcich dvoch rozpočtových rokoch po rozpočtovom roku, na ktorý boli rozpočtované. Prostriedky Európskej únie, prostriedky štátneho rozpočtu určené na financovanie spoločných programov SR a EÚ a prostriedky štátneho rozpočtu určené na financovanie účelov vyplývajúcich z medzinárodných zmlúv o poskytnutí grantu uzatvorených medzi SR a inými štátmi možno použiť aj v nasledujúcich rozpočtových </w:t>
      </w:r>
      <w:r w:rsidRPr="005E6C1C">
        <w:rPr>
          <w:rFonts w:ascii="Times New Roman" w:hAnsi="Times New Roman"/>
          <w:color w:val="auto"/>
          <w:sz w:val="22"/>
          <w:szCs w:val="22"/>
        </w:rPr>
        <w:t>rokoch až do ich vyčerpania</w:t>
      </w:r>
      <w:r w:rsidR="00F958EB">
        <w:rPr>
          <w:rFonts w:ascii="Times New Roman" w:hAnsi="Times New Roman"/>
          <w:color w:val="auto"/>
          <w:sz w:val="22"/>
          <w:szCs w:val="22"/>
        </w:rPr>
        <w:t xml:space="preserve"> na určený účel</w:t>
      </w:r>
      <w:r w:rsidRPr="00223682">
        <w:rPr>
          <w:rFonts w:ascii="Times New Roman" w:hAnsi="Times New Roman"/>
          <w:color w:val="auto"/>
          <w:sz w:val="22"/>
          <w:szCs w:val="22"/>
        </w:rPr>
        <w:t xml:space="preserve">. Toto pravidlo na jednej strane zefektívňuje použitie verejných prostriedkov tým, že kapitoly rozpočtu nie sú motivované čerpať prostriedky v danom roku </w:t>
      </w:r>
      <w:r w:rsidR="00226A37">
        <w:rPr>
          <w:rFonts w:ascii="Times New Roman" w:hAnsi="Times New Roman"/>
          <w:color w:val="auto"/>
          <w:sz w:val="22"/>
          <w:szCs w:val="22"/>
        </w:rPr>
        <w:br/>
      </w:r>
      <w:r w:rsidRPr="00223682">
        <w:rPr>
          <w:rFonts w:ascii="Times New Roman" w:hAnsi="Times New Roman"/>
          <w:color w:val="auto"/>
          <w:sz w:val="22"/>
          <w:szCs w:val="22"/>
        </w:rPr>
        <w:t xml:space="preserve">„za každú cenu“, na druhej strane vytvára neistotu pri vyhodnocovaní salda v súlade so schváleným štátnym rozpočtom. Viazané a prenášané výdavky do ďalšieho rozpočtového roka pôsobia v smere zníženia skutočného salda oproti schválenému rozpočtu v danom rozpočtovom roku; prenesené výdavky z predchádzajúceho rozpočtového roka naopak saldo v </w:t>
      </w:r>
      <w:r w:rsidR="00D43F30">
        <w:rPr>
          <w:rFonts w:ascii="Times New Roman" w:hAnsi="Times New Roman"/>
          <w:color w:val="auto"/>
          <w:sz w:val="22"/>
          <w:szCs w:val="22"/>
        </w:rPr>
        <w:t xml:space="preserve">tom </w:t>
      </w:r>
      <w:r w:rsidRPr="00223682">
        <w:rPr>
          <w:rFonts w:ascii="Times New Roman" w:hAnsi="Times New Roman"/>
          <w:color w:val="auto"/>
          <w:sz w:val="22"/>
          <w:szCs w:val="22"/>
        </w:rPr>
        <w:t>rozpočtovom roku</w:t>
      </w:r>
      <w:r w:rsidR="00D43F30">
        <w:rPr>
          <w:rFonts w:ascii="Times New Roman" w:hAnsi="Times New Roman"/>
          <w:color w:val="auto"/>
          <w:sz w:val="22"/>
          <w:szCs w:val="22"/>
        </w:rPr>
        <w:t>, v ktorom sa použijú.</w:t>
      </w:r>
      <w:r w:rsidRPr="00223682">
        <w:rPr>
          <w:rFonts w:ascii="Times New Roman" w:hAnsi="Times New Roman"/>
          <w:color w:val="auto"/>
          <w:sz w:val="22"/>
          <w:szCs w:val="22"/>
        </w:rPr>
        <w:t xml:space="preserve"> Čistý dopad na saldo verejnej správy závisí od</w:t>
      </w:r>
      <w:r w:rsidR="00D43F30">
        <w:rPr>
          <w:rFonts w:ascii="Times New Roman" w:hAnsi="Times New Roman"/>
          <w:color w:val="auto"/>
          <w:sz w:val="22"/>
          <w:szCs w:val="22"/>
        </w:rPr>
        <w:t xml:space="preserve"> celkového</w:t>
      </w:r>
      <w:r w:rsidRPr="00223682">
        <w:rPr>
          <w:rFonts w:ascii="Times New Roman" w:hAnsi="Times New Roman"/>
          <w:color w:val="auto"/>
          <w:sz w:val="22"/>
          <w:szCs w:val="22"/>
        </w:rPr>
        <w:t xml:space="preserve"> výsledného efektu presunov. Ak sú prenesené výdavky do ďalšieho rozpočtového roka vyššie ako použité z predchádzajúceho rozpočtového roka, saldo sa oproti schválenému rozpočtu zníži, v opačnom prípade sa zvýši. </w:t>
      </w:r>
    </w:p>
    <w:p w:rsidR="00496E50" w:rsidRPr="00223682" w:rsidP="00496E50">
      <w:pPr>
        <w:pStyle w:val="default0"/>
        <w:bidi w:val="0"/>
        <w:spacing w:after="120" w:line="336" w:lineRule="auto"/>
        <w:jc w:val="both"/>
        <w:rPr>
          <w:rFonts w:ascii="Times New Roman" w:hAnsi="Times New Roman"/>
        </w:rPr>
      </w:pPr>
      <w:r w:rsidRPr="00223682">
        <w:rPr>
          <w:rFonts w:ascii="Times New Roman" w:hAnsi="Times New Roman"/>
          <w:color w:val="auto"/>
          <w:sz w:val="22"/>
          <w:szCs w:val="22"/>
        </w:rPr>
        <w:t>Do roku 2017 boli prenesené bežné a kapitálové výdavky štátneho rozpočtu (s výnimkou prostriedkov Európskej únie a prostriedkov štátneho rozpočtu určených na financovanie spoločných programov SR) z rokov 2015 a 2016 (131F, 131G) celkovo v sume  746 378 tis. eur, pričom z toho v skutočnosti v ro</w:t>
      </w:r>
      <w:r>
        <w:rPr>
          <w:rFonts w:ascii="Times New Roman" w:hAnsi="Times New Roman"/>
          <w:color w:val="auto"/>
          <w:sz w:val="22"/>
          <w:szCs w:val="22"/>
        </w:rPr>
        <w:t>ku 2017 bolo použitých celkovo </w:t>
      </w:r>
      <w:r w:rsidRPr="00223682">
        <w:rPr>
          <w:rFonts w:ascii="Times New Roman" w:hAnsi="Times New Roman"/>
          <w:color w:val="auto"/>
          <w:sz w:val="22"/>
          <w:szCs w:val="22"/>
        </w:rPr>
        <w:t>346 116</w:t>
      </w:r>
      <w:r w:rsidRPr="00223682">
        <w:rPr>
          <w:rFonts w:ascii="Times New Roman" w:hAnsi="Times New Roman"/>
          <w:b/>
          <w:bCs/>
        </w:rPr>
        <w:t xml:space="preserve"> </w:t>
      </w:r>
      <w:r w:rsidRPr="00223682">
        <w:rPr>
          <w:rFonts w:ascii="Times New Roman" w:hAnsi="Times New Roman"/>
          <w:color w:val="auto"/>
          <w:sz w:val="22"/>
          <w:szCs w:val="22"/>
        </w:rPr>
        <w:t xml:space="preserve">tis. eur. V roku 2017 boli zaviazané prostriedky s predpokladaným presunom do roku 2018 v sume 1 090 603 tis. eur, z toho rozpočtované prostriedky na rok 2017 boli 734 413 tis. eur. </w:t>
      </w:r>
    </w:p>
    <w:p w:rsidR="00496E50" w:rsidRPr="00223682" w:rsidP="00496E50">
      <w:pPr>
        <w:bidi w:val="0"/>
        <w:spacing w:line="360" w:lineRule="auto"/>
        <w:rPr>
          <w:rFonts w:ascii="Times New Roman" w:hAnsi="Times New Roman"/>
          <w:color w:val="000000"/>
        </w:rPr>
      </w:pPr>
      <w:r w:rsidRPr="00223682">
        <w:rPr>
          <w:rFonts w:ascii="Times New Roman" w:hAnsi="Times New Roman"/>
          <w:color w:val="000000"/>
          <w:szCs w:val="22"/>
        </w:rPr>
        <w:t xml:space="preserve">Pre analytický odhad vplyvu prenášaných výdavkov štátneho rozpočtu na saldo verejnej správy v danom roku sú dôležité len reálne použité výdavky z prenesených prostriedkov predchádzajúcich období (346 </w:t>
      </w:r>
      <w:r w:rsidRPr="00FC55A2">
        <w:rPr>
          <w:rFonts w:ascii="Times New Roman" w:hAnsi="Times New Roman"/>
          <w:szCs w:val="22"/>
        </w:rPr>
        <w:t>1</w:t>
      </w:r>
      <w:r w:rsidRPr="00223682">
        <w:rPr>
          <w:rFonts w:ascii="Times New Roman" w:hAnsi="Times New Roman"/>
          <w:color w:val="000000"/>
          <w:szCs w:val="22"/>
        </w:rPr>
        <w:t>16 tis. eur) a na druhej strane len tá časť prenesených výdavkov do nasledujúcich období, ktorá bola súčasťou rozpočtovaných výdavkov roku 2017 (734 413 tis. eur).</w:t>
      </w:r>
    </w:p>
    <w:p w:rsidR="00496E50" w:rsidRPr="00223682" w:rsidP="00496E50">
      <w:pPr>
        <w:bidi w:val="0"/>
        <w:rPr>
          <w:rFonts w:ascii="Times New Roman" w:hAnsi="Times New Roman"/>
          <w:szCs w:val="22"/>
        </w:rPr>
      </w:pPr>
      <w:r w:rsidRPr="00223682">
        <w:rPr>
          <w:rFonts w:ascii="Times New Roman" w:hAnsi="Times New Roman"/>
          <w:b/>
          <w:szCs w:val="22"/>
        </w:rPr>
        <w:t>Odvody do rozpočtu EÚ</w:t>
      </w:r>
      <w:r w:rsidRPr="00223682">
        <w:rPr>
          <w:rFonts w:ascii="Times New Roman" w:hAnsi="Times New Roman"/>
          <w:szCs w:val="22"/>
        </w:rPr>
        <w:t xml:space="preserve"> boli na hotovostnej báze nižšie oproti rozpočtu o 38 872 tis. eur. Tento výsledok bol ešte pozitívne ovplyvnený vplyvom akruálneho zaznamenania výdavkov súvisiaci</w:t>
      </w:r>
      <w:r>
        <w:rPr>
          <w:rFonts w:ascii="Times New Roman" w:hAnsi="Times New Roman"/>
          <w:szCs w:val="22"/>
        </w:rPr>
        <w:t>ch s novelami rozpočtu EÚ</w:t>
      </w:r>
      <w:r w:rsidRPr="00223682">
        <w:rPr>
          <w:rFonts w:ascii="Times New Roman" w:hAnsi="Times New Roman"/>
          <w:szCs w:val="22"/>
        </w:rPr>
        <w:t xml:space="preserve"> vo výške 32 213</w:t>
      </w:r>
      <w:r>
        <w:rPr>
          <w:rFonts w:ascii="Times New Roman" w:hAnsi="Times New Roman"/>
          <w:szCs w:val="22"/>
        </w:rPr>
        <w:t> tis. eur. Celková</w:t>
      </w:r>
      <w:r w:rsidRPr="00223682">
        <w:rPr>
          <w:rFonts w:ascii="Times New Roman" w:hAnsi="Times New Roman"/>
          <w:szCs w:val="22"/>
        </w:rPr>
        <w:t xml:space="preserve"> úspora </w:t>
      </w:r>
      <w:r>
        <w:rPr>
          <w:rFonts w:ascii="Times New Roman" w:hAnsi="Times New Roman"/>
          <w:szCs w:val="22"/>
        </w:rPr>
        <w:t xml:space="preserve">na </w:t>
      </w:r>
      <w:r w:rsidRPr="00223682">
        <w:rPr>
          <w:rFonts w:ascii="Times New Roman" w:hAnsi="Times New Roman"/>
          <w:szCs w:val="22"/>
        </w:rPr>
        <w:t xml:space="preserve">akruálnej báze predstavovala </w:t>
      </w:r>
      <w:r>
        <w:rPr>
          <w:rFonts w:ascii="Times New Roman" w:hAnsi="Times New Roman"/>
          <w:szCs w:val="22"/>
        </w:rPr>
        <w:br/>
      </w:r>
      <w:r w:rsidRPr="00223682">
        <w:rPr>
          <w:rFonts w:ascii="Times New Roman" w:hAnsi="Times New Roman"/>
          <w:szCs w:val="22"/>
        </w:rPr>
        <w:t>71 085 tis. eur.</w:t>
      </w:r>
    </w:p>
    <w:p w:rsidR="00496E50" w:rsidP="00496E50">
      <w:pPr>
        <w:bidi w:val="0"/>
        <w:rPr>
          <w:rFonts w:ascii="Times New Roman" w:hAnsi="Times New Roman"/>
          <w:szCs w:val="22"/>
        </w:rPr>
      </w:pPr>
      <w:r w:rsidRPr="00223682">
        <w:rPr>
          <w:rFonts w:ascii="Times New Roman" w:hAnsi="Times New Roman"/>
          <w:szCs w:val="22"/>
        </w:rPr>
        <w:t xml:space="preserve">Pod </w:t>
      </w:r>
      <w:r w:rsidRPr="00223682">
        <w:rPr>
          <w:rFonts w:ascii="Times New Roman" w:hAnsi="Times New Roman"/>
          <w:b/>
          <w:szCs w:val="22"/>
        </w:rPr>
        <w:t>korekciou k fondom EÚ</w:t>
      </w:r>
      <w:r w:rsidRPr="00223682">
        <w:rPr>
          <w:rFonts w:ascii="Times New Roman" w:hAnsi="Times New Roman"/>
          <w:szCs w:val="22"/>
        </w:rPr>
        <w:t xml:space="preserve"> sa rozumie porušenie uplatniteľného práva Únie alebo vnútroštátneho práva v súvislosti s výdavkami, ktoré boli vykázané Európskej komisii alebo v súvislosti s výdavkami schvaľovanými na národnej úrovni, v dôsledku čoho Slovenskej republike nie sú preplatené výdavky, ktoré potom musí pokryť štátny rozpočet. Negatívny vplyv na saldo verejnej správy 2017 mali finančné korekcie vo výške 26 175 tis. eur, z toho v dôsledku zníženia pohľadávky voči EU z dôvodu systémových korekcií</w:t>
      </w:r>
      <w:r>
        <w:rPr>
          <w:rStyle w:val="FootnoteReference"/>
          <w:rFonts w:ascii="Times New Roman" w:hAnsi="Times New Roman"/>
          <w:szCs w:val="22"/>
          <w:rtl w:val="0"/>
        </w:rPr>
        <w:footnoteReference w:id="8"/>
      </w:r>
      <w:r w:rsidRPr="00223682">
        <w:rPr>
          <w:rFonts w:ascii="Times New Roman" w:hAnsi="Times New Roman"/>
          <w:szCs w:val="22"/>
        </w:rPr>
        <w:t xml:space="preserve"> v sume 7 250 tis. eur a individuálnych korekcií</w:t>
      </w:r>
      <w:r>
        <w:rPr>
          <w:rStyle w:val="FootnoteReference"/>
          <w:rFonts w:ascii="Times New Roman" w:hAnsi="Times New Roman"/>
          <w:szCs w:val="22"/>
          <w:rtl w:val="0"/>
        </w:rPr>
        <w:footnoteReference w:id="9"/>
      </w:r>
      <w:r w:rsidRPr="00223682">
        <w:rPr>
          <w:rFonts w:ascii="Times New Roman" w:hAnsi="Times New Roman"/>
          <w:szCs w:val="22"/>
        </w:rPr>
        <w:t xml:space="preserve"> v sume 18 925 tis. eur. </w:t>
      </w:r>
    </w:p>
    <w:p w:rsidR="00496E50" w:rsidP="00496E50">
      <w:pPr>
        <w:bidi w:val="0"/>
        <w:rPr>
          <w:rFonts w:ascii="Times New Roman" w:hAnsi="Times New Roman"/>
          <w:szCs w:val="22"/>
        </w:rPr>
      </w:pPr>
      <w:r w:rsidRPr="00223682">
        <w:rPr>
          <w:rFonts w:ascii="Times New Roman" w:hAnsi="Times New Roman"/>
          <w:szCs w:val="22"/>
        </w:rPr>
        <w:t xml:space="preserve">V prípade, ak boli korekcie nahradené </w:t>
      </w:r>
      <w:r>
        <w:rPr>
          <w:rFonts w:ascii="Times New Roman" w:hAnsi="Times New Roman"/>
          <w:szCs w:val="22"/>
        </w:rPr>
        <w:t>novými výdavkami</w:t>
      </w:r>
      <w:r w:rsidRPr="00223682">
        <w:rPr>
          <w:rFonts w:ascii="Times New Roman" w:hAnsi="Times New Roman"/>
          <w:szCs w:val="22"/>
        </w:rPr>
        <w:t xml:space="preserve">, realizujú sa aj príjmy na príjmovom účte platobných jednotiek a zároveň bola v minulosti zaznamenaná programová (systémová) korekcia podľa požiadaviek Eurostatu v čase, keď bolo o nej rozhodnuté, išlo by o duplicitné zaznamenanie zníženia pohľadávky EÚ, jednak prostredníctvom nahlásenia korekcií v roku rozhodnutia a potom aj zmenou stavu pohľadávky vypočítanej ako rozdielu príjmov a výdavkov </w:t>
      </w:r>
      <w:r w:rsidR="00226A37">
        <w:rPr>
          <w:rFonts w:ascii="Times New Roman" w:hAnsi="Times New Roman"/>
          <w:szCs w:val="22"/>
        </w:rPr>
        <w:br/>
      </w:r>
      <w:r w:rsidRPr="00223682">
        <w:rPr>
          <w:rFonts w:ascii="Times New Roman" w:hAnsi="Times New Roman"/>
          <w:szCs w:val="22"/>
        </w:rPr>
        <w:t xml:space="preserve">zo zdroja EÚ na rozpočtovom účte </w:t>
      </w:r>
      <w:r w:rsidR="00025982">
        <w:rPr>
          <w:rFonts w:ascii="Times New Roman" w:hAnsi="Times New Roman"/>
          <w:szCs w:val="22"/>
        </w:rPr>
        <w:t xml:space="preserve">štátnych </w:t>
      </w:r>
      <w:r w:rsidRPr="00223682">
        <w:rPr>
          <w:rFonts w:ascii="Times New Roman" w:hAnsi="Times New Roman"/>
          <w:szCs w:val="22"/>
        </w:rPr>
        <w:t>rozpočtových organizácií. Z tohto dôvodu je duplicitný negatívny vplyv na schodok eliminovaný. Uvedené zohľadnila upravujúca položka očistenie vplyvu príjmov za prostriedky EÚ z dôvodu úhrady korekcií na náklady štátu vo výške 29 051 tis. eur.</w:t>
      </w:r>
    </w:p>
    <w:p w:rsidR="00496E50" w:rsidRPr="00223682" w:rsidP="00496E50">
      <w:pPr>
        <w:bidi w:val="0"/>
        <w:rPr>
          <w:rFonts w:ascii="Times New Roman" w:hAnsi="Times New Roman"/>
          <w:szCs w:val="22"/>
        </w:rPr>
      </w:pPr>
      <w:r>
        <w:rPr>
          <w:rFonts w:ascii="Times New Roman" w:hAnsi="Times New Roman"/>
          <w:szCs w:val="22"/>
        </w:rPr>
        <w:t>Podľa Rozhodnutia Eurostatu č. 22/2005 o zaznamenávaní transferov z EU do členských krajín má byť celkový vplyv EU tokov podľa metodiky ESA 2010 na schodok verejnej správy nulový. Upravujúca položka, ktorou sa eliminuje vplyv EU fondov na saldo verejnej správy mala negatívny vplyv na rozpočet vo výške 7 741 tis. eur.</w:t>
      </w:r>
    </w:p>
    <w:p w:rsidR="00496E50" w:rsidRPr="00223682" w:rsidP="00496E50">
      <w:pPr>
        <w:bidi w:val="0"/>
        <w:rPr>
          <w:rFonts w:ascii="Times New Roman" w:hAnsi="Times New Roman"/>
        </w:rPr>
      </w:pPr>
      <w:r w:rsidRPr="00223682">
        <w:rPr>
          <w:rFonts w:ascii="Times New Roman" w:hAnsi="Times New Roman"/>
        </w:rPr>
        <w:t xml:space="preserve">Vplyv </w:t>
      </w:r>
      <w:r w:rsidRPr="000B7DCF">
        <w:rPr>
          <w:rFonts w:ascii="Times New Roman" w:hAnsi="Times New Roman"/>
          <w:b/>
        </w:rPr>
        <w:t>akruálnych príjmov a výdavkov na obsluhu štátneho dlhu</w:t>
      </w:r>
      <w:r w:rsidRPr="00223682">
        <w:rPr>
          <w:rFonts w:ascii="Times New Roman" w:hAnsi="Times New Roman"/>
        </w:rPr>
        <w:t xml:space="preserve"> predstavoval v roku 2017 40 798 tis. eur a úspora oproti rozpočtovanými príjmami a výdavkami bola 134 629 tis. eur</w:t>
      </w:r>
      <w:r w:rsidR="00D15ADB">
        <w:rPr>
          <w:rFonts w:ascii="Times New Roman" w:hAnsi="Times New Roman"/>
        </w:rPr>
        <w:t>.</w:t>
      </w:r>
      <w:r w:rsidRPr="00223682">
        <w:rPr>
          <w:rFonts w:ascii="Times New Roman" w:hAnsi="Times New Roman"/>
        </w:rPr>
        <w:t xml:space="preserve"> Rozdiel medzi rozpočtovaným a skutočným hotovostným transferom zo štátneho rozpočtu na saldo účet kapitoly štátny dlh bol vo výške 143 481 tis. eur. Úspora bola dosiahnutá vplyvom monetárnej politiky Európskej centrálnej banky a domácimi makroekonomickými fundamentami. V roku 2017 ARDAL emitoval o 573 612 tis. eur menej dlhopisov oproti uvažovanému emisnému plánu v čase zostavovania rozpočtu. Nižšie zaplatené poplatky súvisiace s emitovaním cenných papierov mali pozitívny vplyv na celkovú úsporu v  hodnote 8 089 tis. eur.</w:t>
      </w:r>
    </w:p>
    <w:p w:rsidR="00496E50" w:rsidRPr="00223682" w:rsidP="00496E50">
      <w:pPr>
        <w:bidi w:val="0"/>
        <w:rPr>
          <w:rFonts w:ascii="Times New Roman" w:hAnsi="Times New Roman"/>
          <w:szCs w:val="22"/>
        </w:rPr>
      </w:pPr>
      <w:r w:rsidRPr="00223682">
        <w:rPr>
          <w:rFonts w:ascii="Times New Roman" w:hAnsi="Times New Roman"/>
          <w:szCs w:val="22"/>
        </w:rPr>
        <w:t xml:space="preserve">Schválený rozpočet </w:t>
      </w:r>
      <w:r w:rsidRPr="00223682">
        <w:rPr>
          <w:rFonts w:ascii="Times New Roman" w:hAnsi="Times New Roman"/>
          <w:b/>
          <w:szCs w:val="22"/>
        </w:rPr>
        <w:t>výdavkov na</w:t>
      </w:r>
      <w:r w:rsidRPr="00223682">
        <w:rPr>
          <w:rFonts w:ascii="Times New Roman" w:hAnsi="Times New Roman"/>
          <w:szCs w:val="22"/>
        </w:rPr>
        <w:t xml:space="preserve"> </w:t>
      </w:r>
      <w:r w:rsidRPr="00223682">
        <w:rPr>
          <w:rFonts w:ascii="Times New Roman" w:hAnsi="Times New Roman"/>
          <w:b/>
          <w:szCs w:val="22"/>
        </w:rPr>
        <w:t>sociálne poistenie</w:t>
      </w:r>
      <w:r w:rsidRPr="00223682">
        <w:rPr>
          <w:rFonts w:ascii="Times New Roman" w:hAnsi="Times New Roman"/>
          <w:szCs w:val="22"/>
        </w:rPr>
        <w:t xml:space="preserve"> bol vo výške 7 518 035 tis. eur, dosiahnutá skutočnosť predstavovala sumu 7 547 383 tis. eur. Výdavky na sociálne poistenie boli očistené o vplyv poistného zaplateného v roku 2016, ktoré súviselo s rokom 2017 o 257 tis. eur. Výsledkom boli zvýšené výdavky na sociálnom poistení o 29 605 tis. eur oproti schválenému rozpočtu.</w:t>
      </w:r>
    </w:p>
    <w:p w:rsidR="00496E50" w:rsidRPr="00223682" w:rsidP="00496E50">
      <w:pPr>
        <w:bidi w:val="0"/>
        <w:rPr>
          <w:rFonts w:ascii="Times New Roman" w:hAnsi="Times New Roman"/>
          <w:color w:val="FF0000"/>
          <w:szCs w:val="22"/>
        </w:rPr>
      </w:pPr>
      <w:r w:rsidRPr="00223682">
        <w:rPr>
          <w:rFonts w:ascii="Times New Roman" w:hAnsi="Times New Roman"/>
          <w:b/>
          <w:szCs w:val="22"/>
        </w:rPr>
        <w:t>Výdavky verejného zdravotného poistenia</w:t>
      </w:r>
      <w:r w:rsidRPr="00223682">
        <w:rPr>
          <w:rFonts w:ascii="Times New Roman" w:hAnsi="Times New Roman"/>
          <w:szCs w:val="22"/>
        </w:rPr>
        <w:t xml:space="preserve"> boli rozpočtované v sume 4 461 557 tis. eur, skutočnosť však bola o 62 080 tis. eur vyššia.</w:t>
      </w:r>
      <w:r w:rsidRPr="00223682">
        <w:rPr>
          <w:rFonts w:ascii="Times New Roman" w:hAnsi="Times New Roman"/>
          <w:color w:val="FF0000"/>
          <w:szCs w:val="22"/>
        </w:rPr>
        <w:t xml:space="preserve"> </w:t>
      </w:r>
      <w:r w:rsidRPr="00223682">
        <w:rPr>
          <w:rFonts w:ascii="Times New Roman" w:hAnsi="Times New Roman"/>
          <w:szCs w:val="22"/>
        </w:rPr>
        <w:t xml:space="preserve">Celkový prebytok bol oproti rozpočtu vyšší </w:t>
      </w:r>
      <w:r w:rsidR="00226A37">
        <w:rPr>
          <w:rFonts w:ascii="Times New Roman" w:hAnsi="Times New Roman"/>
          <w:szCs w:val="22"/>
        </w:rPr>
        <w:br/>
      </w:r>
      <w:r w:rsidRPr="00223682">
        <w:rPr>
          <w:rFonts w:ascii="Times New Roman" w:hAnsi="Times New Roman"/>
          <w:szCs w:val="22"/>
        </w:rPr>
        <w:t>o 145 687 tis. eur.</w:t>
      </w:r>
    </w:p>
    <w:p w:rsidR="00496E50" w:rsidRPr="00223682" w:rsidP="00496E50">
      <w:pPr>
        <w:bidi w:val="0"/>
        <w:rPr>
          <w:rFonts w:ascii="Times New Roman" w:hAnsi="Times New Roman"/>
          <w:szCs w:val="22"/>
        </w:rPr>
      </w:pPr>
      <w:r w:rsidRPr="00223682">
        <w:rPr>
          <w:rFonts w:ascii="Times New Roman" w:hAnsi="Times New Roman"/>
          <w:szCs w:val="22"/>
        </w:rPr>
        <w:t xml:space="preserve">Na hospodárenie </w:t>
      </w:r>
      <w:r w:rsidRPr="00223682">
        <w:rPr>
          <w:rFonts w:ascii="Times New Roman" w:hAnsi="Times New Roman"/>
          <w:b/>
          <w:szCs w:val="22"/>
        </w:rPr>
        <w:t>Národnej diaľničnej spoločnosti</w:t>
      </w:r>
      <w:r w:rsidRPr="00223682">
        <w:rPr>
          <w:rFonts w:ascii="Times New Roman" w:hAnsi="Times New Roman"/>
          <w:szCs w:val="22"/>
        </w:rPr>
        <w:t xml:space="preserve"> malo negatívny vplyv vo výške 90 270 tis. eur oproti rozpočtu hlavne nižšie čerpanie dotácií a s tým súvisiace nižšie realizovanie výdavkov </w:t>
      </w:r>
      <w:r w:rsidR="00226A37">
        <w:rPr>
          <w:rFonts w:ascii="Times New Roman" w:hAnsi="Times New Roman"/>
          <w:szCs w:val="22"/>
        </w:rPr>
        <w:br/>
      </w:r>
      <w:r w:rsidRPr="00223682">
        <w:rPr>
          <w:rFonts w:ascii="Times New Roman" w:hAnsi="Times New Roman"/>
          <w:szCs w:val="22"/>
        </w:rPr>
        <w:t>na obstarávanie kapitálových aktív vo výške 83 404 tis. eur vplyvom časového posunu realizácie investičných projektov do nasledujúceho obdobia.</w:t>
      </w:r>
    </w:p>
    <w:p w:rsidR="00496E50" w:rsidRPr="00223682" w:rsidP="00496E50">
      <w:pPr>
        <w:bidi w:val="0"/>
        <w:rPr>
          <w:rFonts w:ascii="Times New Roman" w:hAnsi="Times New Roman"/>
          <w:szCs w:val="22"/>
        </w:rPr>
      </w:pPr>
      <w:r w:rsidRPr="00223682">
        <w:rPr>
          <w:rFonts w:ascii="Times New Roman" w:hAnsi="Times New Roman"/>
          <w:b/>
          <w:szCs w:val="22"/>
        </w:rPr>
        <w:t>Železnice Slovenskej republiky</w:t>
      </w:r>
      <w:r w:rsidRPr="00223682">
        <w:rPr>
          <w:rFonts w:ascii="Times New Roman" w:hAnsi="Times New Roman"/>
          <w:szCs w:val="22"/>
        </w:rPr>
        <w:t xml:space="preserve"> hospodárili oproti rozpočtu verejnej správy</w:t>
      </w:r>
      <w:r>
        <w:rPr>
          <w:rFonts w:ascii="Times New Roman" w:hAnsi="Times New Roman"/>
          <w:szCs w:val="22"/>
        </w:rPr>
        <w:t xml:space="preserve"> horšie </w:t>
      </w:r>
      <w:r w:rsidRPr="00223682">
        <w:rPr>
          <w:rFonts w:ascii="Times New Roman" w:hAnsi="Times New Roman"/>
          <w:szCs w:val="22"/>
        </w:rPr>
        <w:t xml:space="preserve">o 94 644 tis. eur </w:t>
      </w:r>
      <w:r>
        <w:rPr>
          <w:rFonts w:ascii="Times New Roman" w:hAnsi="Times New Roman"/>
          <w:szCs w:val="22"/>
        </w:rPr>
        <w:t xml:space="preserve">a to </w:t>
      </w:r>
      <w:r w:rsidRPr="00223682">
        <w:rPr>
          <w:rFonts w:ascii="Times New Roman" w:hAnsi="Times New Roman"/>
          <w:szCs w:val="22"/>
        </w:rPr>
        <w:t xml:space="preserve">predovšetkým z dôvodu poklesu pohľadávok o 69 752 tis. eur (odchýlka bola spôsobená inkasom pohľadávky voči MDV SR ako kompenzácie finančných dopadov pre nákladných dopravcov). </w:t>
      </w:r>
    </w:p>
    <w:p w:rsidR="00496E50" w:rsidRPr="00223682" w:rsidP="00496E50">
      <w:pPr>
        <w:bidi w:val="0"/>
        <w:rPr>
          <w:rFonts w:ascii="Times New Roman" w:hAnsi="Times New Roman"/>
          <w:b/>
          <w:szCs w:val="22"/>
        </w:rPr>
      </w:pPr>
      <w:r w:rsidRPr="00223682">
        <w:rPr>
          <w:rFonts w:ascii="Times New Roman" w:hAnsi="Times New Roman"/>
          <w:b/>
          <w:szCs w:val="22"/>
        </w:rPr>
        <w:t>Príspevkové organizácie ústrednej správy</w:t>
      </w:r>
      <w:r w:rsidRPr="00223682">
        <w:rPr>
          <w:rFonts w:ascii="Times New Roman" w:hAnsi="Times New Roman"/>
          <w:szCs w:val="22"/>
        </w:rPr>
        <w:t xml:space="preserve"> dosiahli hospodárenie o 47 114 tis. eur lepšie oproti rozpočtu, čo bolo spôsobené najmä pridelením väčšieho objemu grantov ako predpokladal rozpočet.</w:t>
      </w:r>
    </w:p>
    <w:p w:rsidR="00496E50" w:rsidRPr="00223682" w:rsidP="00496E50">
      <w:pPr>
        <w:bidi w:val="0"/>
        <w:rPr>
          <w:rFonts w:ascii="Times New Roman" w:hAnsi="Times New Roman"/>
          <w:szCs w:val="22"/>
        </w:rPr>
      </w:pPr>
      <w:r w:rsidRPr="00223682">
        <w:rPr>
          <w:rFonts w:ascii="Times New Roman" w:hAnsi="Times New Roman"/>
          <w:szCs w:val="22"/>
        </w:rPr>
        <w:t xml:space="preserve">Na pozitívne hospodárenie </w:t>
      </w:r>
      <w:r w:rsidRPr="00223682">
        <w:rPr>
          <w:rFonts w:ascii="Times New Roman" w:hAnsi="Times New Roman"/>
          <w:b/>
          <w:szCs w:val="22"/>
        </w:rPr>
        <w:t>Slovenského pozemkového fondu</w:t>
      </w:r>
      <w:r w:rsidRPr="00223682">
        <w:rPr>
          <w:rFonts w:ascii="Times New Roman" w:hAnsi="Times New Roman"/>
          <w:szCs w:val="22"/>
        </w:rPr>
        <w:t xml:space="preserve"> o 20 825 tis. eur oproti rozpočtu mal vplyv pokles záväzku voči MPRV SR uhradením dividen</w:t>
      </w:r>
      <w:r>
        <w:rPr>
          <w:rFonts w:ascii="Times New Roman" w:hAnsi="Times New Roman"/>
          <w:szCs w:val="22"/>
        </w:rPr>
        <w:t>dy z výsledku hospodárenia za rok</w:t>
      </w:r>
      <w:r w:rsidRPr="00223682">
        <w:rPr>
          <w:rFonts w:ascii="Times New Roman" w:hAnsi="Times New Roman"/>
          <w:szCs w:val="22"/>
        </w:rPr>
        <w:t xml:space="preserve"> 2015 vo výške 11 596 tis. eur. </w:t>
      </w:r>
    </w:p>
    <w:p w:rsidR="00496E50" w:rsidRPr="00223682" w:rsidP="00496E50">
      <w:pPr>
        <w:bidi w:val="0"/>
        <w:rPr>
          <w:rFonts w:ascii="Times New Roman" w:hAnsi="Times New Roman"/>
          <w:szCs w:val="22"/>
        </w:rPr>
      </w:pPr>
      <w:r w:rsidRPr="00223682">
        <w:rPr>
          <w:rFonts w:ascii="Times New Roman" w:hAnsi="Times New Roman"/>
          <w:szCs w:val="22"/>
        </w:rPr>
        <w:t>Hospodárenie</w:t>
      </w:r>
      <w:r w:rsidRPr="00223682">
        <w:rPr>
          <w:rFonts w:ascii="Times New Roman" w:hAnsi="Times New Roman"/>
          <w:b/>
          <w:szCs w:val="22"/>
        </w:rPr>
        <w:t xml:space="preserve"> Verejných vysokých škôl </w:t>
      </w:r>
      <w:r w:rsidRPr="00223682">
        <w:rPr>
          <w:rFonts w:ascii="Times New Roman" w:hAnsi="Times New Roman"/>
          <w:szCs w:val="22"/>
        </w:rPr>
        <w:t>bolo lepšie oproti rozpočtu o 21 203 tis. eur, čo bolo spôsobené vyšším príjmom z administratívnych poplatkov najmä školné za zahraničných študentov, externé štúdium a štipendiá.</w:t>
      </w:r>
    </w:p>
    <w:p w:rsidR="00496E50" w:rsidRPr="004179B8" w:rsidP="00496E50">
      <w:pPr>
        <w:bidi w:val="0"/>
        <w:rPr>
          <w:rFonts w:ascii="Times New Roman" w:hAnsi="Times New Roman"/>
          <w:szCs w:val="22"/>
        </w:rPr>
      </w:pPr>
      <w:r w:rsidRPr="00223682">
        <w:rPr>
          <w:rFonts w:ascii="Times New Roman" w:hAnsi="Times New Roman"/>
          <w:b/>
          <w:szCs w:val="22"/>
        </w:rPr>
        <w:t>Zdravotnícke zariadenia</w:t>
      </w:r>
      <w:r w:rsidRPr="00223682">
        <w:rPr>
          <w:rFonts w:ascii="Times New Roman" w:hAnsi="Times New Roman"/>
          <w:szCs w:val="22"/>
        </w:rPr>
        <w:t xml:space="preserve"> zaradené do verejnej správy dosiahli schodok 35 276</w:t>
      </w:r>
      <w:r>
        <w:rPr>
          <w:rFonts w:ascii="Times New Roman" w:hAnsi="Times New Roman"/>
          <w:szCs w:val="22"/>
        </w:rPr>
        <w:t xml:space="preserve"> tis. eur</w:t>
      </w:r>
      <w:r w:rsidRPr="00223682">
        <w:rPr>
          <w:rFonts w:ascii="Times New Roman" w:hAnsi="Times New Roman"/>
          <w:szCs w:val="22"/>
        </w:rPr>
        <w:t xml:space="preserve">, čo </w:t>
      </w:r>
      <w:r>
        <w:rPr>
          <w:rFonts w:ascii="Times New Roman" w:hAnsi="Times New Roman"/>
          <w:szCs w:val="22"/>
        </w:rPr>
        <w:t xml:space="preserve"> predstavuje </w:t>
      </w:r>
      <w:r w:rsidRPr="00223682">
        <w:rPr>
          <w:rFonts w:ascii="Times New Roman" w:hAnsi="Times New Roman"/>
          <w:szCs w:val="22"/>
        </w:rPr>
        <w:t xml:space="preserve">zhoršenie hospodárenia oproti rozpočtu o 34 107 tis. eur.  Z toho zdravotnícke zariadenia zaradené do ústrednej správy hospodárili so schodkom 33 393 tis. eur a zdravotnícke zariadenia zaradené do miestnej </w:t>
      </w:r>
      <w:r w:rsidRPr="004179B8">
        <w:rPr>
          <w:rFonts w:ascii="Times New Roman" w:hAnsi="Times New Roman"/>
          <w:szCs w:val="22"/>
        </w:rPr>
        <w:t xml:space="preserve">samosprávy hospodárili so schodkom 1 883 tis. eur. Rozdiel oproti rozpočtu je spôsobený najmä nárastom záväzkov voči zamestnancom a zvýšením záväzkov </w:t>
      </w:r>
      <w:r w:rsidR="00226A37">
        <w:rPr>
          <w:rFonts w:ascii="Times New Roman" w:hAnsi="Times New Roman"/>
          <w:szCs w:val="22"/>
        </w:rPr>
        <w:br/>
      </w:r>
      <w:r w:rsidRPr="004179B8">
        <w:rPr>
          <w:rFonts w:ascii="Times New Roman" w:hAnsi="Times New Roman"/>
          <w:szCs w:val="22"/>
        </w:rPr>
        <w:t>z dodávateľských faktúr.</w:t>
      </w:r>
    </w:p>
    <w:p w:rsidR="00496E50" w:rsidRPr="00223682" w:rsidP="00496E50">
      <w:pPr>
        <w:bidi w:val="0"/>
        <w:rPr>
          <w:rFonts w:ascii="Times New Roman" w:hAnsi="Times New Roman"/>
          <w:szCs w:val="22"/>
        </w:rPr>
      </w:pPr>
      <w:r w:rsidRPr="004179B8">
        <w:rPr>
          <w:rFonts w:ascii="Times New Roman" w:hAnsi="Times New Roman"/>
          <w:szCs w:val="22"/>
        </w:rPr>
        <w:t xml:space="preserve">Zhoršenie hospodárenia </w:t>
      </w:r>
      <w:r w:rsidRPr="004179B8">
        <w:rPr>
          <w:rFonts w:ascii="Times New Roman" w:hAnsi="Times New Roman"/>
          <w:b/>
          <w:szCs w:val="22"/>
        </w:rPr>
        <w:t>územnej samosprávy</w:t>
      </w:r>
      <w:r w:rsidRPr="004179B8">
        <w:rPr>
          <w:rFonts w:ascii="Times New Roman" w:hAnsi="Times New Roman"/>
          <w:szCs w:val="22"/>
        </w:rPr>
        <w:t xml:space="preserve"> oproti rozpočtu malo vplyv na schodok vo výške           258 403 tis. eur, z čoho obce v sume 131 237 tis. eur. Výšku schodku sčasti pozitívne ovplyvnilo nižšie čerpanie výdavkov oproti rozpočtu v sume 366 826 tis. eur, hlavne na položke tovarov a služieb v bežných výdavkoch a na položke obstarávania kapitálový</w:t>
      </w:r>
      <w:r>
        <w:rPr>
          <w:rFonts w:ascii="Times New Roman" w:hAnsi="Times New Roman"/>
          <w:szCs w:val="22"/>
        </w:rPr>
        <w:t xml:space="preserve">ch aktív v kapitálových výdavkoch. Naopak v príjmovej časti bolo zaznamenané nižšie čerpanie </w:t>
      </w:r>
      <w:r w:rsidRPr="004179B8">
        <w:rPr>
          <w:rFonts w:ascii="Times New Roman" w:hAnsi="Times New Roman"/>
          <w:szCs w:val="22"/>
        </w:rPr>
        <w:t>na  položke granty a</w:t>
      </w:r>
      <w:r>
        <w:rPr>
          <w:rFonts w:ascii="Times New Roman" w:hAnsi="Times New Roman"/>
          <w:szCs w:val="22"/>
        </w:rPr>
        <w:t xml:space="preserve"> transfery. </w:t>
      </w:r>
      <w:r w:rsidRPr="004179B8">
        <w:rPr>
          <w:rFonts w:ascii="Times New Roman" w:hAnsi="Times New Roman"/>
          <w:szCs w:val="22"/>
        </w:rPr>
        <w:t>VÚC negatívne vplývali na schodok sumou 125 638 tis. eur. Mierny prebytok zaznamenali príspevkové organizácie obcí a ostatné subjekty miestnej samosprávy. Za územnú samosprávu sa v tomto prípade považujú samotné obce, vyššie územné celky a ich rozpočtové a príspevkové organizácie, dopravné podniky samosprávy a ostatné subjekty miestnej samosprávy.</w:t>
      </w:r>
    </w:p>
    <w:p w:rsidR="00DD2BD6" w:rsidP="00EA5A57">
      <w:pPr>
        <w:bidi w:val="0"/>
        <w:spacing w:after="0"/>
        <w:rPr>
          <w:rFonts w:ascii="Times New Roman" w:hAnsi="Times New Roman"/>
          <w:szCs w:val="22"/>
        </w:rPr>
      </w:pPr>
      <w:r w:rsidRPr="00496E50">
        <w:rPr>
          <w:rFonts w:ascii="Times New Roman" w:hAnsi="Times New Roman"/>
          <w:szCs w:val="22"/>
        </w:rPr>
        <w:t>Saldo verejnej správy podľa jednotlivých subjektov v roku 201</w:t>
      </w:r>
      <w:r w:rsidRPr="00496E50" w:rsidR="00496E50">
        <w:rPr>
          <w:rFonts w:ascii="Times New Roman" w:hAnsi="Times New Roman"/>
          <w:szCs w:val="22"/>
        </w:rPr>
        <w:t>7</w:t>
      </w:r>
      <w:r w:rsidRPr="00496E50">
        <w:rPr>
          <w:rFonts w:ascii="Times New Roman" w:hAnsi="Times New Roman"/>
          <w:szCs w:val="22"/>
        </w:rPr>
        <w:t xml:space="preserve"> obsahuje nasledovná tabuľka.</w:t>
      </w:r>
    </w:p>
    <w:tbl>
      <w:tblPr>
        <w:tblStyle w:val="TableNormal"/>
        <w:tblW w:w="9026" w:type="dxa"/>
        <w:tblLayout w:type="fixed"/>
        <w:tblCellMar>
          <w:left w:w="70" w:type="dxa"/>
          <w:right w:w="70" w:type="dxa"/>
        </w:tblCellMar>
        <w:tblLook w:val="04A0"/>
      </w:tblPr>
      <w:tblGrid>
        <w:gridCol w:w="179"/>
        <w:gridCol w:w="219"/>
        <w:gridCol w:w="3323"/>
        <w:gridCol w:w="203"/>
        <w:gridCol w:w="1011"/>
        <w:gridCol w:w="1011"/>
        <w:gridCol w:w="1011"/>
        <w:gridCol w:w="1036"/>
        <w:gridCol w:w="1033"/>
      </w:tblGrid>
      <w:tr>
        <w:tblPrEx>
          <w:tblW w:w="9026" w:type="dxa"/>
          <w:tblLayout w:type="fixed"/>
          <w:tblCellMar>
            <w:left w:w="70" w:type="dxa"/>
            <w:right w:w="70" w:type="dxa"/>
          </w:tblCellMar>
          <w:tblLook w:val="04A0"/>
        </w:tblPrEx>
        <w:trPr>
          <w:trHeight w:val="331"/>
        </w:trPr>
        <w:tc>
          <w:tcPr>
            <w:tcW w:w="7993" w:type="dxa"/>
            <w:gridSpan w:val="8"/>
            <w:tcBorders>
              <w:top w:val="nil"/>
              <w:left w:val="nil"/>
              <w:bottom w:val="single" w:sz="4" w:space="0" w:color="auto"/>
              <w:right w:val="nil"/>
            </w:tcBorders>
            <w:shd w:val="clear" w:color="000000" w:fill="000000"/>
            <w:noWrap/>
            <w:textDirection w:val="lrTb"/>
            <w:vAlign w:val="center"/>
            <w:hideMark/>
          </w:tcPr>
          <w:p w:rsidR="00496E50" w:rsidRPr="00223682" w:rsidP="000A162C">
            <w:pPr>
              <w:bidi w:val="0"/>
              <w:spacing w:after="0" w:line="240" w:lineRule="auto"/>
              <w:jc w:val="left"/>
              <w:rPr>
                <w:rFonts w:ascii="Times New Roman" w:hAnsi="Times New Roman"/>
                <w:b/>
                <w:bCs/>
                <w:color w:val="FFFFFF"/>
                <w:sz w:val="20"/>
                <w:szCs w:val="20"/>
                <w:lang w:eastAsia="sk-SK"/>
              </w:rPr>
            </w:pPr>
            <w:r w:rsidRPr="00223682">
              <w:rPr>
                <w:rFonts w:ascii="Times New Roman" w:hAnsi="Times New Roman"/>
                <w:b/>
                <w:bCs/>
                <w:color w:val="FFFFFF"/>
                <w:sz w:val="20"/>
                <w:szCs w:val="20"/>
                <w:lang w:eastAsia="sk-SK"/>
              </w:rPr>
              <w:t xml:space="preserve">Schodok verejnej správy podľa jednotlivých subjektov </w:t>
            </w:r>
          </w:p>
        </w:tc>
        <w:tc>
          <w:tcPr>
            <w:tcW w:w="1032" w:type="dxa"/>
            <w:tcBorders>
              <w:top w:val="nil"/>
              <w:left w:val="nil"/>
              <w:bottom w:val="nil"/>
              <w:right w:val="single" w:sz="8" w:space="0" w:color="auto"/>
            </w:tcBorders>
            <w:shd w:val="clear" w:color="000000" w:fill="000000"/>
            <w:noWrap/>
            <w:textDirection w:val="lrTb"/>
            <w:vAlign w:val="center"/>
            <w:hideMark/>
          </w:tcPr>
          <w:p w:rsidR="00496E50" w:rsidRPr="00223682" w:rsidP="000A162C">
            <w:pPr>
              <w:bidi w:val="0"/>
              <w:spacing w:after="0" w:line="240" w:lineRule="auto"/>
              <w:jc w:val="right"/>
              <w:rPr>
                <w:rFonts w:ascii="Times New Roman" w:hAnsi="Times New Roman"/>
                <w:b/>
                <w:bCs/>
                <w:color w:val="FFFFFF"/>
                <w:sz w:val="20"/>
                <w:szCs w:val="20"/>
                <w:lang w:eastAsia="sk-SK"/>
              </w:rPr>
            </w:pPr>
            <w:r w:rsidRPr="00223682">
              <w:rPr>
                <w:rFonts w:ascii="Times New Roman" w:hAnsi="Times New Roman"/>
                <w:b/>
                <w:bCs/>
                <w:color w:val="FFFFFF"/>
                <w:sz w:val="20"/>
                <w:szCs w:val="20"/>
                <w:lang w:eastAsia="sk-SK"/>
              </w:rPr>
              <w:t>v tis. eur</w:t>
            </w:r>
          </w:p>
        </w:tc>
      </w:tr>
      <w:tr>
        <w:tblPrEx>
          <w:tblW w:w="9026" w:type="dxa"/>
          <w:tblLayout w:type="fixed"/>
          <w:tblCellMar>
            <w:left w:w="70" w:type="dxa"/>
            <w:right w:w="70" w:type="dxa"/>
          </w:tblCellMar>
          <w:tblLook w:val="04A0"/>
        </w:tblPrEx>
        <w:trPr>
          <w:trHeight w:val="331"/>
        </w:trPr>
        <w:tc>
          <w:tcPr>
            <w:tcW w:w="3924" w:type="dxa"/>
            <w:gridSpan w:val="4"/>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 </w:t>
            </w:r>
          </w:p>
        </w:tc>
        <w:tc>
          <w:tcPr>
            <w:tcW w:w="1011" w:type="dxa"/>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2015</w:t>
            </w:r>
          </w:p>
        </w:tc>
        <w:tc>
          <w:tcPr>
            <w:tcW w:w="1011" w:type="dxa"/>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2016</w:t>
            </w:r>
          </w:p>
        </w:tc>
        <w:tc>
          <w:tcPr>
            <w:tcW w:w="1011" w:type="dxa"/>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2017</w:t>
            </w:r>
          </w:p>
        </w:tc>
        <w:tc>
          <w:tcPr>
            <w:tcW w:w="1035" w:type="dxa"/>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2017</w:t>
            </w:r>
          </w:p>
        </w:tc>
        <w:tc>
          <w:tcPr>
            <w:tcW w:w="1032" w:type="dxa"/>
            <w:tcBorders>
              <w:top w:val="single" w:sz="4" w:space="0" w:color="auto"/>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2017</w:t>
            </w:r>
          </w:p>
        </w:tc>
      </w:tr>
      <w:tr>
        <w:tblPrEx>
          <w:tblW w:w="9026" w:type="dxa"/>
          <w:tblLayout w:type="fixed"/>
          <w:tblCellMar>
            <w:left w:w="70" w:type="dxa"/>
            <w:right w:w="70" w:type="dxa"/>
          </w:tblCellMar>
          <w:tblLook w:val="04A0"/>
        </w:tblPrEx>
        <w:trPr>
          <w:trHeight w:val="331"/>
        </w:trPr>
        <w:tc>
          <w:tcPr>
            <w:tcW w:w="3721" w:type="dxa"/>
            <w:gridSpan w:val="3"/>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 </w:t>
            </w:r>
          </w:p>
        </w:tc>
        <w:tc>
          <w:tcPr>
            <w:tcW w:w="1214" w:type="dxa"/>
            <w:gridSpan w:val="2"/>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18"/>
                <w:szCs w:val="18"/>
                <w:lang w:eastAsia="sk-SK"/>
              </w:rPr>
            </w:pPr>
            <w:r w:rsidRPr="00223682">
              <w:rPr>
                <w:rFonts w:ascii="Times New Roman" w:hAnsi="Times New Roman"/>
                <w:b/>
                <w:bCs/>
                <w:sz w:val="18"/>
                <w:szCs w:val="18"/>
                <w:lang w:eastAsia="sk-SK"/>
              </w:rPr>
              <w:t>Skutočnosť</w:t>
            </w:r>
          </w:p>
        </w:tc>
        <w:tc>
          <w:tcPr>
            <w:tcW w:w="1011" w:type="dxa"/>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18"/>
                <w:szCs w:val="18"/>
                <w:lang w:eastAsia="sk-SK"/>
              </w:rPr>
            </w:pPr>
            <w:r w:rsidRPr="00223682">
              <w:rPr>
                <w:rFonts w:ascii="Times New Roman" w:hAnsi="Times New Roman"/>
                <w:b/>
                <w:bCs/>
                <w:sz w:val="18"/>
                <w:szCs w:val="18"/>
                <w:lang w:eastAsia="sk-SK"/>
              </w:rPr>
              <w:t>Skutočnosť</w:t>
            </w:r>
          </w:p>
        </w:tc>
        <w:tc>
          <w:tcPr>
            <w:tcW w:w="1011" w:type="dxa"/>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18"/>
                <w:szCs w:val="18"/>
                <w:lang w:eastAsia="sk-SK"/>
              </w:rPr>
            </w:pPr>
            <w:r w:rsidRPr="00223682">
              <w:rPr>
                <w:rFonts w:ascii="Times New Roman" w:hAnsi="Times New Roman"/>
                <w:b/>
                <w:bCs/>
                <w:sz w:val="18"/>
                <w:szCs w:val="18"/>
                <w:lang w:eastAsia="sk-SK"/>
              </w:rPr>
              <w:t>Skutočnosť</w:t>
            </w:r>
          </w:p>
        </w:tc>
        <w:tc>
          <w:tcPr>
            <w:tcW w:w="1035" w:type="dxa"/>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Rozpočet</w:t>
            </w:r>
          </w:p>
        </w:tc>
        <w:tc>
          <w:tcPr>
            <w:tcW w:w="1032" w:type="dxa"/>
            <w:tcBorders>
              <w:top w:val="nil"/>
              <w:left w:val="nil"/>
              <w:bottom w:val="nil"/>
              <w:right w:val="nil"/>
            </w:tcBorders>
            <w:shd w:val="clear" w:color="000000" w:fill="BFBFBF"/>
            <w:noWrap/>
            <w:textDirection w:val="lrTb"/>
            <w:vAlign w:val="center"/>
            <w:hideMark/>
          </w:tcPr>
          <w:p w:rsidR="00496E50" w:rsidRPr="00223682" w:rsidP="000A162C">
            <w:pPr>
              <w:bidi w:val="0"/>
              <w:spacing w:after="0" w:line="240" w:lineRule="auto"/>
              <w:jc w:val="center"/>
              <w:rPr>
                <w:rFonts w:ascii="Times New Roman" w:hAnsi="Times New Roman"/>
                <w:b/>
                <w:bCs/>
                <w:sz w:val="20"/>
                <w:szCs w:val="20"/>
                <w:lang w:eastAsia="sk-SK"/>
              </w:rPr>
            </w:pPr>
            <w:r w:rsidRPr="00223682">
              <w:rPr>
                <w:rFonts w:ascii="Times New Roman" w:hAnsi="Times New Roman"/>
                <w:b/>
                <w:bCs/>
                <w:sz w:val="20"/>
                <w:szCs w:val="20"/>
                <w:lang w:eastAsia="sk-SK"/>
              </w:rPr>
              <w:t>(S -R)</w:t>
            </w:r>
          </w:p>
        </w:tc>
      </w:tr>
      <w:tr>
        <w:tblPrEx>
          <w:tblW w:w="9026" w:type="dxa"/>
          <w:tblLayout w:type="fixed"/>
          <w:tblCellMar>
            <w:left w:w="70" w:type="dxa"/>
            <w:right w:w="70" w:type="dxa"/>
          </w:tblCellMar>
          <w:tblLook w:val="04A0"/>
        </w:tblPrEx>
        <w:trPr>
          <w:trHeight w:val="331"/>
        </w:trPr>
        <w:tc>
          <w:tcPr>
            <w:tcW w:w="9026" w:type="dxa"/>
            <w:gridSpan w:val="9"/>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Ústredná správa</w:t>
            </w:r>
          </w:p>
        </w:tc>
      </w:tr>
      <w:tr>
        <w:tblPrEx>
          <w:tblW w:w="9026" w:type="dxa"/>
          <w:tblLayout w:type="fixed"/>
          <w:tblCellMar>
            <w:left w:w="70" w:type="dxa"/>
            <w:right w:w="70" w:type="dxa"/>
          </w:tblCellMar>
          <w:tblLook w:val="04A0"/>
        </w:tblPrEx>
        <w:trPr>
          <w:trHeight w:val="279"/>
        </w:trPr>
        <w:tc>
          <w:tcPr>
            <w:tcW w:w="9026" w:type="dxa"/>
            <w:gridSpan w:val="9"/>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z toho:</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Štátny rozpočet</w:t>
            </w:r>
            <w:r w:rsidRPr="00223682">
              <w:rPr>
                <w:rFonts w:ascii="Times New Roman" w:hAnsi="Times New Roman"/>
                <w:sz w:val="20"/>
                <w:szCs w:val="20"/>
                <w:vertAlign w:val="superscript"/>
                <w:lang w:eastAsia="sk-SK"/>
              </w:rPr>
              <w:t>1</w:t>
            </w:r>
            <w:r w:rsidRPr="00223682">
              <w:rPr>
                <w:rFonts w:ascii="Times New Roman" w:hAnsi="Times New Roman"/>
                <w:color w:val="000000"/>
                <w:sz w:val="20"/>
                <w:szCs w:val="20"/>
                <w:vertAlign w:val="superscript"/>
                <w:lang w:eastAsia="sk-SK"/>
              </w:rPr>
              <w:t>)</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-1 487 767</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-2 251 062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-1 299 214</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-1 722 309</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423 095</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Príspevkové organizácie ústrednej správy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526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34 299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32 968</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-14 146</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47 114</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Štátne fondy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232 756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188 250</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191 964</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255 572</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-63 608</w:t>
            </w:r>
          </w:p>
        </w:tc>
      </w:tr>
      <w:tr>
        <w:tblPrEx>
          <w:tblW w:w="9026" w:type="dxa"/>
          <w:tblLayout w:type="fixed"/>
          <w:tblCellMar>
            <w:left w:w="70" w:type="dxa"/>
            <w:right w:w="70" w:type="dxa"/>
          </w:tblCellMar>
          <w:tblLook w:val="04A0"/>
        </w:tblPrEx>
        <w:trPr>
          <w:trHeight w:val="279"/>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Eximbanka SR</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-2 033</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9 344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1 075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100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975</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Obchodné spoločnosti štátu</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-755 226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78 967</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-94 655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46 346</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-141 001</w:t>
            </w:r>
          </w:p>
        </w:tc>
      </w:tr>
      <w:tr>
        <w:tblPrEx>
          <w:tblW w:w="9026" w:type="dxa"/>
          <w:tblLayout w:type="fixed"/>
          <w:tblCellMar>
            <w:left w:w="70" w:type="dxa"/>
            <w:right w:w="70" w:type="dxa"/>
          </w:tblCellMar>
          <w:tblLook w:val="04A0"/>
        </w:tblPrEx>
        <w:trPr>
          <w:trHeight w:val="279"/>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8846" w:type="dxa"/>
            <w:gridSpan w:val="8"/>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xml:space="preserve">   z toho:</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MH Manažment, a.s.</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-849 265</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-47 029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-27 569</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color w:val="000000"/>
                <w:sz w:val="20"/>
                <w:szCs w:val="20"/>
                <w:lang w:eastAsia="sk-SK"/>
              </w:rPr>
            </w:pPr>
            <w:r w:rsidRPr="00223682">
              <w:rPr>
                <w:rFonts w:ascii="Times New Roman" w:hAnsi="Times New Roman"/>
                <w:color w:val="000000"/>
                <w:sz w:val="20"/>
                <w:szCs w:val="20"/>
                <w:lang w:eastAsia="sk-SK"/>
              </w:rPr>
              <w:t>-3 950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-23 619</w:t>
            </w:r>
          </w:p>
        </w:tc>
      </w:tr>
      <w:tr>
        <w:tblPrEx>
          <w:tblW w:w="9026" w:type="dxa"/>
          <w:tblLayout w:type="fixed"/>
          <w:tblCellMar>
            <w:left w:w="70" w:type="dxa"/>
            <w:right w:w="70" w:type="dxa"/>
          </w:tblCellMar>
          <w:tblLook w:val="04A0"/>
        </w:tblPrEx>
        <w:trPr>
          <w:trHeight w:val="313"/>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MH Invest, s.r.o.</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10 372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24 959</w:t>
            </w:r>
          </w:p>
        </w:tc>
        <w:tc>
          <w:tcPr>
            <w:tcW w:w="1035" w:type="dxa"/>
            <w:tcBorders>
              <w:top w:val="nil"/>
              <w:left w:val="nil"/>
              <w:bottom w:val="nil"/>
              <w:right w:val="nil"/>
            </w:tcBorders>
            <w:shd w:val="clear" w:color="000000" w:fill="FFFFFF"/>
            <w:noWrap/>
            <w:textDirection w:val="lrTb"/>
            <w:vAlign w:val="center"/>
            <w:hideMark/>
          </w:tcPr>
          <w:p w:rsidR="00496E50" w:rsidRPr="00690F9F" w:rsidP="000A162C">
            <w:pPr>
              <w:bidi w:val="0"/>
              <w:spacing w:after="0" w:line="240" w:lineRule="auto"/>
              <w:jc w:val="right"/>
              <w:rPr>
                <w:rFonts w:ascii="Times New Roman" w:hAnsi="Times New Roman"/>
                <w:sz w:val="20"/>
                <w:szCs w:val="20"/>
                <w:lang w:eastAsia="sk-SK"/>
              </w:rPr>
            </w:pPr>
            <w:r w:rsidRPr="00690F9F">
              <w:rPr>
                <w:rFonts w:ascii="Times New Roman" w:hAnsi="Times New Roman"/>
                <w:sz w:val="20"/>
                <w:szCs w:val="20"/>
                <w:lang w:eastAsia="sk-SK"/>
              </w:rPr>
              <w:t>0</w:t>
            </w:r>
          </w:p>
        </w:tc>
        <w:tc>
          <w:tcPr>
            <w:tcW w:w="1032" w:type="dxa"/>
            <w:tcBorders>
              <w:top w:val="nil"/>
              <w:left w:val="nil"/>
              <w:bottom w:val="nil"/>
              <w:right w:val="nil"/>
            </w:tcBorders>
            <w:shd w:val="clear" w:color="000000" w:fill="FFFFFF"/>
            <w:noWrap/>
            <w:textDirection w:val="lrTb"/>
            <w:vAlign w:val="center"/>
            <w:hideMark/>
          </w:tcPr>
          <w:p w:rsidR="00496E50" w:rsidRPr="00690F9F" w:rsidP="000A162C">
            <w:pPr>
              <w:bidi w:val="0"/>
              <w:spacing w:after="0" w:line="240" w:lineRule="auto"/>
              <w:jc w:val="right"/>
              <w:rPr>
                <w:rFonts w:ascii="Times New Roman" w:hAnsi="Times New Roman"/>
                <w:sz w:val="20"/>
                <w:szCs w:val="20"/>
                <w:lang w:eastAsia="sk-SK"/>
              </w:rPr>
            </w:pPr>
            <w:r w:rsidRPr="00690F9F">
              <w:rPr>
                <w:rFonts w:ascii="Times New Roman" w:hAnsi="Times New Roman"/>
                <w:sz w:val="20"/>
                <w:szCs w:val="20"/>
                <w:lang w:eastAsia="sk-SK"/>
              </w:rPr>
              <w:t>24 959</w:t>
            </w:r>
          </w:p>
        </w:tc>
      </w:tr>
      <w:tr>
        <w:tblPrEx>
          <w:tblW w:w="9026" w:type="dxa"/>
          <w:tblLayout w:type="fixed"/>
          <w:tblCellMar>
            <w:left w:w="70" w:type="dxa"/>
            <w:right w:w="70" w:type="dxa"/>
          </w:tblCellMar>
          <w:tblLook w:val="04A0"/>
        </w:tblPrEx>
        <w:trPr>
          <w:trHeight w:val="279"/>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MH Invest II, s.r.o.</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xml:space="preserve"> -</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-20 533</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23 455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23 455</w:t>
            </w:r>
          </w:p>
        </w:tc>
      </w:tr>
      <w:tr>
        <w:tblPrEx>
          <w:tblW w:w="9026" w:type="dxa"/>
          <w:tblLayout w:type="fixed"/>
          <w:tblCellMar>
            <w:left w:w="70" w:type="dxa"/>
            <w:right w:w="70" w:type="dxa"/>
          </w:tblCellMar>
          <w:tblLook w:val="04A0"/>
        </w:tblPrEx>
        <w:trPr>
          <w:trHeight w:val="279"/>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JAVYS, a.s.</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17 419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12 150</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5 008</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5 008</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Železnice Slovenskej republiky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-16 044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47 650</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-94 644</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-94 644</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Železničná spoločnosť Slovensko, a.s.</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22 777</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-17 018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10 483</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-4 256</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14 739</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21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 </w:t>
            </w:r>
          </w:p>
        </w:tc>
        <w:tc>
          <w:tcPr>
            <w:tcW w:w="3525" w:type="dxa"/>
            <w:gridSpan w:val="2"/>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Národná diaľničná spoločnosť, a.s.</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16 518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98 481</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-37 261</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53 009</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-90 270</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Verejné vysoké školy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-3 324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47 302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21 381</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178</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21 203</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Zdravotnícke zariadenia ústrednej správy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-70 877</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-74 645</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-33 393</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-1 450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-31 943</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Ostatné subjekty ústrednej správy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-15 796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-29 466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68 508</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00D15ADB">
              <w:rPr>
                <w:rFonts w:ascii="Times New Roman" w:hAnsi="Times New Roman"/>
                <w:sz w:val="20"/>
                <w:szCs w:val="20"/>
                <w:lang w:eastAsia="sk-SK"/>
              </w:rPr>
              <w:t>60 649</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00D15ADB">
              <w:rPr>
                <w:rFonts w:ascii="Times New Roman" w:hAnsi="Times New Roman"/>
                <w:sz w:val="20"/>
                <w:szCs w:val="20"/>
                <w:lang w:eastAsia="sk-SK"/>
              </w:rPr>
              <w:t>7 859</w:t>
            </w:r>
          </w:p>
        </w:tc>
      </w:tr>
      <w:tr>
        <w:tblPrEx>
          <w:tblW w:w="9026" w:type="dxa"/>
          <w:tblLayout w:type="fixed"/>
          <w:tblCellMar>
            <w:left w:w="70" w:type="dxa"/>
            <w:right w:w="70" w:type="dxa"/>
          </w:tblCellMar>
          <w:tblLook w:val="04A0"/>
        </w:tblPrEx>
        <w:trPr>
          <w:trHeight w:val="331"/>
        </w:trPr>
        <w:tc>
          <w:tcPr>
            <w:tcW w:w="9026" w:type="dxa"/>
            <w:gridSpan w:val="9"/>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Územná samospráva</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Obce</w:t>
            </w:r>
            <w:r w:rsidRPr="00223682">
              <w:rPr>
                <w:rFonts w:ascii="Times New Roman" w:hAnsi="Times New Roman"/>
                <w:sz w:val="20"/>
                <w:szCs w:val="20"/>
                <w:vertAlign w:val="superscript"/>
                <w:lang w:eastAsia="sk-SK"/>
              </w:rPr>
              <w:t xml:space="preserve"> </w:t>
            </w:r>
            <w:r w:rsidRPr="00223682">
              <w:rPr>
                <w:rFonts w:ascii="Times New Roman" w:hAnsi="Times New Roman"/>
                <w:sz w:val="20"/>
                <w:szCs w:val="20"/>
                <w:lang w:eastAsia="sk-SK"/>
              </w:rPr>
              <w:t>a ich rozpočtové organizácie</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64 558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348 274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-7 722</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123 515</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-131 237</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Vyššie územné celky a ich rozpočtové organizácie</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58 123</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84 308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-15 735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109 903</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-125 638</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Príspevkové organizácie obcí</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4 568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11 906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7 756</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1 035</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6 721</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Príspevkové organizácie VÚC</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5 082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931</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1 963</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-1 968</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Dopravné podniky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-11 672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12 612</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-4 634</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3 420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-8 054</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Zdravotnícke zariadenia miestnej samosprávy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3 146</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3 971</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-1 883</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281</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-2 164</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color w:val="000000"/>
                <w:sz w:val="20"/>
                <w:szCs w:val="20"/>
                <w:lang w:eastAsia="sk-SK"/>
              </w:rPr>
            </w:pPr>
            <w:r w:rsidRPr="00223682">
              <w:rPr>
                <w:rFonts w:ascii="Times New Roman" w:hAnsi="Times New Roman"/>
                <w:color w:val="000000"/>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Ostatné subjekty miestnej samosprávy</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-2 553</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-2 523</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3 937</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0</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3 937</w:t>
            </w:r>
          </w:p>
        </w:tc>
      </w:tr>
      <w:tr>
        <w:tblPrEx>
          <w:tblW w:w="9026" w:type="dxa"/>
          <w:tblLayout w:type="fixed"/>
          <w:tblCellMar>
            <w:left w:w="70" w:type="dxa"/>
            <w:right w:w="70" w:type="dxa"/>
          </w:tblCellMar>
          <w:tblLook w:val="04A0"/>
        </w:tblPrEx>
        <w:trPr>
          <w:trHeight w:val="331"/>
        </w:trPr>
        <w:tc>
          <w:tcPr>
            <w:tcW w:w="9026" w:type="dxa"/>
            <w:gridSpan w:val="9"/>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b/>
                <w:bCs/>
                <w:color w:val="000000"/>
                <w:sz w:val="20"/>
                <w:szCs w:val="20"/>
                <w:lang w:eastAsia="sk-SK"/>
              </w:rPr>
            </w:pPr>
            <w:r w:rsidRPr="00223682">
              <w:rPr>
                <w:rFonts w:ascii="Times New Roman" w:hAnsi="Times New Roman"/>
                <w:b/>
                <w:bCs/>
                <w:color w:val="000000"/>
                <w:sz w:val="20"/>
                <w:szCs w:val="20"/>
                <w:lang w:eastAsia="sk-SK"/>
              </w:rPr>
              <w:t>Fondy sociálneho zabezpečenia</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Sociálna poisťovňa</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-224 034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-180 428</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84 935</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36 889</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48 046</w:t>
            </w:r>
          </w:p>
        </w:tc>
      </w:tr>
      <w:tr>
        <w:tblPrEx>
          <w:tblW w:w="9026" w:type="dxa"/>
          <w:tblLayout w:type="fixed"/>
          <w:tblCellMar>
            <w:left w:w="70" w:type="dxa"/>
            <w:right w:w="70" w:type="dxa"/>
          </w:tblCellMar>
          <w:tblLook w:val="04A0"/>
        </w:tblPrEx>
        <w:trPr>
          <w:trHeight w:val="331"/>
        </w:trPr>
        <w:tc>
          <w:tcPr>
            <w:tcW w:w="179"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 </w:t>
            </w:r>
          </w:p>
        </w:tc>
        <w:tc>
          <w:tcPr>
            <w:tcW w:w="3745" w:type="dxa"/>
            <w:gridSpan w:val="3"/>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sz w:val="20"/>
                <w:szCs w:val="20"/>
                <w:lang w:eastAsia="sk-SK"/>
              </w:rPr>
            </w:pPr>
            <w:r w:rsidRPr="00223682">
              <w:rPr>
                <w:rFonts w:ascii="Times New Roman" w:hAnsi="Times New Roman"/>
                <w:sz w:val="20"/>
                <w:szCs w:val="20"/>
                <w:lang w:eastAsia="sk-SK"/>
              </w:rPr>
              <w:t>Verejné zdravotné poistenie</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53 664</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-72 699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160 253</w:t>
            </w:r>
          </w:p>
        </w:tc>
        <w:tc>
          <w:tcPr>
            <w:tcW w:w="1035"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14 566</w:t>
            </w:r>
          </w:p>
        </w:tc>
        <w:tc>
          <w:tcPr>
            <w:tcW w:w="1032"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sz w:val="20"/>
                <w:szCs w:val="20"/>
                <w:lang w:eastAsia="sk-SK"/>
              </w:rPr>
            </w:pPr>
            <w:r w:rsidRPr="00223682">
              <w:rPr>
                <w:rFonts w:ascii="Times New Roman" w:hAnsi="Times New Roman"/>
                <w:sz w:val="20"/>
                <w:szCs w:val="20"/>
                <w:lang w:eastAsia="sk-SK"/>
              </w:rPr>
              <w:t>145 687</w:t>
            </w:r>
          </w:p>
        </w:tc>
      </w:tr>
      <w:tr>
        <w:tblPrEx>
          <w:tblW w:w="9026" w:type="dxa"/>
          <w:tblLayout w:type="fixed"/>
          <w:tblCellMar>
            <w:left w:w="70" w:type="dxa"/>
            <w:right w:w="70" w:type="dxa"/>
          </w:tblCellMar>
          <w:tblLook w:val="04A0"/>
        </w:tblPrEx>
        <w:trPr>
          <w:trHeight w:val="331"/>
        </w:trPr>
        <w:tc>
          <w:tcPr>
            <w:tcW w:w="3924" w:type="dxa"/>
            <w:gridSpan w:val="4"/>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b/>
                <w:bCs/>
                <w:sz w:val="20"/>
                <w:szCs w:val="20"/>
                <w:lang w:eastAsia="sk-SK"/>
              </w:rPr>
            </w:pPr>
            <w:r w:rsidRPr="00223682">
              <w:rPr>
                <w:rFonts w:ascii="Times New Roman" w:hAnsi="Times New Roman"/>
                <w:b/>
                <w:bCs/>
                <w:sz w:val="20"/>
                <w:szCs w:val="20"/>
                <w:lang w:eastAsia="sk-SK"/>
              </w:rPr>
              <w:t>Schodok verejnej správy spolu</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-2 150 859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-1 790 659</w:t>
            </w:r>
          </w:p>
        </w:tc>
        <w:tc>
          <w:tcPr>
            <w:tcW w:w="1011" w:type="dxa"/>
            <w:tcBorders>
              <w:top w:val="nil"/>
              <w:left w:val="nil"/>
              <w:bottom w:val="nil"/>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-884 464</w:t>
            </w:r>
          </w:p>
        </w:tc>
        <w:tc>
          <w:tcPr>
            <w:tcW w:w="1035" w:type="dxa"/>
            <w:tcBorders>
              <w:top w:val="nil"/>
              <w:left w:val="nil"/>
              <w:bottom w:val="nil"/>
              <w:right w:val="nil"/>
            </w:tcBorders>
            <w:shd w:val="clear" w:color="000000" w:fill="FFFFFF"/>
            <w:noWrap/>
            <w:textDirection w:val="lrTb"/>
            <w:vAlign w:val="center"/>
            <w:hideMark/>
          </w:tcPr>
          <w:p w:rsidR="00496E50" w:rsidRPr="00223682" w:rsidP="00D15ADB">
            <w:pPr>
              <w:bidi w:val="0"/>
              <w:spacing w:after="0" w:line="240" w:lineRule="auto"/>
              <w:jc w:val="right"/>
              <w:rPr>
                <w:rFonts w:ascii="Times New Roman" w:hAnsi="Times New Roman"/>
                <w:b/>
                <w:bCs/>
                <w:sz w:val="20"/>
                <w:szCs w:val="20"/>
                <w:lang w:eastAsia="sk-SK"/>
              </w:rPr>
            </w:pPr>
            <w:r w:rsidRPr="00D15ADB">
              <w:rPr>
                <w:rFonts w:ascii="Times New Roman" w:hAnsi="Times New Roman"/>
                <w:b/>
                <w:bCs/>
                <w:sz w:val="20"/>
                <w:szCs w:val="20"/>
                <w:lang w:eastAsia="sk-SK"/>
              </w:rPr>
              <w:t>-</w:t>
            </w:r>
            <w:r w:rsidR="00D15ADB">
              <w:rPr>
                <w:rFonts w:ascii="Times New Roman" w:hAnsi="Times New Roman"/>
                <w:b/>
                <w:bCs/>
                <w:sz w:val="20"/>
                <w:szCs w:val="20"/>
                <w:lang w:eastAsia="sk-SK"/>
              </w:rPr>
              <w:t>1 083 488</w:t>
            </w:r>
          </w:p>
        </w:tc>
        <w:tc>
          <w:tcPr>
            <w:tcW w:w="1032" w:type="dxa"/>
            <w:tcBorders>
              <w:top w:val="nil"/>
              <w:left w:val="nil"/>
              <w:bottom w:val="nil"/>
              <w:right w:val="nil"/>
            </w:tcBorders>
            <w:shd w:val="clear" w:color="000000" w:fill="FFFFFF"/>
            <w:noWrap/>
            <w:textDirection w:val="lrTb"/>
            <w:vAlign w:val="center"/>
            <w:hideMark/>
          </w:tcPr>
          <w:p w:rsidR="00496E50" w:rsidRPr="00223682" w:rsidP="00D15ADB">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 xml:space="preserve">199 </w:t>
            </w:r>
            <w:r w:rsidR="00D15ADB">
              <w:rPr>
                <w:rFonts w:ascii="Times New Roman" w:hAnsi="Times New Roman"/>
                <w:b/>
                <w:bCs/>
                <w:sz w:val="20"/>
                <w:szCs w:val="20"/>
                <w:lang w:eastAsia="sk-SK"/>
              </w:rPr>
              <w:t>024</w:t>
            </w:r>
          </w:p>
        </w:tc>
      </w:tr>
      <w:tr>
        <w:tblPrEx>
          <w:tblW w:w="9026" w:type="dxa"/>
          <w:tblLayout w:type="fixed"/>
          <w:tblCellMar>
            <w:left w:w="70" w:type="dxa"/>
            <w:right w:w="70" w:type="dxa"/>
          </w:tblCellMar>
          <w:tblLook w:val="04A0"/>
        </w:tblPrEx>
        <w:trPr>
          <w:trHeight w:val="331"/>
        </w:trPr>
        <w:tc>
          <w:tcPr>
            <w:tcW w:w="3924" w:type="dxa"/>
            <w:gridSpan w:val="4"/>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left"/>
              <w:rPr>
                <w:rFonts w:ascii="Times New Roman" w:hAnsi="Times New Roman"/>
                <w:b/>
                <w:bCs/>
                <w:sz w:val="20"/>
                <w:szCs w:val="20"/>
                <w:lang w:eastAsia="sk-SK"/>
              </w:rPr>
            </w:pPr>
            <w:r w:rsidRPr="00223682">
              <w:rPr>
                <w:rFonts w:ascii="Times New Roman" w:hAnsi="Times New Roman"/>
                <w:b/>
                <w:bCs/>
                <w:sz w:val="20"/>
                <w:szCs w:val="20"/>
                <w:lang w:eastAsia="sk-SK"/>
              </w:rPr>
              <w:t xml:space="preserve">           % z HDP</w:t>
            </w:r>
          </w:p>
        </w:tc>
        <w:tc>
          <w:tcPr>
            <w:tcW w:w="1011" w:type="dxa"/>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-2,73</w:t>
            </w:r>
          </w:p>
        </w:tc>
        <w:tc>
          <w:tcPr>
            <w:tcW w:w="1011" w:type="dxa"/>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-2,21</w:t>
            </w:r>
          </w:p>
        </w:tc>
        <w:tc>
          <w:tcPr>
            <w:tcW w:w="1011" w:type="dxa"/>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-1,04</w:t>
            </w:r>
          </w:p>
        </w:tc>
        <w:tc>
          <w:tcPr>
            <w:tcW w:w="1035" w:type="dxa"/>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-1,29</w:t>
            </w:r>
          </w:p>
        </w:tc>
        <w:tc>
          <w:tcPr>
            <w:tcW w:w="1032" w:type="dxa"/>
            <w:tcBorders>
              <w:top w:val="nil"/>
              <w:left w:val="nil"/>
              <w:bottom w:val="single" w:sz="4" w:space="0" w:color="auto"/>
              <w:right w:val="nil"/>
            </w:tcBorders>
            <w:shd w:val="clear" w:color="000000" w:fill="FFFFFF"/>
            <w:noWrap/>
            <w:textDirection w:val="lrTb"/>
            <w:vAlign w:val="center"/>
            <w:hideMark/>
          </w:tcPr>
          <w:p w:rsidR="00496E50" w:rsidRPr="00223682" w:rsidP="000A162C">
            <w:pPr>
              <w:bidi w:val="0"/>
              <w:spacing w:after="0" w:line="240" w:lineRule="auto"/>
              <w:jc w:val="right"/>
              <w:rPr>
                <w:rFonts w:ascii="Times New Roman" w:hAnsi="Times New Roman"/>
                <w:b/>
                <w:bCs/>
                <w:sz w:val="20"/>
                <w:szCs w:val="20"/>
                <w:lang w:eastAsia="sk-SK"/>
              </w:rPr>
            </w:pPr>
            <w:r w:rsidRPr="00223682">
              <w:rPr>
                <w:rFonts w:ascii="Times New Roman" w:hAnsi="Times New Roman"/>
                <w:b/>
                <w:bCs/>
                <w:sz w:val="20"/>
                <w:szCs w:val="20"/>
                <w:lang w:eastAsia="sk-SK"/>
              </w:rPr>
              <w:t>0,25</w:t>
            </w:r>
          </w:p>
        </w:tc>
      </w:tr>
      <w:tr>
        <w:tblPrEx>
          <w:tblW w:w="9026" w:type="dxa"/>
          <w:tblLayout w:type="fixed"/>
          <w:tblCellMar>
            <w:left w:w="70" w:type="dxa"/>
            <w:right w:w="70" w:type="dxa"/>
          </w:tblCellMar>
          <w:tblLook w:val="04A0"/>
        </w:tblPrEx>
        <w:trPr>
          <w:trHeight w:val="331"/>
        </w:trPr>
        <w:tc>
          <w:tcPr>
            <w:tcW w:w="7993" w:type="dxa"/>
            <w:gridSpan w:val="8"/>
            <w:tcBorders>
              <w:top w:val="nil"/>
              <w:left w:val="nil"/>
              <w:bottom w:val="nil"/>
              <w:right w:val="nil"/>
            </w:tcBorders>
            <w:noWrap/>
            <w:textDirection w:val="lrTb"/>
            <w:vAlign w:val="center"/>
            <w:hideMark/>
          </w:tcPr>
          <w:p w:rsidR="00496E50" w:rsidRPr="00496E50" w:rsidP="00496E50">
            <w:pPr>
              <w:bidi w:val="0"/>
              <w:spacing w:after="0" w:line="240" w:lineRule="auto"/>
              <w:jc w:val="left"/>
              <w:rPr>
                <w:rFonts w:ascii="Times New Roman" w:hAnsi="Times New Roman"/>
                <w:sz w:val="16"/>
                <w:szCs w:val="16"/>
                <w:lang w:eastAsia="sk-SK"/>
              </w:rPr>
            </w:pPr>
            <w:r w:rsidRPr="00496E50">
              <w:rPr>
                <w:rFonts w:ascii="Times New Roman" w:hAnsi="Times New Roman"/>
                <w:color w:val="000000"/>
                <w:sz w:val="16"/>
                <w:szCs w:val="16"/>
                <w:vertAlign w:val="superscript"/>
                <w:lang w:eastAsia="sk-SK"/>
              </w:rPr>
              <w:t xml:space="preserve">1) </w:t>
            </w:r>
            <w:r w:rsidRPr="00496E50">
              <w:rPr>
                <w:rFonts w:ascii="Times New Roman" w:hAnsi="Times New Roman"/>
                <w:color w:val="000000"/>
                <w:sz w:val="16"/>
                <w:szCs w:val="16"/>
                <w:lang w:eastAsia="sk-SK"/>
              </w:rPr>
              <w:t>Vrátane štátnych finančných aktív, mimorozpočtových účtov a salda účtu štátneho dlhu</w:t>
            </w:r>
          </w:p>
        </w:tc>
        <w:tc>
          <w:tcPr>
            <w:tcW w:w="1032" w:type="dxa"/>
            <w:tcBorders>
              <w:top w:val="nil"/>
              <w:left w:val="nil"/>
              <w:bottom w:val="nil"/>
              <w:right w:val="nil"/>
            </w:tcBorders>
            <w:noWrap/>
            <w:textDirection w:val="lrTb"/>
            <w:vAlign w:val="top"/>
            <w:hideMark/>
          </w:tcPr>
          <w:p w:rsidR="00496E50" w:rsidRPr="00223682" w:rsidP="000A162C">
            <w:pPr>
              <w:bidi w:val="0"/>
              <w:spacing w:after="0" w:line="240" w:lineRule="auto"/>
              <w:jc w:val="right"/>
              <w:rPr>
                <w:rFonts w:ascii="Times New Roman" w:hAnsi="Times New Roman"/>
                <w:sz w:val="16"/>
                <w:szCs w:val="16"/>
                <w:lang w:eastAsia="sk-SK"/>
              </w:rPr>
            </w:pPr>
            <w:r w:rsidRPr="00223682">
              <w:rPr>
                <w:rFonts w:ascii="Times New Roman" w:hAnsi="Times New Roman"/>
                <w:sz w:val="16"/>
                <w:szCs w:val="16"/>
                <w:lang w:eastAsia="sk-SK"/>
              </w:rPr>
              <w:t>Zdroj: MF SR</w:t>
            </w:r>
          </w:p>
        </w:tc>
      </w:tr>
      <w:tr>
        <w:tblPrEx>
          <w:tblW w:w="9026" w:type="dxa"/>
          <w:tblLayout w:type="fixed"/>
          <w:tblCellMar>
            <w:left w:w="70" w:type="dxa"/>
            <w:right w:w="70" w:type="dxa"/>
          </w:tblCellMar>
          <w:tblLook w:val="04A0"/>
        </w:tblPrEx>
        <w:trPr>
          <w:trHeight w:val="331"/>
        </w:trPr>
        <w:tc>
          <w:tcPr>
            <w:tcW w:w="9026" w:type="dxa"/>
            <w:gridSpan w:val="9"/>
            <w:tcBorders>
              <w:top w:val="nil"/>
              <w:left w:val="nil"/>
              <w:bottom w:val="nil"/>
              <w:right w:val="nil"/>
            </w:tcBorders>
            <w:noWrap/>
            <w:textDirection w:val="lrTb"/>
            <w:vAlign w:val="center"/>
            <w:hideMark/>
          </w:tcPr>
          <w:p w:rsidR="00436202" w:rsidP="000A162C">
            <w:pPr>
              <w:bidi w:val="0"/>
              <w:spacing w:after="0" w:line="240" w:lineRule="auto"/>
              <w:jc w:val="left"/>
              <w:rPr>
                <w:rFonts w:ascii="Times New Roman" w:hAnsi="Times New Roman"/>
                <w:color w:val="000000"/>
                <w:sz w:val="20"/>
                <w:szCs w:val="20"/>
                <w:lang w:eastAsia="sk-SK"/>
              </w:rPr>
            </w:pPr>
          </w:p>
          <w:p w:rsidR="00CF6D6F" w:rsidRPr="00223682" w:rsidP="000A162C">
            <w:pPr>
              <w:bidi w:val="0"/>
              <w:spacing w:after="0" w:line="240" w:lineRule="auto"/>
              <w:jc w:val="left"/>
              <w:rPr>
                <w:rFonts w:ascii="Times New Roman" w:hAnsi="Times New Roman"/>
                <w:color w:val="000000"/>
                <w:sz w:val="20"/>
                <w:szCs w:val="20"/>
                <w:lang w:eastAsia="sk-SK"/>
              </w:rPr>
            </w:pPr>
          </w:p>
        </w:tc>
      </w:tr>
    </w:tbl>
    <w:p w:rsidR="00DD2BD6" w:rsidRPr="000A162C" w:rsidP="00C9335D">
      <w:pPr>
        <w:pStyle w:val="Heading2"/>
        <w:numPr>
          <w:numId w:val="13"/>
        </w:numPr>
        <w:tabs>
          <w:tab w:val="left" w:pos="1134"/>
        </w:tabs>
        <w:bidi w:val="0"/>
        <w:rPr>
          <w:rFonts w:hint="default"/>
        </w:rPr>
      </w:pPr>
      <w:bookmarkStart w:id="27" w:name="_Toc449622829"/>
      <w:bookmarkStart w:id="28" w:name="_Toc353445344"/>
      <w:bookmarkStart w:id="29" w:name="_Toc512599662"/>
      <w:r w:rsidR="00B77962">
        <w:t xml:space="preserve"> </w:t>
      </w:r>
      <w:r w:rsidRPr="000A162C">
        <w:rPr>
          <w:rFonts w:hint="default"/>
        </w:rPr>
        <w:t>Dlh verejnej sprá</w:t>
      </w:r>
      <w:r w:rsidRPr="000A162C">
        <w:rPr>
          <w:rFonts w:hint="default"/>
        </w:rPr>
        <w:t>vy</w:t>
      </w:r>
      <w:bookmarkEnd w:id="27"/>
      <w:bookmarkEnd w:id="29"/>
      <w:r w:rsidRPr="000A162C">
        <w:rPr>
          <w:rFonts w:hint="default"/>
        </w:rPr>
        <w:t xml:space="preserve"> </w:t>
      </w:r>
      <w:bookmarkEnd w:id="28"/>
    </w:p>
    <w:p w:rsidR="000A162C" w:rsidP="000A162C">
      <w:pPr>
        <w:bidi w:val="0"/>
        <w:rPr>
          <w:rFonts w:ascii="Times New Roman" w:hAnsi="Times New Roman"/>
          <w:szCs w:val="22"/>
        </w:rPr>
      </w:pPr>
      <w:r w:rsidRPr="000A162C">
        <w:rPr>
          <w:rFonts w:ascii="Times New Roman" w:hAnsi="Times New Roman"/>
          <w:b/>
          <w:szCs w:val="22"/>
        </w:rPr>
        <w:t>Maastrichtský dlh verejnej správy</w:t>
      </w:r>
      <w:r w:rsidRPr="000A162C">
        <w:rPr>
          <w:rFonts w:ascii="Times New Roman" w:hAnsi="Times New Roman"/>
          <w:szCs w:val="22"/>
        </w:rPr>
        <w:t xml:space="preserve"> dosiahol k 31.12.2017 hodnotu 43 226 498 tis. eur, čo predstavuje </w:t>
      </w:r>
      <w:r w:rsidRPr="000A162C">
        <w:rPr>
          <w:rFonts w:ascii="Times New Roman" w:hAnsi="Times New Roman"/>
          <w:b/>
          <w:szCs w:val="22"/>
        </w:rPr>
        <w:t>50,86 % HDP.</w:t>
      </w:r>
      <w:r w:rsidRPr="000A162C">
        <w:rPr>
          <w:rFonts w:ascii="Times New Roman" w:hAnsi="Times New Roman"/>
          <w:szCs w:val="22"/>
        </w:rPr>
        <w:t xml:space="preserve"> V porovnaní s východiskami rozpočtu na rok 2017 je dosiahnutý dlh nižší o 1,8 p. b. </w:t>
      </w:r>
      <w:r w:rsidRPr="000A162C">
        <w:rPr>
          <w:rFonts w:ascii="Times New Roman" w:hAnsi="Times New Roman"/>
          <w:b/>
          <w:szCs w:val="22"/>
        </w:rPr>
        <w:t>Oproti  stavu maastrichtského dlhu v roku 2016 vzrástol maastrichtský dlh v roku 2017 o 1 173 255 tis. eur, avšak jeho pomer k HDP klesol o 0,96 p. b.</w:t>
      </w:r>
      <w:r w:rsidRPr="000A162C">
        <w:rPr>
          <w:rFonts w:ascii="Times New Roman" w:hAnsi="Times New Roman"/>
          <w:szCs w:val="22"/>
        </w:rPr>
        <w:t xml:space="preserve"> Zmena rastu HDP spôsobila zníženie dlhu verejnej správy medziročne o 2,4 p. b.</w:t>
      </w:r>
    </w:p>
    <w:p w:rsidR="00383343" w:rsidP="000A162C">
      <w:pPr>
        <w:bidi w:val="0"/>
        <w:rPr>
          <w:rFonts w:ascii="Times New Roman" w:hAnsi="Times New Roman"/>
          <w:szCs w:val="22"/>
        </w:rPr>
      </w:pPr>
      <w:r w:rsidRPr="000A162C" w:rsidR="000A162C">
        <w:rPr>
          <w:rFonts w:ascii="Times New Roman" w:hAnsi="Times New Roman"/>
          <w:szCs w:val="22"/>
        </w:rPr>
        <w:t xml:space="preserve">Maastrichtský dlh verejnej správy je koncipovaný ako konsolidovaný, to znamená, že vzťahy medzi jednotlivými subjektmi verejnej správy sú vylúčené. Skupiny subjektov verejnej správy uvedené v tabuľke nižšie sú vnútorne skonsolidované o vzájomné vzťahy v rámci danej skupiny (napríklad územná samospráva). Hodnota konsolidácie vo výške 1 482 132 tis. eur predstavuje len pôžičky medzi skupinami verejnej správy, napríklad pôžičky Štátneho fondu rozvoja bývania poskytnuté subjektom územnej samosprávy. </w:t>
      </w:r>
    </w:p>
    <w:p w:rsidR="00383343" w:rsidP="000A162C">
      <w:pPr>
        <w:bidi w:val="0"/>
        <w:rPr>
          <w:rFonts w:ascii="Times New Roman" w:hAnsi="Times New Roman"/>
          <w:szCs w:val="22"/>
        </w:rPr>
      </w:pPr>
      <w:r w:rsidRPr="000A162C" w:rsidR="000A162C">
        <w:rPr>
          <w:rFonts w:ascii="Times New Roman" w:hAnsi="Times New Roman"/>
          <w:szCs w:val="22"/>
        </w:rPr>
        <w:t xml:space="preserve">Okrem týchto vzťahov sa pri výpočte maastrichtského dlhu v rámci zložky ,,štátny dlh“ abstrahuje od záväzkov Ministerstva financií SR voči Štátnej pokladnici z tzv. refinančného systému (8 249 269 tis. eur) a od záväzkov z vkladov subjektov verejnej správy v Štátnej pokladnici (3 040 092 tis. eur). Z pohľadu výšky vzájomných pôžičiek a výpožičiek vo verejnej správe tvorí najvýznamnejšiu položku konsolidácie Štátny fond rozvoja bývania (715 340 tis. eur), ktorý poskytuje návratné finančné prostriedky najmä subjektom územnej samosprávy v oblasti podpory bývania. </w:t>
      </w:r>
    </w:p>
    <w:p w:rsidR="00DC1853" w:rsidP="000A162C">
      <w:pPr>
        <w:bidi w:val="0"/>
        <w:rPr>
          <w:rFonts w:ascii="Times New Roman" w:hAnsi="Times New Roman"/>
          <w:szCs w:val="22"/>
        </w:rPr>
      </w:pPr>
      <w:r w:rsidRPr="000A162C" w:rsidR="000A162C">
        <w:rPr>
          <w:rFonts w:ascii="Times New Roman" w:hAnsi="Times New Roman"/>
          <w:szCs w:val="22"/>
        </w:rPr>
        <w:t>Ďalšou významnou položkou konsolidácie je návratná finančná výpomoc poskytnutá zo štátneho rozpočtu Agentúre pre núdzové zásoby ropy a ropných výrobkov (460 000 tis. eur) a imputovaná pôžička Agentúry pre núdzové zásoby ropy a ropných výrobkov (261 917 tis. eur). Ostatnú časť konsolidácie tvoria najmä návratné finančné výpomoci poskytnuté zo štátneho rozpočtu mestám, obciam a ostatným subjektom verejnej správy (40 745 tis. eur).</w:t>
      </w:r>
    </w:p>
    <w:p w:rsidR="00DC1853" w:rsidP="00DC1853">
      <w:pPr>
        <w:bidi w:val="0"/>
        <w:rPr>
          <w:rFonts w:ascii="Times New Roman" w:hAnsi="Times New Roman"/>
        </w:rPr>
      </w:pPr>
      <w:r>
        <w:rPr>
          <w:rFonts w:ascii="Times New Roman" w:hAnsi="Times New Roman"/>
        </w:rPr>
        <w:br w:type="page"/>
      </w:r>
    </w:p>
    <w:tbl>
      <w:tblPr>
        <w:tblStyle w:val="TableNormal"/>
        <w:tblW w:w="4915" w:type="pct"/>
        <w:tblCellMar>
          <w:left w:w="70" w:type="dxa"/>
          <w:right w:w="70" w:type="dxa"/>
        </w:tblCellMar>
        <w:tblLook w:val="04A0"/>
      </w:tblPr>
      <w:tblGrid>
        <w:gridCol w:w="4450"/>
        <w:gridCol w:w="1009"/>
        <w:gridCol w:w="1086"/>
        <w:gridCol w:w="1039"/>
        <w:gridCol w:w="1192"/>
      </w:tblGrid>
      <w:tr>
        <w:tblPrEx>
          <w:tblW w:w="4915" w:type="pct"/>
          <w:tblCellMar>
            <w:left w:w="70" w:type="dxa"/>
            <w:right w:w="70" w:type="dxa"/>
          </w:tblCellMar>
          <w:tblLook w:val="04A0"/>
        </w:tblPrEx>
        <w:trPr>
          <w:trHeight w:val="300"/>
        </w:trPr>
        <w:tc>
          <w:tcPr>
            <w:tcW w:w="3729" w:type="pct"/>
            <w:gridSpan w:val="3"/>
            <w:tcBorders>
              <w:top w:val="single" w:sz="4" w:space="0" w:color="auto"/>
              <w:left w:val="nil"/>
              <w:bottom w:val="single" w:sz="4" w:space="0" w:color="auto"/>
              <w:right w:val="nil"/>
            </w:tcBorders>
            <w:shd w:val="clear" w:color="000000" w:fill="000000"/>
            <w:noWrap/>
            <w:textDirection w:val="lrTb"/>
            <w:vAlign w:val="center"/>
            <w:hideMark/>
          </w:tcPr>
          <w:p w:rsidR="000A162C" w:rsidRPr="004F1FBD" w:rsidP="000A162C">
            <w:pPr>
              <w:bidi w:val="0"/>
              <w:spacing w:after="0" w:line="240" w:lineRule="auto"/>
              <w:jc w:val="left"/>
              <w:rPr>
                <w:rFonts w:ascii="Times New Roman" w:hAnsi="Times New Roman"/>
                <w:b/>
                <w:bCs/>
                <w:color w:val="FFFFFF"/>
                <w:sz w:val="18"/>
                <w:szCs w:val="18"/>
                <w:lang w:eastAsia="sk-SK"/>
              </w:rPr>
            </w:pPr>
            <w:r w:rsidRPr="004F1FBD">
              <w:rPr>
                <w:rFonts w:ascii="Times New Roman" w:hAnsi="Times New Roman"/>
                <w:b/>
                <w:bCs/>
                <w:color w:val="FFFFFF"/>
                <w:sz w:val="18"/>
                <w:szCs w:val="18"/>
                <w:lang w:eastAsia="sk-SK"/>
              </w:rPr>
              <w:t>Maastrichtský dlh verejnej správy podľa jednotlivých subjektov</w:t>
            </w:r>
          </w:p>
        </w:tc>
        <w:tc>
          <w:tcPr>
            <w:tcW w:w="592" w:type="pct"/>
            <w:tcBorders>
              <w:top w:val="single" w:sz="4" w:space="0" w:color="auto"/>
              <w:left w:val="nil"/>
              <w:bottom w:val="single" w:sz="4" w:space="0" w:color="auto"/>
              <w:right w:val="nil"/>
            </w:tcBorders>
            <w:shd w:val="clear" w:color="000000" w:fill="000000"/>
            <w:noWrap/>
            <w:textDirection w:val="lrTb"/>
            <w:vAlign w:val="center"/>
            <w:hideMark/>
          </w:tcPr>
          <w:p w:rsidR="000A162C" w:rsidRPr="004F1FBD" w:rsidP="000A162C">
            <w:pPr>
              <w:bidi w:val="0"/>
              <w:spacing w:after="0" w:line="240" w:lineRule="auto"/>
              <w:jc w:val="left"/>
              <w:rPr>
                <w:rFonts w:ascii="Times New Roman" w:hAnsi="Times New Roman"/>
                <w:b/>
                <w:bCs/>
                <w:color w:val="FFFFFF"/>
                <w:sz w:val="18"/>
                <w:szCs w:val="18"/>
                <w:lang w:eastAsia="sk-SK"/>
              </w:rPr>
            </w:pPr>
            <w:r w:rsidRPr="004F1FBD">
              <w:rPr>
                <w:rFonts w:ascii="Times New Roman" w:hAnsi="Times New Roman"/>
                <w:b/>
                <w:bCs/>
                <w:color w:val="FFFFFF"/>
                <w:sz w:val="18"/>
                <w:szCs w:val="18"/>
                <w:lang w:eastAsia="sk-SK"/>
              </w:rPr>
              <w:t> </w:t>
            </w:r>
          </w:p>
        </w:tc>
        <w:tc>
          <w:tcPr>
            <w:tcW w:w="679" w:type="pct"/>
            <w:tcBorders>
              <w:top w:val="single" w:sz="4" w:space="0" w:color="auto"/>
              <w:left w:val="nil"/>
              <w:bottom w:val="single" w:sz="4" w:space="0" w:color="auto"/>
              <w:right w:val="nil"/>
            </w:tcBorders>
            <w:shd w:val="clear" w:color="000000" w:fill="000000"/>
            <w:noWrap/>
            <w:textDirection w:val="lrTb"/>
            <w:vAlign w:val="center"/>
            <w:hideMark/>
          </w:tcPr>
          <w:p w:rsidR="000A162C" w:rsidRPr="004F1FBD" w:rsidP="000A162C">
            <w:pPr>
              <w:bidi w:val="0"/>
              <w:spacing w:after="0" w:line="240" w:lineRule="auto"/>
              <w:jc w:val="right"/>
              <w:rPr>
                <w:rFonts w:ascii="Times New Roman" w:hAnsi="Times New Roman"/>
                <w:b/>
                <w:bCs/>
                <w:color w:val="FFFFFF"/>
                <w:sz w:val="18"/>
                <w:szCs w:val="18"/>
                <w:lang w:eastAsia="sk-SK"/>
              </w:rPr>
            </w:pPr>
            <w:r w:rsidRPr="004F1FBD">
              <w:rPr>
                <w:rFonts w:ascii="Times New Roman" w:hAnsi="Times New Roman"/>
                <w:b/>
                <w:bCs/>
                <w:color w:val="FFFFFF"/>
                <w:sz w:val="18"/>
                <w:szCs w:val="18"/>
                <w:lang w:eastAsia="sk-SK"/>
              </w:rPr>
              <w:t>tis. eur</w:t>
            </w:r>
          </w:p>
        </w:tc>
      </w:tr>
      <w:tr>
        <w:tblPrEx>
          <w:tblW w:w="4915" w:type="pct"/>
          <w:tblCellMar>
            <w:left w:w="70" w:type="dxa"/>
            <w:right w:w="70" w:type="dxa"/>
          </w:tblCellMar>
          <w:tblLook w:val="04A0"/>
        </w:tblPrEx>
        <w:trPr>
          <w:trHeight w:val="330"/>
        </w:trPr>
        <w:tc>
          <w:tcPr>
            <w:tcW w:w="2535" w:type="pct"/>
            <w:tcBorders>
              <w:top w:val="single" w:sz="4" w:space="0" w:color="auto"/>
              <w:left w:val="nil"/>
              <w:bottom w:val="nil"/>
              <w:right w:val="nil"/>
            </w:tcBorders>
            <w:shd w:val="clear" w:color="000000" w:fill="BFBFBF"/>
            <w:textDirection w:val="lrTb"/>
            <w:vAlign w:val="center"/>
            <w:hideMark/>
          </w:tcPr>
          <w:p w:rsidR="000A162C" w:rsidRPr="004F1FBD" w:rsidP="000A162C">
            <w:pPr>
              <w:bidi w:val="0"/>
              <w:spacing w:after="0" w:line="240" w:lineRule="auto"/>
              <w:rPr>
                <w:rFonts w:ascii="Times New Roman" w:hAnsi="Times New Roman"/>
                <w:b/>
                <w:bCs/>
                <w:sz w:val="18"/>
                <w:szCs w:val="18"/>
                <w:lang w:eastAsia="sk-SK"/>
              </w:rPr>
            </w:pPr>
            <w:r w:rsidRPr="004F1FBD">
              <w:rPr>
                <w:rFonts w:ascii="Times New Roman" w:hAnsi="Times New Roman"/>
                <w:b/>
                <w:bCs/>
                <w:sz w:val="18"/>
                <w:szCs w:val="18"/>
                <w:lang w:eastAsia="sk-SK"/>
              </w:rPr>
              <w:t> </w:t>
            </w:r>
          </w:p>
        </w:tc>
        <w:tc>
          <w:tcPr>
            <w:tcW w:w="575" w:type="pct"/>
            <w:tcBorders>
              <w:top w:val="single" w:sz="4" w:space="0" w:color="auto"/>
              <w:left w:val="nil"/>
              <w:bottom w:val="nil"/>
              <w:right w:val="nil"/>
            </w:tcBorders>
            <w:shd w:val="clear" w:color="000000" w:fill="BFBFBF"/>
            <w:textDirection w:val="lrTb"/>
            <w:vAlign w:val="center"/>
            <w:hideMark/>
          </w:tcPr>
          <w:p w:rsidR="000A162C" w:rsidRPr="004F1FBD" w:rsidP="000A162C">
            <w:pPr>
              <w:bidi w:val="0"/>
              <w:spacing w:after="0" w:line="240" w:lineRule="auto"/>
              <w:jc w:val="center"/>
              <w:rPr>
                <w:rFonts w:ascii="Times New Roman" w:hAnsi="Times New Roman"/>
                <w:b/>
                <w:bCs/>
                <w:sz w:val="18"/>
                <w:szCs w:val="18"/>
                <w:lang w:eastAsia="sk-SK"/>
              </w:rPr>
            </w:pPr>
            <w:r w:rsidRPr="004F1FBD">
              <w:rPr>
                <w:rFonts w:ascii="Times New Roman" w:hAnsi="Times New Roman"/>
                <w:b/>
                <w:bCs/>
                <w:sz w:val="18"/>
                <w:szCs w:val="18"/>
                <w:lang w:eastAsia="sk-SK"/>
              </w:rPr>
              <w:t>k 31.12.2015</w:t>
            </w:r>
          </w:p>
        </w:tc>
        <w:tc>
          <w:tcPr>
            <w:tcW w:w="619" w:type="pct"/>
            <w:tcBorders>
              <w:top w:val="single" w:sz="4" w:space="0" w:color="auto"/>
              <w:left w:val="nil"/>
              <w:bottom w:val="nil"/>
              <w:right w:val="nil"/>
            </w:tcBorders>
            <w:shd w:val="clear" w:color="000000" w:fill="BFBFBF"/>
            <w:textDirection w:val="lrTb"/>
            <w:vAlign w:val="center"/>
            <w:hideMark/>
          </w:tcPr>
          <w:p w:rsidR="000A162C" w:rsidRPr="004F1FBD" w:rsidP="000A162C">
            <w:pPr>
              <w:bidi w:val="0"/>
              <w:spacing w:after="0" w:line="240" w:lineRule="auto"/>
              <w:jc w:val="center"/>
              <w:rPr>
                <w:rFonts w:ascii="Times New Roman" w:hAnsi="Times New Roman"/>
                <w:b/>
                <w:bCs/>
                <w:sz w:val="18"/>
                <w:szCs w:val="18"/>
                <w:lang w:eastAsia="sk-SK"/>
              </w:rPr>
            </w:pPr>
            <w:r w:rsidRPr="004F1FBD">
              <w:rPr>
                <w:rFonts w:ascii="Times New Roman" w:hAnsi="Times New Roman"/>
                <w:b/>
                <w:bCs/>
                <w:sz w:val="18"/>
                <w:szCs w:val="18"/>
                <w:lang w:eastAsia="sk-SK"/>
              </w:rPr>
              <w:t>k 31.12.2016</w:t>
            </w:r>
          </w:p>
        </w:tc>
        <w:tc>
          <w:tcPr>
            <w:tcW w:w="592" w:type="pct"/>
            <w:tcBorders>
              <w:top w:val="single" w:sz="4" w:space="0" w:color="auto"/>
              <w:left w:val="nil"/>
              <w:bottom w:val="nil"/>
              <w:right w:val="nil"/>
            </w:tcBorders>
            <w:shd w:val="clear" w:color="000000" w:fill="BFBFBF"/>
            <w:textDirection w:val="lrTb"/>
            <w:vAlign w:val="center"/>
            <w:hideMark/>
          </w:tcPr>
          <w:p w:rsidR="000A162C" w:rsidRPr="004F1FBD" w:rsidP="000A162C">
            <w:pPr>
              <w:bidi w:val="0"/>
              <w:spacing w:after="0" w:line="240" w:lineRule="auto"/>
              <w:jc w:val="center"/>
              <w:rPr>
                <w:rFonts w:ascii="Times New Roman" w:hAnsi="Times New Roman"/>
                <w:b/>
                <w:bCs/>
                <w:sz w:val="18"/>
                <w:szCs w:val="18"/>
                <w:lang w:eastAsia="sk-SK"/>
              </w:rPr>
            </w:pPr>
            <w:r w:rsidRPr="004F1FBD">
              <w:rPr>
                <w:rFonts w:ascii="Times New Roman" w:hAnsi="Times New Roman"/>
                <w:b/>
                <w:bCs/>
                <w:sz w:val="18"/>
                <w:szCs w:val="18"/>
                <w:lang w:eastAsia="sk-SK"/>
              </w:rPr>
              <w:t>k 31.12.2017</w:t>
            </w:r>
          </w:p>
        </w:tc>
        <w:tc>
          <w:tcPr>
            <w:tcW w:w="679" w:type="pct"/>
            <w:tcBorders>
              <w:top w:val="single" w:sz="4" w:space="0" w:color="auto"/>
              <w:left w:val="nil"/>
              <w:bottom w:val="nil"/>
              <w:right w:val="nil"/>
            </w:tcBorders>
            <w:shd w:val="clear" w:color="000000" w:fill="BFBFBF"/>
            <w:textDirection w:val="lrTb"/>
            <w:vAlign w:val="center"/>
            <w:hideMark/>
          </w:tcPr>
          <w:p w:rsidR="000A162C" w:rsidRPr="004F1FBD" w:rsidP="000A162C">
            <w:pPr>
              <w:bidi w:val="0"/>
              <w:spacing w:after="0" w:line="240" w:lineRule="auto"/>
              <w:jc w:val="center"/>
              <w:rPr>
                <w:rFonts w:ascii="Times New Roman" w:hAnsi="Times New Roman"/>
                <w:b/>
                <w:bCs/>
                <w:sz w:val="18"/>
                <w:szCs w:val="18"/>
                <w:lang w:eastAsia="sk-SK"/>
              </w:rPr>
            </w:pPr>
            <w:r w:rsidRPr="004F1FBD">
              <w:rPr>
                <w:rFonts w:ascii="Times New Roman" w:hAnsi="Times New Roman"/>
                <w:b/>
                <w:bCs/>
                <w:sz w:val="18"/>
                <w:szCs w:val="18"/>
                <w:lang w:eastAsia="sk-SK"/>
              </w:rPr>
              <w:t>Zmena</w:t>
            </w:r>
          </w:p>
        </w:tc>
      </w:tr>
      <w:tr>
        <w:tblPrEx>
          <w:tblW w:w="4915" w:type="pct"/>
          <w:tblCellMar>
            <w:left w:w="70" w:type="dxa"/>
            <w:right w:w="70" w:type="dxa"/>
          </w:tblCellMar>
          <w:tblLook w:val="04A0"/>
        </w:tblPrEx>
        <w:trPr>
          <w:trHeight w:val="330"/>
        </w:trPr>
        <w:tc>
          <w:tcPr>
            <w:tcW w:w="2535"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center"/>
              <w:rPr>
                <w:rFonts w:ascii="Times New Roman" w:hAnsi="Times New Roman"/>
                <w:sz w:val="18"/>
                <w:szCs w:val="18"/>
                <w:lang w:eastAsia="sk-SK"/>
              </w:rPr>
            </w:pPr>
            <w:r w:rsidRPr="004F1FBD">
              <w:rPr>
                <w:rFonts w:ascii="Times New Roman" w:hAnsi="Times New Roman"/>
                <w:sz w:val="18"/>
                <w:szCs w:val="18"/>
                <w:lang w:eastAsia="sk-SK"/>
              </w:rPr>
              <w:t> </w:t>
            </w:r>
          </w:p>
        </w:tc>
        <w:tc>
          <w:tcPr>
            <w:tcW w:w="575"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center"/>
              <w:rPr>
                <w:rFonts w:ascii="Times New Roman" w:hAnsi="Times New Roman"/>
                <w:sz w:val="18"/>
                <w:szCs w:val="18"/>
                <w:lang w:eastAsia="sk-SK"/>
              </w:rPr>
            </w:pPr>
            <w:r w:rsidRPr="004F1FBD">
              <w:rPr>
                <w:rFonts w:ascii="Times New Roman" w:hAnsi="Times New Roman"/>
                <w:sz w:val="18"/>
                <w:szCs w:val="18"/>
                <w:lang w:eastAsia="sk-SK"/>
              </w:rPr>
              <w:t>1</w:t>
            </w:r>
          </w:p>
        </w:tc>
        <w:tc>
          <w:tcPr>
            <w:tcW w:w="619"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center"/>
              <w:rPr>
                <w:rFonts w:ascii="Times New Roman" w:hAnsi="Times New Roman"/>
                <w:sz w:val="18"/>
                <w:szCs w:val="18"/>
                <w:lang w:eastAsia="sk-SK"/>
              </w:rPr>
            </w:pPr>
            <w:r w:rsidRPr="004F1FBD">
              <w:rPr>
                <w:rFonts w:ascii="Times New Roman" w:hAnsi="Times New Roman"/>
                <w:sz w:val="18"/>
                <w:szCs w:val="18"/>
                <w:lang w:eastAsia="sk-SK"/>
              </w:rPr>
              <w:t>2</w:t>
            </w:r>
          </w:p>
        </w:tc>
        <w:tc>
          <w:tcPr>
            <w:tcW w:w="592"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center"/>
              <w:rPr>
                <w:rFonts w:ascii="Times New Roman" w:hAnsi="Times New Roman"/>
                <w:sz w:val="18"/>
                <w:szCs w:val="18"/>
                <w:lang w:eastAsia="sk-SK"/>
              </w:rPr>
            </w:pPr>
            <w:r w:rsidRPr="004F1FBD">
              <w:rPr>
                <w:rFonts w:ascii="Times New Roman" w:hAnsi="Times New Roman"/>
                <w:sz w:val="18"/>
                <w:szCs w:val="18"/>
                <w:lang w:eastAsia="sk-SK"/>
              </w:rPr>
              <w:t>3</w:t>
            </w:r>
          </w:p>
        </w:tc>
        <w:tc>
          <w:tcPr>
            <w:tcW w:w="679"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center"/>
              <w:rPr>
                <w:rFonts w:ascii="Times New Roman" w:hAnsi="Times New Roman"/>
                <w:sz w:val="18"/>
                <w:szCs w:val="18"/>
                <w:lang w:eastAsia="sk-SK"/>
              </w:rPr>
            </w:pPr>
            <w:r w:rsidRPr="004F1FBD">
              <w:rPr>
                <w:rFonts w:ascii="Times New Roman" w:hAnsi="Times New Roman"/>
                <w:sz w:val="18"/>
                <w:szCs w:val="18"/>
                <w:lang w:eastAsia="sk-SK"/>
              </w:rPr>
              <w:t>4=(3-2)</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r w:rsidRPr="004F1FBD">
              <w:rPr>
                <w:rFonts w:ascii="Times New Roman" w:hAnsi="Times New Roman"/>
                <w:b/>
                <w:bCs/>
                <w:sz w:val="18"/>
                <w:szCs w:val="18"/>
                <w:lang w:eastAsia="sk-SK"/>
              </w:rPr>
              <w:t>Ústredná správa</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180" w:firstLineChars="100"/>
              <w:jc w:val="left"/>
              <w:rPr>
                <w:rFonts w:ascii="Times New Roman" w:hAnsi="Times New Roman"/>
                <w:sz w:val="18"/>
                <w:szCs w:val="18"/>
                <w:lang w:eastAsia="sk-SK"/>
              </w:rPr>
            </w:pPr>
            <w:r w:rsidRPr="004F1FBD">
              <w:rPr>
                <w:rFonts w:ascii="Times New Roman" w:hAnsi="Times New Roman"/>
                <w:sz w:val="18"/>
                <w:szCs w:val="18"/>
                <w:lang w:eastAsia="sk-SK"/>
              </w:rPr>
              <w:t xml:space="preserve">z toho: </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180" w:firstLineChars="100"/>
              <w:jc w:val="left"/>
              <w:rPr>
                <w:rFonts w:ascii="Times New Roman" w:hAnsi="Times New Roman"/>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r>
      <w:tr>
        <w:tblPrEx>
          <w:tblW w:w="4915" w:type="pct"/>
          <w:tblCellMar>
            <w:left w:w="70" w:type="dxa"/>
            <w:right w:w="70" w:type="dxa"/>
          </w:tblCellMar>
          <w:tblLook w:val="04A0"/>
        </w:tblPrEx>
        <w:trPr>
          <w:trHeight w:val="33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 xml:space="preserve">Štátny dlh  </w:t>
            </w:r>
            <w:r w:rsidRPr="004F1FBD">
              <w:rPr>
                <w:rFonts w:ascii="Times New Roman" w:hAnsi="Times New Roman"/>
                <w:sz w:val="18"/>
                <w:szCs w:val="18"/>
                <w:vertAlign w:val="superscript"/>
                <w:lang w:eastAsia="sk-SK"/>
              </w:rPr>
              <w:t>1)</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39 808 670</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40 643 814</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41 765 506</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1 121 692</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Príspevkové organizácie ústrednej 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2 012</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2 704</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2 005</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-699</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Exportno-importná banka Slovenskej republiky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22 725</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25 644</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9 542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-16 102</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Obchodné spoločnosti štátu</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656 791</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648 656</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621 864</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-26 792</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540" w:firstLineChars="300"/>
              <w:jc w:val="left"/>
              <w:rPr>
                <w:rFonts w:ascii="Times New Roman" w:hAnsi="Times New Roman"/>
                <w:sz w:val="18"/>
                <w:szCs w:val="18"/>
                <w:lang w:eastAsia="sk-SK"/>
              </w:rPr>
            </w:pPr>
            <w:r w:rsidRPr="004F1FBD">
              <w:rPr>
                <w:rFonts w:ascii="Times New Roman" w:hAnsi="Times New Roman"/>
                <w:sz w:val="18"/>
                <w:szCs w:val="18"/>
                <w:lang w:eastAsia="sk-SK"/>
              </w:rPr>
              <w:t>z toho:</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540" w:firstLineChars="300"/>
              <w:jc w:val="left"/>
              <w:rPr>
                <w:rFonts w:ascii="Times New Roman" w:hAnsi="Times New Roman"/>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MH Manažment, a.</w:t>
            </w:r>
            <w:r>
              <w:rPr>
                <w:rFonts w:ascii="Times New Roman" w:hAnsi="Times New Roman"/>
                <w:sz w:val="18"/>
                <w:szCs w:val="18"/>
                <w:lang w:eastAsia="sk-SK"/>
              </w:rPr>
              <w:t xml:space="preserve"> </w:t>
            </w:r>
            <w:r w:rsidRPr="004F1FBD">
              <w:rPr>
                <w:rFonts w:ascii="Times New Roman" w:hAnsi="Times New Roman"/>
                <w:sz w:val="18"/>
                <w:szCs w:val="18"/>
                <w:lang w:eastAsia="sk-SK"/>
              </w:rPr>
              <w:t>s.</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15 313</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15 223</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15 216</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MH Invest, s.</w:t>
            </w:r>
            <w:r>
              <w:rPr>
                <w:rFonts w:ascii="Times New Roman" w:hAnsi="Times New Roman"/>
                <w:sz w:val="18"/>
                <w:szCs w:val="18"/>
                <w:lang w:eastAsia="sk-SK"/>
              </w:rPr>
              <w:t xml:space="preserve"> </w:t>
            </w:r>
            <w:r w:rsidRPr="004F1FBD">
              <w:rPr>
                <w:rFonts w:ascii="Times New Roman" w:hAnsi="Times New Roman"/>
                <w:sz w:val="18"/>
                <w:szCs w:val="18"/>
                <w:lang w:eastAsia="sk-SK"/>
              </w:rPr>
              <w:t>r.</w:t>
            </w:r>
            <w:r>
              <w:rPr>
                <w:rFonts w:ascii="Times New Roman" w:hAnsi="Times New Roman"/>
                <w:sz w:val="18"/>
                <w:szCs w:val="18"/>
                <w:lang w:eastAsia="sk-SK"/>
              </w:rPr>
              <w:t xml:space="preserve"> </w:t>
            </w:r>
            <w:r w:rsidRPr="004F1FBD">
              <w:rPr>
                <w:rFonts w:ascii="Times New Roman" w:hAnsi="Times New Roman"/>
                <w:sz w:val="18"/>
                <w:szCs w:val="18"/>
                <w:lang w:eastAsia="sk-SK"/>
              </w:rPr>
              <w:t>o.</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2 730</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70</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30</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-40</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MH Invest II., s.</w:t>
            </w:r>
            <w:r>
              <w:rPr>
                <w:rFonts w:ascii="Times New Roman" w:hAnsi="Times New Roman"/>
                <w:sz w:val="18"/>
                <w:szCs w:val="18"/>
                <w:lang w:eastAsia="sk-SK"/>
              </w:rPr>
              <w:t xml:space="preserve"> </w:t>
            </w:r>
            <w:r w:rsidRPr="004F1FBD">
              <w:rPr>
                <w:rFonts w:ascii="Times New Roman" w:hAnsi="Times New Roman"/>
                <w:sz w:val="18"/>
                <w:szCs w:val="18"/>
                <w:lang w:eastAsia="sk-SK"/>
              </w:rPr>
              <w:t>r.</w:t>
            </w:r>
            <w:r>
              <w:rPr>
                <w:rFonts w:ascii="Times New Roman" w:hAnsi="Times New Roman"/>
                <w:sz w:val="18"/>
                <w:szCs w:val="18"/>
                <w:lang w:eastAsia="sk-SK"/>
              </w:rPr>
              <w:t xml:space="preserve"> </w:t>
            </w:r>
            <w:r w:rsidRPr="004F1FBD">
              <w:rPr>
                <w:rFonts w:ascii="Times New Roman" w:hAnsi="Times New Roman"/>
                <w:sz w:val="18"/>
                <w:szCs w:val="18"/>
                <w:lang w:eastAsia="sk-SK"/>
              </w:rPr>
              <w:t>o.</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2 737</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2 762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25</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JAVYS, a.</w:t>
            </w:r>
            <w:r>
              <w:rPr>
                <w:rFonts w:ascii="Times New Roman" w:hAnsi="Times New Roman"/>
                <w:sz w:val="18"/>
                <w:szCs w:val="18"/>
                <w:lang w:eastAsia="sk-SK"/>
              </w:rPr>
              <w:t xml:space="preserve"> </w:t>
            </w:r>
            <w:r w:rsidRPr="004F1FBD">
              <w:rPr>
                <w:rFonts w:ascii="Times New Roman" w:hAnsi="Times New Roman"/>
                <w:sz w:val="18"/>
                <w:szCs w:val="18"/>
                <w:lang w:eastAsia="sk-SK"/>
              </w:rPr>
              <w:t>s.</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307</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1 160</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853</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Železnice Slovenskej republiky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63 222</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62 944</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63 383</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439</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Železničná spoločnosť, a.</w:t>
            </w:r>
            <w:r>
              <w:rPr>
                <w:rFonts w:ascii="Times New Roman" w:hAnsi="Times New Roman"/>
                <w:sz w:val="18"/>
                <w:szCs w:val="18"/>
                <w:lang w:eastAsia="sk-SK"/>
              </w:rPr>
              <w:t xml:space="preserve"> </w:t>
            </w:r>
            <w:r w:rsidRPr="004F1FBD">
              <w:rPr>
                <w:rFonts w:ascii="Times New Roman" w:hAnsi="Times New Roman"/>
                <w:sz w:val="18"/>
                <w:szCs w:val="18"/>
                <w:lang w:eastAsia="sk-SK"/>
              </w:rPr>
              <w:t>s.</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311 938</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343 945</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351 871</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7 926</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720" w:firstLineChars="400"/>
              <w:jc w:val="left"/>
              <w:rPr>
                <w:rFonts w:ascii="Times New Roman" w:hAnsi="Times New Roman"/>
                <w:sz w:val="18"/>
                <w:szCs w:val="18"/>
                <w:lang w:eastAsia="sk-SK"/>
              </w:rPr>
            </w:pPr>
            <w:r w:rsidRPr="004F1FBD">
              <w:rPr>
                <w:rFonts w:ascii="Times New Roman" w:hAnsi="Times New Roman"/>
                <w:sz w:val="18"/>
                <w:szCs w:val="18"/>
                <w:lang w:eastAsia="sk-SK"/>
              </w:rPr>
              <w:t>Národná diaľničná spoločnosť, a.</w:t>
            </w:r>
            <w:r>
              <w:rPr>
                <w:rFonts w:ascii="Times New Roman" w:hAnsi="Times New Roman"/>
                <w:sz w:val="18"/>
                <w:szCs w:val="18"/>
                <w:lang w:eastAsia="sk-SK"/>
              </w:rPr>
              <w:t xml:space="preserve"> </w:t>
            </w:r>
            <w:r w:rsidRPr="004F1FBD">
              <w:rPr>
                <w:rFonts w:ascii="Times New Roman" w:hAnsi="Times New Roman"/>
                <w:sz w:val="18"/>
                <w:szCs w:val="18"/>
                <w:lang w:eastAsia="sk-SK"/>
              </w:rPr>
              <w:t>s.</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263 587</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223 430</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187 442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-35 988</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Verejné vysoké školy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3 666</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7 731</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7 343</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-388</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Zdravotnícke zariadenia ústrednej 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24 508</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21 771</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22 543</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772</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Ostatné subjekty ústrednej 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521 111</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521 300</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461 331</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-59 969</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r w:rsidRPr="004F1FBD">
              <w:rPr>
                <w:rFonts w:ascii="Times New Roman" w:hAnsi="Times New Roman"/>
                <w:b/>
                <w:bCs/>
                <w:sz w:val="18"/>
                <w:szCs w:val="18"/>
                <w:lang w:eastAsia="sk-SK"/>
              </w:rPr>
              <w:t>Územná samospráva</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Obce a ich rozpočtové organizácie</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1 374 885</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1 334 719</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1 362 979</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28 260</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Vyššie územné celky a ich rozpočtové organizácie</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369 159</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347 635</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369 508</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21 873</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Príspevkové organizácie obcí</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932</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936</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1 292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356</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Príspevkové organizácie VÚC</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35</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1 040</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684</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-356</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Dopravné podniky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105 165</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82 153</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78 244</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-3 909</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Zdravotnícke zariadenia miestnej samosprávy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2 404</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1 257</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1 097</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-160</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Ostatné subjekty miestnej samosprávy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2 705</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5 082</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3 794</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-1 288</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r w:rsidRPr="004F1FBD">
              <w:rPr>
                <w:rFonts w:ascii="Times New Roman" w:hAnsi="Times New Roman"/>
                <w:b/>
                <w:bCs/>
                <w:sz w:val="18"/>
                <w:szCs w:val="18"/>
                <w:lang w:eastAsia="sk-SK"/>
              </w:rPr>
              <w:t>Fondy sociálneho zabezpečenia</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sz w:val="18"/>
                <w:szCs w:val="18"/>
                <w:lang w:eastAsia="sk-SK"/>
              </w:rPr>
            </w:pP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Sociálna poisťovňa</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422</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146</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162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16</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Verejné zdravotné poistenie</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368</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265</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736</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471</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r w:rsidRPr="004F1FBD">
              <w:rPr>
                <w:rFonts w:ascii="Times New Roman" w:hAnsi="Times New Roman"/>
                <w:b/>
                <w:bCs/>
                <w:sz w:val="18"/>
                <w:szCs w:val="18"/>
                <w:lang w:eastAsia="sk-SK"/>
              </w:rPr>
              <w:t>Verejná správa spolu</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42 895 558</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43 644 853</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44 708 630</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1 063 777</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i/>
                <w:iCs/>
                <w:sz w:val="18"/>
                <w:szCs w:val="18"/>
                <w:lang w:eastAsia="sk-SK"/>
              </w:rPr>
            </w:pPr>
            <w:r w:rsidRPr="004F1FBD">
              <w:rPr>
                <w:rFonts w:ascii="Times New Roman" w:hAnsi="Times New Roman"/>
                <w:i/>
                <w:iCs/>
                <w:sz w:val="18"/>
                <w:szCs w:val="18"/>
                <w:lang w:eastAsia="sk-SK"/>
              </w:rPr>
              <w:t>Konsolidácia</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1 600 578</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1 591 610</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1 482 132</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-109 478</w:t>
            </w:r>
          </w:p>
        </w:tc>
      </w:tr>
      <w:tr>
        <w:tblPrEx>
          <w:tblW w:w="4915" w:type="pct"/>
          <w:tblCellMar>
            <w:left w:w="70" w:type="dxa"/>
            <w:right w:w="70" w:type="dxa"/>
          </w:tblCellMar>
          <w:tblLook w:val="04A0"/>
        </w:tblPrEx>
        <w:trPr>
          <w:trHeight w:val="300"/>
        </w:trPr>
        <w:tc>
          <w:tcPr>
            <w:tcW w:w="2535" w:type="pct"/>
            <w:tcBorders>
              <w:top w:val="nil"/>
              <w:left w:val="nil"/>
              <w:bottom w:val="nil"/>
              <w:right w:val="nil"/>
            </w:tcBorders>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sz w:val="18"/>
                <w:szCs w:val="18"/>
                <w:lang w:eastAsia="sk-SK"/>
              </w:rPr>
            </w:pPr>
            <w:r w:rsidRPr="004F1FBD">
              <w:rPr>
                <w:rFonts w:ascii="Times New Roman" w:hAnsi="Times New Roman"/>
                <w:sz w:val="18"/>
                <w:szCs w:val="18"/>
                <w:lang w:eastAsia="sk-SK"/>
              </w:rPr>
              <w:t>z toho: konsolidácia v skupine miestnej samosprávy</w:t>
            </w:r>
          </w:p>
        </w:tc>
        <w:tc>
          <w:tcPr>
            <w:tcW w:w="575"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693 234</w:t>
            </w:r>
          </w:p>
        </w:tc>
        <w:tc>
          <w:tcPr>
            <w:tcW w:w="61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744 036</w:t>
            </w:r>
          </w:p>
        </w:tc>
        <w:tc>
          <w:tcPr>
            <w:tcW w:w="592"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751 583</w:t>
            </w:r>
          </w:p>
        </w:tc>
        <w:tc>
          <w:tcPr>
            <w:tcW w:w="679" w:type="pct"/>
            <w:tcBorders>
              <w:top w:val="nil"/>
              <w:left w:val="nil"/>
              <w:bottom w:val="nil"/>
              <w:right w:val="nil"/>
            </w:tcBorders>
            <w:noWrap/>
            <w:textDirection w:val="lrTb"/>
            <w:vAlign w:val="bottom"/>
            <w:hideMark/>
          </w:tcPr>
          <w:p w:rsidR="000A162C" w:rsidRPr="004F1FBD" w:rsidP="000A162C">
            <w:pPr>
              <w:bidi w:val="0"/>
              <w:spacing w:after="0" w:line="240" w:lineRule="auto"/>
              <w:jc w:val="right"/>
              <w:rPr>
                <w:rFonts w:ascii="Times New Roman" w:hAnsi="Times New Roman"/>
                <w:sz w:val="18"/>
                <w:szCs w:val="18"/>
                <w:lang w:eastAsia="sk-SK"/>
              </w:rPr>
            </w:pPr>
            <w:r w:rsidRPr="004F1FBD">
              <w:rPr>
                <w:rFonts w:ascii="Times New Roman" w:hAnsi="Times New Roman"/>
                <w:sz w:val="18"/>
                <w:szCs w:val="18"/>
                <w:lang w:eastAsia="sk-SK"/>
              </w:rPr>
              <w:t>7 547</w:t>
            </w:r>
          </w:p>
        </w:tc>
      </w:tr>
      <w:tr>
        <w:tblPrEx>
          <w:tblW w:w="4915" w:type="pct"/>
          <w:tblCellMar>
            <w:left w:w="70" w:type="dxa"/>
            <w:right w:w="70" w:type="dxa"/>
          </w:tblCellMar>
          <w:tblLook w:val="04A0"/>
        </w:tblPrEx>
        <w:trPr>
          <w:trHeight w:val="300"/>
        </w:trPr>
        <w:tc>
          <w:tcPr>
            <w:tcW w:w="2535" w:type="pct"/>
            <w:tcBorders>
              <w:top w:val="single" w:sz="4" w:space="0" w:color="auto"/>
              <w:left w:val="nil"/>
              <w:bottom w:val="nil"/>
              <w:right w:val="nil"/>
            </w:tcBorders>
            <w:shd w:val="clear" w:color="000000" w:fill="BFBFBF"/>
            <w:noWrap/>
            <w:textDirection w:val="lrTb"/>
            <w:vAlign w:val="bottom"/>
            <w:hideMark/>
          </w:tcPr>
          <w:p w:rsidR="000A162C" w:rsidRPr="004F1FBD" w:rsidP="000A162C">
            <w:pPr>
              <w:bidi w:val="0"/>
              <w:spacing w:after="0" w:line="240" w:lineRule="auto"/>
              <w:jc w:val="left"/>
              <w:rPr>
                <w:rFonts w:ascii="Times New Roman" w:hAnsi="Times New Roman"/>
                <w:b/>
                <w:bCs/>
                <w:sz w:val="18"/>
                <w:szCs w:val="18"/>
                <w:lang w:eastAsia="sk-SK"/>
              </w:rPr>
            </w:pPr>
            <w:r w:rsidRPr="004F1FBD">
              <w:rPr>
                <w:rFonts w:ascii="Times New Roman" w:hAnsi="Times New Roman"/>
                <w:b/>
                <w:bCs/>
                <w:sz w:val="18"/>
                <w:szCs w:val="18"/>
                <w:lang w:eastAsia="sk-SK"/>
              </w:rPr>
              <w:t>Verejná správa spolu konsolidovaná</w:t>
            </w:r>
          </w:p>
        </w:tc>
        <w:tc>
          <w:tcPr>
            <w:tcW w:w="575" w:type="pct"/>
            <w:tcBorders>
              <w:top w:val="single" w:sz="4" w:space="0" w:color="auto"/>
              <w:left w:val="nil"/>
              <w:bottom w:val="nil"/>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41 294 980</w:t>
            </w:r>
          </w:p>
        </w:tc>
        <w:tc>
          <w:tcPr>
            <w:tcW w:w="619" w:type="pct"/>
            <w:tcBorders>
              <w:top w:val="single" w:sz="4" w:space="0" w:color="auto"/>
              <w:left w:val="nil"/>
              <w:bottom w:val="nil"/>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42 053 243</w:t>
            </w:r>
          </w:p>
        </w:tc>
        <w:tc>
          <w:tcPr>
            <w:tcW w:w="592" w:type="pct"/>
            <w:tcBorders>
              <w:top w:val="single" w:sz="4" w:space="0" w:color="auto"/>
              <w:left w:val="nil"/>
              <w:bottom w:val="nil"/>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43 226 498</w:t>
            </w:r>
          </w:p>
        </w:tc>
        <w:tc>
          <w:tcPr>
            <w:tcW w:w="679" w:type="pct"/>
            <w:tcBorders>
              <w:top w:val="single" w:sz="4" w:space="0" w:color="auto"/>
              <w:left w:val="nil"/>
              <w:bottom w:val="nil"/>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1 173 255</w:t>
            </w:r>
          </w:p>
        </w:tc>
      </w:tr>
      <w:tr>
        <w:tblPrEx>
          <w:tblW w:w="4915" w:type="pct"/>
          <w:tblCellMar>
            <w:left w:w="70" w:type="dxa"/>
            <w:right w:w="70" w:type="dxa"/>
          </w:tblCellMar>
          <w:tblLook w:val="04A0"/>
        </w:tblPrEx>
        <w:trPr>
          <w:trHeight w:val="300"/>
        </w:trPr>
        <w:tc>
          <w:tcPr>
            <w:tcW w:w="2535"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ind w:firstLine="360" w:firstLineChars="200"/>
              <w:jc w:val="left"/>
              <w:rPr>
                <w:rFonts w:ascii="Times New Roman" w:hAnsi="Times New Roman"/>
                <w:b/>
                <w:bCs/>
                <w:sz w:val="18"/>
                <w:szCs w:val="18"/>
                <w:lang w:eastAsia="sk-SK"/>
              </w:rPr>
            </w:pPr>
            <w:r w:rsidRPr="004F1FBD">
              <w:rPr>
                <w:rFonts w:ascii="Times New Roman" w:hAnsi="Times New Roman"/>
                <w:b/>
                <w:bCs/>
                <w:sz w:val="18"/>
                <w:szCs w:val="18"/>
                <w:lang w:eastAsia="sk-SK"/>
              </w:rPr>
              <w:t>% z HDP</w:t>
            </w:r>
          </w:p>
        </w:tc>
        <w:tc>
          <w:tcPr>
            <w:tcW w:w="575"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52,3</w:t>
            </w:r>
          </w:p>
        </w:tc>
        <w:tc>
          <w:tcPr>
            <w:tcW w:w="619"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51,8</w:t>
            </w:r>
          </w:p>
        </w:tc>
        <w:tc>
          <w:tcPr>
            <w:tcW w:w="592"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50,9</w:t>
            </w:r>
          </w:p>
        </w:tc>
        <w:tc>
          <w:tcPr>
            <w:tcW w:w="679" w:type="pct"/>
            <w:tcBorders>
              <w:top w:val="nil"/>
              <w:left w:val="nil"/>
              <w:bottom w:val="single" w:sz="4" w:space="0" w:color="auto"/>
              <w:right w:val="nil"/>
            </w:tcBorders>
            <w:shd w:val="clear" w:color="000000" w:fill="BFBFBF"/>
            <w:noWrap/>
            <w:textDirection w:val="lrTb"/>
            <w:vAlign w:val="bottom"/>
            <w:hideMark/>
          </w:tcPr>
          <w:p w:rsidR="000A162C" w:rsidRPr="004F1FBD" w:rsidP="000A162C">
            <w:pPr>
              <w:bidi w:val="0"/>
              <w:spacing w:after="0" w:line="240" w:lineRule="auto"/>
              <w:jc w:val="right"/>
              <w:rPr>
                <w:rFonts w:ascii="Times New Roman" w:hAnsi="Times New Roman"/>
                <w:b/>
                <w:bCs/>
                <w:sz w:val="18"/>
                <w:szCs w:val="18"/>
                <w:lang w:eastAsia="sk-SK"/>
              </w:rPr>
            </w:pPr>
            <w:r w:rsidRPr="004F1FBD">
              <w:rPr>
                <w:rFonts w:ascii="Times New Roman" w:hAnsi="Times New Roman"/>
                <w:b/>
                <w:bCs/>
                <w:sz w:val="18"/>
                <w:szCs w:val="18"/>
                <w:lang w:eastAsia="sk-SK"/>
              </w:rPr>
              <w:t>-1,0</w:t>
            </w:r>
          </w:p>
        </w:tc>
      </w:tr>
    </w:tbl>
    <w:p w:rsidR="000A162C" w:rsidRPr="00D05D7D" w:rsidP="000A162C">
      <w:pPr>
        <w:bidi w:val="0"/>
        <w:spacing w:after="0" w:line="240" w:lineRule="auto"/>
        <w:ind w:left="7788"/>
        <w:rPr>
          <w:rFonts w:ascii="Times New Roman" w:hAnsi="Times New Roman"/>
          <w:color w:val="000000"/>
          <w:sz w:val="16"/>
          <w:szCs w:val="16"/>
          <w:lang w:eastAsia="sk-SK"/>
        </w:rPr>
      </w:pPr>
      <w:r w:rsidRPr="00D05D7D">
        <w:rPr>
          <w:rFonts w:ascii="Times New Roman" w:hAnsi="Times New Roman"/>
          <w:color w:val="000000"/>
          <w:sz w:val="16"/>
          <w:szCs w:val="16"/>
          <w:lang w:eastAsia="sk-SK"/>
        </w:rPr>
        <w:t>Zdroj: MF SR</w:t>
      </w:r>
    </w:p>
    <w:p w:rsidR="00CF6D6F" w:rsidP="00DB0AB7">
      <w:pPr>
        <w:bidi w:val="0"/>
        <w:spacing w:before="120"/>
        <w:rPr>
          <w:rFonts w:ascii="Times New Roman" w:hAnsi="Times New Roman"/>
          <w:szCs w:val="22"/>
        </w:rPr>
      </w:pPr>
    </w:p>
    <w:p w:rsidR="00DB0AB7" w:rsidP="00DB0AB7">
      <w:pPr>
        <w:bidi w:val="0"/>
        <w:spacing w:before="120"/>
        <w:rPr>
          <w:rFonts w:ascii="Times New Roman" w:hAnsi="Times New Roman"/>
          <w:szCs w:val="22"/>
        </w:rPr>
      </w:pPr>
      <w:r>
        <w:rPr>
          <w:rFonts w:ascii="Times New Roman" w:hAnsi="Times New Roman"/>
          <w:szCs w:val="22"/>
        </w:rPr>
        <w:t xml:space="preserve">Na náraste nominálneho dlhu v roku 2017 sa v najvyššej miere podieľal </w:t>
      </w:r>
      <w:r>
        <w:rPr>
          <w:rFonts w:ascii="Times New Roman" w:hAnsi="Times New Roman"/>
          <w:b/>
          <w:szCs w:val="22"/>
        </w:rPr>
        <w:t xml:space="preserve">hotovostný schodok štátneho rozpočtu </w:t>
      </w:r>
      <w:r>
        <w:rPr>
          <w:rFonts w:ascii="Times New Roman" w:hAnsi="Times New Roman"/>
          <w:szCs w:val="22"/>
        </w:rPr>
        <w:t xml:space="preserve">vo výške </w:t>
      </w:r>
      <w:r w:rsidRPr="004A26F1">
        <w:rPr>
          <w:rFonts w:ascii="Times New Roman" w:hAnsi="Times New Roman"/>
          <w:szCs w:val="22"/>
        </w:rPr>
        <w:t>1 220 132</w:t>
      </w:r>
      <w:r>
        <w:rPr>
          <w:rFonts w:ascii="Times New Roman" w:hAnsi="Times New Roman"/>
          <w:szCs w:val="22"/>
        </w:rPr>
        <w:t xml:space="preserve"> tis. eur. Zvýšenie maastrichtského dlhu oproti roku 2016 </w:t>
      </w:r>
      <w:r w:rsidRPr="007C07D4">
        <w:rPr>
          <w:rFonts w:ascii="Times New Roman" w:hAnsi="Times New Roman"/>
          <w:b/>
          <w:szCs w:val="22"/>
        </w:rPr>
        <w:t>negatívne</w:t>
      </w:r>
      <w:r>
        <w:rPr>
          <w:rFonts w:ascii="Times New Roman" w:hAnsi="Times New Roman"/>
          <w:szCs w:val="22"/>
        </w:rPr>
        <w:t xml:space="preserve"> ovplyvnili najmä nasledovné skutočnosti:</w:t>
      </w:r>
    </w:p>
    <w:p w:rsidR="00DB0AB7" w:rsidP="00DB0AB7">
      <w:pPr>
        <w:pStyle w:val="ListParagraph"/>
        <w:numPr>
          <w:numId w:val="14"/>
        </w:numPr>
        <w:bidi w:val="0"/>
        <w:spacing w:after="120" w:line="336" w:lineRule="auto"/>
        <w:jc w:val="both"/>
        <w:rPr>
          <w:rFonts w:ascii="Times New Roman" w:hAnsi="Times New Roman"/>
        </w:rPr>
      </w:pPr>
      <w:r>
        <w:rPr>
          <w:rFonts w:ascii="Times New Roman" w:hAnsi="Times New Roman"/>
        </w:rPr>
        <w:t>s</w:t>
      </w:r>
      <w:r w:rsidRPr="00E84D12">
        <w:rPr>
          <w:rFonts w:ascii="Times New Roman" w:hAnsi="Times New Roman"/>
        </w:rPr>
        <w:t xml:space="preserve">chodok </w:t>
      </w:r>
      <w:r>
        <w:rPr>
          <w:rFonts w:ascii="Times New Roman" w:hAnsi="Times New Roman"/>
        </w:rPr>
        <w:t>štátneho rozpočtu na hotovostnej báze a ďalšie požiadavky na cudzie zdroje vyplývajúce z riadenia dlhu a likvidity v priebehu uplynulého roka, ktoré vyvolali potrebu emitovať štátne pokladničné poukážky v menovitej hodnote 800 000 tis. eur a štátne dlhopisy v menovitej hodnote 6 065 000 tis. eur,</w:t>
      </w:r>
    </w:p>
    <w:p w:rsidR="00DB0AB7" w:rsidP="00DB0AB7">
      <w:pPr>
        <w:pStyle w:val="ListParagraph"/>
        <w:numPr>
          <w:numId w:val="14"/>
        </w:numPr>
        <w:bidi w:val="0"/>
        <w:spacing w:after="120" w:line="336" w:lineRule="auto"/>
        <w:jc w:val="both"/>
        <w:rPr>
          <w:rFonts w:ascii="Times New Roman" w:hAnsi="Times New Roman"/>
        </w:rPr>
      </w:pPr>
      <w:r>
        <w:rPr>
          <w:rFonts w:ascii="Times New Roman" w:hAnsi="Times New Roman"/>
        </w:rPr>
        <w:t>prijaté bankové úvery od medzinárodných finančných inštitúcií do štátneho dlhu vo výške 75 000 tis. eur,</w:t>
      </w:r>
    </w:p>
    <w:p w:rsidR="00DB0AB7" w:rsidP="00DB0AB7">
      <w:pPr>
        <w:pStyle w:val="ListParagraph"/>
        <w:numPr>
          <w:numId w:val="14"/>
        </w:numPr>
        <w:bidi w:val="0"/>
        <w:spacing w:after="120" w:line="336" w:lineRule="auto"/>
        <w:jc w:val="both"/>
        <w:rPr>
          <w:rFonts w:ascii="Times New Roman" w:hAnsi="Times New Roman"/>
        </w:rPr>
      </w:pPr>
      <w:r>
        <w:rPr>
          <w:rFonts w:ascii="Times New Roman" w:hAnsi="Times New Roman"/>
        </w:rPr>
        <w:t>nárast dlhu vyšších územných celkov o 21 928 tis. eur,</w:t>
      </w:r>
    </w:p>
    <w:p w:rsidR="00DB0AB7" w:rsidP="00DB0AB7">
      <w:pPr>
        <w:pStyle w:val="ListParagraph"/>
        <w:numPr>
          <w:numId w:val="14"/>
        </w:numPr>
        <w:bidi w:val="0"/>
        <w:spacing w:after="120" w:line="336" w:lineRule="auto"/>
        <w:jc w:val="both"/>
        <w:rPr>
          <w:rFonts w:ascii="Times New Roman" w:hAnsi="Times New Roman"/>
        </w:rPr>
      </w:pPr>
      <w:r>
        <w:rPr>
          <w:rFonts w:ascii="Times New Roman" w:hAnsi="Times New Roman"/>
        </w:rPr>
        <w:t>zvýšenie konsolidovaného dlhu obcí o 20 667 tis. eur,</w:t>
      </w:r>
    </w:p>
    <w:p w:rsidR="00DB0AB7" w:rsidRPr="002574EC" w:rsidP="00DB0AB7">
      <w:pPr>
        <w:pStyle w:val="ListParagraph"/>
        <w:numPr>
          <w:numId w:val="14"/>
        </w:numPr>
        <w:bidi w:val="0"/>
        <w:spacing w:after="120" w:line="336" w:lineRule="auto"/>
        <w:jc w:val="both"/>
        <w:rPr>
          <w:rFonts w:ascii="Times New Roman" w:hAnsi="Times New Roman"/>
        </w:rPr>
      </w:pPr>
      <w:r>
        <w:rPr>
          <w:rFonts w:ascii="Times New Roman" w:hAnsi="Times New Roman"/>
        </w:rPr>
        <w:t>nárast dlhu Železničnej spoločnosti Slovensko, a. s. o 7 926 tis. eur</w:t>
      </w:r>
      <w:r w:rsidRPr="002574EC">
        <w:rPr>
          <w:rFonts w:ascii="Times New Roman" w:hAnsi="Times New Roman"/>
        </w:rPr>
        <w:t>.</w:t>
      </w:r>
    </w:p>
    <w:p w:rsidR="00DB0AB7" w:rsidP="00DB0AB7">
      <w:pPr>
        <w:bidi w:val="0"/>
        <w:rPr>
          <w:rFonts w:ascii="Times New Roman" w:hAnsi="Times New Roman"/>
        </w:rPr>
      </w:pPr>
      <w:r>
        <w:rPr>
          <w:rFonts w:ascii="Times New Roman" w:hAnsi="Times New Roman"/>
          <w:b/>
        </w:rPr>
        <w:t xml:space="preserve">Pozitívny </w:t>
      </w:r>
      <w:r>
        <w:rPr>
          <w:rFonts w:ascii="Times New Roman" w:hAnsi="Times New Roman"/>
        </w:rPr>
        <w:t>vplyv na vývoj maastrichtského dlhu oproti jeho stavu v roku 2016 mali najmä tieto skutočnosti:</w:t>
      </w:r>
    </w:p>
    <w:p w:rsidR="00DB0AB7" w:rsidRPr="009F20ED" w:rsidP="00DB0AB7">
      <w:pPr>
        <w:pStyle w:val="ListParagraph"/>
        <w:numPr>
          <w:numId w:val="15"/>
        </w:numPr>
        <w:bidi w:val="0"/>
        <w:spacing w:after="120" w:line="336" w:lineRule="auto"/>
        <w:jc w:val="both"/>
      </w:pPr>
      <w:r>
        <w:rPr>
          <w:rFonts w:ascii="Times New Roman" w:hAnsi="Times New Roman"/>
        </w:rPr>
        <w:t>splátky záväzkov zo štátnych pokladničných poukážok v menovitej hodnote 1 200 000 tis. eur,</w:t>
      </w:r>
    </w:p>
    <w:p w:rsidR="00DB0AB7" w:rsidRPr="00930138" w:rsidP="00DB0AB7">
      <w:pPr>
        <w:pStyle w:val="ListParagraph"/>
        <w:numPr>
          <w:numId w:val="15"/>
        </w:numPr>
        <w:bidi w:val="0"/>
        <w:spacing w:after="120" w:line="336" w:lineRule="auto"/>
        <w:jc w:val="both"/>
      </w:pPr>
      <w:r>
        <w:rPr>
          <w:rFonts w:ascii="Times New Roman" w:hAnsi="Times New Roman"/>
        </w:rPr>
        <w:t>splátky záväzkov zo štátnych dlhopisov v menovitej hodnote 4 495 894 tis. eur,</w:t>
      </w:r>
    </w:p>
    <w:p w:rsidR="00DB0AB7" w:rsidRPr="009F20ED" w:rsidP="00DB0AB7">
      <w:pPr>
        <w:pStyle w:val="ListParagraph"/>
        <w:numPr>
          <w:numId w:val="15"/>
        </w:numPr>
        <w:bidi w:val="0"/>
        <w:spacing w:after="120" w:line="336" w:lineRule="auto"/>
        <w:jc w:val="both"/>
      </w:pPr>
      <w:r>
        <w:rPr>
          <w:rFonts w:ascii="Times New Roman" w:hAnsi="Times New Roman"/>
        </w:rPr>
        <w:t>splátky úverov v štátnom dlhu v hodnote 15 354 tis. eur,</w:t>
      </w:r>
    </w:p>
    <w:p w:rsidR="00DB0AB7" w:rsidP="00DB0AB7">
      <w:pPr>
        <w:pStyle w:val="ListParagraph"/>
        <w:numPr>
          <w:numId w:val="15"/>
        </w:numPr>
        <w:bidi w:val="0"/>
        <w:spacing w:after="120" w:line="336" w:lineRule="auto"/>
        <w:jc w:val="both"/>
        <w:rPr>
          <w:rFonts w:ascii="Times New Roman" w:hAnsi="Times New Roman"/>
        </w:rPr>
      </w:pPr>
      <w:r>
        <w:rPr>
          <w:rFonts w:ascii="Times New Roman" w:hAnsi="Times New Roman"/>
        </w:rPr>
        <w:t>pokles zadlženosti Národnej diaľničnej spoločnosti, a. s. o 35 988 tis. eur z dôvodu splácania úverov,</w:t>
      </w:r>
    </w:p>
    <w:p w:rsidR="00DB0AB7" w:rsidRPr="008A6513" w:rsidP="00DB0AB7">
      <w:pPr>
        <w:pStyle w:val="ListParagraph"/>
        <w:numPr>
          <w:numId w:val="15"/>
        </w:numPr>
        <w:bidi w:val="0"/>
        <w:spacing w:after="120" w:line="336" w:lineRule="auto"/>
        <w:jc w:val="both"/>
        <w:rPr>
          <w:rFonts w:ascii="Times New Roman" w:hAnsi="Times New Roman"/>
        </w:rPr>
      </w:pPr>
      <w:r w:rsidRPr="008A6513">
        <w:rPr>
          <w:rFonts w:ascii="Times New Roman" w:hAnsi="Times New Roman"/>
        </w:rPr>
        <w:t>zníženie dlhu Exportno-importnej banky o 16 102 tis. eur,</w:t>
      </w:r>
    </w:p>
    <w:p w:rsidR="00DB0AB7" w:rsidRPr="00EF5743" w:rsidP="00DB0AB7">
      <w:pPr>
        <w:pStyle w:val="ListParagraph"/>
        <w:numPr>
          <w:numId w:val="15"/>
        </w:numPr>
        <w:bidi w:val="0"/>
        <w:spacing w:after="120" w:line="336" w:lineRule="auto"/>
        <w:jc w:val="both"/>
        <w:rPr>
          <w:rFonts w:ascii="Times New Roman" w:hAnsi="Times New Roman"/>
        </w:rPr>
      </w:pPr>
      <w:r>
        <w:rPr>
          <w:rFonts w:ascii="Times New Roman" w:hAnsi="Times New Roman"/>
        </w:rPr>
        <w:t>pokles zadlženosti dopravných podnikov územnej samosprávy 3 909 tis. eur.</w:t>
      </w:r>
    </w:p>
    <w:p w:rsidR="00B40D43" w:rsidP="00DB0AB7">
      <w:pPr>
        <w:bidi w:val="0"/>
        <w:rPr>
          <w:rFonts w:ascii="Times New Roman" w:hAnsi="Times New Roman"/>
          <w:b/>
          <w:szCs w:val="22"/>
        </w:rPr>
      </w:pPr>
    </w:p>
    <w:p w:rsidR="00DB0AB7" w:rsidP="00DB0AB7">
      <w:pPr>
        <w:bidi w:val="0"/>
        <w:rPr>
          <w:rFonts w:ascii="Times New Roman" w:hAnsi="Times New Roman"/>
          <w:szCs w:val="22"/>
        </w:rPr>
      </w:pPr>
      <w:r>
        <w:rPr>
          <w:rFonts w:ascii="Times New Roman" w:hAnsi="Times New Roman"/>
          <w:b/>
          <w:szCs w:val="22"/>
        </w:rPr>
        <w:t xml:space="preserve">Maastrichtský dlh verejnej správy bol k 31.12.2017 financovaný predovšetkým cennými papiermi </w:t>
      </w:r>
      <w:r>
        <w:rPr>
          <w:rFonts w:ascii="Times New Roman" w:hAnsi="Times New Roman"/>
          <w:szCs w:val="22"/>
        </w:rPr>
        <w:t>v menovitej hodnote 37 055 887 tis. eur (85,7 %). Z toho podstatnú časť tvorili štátne dlhopisy v menovitej hodnote 37 037 655 tis. eur. Bankové úvery a iné záväzky dosiahli hodnotu 5 969 984 tis. eur (13,8 %), z čoho 1 880 640 tis. eur predstavuje záväzok pripadajúci na Slovenskú republiku z EFSF. Výška záväzku sa oproti stavu v predchádzajúcom roku nezmenila. Osobitnou súčasťou maastrichtského dlhu sú záväzky z vkladov peňažných prostriedkov v Štátnej pokladnici tých klientov, ktorí nie sú súčasťou verejnej správy; tieto záväzky dosiahli hodnotu 197 977 tis. eur (0,5 %).</w:t>
      </w:r>
    </w:p>
    <w:p w:rsidR="00DB0AB7" w:rsidP="00DB0AB7">
      <w:pPr>
        <w:bidi w:val="0"/>
        <w:rPr>
          <w:rFonts w:ascii="Times New Roman" w:hAnsi="Times New Roman"/>
          <w:szCs w:val="22"/>
        </w:rPr>
      </w:pPr>
      <w:r>
        <w:rPr>
          <w:rFonts w:ascii="Times New Roman" w:hAnsi="Times New Roman"/>
          <w:b/>
          <w:szCs w:val="22"/>
        </w:rPr>
        <w:t xml:space="preserve">Z pohľadu meny </w:t>
      </w:r>
      <w:r>
        <w:rPr>
          <w:rFonts w:ascii="Times New Roman" w:hAnsi="Times New Roman"/>
          <w:szCs w:val="22"/>
        </w:rPr>
        <w:t>bol maastrichtský dlh v roku 2017 tvorený z 94,2 % dlhom v eurách a 5,8 % dlhu pripadlo na iné meny, ktoré sú najmä v štátnom dlhu pri emitovaných dlhopisoch denominovaných v amerických dolároch, japonských jenoch, švajčiarskych frankoch a nórskych korunách.</w:t>
      </w:r>
    </w:p>
    <w:p w:rsidR="00DB0AB7" w:rsidP="00DB0AB7">
      <w:pPr>
        <w:bidi w:val="0"/>
        <w:rPr>
          <w:rFonts w:ascii="Times New Roman" w:hAnsi="Times New Roman"/>
          <w:szCs w:val="22"/>
        </w:rPr>
      </w:pPr>
      <w:r w:rsidRPr="004A26F1">
        <w:rPr>
          <w:rFonts w:ascii="Times New Roman" w:hAnsi="Times New Roman"/>
          <w:b/>
          <w:szCs w:val="22"/>
        </w:rPr>
        <w:t>Z hľadiska</w:t>
      </w:r>
      <w:r>
        <w:rPr>
          <w:rFonts w:ascii="Times New Roman" w:hAnsi="Times New Roman"/>
          <w:b/>
          <w:szCs w:val="22"/>
        </w:rPr>
        <w:t xml:space="preserve"> pôvodnej splatnosti </w:t>
      </w:r>
      <w:r w:rsidRPr="00491AE1">
        <w:rPr>
          <w:rFonts w:ascii="Times New Roman" w:hAnsi="Times New Roman"/>
          <w:szCs w:val="22"/>
        </w:rPr>
        <w:t>(dohodnutej pri vzniku dlhu)</w:t>
      </w:r>
      <w:r>
        <w:rPr>
          <w:rFonts w:ascii="Times New Roman" w:hAnsi="Times New Roman"/>
          <w:b/>
          <w:szCs w:val="22"/>
        </w:rPr>
        <w:t xml:space="preserve"> </w:t>
      </w:r>
      <w:r>
        <w:rPr>
          <w:rFonts w:ascii="Times New Roman" w:hAnsi="Times New Roman"/>
          <w:szCs w:val="22"/>
        </w:rPr>
        <w:t>je maastrichtský dlh tvorený z 0,9 % (373 536 tis. eur) krátkodobým dlhom, 99,1 % (42 852 962 tis. eur) predstavuje dlh s pôvodnou splatnosťou vyššou ako jeden rok.</w:t>
      </w:r>
    </w:p>
    <w:p w:rsidR="00DB0AB7" w:rsidP="00DB0AB7">
      <w:pPr>
        <w:bidi w:val="0"/>
        <w:rPr>
          <w:rFonts w:ascii="Times New Roman" w:hAnsi="Times New Roman"/>
          <w:szCs w:val="22"/>
        </w:rPr>
      </w:pPr>
      <w:r>
        <w:rPr>
          <w:rFonts w:ascii="Times New Roman" w:hAnsi="Times New Roman"/>
          <w:b/>
          <w:szCs w:val="22"/>
        </w:rPr>
        <w:t>Z hľadiska teritoriálnej štruktúry</w:t>
      </w:r>
      <w:r>
        <w:rPr>
          <w:rFonts w:ascii="Times New Roman" w:hAnsi="Times New Roman"/>
          <w:szCs w:val="22"/>
        </w:rPr>
        <w:t xml:space="preserve"> majú v držbe väčšinu maastrichtského dlhu verejnej správy SR zahraniční veritelia</w:t>
      </w:r>
      <w:r w:rsidR="004F5AD8">
        <w:rPr>
          <w:rFonts w:ascii="Times New Roman" w:hAnsi="Times New Roman"/>
          <w:szCs w:val="22"/>
        </w:rPr>
        <w:t>, a to</w:t>
      </w:r>
      <w:r>
        <w:rPr>
          <w:rFonts w:ascii="Times New Roman" w:hAnsi="Times New Roman"/>
          <w:szCs w:val="22"/>
        </w:rPr>
        <w:t xml:space="preserve"> - 57,5 % (24 850 333 tis. eur). V portfóliu tuzemských veriteľov je 42,5 % (18 376 165 tis. eur) maastrichtského dlhu, pričom ide o tuzemské bankové inštitúcie a obchodníkov s cennými papiermi.</w:t>
      </w:r>
    </w:p>
    <w:p w:rsidR="00DC1853">
      <w:pPr>
        <w:bidi w:val="0"/>
        <w:spacing w:after="200" w:line="276" w:lineRule="auto"/>
        <w:jc w:val="left"/>
        <w:rPr>
          <w:rFonts w:ascii="Times New Roman" w:hAnsi="Times New Roman" w:eastAsiaTheme="majorEastAsia"/>
          <w:b/>
          <w:bCs/>
          <w:sz w:val="24"/>
        </w:rPr>
      </w:pPr>
      <w:r>
        <w:rPr>
          <w:rFonts w:ascii="Times New Roman" w:hAnsi="Times New Roman"/>
        </w:rPr>
        <w:br w:type="page"/>
      </w:r>
    </w:p>
    <w:p w:rsidR="00DD2BD6" w:rsidRPr="00DB0AB7" w:rsidP="00C9335D">
      <w:pPr>
        <w:pStyle w:val="Heading3"/>
        <w:numPr>
          <w:ilvl w:val="0"/>
          <w:numId w:val="0"/>
        </w:numPr>
        <w:bidi w:val="0"/>
        <w:ind w:left="567" w:hanging="567"/>
        <w:rPr>
          <w:rFonts w:hint="default"/>
        </w:rPr>
      </w:pPr>
      <w:bookmarkStart w:id="30" w:name="_Toc512599663"/>
      <w:r w:rsidR="00B77962">
        <w:t xml:space="preserve">2.2.1 </w:t>
      </w:r>
      <w:r w:rsidRPr="00DB0AB7">
        <w:rPr>
          <w:rFonts w:hint="default"/>
        </w:rPr>
        <w:t>Maastrichtský</w:t>
      </w:r>
      <w:r w:rsidRPr="00DB0AB7">
        <w:rPr>
          <w:rFonts w:hint="default"/>
        </w:rPr>
        <w:t xml:space="preserve"> dlh š</w:t>
      </w:r>
      <w:r w:rsidRPr="00DB0AB7">
        <w:rPr>
          <w:rFonts w:hint="default"/>
        </w:rPr>
        <w:t>tá</w:t>
      </w:r>
      <w:r w:rsidRPr="00DB0AB7">
        <w:rPr>
          <w:rFonts w:hint="default"/>
        </w:rPr>
        <w:t>tnych rozpoč</w:t>
      </w:r>
      <w:r w:rsidRPr="00DB0AB7">
        <w:rPr>
          <w:rFonts w:hint="default"/>
        </w:rPr>
        <w:t>tový</w:t>
      </w:r>
      <w:r w:rsidRPr="00DB0AB7">
        <w:rPr>
          <w:rFonts w:hint="default"/>
        </w:rPr>
        <w:t>ch organizá</w:t>
      </w:r>
      <w:r w:rsidRPr="00DB0AB7">
        <w:rPr>
          <w:rFonts w:hint="default"/>
        </w:rPr>
        <w:t>cií</w:t>
      </w:r>
      <w:bookmarkEnd w:id="30"/>
    </w:p>
    <w:p w:rsidR="00DB0AB7" w:rsidP="00DD2BD6">
      <w:pPr>
        <w:bidi w:val="0"/>
        <w:rPr>
          <w:rFonts w:ascii="Times New Roman" w:hAnsi="Times New Roman"/>
        </w:rPr>
      </w:pPr>
      <w:r>
        <w:rPr>
          <w:rFonts w:ascii="Times New Roman" w:hAnsi="Times New Roman"/>
        </w:rPr>
        <w:t xml:space="preserve">Štátny dlh, ktorého nositeľom sú </w:t>
      </w:r>
      <w:r>
        <w:rPr>
          <w:rFonts w:ascii="Times New Roman" w:hAnsi="Times New Roman"/>
          <w:b/>
        </w:rPr>
        <w:t>štátne rozpočtové organizácie</w:t>
      </w:r>
      <w:r>
        <w:rPr>
          <w:rFonts w:ascii="Times New Roman" w:hAnsi="Times New Roman"/>
        </w:rPr>
        <w:t>, a ktorý je v správe Ministerstva financií SR, dosiahol v menovitej hodnote ku koncu roka 2017 výšku 41 765 506 tis. eur. V porovnaní s predchádzajúcim rokom vzrástol o 1 121 692 tis. eur (o 2,7 %). Hlavnou príčinou zvyšovania štátneho dlhu je v prípade deficitného hospodárenia hotovostný schodok štátneho rozpočtu, ktorý je nutné v priebehu roka financovať externými zdrojmi.</w:t>
      </w:r>
    </w:p>
    <w:p w:rsidR="00DB0AB7" w:rsidP="00DB0AB7">
      <w:pPr>
        <w:bidi w:val="0"/>
        <w:rPr>
          <w:rFonts w:ascii="Times New Roman" w:hAnsi="Times New Roman"/>
        </w:rPr>
      </w:pPr>
      <w:r>
        <w:rPr>
          <w:rFonts w:ascii="Times New Roman" w:hAnsi="Times New Roman"/>
        </w:rPr>
        <w:t>Štátny dlh je v rozhodujúcej miere tvorený záväzkami z emisie štátnych dlhopisov (88,7 %), úverov (5,5 %) a záväzkami z EFSF (4,5 %).</w:t>
      </w:r>
    </w:p>
    <w:tbl>
      <w:tblPr>
        <w:tblStyle w:val="TableNormal"/>
        <w:tblW w:w="5000" w:type="pct"/>
        <w:tblCellMar>
          <w:left w:w="70" w:type="dxa"/>
          <w:right w:w="70" w:type="dxa"/>
        </w:tblCellMar>
        <w:tblLook w:val="04A0"/>
      </w:tblPr>
      <w:tblGrid>
        <w:gridCol w:w="4438"/>
        <w:gridCol w:w="1137"/>
        <w:gridCol w:w="1137"/>
        <w:gridCol w:w="1139"/>
        <w:gridCol w:w="1077"/>
      </w:tblGrid>
      <w:tr>
        <w:tblPrEx>
          <w:tblW w:w="5000" w:type="pct"/>
          <w:tblCellMar>
            <w:left w:w="70" w:type="dxa"/>
            <w:right w:w="70" w:type="dxa"/>
          </w:tblCellMar>
          <w:tblLook w:val="04A0"/>
        </w:tblPrEx>
        <w:trPr>
          <w:trHeight w:val="330"/>
        </w:trPr>
        <w:tc>
          <w:tcPr>
            <w:tcW w:w="4397" w:type="pct"/>
            <w:gridSpan w:val="4"/>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left"/>
              <w:rPr>
                <w:rFonts w:ascii="Times New Roman" w:hAnsi="Times New Roman"/>
                <w:b/>
                <w:bCs/>
                <w:color w:val="FFFFFF"/>
                <w:sz w:val="18"/>
                <w:szCs w:val="18"/>
                <w:lang w:eastAsia="sk-SK"/>
              </w:rPr>
            </w:pPr>
            <w:r w:rsidRPr="004F5AD8">
              <w:rPr>
                <w:rFonts w:ascii="Times New Roman" w:hAnsi="Times New Roman"/>
                <w:sz w:val="18"/>
                <w:szCs w:val="18"/>
              </w:rPr>
              <w:br w:type="page"/>
            </w:r>
            <w:r w:rsidRPr="004F5AD8">
              <w:rPr>
                <w:rFonts w:ascii="Times New Roman" w:hAnsi="Times New Roman"/>
                <w:b/>
                <w:bCs/>
                <w:color w:val="FFFFFF"/>
                <w:sz w:val="18"/>
                <w:szCs w:val="18"/>
                <w:lang w:eastAsia="sk-SK"/>
              </w:rPr>
              <w:t>Štátny dlh podľa dlhových nástrojov</w:t>
            </w:r>
          </w:p>
        </w:tc>
        <w:tc>
          <w:tcPr>
            <w:tcW w:w="603" w:type="pct"/>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righ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v tis. eur</w:t>
            </w:r>
          </w:p>
        </w:tc>
      </w:tr>
      <w:tr>
        <w:tblPrEx>
          <w:tblW w:w="5000" w:type="pct"/>
          <w:tblCellMar>
            <w:left w:w="70" w:type="dxa"/>
            <w:right w:w="70" w:type="dxa"/>
          </w:tblCellMar>
          <w:tblLook w:val="04A0"/>
        </w:tblPrEx>
        <w:trPr>
          <w:trHeight w:val="300"/>
        </w:trPr>
        <w:tc>
          <w:tcPr>
            <w:tcW w:w="2485"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637"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31.12.2015</w:t>
            </w:r>
          </w:p>
        </w:tc>
        <w:tc>
          <w:tcPr>
            <w:tcW w:w="637"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31.12.2016</w:t>
            </w:r>
          </w:p>
        </w:tc>
        <w:tc>
          <w:tcPr>
            <w:tcW w:w="638"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31.12.2017</w:t>
            </w:r>
          </w:p>
        </w:tc>
        <w:tc>
          <w:tcPr>
            <w:tcW w:w="603"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Zmena</w:t>
            </w:r>
          </w:p>
        </w:tc>
      </w:tr>
      <w:tr>
        <w:tblPrEx>
          <w:tblW w:w="5000" w:type="pct"/>
          <w:tblCellMar>
            <w:left w:w="70" w:type="dxa"/>
            <w:right w:w="70" w:type="dxa"/>
          </w:tblCellMar>
          <w:tblLook w:val="04A0"/>
        </w:tblPrEx>
        <w:trPr>
          <w:trHeight w:val="300"/>
        </w:trPr>
        <w:tc>
          <w:tcPr>
            <w:tcW w:w="2485"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637"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w:t>
            </w:r>
          </w:p>
        </w:tc>
        <w:tc>
          <w:tcPr>
            <w:tcW w:w="637"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w:t>
            </w:r>
          </w:p>
        </w:tc>
        <w:tc>
          <w:tcPr>
            <w:tcW w:w="638"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w:t>
            </w:r>
          </w:p>
        </w:tc>
        <w:tc>
          <w:tcPr>
            <w:tcW w:w="603"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4=(3-2)</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Štátne dlhopisy</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35 177 328</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35 468 549</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37 037 655</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1 569 106</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Štátne pokladničné poukážky</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400 000</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-400 000</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Bankové úvery a iné pôžičky</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1 919 567</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2 236 407</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2 293 234</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56 827</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Záväzky z vkladov v Štátnej pokladnici</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192 586</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104 564</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197 977</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93 413</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Zábezpeky</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257 882</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235 271</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94 083</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-141 188</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Záväzky z EFSF</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1 880 640</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1 880 640</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1 880 640</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r>
      <w:tr>
        <w:tblPrEx>
          <w:tblW w:w="5000" w:type="pct"/>
          <w:tblCellMar>
            <w:left w:w="70" w:type="dxa"/>
            <w:right w:w="70" w:type="dxa"/>
          </w:tblCellMar>
          <w:tblLook w:val="04A0"/>
        </w:tblPrEx>
        <w:trPr>
          <w:trHeight w:val="300"/>
        </w:trPr>
        <w:tc>
          <w:tcPr>
            <w:tcW w:w="2485"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Imput pôžičky z EOSA</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380 667</w:t>
            </w:r>
          </w:p>
        </w:tc>
        <w:tc>
          <w:tcPr>
            <w:tcW w:w="63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318 383</w:t>
            </w:r>
          </w:p>
        </w:tc>
        <w:tc>
          <w:tcPr>
            <w:tcW w:w="638"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261 917</w:t>
            </w:r>
          </w:p>
        </w:tc>
        <w:tc>
          <w:tcPr>
            <w:tcW w:w="60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-56 466</w:t>
            </w:r>
          </w:p>
        </w:tc>
      </w:tr>
      <w:tr>
        <w:tblPrEx>
          <w:tblW w:w="5000" w:type="pct"/>
          <w:tblCellMar>
            <w:left w:w="70" w:type="dxa"/>
            <w:right w:w="70" w:type="dxa"/>
          </w:tblCellMar>
          <w:tblLook w:val="04A0"/>
        </w:tblPrEx>
        <w:trPr>
          <w:trHeight w:val="300"/>
        </w:trPr>
        <w:tc>
          <w:tcPr>
            <w:tcW w:w="2485"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Spolu dlh</w:t>
            </w:r>
          </w:p>
        </w:tc>
        <w:tc>
          <w:tcPr>
            <w:tcW w:w="637"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39 808 670</w:t>
            </w:r>
          </w:p>
        </w:tc>
        <w:tc>
          <w:tcPr>
            <w:tcW w:w="637"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40 643 814</w:t>
            </w:r>
          </w:p>
        </w:tc>
        <w:tc>
          <w:tcPr>
            <w:tcW w:w="638"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41 765 506</w:t>
            </w:r>
          </w:p>
        </w:tc>
        <w:tc>
          <w:tcPr>
            <w:tcW w:w="603"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1 121 692</w:t>
            </w:r>
          </w:p>
        </w:tc>
      </w:tr>
    </w:tbl>
    <w:p w:rsidR="00DB0AB7" w:rsidRPr="001C265B" w:rsidP="00DB0AB7">
      <w:pPr>
        <w:bidi w:val="0"/>
        <w:ind w:left="6372" w:firstLine="708"/>
        <w:rPr>
          <w:rFonts w:ascii="Times New Roman" w:hAnsi="Times New Roman"/>
          <w:sz w:val="16"/>
          <w:szCs w:val="16"/>
        </w:rPr>
      </w:pPr>
      <w:r>
        <w:rPr>
          <w:rFonts w:ascii="Times New Roman" w:hAnsi="Times New Roman"/>
          <w:sz w:val="16"/>
          <w:szCs w:val="16"/>
        </w:rPr>
        <w:t xml:space="preserve">  </w:t>
      </w:r>
      <w:r w:rsidRPr="001C265B">
        <w:rPr>
          <w:rFonts w:ascii="Times New Roman" w:hAnsi="Times New Roman"/>
          <w:sz w:val="16"/>
          <w:szCs w:val="16"/>
        </w:rPr>
        <w:t>Zdroj: MF SR</w:t>
      </w:r>
      <w:r>
        <w:rPr>
          <w:rFonts w:ascii="Times New Roman" w:hAnsi="Times New Roman"/>
          <w:sz w:val="16"/>
          <w:szCs w:val="16"/>
        </w:rPr>
        <w:t>, ARDAL</w:t>
      </w:r>
    </w:p>
    <w:p w:rsidR="00DB0AB7" w:rsidRPr="002B3C9B" w:rsidP="00DB0AB7">
      <w:pPr>
        <w:bidi w:val="0"/>
        <w:rPr>
          <w:rFonts w:ascii="Times New Roman" w:hAnsi="Times New Roman"/>
        </w:rPr>
      </w:pPr>
      <w:r w:rsidRPr="008A6513">
        <w:rPr>
          <w:rFonts w:ascii="Times New Roman" w:hAnsi="Times New Roman"/>
        </w:rPr>
        <w:t>Ministerstvo financií SR v mene Slovenskej republiky prijíma úvery od medzinárodných finančných inštitúcií, a to na podporu národných projektov v oblasti budovania cestnej infraštruktúry, životného prostredia, poľnohospodárstva, informatizácie a podobne. Z prostriedkov sa spolufinancujú aj projekty financované európskymi štrukturálnymi fondmi a Kohéznym fondom. Z  hodnoty týchto úverov predstavujú úvery od Európskej investičnej banky sumu 1 979 916 tis. eur, a úvery od Rozvojovej banky Rady Európy 302 711 tis. eur. V roku 2017 boli prijaté prostriedky z ďalších úverových tranží od Európskej investičnej banky v hodnote 75 000 tis. eur.</w:t>
      </w:r>
    </w:p>
    <w:p w:rsidR="00DC1853" w:rsidP="00DB0AB7">
      <w:pPr>
        <w:bidi w:val="0"/>
        <w:rPr>
          <w:rFonts w:ascii="Times New Roman" w:hAnsi="Times New Roman"/>
        </w:rPr>
      </w:pPr>
      <w:r w:rsidR="00DB0AB7">
        <w:rPr>
          <w:rFonts w:ascii="Times New Roman" w:hAnsi="Times New Roman"/>
          <w:b/>
        </w:rPr>
        <w:t>Z hľadiska pôvodnej splatnosti</w:t>
      </w:r>
      <w:r w:rsidR="00DB0AB7">
        <w:rPr>
          <w:rFonts w:ascii="Times New Roman" w:hAnsi="Times New Roman"/>
        </w:rPr>
        <w:t xml:space="preserve"> je štátny dlh z 99,3 % dlhodobý (41 473 446 tis. eur). Krátkodobý štátny dlh, ktorý predstavuje len 0,7 % je tvorený zábezpekami vo výške 94 083 tis. eur (</w:t>
      </w:r>
      <w:r w:rsidRPr="009F6786" w:rsidR="00DB0AB7">
        <w:rPr>
          <w:rFonts w:ascii="Times New Roman" w:hAnsi="Times New Roman"/>
        </w:rPr>
        <w:t>z</w:t>
      </w:r>
      <w:r w:rsidR="00DB0AB7">
        <w:rPr>
          <w:rFonts w:ascii="Times New Roman" w:hAnsi="Times New Roman"/>
        </w:rPr>
        <w:t> </w:t>
      </w:r>
      <w:r w:rsidRPr="009F6786" w:rsidR="00DB0AB7">
        <w:rPr>
          <w:rFonts w:ascii="Times New Roman" w:hAnsi="Times New Roman"/>
        </w:rPr>
        <w:t>toho</w:t>
      </w:r>
      <w:r w:rsidR="00DB0AB7">
        <w:rPr>
          <w:rFonts w:ascii="Times New Roman" w:hAnsi="Times New Roman"/>
        </w:rPr>
        <w:t> 2 650 </w:t>
      </w:r>
      <w:r w:rsidRPr="009F6786" w:rsidR="00DB0AB7">
        <w:rPr>
          <w:rFonts w:ascii="Times New Roman" w:hAnsi="Times New Roman"/>
        </w:rPr>
        <w:t>tis.</w:t>
      </w:r>
      <w:r w:rsidR="00DB0AB7">
        <w:rPr>
          <w:rFonts w:ascii="Times New Roman" w:hAnsi="Times New Roman"/>
        </w:rPr>
        <w:t> </w:t>
      </w:r>
      <w:r w:rsidRPr="009F6786" w:rsidR="00DB0AB7">
        <w:rPr>
          <w:rFonts w:ascii="Times New Roman" w:hAnsi="Times New Roman"/>
        </w:rPr>
        <w:t>eur tvorí pasívny kolaterál</w:t>
      </w:r>
      <w:r w:rsidR="00DB0AB7">
        <w:rPr>
          <w:rFonts w:ascii="Times New Roman" w:hAnsi="Times New Roman"/>
        </w:rPr>
        <w:t xml:space="preserve"> z derivátových operácií uskutočnených na zabezpečenie dlhu v cudzej mene proti kurzovému riziku</w:t>
      </w:r>
      <w:r w:rsidRPr="009F6786" w:rsidR="00DB0AB7">
        <w:rPr>
          <w:rFonts w:ascii="Times New Roman" w:hAnsi="Times New Roman"/>
        </w:rPr>
        <w:t>) a záväzkami z vkladov tých klientov Štátnej pokladnice, ktorí nie sú zaradení</w:t>
      </w:r>
      <w:r w:rsidR="00DB0AB7">
        <w:rPr>
          <w:rFonts w:ascii="Times New Roman" w:hAnsi="Times New Roman"/>
        </w:rPr>
        <w:t xml:space="preserve"> v sektore verejnej správy, v hodnote 197 977 tis. eur. Podrobnú štruktúru štátneho dlhu podľa pôvodnej splatnosti poskytuje nasledujúci prehľad v percentách.</w:t>
      </w:r>
    </w:p>
    <w:p w:rsidR="00DC1853" w:rsidP="00DC1853">
      <w:pPr>
        <w:bidi w:val="0"/>
        <w:rPr>
          <w:rFonts w:ascii="Times New Roman" w:hAnsi="Times New Roman"/>
        </w:rPr>
      </w:pPr>
      <w:r>
        <w:rPr>
          <w:rFonts w:ascii="Times New Roman" w:hAnsi="Times New Roman"/>
        </w:rPr>
        <w:br w:type="page"/>
      </w:r>
    </w:p>
    <w:tbl>
      <w:tblPr>
        <w:tblStyle w:val="TableNormal"/>
        <w:tblW w:w="5000" w:type="pct"/>
        <w:tblCellMar>
          <w:left w:w="70" w:type="dxa"/>
          <w:right w:w="70" w:type="dxa"/>
        </w:tblCellMar>
        <w:tblLook w:val="04A0"/>
      </w:tblPr>
      <w:tblGrid>
        <w:gridCol w:w="2782"/>
        <w:gridCol w:w="1539"/>
        <w:gridCol w:w="1553"/>
        <w:gridCol w:w="1518"/>
        <w:gridCol w:w="1536"/>
      </w:tblGrid>
      <w:tr>
        <w:tblPrEx>
          <w:tblW w:w="5000" w:type="pct"/>
          <w:tblCellMar>
            <w:left w:w="70" w:type="dxa"/>
            <w:right w:w="70" w:type="dxa"/>
          </w:tblCellMar>
          <w:tblLook w:val="04A0"/>
        </w:tblPrEx>
        <w:trPr>
          <w:trHeight w:val="300"/>
        </w:trPr>
        <w:tc>
          <w:tcPr>
            <w:tcW w:w="4140" w:type="pct"/>
            <w:gridSpan w:val="4"/>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lef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Štátny dlh podľa pôvodnej splatnosti</w:t>
            </w:r>
          </w:p>
        </w:tc>
        <w:tc>
          <w:tcPr>
            <w:tcW w:w="860" w:type="pct"/>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righ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v %</w:t>
            </w:r>
          </w:p>
        </w:tc>
      </w:tr>
      <w:tr>
        <w:tblPrEx>
          <w:tblW w:w="5000" w:type="pct"/>
          <w:tblCellMar>
            <w:left w:w="70" w:type="dxa"/>
            <w:right w:w="70" w:type="dxa"/>
          </w:tblCellMar>
          <w:tblLook w:val="04A0"/>
        </w:tblPrEx>
        <w:trPr>
          <w:trHeight w:val="300"/>
        </w:trPr>
        <w:tc>
          <w:tcPr>
            <w:tcW w:w="1558"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862" w:type="pct"/>
            <w:vMerge w:val="restart"/>
            <w:tcBorders>
              <w:top w:val="single" w:sz="4" w:space="0" w:color="auto"/>
              <w:left w:val="nil"/>
              <w:bottom w:val="single" w:sz="4" w:space="0" w:color="000000"/>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Štátne dlhopisy a ŠPP</w:t>
            </w:r>
          </w:p>
        </w:tc>
        <w:tc>
          <w:tcPr>
            <w:tcW w:w="870" w:type="pct"/>
            <w:vMerge w:val="restart"/>
            <w:tcBorders>
              <w:top w:val="single" w:sz="4" w:space="0" w:color="auto"/>
              <w:left w:val="nil"/>
              <w:bottom w:val="single" w:sz="4" w:space="0" w:color="000000"/>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Bankové úvery a iné pôžičky</w:t>
            </w:r>
          </w:p>
        </w:tc>
        <w:tc>
          <w:tcPr>
            <w:tcW w:w="850" w:type="pct"/>
            <w:vMerge w:val="restart"/>
            <w:tcBorders>
              <w:top w:val="single" w:sz="4" w:space="0" w:color="auto"/>
              <w:left w:val="nil"/>
              <w:bottom w:val="single" w:sz="4" w:space="0" w:color="000000"/>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Ostatné záväzky</w:t>
            </w:r>
          </w:p>
        </w:tc>
        <w:tc>
          <w:tcPr>
            <w:tcW w:w="860" w:type="pct"/>
            <w:vMerge w:val="restart"/>
            <w:tcBorders>
              <w:top w:val="single" w:sz="4" w:space="0" w:color="auto"/>
              <w:left w:val="nil"/>
              <w:bottom w:val="single" w:sz="4" w:space="0" w:color="000000"/>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Spolu</w:t>
            </w:r>
          </w:p>
        </w:tc>
      </w:tr>
      <w:tr>
        <w:tblPrEx>
          <w:tblW w:w="5000" w:type="pct"/>
          <w:tblCellMar>
            <w:left w:w="70" w:type="dxa"/>
            <w:right w:w="70" w:type="dxa"/>
          </w:tblCellMar>
          <w:tblLook w:val="04A0"/>
        </w:tblPrEx>
        <w:trPr>
          <w:trHeight w:val="300"/>
        </w:trPr>
        <w:tc>
          <w:tcPr>
            <w:tcW w:w="1558"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862" w:type="pct"/>
            <w:vMerge/>
            <w:tcBorders>
              <w:top w:val="single" w:sz="4" w:space="0" w:color="auto"/>
              <w:left w:val="nil"/>
              <w:bottom w:val="single" w:sz="4" w:space="0" w:color="000000"/>
              <w:right w:val="nil"/>
            </w:tcBorders>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p>
        </w:tc>
        <w:tc>
          <w:tcPr>
            <w:tcW w:w="870" w:type="pct"/>
            <w:vMerge/>
            <w:tcBorders>
              <w:top w:val="single" w:sz="4" w:space="0" w:color="auto"/>
              <w:left w:val="nil"/>
              <w:bottom w:val="single" w:sz="4" w:space="0" w:color="000000"/>
              <w:right w:val="nil"/>
            </w:tcBorders>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p>
        </w:tc>
        <w:tc>
          <w:tcPr>
            <w:tcW w:w="850" w:type="pct"/>
            <w:vMerge/>
            <w:tcBorders>
              <w:top w:val="single" w:sz="4" w:space="0" w:color="auto"/>
              <w:left w:val="nil"/>
              <w:bottom w:val="single" w:sz="4" w:space="0" w:color="000000"/>
              <w:right w:val="nil"/>
            </w:tcBorders>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p>
        </w:tc>
        <w:tc>
          <w:tcPr>
            <w:tcW w:w="860" w:type="pct"/>
            <w:vMerge/>
            <w:tcBorders>
              <w:top w:val="single" w:sz="4" w:space="0" w:color="auto"/>
              <w:left w:val="nil"/>
              <w:bottom w:val="single" w:sz="4" w:space="0" w:color="000000"/>
              <w:right w:val="nil"/>
            </w:tcBorders>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1 roka</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100,0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0,7</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5 rokov</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5,9</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0,6</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7 rokov</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9,5</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1,7</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8,6</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10 rokov</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7,4</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6,6</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15 rokov</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36,5</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8,2</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33,2</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Do 29 rokov</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43,8</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41,7</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43,3</w:t>
            </w:r>
          </w:p>
        </w:tc>
      </w:tr>
      <w:tr>
        <w:tblPrEx>
          <w:tblW w:w="5000" w:type="pct"/>
          <w:tblCellMar>
            <w:left w:w="70" w:type="dxa"/>
            <w:right w:w="70" w:type="dxa"/>
          </w:tblCellMar>
          <w:tblLook w:val="04A0"/>
        </w:tblPrEx>
        <w:trPr>
          <w:trHeight w:val="300"/>
        </w:trPr>
        <w:tc>
          <w:tcPr>
            <w:tcW w:w="1558"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30 rokov a viac</w:t>
            </w:r>
          </w:p>
        </w:tc>
        <w:tc>
          <w:tcPr>
            <w:tcW w:w="862"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2,7</w:t>
            </w:r>
          </w:p>
        </w:tc>
        <w:tc>
          <w:tcPr>
            <w:tcW w:w="87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42,4</w:t>
            </w:r>
          </w:p>
        </w:tc>
        <w:tc>
          <w:tcPr>
            <w:tcW w:w="850" w:type="pct"/>
            <w:tcBorders>
              <w:top w:val="nil"/>
              <w:left w:val="nil"/>
              <w:bottom w:val="nil"/>
              <w:right w:val="nil"/>
            </w:tcBorders>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0,0</w:t>
            </w:r>
          </w:p>
        </w:tc>
        <w:tc>
          <w:tcPr>
            <w:tcW w:w="860"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sz w:val="18"/>
                <w:szCs w:val="18"/>
                <w:lang w:eastAsia="sk-SK"/>
              </w:rPr>
            </w:pPr>
            <w:r w:rsidRPr="004F5AD8">
              <w:rPr>
                <w:rFonts w:ascii="Times New Roman" w:hAnsi="Times New Roman"/>
                <w:sz w:val="18"/>
                <w:szCs w:val="18"/>
                <w:lang w:eastAsia="sk-SK"/>
              </w:rPr>
              <w:t>6,9</w:t>
            </w:r>
          </w:p>
        </w:tc>
      </w:tr>
      <w:tr>
        <w:tblPrEx>
          <w:tblW w:w="5000" w:type="pct"/>
          <w:tblCellMar>
            <w:left w:w="70" w:type="dxa"/>
            <w:right w:w="70" w:type="dxa"/>
          </w:tblCellMar>
          <w:tblLook w:val="04A0"/>
        </w:tblPrEx>
        <w:trPr>
          <w:trHeight w:val="300"/>
        </w:trPr>
        <w:tc>
          <w:tcPr>
            <w:tcW w:w="1558"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Spolu</w:t>
            </w:r>
          </w:p>
        </w:tc>
        <w:tc>
          <w:tcPr>
            <w:tcW w:w="862"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100,0</w:t>
            </w:r>
          </w:p>
        </w:tc>
        <w:tc>
          <w:tcPr>
            <w:tcW w:w="870"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100,0</w:t>
            </w:r>
          </w:p>
        </w:tc>
        <w:tc>
          <w:tcPr>
            <w:tcW w:w="850"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100,0</w:t>
            </w:r>
          </w:p>
        </w:tc>
        <w:tc>
          <w:tcPr>
            <w:tcW w:w="860" w:type="pct"/>
            <w:tcBorders>
              <w:top w:val="nil"/>
              <w:left w:val="nil"/>
              <w:bottom w:val="single" w:sz="4" w:space="0" w:color="auto"/>
              <w:right w:val="nil"/>
            </w:tcBorders>
            <w:shd w:val="clear" w:color="000000" w:fill="BFBFBF"/>
            <w:noWrap/>
            <w:textDirection w:val="lrTb"/>
            <w:vAlign w:val="bottom"/>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100,0</w:t>
            </w:r>
          </w:p>
        </w:tc>
      </w:tr>
    </w:tbl>
    <w:p w:rsidR="00DB0AB7" w:rsidRPr="001C265B" w:rsidP="00DB0AB7">
      <w:pPr>
        <w:bidi w:val="0"/>
        <w:ind w:left="6372" w:firstLine="708"/>
        <w:rPr>
          <w:rFonts w:ascii="Times New Roman" w:hAnsi="Times New Roman"/>
          <w:sz w:val="16"/>
          <w:szCs w:val="16"/>
        </w:rPr>
      </w:pPr>
      <w:r w:rsidRPr="001C265B">
        <w:rPr>
          <w:rFonts w:ascii="Times New Roman" w:hAnsi="Times New Roman"/>
          <w:sz w:val="16"/>
          <w:szCs w:val="16"/>
        </w:rPr>
        <w:t>Zdroj: MF SR</w:t>
      </w:r>
      <w:r>
        <w:rPr>
          <w:rFonts w:ascii="Times New Roman" w:hAnsi="Times New Roman"/>
          <w:sz w:val="16"/>
          <w:szCs w:val="16"/>
        </w:rPr>
        <w:t>, ARDAL</w:t>
      </w:r>
    </w:p>
    <w:p w:rsidR="00DD2BD6" w:rsidRPr="00A339AF" w:rsidP="00DD2BD6">
      <w:pPr>
        <w:bidi w:val="0"/>
        <w:rPr>
          <w:rFonts w:ascii="Times New Roman" w:hAnsi="Times New Roman"/>
          <w:highlight w:val="yellow"/>
        </w:rPr>
      </w:pPr>
    </w:p>
    <w:p w:rsidR="00DD2BD6" w:rsidRPr="00DB0AB7" w:rsidP="00C9335D">
      <w:pPr>
        <w:pStyle w:val="Heading3"/>
        <w:numPr>
          <w:ilvl w:val="0"/>
          <w:numId w:val="0"/>
        </w:numPr>
        <w:bidi w:val="0"/>
        <w:ind w:left="567" w:hanging="567"/>
        <w:rPr>
          <w:rFonts w:hint="default"/>
        </w:rPr>
      </w:pPr>
      <w:bookmarkStart w:id="31" w:name="_Toc512599664"/>
      <w:r w:rsidR="00B77962">
        <w:t xml:space="preserve">2.2.2 </w:t>
      </w:r>
      <w:r w:rsidRPr="00DB0AB7">
        <w:rPr>
          <w:rFonts w:hint="default"/>
        </w:rPr>
        <w:t>Maastrichtský</w:t>
      </w:r>
      <w:r w:rsidRPr="00DB0AB7">
        <w:rPr>
          <w:rFonts w:hint="default"/>
        </w:rPr>
        <w:t xml:space="preserve"> dlh ostatný</w:t>
      </w:r>
      <w:r w:rsidRPr="00DB0AB7">
        <w:rPr>
          <w:rFonts w:hint="default"/>
        </w:rPr>
        <w:t>ch subjektov verejnej sprá</w:t>
      </w:r>
      <w:r w:rsidRPr="00DB0AB7">
        <w:rPr>
          <w:rFonts w:hint="default"/>
        </w:rPr>
        <w:t>vy</w:t>
      </w:r>
      <w:bookmarkEnd w:id="31"/>
    </w:p>
    <w:p w:rsidR="00DB0AB7" w:rsidRPr="00EA5808" w:rsidP="00DB0AB7">
      <w:pPr>
        <w:bidi w:val="0"/>
        <w:rPr>
          <w:rFonts w:ascii="Times New Roman" w:hAnsi="Times New Roman"/>
          <w:szCs w:val="22"/>
        </w:rPr>
      </w:pPr>
      <w:r>
        <w:rPr>
          <w:rFonts w:ascii="Times New Roman" w:hAnsi="Times New Roman"/>
          <w:szCs w:val="22"/>
        </w:rPr>
        <w:t>Konsolidovaná hodnota maastrichtského dlhu ostatných subjektov</w:t>
      </w:r>
      <w:r w:rsidRPr="00EA5808">
        <w:rPr>
          <w:rFonts w:ascii="Times New Roman" w:hAnsi="Times New Roman"/>
          <w:szCs w:val="22"/>
        </w:rPr>
        <w:t xml:space="preserve"> verejnej správy </w:t>
      </w:r>
      <w:r>
        <w:rPr>
          <w:rFonts w:ascii="Times New Roman" w:hAnsi="Times New Roman"/>
          <w:szCs w:val="22"/>
        </w:rPr>
        <w:t xml:space="preserve">k 31.12.2017 dosiahla </w:t>
      </w:r>
      <w:r w:rsidRPr="00EA5808">
        <w:rPr>
          <w:rFonts w:ascii="Times New Roman" w:hAnsi="Times New Roman"/>
          <w:szCs w:val="22"/>
        </w:rPr>
        <w:t>1</w:t>
      </w:r>
      <w:r>
        <w:rPr>
          <w:rFonts w:ascii="Times New Roman" w:hAnsi="Times New Roman"/>
          <w:szCs w:val="22"/>
        </w:rPr>
        <w:t> 460 992</w:t>
      </w:r>
      <w:r w:rsidRPr="00EA5808">
        <w:rPr>
          <w:rFonts w:ascii="Times New Roman" w:hAnsi="Times New Roman"/>
          <w:szCs w:val="22"/>
        </w:rPr>
        <w:t> tis. eur</w:t>
      </w:r>
      <w:r>
        <w:rPr>
          <w:rFonts w:ascii="Times New Roman" w:hAnsi="Times New Roman"/>
          <w:szCs w:val="22"/>
        </w:rPr>
        <w:t>.</w:t>
      </w:r>
      <w:r w:rsidRPr="00EA5808">
        <w:rPr>
          <w:rFonts w:ascii="Times New Roman" w:hAnsi="Times New Roman"/>
          <w:szCs w:val="22"/>
        </w:rPr>
        <w:t xml:space="preserve"> Bez akýchkoľvek úverov a pôžičiek boli ku koncu roka 201</w:t>
      </w:r>
      <w:r>
        <w:rPr>
          <w:rFonts w:ascii="Times New Roman" w:hAnsi="Times New Roman"/>
          <w:szCs w:val="22"/>
        </w:rPr>
        <w:t>7</w:t>
      </w:r>
      <w:r w:rsidRPr="00EA5808">
        <w:rPr>
          <w:rFonts w:ascii="Times New Roman" w:hAnsi="Times New Roman"/>
          <w:szCs w:val="22"/>
        </w:rPr>
        <w:t xml:space="preserve"> štátne fondy, Slovenský pozemkový fond, Slovenská konsolidačná, a. s.</w:t>
      </w:r>
      <w:r>
        <w:rPr>
          <w:rFonts w:ascii="Times New Roman" w:hAnsi="Times New Roman"/>
          <w:szCs w:val="22"/>
        </w:rPr>
        <w:t xml:space="preserve">, Slovenské národné stredisko pre ľudské práva, Úrad pre dohľad nad zdravotnou starostlivosťou, Audiovizuálny fond, Úrad pre dohľad nad zdravotnou starostlivosťou, Úrad pre dohľad nad výkonom auditu, Tlačová agentúra Slovenskej republiky, Danubiana, Recyklačný fond, Fond pre podporu vzdelávania, Fond na podporu umenia, Rada pre riešenie krízových situácií, Úrad komisára pre deti, Úrad komisára pre osoby so zdravotným postihnutím, Fond na podporu kultúry národnostných menšín a Slovenská reštrukturalizačná, s. r. o. </w:t>
      </w:r>
      <w:r w:rsidRPr="0068117C">
        <w:rPr>
          <w:rFonts w:ascii="Times New Roman" w:hAnsi="Times New Roman"/>
          <w:szCs w:val="22"/>
        </w:rPr>
        <w:t>Nasledujúci opis dlhu zložiek verejnej správy je na nekonsolidovanej báze.</w:t>
      </w:r>
    </w:p>
    <w:p w:rsidR="00DB0AB7" w:rsidP="00DB0AB7">
      <w:pPr>
        <w:bidi w:val="0"/>
        <w:rPr>
          <w:rFonts w:ascii="Times New Roman" w:hAnsi="Times New Roman"/>
          <w:szCs w:val="22"/>
        </w:rPr>
      </w:pPr>
      <w:r>
        <w:rPr>
          <w:rFonts w:ascii="Times New Roman" w:hAnsi="Times New Roman"/>
          <w:szCs w:val="22"/>
        </w:rPr>
        <w:t xml:space="preserve">Dlh </w:t>
      </w:r>
      <w:r w:rsidRPr="00C5066A">
        <w:rPr>
          <w:rFonts w:ascii="Times New Roman" w:hAnsi="Times New Roman"/>
          <w:b/>
          <w:szCs w:val="22"/>
        </w:rPr>
        <w:t>štátnych príspevkových organizácií</w:t>
      </w:r>
      <w:r>
        <w:rPr>
          <w:rFonts w:ascii="Times New Roman" w:hAnsi="Times New Roman"/>
          <w:b/>
          <w:szCs w:val="22"/>
        </w:rPr>
        <w:t xml:space="preserve"> </w:t>
      </w:r>
      <w:r w:rsidRPr="008A6739">
        <w:rPr>
          <w:rFonts w:ascii="Times New Roman" w:hAnsi="Times New Roman"/>
          <w:szCs w:val="22"/>
        </w:rPr>
        <w:t>dosiahol v roku 201</w:t>
      </w:r>
      <w:r>
        <w:rPr>
          <w:rFonts w:ascii="Times New Roman" w:hAnsi="Times New Roman"/>
          <w:szCs w:val="22"/>
        </w:rPr>
        <w:t>7</w:t>
      </w:r>
      <w:r w:rsidRPr="008A6739">
        <w:rPr>
          <w:rFonts w:ascii="Times New Roman" w:hAnsi="Times New Roman"/>
          <w:szCs w:val="22"/>
        </w:rPr>
        <w:t xml:space="preserve"> hodnotu</w:t>
      </w:r>
      <w:r>
        <w:rPr>
          <w:rFonts w:ascii="Times New Roman" w:hAnsi="Times New Roman"/>
          <w:b/>
          <w:szCs w:val="22"/>
        </w:rPr>
        <w:t xml:space="preserve"> </w:t>
      </w:r>
      <w:r w:rsidRPr="00EF19D4">
        <w:rPr>
          <w:rFonts w:ascii="Times New Roman" w:hAnsi="Times New Roman"/>
          <w:szCs w:val="22"/>
        </w:rPr>
        <w:t>2 005</w:t>
      </w:r>
      <w:r>
        <w:rPr>
          <w:rFonts w:ascii="Times New Roman" w:hAnsi="Times New Roman"/>
          <w:szCs w:val="22"/>
        </w:rPr>
        <w:t xml:space="preserve"> tis. eur. </w:t>
      </w:r>
      <w:r w:rsidRPr="00C5066A">
        <w:rPr>
          <w:rFonts w:ascii="Times New Roman" w:hAnsi="Times New Roman"/>
          <w:szCs w:val="22"/>
        </w:rPr>
        <w:t xml:space="preserve">Podstatnú časť dlhu tvoria návratné finančné výpomoci, ktoré </w:t>
      </w:r>
      <w:r w:rsidRPr="008A6513">
        <w:rPr>
          <w:rFonts w:ascii="Times New Roman" w:hAnsi="Times New Roman"/>
          <w:szCs w:val="22"/>
        </w:rPr>
        <w:t>poskytlo Ministerstvo pôdohospodárstva a rozvoja vidieka SR Agentúre pre rozvoj vidieka (260 tis. eur) a Národnému lesníckemu centru (800 tis. eur).</w:t>
      </w:r>
      <w:r>
        <w:rPr>
          <w:rFonts w:ascii="Times New Roman" w:hAnsi="Times New Roman"/>
          <w:szCs w:val="22"/>
        </w:rPr>
        <w:t xml:space="preserve"> </w:t>
      </w:r>
      <w:r w:rsidRPr="00C5066A">
        <w:rPr>
          <w:rFonts w:ascii="Times New Roman" w:hAnsi="Times New Roman"/>
          <w:szCs w:val="22"/>
        </w:rPr>
        <w:t xml:space="preserve">Ďalej je dlh </w:t>
      </w:r>
      <w:r w:rsidRPr="005E6C1C" w:rsidR="005E6C1C">
        <w:rPr>
          <w:rFonts w:ascii="Times New Roman" w:hAnsi="Times New Roman"/>
          <w:szCs w:val="22"/>
        </w:rPr>
        <w:t>štátnych príspevkových organizácií</w:t>
      </w:r>
      <w:r w:rsidR="005E6C1C">
        <w:rPr>
          <w:rFonts w:ascii="Times New Roman" w:hAnsi="Times New Roman"/>
          <w:b/>
          <w:szCs w:val="22"/>
        </w:rPr>
        <w:t xml:space="preserve"> </w:t>
      </w:r>
      <w:r w:rsidRPr="00C5066A">
        <w:rPr>
          <w:rFonts w:ascii="Times New Roman" w:hAnsi="Times New Roman"/>
          <w:szCs w:val="22"/>
        </w:rPr>
        <w:t xml:space="preserve">tvorený krátkodobými zábezpekami vo výške </w:t>
      </w:r>
      <w:r>
        <w:rPr>
          <w:rFonts w:ascii="Times New Roman" w:hAnsi="Times New Roman"/>
          <w:szCs w:val="22"/>
        </w:rPr>
        <w:t>679</w:t>
      </w:r>
      <w:r w:rsidRPr="00C5066A">
        <w:rPr>
          <w:rFonts w:ascii="Times New Roman" w:hAnsi="Times New Roman"/>
          <w:szCs w:val="22"/>
        </w:rPr>
        <w:t xml:space="preserve"> tis. eur a finančným lízingom v hodnote </w:t>
      </w:r>
      <w:r>
        <w:rPr>
          <w:rFonts w:ascii="Times New Roman" w:hAnsi="Times New Roman"/>
          <w:szCs w:val="22"/>
        </w:rPr>
        <w:t>275</w:t>
      </w:r>
      <w:r w:rsidRPr="00C5066A">
        <w:rPr>
          <w:rFonts w:ascii="Times New Roman" w:hAnsi="Times New Roman"/>
          <w:szCs w:val="22"/>
        </w:rPr>
        <w:t xml:space="preserve"> tis. eur. Dlh štátnych príspevkových organizácií </w:t>
      </w:r>
      <w:r>
        <w:rPr>
          <w:rFonts w:ascii="Times New Roman" w:hAnsi="Times New Roman"/>
          <w:szCs w:val="22"/>
        </w:rPr>
        <w:t>klesol</w:t>
      </w:r>
      <w:r w:rsidRPr="00C5066A">
        <w:rPr>
          <w:rFonts w:ascii="Times New Roman" w:hAnsi="Times New Roman"/>
          <w:szCs w:val="22"/>
        </w:rPr>
        <w:t xml:space="preserve"> oproti roku 201</w:t>
      </w:r>
      <w:r>
        <w:rPr>
          <w:rFonts w:ascii="Times New Roman" w:hAnsi="Times New Roman"/>
          <w:szCs w:val="22"/>
        </w:rPr>
        <w:t>6</w:t>
      </w:r>
      <w:r w:rsidRPr="00C5066A">
        <w:rPr>
          <w:rFonts w:ascii="Times New Roman" w:hAnsi="Times New Roman"/>
          <w:szCs w:val="22"/>
        </w:rPr>
        <w:t xml:space="preserve"> o </w:t>
      </w:r>
      <w:r>
        <w:rPr>
          <w:rFonts w:ascii="Times New Roman" w:hAnsi="Times New Roman"/>
          <w:szCs w:val="22"/>
        </w:rPr>
        <w:t>699</w:t>
      </w:r>
      <w:r w:rsidRPr="00C5066A">
        <w:rPr>
          <w:rFonts w:ascii="Times New Roman" w:hAnsi="Times New Roman"/>
          <w:szCs w:val="22"/>
        </w:rPr>
        <w:t xml:space="preserve"> tis. eur.</w:t>
      </w:r>
    </w:p>
    <w:p w:rsidR="00DB0AB7" w:rsidP="00DB0AB7">
      <w:pPr>
        <w:bidi w:val="0"/>
        <w:rPr>
          <w:rFonts w:ascii="Times New Roman" w:hAnsi="Times New Roman"/>
          <w:szCs w:val="22"/>
        </w:rPr>
      </w:pPr>
      <w:r w:rsidRPr="00D2795E">
        <w:rPr>
          <w:rFonts w:ascii="Times New Roman" w:hAnsi="Times New Roman"/>
          <w:b/>
          <w:szCs w:val="22"/>
        </w:rPr>
        <w:t xml:space="preserve">Exportno-importná banka Slovenskej republiky </w:t>
      </w:r>
      <w:r w:rsidRPr="00D2795E">
        <w:rPr>
          <w:rFonts w:ascii="Times New Roman" w:hAnsi="Times New Roman"/>
          <w:szCs w:val="22"/>
        </w:rPr>
        <w:t>prispela k zvýšeniu maastrichtského dlhu v roku 201</w:t>
      </w:r>
      <w:r>
        <w:rPr>
          <w:rFonts w:ascii="Times New Roman" w:hAnsi="Times New Roman"/>
          <w:szCs w:val="22"/>
        </w:rPr>
        <w:t>7</w:t>
      </w:r>
      <w:r w:rsidRPr="00D2795E">
        <w:rPr>
          <w:rFonts w:ascii="Times New Roman" w:hAnsi="Times New Roman"/>
          <w:szCs w:val="22"/>
        </w:rPr>
        <w:t xml:space="preserve"> sumou </w:t>
      </w:r>
      <w:r>
        <w:rPr>
          <w:rFonts w:ascii="Times New Roman" w:hAnsi="Times New Roman"/>
          <w:szCs w:val="22"/>
        </w:rPr>
        <w:t>9</w:t>
      </w:r>
      <w:r w:rsidRPr="00D2795E">
        <w:rPr>
          <w:rFonts w:ascii="Times New Roman" w:hAnsi="Times New Roman"/>
          <w:szCs w:val="22"/>
        </w:rPr>
        <w:t> </w:t>
      </w:r>
      <w:r>
        <w:rPr>
          <w:rFonts w:ascii="Times New Roman" w:hAnsi="Times New Roman"/>
          <w:szCs w:val="22"/>
        </w:rPr>
        <w:t>542</w:t>
      </w:r>
      <w:r w:rsidRPr="00D2795E">
        <w:rPr>
          <w:rFonts w:ascii="Times New Roman" w:hAnsi="Times New Roman"/>
          <w:szCs w:val="22"/>
        </w:rPr>
        <w:t xml:space="preserve"> tis. eur. Dlh subjektu je tvorený </w:t>
      </w:r>
      <w:r>
        <w:rPr>
          <w:rFonts w:ascii="Times New Roman" w:hAnsi="Times New Roman"/>
          <w:szCs w:val="22"/>
        </w:rPr>
        <w:t>záväzkami voči klientom</w:t>
      </w:r>
      <w:r w:rsidRPr="00D2795E">
        <w:rPr>
          <w:rFonts w:ascii="Times New Roman" w:hAnsi="Times New Roman"/>
          <w:szCs w:val="22"/>
        </w:rPr>
        <w:t>, ktorých stav sa oproti</w:t>
      </w:r>
      <w:r>
        <w:rPr>
          <w:rFonts w:ascii="Times New Roman" w:hAnsi="Times New Roman"/>
          <w:szCs w:val="22"/>
        </w:rPr>
        <w:t> </w:t>
      </w:r>
      <w:r w:rsidRPr="00D2795E">
        <w:rPr>
          <w:rFonts w:ascii="Times New Roman" w:hAnsi="Times New Roman"/>
          <w:szCs w:val="22"/>
        </w:rPr>
        <w:t>roku 201</w:t>
      </w:r>
      <w:r>
        <w:rPr>
          <w:rFonts w:ascii="Times New Roman" w:hAnsi="Times New Roman"/>
          <w:szCs w:val="22"/>
        </w:rPr>
        <w:t>6</w:t>
      </w:r>
      <w:r w:rsidRPr="00D2795E">
        <w:rPr>
          <w:rFonts w:ascii="Times New Roman" w:hAnsi="Times New Roman"/>
          <w:szCs w:val="22"/>
        </w:rPr>
        <w:t xml:space="preserve"> znížil o </w:t>
      </w:r>
      <w:r>
        <w:rPr>
          <w:rFonts w:ascii="Times New Roman" w:hAnsi="Times New Roman"/>
          <w:szCs w:val="22"/>
        </w:rPr>
        <w:t>11</w:t>
      </w:r>
      <w:r w:rsidRPr="00D2795E">
        <w:rPr>
          <w:rFonts w:ascii="Times New Roman" w:hAnsi="Times New Roman"/>
          <w:szCs w:val="22"/>
        </w:rPr>
        <w:t xml:space="preserve"> </w:t>
      </w:r>
      <w:r>
        <w:rPr>
          <w:rFonts w:ascii="Times New Roman" w:hAnsi="Times New Roman"/>
          <w:szCs w:val="22"/>
        </w:rPr>
        <w:t>132</w:t>
      </w:r>
      <w:r w:rsidRPr="00D2795E">
        <w:rPr>
          <w:rFonts w:ascii="Times New Roman" w:hAnsi="Times New Roman"/>
          <w:szCs w:val="22"/>
        </w:rPr>
        <w:t xml:space="preserve"> tis. eur na </w:t>
      </w:r>
      <w:r>
        <w:rPr>
          <w:rFonts w:ascii="Times New Roman" w:hAnsi="Times New Roman"/>
          <w:szCs w:val="22"/>
        </w:rPr>
        <w:t>9 512</w:t>
      </w:r>
      <w:r w:rsidRPr="00D2795E">
        <w:rPr>
          <w:rFonts w:ascii="Times New Roman" w:hAnsi="Times New Roman"/>
          <w:szCs w:val="22"/>
        </w:rPr>
        <w:t xml:space="preserve"> tis. eur</w:t>
      </w:r>
      <w:r>
        <w:rPr>
          <w:rFonts w:ascii="Times New Roman" w:hAnsi="Times New Roman"/>
          <w:szCs w:val="22"/>
        </w:rPr>
        <w:t xml:space="preserve"> a zábezpekami vo výške 30 tis. eur.</w:t>
      </w:r>
      <w:r w:rsidRPr="00D2795E">
        <w:rPr>
          <w:rFonts w:ascii="Times New Roman" w:hAnsi="Times New Roman"/>
          <w:szCs w:val="22"/>
        </w:rPr>
        <w:t xml:space="preserve"> </w:t>
      </w:r>
      <w:r>
        <w:rPr>
          <w:rFonts w:ascii="Times New Roman" w:hAnsi="Times New Roman"/>
          <w:szCs w:val="22"/>
        </w:rPr>
        <w:t>Záväzky voči bankám klesli oproti roku 2016 na nulovú hodnotu.</w:t>
      </w:r>
    </w:p>
    <w:p w:rsidR="00DB0AB7" w:rsidP="00DB0AB7">
      <w:pPr>
        <w:bidi w:val="0"/>
        <w:rPr>
          <w:rFonts w:ascii="Times New Roman" w:hAnsi="Times New Roman"/>
          <w:szCs w:val="22"/>
        </w:rPr>
      </w:pPr>
      <w:r w:rsidRPr="00D2795E">
        <w:rPr>
          <w:rFonts w:ascii="Times New Roman" w:hAnsi="Times New Roman"/>
          <w:b/>
          <w:szCs w:val="22"/>
        </w:rPr>
        <w:t>Obchodné spoločnosti štátu</w:t>
      </w:r>
      <w:r>
        <w:rPr>
          <w:rFonts w:ascii="Times New Roman" w:hAnsi="Times New Roman"/>
          <w:szCs w:val="22"/>
        </w:rPr>
        <w:t xml:space="preserve"> (patriace do ústrednej správy) majú po štátnom dlhu najväčší podiel na konsolidovanom dlhu verejnej správy (1,44 %). Do skupiny obchodných spoločností štátu sú zaradené spoločnosti MH Manažment, a. s., MH Invest, s. r. o., MH Invest II, s. r. o., Jadrová a vyraďovacia spoločnosť, a. s., Železnice Slovenskej republiky, Železničná spoločnosť, a. s. a Národná diaľničná spoločnosť, a. s.</w:t>
      </w:r>
    </w:p>
    <w:p w:rsidR="004F5AD8">
      <w:pPr>
        <w:bidi w:val="0"/>
        <w:spacing w:after="200" w:line="276" w:lineRule="auto"/>
        <w:jc w:val="left"/>
        <w:rPr>
          <w:rFonts w:ascii="Times New Roman" w:hAnsi="Times New Roman"/>
          <w:szCs w:val="22"/>
        </w:rPr>
      </w:pPr>
      <w:r>
        <w:rPr>
          <w:rFonts w:ascii="Times New Roman" w:hAnsi="Times New Roman"/>
          <w:szCs w:val="22"/>
        </w:rPr>
        <w:br w:type="page"/>
      </w:r>
    </w:p>
    <w:p w:rsidR="00DB0AB7" w:rsidRPr="007133F4" w:rsidP="00DB0AB7">
      <w:pPr>
        <w:bidi w:val="0"/>
        <w:rPr>
          <w:rFonts w:ascii="Times New Roman" w:hAnsi="Times New Roman"/>
          <w:szCs w:val="22"/>
        </w:rPr>
      </w:pPr>
      <w:r w:rsidRPr="007133F4">
        <w:rPr>
          <w:rFonts w:ascii="Times New Roman" w:hAnsi="Times New Roman"/>
          <w:szCs w:val="22"/>
        </w:rPr>
        <w:t xml:space="preserve">Dlh </w:t>
      </w:r>
      <w:r w:rsidRPr="007133F4">
        <w:rPr>
          <w:rFonts w:ascii="Times New Roman" w:hAnsi="Times New Roman"/>
          <w:b/>
          <w:szCs w:val="22"/>
        </w:rPr>
        <w:t>Železničnej spoločnosti Slovensko, a. s. (ŽSSK)</w:t>
      </w:r>
      <w:r w:rsidRPr="007133F4">
        <w:rPr>
          <w:rFonts w:ascii="Times New Roman" w:hAnsi="Times New Roman"/>
          <w:szCs w:val="22"/>
        </w:rPr>
        <w:t>, ktorý dosia</w:t>
      </w:r>
      <w:r>
        <w:rPr>
          <w:rFonts w:ascii="Times New Roman" w:hAnsi="Times New Roman"/>
          <w:szCs w:val="22"/>
        </w:rPr>
        <w:t>hol v roku 2017 hodnotu 351 871 </w:t>
      </w:r>
      <w:r w:rsidRPr="007133F4">
        <w:rPr>
          <w:rFonts w:ascii="Times New Roman" w:hAnsi="Times New Roman"/>
          <w:szCs w:val="22"/>
        </w:rPr>
        <w:t>tis.</w:t>
      </w:r>
      <w:r>
        <w:rPr>
          <w:rFonts w:ascii="Times New Roman" w:hAnsi="Times New Roman"/>
          <w:szCs w:val="22"/>
        </w:rPr>
        <w:t> </w:t>
      </w:r>
      <w:r w:rsidRPr="007133F4">
        <w:rPr>
          <w:rFonts w:ascii="Times New Roman" w:hAnsi="Times New Roman"/>
          <w:szCs w:val="22"/>
        </w:rPr>
        <w:t>eur, medziročne vzrástol o </w:t>
      </w:r>
      <w:r>
        <w:rPr>
          <w:rFonts w:ascii="Times New Roman" w:hAnsi="Times New Roman"/>
          <w:szCs w:val="22"/>
        </w:rPr>
        <w:t>7</w:t>
      </w:r>
      <w:r w:rsidRPr="007133F4">
        <w:rPr>
          <w:rFonts w:ascii="Times New Roman" w:hAnsi="Times New Roman"/>
          <w:szCs w:val="22"/>
        </w:rPr>
        <w:t> </w:t>
      </w:r>
      <w:r>
        <w:rPr>
          <w:rFonts w:ascii="Times New Roman" w:hAnsi="Times New Roman"/>
          <w:szCs w:val="22"/>
        </w:rPr>
        <w:t>926</w:t>
      </w:r>
      <w:r w:rsidRPr="007133F4">
        <w:rPr>
          <w:rFonts w:ascii="Times New Roman" w:hAnsi="Times New Roman"/>
          <w:szCs w:val="22"/>
        </w:rPr>
        <w:t xml:space="preserve"> tis. eur Dlh ŽSSK tvoria v prevažnej miere tuzemské a zahraničné bankové úvery vo výške </w:t>
      </w:r>
      <w:r>
        <w:rPr>
          <w:rFonts w:ascii="Times New Roman" w:hAnsi="Times New Roman"/>
          <w:szCs w:val="22"/>
        </w:rPr>
        <w:t>327</w:t>
      </w:r>
      <w:r w:rsidRPr="007133F4">
        <w:rPr>
          <w:rFonts w:ascii="Times New Roman" w:hAnsi="Times New Roman"/>
          <w:szCs w:val="22"/>
        </w:rPr>
        <w:t> </w:t>
      </w:r>
      <w:r>
        <w:rPr>
          <w:rFonts w:ascii="Times New Roman" w:hAnsi="Times New Roman"/>
          <w:szCs w:val="22"/>
        </w:rPr>
        <w:t>658</w:t>
      </w:r>
      <w:r w:rsidRPr="007133F4">
        <w:rPr>
          <w:rFonts w:ascii="Times New Roman" w:hAnsi="Times New Roman"/>
          <w:szCs w:val="22"/>
        </w:rPr>
        <w:t xml:space="preserve"> tis. eur, dlhodobé finančné výpomoci od medzinárodnej spoločnosti EUROFIMA, ktorých výška sa prostredníctvom splátok postupne znížila na hodnotu </w:t>
      </w:r>
      <w:r>
        <w:rPr>
          <w:rFonts w:ascii="Times New Roman" w:hAnsi="Times New Roman"/>
          <w:szCs w:val="22"/>
        </w:rPr>
        <w:t>24 106 </w:t>
      </w:r>
      <w:r w:rsidRPr="007133F4">
        <w:rPr>
          <w:rFonts w:ascii="Times New Roman" w:hAnsi="Times New Roman"/>
          <w:szCs w:val="22"/>
        </w:rPr>
        <w:t>tis. eur a krátkodobé zábezpeky v hodnote 10</w:t>
      </w:r>
      <w:r>
        <w:rPr>
          <w:rFonts w:ascii="Times New Roman" w:hAnsi="Times New Roman"/>
          <w:szCs w:val="22"/>
        </w:rPr>
        <w:t>7</w:t>
      </w:r>
      <w:r w:rsidRPr="007133F4">
        <w:rPr>
          <w:rFonts w:ascii="Times New Roman" w:hAnsi="Times New Roman"/>
          <w:szCs w:val="22"/>
        </w:rPr>
        <w:t xml:space="preserve"> tis. eur.</w:t>
      </w:r>
    </w:p>
    <w:p w:rsidR="00DB0AB7" w:rsidP="00DB0AB7">
      <w:pPr>
        <w:bidi w:val="0"/>
        <w:rPr>
          <w:rFonts w:ascii="Times New Roman" w:hAnsi="Times New Roman"/>
          <w:szCs w:val="22"/>
        </w:rPr>
      </w:pPr>
      <w:r w:rsidRPr="007133F4">
        <w:rPr>
          <w:rFonts w:ascii="Times New Roman" w:hAnsi="Times New Roman"/>
          <w:szCs w:val="22"/>
        </w:rPr>
        <w:t xml:space="preserve">Vývoj dlhu </w:t>
      </w:r>
      <w:r w:rsidRPr="007133F4">
        <w:rPr>
          <w:rFonts w:ascii="Times New Roman" w:hAnsi="Times New Roman"/>
          <w:b/>
          <w:szCs w:val="22"/>
        </w:rPr>
        <w:t xml:space="preserve">Národnej diaľničnej spoločnosti, a. s. </w:t>
      </w:r>
      <w:r w:rsidRPr="007133F4">
        <w:rPr>
          <w:rFonts w:ascii="Times New Roman" w:hAnsi="Times New Roman"/>
          <w:szCs w:val="22"/>
        </w:rPr>
        <w:t xml:space="preserve"> mal pozitívny vplyv na maastrichtský dlh verejnej správy. Medziročný pokles dlhu o </w:t>
      </w:r>
      <w:r>
        <w:rPr>
          <w:rFonts w:ascii="Times New Roman" w:hAnsi="Times New Roman"/>
          <w:szCs w:val="22"/>
        </w:rPr>
        <w:t>35</w:t>
      </w:r>
      <w:r w:rsidRPr="007133F4">
        <w:rPr>
          <w:rFonts w:ascii="Times New Roman" w:hAnsi="Times New Roman"/>
          <w:szCs w:val="22"/>
        </w:rPr>
        <w:t> </w:t>
      </w:r>
      <w:r>
        <w:rPr>
          <w:rFonts w:ascii="Times New Roman" w:hAnsi="Times New Roman"/>
          <w:szCs w:val="22"/>
        </w:rPr>
        <w:t>988</w:t>
      </w:r>
      <w:r w:rsidRPr="007133F4">
        <w:rPr>
          <w:rFonts w:ascii="Times New Roman" w:hAnsi="Times New Roman"/>
          <w:szCs w:val="22"/>
        </w:rPr>
        <w:t xml:space="preserve"> tis. eur na úroveň </w:t>
      </w:r>
      <w:r>
        <w:rPr>
          <w:rFonts w:ascii="Times New Roman" w:hAnsi="Times New Roman"/>
          <w:szCs w:val="22"/>
        </w:rPr>
        <w:t>187</w:t>
      </w:r>
      <w:r w:rsidRPr="007133F4">
        <w:rPr>
          <w:rFonts w:ascii="Times New Roman" w:hAnsi="Times New Roman"/>
          <w:szCs w:val="22"/>
        </w:rPr>
        <w:t> </w:t>
      </w:r>
      <w:r>
        <w:rPr>
          <w:rFonts w:ascii="Times New Roman" w:hAnsi="Times New Roman"/>
          <w:szCs w:val="22"/>
        </w:rPr>
        <w:t>442</w:t>
      </w:r>
      <w:r w:rsidRPr="007133F4">
        <w:rPr>
          <w:rFonts w:ascii="Times New Roman" w:hAnsi="Times New Roman"/>
          <w:szCs w:val="22"/>
        </w:rPr>
        <w:t xml:space="preserve"> tis. eur bol spôsobený splácaním bankových úverov, ktoré tvoria podstatnú časť dlhu tohto subjek</w:t>
      </w:r>
      <w:r>
        <w:rPr>
          <w:rFonts w:ascii="Times New Roman" w:hAnsi="Times New Roman"/>
          <w:szCs w:val="22"/>
        </w:rPr>
        <w:t>tu. Dosiahli výšku 185 887 tis. </w:t>
      </w:r>
      <w:r w:rsidRPr="007133F4">
        <w:rPr>
          <w:rFonts w:ascii="Times New Roman" w:hAnsi="Times New Roman"/>
          <w:szCs w:val="22"/>
        </w:rPr>
        <w:t xml:space="preserve">eur. </w:t>
      </w:r>
      <w:r>
        <w:rPr>
          <w:rFonts w:ascii="Times New Roman" w:hAnsi="Times New Roman"/>
          <w:szCs w:val="22"/>
        </w:rPr>
        <w:t>Zvyšných</w:t>
      </w:r>
      <w:r w:rsidRPr="007133F4">
        <w:rPr>
          <w:rFonts w:ascii="Times New Roman" w:hAnsi="Times New Roman"/>
          <w:szCs w:val="22"/>
        </w:rPr>
        <w:t xml:space="preserve"> </w:t>
      </w:r>
      <w:r>
        <w:rPr>
          <w:rFonts w:ascii="Times New Roman" w:hAnsi="Times New Roman"/>
          <w:szCs w:val="22"/>
        </w:rPr>
        <w:t>1 555</w:t>
      </w:r>
      <w:r w:rsidRPr="007133F4">
        <w:rPr>
          <w:rFonts w:ascii="Times New Roman" w:hAnsi="Times New Roman"/>
          <w:szCs w:val="22"/>
        </w:rPr>
        <w:t xml:space="preserve"> tis. eur pripadá na krátkodobé zábezpeky.</w:t>
      </w:r>
    </w:p>
    <w:p w:rsidR="00DB0AB7" w:rsidRPr="00B6587F" w:rsidP="00DB0AB7">
      <w:pPr>
        <w:bidi w:val="0"/>
        <w:rPr>
          <w:rFonts w:ascii="Times New Roman" w:hAnsi="Times New Roman"/>
          <w:b/>
          <w:szCs w:val="22"/>
        </w:rPr>
      </w:pPr>
      <w:r w:rsidRPr="00B6587F">
        <w:rPr>
          <w:rFonts w:ascii="Times New Roman" w:hAnsi="Times New Roman"/>
          <w:szCs w:val="22"/>
        </w:rPr>
        <w:t xml:space="preserve">Dlh </w:t>
      </w:r>
      <w:r w:rsidRPr="00B6587F">
        <w:rPr>
          <w:rFonts w:ascii="Times New Roman" w:hAnsi="Times New Roman"/>
          <w:b/>
          <w:szCs w:val="22"/>
        </w:rPr>
        <w:t xml:space="preserve">Železníc Slovenskej republiky </w:t>
      </w:r>
      <w:r>
        <w:rPr>
          <w:rFonts w:ascii="Times New Roman" w:hAnsi="Times New Roman"/>
          <w:b/>
          <w:szCs w:val="22"/>
        </w:rPr>
        <w:t xml:space="preserve">(ŽSR) </w:t>
      </w:r>
      <w:r>
        <w:rPr>
          <w:rFonts w:ascii="Times New Roman" w:hAnsi="Times New Roman"/>
          <w:szCs w:val="22"/>
        </w:rPr>
        <w:t>dosiahol v roku 2017 hodnotu 63</w:t>
      </w:r>
      <w:r w:rsidRPr="00B6587F">
        <w:rPr>
          <w:rFonts w:ascii="Times New Roman" w:hAnsi="Times New Roman"/>
          <w:szCs w:val="22"/>
        </w:rPr>
        <w:t> </w:t>
      </w:r>
      <w:r>
        <w:rPr>
          <w:rFonts w:ascii="Times New Roman" w:hAnsi="Times New Roman"/>
          <w:szCs w:val="22"/>
        </w:rPr>
        <w:t>383</w:t>
      </w:r>
      <w:r w:rsidRPr="00B6587F">
        <w:rPr>
          <w:rFonts w:ascii="Times New Roman" w:hAnsi="Times New Roman"/>
          <w:szCs w:val="22"/>
        </w:rPr>
        <w:t xml:space="preserve"> tis. eur, čo je o </w:t>
      </w:r>
      <w:r>
        <w:rPr>
          <w:rFonts w:ascii="Times New Roman" w:hAnsi="Times New Roman"/>
          <w:szCs w:val="22"/>
        </w:rPr>
        <w:t>439 tis. eur viac ako v roku 2016</w:t>
      </w:r>
      <w:r w:rsidRPr="00B6587F">
        <w:rPr>
          <w:rFonts w:ascii="Times New Roman" w:hAnsi="Times New Roman"/>
          <w:szCs w:val="22"/>
        </w:rPr>
        <w:t xml:space="preserve">. Tvoria ho </w:t>
      </w:r>
      <w:r>
        <w:rPr>
          <w:rFonts w:ascii="Times New Roman" w:hAnsi="Times New Roman"/>
          <w:szCs w:val="22"/>
        </w:rPr>
        <w:t>prevažne dlhodobé</w:t>
      </w:r>
      <w:r w:rsidRPr="00B6587F">
        <w:rPr>
          <w:rFonts w:ascii="Times New Roman" w:hAnsi="Times New Roman"/>
          <w:szCs w:val="22"/>
        </w:rPr>
        <w:t xml:space="preserve"> bankové úvery od t</w:t>
      </w:r>
      <w:r>
        <w:rPr>
          <w:rFonts w:ascii="Times New Roman" w:hAnsi="Times New Roman"/>
          <w:szCs w:val="22"/>
        </w:rPr>
        <w:t>uzemských bánk vo výške 62 746</w:t>
      </w:r>
      <w:r w:rsidRPr="00B6587F">
        <w:rPr>
          <w:rFonts w:ascii="Times New Roman" w:hAnsi="Times New Roman"/>
          <w:szCs w:val="22"/>
        </w:rPr>
        <w:t xml:space="preserve"> tis. eur</w:t>
      </w:r>
      <w:r>
        <w:rPr>
          <w:rFonts w:ascii="Times New Roman" w:hAnsi="Times New Roman"/>
          <w:szCs w:val="22"/>
        </w:rPr>
        <w:t xml:space="preserve">, ktorých výška sa oproti minulému roku zmenila len minimálne, zábezpeky s dobou splatnosti vyššou ako jeden rok vo výške 636 tis. eur a </w:t>
      </w:r>
      <w:r w:rsidRPr="00B6587F">
        <w:rPr>
          <w:rFonts w:ascii="Times New Roman" w:hAnsi="Times New Roman"/>
          <w:szCs w:val="22"/>
        </w:rPr>
        <w:t>domáci finančný prenájom v </w:t>
      </w:r>
      <w:r>
        <w:rPr>
          <w:rFonts w:ascii="Times New Roman" w:hAnsi="Times New Roman"/>
          <w:szCs w:val="22"/>
        </w:rPr>
        <w:t>hodnote</w:t>
      </w:r>
      <w:r w:rsidRPr="00B6587F">
        <w:rPr>
          <w:rFonts w:ascii="Times New Roman" w:hAnsi="Times New Roman"/>
          <w:szCs w:val="22"/>
        </w:rPr>
        <w:t xml:space="preserve"> </w:t>
      </w:r>
      <w:r>
        <w:rPr>
          <w:rFonts w:ascii="Times New Roman" w:hAnsi="Times New Roman"/>
          <w:szCs w:val="22"/>
        </w:rPr>
        <w:t>1 </w:t>
      </w:r>
      <w:r w:rsidRPr="00B6587F">
        <w:rPr>
          <w:rFonts w:ascii="Times New Roman" w:hAnsi="Times New Roman"/>
          <w:szCs w:val="22"/>
        </w:rPr>
        <w:t>tis. eur.</w:t>
      </w:r>
    </w:p>
    <w:p w:rsidR="00DB0AB7" w:rsidP="00DB0AB7">
      <w:pPr>
        <w:bidi w:val="0"/>
        <w:rPr>
          <w:rFonts w:ascii="Times New Roman" w:hAnsi="Times New Roman"/>
          <w:szCs w:val="22"/>
        </w:rPr>
      </w:pPr>
      <w:r w:rsidRPr="00CF7BF1">
        <w:rPr>
          <w:rFonts w:ascii="Times New Roman" w:hAnsi="Times New Roman"/>
          <w:szCs w:val="22"/>
        </w:rPr>
        <w:t xml:space="preserve">Dlh spoločnosti </w:t>
      </w:r>
      <w:r w:rsidRPr="00CF7BF1">
        <w:rPr>
          <w:rFonts w:ascii="Times New Roman" w:hAnsi="Times New Roman"/>
          <w:b/>
          <w:szCs w:val="22"/>
        </w:rPr>
        <w:t>MH Manažment, a. s.,</w:t>
      </w:r>
      <w:r w:rsidRPr="00CF7BF1">
        <w:rPr>
          <w:rFonts w:ascii="Times New Roman" w:hAnsi="Times New Roman"/>
          <w:szCs w:val="22"/>
        </w:rPr>
        <w:t xml:space="preserve"> ktorý vznikol z emisie dlhopisov Fondu národného majetku v roku 1996</w:t>
      </w:r>
      <w:r>
        <w:rPr>
          <w:rFonts w:ascii="Times New Roman" w:hAnsi="Times New Roman"/>
          <w:szCs w:val="22"/>
        </w:rPr>
        <w:t>,</w:t>
      </w:r>
      <w:r w:rsidRPr="00CF7BF1">
        <w:rPr>
          <w:rFonts w:ascii="Times New Roman" w:hAnsi="Times New Roman"/>
          <w:szCs w:val="22"/>
        </w:rPr>
        <w:t xml:space="preserve"> predstavuje 15 </w:t>
      </w:r>
      <w:r>
        <w:rPr>
          <w:rFonts w:ascii="Times New Roman" w:hAnsi="Times New Roman"/>
          <w:szCs w:val="22"/>
        </w:rPr>
        <w:t>216</w:t>
      </w:r>
      <w:r w:rsidRPr="00CF7BF1">
        <w:rPr>
          <w:rFonts w:ascii="Times New Roman" w:hAnsi="Times New Roman"/>
          <w:szCs w:val="22"/>
        </w:rPr>
        <w:t xml:space="preserve"> tis. eur. Oproti roku 201</w:t>
      </w:r>
      <w:r>
        <w:rPr>
          <w:rFonts w:ascii="Times New Roman" w:hAnsi="Times New Roman"/>
          <w:szCs w:val="22"/>
        </w:rPr>
        <w:t>6</w:t>
      </w:r>
      <w:r w:rsidRPr="00CF7BF1">
        <w:rPr>
          <w:rFonts w:ascii="Times New Roman" w:hAnsi="Times New Roman"/>
          <w:szCs w:val="22"/>
        </w:rPr>
        <w:t xml:space="preserve"> sa dlh znížil o </w:t>
      </w:r>
      <w:r>
        <w:rPr>
          <w:rFonts w:ascii="Times New Roman" w:hAnsi="Times New Roman"/>
          <w:szCs w:val="22"/>
        </w:rPr>
        <w:t>7</w:t>
      </w:r>
      <w:r w:rsidRPr="00CF7BF1">
        <w:rPr>
          <w:rFonts w:ascii="Times New Roman" w:hAnsi="Times New Roman"/>
          <w:szCs w:val="22"/>
        </w:rPr>
        <w:t xml:space="preserve"> tis. eur v dôsledku vyplatenia časti záväzkov vyplývajúcich dlhopisov</w:t>
      </w:r>
      <w:r>
        <w:rPr>
          <w:rFonts w:ascii="Times New Roman" w:hAnsi="Times New Roman"/>
          <w:szCs w:val="22"/>
        </w:rPr>
        <w:t>.</w:t>
      </w:r>
    </w:p>
    <w:p w:rsidR="00DB0AB7" w:rsidP="00DB0AB7">
      <w:pPr>
        <w:bidi w:val="0"/>
        <w:rPr>
          <w:rFonts w:ascii="Times New Roman" w:hAnsi="Times New Roman"/>
          <w:szCs w:val="22"/>
        </w:rPr>
      </w:pPr>
      <w:r w:rsidRPr="008A6513">
        <w:rPr>
          <w:rFonts w:ascii="Times New Roman" w:hAnsi="Times New Roman"/>
          <w:szCs w:val="22"/>
        </w:rPr>
        <w:t>Dlh spoločnosti</w:t>
      </w:r>
      <w:r>
        <w:rPr>
          <w:rFonts w:ascii="Times New Roman" w:hAnsi="Times New Roman"/>
          <w:b/>
          <w:szCs w:val="22"/>
        </w:rPr>
        <w:t xml:space="preserve"> MH Invest II,</w:t>
      </w:r>
      <w:r w:rsidRPr="00681F57">
        <w:rPr>
          <w:rFonts w:ascii="Times New Roman" w:hAnsi="Times New Roman"/>
          <w:b/>
          <w:szCs w:val="22"/>
        </w:rPr>
        <w:t xml:space="preserve"> s. r. o</w:t>
      </w:r>
      <w:r>
        <w:rPr>
          <w:rFonts w:ascii="Times New Roman" w:hAnsi="Times New Roman"/>
          <w:szCs w:val="22"/>
        </w:rPr>
        <w:t>. tvorí v prevažnej miere návratná finančná výpomoc poskytnutá zo štátneho rozpočtu vo výške 2 720 tis. eur, ktorá bola prevedená zo spoločnosti MH Invest, s. r. o. Krátkodobé zábezpeky v hodnote 42 tis. eur predstavujú zvyšnú časť dlhu.</w:t>
      </w:r>
    </w:p>
    <w:p w:rsidR="00DB0AB7" w:rsidP="00DB0AB7">
      <w:pPr>
        <w:bidi w:val="0"/>
        <w:rPr>
          <w:rFonts w:ascii="Times New Roman" w:hAnsi="Times New Roman"/>
          <w:szCs w:val="22"/>
        </w:rPr>
      </w:pPr>
      <w:r>
        <w:rPr>
          <w:rFonts w:ascii="Times New Roman" w:hAnsi="Times New Roman"/>
          <w:b/>
          <w:szCs w:val="22"/>
        </w:rPr>
        <w:t xml:space="preserve">Jadrová a vyraďovacia spoločnosť, a. s., </w:t>
      </w:r>
      <w:r>
        <w:rPr>
          <w:rFonts w:ascii="Times New Roman" w:hAnsi="Times New Roman"/>
          <w:szCs w:val="22"/>
        </w:rPr>
        <w:t>spôsobila zvýšenie maastrichtského dlhu verejnej správy o 1 160 tis. eur, z čoho 1 158  tis. eur predstavujú zábezpeky, zvyšné 2 tis. eur tvorí bankový úver.</w:t>
      </w:r>
    </w:p>
    <w:p w:rsidR="00DB0AB7" w:rsidRPr="00CD02BE" w:rsidP="00DB0AB7">
      <w:pPr>
        <w:bidi w:val="0"/>
        <w:rPr>
          <w:rFonts w:ascii="Times New Roman" w:hAnsi="Times New Roman"/>
          <w:szCs w:val="22"/>
        </w:rPr>
      </w:pPr>
      <w:r>
        <w:rPr>
          <w:rFonts w:ascii="Times New Roman" w:hAnsi="Times New Roman"/>
          <w:szCs w:val="22"/>
        </w:rPr>
        <w:t xml:space="preserve">Dlh </w:t>
      </w:r>
      <w:r>
        <w:rPr>
          <w:rFonts w:ascii="Times New Roman" w:hAnsi="Times New Roman"/>
          <w:b/>
          <w:szCs w:val="22"/>
        </w:rPr>
        <w:t>verejných vysokých škôl</w:t>
      </w:r>
      <w:r>
        <w:rPr>
          <w:rFonts w:ascii="Times New Roman" w:hAnsi="Times New Roman"/>
          <w:szCs w:val="22"/>
        </w:rPr>
        <w:t xml:space="preserve"> sa oproti predchádzajúcemu roku znížil o 388 tis. eur. Z celkovej výšky 7 343 tis. eur, 2 086 tis. eur pripadá na bankové úvery poskytnuté tuzemskými bankami, 2 226 tis. eur tvoria prevažne krátkodobé zábezpeky, 31 tis. eur predstavuje dlhodobý finančný prenájom a 3 000 tis. eur bolo poskytnutých zo štátneho rozpočtu ako návratná finančná výpomoc.</w:t>
      </w:r>
    </w:p>
    <w:p w:rsidR="00DB0AB7" w:rsidP="00DB0AB7">
      <w:pPr>
        <w:bidi w:val="0"/>
        <w:rPr>
          <w:rFonts w:ascii="Times New Roman" w:hAnsi="Times New Roman"/>
          <w:szCs w:val="22"/>
        </w:rPr>
      </w:pPr>
      <w:r>
        <w:rPr>
          <w:rFonts w:ascii="Times New Roman" w:hAnsi="Times New Roman"/>
          <w:szCs w:val="22"/>
        </w:rPr>
        <w:t xml:space="preserve">Dlh </w:t>
      </w:r>
      <w:r w:rsidRPr="00CD02BE">
        <w:rPr>
          <w:rFonts w:ascii="Times New Roman" w:hAnsi="Times New Roman"/>
          <w:b/>
          <w:szCs w:val="22"/>
        </w:rPr>
        <w:t>ústredných zdravotníckych zariadení</w:t>
      </w:r>
      <w:r>
        <w:rPr>
          <w:rFonts w:ascii="Times New Roman" w:hAnsi="Times New Roman"/>
          <w:szCs w:val="22"/>
        </w:rPr>
        <w:t xml:space="preserve"> medziročne vzrástol o 772 tis. eur. Dlh vo výške 22 543 tis. eur z rozhodujúcej časti tvoria bankové úvery, ktorých stav medziročne klesol o 873 tis. eur na úroveň 18 438 tis. eur. Významnú časť dlhu ústredných zdravotníckych zariadení tvoria prevažne krátkodobé zábezpeky vo výške 2 050 tis. eur a návratné finančné výpomoci, ktorých výška sa prostredníctvom splácania znížila na súčasných 1 810 tis. eur. Finančný lízing dosiahol výšku 106 tis. eur a pôžičky od nebankových subjektov zvýšili zadlženie o 139 tis. eur.</w:t>
      </w:r>
    </w:p>
    <w:p w:rsidR="00DB0AB7" w:rsidP="00DB0AB7">
      <w:pPr>
        <w:bidi w:val="0"/>
        <w:rPr>
          <w:rFonts w:ascii="Times New Roman" w:hAnsi="Times New Roman"/>
          <w:szCs w:val="22"/>
        </w:rPr>
      </w:pPr>
      <w:r w:rsidRPr="00906579">
        <w:rPr>
          <w:rFonts w:ascii="Times New Roman" w:hAnsi="Times New Roman"/>
          <w:b/>
          <w:szCs w:val="22"/>
        </w:rPr>
        <w:t>Ostatné subjekty ústrednej správy</w:t>
      </w:r>
      <w:r w:rsidRPr="00906579">
        <w:rPr>
          <w:rFonts w:ascii="Times New Roman" w:hAnsi="Times New Roman"/>
          <w:szCs w:val="22"/>
        </w:rPr>
        <w:t xml:space="preserve"> </w:t>
      </w:r>
      <w:r>
        <w:rPr>
          <w:rFonts w:ascii="Times New Roman" w:hAnsi="Times New Roman"/>
          <w:szCs w:val="22"/>
        </w:rPr>
        <w:t>vykazujú</w:t>
      </w:r>
      <w:r w:rsidRPr="00906579">
        <w:rPr>
          <w:rFonts w:ascii="Times New Roman" w:hAnsi="Times New Roman"/>
          <w:szCs w:val="22"/>
        </w:rPr>
        <w:t xml:space="preserve"> dlh vo výške </w:t>
      </w:r>
      <w:r>
        <w:rPr>
          <w:rFonts w:ascii="Times New Roman" w:hAnsi="Times New Roman"/>
          <w:szCs w:val="22"/>
        </w:rPr>
        <w:t>461 331 </w:t>
      </w:r>
      <w:r w:rsidRPr="00906579">
        <w:rPr>
          <w:rFonts w:ascii="Times New Roman" w:hAnsi="Times New Roman"/>
          <w:szCs w:val="22"/>
        </w:rPr>
        <w:t>tis.</w:t>
      </w:r>
      <w:r>
        <w:rPr>
          <w:rFonts w:ascii="Times New Roman" w:hAnsi="Times New Roman"/>
          <w:szCs w:val="22"/>
        </w:rPr>
        <w:t xml:space="preserve"> eur, pričom takmer celú </w:t>
      </w:r>
      <w:r w:rsidRPr="00906579">
        <w:rPr>
          <w:rFonts w:ascii="Times New Roman" w:hAnsi="Times New Roman"/>
          <w:szCs w:val="22"/>
        </w:rPr>
        <w:t xml:space="preserve">časť tejto hodnoty tvorí dlh </w:t>
      </w:r>
      <w:r w:rsidRPr="00906579">
        <w:rPr>
          <w:rFonts w:ascii="Times New Roman" w:hAnsi="Times New Roman"/>
          <w:b/>
          <w:szCs w:val="22"/>
        </w:rPr>
        <w:t xml:space="preserve">Agentúry pre núdzové zásoby ropy a ropných výrobkov </w:t>
      </w:r>
      <w:r>
        <w:rPr>
          <w:rFonts w:ascii="Times New Roman" w:hAnsi="Times New Roman"/>
          <w:szCs w:val="22"/>
        </w:rPr>
        <w:t>v podobe</w:t>
      </w:r>
      <w:r w:rsidRPr="00906579">
        <w:rPr>
          <w:rFonts w:ascii="Times New Roman" w:hAnsi="Times New Roman"/>
          <w:szCs w:val="22"/>
        </w:rPr>
        <w:t xml:space="preserve"> návratn</w:t>
      </w:r>
      <w:r>
        <w:rPr>
          <w:rFonts w:ascii="Times New Roman" w:hAnsi="Times New Roman"/>
          <w:szCs w:val="22"/>
        </w:rPr>
        <w:t>ej</w:t>
      </w:r>
      <w:r w:rsidRPr="00906579">
        <w:rPr>
          <w:rFonts w:ascii="Times New Roman" w:hAnsi="Times New Roman"/>
          <w:szCs w:val="22"/>
        </w:rPr>
        <w:t xml:space="preserve"> finančn</w:t>
      </w:r>
      <w:r>
        <w:rPr>
          <w:rFonts w:ascii="Times New Roman" w:hAnsi="Times New Roman"/>
          <w:szCs w:val="22"/>
        </w:rPr>
        <w:t>ej</w:t>
      </w:r>
      <w:r w:rsidRPr="00906579">
        <w:rPr>
          <w:rFonts w:ascii="Times New Roman" w:hAnsi="Times New Roman"/>
          <w:szCs w:val="22"/>
        </w:rPr>
        <w:t xml:space="preserve"> výpomoc</w:t>
      </w:r>
      <w:r>
        <w:rPr>
          <w:rFonts w:ascii="Times New Roman" w:hAnsi="Times New Roman"/>
          <w:szCs w:val="22"/>
        </w:rPr>
        <w:t>i</w:t>
      </w:r>
      <w:r w:rsidRPr="00906579">
        <w:rPr>
          <w:rFonts w:ascii="Times New Roman" w:hAnsi="Times New Roman"/>
          <w:szCs w:val="22"/>
        </w:rPr>
        <w:t xml:space="preserve"> zo štátnych finančných aktív vo</w:t>
      </w:r>
      <w:r>
        <w:rPr>
          <w:rFonts w:ascii="Times New Roman" w:hAnsi="Times New Roman"/>
          <w:szCs w:val="22"/>
        </w:rPr>
        <w:t> výške 460 000 </w:t>
      </w:r>
      <w:r w:rsidRPr="00906579">
        <w:rPr>
          <w:rFonts w:ascii="Times New Roman" w:hAnsi="Times New Roman"/>
          <w:szCs w:val="22"/>
        </w:rPr>
        <w:t>tis. eur</w:t>
      </w:r>
      <w:r>
        <w:rPr>
          <w:rFonts w:ascii="Times New Roman" w:hAnsi="Times New Roman"/>
          <w:szCs w:val="22"/>
        </w:rPr>
        <w:t>. Jej úroveň oproti stavu v roku 2016 klesla o 60 000 tis. eur, z dôvodu úhrady mimoriadnej splátky. Finančná výpomoc</w:t>
      </w:r>
      <w:r w:rsidRPr="00906579">
        <w:rPr>
          <w:rFonts w:ascii="Times New Roman" w:hAnsi="Times New Roman"/>
          <w:szCs w:val="22"/>
        </w:rPr>
        <w:t xml:space="preserve"> je </w:t>
      </w:r>
      <w:r>
        <w:rPr>
          <w:rFonts w:ascii="Times New Roman" w:hAnsi="Times New Roman"/>
          <w:szCs w:val="22"/>
        </w:rPr>
        <w:t xml:space="preserve">na úrovni celej verejnej správy </w:t>
      </w:r>
      <w:r w:rsidRPr="00906579">
        <w:rPr>
          <w:rFonts w:ascii="Times New Roman" w:hAnsi="Times New Roman"/>
          <w:szCs w:val="22"/>
        </w:rPr>
        <w:t>predmetom ko</w:t>
      </w:r>
      <w:r>
        <w:rPr>
          <w:rFonts w:ascii="Times New Roman" w:hAnsi="Times New Roman"/>
          <w:szCs w:val="22"/>
        </w:rPr>
        <w:t>nsolidácie.</w:t>
      </w:r>
    </w:p>
    <w:p w:rsidR="00DB0AB7" w:rsidP="00DB0AB7">
      <w:pPr>
        <w:bidi w:val="0"/>
        <w:spacing w:after="0"/>
        <w:rPr>
          <w:rFonts w:ascii="Times New Roman" w:hAnsi="Times New Roman"/>
          <w:szCs w:val="22"/>
        </w:rPr>
      </w:pPr>
      <w:r w:rsidRPr="00694E06">
        <w:rPr>
          <w:rFonts w:ascii="Times New Roman" w:hAnsi="Times New Roman"/>
          <w:szCs w:val="22"/>
        </w:rPr>
        <w:t xml:space="preserve">Dlh </w:t>
      </w:r>
      <w:r w:rsidRPr="00694E06">
        <w:rPr>
          <w:rFonts w:ascii="Times New Roman" w:hAnsi="Times New Roman"/>
          <w:b/>
          <w:szCs w:val="22"/>
        </w:rPr>
        <w:t xml:space="preserve">obcí  </w:t>
      </w:r>
      <w:r w:rsidRPr="00694E06">
        <w:rPr>
          <w:rFonts w:ascii="Times New Roman" w:hAnsi="Times New Roman"/>
          <w:szCs w:val="22"/>
        </w:rPr>
        <w:t>(vrátane ich rozpočtových organizácií)</w:t>
      </w:r>
      <w:r w:rsidRPr="00694E06">
        <w:rPr>
          <w:rFonts w:ascii="Times New Roman" w:hAnsi="Times New Roman"/>
          <w:b/>
          <w:szCs w:val="22"/>
        </w:rPr>
        <w:t xml:space="preserve"> </w:t>
      </w:r>
      <w:r w:rsidRPr="00694E06">
        <w:rPr>
          <w:rFonts w:ascii="Times New Roman" w:hAnsi="Times New Roman"/>
          <w:szCs w:val="22"/>
        </w:rPr>
        <w:t>dosiahol v roku 201</w:t>
      </w:r>
      <w:r>
        <w:rPr>
          <w:rFonts w:ascii="Times New Roman" w:hAnsi="Times New Roman"/>
          <w:szCs w:val="22"/>
        </w:rPr>
        <w:t>7</w:t>
      </w:r>
      <w:r w:rsidRPr="00694E06">
        <w:rPr>
          <w:rFonts w:ascii="Times New Roman" w:hAnsi="Times New Roman"/>
          <w:szCs w:val="22"/>
        </w:rPr>
        <w:t xml:space="preserve"> výšku 1 </w:t>
      </w:r>
      <w:r>
        <w:rPr>
          <w:rFonts w:ascii="Times New Roman" w:hAnsi="Times New Roman"/>
          <w:szCs w:val="22"/>
        </w:rPr>
        <w:t>362</w:t>
      </w:r>
      <w:r w:rsidRPr="00694E06">
        <w:rPr>
          <w:rFonts w:ascii="Times New Roman" w:hAnsi="Times New Roman"/>
          <w:szCs w:val="22"/>
        </w:rPr>
        <w:t xml:space="preserve"> </w:t>
      </w:r>
      <w:r>
        <w:rPr>
          <w:rFonts w:ascii="Times New Roman" w:hAnsi="Times New Roman"/>
          <w:szCs w:val="22"/>
        </w:rPr>
        <w:t>979</w:t>
      </w:r>
      <w:r w:rsidRPr="00694E06">
        <w:rPr>
          <w:rFonts w:ascii="Times New Roman" w:hAnsi="Times New Roman"/>
          <w:szCs w:val="22"/>
        </w:rPr>
        <w:t xml:space="preserve"> tis</w:t>
      </w:r>
      <w:r>
        <w:rPr>
          <w:rFonts w:ascii="Times New Roman" w:hAnsi="Times New Roman"/>
          <w:szCs w:val="22"/>
        </w:rPr>
        <w:t>. eur. Oproti stavu v roku 2016</w:t>
      </w:r>
      <w:r w:rsidRPr="00694E06">
        <w:rPr>
          <w:rFonts w:ascii="Times New Roman" w:hAnsi="Times New Roman"/>
          <w:szCs w:val="22"/>
        </w:rPr>
        <w:t xml:space="preserve"> </w:t>
      </w:r>
      <w:r>
        <w:rPr>
          <w:rFonts w:ascii="Times New Roman" w:hAnsi="Times New Roman"/>
          <w:szCs w:val="22"/>
        </w:rPr>
        <w:t>bol vyšší</w:t>
      </w:r>
      <w:r w:rsidRPr="00694E06">
        <w:rPr>
          <w:rFonts w:ascii="Times New Roman" w:hAnsi="Times New Roman"/>
          <w:szCs w:val="22"/>
        </w:rPr>
        <w:t xml:space="preserve"> o </w:t>
      </w:r>
      <w:r>
        <w:rPr>
          <w:rFonts w:ascii="Times New Roman" w:hAnsi="Times New Roman"/>
          <w:szCs w:val="22"/>
        </w:rPr>
        <w:t>28</w:t>
      </w:r>
      <w:r w:rsidRPr="00694E06">
        <w:rPr>
          <w:rFonts w:ascii="Times New Roman" w:hAnsi="Times New Roman"/>
          <w:szCs w:val="22"/>
        </w:rPr>
        <w:t xml:space="preserve"> </w:t>
      </w:r>
      <w:r>
        <w:rPr>
          <w:rFonts w:ascii="Times New Roman" w:hAnsi="Times New Roman"/>
          <w:szCs w:val="22"/>
        </w:rPr>
        <w:t>260</w:t>
      </w:r>
      <w:r w:rsidRPr="00694E06">
        <w:rPr>
          <w:rFonts w:ascii="Times New Roman" w:hAnsi="Times New Roman"/>
          <w:szCs w:val="22"/>
        </w:rPr>
        <w:t> tis. eur. Rozhodujúcu časť dlhu obcí tvoria bankové úvery a iné pôžičky vo výške 1 </w:t>
      </w:r>
      <w:r>
        <w:rPr>
          <w:rFonts w:ascii="Times New Roman" w:hAnsi="Times New Roman"/>
          <w:szCs w:val="22"/>
        </w:rPr>
        <w:t>359</w:t>
      </w:r>
      <w:r w:rsidRPr="00694E06">
        <w:rPr>
          <w:rFonts w:ascii="Times New Roman" w:hAnsi="Times New Roman"/>
          <w:szCs w:val="22"/>
        </w:rPr>
        <w:t xml:space="preserve"> </w:t>
      </w:r>
      <w:r>
        <w:rPr>
          <w:rFonts w:ascii="Times New Roman" w:hAnsi="Times New Roman"/>
          <w:szCs w:val="22"/>
        </w:rPr>
        <w:t>965</w:t>
      </w:r>
      <w:r w:rsidRPr="00694E06">
        <w:rPr>
          <w:rFonts w:ascii="Times New Roman" w:hAnsi="Times New Roman"/>
          <w:szCs w:val="22"/>
        </w:rPr>
        <w:t xml:space="preserve"> tis. eur, pričom </w:t>
      </w:r>
      <w:r>
        <w:rPr>
          <w:rFonts w:ascii="Times New Roman" w:hAnsi="Times New Roman"/>
          <w:szCs w:val="22"/>
        </w:rPr>
        <w:t>715</w:t>
      </w:r>
      <w:r w:rsidRPr="00694E06">
        <w:rPr>
          <w:rFonts w:ascii="Times New Roman" w:hAnsi="Times New Roman"/>
          <w:szCs w:val="22"/>
        </w:rPr>
        <w:t xml:space="preserve"> </w:t>
      </w:r>
      <w:r>
        <w:rPr>
          <w:rFonts w:ascii="Times New Roman" w:hAnsi="Times New Roman"/>
          <w:szCs w:val="22"/>
        </w:rPr>
        <w:t>340</w:t>
      </w:r>
      <w:r w:rsidRPr="00694E06">
        <w:rPr>
          <w:rFonts w:ascii="Times New Roman" w:hAnsi="Times New Roman"/>
          <w:szCs w:val="22"/>
        </w:rPr>
        <w:t xml:space="preserve"> tis. eur poskytol Štátny fond rozvoja bývania a 1 </w:t>
      </w:r>
      <w:r>
        <w:rPr>
          <w:rFonts w:ascii="Times New Roman" w:hAnsi="Times New Roman"/>
          <w:szCs w:val="22"/>
        </w:rPr>
        <w:t>276</w:t>
      </w:r>
      <w:r w:rsidRPr="00694E06">
        <w:rPr>
          <w:rFonts w:ascii="Times New Roman" w:hAnsi="Times New Roman"/>
          <w:szCs w:val="22"/>
        </w:rPr>
        <w:t> tis. eur Environ</w:t>
      </w:r>
      <w:r>
        <w:rPr>
          <w:rFonts w:ascii="Times New Roman" w:hAnsi="Times New Roman"/>
          <w:szCs w:val="22"/>
        </w:rPr>
        <w:t>mentálny fond. Mestám Košice (18</w:t>
      </w:r>
      <w:r w:rsidRPr="00694E06">
        <w:rPr>
          <w:rFonts w:ascii="Times New Roman" w:hAnsi="Times New Roman"/>
          <w:szCs w:val="22"/>
        </w:rPr>
        <w:t> 500 tis. eur), Bratislava (10 000 tis. eur), Martin (2 </w:t>
      </w:r>
      <w:r>
        <w:rPr>
          <w:rFonts w:ascii="Times New Roman" w:hAnsi="Times New Roman"/>
          <w:szCs w:val="22"/>
        </w:rPr>
        <w:t>250</w:t>
      </w:r>
      <w:r w:rsidRPr="00694E06">
        <w:rPr>
          <w:rFonts w:ascii="Times New Roman" w:hAnsi="Times New Roman"/>
          <w:szCs w:val="22"/>
        </w:rPr>
        <w:t> tis. eur) a Ľubotice (</w:t>
      </w:r>
      <w:r>
        <w:rPr>
          <w:rFonts w:ascii="Times New Roman" w:hAnsi="Times New Roman"/>
          <w:szCs w:val="22"/>
        </w:rPr>
        <w:t>35</w:t>
      </w:r>
      <w:r w:rsidRPr="00694E06">
        <w:rPr>
          <w:rFonts w:ascii="Times New Roman" w:hAnsi="Times New Roman"/>
          <w:szCs w:val="22"/>
        </w:rPr>
        <w:t xml:space="preserve"> tis. eur) boli </w:t>
      </w:r>
      <w:r>
        <w:rPr>
          <w:rFonts w:ascii="Times New Roman" w:hAnsi="Times New Roman"/>
          <w:szCs w:val="22"/>
        </w:rPr>
        <w:t xml:space="preserve">v predchádzajúcich rokoch </w:t>
      </w:r>
      <w:r w:rsidRPr="00694E06">
        <w:rPr>
          <w:rFonts w:ascii="Times New Roman" w:hAnsi="Times New Roman"/>
          <w:szCs w:val="22"/>
        </w:rPr>
        <w:t>poskytnuté návratné finančné</w:t>
      </w:r>
      <w:r>
        <w:rPr>
          <w:rFonts w:ascii="Times New Roman" w:hAnsi="Times New Roman"/>
          <w:szCs w:val="22"/>
        </w:rPr>
        <w:t xml:space="preserve"> výpomoci zo štátnych finančných aktív. </w:t>
      </w:r>
      <w:r w:rsidRPr="00E87CE6">
        <w:rPr>
          <w:rFonts w:ascii="Times New Roman" w:hAnsi="Times New Roman"/>
          <w:szCs w:val="22"/>
        </w:rPr>
        <w:t>Úvery poskytnuté zo Štátneho fondu rozvoja bývania</w:t>
      </w:r>
      <w:r>
        <w:rPr>
          <w:rFonts w:ascii="Times New Roman" w:hAnsi="Times New Roman"/>
          <w:szCs w:val="22"/>
        </w:rPr>
        <w:t>, z Environmentálneho fondu,</w:t>
      </w:r>
      <w:r w:rsidRPr="00E87CE6">
        <w:rPr>
          <w:rFonts w:ascii="Times New Roman" w:hAnsi="Times New Roman"/>
          <w:szCs w:val="22"/>
        </w:rPr>
        <w:t xml:space="preserve"> zo štátneho rozpočtu </w:t>
      </w:r>
      <w:r>
        <w:rPr>
          <w:rFonts w:ascii="Times New Roman" w:hAnsi="Times New Roman"/>
          <w:szCs w:val="22"/>
        </w:rPr>
        <w:t xml:space="preserve">a návratné finančné výpomoci </w:t>
      </w:r>
      <w:r w:rsidRPr="00E87CE6">
        <w:rPr>
          <w:rFonts w:ascii="Times New Roman" w:hAnsi="Times New Roman"/>
          <w:szCs w:val="22"/>
        </w:rPr>
        <w:t>podliehajú konsolidácii. Z hľadiska splatnosti má dlh obcí p</w:t>
      </w:r>
      <w:r>
        <w:rPr>
          <w:rFonts w:ascii="Times New Roman" w:hAnsi="Times New Roman"/>
          <w:szCs w:val="22"/>
        </w:rPr>
        <w:t>revažne dlhodobý charakter (98,0 %) a prevažná časť dlhu obcí je v rukách domácich veriteľov (97,0 %) v podobe bankových inštitúcií.</w:t>
      </w:r>
    </w:p>
    <w:p w:rsidR="00054BE4" w:rsidP="00DB0AB7">
      <w:pPr>
        <w:bidi w:val="0"/>
        <w:spacing w:after="0"/>
        <w:rPr>
          <w:rFonts w:ascii="Times New Roman" w:hAnsi="Times New Roman"/>
          <w:szCs w:val="22"/>
        </w:rPr>
      </w:pPr>
    </w:p>
    <w:tbl>
      <w:tblPr>
        <w:tblStyle w:val="TableNormal"/>
        <w:tblW w:w="5000" w:type="pct"/>
        <w:tblCellMar>
          <w:left w:w="70" w:type="dxa"/>
          <w:right w:w="70" w:type="dxa"/>
        </w:tblCellMar>
        <w:tblLook w:val="04A0"/>
      </w:tblPr>
      <w:tblGrid>
        <w:gridCol w:w="4926"/>
        <w:gridCol w:w="1041"/>
        <w:gridCol w:w="1041"/>
        <w:gridCol w:w="1041"/>
        <w:gridCol w:w="879"/>
      </w:tblGrid>
      <w:tr>
        <w:tblPrEx>
          <w:tblW w:w="5000" w:type="pct"/>
          <w:tblCellMar>
            <w:left w:w="70" w:type="dxa"/>
            <w:right w:w="70" w:type="dxa"/>
          </w:tblCellMar>
          <w:tblLook w:val="04A0"/>
        </w:tblPrEx>
        <w:trPr>
          <w:trHeight w:val="300"/>
        </w:trPr>
        <w:tc>
          <w:tcPr>
            <w:tcW w:w="4508" w:type="pct"/>
            <w:gridSpan w:val="4"/>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lef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Dlh obcí podľa dlhového nástroja</w:t>
            </w:r>
          </w:p>
        </w:tc>
        <w:tc>
          <w:tcPr>
            <w:tcW w:w="492" w:type="pct"/>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righ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v tis. eur</w:t>
            </w:r>
          </w:p>
        </w:tc>
      </w:tr>
      <w:tr>
        <w:tblPrEx>
          <w:tblW w:w="5000" w:type="pct"/>
          <w:tblCellMar>
            <w:left w:w="70" w:type="dxa"/>
            <w:right w:w="70" w:type="dxa"/>
          </w:tblCellMar>
          <w:tblLook w:val="04A0"/>
        </w:tblPrEx>
        <w:trPr>
          <w:trHeight w:val="300"/>
        </w:trPr>
        <w:tc>
          <w:tcPr>
            <w:tcW w:w="2759"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583"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31.12.2015</w:t>
            </w:r>
          </w:p>
        </w:tc>
        <w:tc>
          <w:tcPr>
            <w:tcW w:w="583"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31.12.2016</w:t>
            </w:r>
          </w:p>
        </w:tc>
        <w:tc>
          <w:tcPr>
            <w:tcW w:w="583"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31.12.2017</w:t>
            </w:r>
          </w:p>
        </w:tc>
        <w:tc>
          <w:tcPr>
            <w:tcW w:w="492" w:type="pct"/>
            <w:tcBorders>
              <w:top w:val="single" w:sz="4" w:space="0" w:color="auto"/>
              <w:left w:val="nil"/>
              <w:bottom w:val="nil"/>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Zmena</w:t>
            </w:r>
          </w:p>
        </w:tc>
      </w:tr>
      <w:tr>
        <w:tblPrEx>
          <w:tblW w:w="5000" w:type="pct"/>
          <w:tblCellMar>
            <w:left w:w="70" w:type="dxa"/>
            <w:right w:w="70" w:type="dxa"/>
          </w:tblCellMar>
          <w:tblLook w:val="04A0"/>
        </w:tblPrEx>
        <w:trPr>
          <w:trHeight w:val="300"/>
        </w:trPr>
        <w:tc>
          <w:tcPr>
            <w:tcW w:w="2759"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583"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1</w:t>
            </w:r>
          </w:p>
        </w:tc>
        <w:tc>
          <w:tcPr>
            <w:tcW w:w="583"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w:t>
            </w:r>
          </w:p>
        </w:tc>
        <w:tc>
          <w:tcPr>
            <w:tcW w:w="583"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3</w:t>
            </w:r>
          </w:p>
        </w:tc>
        <w:tc>
          <w:tcPr>
            <w:tcW w:w="492" w:type="pct"/>
            <w:tcBorders>
              <w:top w:val="nil"/>
              <w:left w:val="nil"/>
              <w:bottom w:val="single" w:sz="4" w:space="0" w:color="auto"/>
              <w:right w:val="nil"/>
            </w:tcBorders>
            <w:shd w:val="clear" w:color="000000" w:fill="BFBFBF"/>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4=(3-2)</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Cenné papiere</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7 945</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2 846</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3 014</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168</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Bankové úvery</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629 201</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560 969</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575 211</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14 242</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Pôžičky zo ŠFRB (konsoliduje sa)</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647 994</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707 506</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715 340</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7 834</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Pôžičky z ENVF (konsoliduje sa)</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1 217</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1 441</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1 276</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-165</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Finančné výpomoci</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53 404</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35 762</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34 221</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-1 541</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ind w:firstLine="360" w:firstLineChars="200"/>
              <w:jc w:val="left"/>
              <w:rPr>
                <w:rFonts w:ascii="Times New Roman" w:hAnsi="Times New Roman"/>
                <w:sz w:val="18"/>
                <w:szCs w:val="18"/>
                <w:lang w:eastAsia="sk-SK"/>
              </w:rPr>
            </w:pPr>
            <w:r w:rsidRPr="004F5AD8">
              <w:rPr>
                <w:rFonts w:ascii="Times New Roman" w:hAnsi="Times New Roman"/>
                <w:sz w:val="18"/>
                <w:szCs w:val="18"/>
                <w:lang w:eastAsia="sk-SK"/>
              </w:rPr>
              <w:t>z toho: NFV Žiline (konsoliduje sa)</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11 733</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ind w:firstLine="1080" w:firstLineChars="600"/>
              <w:jc w:val="left"/>
              <w:rPr>
                <w:rFonts w:ascii="Times New Roman" w:hAnsi="Times New Roman"/>
                <w:sz w:val="18"/>
                <w:szCs w:val="18"/>
                <w:lang w:eastAsia="sk-SK"/>
              </w:rPr>
            </w:pPr>
            <w:r w:rsidRPr="004F5AD8">
              <w:rPr>
                <w:rFonts w:ascii="Times New Roman" w:hAnsi="Times New Roman"/>
                <w:sz w:val="18"/>
                <w:szCs w:val="18"/>
                <w:lang w:eastAsia="sk-SK"/>
              </w:rPr>
              <w:t>od ostat. subj. verejnej správy (konsoliduje sa)</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31 953</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34 759</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33 313</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-1 446</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Investičné dodávateľské úvery a dodávateľské úvery</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11 804</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5 040</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9 542</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4 502</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Finančný prenájom</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5 444</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6 236</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5 701</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-535</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Zábezpeky</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3 638</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11 739</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15 323</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3 584</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Ostatné nebankové pôžičky</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14 238</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3 180</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3 351</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171</w:t>
            </w:r>
          </w:p>
        </w:tc>
      </w:tr>
      <w:tr>
        <w:tblPrEx>
          <w:tblW w:w="5000" w:type="pct"/>
          <w:tblCellMar>
            <w:left w:w="70" w:type="dxa"/>
            <w:right w:w="70" w:type="dxa"/>
          </w:tblCellMar>
          <w:tblLook w:val="04A0"/>
        </w:tblPrEx>
        <w:trPr>
          <w:trHeight w:val="300"/>
        </w:trPr>
        <w:tc>
          <w:tcPr>
            <w:tcW w:w="2759"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Spolu nekonsolidovaný dlh obcí</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1 374 885</w:t>
            </w:r>
          </w:p>
        </w:tc>
        <w:tc>
          <w:tcPr>
            <w:tcW w:w="583"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1 334 719</w:t>
            </w:r>
          </w:p>
        </w:tc>
        <w:tc>
          <w:tcPr>
            <w:tcW w:w="583"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1 362 979</w:t>
            </w:r>
          </w:p>
        </w:tc>
        <w:tc>
          <w:tcPr>
            <w:tcW w:w="49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28 260</w:t>
            </w:r>
          </w:p>
        </w:tc>
      </w:tr>
      <w:tr>
        <w:tblPrEx>
          <w:tblW w:w="5000" w:type="pct"/>
          <w:tblCellMar>
            <w:left w:w="70" w:type="dxa"/>
            <w:right w:w="70" w:type="dxa"/>
          </w:tblCellMar>
          <w:tblLook w:val="04A0"/>
        </w:tblPrEx>
        <w:trPr>
          <w:trHeight w:val="525"/>
        </w:trPr>
        <w:tc>
          <w:tcPr>
            <w:tcW w:w="2759" w:type="pct"/>
            <w:tcBorders>
              <w:top w:val="nil"/>
              <w:left w:val="nil"/>
              <w:bottom w:val="single" w:sz="4" w:space="0" w:color="auto"/>
              <w:right w:val="nil"/>
            </w:tcBorders>
            <w:textDirection w:val="lrTb"/>
            <w:vAlign w:val="bottom"/>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Konsolidovaný príspevok obcí do konsolidovaného dlhu verejnej správy</w:t>
            </w:r>
          </w:p>
        </w:tc>
        <w:tc>
          <w:tcPr>
            <w:tcW w:w="583"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681 988</w:t>
            </w:r>
          </w:p>
        </w:tc>
        <w:tc>
          <w:tcPr>
            <w:tcW w:w="583"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591 013</w:t>
            </w:r>
          </w:p>
        </w:tc>
        <w:tc>
          <w:tcPr>
            <w:tcW w:w="583" w:type="pct"/>
            <w:tcBorders>
              <w:top w:val="nil"/>
              <w:left w:val="nil"/>
              <w:bottom w:val="single" w:sz="4" w:space="0" w:color="auto"/>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613 050</w:t>
            </w:r>
          </w:p>
        </w:tc>
        <w:tc>
          <w:tcPr>
            <w:tcW w:w="492"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22 037</w:t>
            </w:r>
          </w:p>
        </w:tc>
      </w:tr>
    </w:tbl>
    <w:p w:rsidR="00DD2BD6" w:rsidRPr="00DB0AB7" w:rsidP="001457BD">
      <w:pPr>
        <w:bidi w:val="0"/>
        <w:spacing w:after="0"/>
        <w:jc w:val="right"/>
        <w:rPr>
          <w:rFonts w:ascii="Times New Roman" w:hAnsi="Times New Roman"/>
          <w:sz w:val="18"/>
          <w:szCs w:val="18"/>
        </w:rPr>
      </w:pPr>
      <w:r w:rsidRPr="00DB0AB7">
        <w:rPr>
          <w:rFonts w:ascii="Times New Roman" w:hAnsi="Times New Roman"/>
          <w:sz w:val="18"/>
          <w:szCs w:val="18"/>
        </w:rPr>
        <w:t>Zdroj: MF SR</w:t>
      </w:r>
    </w:p>
    <w:p w:rsidR="00054BE4" w:rsidP="00DB0AB7">
      <w:pPr>
        <w:bidi w:val="0"/>
        <w:rPr>
          <w:rFonts w:ascii="Times New Roman" w:hAnsi="Times New Roman"/>
          <w:b/>
          <w:szCs w:val="22"/>
        </w:rPr>
      </w:pPr>
    </w:p>
    <w:p w:rsidR="00DB0AB7" w:rsidP="00DB0AB7">
      <w:pPr>
        <w:bidi w:val="0"/>
        <w:rPr>
          <w:rFonts w:ascii="Times New Roman" w:hAnsi="Times New Roman"/>
          <w:szCs w:val="22"/>
        </w:rPr>
      </w:pPr>
      <w:r w:rsidRPr="00717229">
        <w:rPr>
          <w:rFonts w:ascii="Times New Roman" w:hAnsi="Times New Roman"/>
          <w:b/>
          <w:szCs w:val="22"/>
        </w:rPr>
        <w:t xml:space="preserve">Vyššie územné celky </w:t>
      </w:r>
      <w:r w:rsidRPr="00694E06">
        <w:rPr>
          <w:rFonts w:ascii="Times New Roman" w:hAnsi="Times New Roman"/>
          <w:szCs w:val="22"/>
        </w:rPr>
        <w:t>(vrátane ich rozpočtových organizácií)</w:t>
      </w:r>
      <w:r w:rsidRPr="00694E06">
        <w:rPr>
          <w:rFonts w:ascii="Times New Roman" w:hAnsi="Times New Roman"/>
          <w:b/>
          <w:szCs w:val="22"/>
        </w:rPr>
        <w:t xml:space="preserve"> </w:t>
      </w:r>
      <w:r w:rsidRPr="00D5042F">
        <w:rPr>
          <w:rFonts w:ascii="Times New Roman" w:hAnsi="Times New Roman"/>
          <w:szCs w:val="22"/>
        </w:rPr>
        <w:t xml:space="preserve">sa </w:t>
      </w:r>
      <w:r>
        <w:rPr>
          <w:rFonts w:ascii="Times New Roman" w:hAnsi="Times New Roman"/>
          <w:szCs w:val="22"/>
        </w:rPr>
        <w:t>podieľajú na</w:t>
      </w:r>
      <w:r w:rsidRPr="00717229">
        <w:rPr>
          <w:rFonts w:ascii="Times New Roman" w:hAnsi="Times New Roman"/>
          <w:szCs w:val="22"/>
        </w:rPr>
        <w:t xml:space="preserve"> dlhu verejnej správy </w:t>
      </w:r>
      <w:r>
        <w:rPr>
          <w:rFonts w:ascii="Times New Roman" w:hAnsi="Times New Roman"/>
          <w:szCs w:val="22"/>
        </w:rPr>
        <w:t>hodnotou 369</w:t>
      </w:r>
      <w:r w:rsidRPr="00717229">
        <w:rPr>
          <w:rFonts w:ascii="Times New Roman" w:hAnsi="Times New Roman"/>
          <w:szCs w:val="22"/>
        </w:rPr>
        <w:t xml:space="preserve"> </w:t>
      </w:r>
      <w:r>
        <w:rPr>
          <w:rFonts w:ascii="Times New Roman" w:hAnsi="Times New Roman"/>
          <w:szCs w:val="22"/>
        </w:rPr>
        <w:t>508</w:t>
      </w:r>
      <w:r w:rsidRPr="00717229">
        <w:rPr>
          <w:rFonts w:ascii="Times New Roman" w:hAnsi="Times New Roman"/>
          <w:szCs w:val="22"/>
        </w:rPr>
        <w:t xml:space="preserve"> tis. eur, čo je o 21 </w:t>
      </w:r>
      <w:r>
        <w:rPr>
          <w:rFonts w:ascii="Times New Roman" w:hAnsi="Times New Roman"/>
          <w:szCs w:val="22"/>
        </w:rPr>
        <w:t>873</w:t>
      </w:r>
      <w:r w:rsidRPr="00717229">
        <w:rPr>
          <w:rFonts w:ascii="Times New Roman" w:hAnsi="Times New Roman"/>
          <w:szCs w:val="22"/>
        </w:rPr>
        <w:t xml:space="preserve"> tis. eur </w:t>
      </w:r>
      <w:r>
        <w:rPr>
          <w:rFonts w:ascii="Times New Roman" w:hAnsi="Times New Roman"/>
          <w:szCs w:val="22"/>
        </w:rPr>
        <w:t>viac</w:t>
      </w:r>
      <w:r w:rsidRPr="00717229">
        <w:rPr>
          <w:rFonts w:ascii="Times New Roman" w:hAnsi="Times New Roman"/>
          <w:szCs w:val="22"/>
        </w:rPr>
        <w:t xml:space="preserve"> ako v predchádzajúcom roku. </w:t>
      </w:r>
      <w:r>
        <w:rPr>
          <w:rFonts w:ascii="Times New Roman" w:hAnsi="Times New Roman"/>
          <w:szCs w:val="22"/>
        </w:rPr>
        <w:t xml:space="preserve">Dlh VÚC tvoria najmä bankové úvery vo výške 368 329 tis. eur a prijaté zábezpeky v hodnote 1 179 tis. eur. </w:t>
      </w:r>
      <w:r w:rsidRPr="0042460A">
        <w:rPr>
          <w:rFonts w:ascii="Times New Roman" w:hAnsi="Times New Roman"/>
          <w:szCs w:val="22"/>
        </w:rPr>
        <w:t>Z celkového dlhu predstavujú záväzky voči</w:t>
      </w:r>
      <w:r>
        <w:rPr>
          <w:rFonts w:ascii="Times New Roman" w:hAnsi="Times New Roman"/>
          <w:szCs w:val="22"/>
        </w:rPr>
        <w:t> </w:t>
      </w:r>
      <w:r w:rsidRPr="0042460A">
        <w:rPr>
          <w:rFonts w:ascii="Times New Roman" w:hAnsi="Times New Roman"/>
          <w:szCs w:val="22"/>
        </w:rPr>
        <w:t xml:space="preserve">domácim veriteľom </w:t>
      </w:r>
      <w:r>
        <w:rPr>
          <w:rFonts w:ascii="Times New Roman" w:hAnsi="Times New Roman"/>
          <w:szCs w:val="22"/>
        </w:rPr>
        <w:t>209</w:t>
      </w:r>
      <w:r w:rsidRPr="0042460A">
        <w:rPr>
          <w:rFonts w:ascii="Times New Roman" w:hAnsi="Times New Roman"/>
          <w:szCs w:val="22"/>
        </w:rPr>
        <w:t xml:space="preserve"> </w:t>
      </w:r>
      <w:r>
        <w:rPr>
          <w:rFonts w:ascii="Times New Roman" w:hAnsi="Times New Roman"/>
          <w:szCs w:val="22"/>
        </w:rPr>
        <w:t>692</w:t>
      </w:r>
      <w:r w:rsidRPr="0042460A">
        <w:rPr>
          <w:rFonts w:ascii="Times New Roman" w:hAnsi="Times New Roman"/>
          <w:szCs w:val="22"/>
        </w:rPr>
        <w:t xml:space="preserve"> tis. eur (</w:t>
      </w:r>
      <w:r>
        <w:rPr>
          <w:rFonts w:ascii="Times New Roman" w:hAnsi="Times New Roman"/>
          <w:szCs w:val="22"/>
        </w:rPr>
        <w:t>56,7</w:t>
      </w:r>
      <w:r w:rsidRPr="0042460A">
        <w:rPr>
          <w:rFonts w:ascii="Times New Roman" w:hAnsi="Times New Roman"/>
          <w:szCs w:val="22"/>
        </w:rPr>
        <w:t xml:space="preserve"> %) a voči zahraničným v</w:t>
      </w:r>
      <w:r>
        <w:rPr>
          <w:rFonts w:ascii="Times New Roman" w:hAnsi="Times New Roman"/>
          <w:szCs w:val="22"/>
        </w:rPr>
        <w:t>eriteľom 159 816 tis. eur (43,3 </w:t>
      </w:r>
      <w:r w:rsidRPr="0042460A">
        <w:rPr>
          <w:rFonts w:ascii="Times New Roman" w:hAnsi="Times New Roman"/>
          <w:szCs w:val="22"/>
        </w:rPr>
        <w:t xml:space="preserve">%). Úvermi od zahraničných veriteľov disponuje Bratislavský </w:t>
      </w:r>
      <w:r>
        <w:rPr>
          <w:rFonts w:ascii="Times New Roman" w:hAnsi="Times New Roman"/>
          <w:szCs w:val="22"/>
        </w:rPr>
        <w:t>(19 401 </w:t>
      </w:r>
      <w:r w:rsidRPr="0042460A">
        <w:rPr>
          <w:rFonts w:ascii="Times New Roman" w:hAnsi="Times New Roman"/>
          <w:szCs w:val="22"/>
        </w:rPr>
        <w:t>tis. eur</w:t>
      </w:r>
      <w:r>
        <w:rPr>
          <w:rFonts w:ascii="Times New Roman" w:hAnsi="Times New Roman"/>
          <w:szCs w:val="22"/>
        </w:rPr>
        <w:t>), Trnavský (19 000 </w:t>
      </w:r>
      <w:r w:rsidRPr="0042460A">
        <w:rPr>
          <w:rFonts w:ascii="Times New Roman" w:hAnsi="Times New Roman"/>
          <w:szCs w:val="22"/>
        </w:rPr>
        <w:t xml:space="preserve">tis. eur), </w:t>
      </w:r>
      <w:r>
        <w:rPr>
          <w:rFonts w:ascii="Times New Roman" w:hAnsi="Times New Roman"/>
          <w:szCs w:val="22"/>
        </w:rPr>
        <w:t xml:space="preserve">Žilinský (31 500 tis. eur), </w:t>
      </w:r>
      <w:r w:rsidRPr="0042460A">
        <w:rPr>
          <w:rFonts w:ascii="Times New Roman" w:hAnsi="Times New Roman"/>
          <w:szCs w:val="22"/>
        </w:rPr>
        <w:t xml:space="preserve">Prešovský </w:t>
      </w:r>
      <w:r>
        <w:rPr>
          <w:rFonts w:ascii="Times New Roman" w:hAnsi="Times New Roman"/>
          <w:szCs w:val="22"/>
        </w:rPr>
        <w:t>(58 733</w:t>
      </w:r>
      <w:r w:rsidRPr="0042460A">
        <w:rPr>
          <w:rFonts w:ascii="Times New Roman" w:hAnsi="Times New Roman"/>
          <w:szCs w:val="22"/>
        </w:rPr>
        <w:t xml:space="preserve"> tis. eur</w:t>
      </w:r>
      <w:r>
        <w:rPr>
          <w:rFonts w:ascii="Times New Roman" w:hAnsi="Times New Roman"/>
          <w:szCs w:val="22"/>
        </w:rPr>
        <w:t>)</w:t>
      </w:r>
      <w:r w:rsidRPr="0042460A">
        <w:rPr>
          <w:rFonts w:ascii="Times New Roman" w:hAnsi="Times New Roman"/>
          <w:szCs w:val="22"/>
        </w:rPr>
        <w:t xml:space="preserve"> a Košický samosprávny kraj </w:t>
      </w:r>
      <w:r>
        <w:rPr>
          <w:rFonts w:ascii="Times New Roman" w:hAnsi="Times New Roman"/>
          <w:szCs w:val="22"/>
        </w:rPr>
        <w:t>(31 182 tis. </w:t>
      </w:r>
      <w:r w:rsidRPr="0042460A">
        <w:rPr>
          <w:rFonts w:ascii="Times New Roman" w:hAnsi="Times New Roman"/>
          <w:szCs w:val="22"/>
        </w:rPr>
        <w:t>eur</w:t>
      </w:r>
      <w:r>
        <w:rPr>
          <w:rFonts w:ascii="Times New Roman" w:hAnsi="Times New Roman"/>
          <w:szCs w:val="22"/>
        </w:rPr>
        <w:t>)</w:t>
      </w:r>
      <w:r w:rsidRPr="0042460A">
        <w:rPr>
          <w:rFonts w:ascii="Times New Roman" w:hAnsi="Times New Roman"/>
          <w:szCs w:val="22"/>
        </w:rPr>
        <w:t xml:space="preserve">. Z hľadiska pôvodnej splatnosti je dlh vyšších územných celkov </w:t>
      </w:r>
      <w:r>
        <w:rPr>
          <w:rFonts w:ascii="Times New Roman" w:hAnsi="Times New Roman"/>
          <w:szCs w:val="22"/>
        </w:rPr>
        <w:t xml:space="preserve">takmer v celej hodnote </w:t>
      </w:r>
      <w:r w:rsidRPr="0042460A">
        <w:rPr>
          <w:rFonts w:ascii="Times New Roman" w:hAnsi="Times New Roman"/>
          <w:szCs w:val="22"/>
        </w:rPr>
        <w:t>tv</w:t>
      </w:r>
      <w:r>
        <w:rPr>
          <w:rFonts w:ascii="Times New Roman" w:hAnsi="Times New Roman"/>
          <w:szCs w:val="22"/>
        </w:rPr>
        <w:t>orený dlhodobými záväzkami (99,7 %)</w:t>
      </w:r>
      <w:r w:rsidRPr="0042460A">
        <w:rPr>
          <w:rFonts w:ascii="Times New Roman" w:hAnsi="Times New Roman"/>
          <w:szCs w:val="22"/>
        </w:rPr>
        <w:t>.</w:t>
      </w:r>
    </w:p>
    <w:p w:rsidR="00054BE4" w:rsidP="00DB0AB7">
      <w:pPr>
        <w:bidi w:val="0"/>
        <w:rPr>
          <w:rFonts w:ascii="Times New Roman" w:hAnsi="Times New Roman"/>
          <w:szCs w:val="22"/>
        </w:rPr>
      </w:pPr>
    </w:p>
    <w:p w:rsidR="00054BE4" w:rsidP="00DB0AB7">
      <w:pPr>
        <w:bidi w:val="0"/>
        <w:rPr>
          <w:rFonts w:ascii="Times New Roman" w:hAnsi="Times New Roman"/>
          <w:szCs w:val="22"/>
        </w:rPr>
      </w:pPr>
    </w:p>
    <w:p w:rsidR="00054BE4" w:rsidP="00DB0AB7">
      <w:pPr>
        <w:bidi w:val="0"/>
        <w:rPr>
          <w:rFonts w:ascii="Times New Roman" w:hAnsi="Times New Roman"/>
          <w:szCs w:val="22"/>
        </w:rPr>
      </w:pPr>
    </w:p>
    <w:p w:rsidR="00054BE4" w:rsidP="00DB0AB7">
      <w:pPr>
        <w:bidi w:val="0"/>
        <w:rPr>
          <w:rFonts w:ascii="Times New Roman" w:hAnsi="Times New Roman"/>
          <w:szCs w:val="22"/>
        </w:rPr>
      </w:pPr>
    </w:p>
    <w:tbl>
      <w:tblPr>
        <w:tblStyle w:val="TableNormal"/>
        <w:tblW w:w="5000" w:type="pct"/>
        <w:tblCellMar>
          <w:left w:w="70" w:type="dxa"/>
          <w:right w:w="70" w:type="dxa"/>
        </w:tblCellMar>
        <w:tblLook w:val="04A0"/>
      </w:tblPr>
      <w:tblGrid>
        <w:gridCol w:w="2361"/>
        <w:gridCol w:w="1914"/>
        <w:gridCol w:w="3030"/>
        <w:gridCol w:w="1623"/>
      </w:tblGrid>
      <w:tr>
        <w:tblPrEx>
          <w:tblW w:w="5000" w:type="pct"/>
          <w:tblCellMar>
            <w:left w:w="70" w:type="dxa"/>
            <w:right w:w="70" w:type="dxa"/>
          </w:tblCellMar>
          <w:tblLook w:val="04A0"/>
        </w:tblPrEx>
        <w:trPr>
          <w:trHeight w:val="300"/>
        </w:trPr>
        <w:tc>
          <w:tcPr>
            <w:tcW w:w="4091" w:type="pct"/>
            <w:gridSpan w:val="3"/>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lef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Dlh VÚC podľa samosprávnych krajov k 31.12.2017</w:t>
            </w:r>
          </w:p>
        </w:tc>
        <w:tc>
          <w:tcPr>
            <w:tcW w:w="909" w:type="pct"/>
            <w:tcBorders>
              <w:top w:val="single" w:sz="4" w:space="0" w:color="auto"/>
              <w:left w:val="nil"/>
              <w:bottom w:val="single" w:sz="4" w:space="0" w:color="auto"/>
              <w:right w:val="nil"/>
            </w:tcBorders>
            <w:shd w:val="clear" w:color="000000" w:fill="000000"/>
            <w:noWrap/>
            <w:textDirection w:val="lrTb"/>
            <w:vAlign w:val="center"/>
            <w:hideMark/>
          </w:tcPr>
          <w:p w:rsidR="00DB0AB7" w:rsidRPr="004F5AD8" w:rsidP="00161154">
            <w:pPr>
              <w:bidi w:val="0"/>
              <w:spacing w:after="0" w:line="240" w:lineRule="auto"/>
              <w:jc w:val="right"/>
              <w:rPr>
                <w:rFonts w:ascii="Times New Roman" w:hAnsi="Times New Roman"/>
                <w:b/>
                <w:bCs/>
                <w:color w:val="FFFFFF"/>
                <w:sz w:val="18"/>
                <w:szCs w:val="18"/>
                <w:lang w:eastAsia="sk-SK"/>
              </w:rPr>
            </w:pPr>
            <w:r w:rsidRPr="004F5AD8">
              <w:rPr>
                <w:rFonts w:ascii="Times New Roman" w:hAnsi="Times New Roman"/>
                <w:b/>
                <w:bCs/>
                <w:color w:val="FFFFFF"/>
                <w:sz w:val="18"/>
                <w:szCs w:val="18"/>
                <w:lang w:eastAsia="sk-SK"/>
              </w:rPr>
              <w:t>v tis. eur</w:t>
            </w:r>
          </w:p>
        </w:tc>
      </w:tr>
      <w:tr>
        <w:tblPrEx>
          <w:tblW w:w="5000" w:type="pct"/>
          <w:tblCellMar>
            <w:left w:w="70" w:type="dxa"/>
            <w:right w:w="70" w:type="dxa"/>
          </w:tblCellMar>
          <w:tblLook w:val="04A0"/>
        </w:tblPrEx>
        <w:trPr>
          <w:trHeight w:val="360"/>
        </w:trPr>
        <w:tc>
          <w:tcPr>
            <w:tcW w:w="1322" w:type="pct"/>
            <w:tcBorders>
              <w:top w:val="single" w:sz="4" w:space="0" w:color="auto"/>
              <w:left w:val="nil"/>
              <w:bottom w:val="nil"/>
              <w:right w:val="nil"/>
            </w:tcBorders>
            <w:shd w:val="clear" w:color="000000" w:fill="BFBFBF"/>
            <w:noWrap/>
            <w:textDirection w:val="lrTb"/>
            <w:vAlign w:val="center"/>
            <w:hideMark/>
          </w:tcPr>
          <w:p w:rsidR="00DB0AB7" w:rsidRPr="004F5AD8" w:rsidP="00161154">
            <w:pPr>
              <w:bidi w:val="0"/>
              <w:spacing w:after="0" w:line="240" w:lineRule="auto"/>
              <w:rPr>
                <w:rFonts w:ascii="Times New Roman" w:hAnsi="Times New Roman"/>
                <w:b/>
                <w:bCs/>
                <w:sz w:val="18"/>
                <w:szCs w:val="18"/>
                <w:lang w:eastAsia="sk-SK"/>
              </w:rPr>
            </w:pPr>
            <w:r w:rsidRPr="004F5AD8">
              <w:rPr>
                <w:rFonts w:ascii="Times New Roman" w:hAnsi="Times New Roman"/>
                <w:b/>
                <w:bCs/>
                <w:sz w:val="18"/>
                <w:szCs w:val="18"/>
                <w:lang w:eastAsia="sk-SK"/>
              </w:rPr>
              <w:t>Samosprávny kraj</w:t>
            </w:r>
          </w:p>
        </w:tc>
        <w:tc>
          <w:tcPr>
            <w:tcW w:w="1072" w:type="pct"/>
            <w:tcBorders>
              <w:top w:val="single" w:sz="4" w:space="0" w:color="auto"/>
              <w:left w:val="nil"/>
              <w:bottom w:val="nil"/>
              <w:right w:val="nil"/>
            </w:tcBorders>
            <w:shd w:val="clear" w:color="000000" w:fill="BFBFBF"/>
            <w:noWrap/>
            <w:textDirection w:val="lrTb"/>
            <w:vAlign w:val="center"/>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Bankové úvery</w:t>
            </w:r>
          </w:p>
        </w:tc>
        <w:tc>
          <w:tcPr>
            <w:tcW w:w="1697" w:type="pct"/>
            <w:tcBorders>
              <w:top w:val="single" w:sz="4" w:space="0" w:color="auto"/>
              <w:left w:val="nil"/>
              <w:bottom w:val="nil"/>
              <w:right w:val="nil"/>
            </w:tcBorders>
            <w:shd w:val="clear" w:color="000000" w:fill="BFBFBF"/>
            <w:noWrap/>
            <w:textDirection w:val="lrTb"/>
            <w:vAlign w:val="center"/>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Ostatné dlhové nástroje</w:t>
            </w:r>
          </w:p>
        </w:tc>
        <w:tc>
          <w:tcPr>
            <w:tcW w:w="909" w:type="pct"/>
            <w:tcBorders>
              <w:top w:val="single" w:sz="4" w:space="0" w:color="auto"/>
              <w:left w:val="nil"/>
              <w:bottom w:val="nil"/>
              <w:right w:val="nil"/>
            </w:tcBorders>
            <w:shd w:val="clear" w:color="000000" w:fill="BFBFBF"/>
            <w:noWrap/>
            <w:textDirection w:val="lrTb"/>
            <w:vAlign w:val="center"/>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Spolu</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Bratislavský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44 469</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461</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44 930</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Trnavský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55 259</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55 259</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Trenčiansky</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46 371</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414</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46 785</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Nitriansky</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22 294</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204</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22 498</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Žilinský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67 306</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0</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67 306</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Banskobystrický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32 422</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28</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32 450</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Prešovský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62 922</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67</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62 989</w:t>
            </w:r>
          </w:p>
        </w:tc>
      </w:tr>
      <w:tr>
        <w:tblPrEx>
          <w:tblW w:w="5000" w:type="pct"/>
          <w:tblCellMar>
            <w:left w:w="70" w:type="dxa"/>
            <w:right w:w="70" w:type="dxa"/>
          </w:tblCellMar>
          <w:tblLook w:val="04A0"/>
        </w:tblPrEx>
        <w:trPr>
          <w:trHeight w:val="300"/>
        </w:trPr>
        <w:tc>
          <w:tcPr>
            <w:tcW w:w="1322" w:type="pct"/>
            <w:tcBorders>
              <w:top w:val="nil"/>
              <w:left w:val="nil"/>
              <w:bottom w:val="nil"/>
              <w:right w:val="nil"/>
            </w:tcBorders>
            <w:noWrap/>
            <w:textDirection w:val="lrTb"/>
            <w:vAlign w:val="bottom"/>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Košický</w:t>
            </w:r>
          </w:p>
        </w:tc>
        <w:tc>
          <w:tcPr>
            <w:tcW w:w="1072"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37 286</w:t>
            </w:r>
          </w:p>
        </w:tc>
        <w:tc>
          <w:tcPr>
            <w:tcW w:w="1697" w:type="pct"/>
            <w:tcBorders>
              <w:top w:val="nil"/>
              <w:left w:val="nil"/>
              <w:bottom w:val="nil"/>
              <w:right w:val="nil"/>
            </w:tcBorders>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5</w:t>
            </w:r>
          </w:p>
        </w:tc>
        <w:tc>
          <w:tcPr>
            <w:tcW w:w="909" w:type="pct"/>
            <w:tcBorders>
              <w:top w:val="nil"/>
              <w:left w:val="nil"/>
              <w:bottom w:val="nil"/>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sz w:val="18"/>
                <w:szCs w:val="18"/>
                <w:lang w:eastAsia="sk-SK"/>
              </w:rPr>
            </w:pPr>
            <w:r w:rsidRPr="004F5AD8">
              <w:rPr>
                <w:rFonts w:ascii="Times New Roman" w:hAnsi="Times New Roman"/>
                <w:sz w:val="18"/>
                <w:szCs w:val="18"/>
                <w:lang w:eastAsia="sk-SK"/>
              </w:rPr>
              <w:t>37 291</w:t>
            </w:r>
          </w:p>
        </w:tc>
      </w:tr>
      <w:tr>
        <w:tblPrEx>
          <w:tblW w:w="5000" w:type="pct"/>
          <w:tblCellMar>
            <w:left w:w="70" w:type="dxa"/>
            <w:right w:w="70" w:type="dxa"/>
          </w:tblCellMar>
          <w:tblLook w:val="04A0"/>
        </w:tblPrEx>
        <w:trPr>
          <w:trHeight w:val="300"/>
        </w:trPr>
        <w:tc>
          <w:tcPr>
            <w:tcW w:w="1322"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Spolu VÚC</w:t>
            </w:r>
          </w:p>
        </w:tc>
        <w:tc>
          <w:tcPr>
            <w:tcW w:w="1072"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368 329</w:t>
            </w:r>
          </w:p>
        </w:tc>
        <w:tc>
          <w:tcPr>
            <w:tcW w:w="1697" w:type="pct"/>
            <w:tcBorders>
              <w:top w:val="nil"/>
              <w:left w:val="nil"/>
              <w:bottom w:val="single" w:sz="4" w:space="0" w:color="auto"/>
              <w:right w:val="nil"/>
            </w:tcBorders>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1 179</w:t>
            </w:r>
          </w:p>
        </w:tc>
        <w:tc>
          <w:tcPr>
            <w:tcW w:w="909" w:type="pct"/>
            <w:tcBorders>
              <w:top w:val="nil"/>
              <w:left w:val="nil"/>
              <w:bottom w:val="single" w:sz="4" w:space="0" w:color="auto"/>
              <w:right w:val="nil"/>
            </w:tcBorders>
            <w:shd w:val="clear" w:color="000000" w:fill="BFBFBF"/>
            <w:noWrap/>
            <w:textDirection w:val="lrTb"/>
            <w:vAlign w:val="bottom"/>
            <w:hideMark/>
          </w:tcPr>
          <w:p w:rsidR="00DB0AB7" w:rsidRPr="004F5AD8" w:rsidP="00161154">
            <w:pPr>
              <w:bidi w:val="0"/>
              <w:spacing w:after="0" w:line="240" w:lineRule="auto"/>
              <w:jc w:val="right"/>
              <w:rPr>
                <w:rFonts w:ascii="Times New Roman" w:hAnsi="Times New Roman"/>
                <w:b/>
                <w:bCs/>
                <w:sz w:val="18"/>
                <w:szCs w:val="18"/>
                <w:lang w:eastAsia="sk-SK"/>
              </w:rPr>
            </w:pPr>
            <w:r w:rsidRPr="004F5AD8">
              <w:rPr>
                <w:rFonts w:ascii="Times New Roman" w:hAnsi="Times New Roman"/>
                <w:b/>
                <w:bCs/>
                <w:sz w:val="18"/>
                <w:szCs w:val="18"/>
                <w:lang w:eastAsia="sk-SK"/>
              </w:rPr>
              <w:t>369 508</w:t>
            </w:r>
          </w:p>
        </w:tc>
      </w:tr>
    </w:tbl>
    <w:p w:rsidR="00DD2BD6" w:rsidP="001457BD">
      <w:pPr>
        <w:bidi w:val="0"/>
        <w:jc w:val="right"/>
        <w:rPr>
          <w:rFonts w:ascii="Times New Roman" w:hAnsi="Times New Roman"/>
          <w:sz w:val="18"/>
          <w:szCs w:val="18"/>
        </w:rPr>
      </w:pPr>
      <w:r w:rsidRPr="00DB0AB7">
        <w:rPr>
          <w:rFonts w:ascii="Times New Roman" w:hAnsi="Times New Roman"/>
          <w:sz w:val="18"/>
          <w:szCs w:val="18"/>
        </w:rPr>
        <w:t>Zdroj: MF SR</w:t>
      </w:r>
    </w:p>
    <w:p w:rsidR="00DB0AB7" w:rsidP="00DB0AB7">
      <w:pPr>
        <w:bidi w:val="0"/>
        <w:rPr>
          <w:rFonts w:ascii="Times New Roman" w:hAnsi="Times New Roman"/>
          <w:szCs w:val="22"/>
        </w:rPr>
      </w:pPr>
      <w:r w:rsidRPr="0022487C">
        <w:rPr>
          <w:rFonts w:ascii="Times New Roman" w:hAnsi="Times New Roman"/>
          <w:b/>
          <w:szCs w:val="22"/>
        </w:rPr>
        <w:t>Dopravné podniky</w:t>
      </w:r>
      <w:r>
        <w:rPr>
          <w:rFonts w:ascii="Times New Roman" w:hAnsi="Times New Roman"/>
          <w:szCs w:val="22"/>
        </w:rPr>
        <w:t xml:space="preserve"> </w:t>
      </w:r>
      <w:r w:rsidRPr="0022487C">
        <w:rPr>
          <w:rFonts w:ascii="Times New Roman" w:hAnsi="Times New Roman"/>
          <w:b/>
          <w:szCs w:val="22"/>
        </w:rPr>
        <w:t>miestnej samosprávy</w:t>
      </w:r>
      <w:r>
        <w:rPr>
          <w:rFonts w:ascii="Times New Roman" w:hAnsi="Times New Roman"/>
          <w:szCs w:val="22"/>
        </w:rPr>
        <w:t xml:space="preserve"> mali v roku 2017 dlh vo výške 78 244 tis. eur. Väčšinu dlhu tvoria domáce a zahraničné bankové úvery  v hodnote 78 240 tis. eur. Zvyšok predstavuje finančný prenájom (4 tis. eur). Dlh dopravných podnikov majoritne tvoria záväzky so splatnosťou dlhšou ako jeden rok (62,2 %). Dlh dopravných podnikov poklesol oproti predchádzajúcemu roku o 3 909 tis. eur z dôvodu splácania predchádzajúcich úverov.</w:t>
      </w:r>
    </w:p>
    <w:p w:rsidR="00DB0AB7" w:rsidRPr="00EE4A45" w:rsidP="00DB0AB7">
      <w:pPr>
        <w:bidi w:val="0"/>
        <w:rPr>
          <w:rFonts w:ascii="Times New Roman" w:hAnsi="Times New Roman"/>
          <w:szCs w:val="22"/>
        </w:rPr>
      </w:pPr>
      <w:r>
        <w:rPr>
          <w:rFonts w:ascii="Times New Roman" w:hAnsi="Times New Roman"/>
          <w:szCs w:val="22"/>
        </w:rPr>
        <w:t xml:space="preserve">Dlh </w:t>
      </w:r>
      <w:r>
        <w:rPr>
          <w:rFonts w:ascii="Times New Roman" w:hAnsi="Times New Roman"/>
          <w:b/>
          <w:szCs w:val="22"/>
        </w:rPr>
        <w:t xml:space="preserve">zdravotníckych zariadení miestnej samosprávy </w:t>
      </w:r>
      <w:r>
        <w:rPr>
          <w:rFonts w:ascii="Times New Roman" w:hAnsi="Times New Roman"/>
          <w:szCs w:val="22"/>
        </w:rPr>
        <w:t xml:space="preserve">klesol oproti stavu v roku 2016 o 160 tis. eur na súčasných 1 097 tis. eur. Dlh týchto subjektov v rozhodujúcej miere tvoria bankové úvery (609 tis. eur) pôžičky poskytnuté nemocniciam z Environmentálneho fondu podliehajúce konsolidácii (221 tis. eur). </w:t>
      </w:r>
    </w:p>
    <w:p w:rsidR="00DB0AB7" w:rsidP="00DB0AB7">
      <w:pPr>
        <w:bidi w:val="0"/>
        <w:rPr>
          <w:rFonts w:ascii="Times New Roman" w:hAnsi="Times New Roman"/>
          <w:szCs w:val="22"/>
        </w:rPr>
      </w:pPr>
      <w:r>
        <w:rPr>
          <w:rFonts w:ascii="Times New Roman" w:hAnsi="Times New Roman"/>
          <w:szCs w:val="22"/>
        </w:rPr>
        <w:t xml:space="preserve">Dlh </w:t>
      </w:r>
      <w:r>
        <w:rPr>
          <w:rFonts w:ascii="Times New Roman" w:hAnsi="Times New Roman"/>
          <w:b/>
          <w:szCs w:val="22"/>
        </w:rPr>
        <w:t>ostatných subjektov miestnej samosprávy</w:t>
      </w:r>
      <w:r>
        <w:rPr>
          <w:rFonts w:ascii="Times New Roman" w:hAnsi="Times New Roman"/>
          <w:szCs w:val="22"/>
        </w:rPr>
        <w:t>, ktoré tvoria napríklad neziskové organizácie,</w:t>
      </w:r>
      <w:r>
        <w:rPr>
          <w:rFonts w:ascii="Times New Roman" w:hAnsi="Times New Roman"/>
          <w:b/>
          <w:szCs w:val="22"/>
        </w:rPr>
        <w:t xml:space="preserve"> </w:t>
      </w:r>
      <w:r>
        <w:rPr>
          <w:rFonts w:ascii="Times New Roman" w:hAnsi="Times New Roman"/>
          <w:szCs w:val="22"/>
        </w:rPr>
        <w:t>dosiahol v roku 2017 hodnotu 3 794 tis. eur. Oproti predchádzajúcemu roku klesol o 1 288 tis. eur. Dlh týchto subjektov v rozhodujúcej miere tvoria bankové úvery (1 955 tis. eur), ostatné nebankové pôžičky (922 tis. eur) a finančný prenájom (625 tis. eur).</w:t>
      </w:r>
    </w:p>
    <w:p w:rsidR="00054BE4" w:rsidRPr="00054BE4" w:rsidP="00DB0AB7">
      <w:pPr>
        <w:bidi w:val="0"/>
        <w:rPr>
          <w:rFonts w:ascii="Times New Roman" w:hAnsi="Times New Roman"/>
          <w:szCs w:val="22"/>
        </w:rPr>
      </w:pPr>
      <w:r w:rsidRPr="007D25E5" w:rsidR="00DB0AB7">
        <w:rPr>
          <w:rFonts w:ascii="Times New Roman" w:hAnsi="Times New Roman"/>
          <w:szCs w:val="22"/>
        </w:rPr>
        <w:t xml:space="preserve">Dlh </w:t>
      </w:r>
      <w:r w:rsidRPr="007D25E5" w:rsidR="00DB0AB7">
        <w:rPr>
          <w:rFonts w:ascii="Times New Roman" w:hAnsi="Times New Roman"/>
          <w:b/>
          <w:szCs w:val="22"/>
        </w:rPr>
        <w:t>Sociálnej poisťovne</w:t>
      </w:r>
      <w:r w:rsidRPr="007D25E5" w:rsidR="00DB0AB7">
        <w:rPr>
          <w:rFonts w:ascii="Times New Roman" w:hAnsi="Times New Roman"/>
          <w:szCs w:val="22"/>
        </w:rPr>
        <w:t xml:space="preserve"> a dlh </w:t>
      </w:r>
      <w:r w:rsidRPr="007D25E5" w:rsidR="00DB0AB7">
        <w:rPr>
          <w:rFonts w:ascii="Times New Roman" w:hAnsi="Times New Roman"/>
          <w:b/>
          <w:szCs w:val="22"/>
        </w:rPr>
        <w:t xml:space="preserve">verejnej časti zdravotného poistenia </w:t>
      </w:r>
      <w:r w:rsidRPr="007D25E5" w:rsidR="00DB0AB7">
        <w:rPr>
          <w:rFonts w:ascii="Times New Roman" w:hAnsi="Times New Roman"/>
          <w:szCs w:val="22"/>
        </w:rPr>
        <w:t xml:space="preserve">dosiahol úhrnnom </w:t>
      </w:r>
      <w:r w:rsidR="00DB0AB7">
        <w:rPr>
          <w:rFonts w:ascii="Times New Roman" w:hAnsi="Times New Roman"/>
          <w:szCs w:val="22"/>
        </w:rPr>
        <w:t>898</w:t>
      </w:r>
      <w:r w:rsidRPr="007D25E5" w:rsidR="00DB0AB7">
        <w:rPr>
          <w:rFonts w:ascii="Times New Roman" w:hAnsi="Times New Roman"/>
          <w:szCs w:val="22"/>
        </w:rPr>
        <w:t xml:space="preserve"> tis. eur, z toho Sociálna poisťovňa vykázala </w:t>
      </w:r>
      <w:r w:rsidR="00DB0AB7">
        <w:rPr>
          <w:rFonts w:ascii="Times New Roman" w:hAnsi="Times New Roman"/>
          <w:szCs w:val="22"/>
        </w:rPr>
        <w:t>162</w:t>
      </w:r>
      <w:r w:rsidRPr="007D25E5" w:rsidR="00DB0AB7">
        <w:rPr>
          <w:rFonts w:ascii="Times New Roman" w:hAnsi="Times New Roman"/>
          <w:szCs w:val="22"/>
        </w:rPr>
        <w:t xml:space="preserve"> tis. eur. Z pohľadu dlhového nástro</w:t>
      </w:r>
      <w:r w:rsidR="00DB0AB7">
        <w:rPr>
          <w:rFonts w:ascii="Times New Roman" w:hAnsi="Times New Roman"/>
          <w:szCs w:val="22"/>
        </w:rPr>
        <w:t>ja ide len o finančné zábezpeky.</w:t>
      </w:r>
    </w:p>
    <w:p w:rsidR="00DD2BD6" w:rsidRPr="00DB0AB7" w:rsidP="00E26FE9">
      <w:pPr>
        <w:pStyle w:val="Heading2"/>
        <w:numPr>
          <w:ilvl w:val="0"/>
          <w:numId w:val="0"/>
        </w:numPr>
        <w:bidi w:val="0"/>
        <w:spacing w:before="240"/>
        <w:ind w:firstLine="0"/>
        <w:rPr>
          <w:rFonts w:hint="default"/>
        </w:rPr>
      </w:pPr>
      <w:bookmarkStart w:id="32" w:name="_Toc449622831"/>
      <w:bookmarkStart w:id="33" w:name="_Toc512599665"/>
      <w:r w:rsidR="00767F52">
        <w:t xml:space="preserve">2.3 </w:t>
      </w:r>
      <w:r w:rsidRPr="00DB0AB7">
        <w:t>Porovnanie salda a </w:t>
      </w:r>
      <w:r w:rsidRPr="00DB0AB7">
        <w:rPr>
          <w:rFonts w:hint="default"/>
        </w:rPr>
        <w:t>dlhu verejnej sprá</w:t>
      </w:r>
      <w:r w:rsidRPr="00DB0AB7">
        <w:rPr>
          <w:rFonts w:hint="default"/>
        </w:rPr>
        <w:t>vy v </w:t>
      </w:r>
      <w:r w:rsidRPr="00DB0AB7">
        <w:rPr>
          <w:rFonts w:hint="default"/>
        </w:rPr>
        <w:t>Euró</w:t>
      </w:r>
      <w:r w:rsidRPr="00DB0AB7">
        <w:rPr>
          <w:rFonts w:hint="default"/>
        </w:rPr>
        <w:t>pskej ú</w:t>
      </w:r>
      <w:r w:rsidRPr="00DB0AB7">
        <w:rPr>
          <w:rFonts w:hint="default"/>
        </w:rPr>
        <w:t>nii</w:t>
      </w:r>
      <w:bookmarkEnd w:id="32"/>
      <w:bookmarkEnd w:id="33"/>
    </w:p>
    <w:p w:rsidR="00DB0AB7" w:rsidRPr="00526558" w:rsidP="00DB0AB7">
      <w:pPr>
        <w:bidi w:val="0"/>
        <w:rPr>
          <w:rFonts w:ascii="Times New Roman" w:hAnsi="Times New Roman"/>
          <w:color w:val="FF0000"/>
          <w:szCs w:val="22"/>
        </w:rPr>
      </w:pPr>
      <w:r w:rsidRPr="005B5E0A">
        <w:rPr>
          <w:rFonts w:ascii="Times New Roman" w:hAnsi="Times New Roman"/>
          <w:szCs w:val="22"/>
        </w:rPr>
        <w:t>V rámci Európs</w:t>
      </w:r>
      <w:r>
        <w:rPr>
          <w:rFonts w:ascii="Times New Roman" w:hAnsi="Times New Roman"/>
          <w:szCs w:val="22"/>
        </w:rPr>
        <w:t>kej únie (28 krajín) v roku 2017</w:t>
      </w:r>
      <w:r w:rsidRPr="005B5E0A">
        <w:rPr>
          <w:rFonts w:ascii="Times New Roman" w:hAnsi="Times New Roman"/>
          <w:color w:val="FF0000"/>
          <w:szCs w:val="22"/>
        </w:rPr>
        <w:t xml:space="preserve"> </w:t>
      </w:r>
      <w:r>
        <w:rPr>
          <w:rFonts w:ascii="Times New Roman" w:hAnsi="Times New Roman"/>
          <w:szCs w:val="22"/>
        </w:rPr>
        <w:t>dosiahlo 9</w:t>
      </w:r>
      <w:r w:rsidRPr="000E65CB">
        <w:rPr>
          <w:rFonts w:ascii="Times New Roman" w:hAnsi="Times New Roman"/>
          <w:szCs w:val="22"/>
        </w:rPr>
        <w:t xml:space="preserve"> krajín </w:t>
      </w:r>
      <w:r w:rsidRPr="005B5E0A">
        <w:rPr>
          <w:rFonts w:ascii="Times New Roman" w:hAnsi="Times New Roman"/>
          <w:szCs w:val="22"/>
        </w:rPr>
        <w:t>vyšší schodok a</w:t>
      </w:r>
      <w:r w:rsidRPr="00526558">
        <w:rPr>
          <w:rFonts w:ascii="Times New Roman" w:hAnsi="Times New Roman"/>
          <w:color w:val="FF0000"/>
          <w:szCs w:val="22"/>
        </w:rPr>
        <w:t> </w:t>
      </w:r>
      <w:r>
        <w:rPr>
          <w:rFonts w:ascii="Times New Roman" w:hAnsi="Times New Roman"/>
          <w:szCs w:val="22"/>
        </w:rPr>
        <w:t>16</w:t>
      </w:r>
      <w:r w:rsidRPr="000E65CB">
        <w:rPr>
          <w:rFonts w:ascii="Times New Roman" w:hAnsi="Times New Roman"/>
          <w:szCs w:val="22"/>
        </w:rPr>
        <w:t xml:space="preserve"> k</w:t>
      </w:r>
      <w:r w:rsidRPr="005B5E0A">
        <w:rPr>
          <w:rFonts w:ascii="Times New Roman" w:hAnsi="Times New Roman"/>
          <w:szCs w:val="22"/>
        </w:rPr>
        <w:t xml:space="preserve">rajín dosiahlo vyšší dlh verejnej správy ako Slovenská republika. </w:t>
      </w:r>
      <w:r w:rsidRPr="005B5E0A">
        <w:rPr>
          <w:rFonts w:ascii="Times New Roman" w:hAnsi="Times New Roman"/>
          <w:b/>
          <w:szCs w:val="22"/>
        </w:rPr>
        <w:t xml:space="preserve">Priemerný schodok EÚ 28 bol </w:t>
      </w:r>
      <w:r>
        <w:rPr>
          <w:rFonts w:ascii="Times New Roman" w:hAnsi="Times New Roman"/>
          <w:b/>
          <w:szCs w:val="22"/>
        </w:rPr>
        <w:t>1,0</w:t>
      </w:r>
      <w:r w:rsidRPr="000E65CB">
        <w:rPr>
          <w:rFonts w:ascii="Times New Roman" w:hAnsi="Times New Roman"/>
          <w:b/>
          <w:szCs w:val="22"/>
        </w:rPr>
        <w:t xml:space="preserve"> % </w:t>
      </w:r>
      <w:r w:rsidRPr="005B5E0A">
        <w:rPr>
          <w:rFonts w:ascii="Times New Roman" w:hAnsi="Times New Roman"/>
          <w:b/>
          <w:szCs w:val="22"/>
        </w:rPr>
        <w:t>HDP</w:t>
      </w:r>
      <w:r w:rsidRPr="005B5E0A">
        <w:rPr>
          <w:rFonts w:ascii="Times New Roman" w:hAnsi="Times New Roman"/>
          <w:szCs w:val="22"/>
        </w:rPr>
        <w:t xml:space="preserve"> (Slovensko</w:t>
      </w:r>
      <w:r w:rsidRPr="00526558">
        <w:rPr>
          <w:rFonts w:ascii="Times New Roman" w:hAnsi="Times New Roman"/>
          <w:color w:val="FF0000"/>
          <w:szCs w:val="22"/>
        </w:rPr>
        <w:t> </w:t>
      </w:r>
      <w:r>
        <w:rPr>
          <w:rFonts w:ascii="Times New Roman" w:hAnsi="Times New Roman"/>
          <w:szCs w:val="22"/>
        </w:rPr>
        <w:t>1,0</w:t>
      </w:r>
      <w:r w:rsidRPr="005B5E0A">
        <w:rPr>
          <w:rFonts w:ascii="Times New Roman" w:hAnsi="Times New Roman"/>
          <w:szCs w:val="22"/>
        </w:rPr>
        <w:t> % HDP) a </w:t>
      </w:r>
      <w:r w:rsidRPr="005B5E0A">
        <w:rPr>
          <w:rFonts w:ascii="Times New Roman" w:hAnsi="Times New Roman"/>
          <w:b/>
          <w:szCs w:val="22"/>
        </w:rPr>
        <w:t xml:space="preserve">priemerný dlh verejnej správy EÚ 28 bol </w:t>
      </w:r>
      <w:r>
        <w:rPr>
          <w:rFonts w:ascii="Times New Roman" w:hAnsi="Times New Roman"/>
          <w:b/>
          <w:szCs w:val="22"/>
        </w:rPr>
        <w:t>81,6</w:t>
      </w:r>
      <w:r w:rsidRPr="000E65CB">
        <w:rPr>
          <w:rFonts w:ascii="Times New Roman" w:hAnsi="Times New Roman"/>
          <w:b/>
          <w:szCs w:val="22"/>
        </w:rPr>
        <w:t> % HDP</w:t>
      </w:r>
      <w:r w:rsidRPr="000E65CB">
        <w:rPr>
          <w:rFonts w:ascii="Times New Roman" w:hAnsi="Times New Roman"/>
          <w:szCs w:val="22"/>
        </w:rPr>
        <w:t xml:space="preserve"> </w:t>
      </w:r>
      <w:r w:rsidRPr="005B5E0A">
        <w:rPr>
          <w:rFonts w:ascii="Times New Roman" w:hAnsi="Times New Roman"/>
          <w:szCs w:val="22"/>
        </w:rPr>
        <w:t xml:space="preserve">(Slovensko </w:t>
      </w:r>
      <w:r>
        <w:rPr>
          <w:rFonts w:ascii="Times New Roman" w:hAnsi="Times New Roman"/>
          <w:szCs w:val="22"/>
        </w:rPr>
        <w:t>50,9</w:t>
      </w:r>
      <w:r w:rsidRPr="005B5E0A">
        <w:rPr>
          <w:rFonts w:ascii="Times New Roman" w:hAnsi="Times New Roman"/>
          <w:szCs w:val="22"/>
        </w:rPr>
        <w:t> % HDP)</w:t>
      </w:r>
      <w:r w:rsidRPr="005B5E0A">
        <w:rPr>
          <w:rFonts w:ascii="Times New Roman" w:hAnsi="Times New Roman" w:cs="Book Antiqua"/>
          <w:szCs w:val="22"/>
        </w:rPr>
        <w:t xml:space="preserve"> </w:t>
      </w:r>
      <w:r w:rsidRPr="005B5E0A">
        <w:rPr>
          <w:rFonts w:ascii="Times New Roman" w:hAnsi="Times New Roman"/>
          <w:szCs w:val="22"/>
        </w:rPr>
        <w:t>v roku 201</w:t>
      </w:r>
      <w:r>
        <w:rPr>
          <w:rFonts w:ascii="Times New Roman" w:hAnsi="Times New Roman"/>
          <w:szCs w:val="22"/>
        </w:rPr>
        <w:t>7</w:t>
      </w:r>
      <w:r w:rsidRPr="005B5E0A">
        <w:rPr>
          <w:rFonts w:ascii="Times New Roman" w:hAnsi="Times New Roman"/>
          <w:szCs w:val="22"/>
        </w:rPr>
        <w:t>.</w:t>
      </w:r>
    </w:p>
    <w:p w:rsidR="00DB0AB7" w:rsidP="00DB0AB7">
      <w:pPr>
        <w:bidi w:val="0"/>
        <w:rPr>
          <w:rFonts w:ascii="Times New Roman" w:hAnsi="Times New Roman"/>
          <w:color w:val="FF0000"/>
          <w:szCs w:val="22"/>
        </w:rPr>
      </w:pPr>
      <w:r w:rsidRPr="005B5E0A">
        <w:rPr>
          <w:rFonts w:ascii="Times New Roman" w:hAnsi="Times New Roman"/>
          <w:szCs w:val="22"/>
        </w:rPr>
        <w:t xml:space="preserve">Najvyššie schodky verejnej </w:t>
      </w:r>
      <w:r>
        <w:rPr>
          <w:rFonts w:ascii="Times New Roman" w:hAnsi="Times New Roman"/>
          <w:szCs w:val="22"/>
        </w:rPr>
        <w:t>správy v rámci EÚ 28 v roku 2017</w:t>
      </w:r>
      <w:r w:rsidRPr="005B5E0A">
        <w:rPr>
          <w:rFonts w:ascii="Times New Roman" w:hAnsi="Times New Roman"/>
          <w:szCs w:val="22"/>
        </w:rPr>
        <w:t xml:space="preserve"> vykázali</w:t>
      </w:r>
      <w:r w:rsidRPr="00526558">
        <w:rPr>
          <w:rFonts w:ascii="Times New Roman" w:hAnsi="Times New Roman"/>
          <w:color w:val="FF0000"/>
          <w:szCs w:val="22"/>
        </w:rPr>
        <w:t xml:space="preserve"> </w:t>
      </w:r>
      <w:r>
        <w:rPr>
          <w:rFonts w:ascii="Times New Roman" w:hAnsi="Times New Roman"/>
          <w:szCs w:val="22"/>
        </w:rPr>
        <w:t>krajiny</w:t>
      </w:r>
      <w:r w:rsidRPr="000E65CB">
        <w:rPr>
          <w:rFonts w:ascii="Times New Roman" w:hAnsi="Times New Roman"/>
          <w:szCs w:val="22"/>
        </w:rPr>
        <w:t xml:space="preserve"> ako </w:t>
      </w:r>
      <w:r>
        <w:rPr>
          <w:rFonts w:ascii="Times New Roman" w:hAnsi="Times New Roman"/>
          <w:szCs w:val="22"/>
        </w:rPr>
        <w:t xml:space="preserve">Španielsko </w:t>
      </w:r>
      <w:r w:rsidRPr="000E65CB">
        <w:rPr>
          <w:rFonts w:ascii="Times New Roman" w:hAnsi="Times New Roman"/>
          <w:szCs w:val="22"/>
        </w:rPr>
        <w:t>3,</w:t>
      </w:r>
      <w:r>
        <w:rPr>
          <w:rFonts w:ascii="Times New Roman" w:hAnsi="Times New Roman"/>
          <w:szCs w:val="22"/>
        </w:rPr>
        <w:t>1</w:t>
      </w:r>
      <w:r w:rsidRPr="000E65CB">
        <w:rPr>
          <w:rFonts w:ascii="Times New Roman" w:hAnsi="Times New Roman"/>
          <w:szCs w:val="22"/>
        </w:rPr>
        <w:t> % HDP</w:t>
      </w:r>
      <w:r>
        <w:rPr>
          <w:rFonts w:ascii="Times New Roman" w:hAnsi="Times New Roman"/>
          <w:szCs w:val="22"/>
        </w:rPr>
        <w:t>, Portugalsko 3,0</w:t>
      </w:r>
      <w:r w:rsidRPr="000E65CB">
        <w:rPr>
          <w:rFonts w:ascii="Times New Roman" w:hAnsi="Times New Roman"/>
          <w:szCs w:val="22"/>
        </w:rPr>
        <w:t> % HDP</w:t>
      </w:r>
      <w:r>
        <w:rPr>
          <w:rFonts w:ascii="Times New Roman" w:hAnsi="Times New Roman"/>
          <w:szCs w:val="22"/>
        </w:rPr>
        <w:t xml:space="preserve">, </w:t>
      </w:r>
      <w:r w:rsidRPr="000E65CB">
        <w:rPr>
          <w:rFonts w:ascii="Times New Roman" w:hAnsi="Times New Roman"/>
          <w:szCs w:val="22"/>
        </w:rPr>
        <w:t>Ru</w:t>
      </w:r>
      <w:r>
        <w:rPr>
          <w:rFonts w:ascii="Times New Roman" w:hAnsi="Times New Roman"/>
          <w:szCs w:val="22"/>
        </w:rPr>
        <w:t>munsko 2,9</w:t>
      </w:r>
      <w:r w:rsidRPr="000E65CB">
        <w:rPr>
          <w:rFonts w:ascii="Times New Roman" w:hAnsi="Times New Roman"/>
          <w:szCs w:val="22"/>
        </w:rPr>
        <w:t xml:space="preserve"> % HDP</w:t>
      </w:r>
      <w:r>
        <w:rPr>
          <w:rFonts w:ascii="Times New Roman" w:hAnsi="Times New Roman"/>
          <w:szCs w:val="22"/>
        </w:rPr>
        <w:t>, Francúzsko 2,6</w:t>
      </w:r>
      <w:r w:rsidRPr="000E65CB">
        <w:rPr>
          <w:rFonts w:ascii="Times New Roman" w:hAnsi="Times New Roman"/>
          <w:szCs w:val="22"/>
        </w:rPr>
        <w:t> % HDP a </w:t>
      </w:r>
      <w:r>
        <w:rPr>
          <w:rFonts w:ascii="Times New Roman" w:hAnsi="Times New Roman"/>
          <w:szCs w:val="22"/>
        </w:rPr>
        <w:t>Taliansko 2,3</w:t>
      </w:r>
      <w:r w:rsidRPr="000E65CB">
        <w:rPr>
          <w:rFonts w:ascii="Times New Roman" w:hAnsi="Times New Roman"/>
          <w:szCs w:val="22"/>
        </w:rPr>
        <w:t> % </w:t>
      </w:r>
      <w:r w:rsidRPr="002C0BA5">
        <w:rPr>
          <w:rFonts w:ascii="Times New Roman" w:hAnsi="Times New Roman"/>
        </w:rPr>
        <w:t>HDP</w:t>
      </w:r>
      <w:r w:rsidRPr="002C0BA5">
        <w:rPr>
          <w:rFonts w:ascii="Times New Roman" w:hAnsi="Times New Roman"/>
          <w:szCs w:val="22"/>
        </w:rPr>
        <w:t>.</w:t>
      </w:r>
      <w:r>
        <w:rPr>
          <w:rFonts w:ascii="Times New Roman" w:hAnsi="Times New Roman"/>
          <w:color w:val="FF0000"/>
          <w:szCs w:val="22"/>
        </w:rPr>
        <w:t xml:space="preserve"> </w:t>
      </w:r>
    </w:p>
    <w:p w:rsidR="00DB0AB7" w:rsidRPr="00526558" w:rsidP="00DB0AB7">
      <w:pPr>
        <w:bidi w:val="0"/>
        <w:rPr>
          <w:rFonts w:ascii="Times New Roman" w:hAnsi="Times New Roman"/>
          <w:color w:val="FF0000"/>
          <w:szCs w:val="22"/>
        </w:rPr>
      </w:pPr>
      <w:r>
        <w:rPr>
          <w:rFonts w:ascii="Times New Roman" w:hAnsi="Times New Roman"/>
          <w:szCs w:val="22"/>
        </w:rPr>
        <w:t>12</w:t>
      </w:r>
      <w:r w:rsidRPr="00B36C2C">
        <w:rPr>
          <w:rFonts w:ascii="Times New Roman" w:hAnsi="Times New Roman"/>
          <w:szCs w:val="22"/>
        </w:rPr>
        <w:t xml:space="preserve"> krajín vykázalo prebytok </w:t>
      </w:r>
      <w:r>
        <w:rPr>
          <w:rFonts w:ascii="Times New Roman" w:hAnsi="Times New Roman"/>
          <w:szCs w:val="22"/>
        </w:rPr>
        <w:t xml:space="preserve">a Slovinsko </w:t>
      </w:r>
      <w:r w:rsidRPr="00B36C2C">
        <w:rPr>
          <w:rFonts w:ascii="Times New Roman" w:hAnsi="Times New Roman"/>
          <w:szCs w:val="22"/>
        </w:rPr>
        <w:t>hospodáril</w:t>
      </w:r>
      <w:r>
        <w:rPr>
          <w:rFonts w:ascii="Times New Roman" w:hAnsi="Times New Roman"/>
          <w:szCs w:val="22"/>
        </w:rPr>
        <w:t>o</w:t>
      </w:r>
      <w:r w:rsidRPr="00B36C2C">
        <w:rPr>
          <w:rFonts w:ascii="Times New Roman" w:hAnsi="Times New Roman"/>
          <w:szCs w:val="22"/>
        </w:rPr>
        <w:t xml:space="preserve"> s vyrovnaným rozpočtom.</w:t>
      </w:r>
      <w:r>
        <w:rPr>
          <w:rFonts w:ascii="Times New Roman" w:hAnsi="Times New Roman"/>
          <w:szCs w:val="22"/>
        </w:rPr>
        <w:t xml:space="preserve"> </w:t>
      </w:r>
      <w:r w:rsidRPr="005B5E0A">
        <w:rPr>
          <w:rFonts w:ascii="Times New Roman" w:hAnsi="Times New Roman"/>
          <w:szCs w:val="22"/>
        </w:rPr>
        <w:t>Najväčší prebytok</w:t>
      </w:r>
      <w:r>
        <w:rPr>
          <w:rFonts w:ascii="Times New Roman" w:hAnsi="Times New Roman"/>
          <w:szCs w:val="22"/>
        </w:rPr>
        <w:t xml:space="preserve"> vykázala Malta</w:t>
      </w:r>
      <w:r w:rsidRPr="00C07336">
        <w:rPr>
          <w:rFonts w:ascii="Times New Roman" w:hAnsi="Times New Roman"/>
          <w:szCs w:val="22"/>
        </w:rPr>
        <w:t xml:space="preserve"> </w:t>
      </w:r>
      <w:r>
        <w:rPr>
          <w:rFonts w:ascii="Times New Roman" w:hAnsi="Times New Roman"/>
          <w:szCs w:val="22"/>
        </w:rPr>
        <w:t>(3,9 % HDP), Cyprus</w:t>
      </w:r>
      <w:r w:rsidRPr="00C07336">
        <w:rPr>
          <w:rFonts w:ascii="Times New Roman" w:hAnsi="Times New Roman"/>
          <w:szCs w:val="22"/>
        </w:rPr>
        <w:t xml:space="preserve"> </w:t>
      </w:r>
      <w:r>
        <w:rPr>
          <w:rFonts w:ascii="Times New Roman" w:hAnsi="Times New Roman"/>
          <w:szCs w:val="22"/>
        </w:rPr>
        <w:t>(1,8 % HDP), Česká republika (1,6 % HDP) a Luxembursko (1,5 % HDP).</w:t>
      </w:r>
      <w:r w:rsidRPr="00C07336">
        <w:rPr>
          <w:rFonts w:ascii="Times New Roman" w:hAnsi="Times New Roman"/>
          <w:szCs w:val="22"/>
        </w:rPr>
        <w:t xml:space="preserve"> </w:t>
      </w:r>
      <w:r w:rsidRPr="004C2B68">
        <w:rPr>
          <w:rFonts w:ascii="Times New Roman" w:hAnsi="Times New Roman"/>
          <w:szCs w:val="22"/>
        </w:rPr>
        <w:t>Pohľad na najvyšší dlh verejnej správy ukazuje podobný výsledok ako pohľad na schodky, teda najvyššie dlhy vykázali krajiny najviac postihnuté ekonomickou a finančnou krízou</w:t>
      </w:r>
      <w:r>
        <w:rPr>
          <w:rFonts w:ascii="Times New Roman" w:hAnsi="Times New Roman"/>
          <w:szCs w:val="22"/>
        </w:rPr>
        <w:t xml:space="preserve"> </w:t>
      </w:r>
      <w:r w:rsidR="00AC4241">
        <w:rPr>
          <w:rFonts w:ascii="Times New Roman" w:hAnsi="Times New Roman"/>
          <w:szCs w:val="22"/>
        </w:rPr>
        <w:br/>
      </w:r>
      <w:r>
        <w:rPr>
          <w:rFonts w:ascii="Times New Roman" w:hAnsi="Times New Roman"/>
          <w:szCs w:val="22"/>
        </w:rPr>
        <w:t>z minulosti</w:t>
      </w:r>
      <w:r w:rsidRPr="004C2B68">
        <w:rPr>
          <w:rFonts w:ascii="Times New Roman" w:hAnsi="Times New Roman"/>
          <w:szCs w:val="22"/>
        </w:rPr>
        <w:t>, pričom sa medzi nimi nachádzajú aj krajiny s dlhodobo vysokými dlhmi ako Taliansko</w:t>
      </w:r>
      <w:r>
        <w:rPr>
          <w:rFonts w:ascii="Times New Roman" w:hAnsi="Times New Roman"/>
          <w:szCs w:val="22"/>
        </w:rPr>
        <w:t>, Portugalsko</w:t>
      </w:r>
      <w:r w:rsidRPr="004C2B68">
        <w:rPr>
          <w:rFonts w:ascii="Times New Roman" w:hAnsi="Times New Roman"/>
          <w:szCs w:val="22"/>
        </w:rPr>
        <w:t xml:space="preserve"> a Belgicko. </w:t>
      </w:r>
    </w:p>
    <w:p w:rsidR="00A31D3C" w:rsidRPr="00A339AF" w:rsidP="00DB0AB7">
      <w:pPr>
        <w:bidi w:val="0"/>
        <w:rPr>
          <w:rFonts w:ascii="Times New Roman" w:hAnsi="Times New Roman"/>
          <w:highlight w:val="yellow"/>
        </w:rPr>
      </w:pPr>
      <w:r w:rsidRPr="005B5E0A" w:rsidR="00DB0AB7">
        <w:rPr>
          <w:rFonts w:ascii="Times New Roman" w:hAnsi="Times New Roman"/>
          <w:szCs w:val="22"/>
        </w:rPr>
        <w:t>Najvyšší dlh verejnej správy v roku 201</w:t>
      </w:r>
      <w:r w:rsidR="00DB0AB7">
        <w:rPr>
          <w:rFonts w:ascii="Times New Roman" w:hAnsi="Times New Roman"/>
          <w:szCs w:val="22"/>
        </w:rPr>
        <w:t>7</w:t>
      </w:r>
      <w:r w:rsidRPr="005B5E0A" w:rsidR="00DB0AB7">
        <w:rPr>
          <w:rFonts w:ascii="Times New Roman" w:hAnsi="Times New Roman"/>
          <w:szCs w:val="22"/>
        </w:rPr>
        <w:t xml:space="preserve"> vykázalo </w:t>
      </w:r>
      <w:r w:rsidR="00DB0AB7">
        <w:rPr>
          <w:rFonts w:ascii="Times New Roman" w:hAnsi="Times New Roman"/>
          <w:szCs w:val="22"/>
        </w:rPr>
        <w:t>opäť Grécko 178</w:t>
      </w:r>
      <w:r w:rsidRPr="004C2B68" w:rsidR="00DB0AB7">
        <w:rPr>
          <w:rFonts w:ascii="Times New Roman" w:hAnsi="Times New Roman"/>
          <w:szCs w:val="22"/>
        </w:rPr>
        <w:t>,</w:t>
      </w:r>
      <w:r w:rsidR="00DB0AB7">
        <w:rPr>
          <w:rFonts w:ascii="Times New Roman" w:hAnsi="Times New Roman"/>
          <w:szCs w:val="22"/>
        </w:rPr>
        <w:t>6</w:t>
      </w:r>
      <w:r w:rsidRPr="004C2B68" w:rsidR="00DB0AB7">
        <w:rPr>
          <w:rFonts w:ascii="Times New Roman" w:hAnsi="Times New Roman"/>
          <w:szCs w:val="22"/>
        </w:rPr>
        <w:t xml:space="preserve"> % HDP, Taliansko </w:t>
      </w:r>
      <w:r w:rsidR="00DB0AB7">
        <w:rPr>
          <w:rFonts w:ascii="Times New Roman" w:hAnsi="Times New Roman"/>
          <w:szCs w:val="22"/>
        </w:rPr>
        <w:t>131,8 % HDP a Portugalsko 125,7</w:t>
      </w:r>
      <w:r w:rsidRPr="004C2B68" w:rsidR="00DB0AB7">
        <w:rPr>
          <w:rFonts w:ascii="Times New Roman" w:hAnsi="Times New Roman"/>
          <w:szCs w:val="22"/>
        </w:rPr>
        <w:t xml:space="preserve"> % HDP. </w:t>
      </w:r>
      <w:r w:rsidRPr="005B5E0A" w:rsidR="00DB0AB7">
        <w:rPr>
          <w:rFonts w:ascii="Times New Roman" w:hAnsi="Times New Roman"/>
          <w:szCs w:val="22"/>
        </w:rPr>
        <w:t xml:space="preserve">Najnižší dlh vykázalo </w:t>
      </w:r>
      <w:r w:rsidRPr="0033608E" w:rsidR="00DB0AB7">
        <w:rPr>
          <w:rFonts w:ascii="Times New Roman" w:hAnsi="Times New Roman"/>
          <w:szCs w:val="22"/>
        </w:rPr>
        <w:t>Estónsko vo výške 9,</w:t>
      </w:r>
      <w:r w:rsidR="00DB0AB7">
        <w:rPr>
          <w:rFonts w:ascii="Times New Roman" w:hAnsi="Times New Roman"/>
          <w:szCs w:val="22"/>
        </w:rPr>
        <w:t>0</w:t>
      </w:r>
      <w:r w:rsidRPr="0033608E" w:rsidR="00DB0AB7">
        <w:rPr>
          <w:rFonts w:ascii="Times New Roman" w:hAnsi="Times New Roman"/>
          <w:szCs w:val="22"/>
        </w:rPr>
        <w:t xml:space="preserve"> % HDP. Slovensko </w:t>
      </w:r>
      <w:r w:rsidRPr="005B5E0A" w:rsidR="00DB0AB7">
        <w:rPr>
          <w:rFonts w:ascii="Times New Roman" w:hAnsi="Times New Roman"/>
          <w:szCs w:val="22"/>
        </w:rPr>
        <w:t>so svojím dlhom 5</w:t>
      </w:r>
      <w:r w:rsidR="00DB0AB7">
        <w:rPr>
          <w:rFonts w:ascii="Times New Roman" w:hAnsi="Times New Roman"/>
          <w:szCs w:val="22"/>
        </w:rPr>
        <w:t>0</w:t>
      </w:r>
      <w:r w:rsidRPr="005B5E0A" w:rsidR="00DB0AB7">
        <w:rPr>
          <w:rFonts w:ascii="Times New Roman" w:hAnsi="Times New Roman"/>
          <w:szCs w:val="22"/>
        </w:rPr>
        <w:t xml:space="preserve">,9 % </w:t>
      </w:r>
      <w:r w:rsidRPr="0033608E" w:rsidR="00DB0AB7">
        <w:rPr>
          <w:rFonts w:ascii="Times New Roman" w:hAnsi="Times New Roman"/>
          <w:szCs w:val="22"/>
        </w:rPr>
        <w:t>HDP patrí medzi krajiny s nižším dlhom, čo je dôležité z pohľadu dlhodobej udržateľnosti verejných financií.</w:t>
      </w:r>
    </w:p>
    <w:tbl>
      <w:tblPr>
        <w:tblStyle w:val="TableNormal"/>
        <w:tblW w:w="9070" w:type="dxa"/>
        <w:tblCellMar>
          <w:left w:w="70" w:type="dxa"/>
          <w:right w:w="70" w:type="dxa"/>
        </w:tblCellMar>
        <w:tblLook w:val="04A0"/>
      </w:tblPr>
      <w:tblGrid>
        <w:gridCol w:w="2107"/>
        <w:gridCol w:w="1085"/>
        <w:gridCol w:w="1085"/>
        <w:gridCol w:w="1085"/>
        <w:gridCol w:w="339"/>
        <w:gridCol w:w="1123"/>
        <w:gridCol w:w="1123"/>
        <w:gridCol w:w="1123"/>
      </w:tblGrid>
      <w:tr>
        <w:tblPrEx>
          <w:tblW w:w="9070" w:type="dxa"/>
          <w:tblCellMar>
            <w:left w:w="70" w:type="dxa"/>
            <w:right w:w="70" w:type="dxa"/>
          </w:tblCellMar>
          <w:tblLook w:val="04A0"/>
        </w:tblPrEx>
        <w:trPr>
          <w:trHeight w:val="276"/>
        </w:trPr>
        <w:tc>
          <w:tcPr>
            <w:tcW w:w="8157" w:type="dxa"/>
            <w:gridSpan w:val="8"/>
            <w:tcBorders>
              <w:top w:val="nil"/>
              <w:left w:val="nil"/>
              <w:bottom w:val="nil"/>
              <w:right w:val="nil"/>
            </w:tcBorders>
            <w:shd w:val="clear" w:color="000000" w:fill="000000"/>
            <w:noWrap/>
            <w:textDirection w:val="lrTb"/>
            <w:vAlign w:val="center"/>
            <w:hideMark/>
          </w:tcPr>
          <w:p w:rsidR="00DB0AB7" w:rsidRPr="004F5AD8" w:rsidP="00161154">
            <w:pPr>
              <w:bidi w:val="0"/>
              <w:spacing w:after="0" w:line="240" w:lineRule="auto"/>
              <w:jc w:val="left"/>
              <w:rPr>
                <w:rFonts w:ascii="Times New Roman" w:hAnsi="Times New Roman"/>
                <w:b/>
                <w:bCs/>
                <w:color w:val="FFFFFF"/>
                <w:sz w:val="18"/>
                <w:szCs w:val="18"/>
                <w:lang w:eastAsia="sk-SK"/>
              </w:rPr>
            </w:pPr>
            <w:bookmarkStart w:id="34" w:name="RANGE!A1:H34"/>
            <w:bookmarkStart w:id="35" w:name="_Toc480976293"/>
            <w:bookmarkEnd w:id="34"/>
            <w:r w:rsidRPr="004F5AD8">
              <w:rPr>
                <w:rFonts w:ascii="Times New Roman" w:hAnsi="Times New Roman"/>
                <w:b/>
                <w:bCs/>
                <w:color w:val="FFFFFF"/>
                <w:sz w:val="18"/>
                <w:szCs w:val="18"/>
                <w:lang w:eastAsia="sk-SK"/>
              </w:rPr>
              <w:t>Saldo a dlh verejnej správy v EÚ 28 (% HDP)</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2928" w:type="dxa"/>
            <w:gridSpan w:val="3"/>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 xml:space="preserve">Saldo verejnej správy </w:t>
            </w:r>
          </w:p>
        </w:tc>
        <w:tc>
          <w:tcPr>
            <w:tcW w:w="305"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3030" w:type="dxa"/>
            <w:gridSpan w:val="3"/>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 xml:space="preserve">Hrubý dlh verejnej správy </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976"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2015</w:t>
            </w:r>
          </w:p>
        </w:tc>
        <w:tc>
          <w:tcPr>
            <w:tcW w:w="976"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2016</w:t>
            </w:r>
          </w:p>
        </w:tc>
        <w:tc>
          <w:tcPr>
            <w:tcW w:w="976"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2017</w:t>
            </w:r>
          </w:p>
        </w:tc>
        <w:tc>
          <w:tcPr>
            <w:tcW w:w="305"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 </w:t>
            </w:r>
          </w:p>
        </w:tc>
        <w:tc>
          <w:tcPr>
            <w:tcW w:w="1010"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2015</w:t>
            </w:r>
          </w:p>
        </w:tc>
        <w:tc>
          <w:tcPr>
            <w:tcW w:w="1010"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2016</w:t>
            </w:r>
          </w:p>
        </w:tc>
        <w:tc>
          <w:tcPr>
            <w:tcW w:w="1010" w:type="dxa"/>
            <w:tcBorders>
              <w:top w:val="nil"/>
              <w:left w:val="nil"/>
              <w:bottom w:val="nil"/>
              <w:right w:val="nil"/>
            </w:tcBorders>
            <w:shd w:val="clear" w:color="000000" w:fill="C0C0C0"/>
            <w:textDirection w:val="lrTb"/>
            <w:vAlign w:val="center"/>
            <w:hideMark/>
          </w:tcPr>
          <w:p w:rsidR="00DB0AB7" w:rsidRPr="004F5AD8" w:rsidP="00161154">
            <w:pPr>
              <w:bidi w:val="0"/>
              <w:spacing w:after="0" w:line="240" w:lineRule="auto"/>
              <w:jc w:val="center"/>
              <w:rPr>
                <w:rFonts w:ascii="Times New Roman" w:hAnsi="Times New Roman"/>
                <w:b/>
                <w:bCs/>
                <w:sz w:val="18"/>
                <w:szCs w:val="18"/>
                <w:lang w:eastAsia="sk-SK"/>
              </w:rPr>
            </w:pPr>
            <w:r w:rsidRPr="004F5AD8">
              <w:rPr>
                <w:rFonts w:ascii="Times New Roman" w:hAnsi="Times New Roman"/>
                <w:b/>
                <w:bCs/>
                <w:sz w:val="18"/>
                <w:szCs w:val="18"/>
                <w:lang w:eastAsia="sk-SK"/>
              </w:rPr>
              <w:t>2017</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EÚ (28 krajín)</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-2,3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-1,6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-1,0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84,5</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83,3</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81,6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Euro zóna</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-2,0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-1,5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-0,9</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89,9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89,0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86,7</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Belgicko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106,1</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105,9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103,1</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Bulharsko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0,2</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0,9</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26,0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29,0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25,4</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Česká republika</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0,7</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1,6</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40,0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36,8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34,6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Dánsko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39,9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37,9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36,4</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Nemecko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0,8</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71,0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68,2</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64,1</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Estónsko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0,1</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-0,3</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9,4</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Írsko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-1,9</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-0,3</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76,9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72,8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68,0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Grécko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-5,7</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0,8</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176,8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180,8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178,6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Španielsko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-3,1</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99,4</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99,0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98,3</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Francúzsko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-2,6</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95,6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96,6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97,0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Chorvátsko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-0,9</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0,8</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83,8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80,6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78,0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Taliansko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-2,5</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-2,3</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131,5</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132,0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131,8</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Cyprus</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1,8</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107,5</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106,6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97,5</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Lotyšsko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0,1</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-0,5</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36,8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40,5</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40,1</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Litva</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-0,2</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0,5</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42,6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40,1</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39,7</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Luxembursko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1,5</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22,0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20,8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23,0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Maďarsko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-1,9</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-1,7</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76,7</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76,0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73,6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Malta</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-1,1</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3,9</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58,7</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56,2</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50,8</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Holandsko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-2,1</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1,1</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64,6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61,8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56,7</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Rakúsko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-0,7</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84,6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83,6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78,4</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Poľsko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-2,6</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-2,3</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-1,7</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51,1</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54,2</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50,6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Portugalsko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-4,4</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128,8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129,9</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125,7</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Rumunsko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-0,8</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-3,0</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-2,9</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37,7</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37,4</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35,0</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Slovinsko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-2,9</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-1,9</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82,6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78,6</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73,6</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b/>
                <w:bCs/>
                <w:sz w:val="18"/>
                <w:szCs w:val="18"/>
                <w:lang w:eastAsia="sk-SK"/>
              </w:rPr>
            </w:pPr>
            <w:r w:rsidRPr="004F5AD8">
              <w:rPr>
                <w:rFonts w:ascii="Times New Roman" w:hAnsi="Times New Roman"/>
                <w:b/>
                <w:bCs/>
                <w:sz w:val="18"/>
                <w:szCs w:val="18"/>
                <w:lang w:eastAsia="sk-SK"/>
              </w:rPr>
              <w:t>Slovensko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-2,7</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-2,2</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-1,0</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52,3</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51,8</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b/>
                <w:bCs/>
                <w:color w:val="000000"/>
                <w:sz w:val="18"/>
                <w:szCs w:val="18"/>
                <w:lang w:eastAsia="sk-SK"/>
              </w:rPr>
            </w:pPr>
            <w:r w:rsidRPr="004F5AD8">
              <w:rPr>
                <w:rFonts w:ascii="Times New Roman" w:hAnsi="Times New Roman"/>
                <w:b/>
                <w:bCs/>
                <w:color w:val="000000"/>
                <w:sz w:val="18"/>
                <w:szCs w:val="18"/>
                <w:lang w:eastAsia="sk-SK"/>
              </w:rPr>
              <w:t>50,9</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Fínsko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-2,8</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-1,8</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-0,6</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63,5</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63,0</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61,4</w:t>
            </w:r>
          </w:p>
        </w:tc>
      </w:tr>
      <w:tr>
        <w:tblPrEx>
          <w:tblW w:w="9070" w:type="dxa"/>
          <w:tblCellMar>
            <w:left w:w="70" w:type="dxa"/>
            <w:right w:w="70" w:type="dxa"/>
          </w:tblCellMar>
          <w:tblLook w:val="04A0"/>
        </w:tblPrEx>
        <w:trPr>
          <w:trHeight w:val="276"/>
        </w:trPr>
        <w:tc>
          <w:tcPr>
            <w:tcW w:w="1894" w:type="dxa"/>
            <w:tcBorders>
              <w:top w:val="nil"/>
              <w:left w:val="nil"/>
              <w:bottom w:val="nil"/>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Švédsko</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0,2</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1,2</w:t>
            </w:r>
          </w:p>
        </w:tc>
        <w:tc>
          <w:tcPr>
            <w:tcW w:w="976"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1,3</w:t>
            </w:r>
          </w:p>
        </w:tc>
        <w:tc>
          <w:tcPr>
            <w:tcW w:w="305"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44,2</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42,1</w:t>
            </w:r>
          </w:p>
        </w:tc>
        <w:tc>
          <w:tcPr>
            <w:tcW w:w="1010" w:type="dxa"/>
            <w:tcBorders>
              <w:top w:val="nil"/>
              <w:left w:val="nil"/>
              <w:bottom w:val="nil"/>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40,6</w:t>
            </w:r>
          </w:p>
        </w:tc>
      </w:tr>
      <w:tr>
        <w:tblPrEx>
          <w:tblW w:w="9070" w:type="dxa"/>
          <w:tblCellMar>
            <w:left w:w="70" w:type="dxa"/>
            <w:right w:w="70" w:type="dxa"/>
          </w:tblCellMar>
          <w:tblLook w:val="04A0"/>
        </w:tblPrEx>
        <w:trPr>
          <w:trHeight w:val="276"/>
        </w:trPr>
        <w:tc>
          <w:tcPr>
            <w:tcW w:w="1894" w:type="dxa"/>
            <w:tcBorders>
              <w:top w:val="nil"/>
              <w:left w:val="nil"/>
              <w:bottom w:val="single" w:sz="4" w:space="0" w:color="000000"/>
              <w:right w:val="nil"/>
            </w:tcBorders>
            <w:noWrap/>
            <w:textDirection w:val="lrTb"/>
            <w:vAlign w:val="center"/>
            <w:hideMark/>
          </w:tcPr>
          <w:p w:rsidR="00DB0AB7" w:rsidRPr="004F5AD8" w:rsidP="00161154">
            <w:pPr>
              <w:bidi w:val="0"/>
              <w:spacing w:after="0" w:line="240" w:lineRule="auto"/>
              <w:jc w:val="left"/>
              <w:rPr>
                <w:rFonts w:ascii="Times New Roman" w:hAnsi="Times New Roman"/>
                <w:sz w:val="18"/>
                <w:szCs w:val="18"/>
                <w:lang w:eastAsia="sk-SK"/>
              </w:rPr>
            </w:pPr>
            <w:r w:rsidRPr="004F5AD8">
              <w:rPr>
                <w:rFonts w:ascii="Times New Roman" w:hAnsi="Times New Roman"/>
                <w:sz w:val="18"/>
                <w:szCs w:val="18"/>
                <w:lang w:eastAsia="sk-SK"/>
              </w:rPr>
              <w:t>Veľká Británia</w:t>
            </w:r>
          </w:p>
        </w:tc>
        <w:tc>
          <w:tcPr>
            <w:tcW w:w="976"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-4,3</w:t>
            </w:r>
          </w:p>
        </w:tc>
        <w:tc>
          <w:tcPr>
            <w:tcW w:w="976"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-3,0</w:t>
            </w:r>
          </w:p>
        </w:tc>
        <w:tc>
          <w:tcPr>
            <w:tcW w:w="976"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-1,9</w:t>
            </w:r>
          </w:p>
        </w:tc>
        <w:tc>
          <w:tcPr>
            <w:tcW w:w="305"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 </w:t>
            </w:r>
          </w:p>
        </w:tc>
        <w:tc>
          <w:tcPr>
            <w:tcW w:w="1010"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88,2</w:t>
            </w:r>
          </w:p>
        </w:tc>
        <w:tc>
          <w:tcPr>
            <w:tcW w:w="1010"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88,2</w:t>
            </w:r>
          </w:p>
        </w:tc>
        <w:tc>
          <w:tcPr>
            <w:tcW w:w="1010" w:type="dxa"/>
            <w:tcBorders>
              <w:top w:val="nil"/>
              <w:left w:val="nil"/>
              <w:bottom w:val="single" w:sz="4" w:space="0" w:color="auto"/>
              <w:right w:val="nil"/>
            </w:tcBorders>
            <w:noWrap/>
            <w:textDirection w:val="lrTb"/>
            <w:vAlign w:val="center"/>
            <w:hideMark/>
          </w:tcPr>
          <w:p w:rsidR="00DB0AB7" w:rsidRPr="004F5AD8" w:rsidP="00161154">
            <w:pPr>
              <w:bidi w:val="0"/>
              <w:spacing w:after="0" w:line="240" w:lineRule="auto"/>
              <w:jc w:val="center"/>
              <w:rPr>
                <w:rFonts w:ascii="Times New Roman" w:hAnsi="Times New Roman"/>
                <w:color w:val="000000"/>
                <w:sz w:val="18"/>
                <w:szCs w:val="18"/>
                <w:lang w:eastAsia="sk-SK"/>
              </w:rPr>
            </w:pPr>
            <w:r w:rsidRPr="004F5AD8">
              <w:rPr>
                <w:rFonts w:ascii="Times New Roman" w:hAnsi="Times New Roman"/>
                <w:color w:val="000000"/>
                <w:sz w:val="18"/>
                <w:szCs w:val="18"/>
                <w:lang w:eastAsia="sk-SK"/>
              </w:rPr>
              <w:t>87,7</w:t>
            </w:r>
          </w:p>
        </w:tc>
      </w:tr>
    </w:tbl>
    <w:p w:rsidR="007133F4" w:rsidRPr="00833BF2" w:rsidP="00833BF2">
      <w:pPr>
        <w:bidi w:val="0"/>
        <w:jc w:val="right"/>
        <w:rPr>
          <w:rFonts w:ascii="Times New Roman" w:hAnsi="Times New Roman"/>
          <w:i/>
          <w:sz w:val="16"/>
          <w:szCs w:val="16"/>
        </w:rPr>
      </w:pPr>
      <w:r w:rsidRPr="00833BF2">
        <w:rPr>
          <w:rFonts w:ascii="Times New Roman" w:hAnsi="Times New Roman"/>
          <w:i/>
          <w:sz w:val="16"/>
          <w:szCs w:val="16"/>
        </w:rPr>
        <w:t>Zdroj: Eurostat</w:t>
      </w:r>
      <w:bookmarkEnd w:id="35"/>
    </w:p>
    <w:p w:rsidR="007133F4" w:rsidRPr="00A339AF" w:rsidP="007133F4">
      <w:pPr>
        <w:bidi w:val="0"/>
        <w:rPr>
          <w:rFonts w:ascii="Times New Roman" w:hAnsi="Times New Roman" w:eastAsiaTheme="majorEastAsia"/>
          <w:sz w:val="26"/>
          <w:szCs w:val="28"/>
          <w:highlight w:val="yellow"/>
        </w:rPr>
      </w:pPr>
      <w:r w:rsidRPr="00A339AF">
        <w:rPr>
          <w:rFonts w:ascii="Times New Roman" w:hAnsi="Times New Roman"/>
          <w:highlight w:val="yellow"/>
        </w:rPr>
        <w:br w:type="page"/>
      </w:r>
    </w:p>
    <w:p w:rsidR="00693173" w:rsidRPr="00EA6427" w:rsidP="003E2C97">
      <w:pPr>
        <w:pStyle w:val="Heading1"/>
        <w:bidi w:val="0"/>
        <w:rPr>
          <w:rFonts w:ascii="Times New Roman" w:hAnsi="Times New Roman"/>
        </w:rPr>
      </w:pPr>
      <w:bookmarkStart w:id="36" w:name="_Toc512599666"/>
      <w:r w:rsidR="003E2C97">
        <w:rPr>
          <w:rFonts w:ascii="Times New Roman" w:hAnsi="Times New Roman"/>
        </w:rPr>
        <w:t xml:space="preserve">3  </w:t>
      </w:r>
      <w:r w:rsidRPr="00EA6427">
        <w:rPr>
          <w:rFonts w:ascii="Times New Roman" w:hAnsi="Times New Roman"/>
        </w:rPr>
        <w:t>Hospodárenie štátneho rozpočtu na hotovostnej báze</w:t>
      </w:r>
      <w:bookmarkEnd w:id="25"/>
      <w:bookmarkEnd w:id="36"/>
    </w:p>
    <w:p w:rsidR="00EA6427" w:rsidRPr="009F2B21" w:rsidP="00EA6427">
      <w:pPr>
        <w:bidi w:val="0"/>
        <w:rPr>
          <w:rFonts w:ascii="Times New Roman" w:hAnsi="Times New Roman"/>
          <w:color w:val="000000"/>
          <w:szCs w:val="22"/>
        </w:rPr>
      </w:pPr>
      <w:r w:rsidRPr="009F2B21">
        <w:rPr>
          <w:rFonts w:ascii="Times New Roman" w:hAnsi="Times New Roman"/>
          <w:szCs w:val="22"/>
        </w:rPr>
        <w:t>Štátny rozpočet je základnou súčasťou rozpočtu verejnej správy a zabezpečuje sa ním financovanie hlavných funkcií štátu v príslušnom rozpočtovom roku. Štátny rozpočet schvaľuje parlament zákonom o štátnom rozpočte</w:t>
      </w:r>
      <w:r w:rsidR="00256F5F">
        <w:rPr>
          <w:rFonts w:ascii="Times New Roman" w:hAnsi="Times New Roman"/>
          <w:szCs w:val="22"/>
        </w:rPr>
        <w:t>, ktorým sa určuje</w:t>
      </w:r>
      <w:r w:rsidRPr="009F2B21">
        <w:rPr>
          <w:rFonts w:ascii="Times New Roman" w:hAnsi="Times New Roman"/>
          <w:szCs w:val="22"/>
        </w:rPr>
        <w:t xml:space="preserve"> najmä výška príjmov štátneho rozpočtu, limit výdavkov štátneho rozpočtu, maximálna výška rozpočtovaného schodku alebo minimálna výška rozpočtovaného prebytku štátneho rozpočtu, ak nie sú príjmy a výdavky vyrovnané</w:t>
      </w:r>
      <w:r w:rsidRPr="009F2B21">
        <w:rPr>
          <w:rFonts w:ascii="Times New Roman" w:hAnsi="Times New Roman"/>
          <w:color w:val="666666"/>
          <w:sz w:val="18"/>
          <w:szCs w:val="18"/>
        </w:rPr>
        <w:t>.</w:t>
      </w:r>
      <w:r w:rsidRPr="009F2B21">
        <w:rPr>
          <w:rFonts w:ascii="Times New Roman" w:hAnsi="Times New Roman"/>
          <w:color w:val="000000"/>
          <w:szCs w:val="22"/>
        </w:rPr>
        <w:t xml:space="preserve"> </w:t>
      </w:r>
    </w:p>
    <w:p w:rsidR="00EA6427" w:rsidRPr="009F2B21" w:rsidP="00EA6427">
      <w:pPr>
        <w:pStyle w:val="ListParagraph"/>
        <w:tabs>
          <w:tab w:val="left" w:pos="2835"/>
        </w:tabs>
        <w:bidi w:val="0"/>
        <w:spacing w:after="120" w:line="336" w:lineRule="auto"/>
        <w:ind w:left="0"/>
        <w:jc w:val="both"/>
        <w:rPr>
          <w:rFonts w:ascii="Times New Roman" w:hAnsi="Times New Roman"/>
        </w:rPr>
      </w:pPr>
      <w:r w:rsidRPr="009F2B21">
        <w:rPr>
          <w:rFonts w:ascii="Times New Roman" w:hAnsi="Times New Roman"/>
          <w:b/>
        </w:rPr>
        <w:t>Základné rozpočtové ukazovatele štátneho rozpočtu pre rok 2017 boli stanovené zákonom č. 357/2016 Z. z. o štátnom rozpočte na rok 2017, ktorý určil celkové príjmy štátneho rozpočtu v hotovostnom vyjadrení sumou 15 390 147 tis. eur a celkové výdavky sumou 17 383 366 tis. eur</w:t>
      </w:r>
      <w:r w:rsidRPr="009F2B21">
        <w:rPr>
          <w:rFonts w:ascii="Times New Roman" w:hAnsi="Times New Roman"/>
        </w:rPr>
        <w:t xml:space="preserve">. </w:t>
      </w:r>
      <w:r w:rsidRPr="009F2B21">
        <w:rPr>
          <w:rFonts w:ascii="Times New Roman" w:hAnsi="Times New Roman"/>
          <w:b/>
        </w:rPr>
        <w:t>Schodok štátneho rozpočtu sa tým určil vo výške 1 993 219 tis. eur.</w:t>
      </w:r>
      <w:r w:rsidRPr="009F2B21">
        <w:rPr>
          <w:rFonts w:ascii="Times New Roman" w:hAnsi="Times New Roman"/>
        </w:rPr>
        <w:t xml:space="preserve"> </w:t>
      </w:r>
    </w:p>
    <w:p w:rsidR="00EA6427" w:rsidRPr="009F2B21" w:rsidP="00EA6427">
      <w:pPr>
        <w:bidi w:val="0"/>
        <w:rPr>
          <w:rFonts w:ascii="Times New Roman" w:hAnsi="Times New Roman"/>
          <w:szCs w:val="22"/>
        </w:rPr>
      </w:pPr>
      <w:r w:rsidRPr="009F2B21">
        <w:rPr>
          <w:rFonts w:ascii="Times New Roman" w:hAnsi="Times New Roman"/>
          <w:b/>
          <w:szCs w:val="22"/>
        </w:rPr>
        <w:t>Skutočne dosiahnuté príjmy štátneho rozpočtu</w:t>
      </w:r>
      <w:r w:rsidRPr="009F2B21">
        <w:rPr>
          <w:rFonts w:ascii="Times New Roman" w:hAnsi="Times New Roman"/>
          <w:szCs w:val="22"/>
        </w:rPr>
        <w:t xml:space="preserve"> vo výške 14 014 129 tis. eur boli oproti schválenému rozpočtu nižšie o 1 376 018 tis. eur a oproti skutočnosti roku 201</w:t>
      </w:r>
      <w:r w:rsidR="00256F5F">
        <w:rPr>
          <w:rFonts w:ascii="Times New Roman" w:hAnsi="Times New Roman"/>
          <w:szCs w:val="22"/>
        </w:rPr>
        <w:t>6</w:t>
      </w:r>
      <w:r w:rsidRPr="009F2B21">
        <w:rPr>
          <w:rFonts w:ascii="Times New Roman" w:hAnsi="Times New Roman"/>
          <w:szCs w:val="22"/>
        </w:rPr>
        <w:t xml:space="preserve"> boli nižšie o 2</w:t>
      </w:r>
      <w:r w:rsidR="00256F5F">
        <w:rPr>
          <w:rFonts w:ascii="Times New Roman" w:hAnsi="Times New Roman"/>
          <w:szCs w:val="22"/>
        </w:rPr>
        <w:t> 261 788</w:t>
      </w:r>
      <w:r w:rsidRPr="009F2B21">
        <w:rPr>
          <w:rFonts w:ascii="Times New Roman" w:hAnsi="Times New Roman"/>
          <w:szCs w:val="22"/>
        </w:rPr>
        <w:t xml:space="preserve"> tis. eur. Plnenie celkových príjmov štátneho rozpočtu tak dosiahlo 91 %. </w:t>
      </w:r>
      <w:r w:rsidRPr="009F2B21">
        <w:rPr>
          <w:rFonts w:ascii="Times New Roman" w:hAnsi="Times New Roman"/>
          <w:b/>
          <w:szCs w:val="22"/>
        </w:rPr>
        <w:t>Skutočne dosiahnuté výdavky štátneho rozpočtu</w:t>
      </w:r>
      <w:r w:rsidRPr="009F2B21">
        <w:rPr>
          <w:rFonts w:ascii="Times New Roman" w:hAnsi="Times New Roman"/>
          <w:szCs w:val="22"/>
        </w:rPr>
        <w:t xml:space="preserve"> vo výške 15 234 261 tis. eur boli nižšie ako v schválenom rozpočte, a to o 2 149 105 tis. eur, pričom medziročne sa znížili o 21 911 tis. eur. Plnenie celkových výdavkov štátneho rozpočtu tak dosiahlo 87,6 % ich pôvodne rozpočtovanej hodnoty.</w:t>
      </w:r>
    </w:p>
    <w:p w:rsidR="00EA6427" w:rsidRPr="009F2B21" w:rsidP="00EA6427">
      <w:pPr>
        <w:pStyle w:val="Zkladntext"/>
        <w:bidi w:val="0"/>
        <w:spacing w:after="120" w:line="336" w:lineRule="auto"/>
        <w:ind w:right="-2"/>
        <w:jc w:val="both"/>
        <w:rPr>
          <w:rFonts w:ascii="Times New Roman" w:hAnsi="Times New Roman"/>
          <w:b/>
          <w:bCs/>
          <w:sz w:val="22"/>
          <w:szCs w:val="22"/>
        </w:rPr>
      </w:pPr>
      <w:r w:rsidRPr="009F2B21">
        <w:rPr>
          <w:rFonts w:ascii="Times New Roman" w:hAnsi="Times New Roman"/>
          <w:b/>
          <w:sz w:val="22"/>
          <w:szCs w:val="22"/>
        </w:rPr>
        <w:t>Schodok štátneho rozpočtu na hotovostnej báze vo výške 1 220 132 tis. eur je vo vzťahu k pôvodne schválenému rozpočtu nižší o 773 087 tis. eur a v</w:t>
      </w:r>
      <w:r w:rsidRPr="009F2B21">
        <w:rPr>
          <w:rFonts w:ascii="Times New Roman" w:hAnsi="Times New Roman"/>
          <w:b/>
          <w:bCs/>
          <w:sz w:val="22"/>
          <w:szCs w:val="22"/>
        </w:rPr>
        <w:t>o vzťahu k upravenému rozpočtu je vykázaný sc</w:t>
      </w:r>
      <w:r w:rsidR="00425E24">
        <w:rPr>
          <w:rFonts w:ascii="Times New Roman" w:hAnsi="Times New Roman"/>
          <w:b/>
          <w:bCs/>
          <w:sz w:val="22"/>
          <w:szCs w:val="22"/>
        </w:rPr>
        <w:t>hodok nižší o 110 633 tis. eur.</w:t>
      </w:r>
    </w:p>
    <w:p w:rsidR="00EA6427" w:rsidRPr="009F2B21" w:rsidP="00EA6427">
      <w:pPr>
        <w:pStyle w:val="ListParagraph"/>
        <w:tabs>
          <w:tab w:val="left" w:pos="2835"/>
        </w:tabs>
        <w:bidi w:val="0"/>
        <w:spacing w:after="120" w:line="336" w:lineRule="auto"/>
        <w:ind w:left="0"/>
        <w:jc w:val="both"/>
        <w:rPr>
          <w:rFonts w:ascii="Times New Roman" w:hAnsi="Times New Roman"/>
        </w:rPr>
      </w:pPr>
      <w:r w:rsidRPr="009F2B21">
        <w:rPr>
          <w:rFonts w:ascii="Times New Roman" w:hAnsi="Times New Roman"/>
        </w:rPr>
        <w:t>Súhrnný prehľad o rozpočtovaných a skutočne dosiahnutých základných rozpočtových ukazovateľoch v roku 2017 a za predchádzajúce dva roky na hotovostnej báze poskytujú nasledovné údaje:</w:t>
      </w:r>
    </w:p>
    <w:tbl>
      <w:tblPr>
        <w:tblStyle w:val="TableNormal"/>
        <w:tblW w:w="8774" w:type="dxa"/>
        <w:tblInd w:w="55" w:type="dxa"/>
        <w:tblLayout w:type="fixed"/>
        <w:tblCellMar>
          <w:left w:w="70" w:type="dxa"/>
          <w:right w:w="70" w:type="dxa"/>
        </w:tblCellMar>
        <w:tblLook w:val="04A0"/>
      </w:tblPr>
      <w:tblGrid>
        <w:gridCol w:w="2120"/>
        <w:gridCol w:w="1014"/>
        <w:gridCol w:w="1220"/>
        <w:gridCol w:w="1048"/>
        <w:gridCol w:w="1220"/>
        <w:gridCol w:w="1220"/>
        <w:gridCol w:w="932"/>
      </w:tblGrid>
      <w:tr>
        <w:tblPrEx>
          <w:tblW w:w="8774" w:type="dxa"/>
          <w:tblInd w:w="55" w:type="dxa"/>
          <w:tblLayout w:type="fixed"/>
          <w:tblCellMar>
            <w:left w:w="70" w:type="dxa"/>
            <w:right w:w="70" w:type="dxa"/>
          </w:tblCellMar>
          <w:tblLook w:val="04A0"/>
        </w:tblPrEx>
        <w:trPr>
          <w:trHeight w:val="334"/>
        </w:trPr>
        <w:tc>
          <w:tcPr>
            <w:tcW w:w="8774" w:type="dxa"/>
            <w:gridSpan w:val="7"/>
            <w:tcBorders>
              <w:top w:val="nil"/>
              <w:left w:val="nil"/>
              <w:bottom w:val="nil"/>
              <w:right w:val="nil"/>
            </w:tcBorders>
            <w:shd w:val="clear" w:color="000000" w:fill="000000"/>
            <w:textDirection w:val="lrTb"/>
            <w:vAlign w:val="center"/>
            <w:hideMark/>
          </w:tcPr>
          <w:p w:rsidR="00EA6427" w:rsidRPr="009F2B21" w:rsidP="004A0E7A">
            <w:pPr>
              <w:bidi w:val="0"/>
              <w:spacing w:after="0" w:line="240" w:lineRule="auto"/>
              <w:jc w:val="left"/>
              <w:rPr>
                <w:rFonts w:ascii="Times New Roman" w:hAnsi="Times New Roman"/>
                <w:b/>
                <w:bCs/>
                <w:color w:val="FFFFFF"/>
                <w:sz w:val="18"/>
                <w:szCs w:val="18"/>
                <w:lang w:eastAsia="sk-SK"/>
              </w:rPr>
            </w:pPr>
            <w:r w:rsidRPr="009F2B21">
              <w:rPr>
                <w:rFonts w:ascii="Times New Roman" w:hAnsi="Times New Roman"/>
                <w:b/>
                <w:bCs/>
                <w:color w:val="FFFFFF"/>
                <w:sz w:val="18"/>
                <w:szCs w:val="18"/>
                <w:lang w:eastAsia="sk-SK"/>
              </w:rPr>
              <w:t>Štátny rozpočet na hotovostnej báze                                                                                                                   v tis. eur</w:t>
            </w:r>
          </w:p>
        </w:tc>
      </w:tr>
      <w:tr>
        <w:tblPrEx>
          <w:tblW w:w="8774" w:type="dxa"/>
          <w:tblInd w:w="55" w:type="dxa"/>
          <w:tblLayout w:type="fixed"/>
          <w:tblCellMar>
            <w:left w:w="70" w:type="dxa"/>
            <w:right w:w="70" w:type="dxa"/>
          </w:tblCellMar>
          <w:tblLook w:val="04A0"/>
        </w:tblPrEx>
        <w:trPr>
          <w:trHeight w:val="330"/>
        </w:trPr>
        <w:tc>
          <w:tcPr>
            <w:tcW w:w="4354" w:type="dxa"/>
            <w:gridSpan w:val="3"/>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 xml:space="preserve">                                                Skutočnosť</w:t>
            </w:r>
          </w:p>
        </w:tc>
        <w:tc>
          <w:tcPr>
            <w:tcW w:w="2268" w:type="dxa"/>
            <w:gridSpan w:val="2"/>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Rozpočet 2017</w:t>
            </w:r>
          </w:p>
        </w:tc>
        <w:tc>
          <w:tcPr>
            <w:tcW w:w="1220"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Skutočnosť</w:t>
            </w:r>
          </w:p>
        </w:tc>
        <w:tc>
          <w:tcPr>
            <w:tcW w:w="932"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Rozdiel</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lef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 </w:t>
            </w:r>
          </w:p>
        </w:tc>
        <w:tc>
          <w:tcPr>
            <w:tcW w:w="1014" w:type="dxa"/>
            <w:tcBorders>
              <w:top w:val="nil"/>
              <w:left w:val="nil"/>
              <w:bottom w:val="nil"/>
              <w:right w:val="nil"/>
            </w:tcBorders>
            <w:shd w:val="clear" w:color="000000" w:fill="BFBFBF"/>
            <w:textDirection w:val="lrTb"/>
            <w:vAlign w:val="center"/>
            <w:hideMark/>
          </w:tcPr>
          <w:p w:rsidR="00EA6427" w:rsidRPr="009F2B21" w:rsidP="00687A65">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2015</w:t>
            </w:r>
          </w:p>
        </w:tc>
        <w:tc>
          <w:tcPr>
            <w:tcW w:w="1220"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2016</w:t>
            </w:r>
          </w:p>
        </w:tc>
        <w:tc>
          <w:tcPr>
            <w:tcW w:w="1048"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Schválený</w:t>
            </w:r>
          </w:p>
        </w:tc>
        <w:tc>
          <w:tcPr>
            <w:tcW w:w="1220"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Upravený</w:t>
            </w:r>
          </w:p>
        </w:tc>
        <w:tc>
          <w:tcPr>
            <w:tcW w:w="1220"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2017</w:t>
            </w:r>
          </w:p>
        </w:tc>
        <w:tc>
          <w:tcPr>
            <w:tcW w:w="932" w:type="dxa"/>
            <w:tcBorders>
              <w:top w:val="nil"/>
              <w:left w:val="nil"/>
              <w:bottom w:val="nil"/>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 </w:t>
            </w:r>
          </w:p>
        </w:tc>
      </w:tr>
      <w:tr>
        <w:tblPrEx>
          <w:tblW w:w="8774" w:type="dxa"/>
          <w:tblInd w:w="55" w:type="dxa"/>
          <w:tblLayout w:type="fixed"/>
          <w:tblCellMar>
            <w:left w:w="70" w:type="dxa"/>
            <w:right w:w="70" w:type="dxa"/>
          </w:tblCellMar>
          <w:tblLook w:val="04A0"/>
        </w:tblPrEx>
        <w:trPr>
          <w:trHeight w:val="345"/>
        </w:trPr>
        <w:tc>
          <w:tcPr>
            <w:tcW w:w="2120"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lef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 </w:t>
            </w:r>
          </w:p>
        </w:tc>
        <w:tc>
          <w:tcPr>
            <w:tcW w:w="1014"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w:t>
            </w:r>
          </w:p>
        </w:tc>
        <w:tc>
          <w:tcPr>
            <w:tcW w:w="1220"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2</w:t>
            </w:r>
          </w:p>
        </w:tc>
        <w:tc>
          <w:tcPr>
            <w:tcW w:w="1048"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3</w:t>
            </w:r>
          </w:p>
        </w:tc>
        <w:tc>
          <w:tcPr>
            <w:tcW w:w="1220"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4</w:t>
            </w:r>
          </w:p>
        </w:tc>
        <w:tc>
          <w:tcPr>
            <w:tcW w:w="1220"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5</w:t>
            </w:r>
          </w:p>
        </w:tc>
        <w:tc>
          <w:tcPr>
            <w:tcW w:w="932" w:type="dxa"/>
            <w:tcBorders>
              <w:top w:val="nil"/>
              <w:left w:val="nil"/>
              <w:bottom w:val="single" w:sz="8" w:space="0" w:color="auto"/>
              <w:right w:val="nil"/>
            </w:tcBorders>
            <w:shd w:val="clear" w:color="000000" w:fill="BFBFBF"/>
            <w:textDirection w:val="lrTb"/>
            <w:vAlign w:val="center"/>
            <w:hideMark/>
          </w:tcPr>
          <w:p w:rsidR="00EA6427" w:rsidRPr="009F2B21" w:rsidP="004A0E7A">
            <w:pPr>
              <w:bidi w:val="0"/>
              <w:spacing w:after="0" w:line="240" w:lineRule="auto"/>
              <w:jc w:val="center"/>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6=5-3</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Príjmy spolu</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16 233 795</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b/>
                <w:bCs/>
                <w:sz w:val="18"/>
                <w:szCs w:val="18"/>
                <w:lang w:eastAsia="sk-SK"/>
              </w:rPr>
            </w:pPr>
            <w:r w:rsidRPr="009F2B21">
              <w:rPr>
                <w:rFonts w:ascii="Times New Roman" w:hAnsi="Times New Roman"/>
                <w:b/>
                <w:bCs/>
                <w:sz w:val="18"/>
                <w:szCs w:val="18"/>
                <w:lang w:eastAsia="sk-SK"/>
              </w:rPr>
              <w:t>14 275 917</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sz w:val="18"/>
                <w:szCs w:val="18"/>
                <w:lang w:eastAsia="sk-SK"/>
              </w:rPr>
            </w:pPr>
            <w:r w:rsidRPr="009F2B21">
              <w:rPr>
                <w:rFonts w:ascii="Times New Roman" w:hAnsi="Times New Roman"/>
                <w:b/>
                <w:bCs/>
                <w:sz w:val="18"/>
                <w:szCs w:val="18"/>
                <w:lang w:eastAsia="sk-SK"/>
              </w:rPr>
              <w:t>15 390 147</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14 079 600</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b/>
                <w:bCs/>
                <w:sz w:val="18"/>
                <w:szCs w:val="18"/>
                <w:lang w:eastAsia="sk-SK"/>
              </w:rPr>
            </w:pPr>
            <w:r w:rsidRPr="009F2B21">
              <w:rPr>
                <w:rFonts w:ascii="Times New Roman" w:hAnsi="Times New Roman"/>
                <w:b/>
                <w:bCs/>
                <w:sz w:val="18"/>
                <w:szCs w:val="18"/>
                <w:lang w:eastAsia="sk-SK"/>
              </w:rPr>
              <w:t>14 014 129</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-1 376 018</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color w:val="000000"/>
                <w:sz w:val="18"/>
                <w:szCs w:val="18"/>
                <w:lang w:eastAsia="sk-SK"/>
              </w:rPr>
            </w:pPr>
            <w:r w:rsidRPr="009F2B21">
              <w:rPr>
                <w:rFonts w:ascii="Times New Roman" w:hAnsi="Times New Roman"/>
                <w:color w:val="000000"/>
                <w:sz w:val="18"/>
                <w:szCs w:val="18"/>
                <w:lang w:eastAsia="sk-SK"/>
              </w:rPr>
              <w:t>v tom: daňové príjmy</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10 612 712</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11 068 156</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11 530 095</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11 530 095</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11 152 310</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-377 785</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nedaňové príjmy</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1 278 721</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1 222 973</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1 161 474</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1 088 240</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1 385 457</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223 983</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granty a transfery</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4 342 362</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1 984 788</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2 698 578</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1 461 265</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1 476 362</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-1 222 216</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Výdavky spolu</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18 166 391</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b/>
                <w:bCs/>
                <w:sz w:val="18"/>
                <w:szCs w:val="18"/>
                <w:lang w:eastAsia="sk-SK"/>
              </w:rPr>
            </w:pPr>
            <w:r w:rsidRPr="009F2B21">
              <w:rPr>
                <w:rFonts w:ascii="Times New Roman" w:hAnsi="Times New Roman"/>
                <w:b/>
                <w:bCs/>
                <w:sz w:val="18"/>
                <w:szCs w:val="18"/>
                <w:lang w:eastAsia="sk-SK"/>
              </w:rPr>
              <w:t>15 256 172</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17 383 366</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15 410 365</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b/>
                <w:bCs/>
                <w:sz w:val="18"/>
                <w:szCs w:val="18"/>
                <w:lang w:eastAsia="sk-SK"/>
              </w:rPr>
            </w:pPr>
            <w:r w:rsidRPr="009F2B21">
              <w:rPr>
                <w:rFonts w:ascii="Times New Roman" w:hAnsi="Times New Roman"/>
                <w:b/>
                <w:bCs/>
                <w:sz w:val="18"/>
                <w:szCs w:val="18"/>
                <w:lang w:eastAsia="sk-SK"/>
              </w:rPr>
              <w:t>15 234 261</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-2 149 105</w:t>
            </w:r>
          </w:p>
        </w:tc>
      </w:tr>
      <w:tr>
        <w:tblPrEx>
          <w:tblW w:w="8774" w:type="dxa"/>
          <w:tblInd w:w="55" w:type="dxa"/>
          <w:tblLayout w:type="fixed"/>
          <w:tblCellMar>
            <w:left w:w="70" w:type="dxa"/>
            <w:right w:w="70" w:type="dxa"/>
          </w:tblCellMar>
          <w:tblLook w:val="04A0"/>
        </w:tblPrEx>
        <w:trPr>
          <w:trHeight w:val="330"/>
        </w:trPr>
        <w:tc>
          <w:tcPr>
            <w:tcW w:w="2120" w:type="dxa"/>
            <w:tcBorders>
              <w:top w:val="nil"/>
              <w:left w:val="nil"/>
              <w:bottom w:val="nil"/>
              <w:right w:val="nil"/>
            </w:tcBorders>
            <w:noWrap/>
            <w:textDirection w:val="lrTb"/>
            <w:vAlign w:val="center"/>
            <w:hideMark/>
          </w:tcPr>
          <w:p w:rsidR="00EA6427" w:rsidRPr="009F2B21" w:rsidP="004A0E7A">
            <w:pPr>
              <w:bidi w:val="0"/>
              <w:spacing w:after="0" w:line="240" w:lineRule="auto"/>
              <w:rPr>
                <w:rFonts w:ascii="Times New Roman" w:hAnsi="Times New Roman"/>
                <w:color w:val="000000"/>
                <w:sz w:val="18"/>
                <w:szCs w:val="18"/>
                <w:lang w:eastAsia="sk-SK"/>
              </w:rPr>
            </w:pPr>
            <w:r w:rsidRPr="009F2B21">
              <w:rPr>
                <w:rFonts w:ascii="Times New Roman" w:hAnsi="Times New Roman"/>
                <w:color w:val="000000"/>
                <w:sz w:val="18"/>
                <w:szCs w:val="18"/>
                <w:lang w:eastAsia="sk-SK"/>
              </w:rPr>
              <w:t>v tom: bežné výdavky</w:t>
            </w:r>
          </w:p>
        </w:tc>
        <w:tc>
          <w:tcPr>
            <w:tcW w:w="1014" w:type="dxa"/>
            <w:tcBorders>
              <w:top w:val="nil"/>
              <w:left w:val="nil"/>
              <w:bottom w:val="nil"/>
              <w:right w:val="nil"/>
            </w:tcBorders>
            <w:textDirection w:val="lrTb"/>
            <w:vAlign w:val="center"/>
            <w:hideMark/>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13 498 303</w:t>
            </w:r>
          </w:p>
        </w:tc>
        <w:tc>
          <w:tcPr>
            <w:tcW w:w="1220" w:type="dxa"/>
            <w:tcBorders>
              <w:top w:val="nil"/>
              <w:left w:val="nil"/>
              <w:bottom w:val="nil"/>
              <w:right w:val="nil"/>
            </w:tcBorders>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13 353 916</w:t>
            </w:r>
          </w:p>
        </w:tc>
        <w:tc>
          <w:tcPr>
            <w:tcW w:w="1048"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14 644 347</w:t>
            </w:r>
          </w:p>
        </w:tc>
        <w:tc>
          <w:tcPr>
            <w:tcW w:w="1220"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13 854 652</w:t>
            </w:r>
          </w:p>
        </w:tc>
        <w:tc>
          <w:tcPr>
            <w:tcW w:w="1220" w:type="dxa"/>
            <w:tcBorders>
              <w:top w:val="nil"/>
              <w:left w:val="nil"/>
              <w:bottom w:val="nil"/>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13 681 468</w:t>
            </w:r>
          </w:p>
        </w:tc>
        <w:tc>
          <w:tcPr>
            <w:tcW w:w="932" w:type="dxa"/>
            <w:tcBorders>
              <w:top w:val="nil"/>
              <w:left w:val="nil"/>
              <w:bottom w:val="nil"/>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-962 879</w:t>
            </w:r>
          </w:p>
        </w:tc>
      </w:tr>
      <w:tr>
        <w:tblPrEx>
          <w:tblW w:w="8774" w:type="dxa"/>
          <w:tblInd w:w="55" w:type="dxa"/>
          <w:tblLayout w:type="fixed"/>
          <w:tblCellMar>
            <w:left w:w="70" w:type="dxa"/>
            <w:right w:w="70" w:type="dxa"/>
          </w:tblCellMar>
          <w:tblLook w:val="04A0"/>
        </w:tblPrEx>
        <w:trPr>
          <w:trHeight w:val="345"/>
        </w:trPr>
        <w:tc>
          <w:tcPr>
            <w:tcW w:w="2120" w:type="dxa"/>
            <w:tcBorders>
              <w:top w:val="nil"/>
              <w:left w:val="nil"/>
              <w:bottom w:val="single" w:sz="8" w:space="0" w:color="auto"/>
              <w:right w:val="nil"/>
            </w:tcBorders>
            <w:noWrap/>
            <w:textDirection w:val="lrTb"/>
            <w:vAlign w:val="center"/>
            <w:hideMark/>
          </w:tcPr>
          <w:p w:rsidR="00EA6427" w:rsidRPr="009F2B21" w:rsidP="004A0E7A">
            <w:pPr>
              <w:bidi w:val="0"/>
              <w:spacing w:after="0" w:line="240" w:lineRule="auto"/>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kapitálové výdavky</w:t>
            </w:r>
          </w:p>
        </w:tc>
        <w:tc>
          <w:tcPr>
            <w:tcW w:w="1014" w:type="dxa"/>
            <w:tcBorders>
              <w:top w:val="nil"/>
              <w:left w:val="nil"/>
              <w:bottom w:val="single" w:sz="8" w:space="0" w:color="auto"/>
              <w:right w:val="nil"/>
            </w:tcBorders>
            <w:textDirection w:val="lrTb"/>
            <w:vAlign w:val="center"/>
            <w:hideMark/>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4 668 088</w:t>
            </w:r>
          </w:p>
        </w:tc>
        <w:tc>
          <w:tcPr>
            <w:tcW w:w="1220" w:type="dxa"/>
            <w:tcBorders>
              <w:top w:val="nil"/>
              <w:left w:val="nil"/>
              <w:bottom w:val="single" w:sz="8" w:space="0" w:color="auto"/>
              <w:right w:val="nil"/>
            </w:tcBorders>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1 902 256</w:t>
            </w:r>
          </w:p>
        </w:tc>
        <w:tc>
          <w:tcPr>
            <w:tcW w:w="1048" w:type="dxa"/>
            <w:tcBorders>
              <w:top w:val="nil"/>
              <w:left w:val="nil"/>
              <w:bottom w:val="single" w:sz="4"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2 739 019</w:t>
            </w:r>
          </w:p>
        </w:tc>
        <w:tc>
          <w:tcPr>
            <w:tcW w:w="1220" w:type="dxa"/>
            <w:tcBorders>
              <w:top w:val="nil"/>
              <w:left w:val="nil"/>
              <w:bottom w:val="single" w:sz="4"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 xml:space="preserve"> 1 555 713</w:t>
            </w:r>
          </w:p>
        </w:tc>
        <w:tc>
          <w:tcPr>
            <w:tcW w:w="1220" w:type="dxa"/>
            <w:tcBorders>
              <w:top w:val="nil"/>
              <w:left w:val="nil"/>
              <w:bottom w:val="single" w:sz="4" w:space="0" w:color="auto"/>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1 552 793</w:t>
            </w:r>
          </w:p>
        </w:tc>
        <w:tc>
          <w:tcPr>
            <w:tcW w:w="932" w:type="dxa"/>
            <w:tcBorders>
              <w:top w:val="nil"/>
              <w:left w:val="nil"/>
              <w:bottom w:val="single" w:sz="4"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-1 186 226</w:t>
            </w:r>
          </w:p>
        </w:tc>
      </w:tr>
      <w:tr>
        <w:tblPrEx>
          <w:tblW w:w="8774" w:type="dxa"/>
          <w:tblInd w:w="55" w:type="dxa"/>
          <w:tblLayout w:type="fixed"/>
          <w:tblCellMar>
            <w:left w:w="70" w:type="dxa"/>
            <w:right w:w="70" w:type="dxa"/>
          </w:tblCellMar>
          <w:tblLook w:val="04A0"/>
        </w:tblPrEx>
        <w:trPr>
          <w:trHeight w:val="345"/>
        </w:trPr>
        <w:tc>
          <w:tcPr>
            <w:tcW w:w="2120" w:type="dxa"/>
            <w:tcBorders>
              <w:top w:val="nil"/>
              <w:left w:val="nil"/>
              <w:bottom w:val="single" w:sz="8" w:space="0" w:color="auto"/>
              <w:right w:val="nil"/>
            </w:tcBorders>
            <w:noWrap/>
            <w:textDirection w:val="lrTb"/>
            <w:vAlign w:val="center"/>
            <w:hideMark/>
          </w:tcPr>
          <w:p w:rsidR="00EA6427" w:rsidRPr="009F2B21" w:rsidP="004A0E7A">
            <w:pPr>
              <w:bidi w:val="0"/>
              <w:spacing w:after="0" w:line="240" w:lineRule="auto"/>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Schodok (-)</w:t>
            </w:r>
          </w:p>
        </w:tc>
        <w:tc>
          <w:tcPr>
            <w:tcW w:w="1014" w:type="dxa"/>
            <w:tcBorders>
              <w:top w:val="nil"/>
              <w:left w:val="nil"/>
              <w:bottom w:val="single" w:sz="8" w:space="0" w:color="auto"/>
              <w:right w:val="nil"/>
            </w:tcBorders>
            <w:textDirection w:val="lrTb"/>
            <w:vAlign w:val="center"/>
            <w:hideMark/>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-1 932 596</w:t>
            </w:r>
          </w:p>
        </w:tc>
        <w:tc>
          <w:tcPr>
            <w:tcW w:w="1220" w:type="dxa"/>
            <w:tcBorders>
              <w:top w:val="nil"/>
              <w:left w:val="nil"/>
              <w:bottom w:val="single" w:sz="8" w:space="0" w:color="auto"/>
              <w:right w:val="nil"/>
            </w:tcBorders>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-980 255</w:t>
            </w:r>
          </w:p>
        </w:tc>
        <w:tc>
          <w:tcPr>
            <w:tcW w:w="1048" w:type="dxa"/>
            <w:tcBorders>
              <w:top w:val="nil"/>
              <w:left w:val="nil"/>
              <w:bottom w:val="single" w:sz="8"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-1 993 219</w:t>
            </w:r>
          </w:p>
        </w:tc>
        <w:tc>
          <w:tcPr>
            <w:tcW w:w="1220" w:type="dxa"/>
            <w:tcBorders>
              <w:top w:val="nil"/>
              <w:left w:val="nil"/>
              <w:bottom w:val="single" w:sz="8"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- 1 330 765</w:t>
            </w:r>
          </w:p>
        </w:tc>
        <w:tc>
          <w:tcPr>
            <w:tcW w:w="1220" w:type="dxa"/>
            <w:tcBorders>
              <w:top w:val="nil"/>
              <w:left w:val="nil"/>
              <w:bottom w:val="single" w:sz="8" w:space="0" w:color="auto"/>
              <w:right w:val="nil"/>
            </w:tcBorders>
            <w:shd w:val="clear" w:color="000000" w:fill="BFBFBF"/>
            <w:noWrap/>
            <w:textDirection w:val="lrTb"/>
            <w:vAlign w:val="center"/>
          </w:tcPr>
          <w:p w:rsidR="00EA6427" w:rsidRPr="009F2B21" w:rsidP="004A0E7A">
            <w:pPr>
              <w:bidi w:val="0"/>
              <w:spacing w:after="0" w:line="240" w:lineRule="auto"/>
              <w:jc w:val="right"/>
              <w:rPr>
                <w:rFonts w:ascii="Times New Roman" w:hAnsi="Times New Roman"/>
                <w:b/>
                <w:bCs/>
                <w:color w:val="000000"/>
                <w:sz w:val="18"/>
                <w:szCs w:val="18"/>
                <w:lang w:eastAsia="sk-SK"/>
              </w:rPr>
            </w:pPr>
            <w:r w:rsidRPr="009F2B21">
              <w:rPr>
                <w:rFonts w:ascii="Times New Roman" w:hAnsi="Times New Roman"/>
                <w:b/>
                <w:bCs/>
                <w:color w:val="000000"/>
                <w:sz w:val="18"/>
                <w:szCs w:val="18"/>
                <w:lang w:eastAsia="sk-SK"/>
              </w:rPr>
              <w:t>-1 220 132</w:t>
            </w:r>
          </w:p>
        </w:tc>
        <w:tc>
          <w:tcPr>
            <w:tcW w:w="932" w:type="dxa"/>
            <w:tcBorders>
              <w:top w:val="nil"/>
              <w:left w:val="nil"/>
              <w:bottom w:val="single" w:sz="8" w:space="0" w:color="auto"/>
              <w:right w:val="nil"/>
            </w:tcBorders>
            <w:noWrap/>
            <w:textDirection w:val="lrTb"/>
            <w:vAlign w:val="center"/>
          </w:tcPr>
          <w:p w:rsidR="00EA6427" w:rsidRPr="009F2B21" w:rsidP="004A0E7A">
            <w:pPr>
              <w:bidi w:val="0"/>
              <w:spacing w:after="0" w:line="240" w:lineRule="auto"/>
              <w:jc w:val="right"/>
              <w:rPr>
                <w:rFonts w:ascii="Times New Roman" w:hAnsi="Times New Roman"/>
                <w:color w:val="000000"/>
                <w:sz w:val="18"/>
                <w:szCs w:val="18"/>
                <w:lang w:eastAsia="sk-SK"/>
              </w:rPr>
            </w:pPr>
            <w:r w:rsidRPr="009F2B21">
              <w:rPr>
                <w:rFonts w:ascii="Times New Roman" w:hAnsi="Times New Roman"/>
                <w:color w:val="000000"/>
                <w:sz w:val="18"/>
                <w:szCs w:val="18"/>
                <w:lang w:eastAsia="sk-SK"/>
              </w:rPr>
              <w:t>773 087</w:t>
            </w:r>
          </w:p>
        </w:tc>
      </w:tr>
    </w:tbl>
    <w:p w:rsidR="00EA6427" w:rsidRPr="009F2B21" w:rsidP="00EA6427">
      <w:pPr>
        <w:bidi w:val="0"/>
        <w:ind w:left="6372" w:firstLine="708"/>
        <w:jc w:val="center"/>
        <w:rPr>
          <w:rFonts w:ascii="Times New Roman" w:hAnsi="Times New Roman"/>
          <w:sz w:val="18"/>
          <w:szCs w:val="18"/>
        </w:rPr>
      </w:pPr>
      <w:r w:rsidRPr="009F2B21">
        <w:rPr>
          <w:rFonts w:ascii="Times New Roman" w:hAnsi="Times New Roman"/>
          <w:sz w:val="18"/>
          <w:szCs w:val="18"/>
        </w:rPr>
        <w:t xml:space="preserve"> Zdroj: MF SR</w:t>
      </w:r>
    </w:p>
    <w:p w:rsidR="00EA6427" w:rsidRPr="009F2B21" w:rsidP="00EA6427">
      <w:pPr>
        <w:bidi w:val="0"/>
        <w:rPr>
          <w:rFonts w:ascii="Times New Roman" w:hAnsi="Times New Roman"/>
          <w:szCs w:val="22"/>
        </w:rPr>
      </w:pPr>
      <w:r w:rsidRPr="009F2B21">
        <w:rPr>
          <w:rFonts w:ascii="Times New Roman" w:hAnsi="Times New Roman"/>
          <w:szCs w:val="22"/>
        </w:rPr>
        <w:t>Schválené príjmy</w:t>
      </w:r>
      <w:r>
        <w:rPr>
          <w:rStyle w:val="FootnoteReference"/>
          <w:rFonts w:ascii="Times New Roman" w:hAnsi="Times New Roman"/>
          <w:szCs w:val="22"/>
          <w:rtl w:val="0"/>
        </w:rPr>
        <w:footnoteReference w:id="10"/>
      </w:r>
      <w:r w:rsidRPr="009F2B21">
        <w:rPr>
          <w:rFonts w:ascii="Times New Roman" w:hAnsi="Times New Roman"/>
          <w:szCs w:val="22"/>
        </w:rPr>
        <w:t xml:space="preserve"> štátneho rozpočtu na rok 2017 boli oproti schváleným príjmom na</w:t>
      </w:r>
      <w:r w:rsidR="00425E24">
        <w:rPr>
          <w:rFonts w:ascii="Times New Roman" w:hAnsi="Times New Roman"/>
          <w:szCs w:val="22"/>
        </w:rPr>
        <w:t xml:space="preserve"> rok 2016 vyššie úhrnom o 1 113 </w:t>
      </w:r>
      <w:r w:rsidRPr="009F2B21">
        <w:rPr>
          <w:rFonts w:ascii="Times New Roman" w:hAnsi="Times New Roman"/>
          <w:szCs w:val="22"/>
        </w:rPr>
        <w:t xml:space="preserve">341 tis. eur, </w:t>
      </w:r>
      <w:r w:rsidR="00256F5F">
        <w:rPr>
          <w:rFonts w:ascii="Times New Roman" w:hAnsi="Times New Roman"/>
          <w:szCs w:val="22"/>
        </w:rPr>
        <w:t>pričom sa predpokladali v</w:t>
      </w:r>
      <w:r w:rsidRPr="009F2B21">
        <w:rPr>
          <w:rFonts w:ascii="Times New Roman" w:hAnsi="Times New Roman"/>
          <w:szCs w:val="22"/>
        </w:rPr>
        <w:t>yšš</w:t>
      </w:r>
      <w:r w:rsidR="00256F5F">
        <w:rPr>
          <w:rFonts w:ascii="Times New Roman" w:hAnsi="Times New Roman"/>
          <w:szCs w:val="22"/>
        </w:rPr>
        <w:t>ie</w:t>
      </w:r>
      <w:r w:rsidRPr="009F2B21">
        <w:rPr>
          <w:rFonts w:ascii="Times New Roman" w:hAnsi="Times New Roman"/>
          <w:szCs w:val="22"/>
        </w:rPr>
        <w:t xml:space="preserve"> daňov</w:t>
      </w:r>
      <w:r w:rsidR="00256F5F">
        <w:rPr>
          <w:rFonts w:ascii="Times New Roman" w:hAnsi="Times New Roman"/>
          <w:szCs w:val="22"/>
        </w:rPr>
        <w:t>é</w:t>
      </w:r>
      <w:r w:rsidRPr="009F2B21">
        <w:rPr>
          <w:rFonts w:ascii="Times New Roman" w:hAnsi="Times New Roman"/>
          <w:szCs w:val="22"/>
        </w:rPr>
        <w:t xml:space="preserve"> príjm</w:t>
      </w:r>
      <w:r w:rsidR="00256F5F">
        <w:rPr>
          <w:rFonts w:ascii="Times New Roman" w:hAnsi="Times New Roman"/>
          <w:szCs w:val="22"/>
        </w:rPr>
        <w:t>y o 536 258 tis. eur, vyššie</w:t>
      </w:r>
      <w:r w:rsidRPr="009F2B21">
        <w:rPr>
          <w:rFonts w:ascii="Times New Roman" w:hAnsi="Times New Roman"/>
          <w:szCs w:val="22"/>
        </w:rPr>
        <w:t xml:space="preserve"> </w:t>
      </w:r>
      <w:r w:rsidR="00256F5F">
        <w:rPr>
          <w:rFonts w:ascii="Times New Roman" w:hAnsi="Times New Roman"/>
          <w:szCs w:val="22"/>
        </w:rPr>
        <w:t xml:space="preserve">príjmy z </w:t>
      </w:r>
      <w:r w:rsidRPr="009F2B21">
        <w:rPr>
          <w:rFonts w:ascii="Times New Roman" w:hAnsi="Times New Roman"/>
          <w:szCs w:val="22"/>
        </w:rPr>
        <w:t>grantov a transferov o 523 234</w:t>
      </w:r>
      <w:r w:rsidRPr="009F2B21">
        <w:rPr>
          <w:rFonts w:ascii="Times New Roman" w:hAnsi="Times New Roman"/>
        </w:rPr>
        <w:t> tis</w:t>
      </w:r>
      <w:r w:rsidRPr="009F2B21">
        <w:rPr>
          <w:rFonts w:ascii="Times New Roman" w:hAnsi="Times New Roman"/>
          <w:szCs w:val="22"/>
        </w:rPr>
        <w:t>. eur ako aj vyšš</w:t>
      </w:r>
      <w:r w:rsidR="00256F5F">
        <w:rPr>
          <w:rFonts w:ascii="Times New Roman" w:hAnsi="Times New Roman"/>
          <w:szCs w:val="22"/>
        </w:rPr>
        <w:t>ie</w:t>
      </w:r>
      <w:r w:rsidRPr="009F2B21">
        <w:rPr>
          <w:rFonts w:ascii="Times New Roman" w:hAnsi="Times New Roman"/>
          <w:szCs w:val="22"/>
        </w:rPr>
        <w:t xml:space="preserve"> nedaňov</w:t>
      </w:r>
      <w:r w:rsidR="00256F5F">
        <w:rPr>
          <w:rFonts w:ascii="Times New Roman" w:hAnsi="Times New Roman"/>
          <w:szCs w:val="22"/>
        </w:rPr>
        <w:t>é</w:t>
      </w:r>
      <w:r w:rsidRPr="009F2B21">
        <w:rPr>
          <w:rFonts w:ascii="Times New Roman" w:hAnsi="Times New Roman"/>
          <w:szCs w:val="22"/>
        </w:rPr>
        <w:t xml:space="preserve"> príjm</w:t>
      </w:r>
      <w:r w:rsidR="00256F5F">
        <w:rPr>
          <w:rFonts w:ascii="Times New Roman" w:hAnsi="Times New Roman"/>
          <w:szCs w:val="22"/>
        </w:rPr>
        <w:t>y</w:t>
      </w:r>
      <w:r w:rsidRPr="009F2B21">
        <w:rPr>
          <w:rFonts w:ascii="Times New Roman" w:hAnsi="Times New Roman"/>
          <w:szCs w:val="22"/>
        </w:rPr>
        <w:t xml:space="preserve"> o 53 849 tis. eur. Vyššie hotovostné príjmy mal odzrkadľovať pozitívny hospodársky rast SR (očakávaný na úrovni 3,5 %), s tým súvisiaca rastúca zamestnanosť (očakávaná hodnota rastu o 1,5 % resp. 34 tis. pracovných miest), pokr</w:t>
      </w:r>
      <w:r w:rsidR="00256F5F">
        <w:rPr>
          <w:rFonts w:ascii="Times New Roman" w:hAnsi="Times New Roman"/>
          <w:szCs w:val="22"/>
        </w:rPr>
        <w:t xml:space="preserve">ačujúci boj s daňovými únikmi a </w:t>
      </w:r>
      <w:r w:rsidRPr="009F2B21">
        <w:rPr>
          <w:rFonts w:ascii="Times New Roman" w:hAnsi="Times New Roman"/>
          <w:szCs w:val="22"/>
        </w:rPr>
        <w:t xml:space="preserve">zvyšovanie efektívnosti výberu daní, ako aj vyššie čerpanie prostriedkov zo spoločných programov EÚ. </w:t>
      </w:r>
    </w:p>
    <w:p w:rsidR="00EA6427" w:rsidRPr="009F2B21" w:rsidP="00EA6427">
      <w:pPr>
        <w:bidi w:val="0"/>
        <w:rPr>
          <w:rFonts w:ascii="Times New Roman" w:hAnsi="Times New Roman"/>
          <w:szCs w:val="22"/>
        </w:rPr>
      </w:pPr>
      <w:r w:rsidRPr="009F2B21">
        <w:rPr>
          <w:rFonts w:ascii="Times New Roman" w:hAnsi="Times New Roman"/>
          <w:szCs w:val="22"/>
        </w:rPr>
        <w:t>Z daňových príjmov bola medziročne rozpočtovaná vyššia daň z príjmov právnickej osoby</w:t>
      </w:r>
      <w:r w:rsidR="00425E24">
        <w:rPr>
          <w:rFonts w:ascii="Times New Roman" w:hAnsi="Times New Roman"/>
          <w:szCs w:val="22"/>
        </w:rPr>
        <w:t xml:space="preserve"> </w:t>
      </w:r>
      <w:r w:rsidR="005C44D8">
        <w:rPr>
          <w:rFonts w:ascii="Times New Roman" w:hAnsi="Times New Roman"/>
          <w:szCs w:val="22"/>
        </w:rPr>
        <w:t>o 318 </w:t>
      </w:r>
      <w:r w:rsidRPr="009F2B21">
        <w:rPr>
          <w:rFonts w:ascii="Times New Roman" w:hAnsi="Times New Roman"/>
          <w:szCs w:val="22"/>
        </w:rPr>
        <w:t>127 tis. eur</w:t>
      </w:r>
      <w:r w:rsidR="00425E24">
        <w:rPr>
          <w:rFonts w:ascii="Times New Roman" w:hAnsi="Times New Roman"/>
          <w:szCs w:val="22"/>
        </w:rPr>
        <w:t xml:space="preserve">, daň z pridanej hodnoty </w:t>
      </w:r>
      <w:r w:rsidRPr="009F2B21">
        <w:rPr>
          <w:rFonts w:ascii="Times New Roman" w:hAnsi="Times New Roman"/>
          <w:szCs w:val="22"/>
        </w:rPr>
        <w:t>o 101 364 tis. eur a sp</w:t>
      </w:r>
      <w:r w:rsidR="00425E24">
        <w:rPr>
          <w:rFonts w:ascii="Times New Roman" w:hAnsi="Times New Roman"/>
          <w:szCs w:val="22"/>
        </w:rPr>
        <w:t xml:space="preserve">otrebné dane </w:t>
      </w:r>
      <w:r w:rsidRPr="009F2B21">
        <w:rPr>
          <w:rFonts w:ascii="Times New Roman" w:hAnsi="Times New Roman"/>
          <w:szCs w:val="22"/>
        </w:rPr>
        <w:t>o 95 057 tis. eur. Rozpočet reflektoval aj na legislatívne zmeny v daniach, napríklad zavedenie dane z dividend, zníženie sadzby korporátnej dane o 1 p.</w:t>
      </w:r>
      <w:r w:rsidR="00256F5F">
        <w:rPr>
          <w:rFonts w:ascii="Times New Roman" w:hAnsi="Times New Roman"/>
          <w:szCs w:val="22"/>
        </w:rPr>
        <w:t xml:space="preserve"> </w:t>
      </w:r>
      <w:r w:rsidRPr="009F2B21">
        <w:rPr>
          <w:rFonts w:ascii="Times New Roman" w:hAnsi="Times New Roman"/>
          <w:szCs w:val="22"/>
        </w:rPr>
        <w:t>b., dvojkrokové zvýšenie sadzby spotrebnej dane z tabakových výrobkov a</w:t>
      </w:r>
      <w:r w:rsidR="00256F5F">
        <w:rPr>
          <w:rFonts w:ascii="Times New Roman" w:hAnsi="Times New Roman"/>
          <w:szCs w:val="22"/>
        </w:rPr>
        <w:t xml:space="preserve"> </w:t>
      </w:r>
      <w:r w:rsidRPr="009F2B21">
        <w:rPr>
          <w:rFonts w:ascii="Times New Roman" w:hAnsi="Times New Roman"/>
          <w:szCs w:val="22"/>
        </w:rPr>
        <w:t>ďalšie.</w:t>
      </w:r>
    </w:p>
    <w:p w:rsidR="00EA6427" w:rsidRPr="009F2B21" w:rsidP="00EA6427">
      <w:pPr>
        <w:bidi w:val="0"/>
        <w:rPr>
          <w:rFonts w:ascii="Times New Roman" w:hAnsi="Times New Roman"/>
          <w:szCs w:val="22"/>
        </w:rPr>
      </w:pPr>
      <w:r w:rsidR="0015313D">
        <w:rPr>
          <w:rFonts w:ascii="Times New Roman" w:hAnsi="Times New Roman"/>
          <w:szCs w:val="22"/>
        </w:rPr>
        <w:t xml:space="preserve">Príjmy z grantov a </w:t>
      </w:r>
      <w:r w:rsidRPr="009F2B21">
        <w:rPr>
          <w:rFonts w:ascii="Times New Roman" w:hAnsi="Times New Roman"/>
          <w:szCs w:val="22"/>
        </w:rPr>
        <w:t xml:space="preserve">transferov sú takmer z 98 % tvorené transfermi z rozpočtu Európskej únie. V porovnaní s rokom </w:t>
      </w:r>
      <w:r w:rsidR="00425E24">
        <w:rPr>
          <w:rFonts w:ascii="Times New Roman" w:hAnsi="Times New Roman"/>
          <w:szCs w:val="22"/>
        </w:rPr>
        <w:t xml:space="preserve">2016 </w:t>
      </w:r>
      <w:r w:rsidRPr="009F2B21">
        <w:rPr>
          <w:rFonts w:ascii="Times New Roman" w:hAnsi="Times New Roman"/>
          <w:szCs w:val="22"/>
        </w:rPr>
        <w:t>sa rozpočtovali vyššie o 512 768 tis. eur. V rámci tuzemských transferov sa rozpočtoval medziročne vyšš</w:t>
      </w:r>
      <w:r w:rsidR="00ED3686">
        <w:rPr>
          <w:rFonts w:ascii="Times New Roman" w:hAnsi="Times New Roman"/>
          <w:szCs w:val="22"/>
        </w:rPr>
        <w:t>í</w:t>
      </w:r>
      <w:r w:rsidRPr="009F2B21">
        <w:rPr>
          <w:rFonts w:ascii="Times New Roman" w:hAnsi="Times New Roman"/>
          <w:szCs w:val="22"/>
        </w:rPr>
        <w:t xml:space="preserve"> transfer zo Slovenského pozemkového fondu, a</w:t>
      </w:r>
      <w:r w:rsidR="0015313D">
        <w:rPr>
          <w:rFonts w:ascii="Times New Roman" w:hAnsi="Times New Roman"/>
          <w:szCs w:val="22"/>
        </w:rPr>
        <w:t xml:space="preserve"> </w:t>
      </w:r>
      <w:r w:rsidRPr="009F2B21">
        <w:rPr>
          <w:rFonts w:ascii="Times New Roman" w:hAnsi="Times New Roman"/>
          <w:szCs w:val="22"/>
        </w:rPr>
        <w:t>to o 10 096 tis. eur.</w:t>
      </w:r>
    </w:p>
    <w:p w:rsidR="00EA6427" w:rsidRPr="009F2B21" w:rsidP="00EA6427">
      <w:pPr>
        <w:bidi w:val="0"/>
        <w:rPr>
          <w:rFonts w:ascii="Times New Roman" w:hAnsi="Times New Roman"/>
          <w:szCs w:val="22"/>
        </w:rPr>
      </w:pPr>
      <w:r w:rsidRPr="009F2B21">
        <w:rPr>
          <w:rFonts w:ascii="Times New Roman" w:hAnsi="Times New Roman"/>
          <w:szCs w:val="22"/>
        </w:rPr>
        <w:t>Z nedaňových príjmov sa medziročne vyššie rozpočtovali najmä príjmy z odvodov z hazardných hier a iných podobných hier o 42 900 tis. eur a</w:t>
      </w:r>
      <w:r w:rsidR="0034534B">
        <w:rPr>
          <w:rFonts w:ascii="Times New Roman" w:hAnsi="Times New Roman"/>
          <w:szCs w:val="22"/>
        </w:rPr>
        <w:t xml:space="preserve"> </w:t>
      </w:r>
      <w:r w:rsidRPr="009F2B21">
        <w:rPr>
          <w:rFonts w:ascii="Times New Roman" w:hAnsi="Times New Roman"/>
          <w:szCs w:val="22"/>
        </w:rPr>
        <w:t>príjmy z náhrad poistného plnenia o 18 330 tis. eur, naopak medziročne nižšie sa rozpočtovali príjmy z podnikania o 18 378 tis. eur, z toho najmä z</w:t>
      </w:r>
      <w:r w:rsidR="00687A65">
        <w:rPr>
          <w:rFonts w:ascii="Times New Roman" w:hAnsi="Times New Roman"/>
          <w:szCs w:val="22"/>
        </w:rPr>
        <w:t> </w:t>
      </w:r>
      <w:r w:rsidRPr="009F2B21">
        <w:rPr>
          <w:rFonts w:ascii="Times New Roman" w:hAnsi="Times New Roman"/>
          <w:szCs w:val="22"/>
        </w:rPr>
        <w:t>dividend</w:t>
      </w:r>
      <w:r w:rsidR="00687A65">
        <w:rPr>
          <w:rFonts w:ascii="Times New Roman" w:hAnsi="Times New Roman"/>
          <w:szCs w:val="22"/>
        </w:rPr>
        <w:t xml:space="preserve"> </w:t>
      </w:r>
      <w:r w:rsidRPr="009F2B21">
        <w:rPr>
          <w:rFonts w:ascii="Times New Roman" w:hAnsi="Times New Roman"/>
          <w:szCs w:val="22"/>
        </w:rPr>
        <w:t>(o 13 158 tis. eur).</w:t>
      </w:r>
    </w:p>
    <w:p w:rsidR="00EA6427" w:rsidRPr="009F2B21" w:rsidP="00EA6427">
      <w:pPr>
        <w:bidi w:val="0"/>
        <w:rPr>
          <w:rFonts w:ascii="Times New Roman" w:hAnsi="Times New Roman"/>
          <w:szCs w:val="22"/>
        </w:rPr>
      </w:pPr>
      <w:r w:rsidRPr="009F2B21">
        <w:rPr>
          <w:rFonts w:ascii="Times New Roman" w:hAnsi="Times New Roman"/>
          <w:szCs w:val="22"/>
        </w:rPr>
        <w:t>V medziročnom porovnaní schválených výdavkov štátneho rozpočtu na roky 2017 a 2016 sa predpokladalo ich zvýšenie o 1 136 165</w:t>
      </w:r>
      <w:r w:rsidRPr="009F2B21">
        <w:rPr>
          <w:rFonts w:ascii="Times New Roman" w:hAnsi="Times New Roman"/>
        </w:rPr>
        <w:t> tis. eur</w:t>
      </w:r>
      <w:r w:rsidRPr="009F2B21">
        <w:rPr>
          <w:rFonts w:ascii="Times New Roman" w:hAnsi="Times New Roman"/>
          <w:szCs w:val="22"/>
        </w:rPr>
        <w:t>. Bežné výdavky sa rozpočtovali medziročne vyššie o 291 460 tis. eur a kapitálové výdavky vyššie o 844 705 tis. eur. Výdavky štátneho rozpočtu mali okrem štandardných úloh zabezpečovať finančné krytie aj napr. pre zákonnú valorizáciu jednotlivých sociálnych dávok, dopočet valorizácie pre pedagogických a odborných zamestnancov a učiteľov vysokých škôl od 1. septembra 2016, budovanie nových projektov cestnej infraštruktúry (priemyselné parky, bratislavský obchvat D4/R7, rekonštrukcie ciest prvej triedy a pod.), zvýšené požiadavky na obranu, budovanie športovej infraštruktúry a ďalšie.</w:t>
      </w:r>
    </w:p>
    <w:p w:rsidR="00EA6427" w:rsidRPr="009F2B21" w:rsidP="00EA6427">
      <w:pPr>
        <w:bidi w:val="0"/>
        <w:rPr>
          <w:rFonts w:ascii="Times New Roman" w:hAnsi="Times New Roman"/>
          <w:szCs w:val="22"/>
        </w:rPr>
      </w:pPr>
      <w:r w:rsidRPr="009F2B21">
        <w:rPr>
          <w:rFonts w:ascii="Times New Roman" w:hAnsi="Times New Roman"/>
          <w:szCs w:val="22"/>
        </w:rPr>
        <w:t>Z bežných výdavkov boli predpokladané vyššie mzdy, platy, služobné príjmy a</w:t>
      </w:r>
      <w:r w:rsidR="00ED3686">
        <w:rPr>
          <w:rFonts w:ascii="Times New Roman" w:hAnsi="Times New Roman"/>
          <w:szCs w:val="22"/>
        </w:rPr>
        <w:t xml:space="preserve"> </w:t>
      </w:r>
      <w:r w:rsidRPr="009F2B21">
        <w:rPr>
          <w:rFonts w:ascii="Times New Roman" w:hAnsi="Times New Roman"/>
          <w:szCs w:val="22"/>
        </w:rPr>
        <w:t>s tým súvisiace príspevky na poistné o</w:t>
      </w:r>
      <w:r w:rsidR="00425E24">
        <w:rPr>
          <w:rFonts w:ascii="Times New Roman" w:hAnsi="Times New Roman"/>
          <w:szCs w:val="22"/>
        </w:rPr>
        <w:t xml:space="preserve">dvody a príspevky do poisťovní </w:t>
      </w:r>
      <w:r w:rsidRPr="009F2B21">
        <w:rPr>
          <w:rFonts w:ascii="Times New Roman" w:hAnsi="Times New Roman"/>
          <w:szCs w:val="22"/>
        </w:rPr>
        <w:t>o 164 370 tis. eur. Výdavky na tovary a služby sa rozpočtovali medziročne vyššie o 334 903 tis. eur, z toho najmä na materiál, údržbu zariadení, budov a ostatného majetku štátu a poskytované služby (v rámci nich aj spolufinancovanie k EÚ projektom).</w:t>
      </w:r>
    </w:p>
    <w:p w:rsidR="00EA6427" w:rsidRPr="009F2B21" w:rsidP="00EA6427">
      <w:pPr>
        <w:bidi w:val="0"/>
        <w:rPr>
          <w:rFonts w:ascii="Times New Roman" w:hAnsi="Times New Roman"/>
          <w:szCs w:val="22"/>
        </w:rPr>
      </w:pPr>
      <w:r w:rsidRPr="009F2B21">
        <w:rPr>
          <w:rFonts w:ascii="Times New Roman" w:hAnsi="Times New Roman"/>
          <w:szCs w:val="22"/>
        </w:rPr>
        <w:t>Výdavky na bežné transfery boli rozpočtované medziročne nižšie o 207 812 tis. eur, pričom tuzemské bežné transfery v rámci verejnej správy boli vyššie o 295 491 tis. eur a</w:t>
      </w:r>
      <w:r w:rsidR="00DF1A1A">
        <w:rPr>
          <w:rFonts w:ascii="Times New Roman" w:hAnsi="Times New Roman"/>
          <w:szCs w:val="22"/>
        </w:rPr>
        <w:t xml:space="preserve"> </w:t>
      </w:r>
      <w:r w:rsidRPr="009F2B21">
        <w:rPr>
          <w:rFonts w:ascii="Times New Roman" w:hAnsi="Times New Roman"/>
          <w:szCs w:val="22"/>
        </w:rPr>
        <w:t>transfery jednotlivcom a</w:t>
      </w:r>
      <w:r w:rsidR="00840831">
        <w:rPr>
          <w:rFonts w:ascii="Times New Roman" w:hAnsi="Times New Roman"/>
          <w:szCs w:val="22"/>
        </w:rPr>
        <w:t xml:space="preserve"> </w:t>
      </w:r>
      <w:r w:rsidRPr="009F2B21">
        <w:rPr>
          <w:rFonts w:ascii="Times New Roman" w:hAnsi="Times New Roman"/>
          <w:szCs w:val="22"/>
        </w:rPr>
        <w:t>neziskovým organizáciám nižšie o 372 647 tis. eur.</w:t>
      </w:r>
    </w:p>
    <w:p w:rsidR="00EA6427" w:rsidRPr="009F2B21" w:rsidP="00EA6427">
      <w:pPr>
        <w:bidi w:val="0"/>
        <w:rPr>
          <w:rFonts w:ascii="Times New Roman" w:hAnsi="Times New Roman"/>
          <w:szCs w:val="22"/>
        </w:rPr>
      </w:pPr>
      <w:r w:rsidRPr="009F2B21">
        <w:rPr>
          <w:rFonts w:ascii="Times New Roman" w:hAnsi="Times New Roman"/>
          <w:szCs w:val="22"/>
        </w:rPr>
        <w:t>Z kapitálových výdavkov sa medziročne vyššie rozpočtovalo obstaranie kapitálových aktív</w:t>
      </w:r>
      <w:r w:rsidR="001A246E">
        <w:rPr>
          <w:rFonts w:ascii="Times New Roman" w:hAnsi="Times New Roman"/>
          <w:szCs w:val="22"/>
        </w:rPr>
        <w:t xml:space="preserve"> </w:t>
      </w:r>
      <w:r w:rsidRPr="009F2B21">
        <w:rPr>
          <w:rFonts w:ascii="Times New Roman" w:hAnsi="Times New Roman"/>
          <w:szCs w:val="22"/>
        </w:rPr>
        <w:t>(na</w:t>
      </w:r>
      <w:r w:rsidR="0003598A">
        <w:rPr>
          <w:rFonts w:ascii="Times New Roman" w:hAnsi="Times New Roman"/>
          <w:szCs w:val="22"/>
        </w:rPr>
        <w:t>pr. </w:t>
      </w:r>
      <w:r w:rsidR="00840831">
        <w:rPr>
          <w:rFonts w:ascii="Times New Roman" w:hAnsi="Times New Roman"/>
          <w:szCs w:val="22"/>
        </w:rPr>
        <w:t xml:space="preserve">nákup strojov, prístrojov a </w:t>
      </w:r>
      <w:r w:rsidRPr="009F2B21">
        <w:rPr>
          <w:rFonts w:ascii="Times New Roman" w:hAnsi="Times New Roman"/>
          <w:szCs w:val="22"/>
        </w:rPr>
        <w:t>zariadení o 92 056 tis. eur, realizácia nových stavieb a</w:t>
      </w:r>
      <w:r w:rsidR="001A246E">
        <w:rPr>
          <w:rFonts w:ascii="Times New Roman" w:hAnsi="Times New Roman"/>
          <w:szCs w:val="22"/>
        </w:rPr>
        <w:t xml:space="preserve"> </w:t>
      </w:r>
      <w:r w:rsidRPr="009F2B21">
        <w:rPr>
          <w:rFonts w:ascii="Times New Roman" w:hAnsi="Times New Roman"/>
          <w:szCs w:val="22"/>
        </w:rPr>
        <w:t xml:space="preserve">technické zhodnotenie existujúcich o 181 392 tis. eur, ostatné kapitálové výdavky o 62 863 tis. eur). Vyššie sa rozpočtovali aj výdavky na kapitálové </w:t>
      </w:r>
      <w:r w:rsidR="001A246E">
        <w:rPr>
          <w:rFonts w:ascii="Times New Roman" w:hAnsi="Times New Roman"/>
          <w:szCs w:val="22"/>
        </w:rPr>
        <w:t xml:space="preserve">transfery o 518 132 tis. eur, a </w:t>
      </w:r>
      <w:r w:rsidRPr="009F2B21">
        <w:rPr>
          <w:rFonts w:ascii="Times New Roman" w:hAnsi="Times New Roman"/>
          <w:szCs w:val="22"/>
        </w:rPr>
        <w:t xml:space="preserve">to najmä </w:t>
      </w:r>
      <w:r w:rsidR="00ED3686">
        <w:rPr>
          <w:rFonts w:ascii="Times New Roman" w:hAnsi="Times New Roman"/>
          <w:szCs w:val="22"/>
        </w:rPr>
        <w:t xml:space="preserve">na </w:t>
      </w:r>
      <w:r w:rsidRPr="009F2B21">
        <w:rPr>
          <w:rFonts w:ascii="Times New Roman" w:hAnsi="Times New Roman"/>
          <w:szCs w:val="22"/>
        </w:rPr>
        <w:t>transfery nefinančným subjektom o 470 080 tis. eur.</w:t>
      </w:r>
    </w:p>
    <w:p w:rsidR="00EA6427" w:rsidRPr="009F2B21" w:rsidP="00EA6427">
      <w:pPr>
        <w:bidi w:val="0"/>
        <w:rPr>
          <w:rFonts w:ascii="Times New Roman" w:hAnsi="Times New Roman"/>
          <w:b/>
          <w:szCs w:val="22"/>
        </w:rPr>
      </w:pPr>
      <w:r w:rsidRPr="009F2B21">
        <w:rPr>
          <w:rFonts w:ascii="Times New Roman" w:hAnsi="Times New Roman"/>
          <w:b/>
          <w:szCs w:val="22"/>
        </w:rPr>
        <w:t>V priebehu rozpočtového roka 2017 sa vykonali v súlade s rozpočtovými pravidlami rozpočtové opatrenia, ktoré znížili celkovo schválené príjmy na rok 2017 o 1 310 548 tis. eur na 14 079 600 tis. eur a</w:t>
      </w:r>
      <w:r w:rsidR="001A246E">
        <w:rPr>
          <w:rFonts w:ascii="Times New Roman" w:hAnsi="Times New Roman"/>
          <w:b/>
          <w:szCs w:val="22"/>
        </w:rPr>
        <w:t xml:space="preserve"> </w:t>
      </w:r>
      <w:r w:rsidRPr="009F2B21">
        <w:rPr>
          <w:rFonts w:ascii="Times New Roman" w:hAnsi="Times New Roman"/>
          <w:b/>
          <w:szCs w:val="22"/>
        </w:rPr>
        <w:t>celkové schválené výdavky o 1 </w:t>
      </w:r>
      <w:r w:rsidR="00E7520C">
        <w:rPr>
          <w:rFonts w:ascii="Times New Roman" w:hAnsi="Times New Roman"/>
          <w:b/>
          <w:szCs w:val="22"/>
        </w:rPr>
        <w:t xml:space="preserve">973 001 tis. eur na 15 410 365 tis. eur. </w:t>
      </w:r>
      <w:r w:rsidRPr="009F2B21">
        <w:rPr>
          <w:rFonts w:ascii="Times New Roman" w:hAnsi="Times New Roman"/>
          <w:b/>
          <w:szCs w:val="22"/>
        </w:rPr>
        <w:t xml:space="preserve">Plánovaný schodok štátneho rozpočtu po úpravách počas roka 2017 mal byť tak k ultimu roka nižší oproti schválenému o 662 454 tis. eur, vo výške 1 330 765 tis. eur. </w:t>
      </w:r>
    </w:p>
    <w:p w:rsidR="00EA6427" w:rsidRPr="009F2B21" w:rsidP="00EA6427">
      <w:pPr>
        <w:bidi w:val="0"/>
        <w:rPr>
          <w:rFonts w:ascii="Times New Roman" w:hAnsi="Times New Roman"/>
          <w:szCs w:val="22"/>
        </w:rPr>
      </w:pPr>
      <w:r w:rsidRPr="009F2B21">
        <w:rPr>
          <w:rFonts w:ascii="Times New Roman" w:hAnsi="Times New Roman"/>
          <w:szCs w:val="22"/>
        </w:rPr>
        <w:t xml:space="preserve">Úpravy rozpočtu sa realizujú na základe aktualizovaných informácií o plnení úloh a požiadaviek jednotlivých kapitol ŠR počas rozpočtového roku, legislatívnych zmien, ktoré môžu priniesť zmenu v príjmoch alebo výdavkoch, ako aj na základe aktuálneho vývoja ekonomiky a verejných financií. V roku 2017 vykonalo Ministerstvo financií SR spolu 1 787 rozpočtových opatrení. </w:t>
      </w:r>
    </w:p>
    <w:p w:rsidR="00EA6427" w:rsidRPr="009F2B21" w:rsidP="00EA6427">
      <w:pPr>
        <w:bidi w:val="0"/>
        <w:rPr>
          <w:rFonts w:ascii="Times New Roman" w:hAnsi="Times New Roman"/>
          <w:szCs w:val="22"/>
        </w:rPr>
      </w:pPr>
      <w:r w:rsidRPr="009F2B21">
        <w:rPr>
          <w:rFonts w:ascii="Times New Roman" w:hAnsi="Times New Roman"/>
          <w:szCs w:val="22"/>
        </w:rPr>
        <w:t xml:space="preserve">V rámci </w:t>
      </w:r>
      <w:r w:rsidR="00ED3686">
        <w:rPr>
          <w:rFonts w:ascii="Times New Roman" w:hAnsi="Times New Roman"/>
          <w:szCs w:val="22"/>
        </w:rPr>
        <w:t xml:space="preserve">úpravy rozpočtu </w:t>
      </w:r>
      <w:r w:rsidRPr="009F2B21">
        <w:rPr>
          <w:rFonts w:ascii="Times New Roman" w:hAnsi="Times New Roman"/>
          <w:szCs w:val="22"/>
        </w:rPr>
        <w:t xml:space="preserve">príjmov bolo </w:t>
      </w:r>
      <w:r w:rsidR="00ED3686">
        <w:rPr>
          <w:rFonts w:ascii="Times New Roman" w:hAnsi="Times New Roman"/>
          <w:szCs w:val="22"/>
        </w:rPr>
        <w:t>zohľadnené</w:t>
      </w:r>
      <w:r w:rsidRPr="009F2B21">
        <w:rPr>
          <w:rFonts w:ascii="Times New Roman" w:hAnsi="Times New Roman"/>
          <w:szCs w:val="22"/>
        </w:rPr>
        <w:t xml:space="preserve"> najmä nižšie plnenie zahraničných transferov, a to konkrétne prostrie</w:t>
      </w:r>
      <w:r w:rsidR="00425E24">
        <w:rPr>
          <w:rFonts w:ascii="Times New Roman" w:hAnsi="Times New Roman"/>
          <w:szCs w:val="22"/>
        </w:rPr>
        <w:t xml:space="preserve">dkov z rozpočtu Európskej únie </w:t>
      </w:r>
      <w:r w:rsidRPr="009F2B21">
        <w:rPr>
          <w:rFonts w:ascii="Times New Roman" w:hAnsi="Times New Roman"/>
          <w:szCs w:val="22"/>
        </w:rPr>
        <w:t xml:space="preserve">o 1 233 439 tis. eur. Príjmy z predaja kapitálových aktív sa úpravami znížili o 42 043 tis. eur a administratívne poplatky a platby o 32 300 tis. eur. </w:t>
      </w:r>
      <w:r w:rsidR="00ED3686">
        <w:rPr>
          <w:rFonts w:ascii="Times New Roman" w:hAnsi="Times New Roman"/>
          <w:szCs w:val="22"/>
        </w:rPr>
        <w:t>Rozpočet b</w:t>
      </w:r>
      <w:r w:rsidRPr="009F2B21">
        <w:rPr>
          <w:rFonts w:ascii="Times New Roman" w:hAnsi="Times New Roman"/>
          <w:szCs w:val="22"/>
        </w:rPr>
        <w:t>ežn</w:t>
      </w:r>
      <w:r w:rsidR="00ED3686">
        <w:rPr>
          <w:rFonts w:ascii="Times New Roman" w:hAnsi="Times New Roman"/>
          <w:szCs w:val="22"/>
        </w:rPr>
        <w:t>ých</w:t>
      </w:r>
      <w:r w:rsidRPr="009F2B21">
        <w:rPr>
          <w:rFonts w:ascii="Times New Roman" w:hAnsi="Times New Roman"/>
          <w:szCs w:val="22"/>
        </w:rPr>
        <w:t xml:space="preserve"> výdavk</w:t>
      </w:r>
      <w:r w:rsidR="00ED3686">
        <w:rPr>
          <w:rFonts w:ascii="Times New Roman" w:hAnsi="Times New Roman"/>
          <w:szCs w:val="22"/>
        </w:rPr>
        <w:t>ov</w:t>
      </w:r>
      <w:r w:rsidRPr="009F2B21">
        <w:rPr>
          <w:rFonts w:ascii="Times New Roman" w:hAnsi="Times New Roman"/>
          <w:szCs w:val="22"/>
        </w:rPr>
        <w:t xml:space="preserve"> sa znížili úpravami o 789 695 tis. eur a kapitálové výdavky o 1 183 306 tis. eur. Z bežných výdavkov tvorili zníženie najmä služby, v rámci ktorých sa rozpočtujú zálohové platby na projekty EÚ a prostriedky štátneho rozpočtu na spolufinancovanie projektov v súlade s koncepciou finančného riadenia štrukturáln</w:t>
      </w:r>
      <w:r w:rsidR="00E7520C">
        <w:rPr>
          <w:rFonts w:ascii="Times New Roman" w:hAnsi="Times New Roman"/>
          <w:szCs w:val="22"/>
        </w:rPr>
        <w:t xml:space="preserve">ych fondov a </w:t>
      </w:r>
      <w:r w:rsidR="00425E24">
        <w:rPr>
          <w:rFonts w:ascii="Times New Roman" w:hAnsi="Times New Roman"/>
          <w:szCs w:val="22"/>
        </w:rPr>
        <w:t xml:space="preserve">Kohézneho fondu </w:t>
      </w:r>
      <w:r w:rsidR="00ED3686">
        <w:rPr>
          <w:rFonts w:ascii="Times New Roman" w:hAnsi="Times New Roman"/>
          <w:szCs w:val="22"/>
        </w:rPr>
        <w:t>o </w:t>
      </w:r>
      <w:r w:rsidRPr="009F2B21">
        <w:rPr>
          <w:rFonts w:ascii="Times New Roman" w:hAnsi="Times New Roman"/>
          <w:szCs w:val="22"/>
        </w:rPr>
        <w:t>373 849 tis</w:t>
      </w:r>
      <w:r w:rsidR="00425E24">
        <w:rPr>
          <w:rFonts w:ascii="Times New Roman" w:hAnsi="Times New Roman"/>
          <w:szCs w:val="22"/>
        </w:rPr>
        <w:t xml:space="preserve">. eur a zálohy na projekty EU </w:t>
      </w:r>
      <w:r w:rsidRPr="009F2B21">
        <w:rPr>
          <w:rFonts w:ascii="Times New Roman" w:hAnsi="Times New Roman"/>
          <w:szCs w:val="22"/>
        </w:rPr>
        <w:t>o 316 401 tis. eur. Po schválení projektov investičného charakteru sa príslušné prostriedky vykazujú v čerpaní kapitálových výdavkov jednotlivých kapitol ŠR. Bežné transfery sa úpravami znížili o 306 204 tis. eur. Vo vyšších mzdových výdavkov sa počas roka premietli nároky vyplývajúce z Kolektívnej zmluvy vyššieho stupňa na rok 2017, ktorá nadobudla platnosť 1. decembra 2016 (po schválení zákona o štátnom rozpočte).</w:t>
      </w:r>
    </w:p>
    <w:p w:rsidR="00EA6427" w:rsidRPr="009F2B21" w:rsidP="00EA6427">
      <w:pPr>
        <w:bidi w:val="0"/>
        <w:rPr>
          <w:rFonts w:ascii="Times New Roman" w:hAnsi="Times New Roman"/>
          <w:szCs w:val="22"/>
        </w:rPr>
      </w:pPr>
      <w:r w:rsidRPr="005E6C1C">
        <w:rPr>
          <w:rFonts w:ascii="Times New Roman" w:hAnsi="Times New Roman"/>
          <w:szCs w:val="22"/>
        </w:rPr>
        <w:t xml:space="preserve">Úpravy rozpočtovaných príjmov a rozpočtovaných výdavkov, tak ako </w:t>
      </w:r>
      <w:r w:rsidRPr="005E6C1C" w:rsidR="00425E24">
        <w:rPr>
          <w:rFonts w:ascii="Times New Roman" w:hAnsi="Times New Roman"/>
          <w:szCs w:val="22"/>
        </w:rPr>
        <w:t>v </w:t>
      </w:r>
      <w:r w:rsidRPr="005E6C1C">
        <w:rPr>
          <w:rFonts w:ascii="Times New Roman" w:hAnsi="Times New Roman"/>
          <w:szCs w:val="22"/>
        </w:rPr>
        <w:t>roku</w:t>
      </w:r>
      <w:r w:rsidRPr="005E6C1C" w:rsidR="00425E24">
        <w:rPr>
          <w:rFonts w:ascii="Times New Roman" w:hAnsi="Times New Roman"/>
          <w:szCs w:val="22"/>
        </w:rPr>
        <w:t xml:space="preserve"> 2016</w:t>
      </w:r>
      <w:r w:rsidRPr="005E6C1C">
        <w:rPr>
          <w:rFonts w:ascii="Times New Roman" w:hAnsi="Times New Roman"/>
          <w:szCs w:val="22"/>
        </w:rPr>
        <w:t>, boli vykonané najmä v súlade s §8 zákona o rozpočtových pravidlách, na základe ktorého kapitálové výdavky</w:t>
      </w:r>
      <w:r w:rsidR="00A273E0">
        <w:rPr>
          <w:rFonts w:ascii="Times New Roman" w:hAnsi="Times New Roman"/>
          <w:szCs w:val="22"/>
        </w:rPr>
        <w:t xml:space="preserve"> možno použiť na určený účel aj v nasledujúcich dvoch rozpočtových rokoch po rozpočtovom roku, na ktorý boli rozpočtované a</w:t>
      </w:r>
      <w:r w:rsidRPr="005E6C1C">
        <w:rPr>
          <w:rFonts w:ascii="Times New Roman" w:hAnsi="Times New Roman"/>
          <w:szCs w:val="22"/>
        </w:rPr>
        <w:t xml:space="preserve"> vybrané bežné výdavky v nasledujúcich dvoch rozpočtových rokoch. Týka sa to najmä prostriedkov z EÚ fondov a tým aj prostriedkov určených na ich spolufinancovanie.</w:t>
      </w:r>
    </w:p>
    <w:p w:rsidR="00EA6427" w:rsidRPr="009F2B21" w:rsidP="00EA6427">
      <w:pPr>
        <w:bidi w:val="0"/>
        <w:rPr>
          <w:rFonts w:ascii="Times New Roman" w:hAnsi="Times New Roman"/>
          <w:color w:val="000000"/>
          <w:szCs w:val="22"/>
        </w:rPr>
      </w:pPr>
      <w:r w:rsidRPr="009F2B21">
        <w:rPr>
          <w:rFonts w:ascii="Times New Roman" w:hAnsi="Times New Roman"/>
          <w:color w:val="000000"/>
          <w:szCs w:val="22"/>
        </w:rPr>
        <w:t>Denný stav štátneho rozpočtu v priebehu roka bol riadený v súlade so zákonom č. 386/2002 Z. z. o štátnom dlhu a štátnych zárukách a v súlade so zákonom č. 291/2002 Z. z. o Štátnej pokladnici a o zmene a doplnení niektorých zákonov v znení neskorších predpisov. Pri priebežnom prebytku štátneho rozpočtu zhodnocovala Agentúra pre riadenie dlhu a likvidity (ďalej len „</w:t>
      </w:r>
      <w:r w:rsidR="0045541C">
        <w:rPr>
          <w:rFonts w:ascii="Times New Roman" w:hAnsi="Times New Roman"/>
          <w:color w:val="000000"/>
          <w:szCs w:val="22"/>
        </w:rPr>
        <w:t>ARDAL</w:t>
      </w:r>
      <w:r w:rsidRPr="009F2B21">
        <w:rPr>
          <w:rFonts w:ascii="Times New Roman" w:hAnsi="Times New Roman"/>
          <w:color w:val="000000"/>
          <w:szCs w:val="22"/>
        </w:rPr>
        <w:t xml:space="preserve">“) v mene Ministerstva financií SR finančné zdroje na finančnom trhu v súlade so schválenými kreditnými limitmi, naopak, v prípade priebežného schodku zabezpečovala jeho krytie finančnými zdrojmi získanými z emisií štátnych dlhopisov a voľnými finančnými zdrojmi Štátnej pokladnice. </w:t>
      </w:r>
    </w:p>
    <w:p w:rsidR="00EA6427" w:rsidRPr="009F2B21" w:rsidP="00EA6427">
      <w:pPr>
        <w:bidi w:val="0"/>
        <w:rPr>
          <w:rFonts w:ascii="Times New Roman" w:hAnsi="Times New Roman"/>
          <w:color w:val="000000"/>
          <w:szCs w:val="22"/>
        </w:rPr>
      </w:pPr>
      <w:r w:rsidRPr="009F2B21">
        <w:rPr>
          <w:rFonts w:ascii="Times New Roman" w:hAnsi="Times New Roman"/>
          <w:color w:val="000000"/>
          <w:szCs w:val="22"/>
        </w:rPr>
        <w:t xml:space="preserve">Schodok štátneho rozpočtu vykázaný k 31. 12. 2017 v sume 1 220 132 tis. eur bol krytý </w:t>
      </w:r>
      <w:r w:rsidRPr="009F2B21">
        <w:rPr>
          <w:rFonts w:ascii="Times New Roman" w:hAnsi="Times New Roman"/>
          <w:szCs w:val="22"/>
        </w:rPr>
        <w:t>finančnými prostriedkami získanými z predaja štátnych cenných papierov v </w:t>
      </w:r>
      <w:r w:rsidR="00B6567B">
        <w:rPr>
          <w:rFonts w:ascii="Times New Roman" w:hAnsi="Times New Roman"/>
          <w:color w:val="000000"/>
          <w:szCs w:val="22"/>
        </w:rPr>
        <w:t>hodnote 1 145 </w:t>
      </w:r>
      <w:r w:rsidRPr="009F2B21">
        <w:rPr>
          <w:rFonts w:ascii="Times New Roman" w:hAnsi="Times New Roman"/>
          <w:color w:val="000000"/>
          <w:szCs w:val="22"/>
        </w:rPr>
        <w:t>132 tis. eur</w:t>
      </w:r>
      <w:r w:rsidRPr="009F2B21">
        <w:rPr>
          <w:rFonts w:ascii="Times New Roman" w:hAnsi="Times New Roman"/>
          <w:szCs w:val="22"/>
        </w:rPr>
        <w:t xml:space="preserve"> a finančnými zdrojmi z čerpania vládnych ú</w:t>
      </w:r>
      <w:r w:rsidR="00B6567B">
        <w:rPr>
          <w:rFonts w:ascii="Times New Roman" w:hAnsi="Times New Roman"/>
          <w:szCs w:val="22"/>
        </w:rPr>
        <w:t>verov v celkovej hodnote 75 000 </w:t>
      </w:r>
      <w:r w:rsidRPr="009F2B21">
        <w:rPr>
          <w:rFonts w:ascii="Times New Roman" w:hAnsi="Times New Roman"/>
          <w:szCs w:val="22"/>
        </w:rPr>
        <w:t>tis. eur</w:t>
      </w:r>
      <w:r>
        <w:rPr>
          <w:rStyle w:val="FootnoteReference"/>
          <w:rFonts w:ascii="Times New Roman" w:hAnsi="Times New Roman"/>
          <w:szCs w:val="22"/>
          <w:rtl w:val="0"/>
        </w:rPr>
        <w:footnoteReference w:id="11"/>
      </w:r>
      <w:r w:rsidRPr="009F2B21">
        <w:rPr>
          <w:rFonts w:ascii="Times New Roman" w:hAnsi="Times New Roman"/>
          <w:color w:val="000000"/>
          <w:szCs w:val="22"/>
        </w:rPr>
        <w:t>.</w:t>
      </w:r>
    </w:p>
    <w:p w:rsidR="00EA6427" w:rsidRPr="009F2B21" w:rsidP="00EA6427">
      <w:pPr>
        <w:bidi w:val="0"/>
        <w:rPr>
          <w:rFonts w:ascii="Times New Roman" w:hAnsi="Times New Roman"/>
          <w:color w:val="000000"/>
          <w:szCs w:val="22"/>
        </w:rPr>
      </w:pPr>
      <w:r w:rsidRPr="009F2B21">
        <w:rPr>
          <w:rFonts w:ascii="Times New Roman" w:hAnsi="Times New Roman"/>
          <w:color w:val="000000"/>
          <w:szCs w:val="22"/>
        </w:rPr>
        <w:t>Nasledujúce informácie o príjmoch a výdavkoch štátneho rozpočtu popisujú ich hotovostné plnenie tak, ako sa prejavili na príjmových a výdavkových účtoch štátnych rozpočtových organizácií v priebehu roka 2017. Komentár k jednotlivým položkám príjmov a výdavkov sa sústredí na opis faktorov majúcich vplyv na ich hotovostné plnenie, pričom porovnanie sa realizuje voči schválenému rozpočtu a skutočnosti predchádzajúceho obdobia.</w:t>
      </w:r>
    </w:p>
    <w:p w:rsidR="00071300" w:rsidRPr="00A339AF" w:rsidP="00687A65">
      <w:pPr>
        <w:bidi w:val="0"/>
        <w:rPr>
          <w:rFonts w:ascii="Times New Roman" w:hAnsi="Times New Roman" w:eastAsiaTheme="majorEastAsia"/>
          <w:b/>
          <w:bCs/>
          <w:sz w:val="24"/>
          <w:szCs w:val="26"/>
          <w:highlight w:val="yellow"/>
        </w:rPr>
      </w:pPr>
      <w:r w:rsidRPr="009F2B21" w:rsidR="00EA6427">
        <w:rPr>
          <w:rFonts w:ascii="Times New Roman" w:hAnsi="Times New Roman"/>
          <w:color w:val="000000"/>
          <w:szCs w:val="22"/>
        </w:rPr>
        <w:t>Prípadné číselné rozdiely medzi tabuľkovou prílohou a údajmi v textovej časti záverečného účtu sú spôsobené automatickým zaokrúhľovaním. Súčasťou Štátneho záverečného účtu SR je aj tabuľková príloha, ktorá dopĺňa opisnú časť hotovostných príjmov a výdavkov, v členení podľa ekonomickej a organizačnej klasifikácie. Podrobnejšie informácie o príjmoch a výdavkoch jednotlivých kapitol ŠR sú uvedené aj v záverečných účtoch kapitol, ktoré sa zverejňujú na ich webovom sídle.</w:t>
      </w:r>
      <w:bookmarkStart w:id="37" w:name="_Toc479313235"/>
    </w:p>
    <w:p w:rsidR="00693173" w:rsidRPr="001420D7" w:rsidP="003E2C97">
      <w:pPr>
        <w:pStyle w:val="Heading2"/>
        <w:numPr>
          <w:ilvl w:val="0"/>
          <w:numId w:val="0"/>
        </w:numPr>
        <w:bidi w:val="0"/>
        <w:ind w:left="576" w:firstLine="0"/>
        <w:rPr>
          <w:rFonts w:hint="default"/>
        </w:rPr>
      </w:pPr>
      <w:bookmarkStart w:id="38" w:name="_Toc512599667"/>
      <w:r w:rsidR="003E2C97">
        <w:t xml:space="preserve">3.1 </w:t>
      </w:r>
      <w:r w:rsidRPr="001420D7">
        <w:rPr>
          <w:rFonts w:hint="default"/>
        </w:rPr>
        <w:t>Prí</w:t>
      </w:r>
      <w:r w:rsidRPr="001420D7">
        <w:rPr>
          <w:rFonts w:hint="default"/>
        </w:rPr>
        <w:t>jmy š</w:t>
      </w:r>
      <w:r w:rsidRPr="001420D7">
        <w:rPr>
          <w:rFonts w:hint="default"/>
        </w:rPr>
        <w:t>tá</w:t>
      </w:r>
      <w:r w:rsidRPr="001420D7">
        <w:rPr>
          <w:rFonts w:hint="default"/>
        </w:rPr>
        <w:t>tneho rozpoč</w:t>
      </w:r>
      <w:r w:rsidRPr="001420D7">
        <w:rPr>
          <w:rFonts w:hint="default"/>
        </w:rPr>
        <w:t>tu</w:t>
      </w:r>
      <w:bookmarkEnd w:id="37"/>
      <w:bookmarkEnd w:id="38"/>
    </w:p>
    <w:p w:rsidR="00693173" w:rsidRPr="001420D7" w:rsidP="003E2C97">
      <w:pPr>
        <w:pStyle w:val="Heading3"/>
        <w:numPr>
          <w:ilvl w:val="0"/>
          <w:numId w:val="0"/>
        </w:numPr>
        <w:tabs>
          <w:tab w:val="left" w:pos="7230"/>
        </w:tabs>
        <w:bidi w:val="0"/>
        <w:ind w:left="7230" w:hanging="7230"/>
        <w:rPr>
          <w:rFonts w:hint="default"/>
        </w:rPr>
      </w:pPr>
      <w:bookmarkStart w:id="39" w:name="_Toc479313236"/>
      <w:bookmarkStart w:id="40" w:name="_Toc512599668"/>
      <w:r w:rsidR="003E2C97">
        <w:t xml:space="preserve">3.1.1  </w:t>
      </w:r>
      <w:r w:rsidRPr="001420D7">
        <w:rPr>
          <w:rFonts w:hint="default"/>
        </w:rPr>
        <w:t>Daň</w:t>
      </w:r>
      <w:r w:rsidRPr="001420D7">
        <w:rPr>
          <w:rFonts w:hint="default"/>
        </w:rPr>
        <w:t>ové</w:t>
      </w:r>
      <w:r w:rsidRPr="001420D7">
        <w:rPr>
          <w:rFonts w:hint="default"/>
        </w:rPr>
        <w:t xml:space="preserve"> prí</w:t>
      </w:r>
      <w:r w:rsidRPr="001420D7">
        <w:rPr>
          <w:rFonts w:hint="default"/>
        </w:rPr>
        <w:t>jmy</w:t>
      </w:r>
      <w:bookmarkEnd w:id="39"/>
      <w:bookmarkEnd w:id="40"/>
    </w:p>
    <w:p w:rsidR="001D644F" w:rsidRPr="00C54251" w:rsidP="00531D02">
      <w:pPr>
        <w:bidi w:val="0"/>
        <w:rPr>
          <w:rFonts w:ascii="Times New Roman" w:hAnsi="Times New Roman"/>
        </w:rPr>
      </w:pPr>
      <w:r w:rsidRPr="00C54251">
        <w:rPr>
          <w:rFonts w:ascii="Times New Roman" w:hAnsi="Times New Roman"/>
        </w:rPr>
        <w:t>Pre rok 2017 boli daňové príjmy rozpočtované vo výške 11 530 095 tis. eur, čo bolo oproti rozpočt</w:t>
      </w:r>
      <w:r>
        <w:rPr>
          <w:rFonts w:ascii="Times New Roman" w:hAnsi="Times New Roman"/>
        </w:rPr>
        <w:t xml:space="preserve">u 2016 viac o 536 258 tis. eur. </w:t>
      </w:r>
      <w:r w:rsidRPr="00C54251">
        <w:rPr>
          <w:rFonts w:ascii="Times New Roman" w:hAnsi="Times New Roman"/>
        </w:rPr>
        <w:t>Od roku 2014 sa príjmy z daní rozpočtovali každoročne vyššie oproti predchádzajúcemu roku, a to najmä na základe predpokladaného pozitívneho vývoja hospodárstva SR.</w:t>
      </w:r>
      <w:r>
        <w:rPr>
          <w:rFonts w:ascii="Times New Roman" w:hAnsi="Times New Roman"/>
        </w:rPr>
        <w:t xml:space="preserve"> </w:t>
      </w:r>
      <w:r w:rsidRPr="00C54251">
        <w:rPr>
          <w:rFonts w:ascii="Times New Roman" w:hAnsi="Times New Roman"/>
        </w:rPr>
        <w:t xml:space="preserve">Rast HDP </w:t>
      </w:r>
      <w:r w:rsidR="00B7758B">
        <w:rPr>
          <w:rFonts w:ascii="Times New Roman" w:hAnsi="Times New Roman"/>
        </w:rPr>
        <w:t>sa predpokladal na úrovni 3,5 %</w:t>
      </w:r>
      <w:r w:rsidRPr="00C54251">
        <w:rPr>
          <w:rFonts w:ascii="Times New Roman" w:hAnsi="Times New Roman"/>
        </w:rPr>
        <w:t xml:space="preserve">, v skutočnosti dosiahol </w:t>
      </w:r>
      <w:r w:rsidR="00ED3686">
        <w:rPr>
          <w:rFonts w:ascii="Times New Roman" w:hAnsi="Times New Roman"/>
        </w:rPr>
        <w:t xml:space="preserve">podľa predbežných výsledkov </w:t>
      </w:r>
      <w:r w:rsidRPr="00C54251">
        <w:rPr>
          <w:rFonts w:ascii="Times New Roman" w:hAnsi="Times New Roman"/>
        </w:rPr>
        <w:t>3,4 % HDP.</w:t>
      </w:r>
      <w:r>
        <w:rPr>
          <w:rFonts w:ascii="Times New Roman" w:hAnsi="Times New Roman"/>
        </w:rPr>
        <w:t xml:space="preserve"> Daňové príjmy za rok 2017 dosiahli skutočnú hodnotu 11 152 310 tis. eur. Celkový rozdiel</w:t>
      </w:r>
      <w:r w:rsidR="00406053">
        <w:rPr>
          <w:rFonts w:ascii="Times New Roman" w:hAnsi="Times New Roman"/>
        </w:rPr>
        <w:t xml:space="preserve"> skutočnosti oproti rozpočtu </w:t>
      </w:r>
      <w:r w:rsidR="00ED3686">
        <w:rPr>
          <w:rFonts w:ascii="Times New Roman" w:hAnsi="Times New Roman"/>
        </w:rPr>
        <w:t>bol v sume - 377 785 tis. e</w:t>
      </w:r>
      <w:r>
        <w:rPr>
          <w:rFonts w:ascii="Times New Roman" w:hAnsi="Times New Roman"/>
        </w:rPr>
        <w:t>ur, čo predstavuje plnenie rozpočtu na 96,7</w:t>
      </w:r>
      <w:r w:rsidR="0080791D">
        <w:rPr>
          <w:rFonts w:ascii="Times New Roman" w:hAnsi="Times New Roman"/>
        </w:rPr>
        <w:t> </w:t>
      </w:r>
      <w:r>
        <w:rPr>
          <w:rFonts w:ascii="Times New Roman" w:hAnsi="Times New Roman"/>
        </w:rPr>
        <w:t>%.</w:t>
      </w:r>
    </w:p>
    <w:p w:rsidR="00ED3686" w:rsidRPr="007F0DB1" w:rsidP="00ED3686">
      <w:pPr>
        <w:bidi w:val="0"/>
        <w:rPr>
          <w:rFonts w:ascii="Times New Roman" w:hAnsi="Times New Roman"/>
          <w:szCs w:val="22"/>
        </w:rPr>
      </w:pPr>
      <w:r w:rsidRPr="00C737C7">
        <w:rPr>
          <w:rFonts w:ascii="Times New Roman" w:hAnsi="Times New Roman"/>
          <w:szCs w:val="22"/>
        </w:rPr>
        <w:t xml:space="preserve">Celkové daňové príjmy štátneho rozpočtu na hotovostnej báze boli v porovnaní so skutočnosťou v roku 2016 vyššie o 84 154 tis. eur, čo zodpovedá medziročnému rastu na úrovni 0,8 %. Pokles pri </w:t>
      </w:r>
      <w:r w:rsidRPr="00C737C7">
        <w:rPr>
          <w:rFonts w:ascii="Times New Roman" w:hAnsi="Times New Roman"/>
          <w:i/>
          <w:szCs w:val="22"/>
        </w:rPr>
        <w:t xml:space="preserve">dani z príjmov právnických osôb </w:t>
      </w:r>
      <w:r w:rsidRPr="00C737C7">
        <w:rPr>
          <w:rFonts w:ascii="Times New Roman" w:hAnsi="Times New Roman"/>
          <w:szCs w:val="22"/>
        </w:rPr>
        <w:t>(-585 207 tis. eur) bol kompenzovaný medziročným rastom pri</w:t>
      </w:r>
      <w:r w:rsidRPr="00C737C7">
        <w:rPr>
          <w:rFonts w:ascii="Times New Roman" w:hAnsi="Times New Roman"/>
          <w:i/>
          <w:szCs w:val="22"/>
        </w:rPr>
        <w:t xml:space="preserve"> dani z pridanej hodnoty </w:t>
      </w:r>
      <w:r w:rsidRPr="00C737C7">
        <w:rPr>
          <w:rFonts w:ascii="Times New Roman" w:hAnsi="Times New Roman"/>
          <w:szCs w:val="22"/>
        </w:rPr>
        <w:t>(+ 552 668 tis. eur).</w:t>
      </w:r>
      <w:r w:rsidRPr="002A5103">
        <w:rPr>
          <w:rFonts w:ascii="Times New Roman" w:hAnsi="Times New Roman"/>
          <w:szCs w:val="22"/>
        </w:rPr>
        <w:t xml:space="preserve"> </w:t>
      </w:r>
    </w:p>
    <w:p w:rsidR="001D644F" w:rsidRPr="00C54251" w:rsidP="00531D02">
      <w:pPr>
        <w:bidi w:val="0"/>
        <w:rPr>
          <w:rFonts w:ascii="Times New Roman" w:hAnsi="Times New Roman"/>
        </w:rPr>
      </w:pPr>
      <w:r w:rsidRPr="00C54251">
        <w:rPr>
          <w:rFonts w:ascii="Times New Roman" w:hAnsi="Times New Roman"/>
          <w:i/>
        </w:rPr>
        <w:t>Dane z príjmov a kapitálového majetku</w:t>
      </w:r>
      <w:r w:rsidRPr="00C54251">
        <w:rPr>
          <w:rFonts w:ascii="Times New Roman" w:hAnsi="Times New Roman"/>
        </w:rPr>
        <w:t xml:space="preserve"> boli oproti rozpočtu nižšie o 55</w:t>
      </w:r>
      <w:r>
        <w:rPr>
          <w:rFonts w:ascii="Times New Roman" w:hAnsi="Times New Roman"/>
        </w:rPr>
        <w:t>4</w:t>
      </w:r>
      <w:r w:rsidRPr="00C54251">
        <w:rPr>
          <w:rFonts w:ascii="Times New Roman" w:hAnsi="Times New Roman"/>
        </w:rPr>
        <w:t> </w:t>
      </w:r>
      <w:r>
        <w:rPr>
          <w:rFonts w:ascii="Times New Roman" w:hAnsi="Times New Roman"/>
        </w:rPr>
        <w:t>673</w:t>
      </w:r>
      <w:r w:rsidRPr="00C54251">
        <w:rPr>
          <w:rFonts w:ascii="Times New Roman" w:hAnsi="Times New Roman"/>
        </w:rPr>
        <w:t> tis. eur a</w:t>
      </w:r>
      <w:r w:rsidRPr="00C54251">
        <w:rPr>
          <w:rFonts w:ascii="Times New Roman" w:hAnsi="Times New Roman"/>
          <w:i/>
        </w:rPr>
        <w:t xml:space="preserve"> dane za tovary a služby</w:t>
      </w:r>
      <w:r w:rsidRPr="00C54251">
        <w:rPr>
          <w:rFonts w:ascii="Times New Roman" w:hAnsi="Times New Roman"/>
        </w:rPr>
        <w:t xml:space="preserve"> boli v skutočnosti vyššie ako ro</w:t>
      </w:r>
      <w:r w:rsidR="00ED3686">
        <w:rPr>
          <w:rFonts w:ascii="Times New Roman" w:hAnsi="Times New Roman"/>
        </w:rPr>
        <w:t>zpočtovaná suma o 173 660 tis. e</w:t>
      </w:r>
      <w:r w:rsidRPr="00C54251">
        <w:rPr>
          <w:rFonts w:ascii="Times New Roman" w:hAnsi="Times New Roman"/>
        </w:rPr>
        <w:t>ur, čo vyplýva z výsledku nárastu príjmov na DPH o 164 574 tis</w:t>
      </w:r>
      <w:r w:rsidR="00DF1A1A">
        <w:rPr>
          <w:rFonts w:ascii="Times New Roman" w:hAnsi="Times New Roman"/>
        </w:rPr>
        <w:t>.</w:t>
      </w:r>
      <w:r w:rsidRPr="00C54251">
        <w:rPr>
          <w:rFonts w:ascii="Times New Roman" w:hAnsi="Times New Roman"/>
        </w:rPr>
        <w:t xml:space="preserve"> eur, poklesu príjmov zo spotrebných daní o</w:t>
      </w:r>
      <w:r w:rsidR="000D2656">
        <w:rPr>
          <w:rFonts w:ascii="Times New Roman" w:hAnsi="Times New Roman"/>
        </w:rPr>
        <w:t> </w:t>
      </w:r>
      <w:r w:rsidRPr="00C54251">
        <w:rPr>
          <w:rFonts w:ascii="Times New Roman" w:hAnsi="Times New Roman"/>
        </w:rPr>
        <w:t>2</w:t>
      </w:r>
      <w:r w:rsidR="001420D7">
        <w:rPr>
          <w:rFonts w:ascii="Times New Roman" w:hAnsi="Times New Roman"/>
        </w:rPr>
        <w:t> 994 </w:t>
      </w:r>
      <w:r>
        <w:rPr>
          <w:rFonts w:ascii="Times New Roman" w:hAnsi="Times New Roman"/>
        </w:rPr>
        <w:t>tis. eur</w:t>
      </w:r>
      <w:r w:rsidR="00137718">
        <w:rPr>
          <w:rFonts w:ascii="Times New Roman" w:hAnsi="Times New Roman"/>
        </w:rPr>
        <w:t>,</w:t>
      </w:r>
      <w:r>
        <w:rPr>
          <w:rFonts w:ascii="Times New Roman" w:hAnsi="Times New Roman"/>
        </w:rPr>
        <w:t xml:space="preserve"> poklesu príjmov</w:t>
      </w:r>
      <w:r w:rsidRPr="00C54251">
        <w:rPr>
          <w:rFonts w:ascii="Times New Roman" w:hAnsi="Times New Roman"/>
        </w:rPr>
        <w:t> dane z používania tovarov a</w:t>
      </w:r>
      <w:r w:rsidR="001420D7">
        <w:rPr>
          <w:rFonts w:ascii="Times New Roman" w:hAnsi="Times New Roman"/>
        </w:rPr>
        <w:t xml:space="preserve"> </w:t>
      </w:r>
      <w:r w:rsidRPr="00C54251">
        <w:rPr>
          <w:rFonts w:ascii="Times New Roman" w:hAnsi="Times New Roman"/>
        </w:rPr>
        <w:t>z po</w:t>
      </w:r>
      <w:r w:rsidR="000D2656">
        <w:rPr>
          <w:rFonts w:ascii="Times New Roman" w:hAnsi="Times New Roman"/>
        </w:rPr>
        <w:t>volenia na výkon činnosti o 859 </w:t>
      </w:r>
      <w:r w:rsidR="00137718">
        <w:rPr>
          <w:rFonts w:ascii="Times New Roman" w:hAnsi="Times New Roman"/>
        </w:rPr>
        <w:t xml:space="preserve">tis. eur a nárastu príjmov z iných daní za tovary a služby v podobe </w:t>
      </w:r>
      <w:r w:rsidR="001A594D">
        <w:rPr>
          <w:rFonts w:ascii="Times New Roman" w:hAnsi="Times New Roman"/>
        </w:rPr>
        <w:t xml:space="preserve">nového </w:t>
      </w:r>
      <w:r w:rsidR="00137718">
        <w:rPr>
          <w:rFonts w:ascii="Times New Roman" w:hAnsi="Times New Roman"/>
        </w:rPr>
        <w:t>osobitného odvodu časti poistného z odvetví neživotného poistenia</w:t>
      </w:r>
      <w:r w:rsidR="001A594D">
        <w:rPr>
          <w:rFonts w:ascii="Times New Roman" w:hAnsi="Times New Roman"/>
        </w:rPr>
        <w:t>.</w:t>
      </w:r>
    </w:p>
    <w:p w:rsidR="00161154">
      <w:pPr>
        <w:bidi w:val="0"/>
        <w:spacing w:after="200" w:line="276" w:lineRule="auto"/>
        <w:jc w:val="left"/>
        <w:rPr>
          <w:rFonts w:ascii="Times New Roman" w:hAnsi="Times New Roman"/>
          <w:szCs w:val="22"/>
        </w:rPr>
      </w:pPr>
      <w:r>
        <w:rPr>
          <w:rFonts w:ascii="Times New Roman" w:hAnsi="Times New Roman"/>
          <w:szCs w:val="22"/>
        </w:rPr>
        <w:br w:type="page"/>
      </w:r>
    </w:p>
    <w:p w:rsidR="001D644F" w:rsidP="001D644F">
      <w:pPr>
        <w:bidi w:val="0"/>
        <w:rPr>
          <w:rFonts w:ascii="Times New Roman" w:hAnsi="Times New Roman"/>
          <w:szCs w:val="22"/>
        </w:rPr>
      </w:pPr>
      <w:r w:rsidRPr="006E50E2">
        <w:rPr>
          <w:rFonts w:ascii="Times New Roman" w:hAnsi="Times New Roman"/>
          <w:szCs w:val="22"/>
        </w:rPr>
        <w:t>Prehľad o plnení daňových príjmov štátneho rozpočtu poskytujú nasledovné údaje:</w:t>
      </w:r>
    </w:p>
    <w:tbl>
      <w:tblPr>
        <w:tblStyle w:val="TableNormal"/>
        <w:tblW w:w="8748" w:type="dxa"/>
        <w:tblCellMar>
          <w:left w:w="70" w:type="dxa"/>
          <w:right w:w="70" w:type="dxa"/>
        </w:tblCellMar>
        <w:tblLook w:val="04A0"/>
      </w:tblPr>
      <w:tblGrid>
        <w:gridCol w:w="3399"/>
        <w:gridCol w:w="913"/>
        <w:gridCol w:w="899"/>
        <w:gridCol w:w="898"/>
        <w:gridCol w:w="1025"/>
        <w:gridCol w:w="806"/>
        <w:gridCol w:w="843"/>
      </w:tblGrid>
      <w:tr>
        <w:tblPrEx>
          <w:tblW w:w="8748" w:type="dxa"/>
          <w:tblCellMar>
            <w:left w:w="70" w:type="dxa"/>
            <w:right w:w="70" w:type="dxa"/>
          </w:tblCellMar>
          <w:tblLook w:val="04A0"/>
        </w:tblPrEx>
        <w:trPr>
          <w:trHeight w:val="311"/>
        </w:trPr>
        <w:tc>
          <w:tcPr>
            <w:tcW w:w="7905" w:type="dxa"/>
            <w:gridSpan w:val="6"/>
            <w:tcBorders>
              <w:top w:val="nil"/>
              <w:left w:val="single" w:sz="8" w:space="0" w:color="auto"/>
              <w:bottom w:val="nil"/>
              <w:right w:val="nil"/>
            </w:tcBorders>
            <w:shd w:val="clear" w:color="000000" w:fill="000000"/>
            <w:textDirection w:val="lrTb"/>
            <w:vAlign w:val="center"/>
            <w:hideMark/>
          </w:tcPr>
          <w:p w:rsidR="001420D7" w:rsidRPr="001420D7" w:rsidP="00531D02">
            <w:pPr>
              <w:bidi w:val="0"/>
              <w:spacing w:after="0" w:line="240" w:lineRule="auto"/>
              <w:jc w:val="left"/>
              <w:rPr>
                <w:rFonts w:ascii="Times New Roman" w:hAnsi="Times New Roman"/>
                <w:b/>
                <w:bCs/>
                <w:color w:val="FFFFFF"/>
                <w:sz w:val="18"/>
                <w:szCs w:val="18"/>
                <w:lang w:eastAsia="sk-SK"/>
              </w:rPr>
            </w:pPr>
            <w:r w:rsidRPr="001420D7">
              <w:rPr>
                <w:rFonts w:ascii="Times New Roman" w:hAnsi="Times New Roman"/>
                <w:b/>
                <w:bCs/>
                <w:color w:val="FFFFFF"/>
                <w:sz w:val="18"/>
                <w:szCs w:val="18"/>
                <w:lang w:eastAsia="sk-SK"/>
              </w:rPr>
              <w:t>Daňové príjmy štátneho rozpočtu</w:t>
            </w:r>
          </w:p>
        </w:tc>
        <w:tc>
          <w:tcPr>
            <w:tcW w:w="843" w:type="dxa"/>
            <w:tcBorders>
              <w:top w:val="nil"/>
              <w:left w:val="nil"/>
              <w:bottom w:val="nil"/>
              <w:right w:val="nil"/>
            </w:tcBorders>
            <w:shd w:val="clear" w:color="000000" w:fill="000000"/>
            <w:noWrap/>
            <w:textDirection w:val="lrTb"/>
            <w:vAlign w:val="bottom"/>
            <w:hideMark/>
          </w:tcPr>
          <w:p w:rsidR="001420D7" w:rsidRPr="001420D7" w:rsidP="00531D02">
            <w:pPr>
              <w:bidi w:val="0"/>
              <w:spacing w:after="0" w:line="240" w:lineRule="auto"/>
              <w:jc w:val="right"/>
              <w:rPr>
                <w:rFonts w:ascii="Times New Roman" w:hAnsi="Times New Roman"/>
                <w:b/>
                <w:bCs/>
                <w:color w:val="FFFFFF"/>
                <w:sz w:val="18"/>
                <w:szCs w:val="18"/>
                <w:lang w:eastAsia="sk-SK"/>
              </w:rPr>
            </w:pPr>
            <w:r w:rsidRPr="001420D7">
              <w:rPr>
                <w:rFonts w:ascii="Times New Roman" w:hAnsi="Times New Roman"/>
                <w:b/>
                <w:bCs/>
                <w:color w:val="FFFFFF"/>
                <w:sz w:val="18"/>
                <w:szCs w:val="18"/>
                <w:lang w:eastAsia="sk-SK"/>
              </w:rPr>
              <w:t>v tis.</w:t>
            </w:r>
            <w:r w:rsidR="00740DE5">
              <w:rPr>
                <w:rFonts w:ascii="Times New Roman" w:hAnsi="Times New Roman"/>
                <w:b/>
                <w:bCs/>
                <w:color w:val="FFFFFF"/>
                <w:sz w:val="18"/>
                <w:szCs w:val="18"/>
                <w:lang w:eastAsia="sk-SK"/>
              </w:rPr>
              <w:t xml:space="preserve"> </w:t>
            </w:r>
            <w:r w:rsidRPr="001420D7">
              <w:rPr>
                <w:rFonts w:ascii="Times New Roman" w:hAnsi="Times New Roman"/>
                <w:b/>
                <w:bCs/>
                <w:color w:val="FFFFFF"/>
                <w:sz w:val="18"/>
                <w:szCs w:val="18"/>
                <w:lang w:eastAsia="sk-SK"/>
              </w:rPr>
              <w:t>eur</w:t>
            </w:r>
          </w:p>
        </w:tc>
      </w:tr>
      <w:tr>
        <w:tblPrEx>
          <w:tblW w:w="8748" w:type="dxa"/>
          <w:tblCellMar>
            <w:left w:w="70" w:type="dxa"/>
            <w:right w:w="70" w:type="dxa"/>
          </w:tblCellMar>
          <w:tblLook w:val="04A0"/>
        </w:tblPrEx>
        <w:trPr>
          <w:trHeight w:val="311"/>
        </w:trPr>
        <w:tc>
          <w:tcPr>
            <w:tcW w:w="3399"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left"/>
              <w:rPr>
                <w:rFonts w:ascii="Times New Roman" w:hAnsi="Times New Roman"/>
                <w:b/>
                <w:bCs/>
                <w:color w:val="FFFFFF"/>
                <w:sz w:val="18"/>
                <w:szCs w:val="18"/>
                <w:lang w:eastAsia="sk-SK"/>
              </w:rPr>
            </w:pPr>
            <w:r w:rsidRPr="001420D7">
              <w:rPr>
                <w:rFonts w:ascii="Times New Roman" w:hAnsi="Times New Roman"/>
                <w:b/>
                <w:bCs/>
                <w:color w:val="FFFFFF"/>
                <w:sz w:val="18"/>
                <w:szCs w:val="18"/>
                <w:lang w:eastAsia="sk-SK"/>
              </w:rPr>
              <w:t> </w:t>
            </w:r>
          </w:p>
        </w:tc>
        <w:tc>
          <w:tcPr>
            <w:tcW w:w="1813" w:type="dxa"/>
            <w:gridSpan w:val="2"/>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Skutočnosť</w:t>
            </w:r>
          </w:p>
        </w:tc>
        <w:tc>
          <w:tcPr>
            <w:tcW w:w="898"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Rozpočet</w:t>
            </w:r>
          </w:p>
        </w:tc>
        <w:tc>
          <w:tcPr>
            <w:tcW w:w="987"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Skutočnosť</w:t>
            </w:r>
          </w:p>
        </w:tc>
        <w:tc>
          <w:tcPr>
            <w:tcW w:w="1649" w:type="dxa"/>
            <w:gridSpan w:val="2"/>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Rozdiel</w:t>
            </w:r>
          </w:p>
        </w:tc>
      </w:tr>
      <w:tr>
        <w:tblPrEx>
          <w:tblW w:w="8748" w:type="dxa"/>
          <w:tblCellMar>
            <w:left w:w="70" w:type="dxa"/>
            <w:right w:w="70" w:type="dxa"/>
          </w:tblCellMar>
          <w:tblLook w:val="04A0"/>
        </w:tblPrEx>
        <w:trPr>
          <w:trHeight w:val="311"/>
        </w:trPr>
        <w:tc>
          <w:tcPr>
            <w:tcW w:w="3399"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 </w:t>
            </w:r>
          </w:p>
        </w:tc>
        <w:tc>
          <w:tcPr>
            <w:tcW w:w="913"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2015</w:t>
            </w:r>
          </w:p>
        </w:tc>
        <w:tc>
          <w:tcPr>
            <w:tcW w:w="899"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2016</w:t>
            </w:r>
          </w:p>
        </w:tc>
        <w:tc>
          <w:tcPr>
            <w:tcW w:w="898"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2017</w:t>
            </w:r>
          </w:p>
        </w:tc>
        <w:tc>
          <w:tcPr>
            <w:tcW w:w="987"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2017</w:t>
            </w:r>
          </w:p>
        </w:tc>
        <w:tc>
          <w:tcPr>
            <w:tcW w:w="806"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 xml:space="preserve"> v tis. eur</w:t>
            </w:r>
          </w:p>
        </w:tc>
        <w:tc>
          <w:tcPr>
            <w:tcW w:w="843" w:type="dxa"/>
            <w:tcBorders>
              <w:top w:val="nil"/>
              <w:left w:val="nil"/>
              <w:bottom w:val="nil"/>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v %</w:t>
            </w:r>
          </w:p>
        </w:tc>
      </w:tr>
      <w:tr>
        <w:tblPrEx>
          <w:tblW w:w="8748" w:type="dxa"/>
          <w:tblCellMar>
            <w:left w:w="70" w:type="dxa"/>
            <w:right w:w="70" w:type="dxa"/>
          </w:tblCellMar>
          <w:tblLook w:val="04A0"/>
        </w:tblPrEx>
        <w:trPr>
          <w:trHeight w:val="325"/>
        </w:trPr>
        <w:tc>
          <w:tcPr>
            <w:tcW w:w="3399"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left"/>
              <w:rPr>
                <w:rFonts w:ascii="Times New Roman" w:hAnsi="Times New Roman"/>
                <w:b/>
                <w:bCs/>
                <w:color w:val="FFFFFF"/>
                <w:sz w:val="18"/>
                <w:szCs w:val="18"/>
                <w:lang w:eastAsia="sk-SK"/>
              </w:rPr>
            </w:pPr>
            <w:r w:rsidRPr="001420D7">
              <w:rPr>
                <w:rFonts w:ascii="Times New Roman" w:hAnsi="Times New Roman"/>
                <w:b/>
                <w:bCs/>
                <w:color w:val="FFFFFF"/>
                <w:sz w:val="18"/>
                <w:szCs w:val="18"/>
                <w:lang w:eastAsia="sk-SK"/>
              </w:rPr>
              <w:t> </w:t>
            </w:r>
          </w:p>
        </w:tc>
        <w:tc>
          <w:tcPr>
            <w:tcW w:w="913"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1</w:t>
            </w:r>
          </w:p>
        </w:tc>
        <w:tc>
          <w:tcPr>
            <w:tcW w:w="899"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2</w:t>
            </w:r>
          </w:p>
        </w:tc>
        <w:tc>
          <w:tcPr>
            <w:tcW w:w="898"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3</w:t>
            </w:r>
          </w:p>
        </w:tc>
        <w:tc>
          <w:tcPr>
            <w:tcW w:w="987"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4</w:t>
            </w:r>
          </w:p>
        </w:tc>
        <w:tc>
          <w:tcPr>
            <w:tcW w:w="806"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5=4-3</w:t>
            </w:r>
          </w:p>
        </w:tc>
        <w:tc>
          <w:tcPr>
            <w:tcW w:w="843" w:type="dxa"/>
            <w:tcBorders>
              <w:top w:val="nil"/>
              <w:left w:val="nil"/>
              <w:bottom w:val="single" w:sz="8" w:space="0" w:color="auto"/>
              <w:right w:val="nil"/>
            </w:tcBorders>
            <w:shd w:val="clear" w:color="000000" w:fill="BFBFBF"/>
            <w:textDirection w:val="lrTb"/>
            <w:vAlign w:val="center"/>
            <w:hideMark/>
          </w:tcPr>
          <w:p w:rsidR="001420D7" w:rsidRPr="001420D7" w:rsidP="00531D02">
            <w:pPr>
              <w:bidi w:val="0"/>
              <w:spacing w:after="0" w:line="240" w:lineRule="auto"/>
              <w:jc w:val="center"/>
              <w:rPr>
                <w:rFonts w:ascii="Times New Roman" w:hAnsi="Times New Roman"/>
                <w:b/>
                <w:bCs/>
                <w:sz w:val="18"/>
                <w:szCs w:val="18"/>
                <w:lang w:eastAsia="sk-SK"/>
              </w:rPr>
            </w:pPr>
            <w:r w:rsidRPr="001420D7">
              <w:rPr>
                <w:rFonts w:ascii="Times New Roman" w:hAnsi="Times New Roman"/>
                <w:b/>
                <w:bCs/>
                <w:sz w:val="18"/>
                <w:szCs w:val="18"/>
                <w:lang w:eastAsia="sk-SK"/>
              </w:rPr>
              <w:t>6=4-3</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Dane za tovary a služby</w:t>
            </w:r>
          </w:p>
        </w:tc>
        <w:tc>
          <w:tcPr>
            <w:tcW w:w="913" w:type="dxa"/>
            <w:tcBorders>
              <w:top w:val="nil"/>
              <w:left w:val="nil"/>
              <w:bottom w:val="nil"/>
              <w:right w:val="nil"/>
            </w:tcBorders>
            <w:shd w:val="clear" w:color="000000" w:fill="FFFFFF"/>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7 739 273</w:t>
            </w:r>
          </w:p>
        </w:tc>
        <w:tc>
          <w:tcPr>
            <w:tcW w:w="899"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7 671 330</w:t>
            </w:r>
          </w:p>
        </w:tc>
        <w:tc>
          <w:tcPr>
            <w:tcW w:w="898" w:type="dxa"/>
            <w:tcBorders>
              <w:top w:val="nil"/>
              <w:left w:val="nil"/>
              <w:bottom w:val="nil"/>
              <w:right w:val="nil"/>
            </w:tcBorders>
            <w:shd w:val="clear" w:color="000000" w:fill="FFFFFF"/>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8 154 986</w:t>
            </w:r>
          </w:p>
        </w:tc>
        <w:tc>
          <w:tcPr>
            <w:tcW w:w="987" w:type="dxa"/>
            <w:tcBorders>
              <w:top w:val="nil"/>
              <w:left w:val="nil"/>
              <w:bottom w:val="nil"/>
              <w:right w:val="nil"/>
            </w:tcBorders>
            <w:shd w:val="clear" w:color="000000" w:fill="BFBFBF"/>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8 328 646</w:t>
            </w:r>
          </w:p>
        </w:tc>
        <w:tc>
          <w:tcPr>
            <w:tcW w:w="806"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173 660</w:t>
            </w:r>
          </w:p>
        </w:tc>
        <w:tc>
          <w:tcPr>
            <w:tcW w:w="843"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2,1</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color w:val="000000"/>
                <w:sz w:val="18"/>
                <w:szCs w:val="18"/>
                <w:lang w:eastAsia="sk-SK"/>
              </w:rPr>
            </w:pPr>
            <w:r w:rsidRPr="001420D7">
              <w:rPr>
                <w:rFonts w:ascii="Times New Roman" w:hAnsi="Times New Roman"/>
                <w:color w:val="000000"/>
                <w:sz w:val="18"/>
                <w:szCs w:val="18"/>
                <w:lang w:eastAsia="sk-SK"/>
              </w:rPr>
              <w:t xml:space="preserve">v tom: </w:t>
            </w:r>
          </w:p>
        </w:tc>
        <w:tc>
          <w:tcPr>
            <w:tcW w:w="913"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color w:val="000000"/>
                <w:sz w:val="18"/>
                <w:szCs w:val="18"/>
                <w:lang w:eastAsia="sk-SK"/>
              </w:rPr>
            </w:pPr>
          </w:p>
        </w:tc>
        <w:tc>
          <w:tcPr>
            <w:tcW w:w="899"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sz w:val="18"/>
                <w:szCs w:val="18"/>
                <w:lang w:eastAsia="sk-SK"/>
              </w:rPr>
            </w:pPr>
          </w:p>
        </w:tc>
        <w:tc>
          <w:tcPr>
            <w:tcW w:w="898"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sz w:val="18"/>
                <w:szCs w:val="18"/>
                <w:lang w:eastAsia="sk-SK"/>
              </w:rPr>
            </w:pPr>
          </w:p>
        </w:tc>
        <w:tc>
          <w:tcPr>
            <w:tcW w:w="987" w:type="dxa"/>
            <w:tcBorders>
              <w:top w:val="nil"/>
              <w:left w:val="nil"/>
              <w:bottom w:val="nil"/>
              <w:right w:val="nil"/>
            </w:tcBorders>
            <w:shd w:val="clear" w:color="000000" w:fill="BFBFBF"/>
            <w:noWrap/>
            <w:textDirection w:val="lrTb"/>
            <w:vAlign w:val="bottom"/>
            <w:hideMark/>
          </w:tcPr>
          <w:p w:rsidR="001420D7" w:rsidRPr="001420D7" w:rsidP="00531D02">
            <w:pPr>
              <w:bidi w:val="0"/>
              <w:spacing w:after="0" w:line="240" w:lineRule="auto"/>
              <w:jc w:val="left"/>
              <w:rPr>
                <w:rFonts w:ascii="Times New Roman" w:hAnsi="Times New Roman"/>
                <w:color w:val="000000"/>
                <w:sz w:val="18"/>
                <w:szCs w:val="18"/>
                <w:lang w:eastAsia="sk-SK"/>
              </w:rPr>
            </w:pPr>
            <w:r w:rsidRPr="001420D7">
              <w:rPr>
                <w:rFonts w:ascii="Times New Roman" w:hAnsi="Times New Roman"/>
                <w:color w:val="000000"/>
                <w:sz w:val="18"/>
                <w:szCs w:val="18"/>
                <w:lang w:eastAsia="sk-SK"/>
              </w:rPr>
              <w:t> </w:t>
            </w:r>
          </w:p>
        </w:tc>
        <w:tc>
          <w:tcPr>
            <w:tcW w:w="806"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color w:val="000000"/>
                <w:sz w:val="18"/>
                <w:szCs w:val="18"/>
                <w:lang w:eastAsia="sk-SK"/>
              </w:rPr>
            </w:pPr>
            <w:r w:rsidRPr="001420D7">
              <w:rPr>
                <w:rFonts w:ascii="Times New Roman" w:hAnsi="Times New Roman"/>
                <w:color w:val="000000"/>
                <w:sz w:val="18"/>
                <w:szCs w:val="18"/>
                <w:lang w:eastAsia="sk-SK"/>
              </w:rPr>
              <w:t> </w:t>
            </w:r>
          </w:p>
        </w:tc>
        <w:tc>
          <w:tcPr>
            <w:tcW w:w="843"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color w:val="000000"/>
                <w:sz w:val="18"/>
                <w:szCs w:val="18"/>
                <w:lang w:eastAsia="sk-SK"/>
              </w:rPr>
            </w:pPr>
            <w:r w:rsidRPr="001420D7">
              <w:rPr>
                <w:rFonts w:ascii="Times New Roman" w:hAnsi="Times New Roman"/>
                <w:color w:val="000000"/>
                <w:sz w:val="18"/>
                <w:szCs w:val="18"/>
                <w:lang w:eastAsia="sk-SK"/>
              </w:rPr>
              <w:t> </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DPH</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5 501 499</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5 360 699</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5 748 794</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5 913 368</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164 574</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2,9</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spotrebné dane</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2 096 600</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2 170 497</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2 255 390</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2 252 396</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-2 994</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-0,1</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dane z použív. tovarov a z povolenia na výkon činnosti</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141 173</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140 134</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150 802</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149 943</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-859</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-0,6</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iné dane za tovary a služby</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sz w:val="18"/>
                <w:szCs w:val="18"/>
                <w:lang w:eastAsia="sk-SK"/>
              </w:rPr>
            </w:pP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sz w:val="18"/>
                <w:szCs w:val="18"/>
                <w:lang w:eastAsia="sk-SK"/>
              </w:rPr>
            </w:pP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12 939</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12 939</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 </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Dane z príjmov a kapitálového majetku</w:t>
            </w:r>
          </w:p>
        </w:tc>
        <w:tc>
          <w:tcPr>
            <w:tcW w:w="913"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2 826 349</w:t>
            </w:r>
          </w:p>
        </w:tc>
        <w:tc>
          <w:tcPr>
            <w:tcW w:w="899"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3 354 795</w:t>
            </w:r>
          </w:p>
        </w:tc>
        <w:tc>
          <w:tcPr>
            <w:tcW w:w="898"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3 339 144</w:t>
            </w:r>
          </w:p>
        </w:tc>
        <w:tc>
          <w:tcPr>
            <w:tcW w:w="987" w:type="dxa"/>
            <w:tcBorders>
              <w:top w:val="nil"/>
              <w:left w:val="nil"/>
              <w:bottom w:val="nil"/>
              <w:right w:val="nil"/>
            </w:tcBorders>
            <w:shd w:val="clear" w:color="000000" w:fill="BFBFBF"/>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2 784 471</w:t>
            </w:r>
          </w:p>
        </w:tc>
        <w:tc>
          <w:tcPr>
            <w:tcW w:w="806"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-554 673</w:t>
            </w:r>
          </w:p>
        </w:tc>
        <w:tc>
          <w:tcPr>
            <w:tcW w:w="843"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-16,6</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color w:val="000000"/>
                <w:sz w:val="18"/>
                <w:szCs w:val="18"/>
                <w:lang w:eastAsia="sk-SK"/>
              </w:rPr>
            </w:pPr>
            <w:r w:rsidRPr="00ED3686">
              <w:rPr>
                <w:rFonts w:ascii="Times New Roman" w:hAnsi="Times New Roman"/>
                <w:color w:val="000000"/>
                <w:sz w:val="18"/>
                <w:szCs w:val="18"/>
                <w:lang w:eastAsia="sk-SK"/>
              </w:rPr>
              <w:t xml:space="preserve">v tom: </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color w:val="000000"/>
                <w:sz w:val="18"/>
                <w:szCs w:val="18"/>
                <w:lang w:eastAsia="sk-SK"/>
              </w:rPr>
            </w:pP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sz w:val="18"/>
                <w:szCs w:val="18"/>
                <w:lang w:eastAsia="sk-SK"/>
              </w:rPr>
            </w:pP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sz w:val="18"/>
                <w:szCs w:val="18"/>
                <w:lang w:eastAsia="sk-SK"/>
              </w:rPr>
            </w:pPr>
          </w:p>
        </w:tc>
        <w:tc>
          <w:tcPr>
            <w:tcW w:w="987" w:type="dxa"/>
            <w:tcBorders>
              <w:top w:val="nil"/>
              <w:left w:val="nil"/>
              <w:bottom w:val="nil"/>
              <w:right w:val="nil"/>
            </w:tcBorders>
            <w:shd w:val="clear" w:color="000000" w:fill="BFBFBF"/>
            <w:noWrap/>
            <w:textDirection w:val="lrTb"/>
            <w:vAlign w:val="bottom"/>
            <w:hideMark/>
          </w:tcPr>
          <w:p w:rsidR="001420D7" w:rsidRPr="00ED3686" w:rsidP="00531D02">
            <w:pPr>
              <w:bidi w:val="0"/>
              <w:spacing w:after="0" w:line="240" w:lineRule="auto"/>
              <w:jc w:val="left"/>
              <w:rPr>
                <w:rFonts w:ascii="Times New Roman" w:hAnsi="Times New Roman"/>
                <w:color w:val="000000"/>
                <w:sz w:val="18"/>
                <w:szCs w:val="18"/>
                <w:lang w:eastAsia="sk-SK"/>
              </w:rPr>
            </w:pPr>
            <w:r w:rsidRPr="00ED3686">
              <w:rPr>
                <w:rFonts w:ascii="Times New Roman" w:hAnsi="Times New Roman"/>
                <w:color w:val="000000"/>
                <w:sz w:val="18"/>
                <w:szCs w:val="18"/>
                <w:lang w:eastAsia="sk-SK"/>
              </w:rPr>
              <w:t> </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color w:val="000000"/>
                <w:sz w:val="18"/>
                <w:szCs w:val="18"/>
                <w:lang w:eastAsia="sk-SK"/>
              </w:rPr>
            </w:pPr>
            <w:r w:rsidRPr="00ED3686">
              <w:rPr>
                <w:rFonts w:ascii="Times New Roman" w:hAnsi="Times New Roman"/>
                <w:color w:val="000000"/>
                <w:sz w:val="18"/>
                <w:szCs w:val="18"/>
                <w:lang w:eastAsia="sk-SK"/>
              </w:rPr>
              <w:t> </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color w:val="000000"/>
                <w:sz w:val="18"/>
                <w:szCs w:val="18"/>
                <w:lang w:eastAsia="sk-SK"/>
              </w:rPr>
            </w:pPr>
            <w:r w:rsidRPr="00ED3686">
              <w:rPr>
                <w:rFonts w:ascii="Times New Roman" w:hAnsi="Times New Roman"/>
                <w:color w:val="000000"/>
                <w:sz w:val="18"/>
                <w:szCs w:val="18"/>
                <w:lang w:eastAsia="sk-SK"/>
              </w:rPr>
              <w:t> </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daň z príjmov PO</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2 603 932</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3 187 063</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3 143 755</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2 601 856</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-541 899</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-17,2</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daň z príjmov vyberaná zrážkou</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162 005</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179 211</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190 024</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178 432</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-11 593</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-6,1</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ED3686" w:rsidP="00531D02">
            <w:pPr>
              <w:bidi w:val="0"/>
              <w:spacing w:after="0" w:line="240" w:lineRule="auto"/>
              <w:jc w:val="lef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daň z príjmov FO</w:t>
            </w:r>
          </w:p>
        </w:tc>
        <w:tc>
          <w:tcPr>
            <w:tcW w:w="913"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60 413</w:t>
            </w:r>
          </w:p>
        </w:tc>
        <w:tc>
          <w:tcPr>
            <w:tcW w:w="899"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-11 479</w:t>
            </w:r>
          </w:p>
        </w:tc>
        <w:tc>
          <w:tcPr>
            <w:tcW w:w="898" w:type="dxa"/>
            <w:tcBorders>
              <w:top w:val="nil"/>
              <w:left w:val="nil"/>
              <w:bottom w:val="nil"/>
              <w:right w:val="nil"/>
            </w:tcBorders>
            <w:noWrap/>
            <w:textDirection w:val="lrTb"/>
            <w:vAlign w:val="center"/>
            <w:hideMark/>
          </w:tcPr>
          <w:p w:rsidR="001420D7" w:rsidRPr="00ED3686" w:rsidP="00531D02">
            <w:pPr>
              <w:bidi w:val="0"/>
              <w:spacing w:after="0" w:line="240" w:lineRule="auto"/>
              <w:jc w:val="right"/>
              <w:rPr>
                <w:rFonts w:ascii="Times New Roman" w:hAnsi="Times New Roman"/>
                <w:iCs/>
                <w:sz w:val="18"/>
                <w:szCs w:val="18"/>
                <w:lang w:eastAsia="sk-SK"/>
              </w:rPr>
            </w:pPr>
            <w:r w:rsidRPr="00ED3686">
              <w:rPr>
                <w:rFonts w:ascii="Times New Roman" w:hAnsi="Times New Roman"/>
                <w:iCs/>
                <w:sz w:val="18"/>
                <w:szCs w:val="18"/>
                <w:lang w:eastAsia="sk-SK"/>
              </w:rPr>
              <w:t>5 365</w:t>
            </w:r>
          </w:p>
        </w:tc>
        <w:tc>
          <w:tcPr>
            <w:tcW w:w="987" w:type="dxa"/>
            <w:tcBorders>
              <w:top w:val="nil"/>
              <w:left w:val="nil"/>
              <w:bottom w:val="nil"/>
              <w:right w:val="nil"/>
            </w:tcBorders>
            <w:shd w:val="clear" w:color="000000" w:fill="BFBFBF"/>
            <w:noWrap/>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4 183</w:t>
            </w:r>
          </w:p>
        </w:tc>
        <w:tc>
          <w:tcPr>
            <w:tcW w:w="806"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-1 182</w:t>
            </w:r>
          </w:p>
        </w:tc>
        <w:tc>
          <w:tcPr>
            <w:tcW w:w="843" w:type="dxa"/>
            <w:tcBorders>
              <w:top w:val="nil"/>
              <w:left w:val="nil"/>
              <w:bottom w:val="nil"/>
              <w:right w:val="nil"/>
            </w:tcBorders>
            <w:shd w:val="clear" w:color="000000" w:fill="FFFFFF"/>
            <w:textDirection w:val="lrTb"/>
            <w:vAlign w:val="center"/>
            <w:hideMark/>
          </w:tcPr>
          <w:p w:rsidR="001420D7" w:rsidRPr="00ED3686" w:rsidP="00531D02">
            <w:pPr>
              <w:bidi w:val="0"/>
              <w:spacing w:after="0" w:line="240" w:lineRule="auto"/>
              <w:jc w:val="right"/>
              <w:rPr>
                <w:rFonts w:ascii="Times New Roman" w:hAnsi="Times New Roman"/>
                <w:iCs/>
                <w:color w:val="000000"/>
                <w:sz w:val="18"/>
                <w:szCs w:val="18"/>
                <w:lang w:eastAsia="sk-SK"/>
              </w:rPr>
            </w:pPr>
            <w:r w:rsidRPr="00ED3686">
              <w:rPr>
                <w:rFonts w:ascii="Times New Roman" w:hAnsi="Times New Roman"/>
                <w:iCs/>
                <w:color w:val="000000"/>
                <w:sz w:val="18"/>
                <w:szCs w:val="18"/>
                <w:lang w:eastAsia="sk-SK"/>
              </w:rPr>
              <w:t>-22,0</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1420D7" w:rsidP="00531D02">
            <w:pPr>
              <w:bidi w:val="0"/>
              <w:spacing w:after="0" w:line="240" w:lineRule="auto"/>
              <w:jc w:val="lef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Dane z medzinárodného obchodu a transakcií</w:t>
            </w:r>
          </w:p>
        </w:tc>
        <w:tc>
          <w:tcPr>
            <w:tcW w:w="913"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28 893</w:t>
            </w:r>
          </w:p>
        </w:tc>
        <w:tc>
          <w:tcPr>
            <w:tcW w:w="899"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28 887</w:t>
            </w:r>
          </w:p>
        </w:tc>
        <w:tc>
          <w:tcPr>
            <w:tcW w:w="898"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24 487</w:t>
            </w:r>
          </w:p>
        </w:tc>
        <w:tc>
          <w:tcPr>
            <w:tcW w:w="987" w:type="dxa"/>
            <w:tcBorders>
              <w:top w:val="nil"/>
              <w:left w:val="nil"/>
              <w:bottom w:val="nil"/>
              <w:right w:val="nil"/>
            </w:tcBorders>
            <w:shd w:val="clear" w:color="000000" w:fill="BFBFBF"/>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22 432</w:t>
            </w:r>
          </w:p>
        </w:tc>
        <w:tc>
          <w:tcPr>
            <w:tcW w:w="806"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-2 055</w:t>
            </w:r>
          </w:p>
        </w:tc>
        <w:tc>
          <w:tcPr>
            <w:tcW w:w="843" w:type="dxa"/>
            <w:tcBorders>
              <w:top w:val="nil"/>
              <w:left w:val="nil"/>
              <w:bottom w:val="nil"/>
              <w:right w:val="nil"/>
            </w:tcBorders>
            <w:shd w:val="clear" w:color="000000" w:fill="FFFFFF"/>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-8,4</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textDirection w:val="lrTb"/>
            <w:vAlign w:val="center"/>
            <w:hideMark/>
          </w:tcPr>
          <w:p w:rsidR="001420D7" w:rsidRPr="00DB7BC3" w:rsidP="00531D02">
            <w:pPr>
              <w:bidi w:val="0"/>
              <w:spacing w:after="0" w:line="240" w:lineRule="auto"/>
              <w:jc w:val="left"/>
              <w:rPr>
                <w:rFonts w:ascii="Times New Roman" w:hAnsi="Times New Roman"/>
                <w:b/>
                <w:bCs/>
                <w:color w:val="000000"/>
                <w:sz w:val="18"/>
                <w:szCs w:val="18"/>
                <w:lang w:eastAsia="sk-SK"/>
              </w:rPr>
            </w:pPr>
            <w:r w:rsidRPr="00DB7BC3">
              <w:rPr>
                <w:rFonts w:ascii="Times New Roman" w:hAnsi="Times New Roman"/>
                <w:b/>
                <w:bCs/>
                <w:color w:val="000000"/>
                <w:sz w:val="18"/>
                <w:szCs w:val="18"/>
                <w:lang w:eastAsia="sk-SK"/>
              </w:rPr>
              <w:t>Dane z majetku</w:t>
            </w:r>
          </w:p>
        </w:tc>
        <w:tc>
          <w:tcPr>
            <w:tcW w:w="913" w:type="dxa"/>
            <w:tcBorders>
              <w:top w:val="nil"/>
              <w:left w:val="nil"/>
              <w:bottom w:val="nil"/>
              <w:right w:val="nil"/>
            </w:tcBorders>
            <w:noWrap/>
            <w:textDirection w:val="lrTb"/>
            <w:vAlign w:val="center"/>
            <w:hideMark/>
          </w:tcPr>
          <w:p w:rsidR="001420D7" w:rsidRPr="00DB7BC3" w:rsidP="00531D02">
            <w:pPr>
              <w:bidi w:val="0"/>
              <w:spacing w:after="0" w:line="240" w:lineRule="auto"/>
              <w:jc w:val="left"/>
              <w:rPr>
                <w:rFonts w:ascii="Times New Roman" w:hAnsi="Times New Roman"/>
                <w:b/>
                <w:bCs/>
                <w:color w:val="000000"/>
                <w:sz w:val="18"/>
                <w:szCs w:val="18"/>
                <w:lang w:eastAsia="sk-SK"/>
              </w:rPr>
            </w:pPr>
          </w:p>
        </w:tc>
        <w:tc>
          <w:tcPr>
            <w:tcW w:w="899" w:type="dxa"/>
            <w:tcBorders>
              <w:top w:val="nil"/>
              <w:left w:val="nil"/>
              <w:bottom w:val="nil"/>
              <w:right w:val="nil"/>
            </w:tcBorders>
            <w:noWrap/>
            <w:textDirection w:val="lrTb"/>
            <w:vAlign w:val="center"/>
            <w:hideMark/>
          </w:tcPr>
          <w:p w:rsidR="001420D7" w:rsidRPr="00DB7BC3" w:rsidP="00531D02">
            <w:pPr>
              <w:bidi w:val="0"/>
              <w:spacing w:after="0" w:line="240" w:lineRule="auto"/>
              <w:jc w:val="right"/>
              <w:rPr>
                <w:rFonts w:ascii="Times New Roman" w:hAnsi="Times New Roman"/>
                <w:b/>
                <w:sz w:val="18"/>
                <w:szCs w:val="18"/>
                <w:lang w:eastAsia="sk-SK"/>
              </w:rPr>
            </w:pPr>
          </w:p>
        </w:tc>
        <w:tc>
          <w:tcPr>
            <w:tcW w:w="898" w:type="dxa"/>
            <w:tcBorders>
              <w:top w:val="nil"/>
              <w:left w:val="nil"/>
              <w:bottom w:val="nil"/>
              <w:right w:val="nil"/>
            </w:tcBorders>
            <w:noWrap/>
            <w:textDirection w:val="lrTb"/>
            <w:vAlign w:val="center"/>
            <w:hideMark/>
          </w:tcPr>
          <w:p w:rsidR="001420D7" w:rsidRPr="00DB7BC3" w:rsidP="00531D02">
            <w:pPr>
              <w:bidi w:val="0"/>
              <w:spacing w:after="0" w:line="240" w:lineRule="auto"/>
              <w:jc w:val="right"/>
              <w:rPr>
                <w:rFonts w:ascii="Times New Roman" w:hAnsi="Times New Roman"/>
                <w:b/>
                <w:sz w:val="18"/>
                <w:szCs w:val="18"/>
                <w:lang w:eastAsia="sk-SK"/>
              </w:rPr>
            </w:pPr>
          </w:p>
        </w:tc>
        <w:tc>
          <w:tcPr>
            <w:tcW w:w="987" w:type="dxa"/>
            <w:tcBorders>
              <w:top w:val="nil"/>
              <w:left w:val="nil"/>
              <w:bottom w:val="nil"/>
              <w:right w:val="nil"/>
            </w:tcBorders>
            <w:shd w:val="clear" w:color="000000" w:fill="BFBFBF"/>
            <w:noWrap/>
            <w:textDirection w:val="lrTb"/>
            <w:vAlign w:val="center"/>
            <w:hideMark/>
          </w:tcPr>
          <w:p w:rsidR="001420D7" w:rsidRPr="00DB7BC3" w:rsidP="00531D02">
            <w:pPr>
              <w:bidi w:val="0"/>
              <w:spacing w:after="0" w:line="240" w:lineRule="auto"/>
              <w:jc w:val="right"/>
              <w:rPr>
                <w:rFonts w:ascii="Times New Roman" w:hAnsi="Times New Roman"/>
                <w:b/>
                <w:bCs/>
                <w:color w:val="000000"/>
                <w:sz w:val="18"/>
                <w:szCs w:val="18"/>
                <w:lang w:eastAsia="sk-SK"/>
              </w:rPr>
            </w:pPr>
            <w:r w:rsidRPr="00DB7BC3">
              <w:rPr>
                <w:rFonts w:ascii="Times New Roman" w:hAnsi="Times New Roman"/>
                <w:b/>
                <w:bCs/>
                <w:color w:val="000000"/>
                <w:sz w:val="18"/>
                <w:szCs w:val="18"/>
                <w:lang w:eastAsia="sk-SK"/>
              </w:rPr>
              <w:t>20</w:t>
            </w:r>
          </w:p>
        </w:tc>
        <w:tc>
          <w:tcPr>
            <w:tcW w:w="806" w:type="dxa"/>
            <w:tcBorders>
              <w:top w:val="nil"/>
              <w:left w:val="nil"/>
              <w:bottom w:val="nil"/>
              <w:right w:val="nil"/>
            </w:tcBorders>
            <w:shd w:val="clear" w:color="000000" w:fill="FFFFFF"/>
            <w:textDirection w:val="lrTb"/>
            <w:vAlign w:val="center"/>
            <w:hideMark/>
          </w:tcPr>
          <w:p w:rsidR="001420D7" w:rsidRPr="00DB7BC3" w:rsidP="00531D02">
            <w:pPr>
              <w:bidi w:val="0"/>
              <w:spacing w:after="0" w:line="240" w:lineRule="auto"/>
              <w:jc w:val="right"/>
              <w:rPr>
                <w:rFonts w:ascii="Times New Roman" w:hAnsi="Times New Roman"/>
                <w:b/>
                <w:color w:val="000000"/>
                <w:sz w:val="18"/>
                <w:szCs w:val="18"/>
                <w:lang w:eastAsia="sk-SK"/>
              </w:rPr>
            </w:pPr>
            <w:r w:rsidRPr="00DB7BC3">
              <w:rPr>
                <w:rFonts w:ascii="Times New Roman" w:hAnsi="Times New Roman"/>
                <w:b/>
                <w:color w:val="000000"/>
                <w:sz w:val="18"/>
                <w:szCs w:val="18"/>
                <w:lang w:eastAsia="sk-SK"/>
              </w:rPr>
              <w:t>20</w:t>
            </w:r>
          </w:p>
        </w:tc>
        <w:tc>
          <w:tcPr>
            <w:tcW w:w="843" w:type="dxa"/>
            <w:tcBorders>
              <w:top w:val="nil"/>
              <w:left w:val="nil"/>
              <w:bottom w:val="nil"/>
              <w:right w:val="nil"/>
            </w:tcBorders>
            <w:shd w:val="clear" w:color="000000" w:fill="FFFFFF"/>
            <w:textDirection w:val="lrTb"/>
            <w:vAlign w:val="center"/>
            <w:hideMark/>
          </w:tcPr>
          <w:p w:rsidR="001420D7" w:rsidRPr="00DB7BC3" w:rsidP="00531D02">
            <w:pPr>
              <w:bidi w:val="0"/>
              <w:spacing w:after="0" w:line="240" w:lineRule="auto"/>
              <w:jc w:val="right"/>
              <w:rPr>
                <w:rFonts w:ascii="Times New Roman" w:hAnsi="Times New Roman"/>
                <w:b/>
                <w:bCs/>
                <w:color w:val="000000"/>
                <w:sz w:val="18"/>
                <w:szCs w:val="18"/>
                <w:lang w:eastAsia="sk-SK"/>
              </w:rPr>
            </w:pPr>
            <w:r w:rsidRPr="00DB7BC3">
              <w:rPr>
                <w:rFonts w:ascii="Times New Roman" w:hAnsi="Times New Roman"/>
                <w:b/>
                <w:bCs/>
                <w:color w:val="000000"/>
                <w:sz w:val="18"/>
                <w:szCs w:val="18"/>
                <w:lang w:eastAsia="sk-SK"/>
              </w:rPr>
              <w:t> </w:t>
            </w:r>
          </w:p>
        </w:tc>
      </w:tr>
      <w:tr>
        <w:tblPrEx>
          <w:tblW w:w="8748" w:type="dxa"/>
          <w:tblCellMar>
            <w:left w:w="70" w:type="dxa"/>
            <w:right w:w="70" w:type="dxa"/>
          </w:tblCellMar>
          <w:tblLook w:val="04A0"/>
        </w:tblPrEx>
        <w:trPr>
          <w:trHeight w:val="297"/>
        </w:trPr>
        <w:tc>
          <w:tcPr>
            <w:tcW w:w="3399" w:type="dxa"/>
            <w:tcBorders>
              <w:top w:val="nil"/>
              <w:left w:val="nil"/>
              <w:bottom w:val="nil"/>
              <w:right w:val="nil"/>
            </w:tcBorders>
            <w:noWrap/>
            <w:textDirection w:val="lrTb"/>
            <w:vAlign w:val="center"/>
            <w:hideMark/>
          </w:tcPr>
          <w:p w:rsidR="001420D7" w:rsidRPr="001420D7" w:rsidP="00531D02">
            <w:pPr>
              <w:bidi w:val="0"/>
              <w:spacing w:after="0" w:line="240" w:lineRule="auto"/>
              <w:jc w:val="lef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Sankcie uložené v daňovom konaní a ostatné dane</w:t>
            </w:r>
          </w:p>
        </w:tc>
        <w:tc>
          <w:tcPr>
            <w:tcW w:w="913"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18 197</w:t>
            </w:r>
          </w:p>
        </w:tc>
        <w:tc>
          <w:tcPr>
            <w:tcW w:w="899"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13 144</w:t>
            </w:r>
          </w:p>
        </w:tc>
        <w:tc>
          <w:tcPr>
            <w:tcW w:w="898" w:type="dxa"/>
            <w:tcBorders>
              <w:top w:val="nil"/>
              <w:left w:val="nil"/>
              <w:bottom w:val="nil"/>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sz w:val="18"/>
                <w:szCs w:val="18"/>
                <w:lang w:eastAsia="sk-SK"/>
              </w:rPr>
            </w:pPr>
            <w:r w:rsidRPr="001420D7">
              <w:rPr>
                <w:rFonts w:ascii="Times New Roman" w:hAnsi="Times New Roman"/>
                <w:b/>
                <w:bCs/>
                <w:sz w:val="18"/>
                <w:szCs w:val="18"/>
                <w:lang w:eastAsia="sk-SK"/>
              </w:rPr>
              <w:t>11 478</w:t>
            </w:r>
          </w:p>
        </w:tc>
        <w:tc>
          <w:tcPr>
            <w:tcW w:w="987" w:type="dxa"/>
            <w:tcBorders>
              <w:top w:val="nil"/>
              <w:left w:val="nil"/>
              <w:bottom w:val="nil"/>
              <w:right w:val="nil"/>
            </w:tcBorders>
            <w:shd w:val="clear" w:color="000000" w:fill="BFBFBF"/>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16 741</w:t>
            </w:r>
          </w:p>
        </w:tc>
        <w:tc>
          <w:tcPr>
            <w:tcW w:w="806" w:type="dxa"/>
            <w:tcBorders>
              <w:top w:val="nil"/>
              <w:left w:val="nil"/>
              <w:bottom w:val="single" w:sz="4" w:space="0" w:color="auto"/>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5 263</w:t>
            </w:r>
          </w:p>
        </w:tc>
        <w:tc>
          <w:tcPr>
            <w:tcW w:w="843" w:type="dxa"/>
            <w:tcBorders>
              <w:top w:val="nil"/>
              <w:left w:val="nil"/>
              <w:bottom w:val="single" w:sz="4" w:space="0" w:color="auto"/>
              <w:right w:val="nil"/>
            </w:tcBorders>
            <w:noWrap/>
            <w:textDirection w:val="lrTb"/>
            <w:vAlign w:val="center"/>
            <w:hideMark/>
          </w:tcPr>
          <w:p w:rsidR="001420D7" w:rsidRPr="001420D7" w:rsidP="00531D02">
            <w:pPr>
              <w:bidi w:val="0"/>
              <w:spacing w:after="0" w:line="240" w:lineRule="auto"/>
              <w:jc w:val="right"/>
              <w:rPr>
                <w:rFonts w:ascii="Times New Roman" w:hAnsi="Times New Roman"/>
                <w:b/>
                <w:bCs/>
                <w:color w:val="000000"/>
                <w:sz w:val="18"/>
                <w:szCs w:val="18"/>
                <w:lang w:eastAsia="sk-SK"/>
              </w:rPr>
            </w:pPr>
            <w:r w:rsidRPr="001420D7">
              <w:rPr>
                <w:rFonts w:ascii="Times New Roman" w:hAnsi="Times New Roman"/>
                <w:b/>
                <w:bCs/>
                <w:color w:val="000000"/>
                <w:sz w:val="18"/>
                <w:szCs w:val="18"/>
                <w:lang w:eastAsia="sk-SK"/>
              </w:rPr>
              <w:t>46</w:t>
            </w:r>
          </w:p>
        </w:tc>
      </w:tr>
      <w:tr>
        <w:tblPrEx>
          <w:tblW w:w="8748" w:type="dxa"/>
          <w:tblCellMar>
            <w:left w:w="70" w:type="dxa"/>
            <w:right w:w="70" w:type="dxa"/>
          </w:tblCellMar>
          <w:tblLook w:val="04A0"/>
        </w:tblPrEx>
        <w:trPr>
          <w:trHeight w:val="297"/>
        </w:trPr>
        <w:tc>
          <w:tcPr>
            <w:tcW w:w="3399" w:type="dxa"/>
            <w:tcBorders>
              <w:top w:val="single" w:sz="4" w:space="0" w:color="auto"/>
              <w:left w:val="nil"/>
              <w:bottom w:val="single" w:sz="8" w:space="0" w:color="auto"/>
              <w:right w:val="nil"/>
            </w:tcBorders>
            <w:shd w:val="clear" w:color="000000" w:fill="FFFFFF"/>
            <w:noWrap/>
            <w:textDirection w:val="lrTb"/>
            <w:vAlign w:val="center"/>
            <w:hideMark/>
          </w:tcPr>
          <w:p w:rsidR="001420D7" w:rsidRPr="00840A65" w:rsidP="00531D02">
            <w:pPr>
              <w:bidi w:val="0"/>
              <w:spacing w:after="0" w:line="240" w:lineRule="auto"/>
              <w:jc w:val="lef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Spolu</w:t>
            </w:r>
          </w:p>
        </w:tc>
        <w:tc>
          <w:tcPr>
            <w:tcW w:w="913" w:type="dxa"/>
            <w:tcBorders>
              <w:top w:val="single" w:sz="8" w:space="0" w:color="auto"/>
              <w:left w:val="nil"/>
              <w:bottom w:val="single" w:sz="8" w:space="0" w:color="auto"/>
              <w:right w:val="nil"/>
            </w:tcBorders>
            <w:shd w:val="clear" w:color="000000" w:fill="FFFFFF"/>
            <w:noWrap/>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10 612 712</w:t>
            </w:r>
          </w:p>
        </w:tc>
        <w:tc>
          <w:tcPr>
            <w:tcW w:w="899" w:type="dxa"/>
            <w:tcBorders>
              <w:top w:val="single" w:sz="8" w:space="0" w:color="auto"/>
              <w:left w:val="nil"/>
              <w:bottom w:val="single" w:sz="8" w:space="0" w:color="auto"/>
              <w:right w:val="nil"/>
            </w:tcBorders>
            <w:shd w:val="clear" w:color="000000" w:fill="FFFFFF"/>
            <w:noWrap/>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11 068 156</w:t>
            </w:r>
          </w:p>
        </w:tc>
        <w:tc>
          <w:tcPr>
            <w:tcW w:w="898" w:type="dxa"/>
            <w:tcBorders>
              <w:top w:val="single" w:sz="8" w:space="0" w:color="auto"/>
              <w:left w:val="nil"/>
              <w:bottom w:val="single" w:sz="8" w:space="0" w:color="auto"/>
              <w:right w:val="nil"/>
            </w:tcBorders>
            <w:shd w:val="clear" w:color="000000" w:fill="FFFFFF"/>
            <w:noWrap/>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11 530 095</w:t>
            </w:r>
          </w:p>
        </w:tc>
        <w:tc>
          <w:tcPr>
            <w:tcW w:w="987" w:type="dxa"/>
            <w:tcBorders>
              <w:top w:val="single" w:sz="4" w:space="0" w:color="auto"/>
              <w:left w:val="nil"/>
              <w:bottom w:val="single" w:sz="8" w:space="0" w:color="auto"/>
              <w:right w:val="nil"/>
            </w:tcBorders>
            <w:shd w:val="clear" w:color="000000" w:fill="BFBFBF"/>
            <w:noWrap/>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11 152 310</w:t>
            </w:r>
          </w:p>
        </w:tc>
        <w:tc>
          <w:tcPr>
            <w:tcW w:w="806" w:type="dxa"/>
            <w:tcBorders>
              <w:top w:val="nil"/>
              <w:left w:val="nil"/>
              <w:bottom w:val="single" w:sz="8" w:space="0" w:color="auto"/>
              <w:right w:val="nil"/>
            </w:tcBorders>
            <w:shd w:val="clear" w:color="000000" w:fill="FFFFFF"/>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-377 785</w:t>
            </w:r>
          </w:p>
        </w:tc>
        <w:tc>
          <w:tcPr>
            <w:tcW w:w="843" w:type="dxa"/>
            <w:tcBorders>
              <w:top w:val="nil"/>
              <w:left w:val="nil"/>
              <w:bottom w:val="single" w:sz="8" w:space="0" w:color="auto"/>
              <w:right w:val="nil"/>
            </w:tcBorders>
            <w:shd w:val="clear" w:color="000000" w:fill="FFFFFF"/>
            <w:textDirection w:val="lrTb"/>
            <w:vAlign w:val="center"/>
            <w:hideMark/>
          </w:tcPr>
          <w:p w:rsidR="001420D7" w:rsidRPr="00840A65" w:rsidP="00840A65">
            <w:pPr>
              <w:bidi w:val="0"/>
              <w:spacing w:after="0" w:line="240" w:lineRule="auto"/>
              <w:jc w:val="right"/>
              <w:rPr>
                <w:rFonts w:ascii="Times New Roman" w:hAnsi="Times New Roman"/>
                <w:b/>
                <w:color w:val="000000"/>
                <w:sz w:val="18"/>
                <w:szCs w:val="18"/>
                <w:lang w:eastAsia="sk-SK"/>
              </w:rPr>
            </w:pPr>
            <w:r w:rsidRPr="00840A65">
              <w:rPr>
                <w:rFonts w:ascii="Times New Roman" w:hAnsi="Times New Roman"/>
                <w:b/>
                <w:color w:val="000000"/>
                <w:sz w:val="18"/>
                <w:szCs w:val="18"/>
                <w:lang w:eastAsia="sk-SK"/>
              </w:rPr>
              <w:t>-3,3</w:t>
            </w:r>
          </w:p>
        </w:tc>
      </w:tr>
    </w:tbl>
    <w:p w:rsidR="00F24609" w:rsidRPr="001420D7" w:rsidP="001457BD">
      <w:pPr>
        <w:bidi w:val="0"/>
        <w:jc w:val="right"/>
        <w:rPr>
          <w:rFonts w:ascii="Times New Roman" w:hAnsi="Times New Roman"/>
          <w:sz w:val="18"/>
          <w:szCs w:val="18"/>
        </w:rPr>
      </w:pPr>
      <w:r w:rsidRPr="001420D7">
        <w:rPr>
          <w:rFonts w:ascii="Times New Roman" w:hAnsi="Times New Roman"/>
          <w:sz w:val="18"/>
          <w:szCs w:val="18"/>
        </w:rPr>
        <w:t>Zdroj: MF SR</w:t>
      </w:r>
    </w:p>
    <w:p w:rsidR="000D2656" w:rsidP="00997F71">
      <w:pPr>
        <w:tabs>
          <w:tab w:val="left" w:pos="1134"/>
        </w:tabs>
        <w:bidi w:val="0"/>
        <w:rPr>
          <w:rFonts w:ascii="Times New Roman" w:hAnsi="Times New Roman"/>
          <w:szCs w:val="22"/>
        </w:rPr>
      </w:pPr>
      <w:bookmarkStart w:id="41" w:name="_Toc479313237"/>
      <w:r w:rsidRPr="002A5103">
        <w:rPr>
          <w:rFonts w:ascii="Times New Roman" w:hAnsi="Times New Roman"/>
          <w:szCs w:val="22"/>
        </w:rPr>
        <w:t>Tak ako v predchádzajúcich rokoch najvyšší podiel z daňových príjmov pripadá na dane za tovary a</w:t>
      </w:r>
      <w:r w:rsidR="001545D9">
        <w:rPr>
          <w:rFonts w:ascii="Times New Roman" w:hAnsi="Times New Roman"/>
          <w:szCs w:val="22"/>
        </w:rPr>
        <w:t xml:space="preserve"> </w:t>
      </w:r>
      <w:r w:rsidRPr="002A5103">
        <w:rPr>
          <w:rFonts w:ascii="Times New Roman" w:hAnsi="Times New Roman"/>
          <w:szCs w:val="22"/>
        </w:rPr>
        <w:t>služby (74,7 %) a</w:t>
      </w:r>
      <w:r w:rsidR="001420D7">
        <w:rPr>
          <w:rFonts w:ascii="Times New Roman" w:hAnsi="Times New Roman"/>
          <w:szCs w:val="22"/>
        </w:rPr>
        <w:t xml:space="preserve"> </w:t>
      </w:r>
      <w:r w:rsidRPr="002A5103">
        <w:rPr>
          <w:rFonts w:ascii="Times New Roman" w:hAnsi="Times New Roman"/>
          <w:szCs w:val="22"/>
        </w:rPr>
        <w:t>na dane z príjmov a</w:t>
      </w:r>
      <w:r w:rsidR="009E159A">
        <w:rPr>
          <w:rFonts w:ascii="Times New Roman" w:hAnsi="Times New Roman"/>
          <w:szCs w:val="22"/>
        </w:rPr>
        <w:t xml:space="preserve"> </w:t>
      </w:r>
      <w:r w:rsidRPr="002A5103">
        <w:rPr>
          <w:rFonts w:ascii="Times New Roman" w:hAnsi="Times New Roman"/>
          <w:szCs w:val="22"/>
        </w:rPr>
        <w:t xml:space="preserve">kapitálového majetku (25 %). </w:t>
      </w:r>
    </w:p>
    <w:p w:rsidR="000F2ECF" w:rsidRPr="00425E24" w:rsidP="00997F71">
      <w:pPr>
        <w:bidi w:val="0"/>
        <w:rPr>
          <w:rFonts w:ascii="Times New Roman" w:hAnsi="Times New Roman"/>
          <w:szCs w:val="22"/>
        </w:rPr>
      </w:pPr>
      <w:r w:rsidRPr="00DB7BC3">
        <w:rPr>
          <w:rFonts w:ascii="Times New Roman" w:hAnsi="Times New Roman"/>
          <w:b/>
          <w:bCs/>
          <w:color w:val="000000"/>
        </w:rPr>
        <w:t>Dane za tovary a služby</w:t>
      </w:r>
      <w:r>
        <w:rPr>
          <w:rFonts w:ascii="Times New Roman" w:hAnsi="Times New Roman"/>
          <w:color w:val="000000"/>
        </w:rPr>
        <w:t xml:space="preserve"> sa rozpočtovali vo výške 8 154 986 tis. </w:t>
      </w:r>
      <w:r>
        <w:rPr>
          <w:rFonts w:ascii="Times New Roman" w:hAnsi="Times New Roman"/>
        </w:rPr>
        <w:t>e</w:t>
      </w:r>
      <w:r>
        <w:rPr>
          <w:rFonts w:ascii="Times New Roman" w:hAnsi="Times New Roman"/>
          <w:color w:val="000000"/>
        </w:rPr>
        <w:t>ur, pričom skutočný výnos vo výške 8 328 646 tis. eur je oproti rozpočtu o 173 660 tis. eur vyšší</w:t>
      </w:r>
      <w:r>
        <w:rPr>
          <w:rFonts w:ascii="Times New Roman" w:hAnsi="Times New Roman"/>
        </w:rPr>
        <w:t xml:space="preserve"> a </w:t>
      </w:r>
      <w:r>
        <w:rPr>
          <w:rFonts w:ascii="Times New Roman" w:hAnsi="Times New Roman"/>
          <w:color w:val="000000"/>
        </w:rPr>
        <w:t xml:space="preserve">predstavuje plnenie rozpočtu na 102,1 %. Nárast bol spôsobený najmä vyšším výberom DPH </w:t>
      </w:r>
      <w:r>
        <w:rPr>
          <w:rFonts w:ascii="Times New Roman" w:hAnsi="Times New Roman"/>
        </w:rPr>
        <w:t xml:space="preserve">oproti predpokladanému </w:t>
      </w:r>
      <w:r>
        <w:rPr>
          <w:rFonts w:ascii="Times New Roman" w:hAnsi="Times New Roman"/>
          <w:color w:val="000000"/>
        </w:rPr>
        <w:t xml:space="preserve">o 164 574 </w:t>
      </w:r>
      <w:r w:rsidRPr="00425E24">
        <w:rPr>
          <w:rFonts w:ascii="Times New Roman" w:hAnsi="Times New Roman"/>
          <w:szCs w:val="22"/>
        </w:rPr>
        <w:t>tis. eur. V porovnaní s rokom 2016 došlo k nárastu hotovostného výnosu za dane za tovary a služby o 657 316 tis. eur, ktorý bol spôsobený najme medziročným nárastom výberu DPH o 552 669 tis. eur. V porovnaní s predchádzajúcimi obdobiami sú súčasťou daní za tovary a</w:t>
      </w:r>
      <w:r w:rsidRPr="00425E24" w:rsidR="004E1F00">
        <w:rPr>
          <w:rFonts w:ascii="Times New Roman" w:hAnsi="Times New Roman"/>
          <w:szCs w:val="22"/>
        </w:rPr>
        <w:t xml:space="preserve"> </w:t>
      </w:r>
      <w:r w:rsidRPr="00425E24">
        <w:rPr>
          <w:rFonts w:ascii="Times New Roman" w:hAnsi="Times New Roman"/>
          <w:szCs w:val="22"/>
        </w:rPr>
        <w:t>služby aj iné dane za tovary a</w:t>
      </w:r>
      <w:r w:rsidRPr="00425E24" w:rsidR="004E1F00">
        <w:rPr>
          <w:rFonts w:ascii="Times New Roman" w:hAnsi="Times New Roman"/>
          <w:szCs w:val="22"/>
        </w:rPr>
        <w:t xml:space="preserve"> </w:t>
      </w:r>
      <w:r w:rsidRPr="00425E24">
        <w:rPr>
          <w:rFonts w:ascii="Times New Roman" w:hAnsi="Times New Roman"/>
          <w:szCs w:val="22"/>
        </w:rPr>
        <w:t xml:space="preserve">služby v sume 12 939 tis. eur, ktoré predstavujú odvod časti poistného z odvetví neživotného poistenia v súlade s §68a zákona č. </w:t>
      </w:r>
      <w:r w:rsidRPr="00425E24" w:rsidR="004E1F00">
        <w:rPr>
          <w:rFonts w:ascii="Times New Roman" w:hAnsi="Times New Roman"/>
          <w:szCs w:val="22"/>
        </w:rPr>
        <w:t xml:space="preserve">39/2015 Z. z. o poisťovníctve a </w:t>
      </w:r>
      <w:r w:rsidRPr="00425E24">
        <w:rPr>
          <w:rFonts w:ascii="Times New Roman" w:hAnsi="Times New Roman"/>
          <w:szCs w:val="22"/>
        </w:rPr>
        <w:t>o zmene a doplnení niektorých zákonov v</w:t>
      </w:r>
      <w:r w:rsidRPr="00425E24" w:rsidR="004E1F00">
        <w:rPr>
          <w:rFonts w:ascii="Times New Roman" w:hAnsi="Times New Roman"/>
          <w:szCs w:val="22"/>
        </w:rPr>
        <w:t> </w:t>
      </w:r>
      <w:r w:rsidRPr="00425E24">
        <w:rPr>
          <w:rFonts w:ascii="Times New Roman" w:hAnsi="Times New Roman"/>
          <w:szCs w:val="22"/>
        </w:rPr>
        <w:t>z</w:t>
      </w:r>
      <w:r w:rsidRPr="00425E24" w:rsidR="004E1F00">
        <w:rPr>
          <w:rFonts w:ascii="Times New Roman" w:hAnsi="Times New Roman"/>
          <w:szCs w:val="22"/>
        </w:rPr>
        <w:t xml:space="preserve">není </w:t>
      </w:r>
      <w:r w:rsidRPr="00425E24">
        <w:rPr>
          <w:rFonts w:ascii="Times New Roman" w:hAnsi="Times New Roman"/>
          <w:szCs w:val="22"/>
        </w:rPr>
        <w:t>n</w:t>
      </w:r>
      <w:r w:rsidRPr="00425E24" w:rsidR="004E1F00">
        <w:rPr>
          <w:rFonts w:ascii="Times New Roman" w:hAnsi="Times New Roman"/>
          <w:szCs w:val="22"/>
        </w:rPr>
        <w:t>eskorších</w:t>
      </w:r>
      <w:r w:rsidRPr="00425E24">
        <w:rPr>
          <w:rFonts w:ascii="Times New Roman" w:hAnsi="Times New Roman"/>
          <w:szCs w:val="22"/>
        </w:rPr>
        <w:t xml:space="preserve"> p</w:t>
      </w:r>
      <w:r w:rsidRPr="00425E24" w:rsidR="004E1F00">
        <w:rPr>
          <w:rFonts w:ascii="Times New Roman" w:hAnsi="Times New Roman"/>
          <w:szCs w:val="22"/>
        </w:rPr>
        <w:t>redpisov</w:t>
      </w:r>
      <w:r w:rsidRPr="00425E24">
        <w:rPr>
          <w:rFonts w:ascii="Times New Roman" w:hAnsi="Times New Roman"/>
          <w:szCs w:val="22"/>
        </w:rPr>
        <w:t xml:space="preserve"> a ktorým sa menia a dopĺňajú niektoré zákony s účinnosťou od 1. 1. 2017.</w:t>
      </w:r>
    </w:p>
    <w:p w:rsidR="000D2656" w:rsidRPr="002A5103" w:rsidP="00997F71">
      <w:pPr>
        <w:bidi w:val="0"/>
        <w:rPr>
          <w:rFonts w:ascii="Times New Roman" w:hAnsi="Times New Roman"/>
          <w:szCs w:val="22"/>
        </w:rPr>
      </w:pPr>
      <w:r w:rsidRPr="002A5103">
        <w:rPr>
          <w:rFonts w:ascii="Times New Roman" w:hAnsi="Times New Roman"/>
          <w:b/>
          <w:i/>
          <w:szCs w:val="22"/>
        </w:rPr>
        <w:t xml:space="preserve">Daň z pridanej hodnoty (DPH) </w:t>
      </w:r>
      <w:r w:rsidRPr="002A5103">
        <w:rPr>
          <w:rFonts w:ascii="Times New Roman" w:hAnsi="Times New Roman"/>
          <w:szCs w:val="22"/>
        </w:rPr>
        <w:t>sa rozpočto</w:t>
      </w:r>
      <w:r w:rsidR="004E1F00">
        <w:rPr>
          <w:rFonts w:ascii="Times New Roman" w:hAnsi="Times New Roman"/>
          <w:szCs w:val="22"/>
        </w:rPr>
        <w:t xml:space="preserve">vala sumou 5 748 794 tis. eur a </w:t>
      </w:r>
      <w:r w:rsidRPr="002A5103">
        <w:rPr>
          <w:rFonts w:ascii="Times New Roman" w:hAnsi="Times New Roman"/>
          <w:szCs w:val="22"/>
        </w:rPr>
        <w:t>jej skutočný výber vo výške 5 913 368 tis. eur predstavuje plnenie rozpočtu na úrovni 102,9 %. Skutočný výnos tejto dane bol vyšší oproti rozpočtovanej hodnote o 164 574</w:t>
      </w:r>
      <w:r w:rsidR="001420D7">
        <w:rPr>
          <w:rFonts w:ascii="Times New Roman" w:hAnsi="Times New Roman"/>
          <w:szCs w:val="22"/>
        </w:rPr>
        <w:t xml:space="preserve"> tis. eur a </w:t>
      </w:r>
      <w:r w:rsidRPr="002A5103">
        <w:rPr>
          <w:rFonts w:ascii="Times New Roman" w:hAnsi="Times New Roman"/>
          <w:szCs w:val="22"/>
        </w:rPr>
        <w:t xml:space="preserve">v porovnaní s výnosom v roku 2016 bol vyšší o 552 668 tis. eur. </w:t>
      </w:r>
      <w:r w:rsidRPr="00E1199C" w:rsidR="00E1199C">
        <w:rPr>
          <w:rFonts w:ascii="Times New Roman" w:hAnsi="Times New Roman"/>
          <w:szCs w:val="22"/>
        </w:rPr>
        <w:t xml:space="preserve">K vyššiemu výnosu prispela vyššia úspešnosť výberu dane a priaznivý vývoj makroekonomického prostredia najmä konečnej spotreby domácností. </w:t>
      </w:r>
      <w:r w:rsidR="00143B8D">
        <w:rPr>
          <w:rFonts w:ascii="Times New Roman" w:hAnsi="Times New Roman"/>
          <w:szCs w:val="22"/>
        </w:rPr>
        <w:t>Zároveň bol zaznamenaný j</w:t>
      </w:r>
      <w:r w:rsidRPr="00E1199C" w:rsidR="00E1199C">
        <w:rPr>
          <w:rFonts w:ascii="Times New Roman" w:hAnsi="Times New Roman"/>
          <w:szCs w:val="22"/>
        </w:rPr>
        <w:t xml:space="preserve">ednorazový </w:t>
      </w:r>
      <w:r w:rsidR="00143B8D">
        <w:rPr>
          <w:rFonts w:ascii="Times New Roman" w:hAnsi="Times New Roman"/>
          <w:szCs w:val="22"/>
        </w:rPr>
        <w:t xml:space="preserve">pozitívny </w:t>
      </w:r>
      <w:r w:rsidRPr="00E1199C" w:rsidR="00E1199C">
        <w:rPr>
          <w:rFonts w:ascii="Times New Roman" w:hAnsi="Times New Roman"/>
          <w:szCs w:val="22"/>
        </w:rPr>
        <w:t>vplyv z vyššej kontrolnej činnosti v oblasti nadmerných odpočtov DPH</w:t>
      </w:r>
      <w:r w:rsidR="00143B8D">
        <w:rPr>
          <w:rFonts w:ascii="Times New Roman" w:hAnsi="Times New Roman"/>
          <w:szCs w:val="22"/>
        </w:rPr>
        <w:t>.</w:t>
      </w:r>
    </w:p>
    <w:p w:rsidR="000F0918" w:rsidRPr="000F0918" w:rsidP="000F0918">
      <w:pPr>
        <w:bidi w:val="0"/>
        <w:rPr>
          <w:rFonts w:ascii="Times New Roman" w:hAnsi="Times New Roman"/>
          <w:szCs w:val="22"/>
        </w:rPr>
      </w:pPr>
      <w:r w:rsidRPr="000F0918">
        <w:rPr>
          <w:rFonts w:ascii="Times New Roman" w:hAnsi="Times New Roman"/>
          <w:b/>
          <w:bCs/>
          <w:i/>
          <w:iCs/>
        </w:rPr>
        <w:t>Spotrebné dane</w:t>
      </w:r>
      <w:r w:rsidRPr="000F0918">
        <w:rPr>
          <w:rFonts w:ascii="Times New Roman" w:hAnsi="Times New Roman"/>
        </w:rPr>
        <w:t xml:space="preserve"> sa rozpočtovali sumou 2 255 390 tis. eur, pričom príjmy z nich sú tvorené hlavne spotrebnou daňou z minerálnych olejov (1 231 774 tis. eur) a</w:t>
      </w:r>
      <w:r w:rsidR="009E159A">
        <w:rPr>
          <w:rFonts w:ascii="Times New Roman" w:hAnsi="Times New Roman"/>
        </w:rPr>
        <w:t xml:space="preserve"> spotrebnou daňou z tabaku a </w:t>
      </w:r>
      <w:r w:rsidRPr="000F0918">
        <w:rPr>
          <w:rFonts w:ascii="Times New Roman" w:hAnsi="Times New Roman"/>
        </w:rPr>
        <w:t>tabakových výrobkov (708 641 tis. eur). Vyšší ako rozpočtovaný príjem bol zaznamenaný pri spotrebnej dani z minerálnych olejov (o 18 514 tis. eur). Súvisí to s rastúcou spotrebou pohonných hmôt, najmä motorovej nafty, ktorá bola v roku 2017 podporená rastom ekonomiky. Naopak, príjem spotrebnej dane z tabakových výrobkov bol oproti rozpočtu nižší o 22 207 tis. eur. Výpadok tvorí z prevažnej časti aktualizácia vplyvu legislatívnych zmien, ktoré sa týkali úpravy zdanenia cigár a cigariek (prechod zo zdaňovania množstva na zdaňovanie hmotnosti) a zvýšenia počtu kusov cigariet v spotrebiteľskom balení z 19 na 20. V porovnaní s rokom 2016 bol však celkový výnos spotrebných daní vyšší o 81 899 tis. eur, t. j. o 3,8 %.</w:t>
      </w:r>
    </w:p>
    <w:p w:rsidR="000D2656" w:rsidRPr="002A5103" w:rsidP="000D2656">
      <w:pPr>
        <w:bidi w:val="0"/>
        <w:rPr>
          <w:rFonts w:ascii="Times New Roman" w:hAnsi="Times New Roman"/>
          <w:szCs w:val="22"/>
        </w:rPr>
      </w:pPr>
      <w:r w:rsidRPr="002A5103">
        <w:rPr>
          <w:rFonts w:ascii="Times New Roman" w:hAnsi="Times New Roman"/>
          <w:b/>
          <w:i/>
          <w:szCs w:val="22"/>
        </w:rPr>
        <w:t xml:space="preserve">Dane z používania tovarov a z povolenia na výkon činnosti </w:t>
      </w:r>
      <w:r w:rsidRPr="002A5103">
        <w:rPr>
          <w:rFonts w:ascii="Times New Roman" w:hAnsi="Times New Roman"/>
          <w:szCs w:val="22"/>
        </w:rPr>
        <w:t>boli rozpočtované vo výške 150 802 tis. eur. V skutočnosti dosiahli výnos 149 943 tis. eur. Najväčšiu časť týchto daní tvorí daň z motorových vozidiel</w:t>
      </w:r>
      <w:r>
        <w:rPr>
          <w:rStyle w:val="FootnoteReference"/>
          <w:rFonts w:ascii="Times New Roman" w:hAnsi="Times New Roman"/>
          <w:szCs w:val="22"/>
          <w:rtl w:val="0"/>
        </w:rPr>
        <w:footnoteReference w:id="12"/>
      </w:r>
      <w:r w:rsidRPr="002A5103">
        <w:rPr>
          <w:rFonts w:ascii="Times New Roman" w:hAnsi="Times New Roman"/>
          <w:szCs w:val="22"/>
        </w:rPr>
        <w:t>, ktorá bola rozpočtovaná v sume 150 697 tis. eur, v skutočnosti b</w:t>
      </w:r>
      <w:r w:rsidR="00DB7BC3">
        <w:rPr>
          <w:rFonts w:ascii="Times New Roman" w:hAnsi="Times New Roman"/>
          <w:szCs w:val="22"/>
        </w:rPr>
        <w:t xml:space="preserve">ola len o 852 tis. eur nižšia a </w:t>
      </w:r>
      <w:r w:rsidRPr="002A5103">
        <w:rPr>
          <w:rFonts w:ascii="Times New Roman" w:hAnsi="Times New Roman"/>
          <w:szCs w:val="22"/>
        </w:rPr>
        <w:t>dosiahla výšku 149 851 tis. eu</w:t>
      </w:r>
      <w:r w:rsidR="00425E24">
        <w:rPr>
          <w:rFonts w:ascii="Times New Roman" w:hAnsi="Times New Roman"/>
          <w:szCs w:val="22"/>
        </w:rPr>
        <w:t>r.</w:t>
      </w:r>
    </w:p>
    <w:p w:rsidR="000D2656" w:rsidRPr="002A5103" w:rsidP="000D2656">
      <w:pPr>
        <w:tabs>
          <w:tab w:val="left" w:pos="284"/>
        </w:tabs>
        <w:bidi w:val="0"/>
        <w:rPr>
          <w:rFonts w:ascii="Times New Roman" w:hAnsi="Times New Roman"/>
          <w:szCs w:val="22"/>
        </w:rPr>
      </w:pPr>
      <w:r w:rsidRPr="002A5103">
        <w:rPr>
          <w:rFonts w:ascii="Times New Roman" w:hAnsi="Times New Roman"/>
          <w:b/>
          <w:szCs w:val="22"/>
        </w:rPr>
        <w:t>Dane z príjmov a kapitálového majetku</w:t>
      </w:r>
      <w:r w:rsidRPr="002A5103">
        <w:rPr>
          <w:rFonts w:ascii="Times New Roman" w:hAnsi="Times New Roman"/>
          <w:szCs w:val="22"/>
        </w:rPr>
        <w:t xml:space="preserve"> sa rozpočtovali sumou 3 339 144 tis. eur. Skutočný výnos dosiahol 2 784 471 tis. eur, resp. 2 787 249 tis. eur po premietnutí 2 778 tis. eur zo sankcií. Oproti rozpočtu boli nižšie o 554 673 tis. eur (resp. o 551 895 tis. eur).</w:t>
      </w:r>
    </w:p>
    <w:p w:rsidR="007B2991" w:rsidRPr="002A5103" w:rsidP="007B2991">
      <w:pPr>
        <w:bidi w:val="0"/>
        <w:rPr>
          <w:rFonts w:ascii="Times New Roman" w:hAnsi="Times New Roman"/>
          <w:szCs w:val="22"/>
        </w:rPr>
      </w:pPr>
      <w:r w:rsidRPr="002A5103">
        <w:rPr>
          <w:rFonts w:ascii="Times New Roman" w:hAnsi="Times New Roman"/>
          <w:b/>
          <w:i/>
          <w:szCs w:val="22"/>
        </w:rPr>
        <w:t>Daň z príjmov právnických osôb</w:t>
      </w:r>
      <w:r w:rsidRPr="002A5103">
        <w:rPr>
          <w:rFonts w:ascii="Times New Roman" w:hAnsi="Times New Roman"/>
          <w:b/>
          <w:szCs w:val="22"/>
        </w:rPr>
        <w:t xml:space="preserve"> </w:t>
      </w:r>
      <w:r w:rsidRPr="002A5103">
        <w:rPr>
          <w:rFonts w:ascii="Times New Roman" w:hAnsi="Times New Roman"/>
          <w:szCs w:val="22"/>
        </w:rPr>
        <w:t xml:space="preserve">sa rozpočtovala vo výške 3 143 755 tis. eur. Skutočný výnos dosiahol 2 601 856 tis. eur, čo predstavuje plnenie rozpočtu na 82,8 %. Plnenie bolo oproti rozpočtu nižšie o 541 899 tis. eur. Za nižším výnosom je nižšie ako očakávané vyrovnanie dane za rok 2016, ktoré sa realizovalo v roku 2017. Medziročne klesol hotovostný výnos tejto dane o 585 207 tis. eur. </w:t>
      </w:r>
      <w:r w:rsidRPr="00E1199C" w:rsidR="00E1199C">
        <w:rPr>
          <w:rFonts w:ascii="Times New Roman" w:hAnsi="Times New Roman"/>
          <w:szCs w:val="22"/>
        </w:rPr>
        <w:t>Pri tvorbe rozpočtu na rok 2017 nebola ešte známa skutočnosť za rok 2016. Vyrovnanie dane za rok 2016 bolo výrazne nižšie ako sa očakávalo, a to sa následne prenieslo aj do roku 2017.</w:t>
      </w:r>
    </w:p>
    <w:p w:rsidR="000D2656" w:rsidRPr="002A5103" w:rsidP="000D2656">
      <w:pPr>
        <w:tabs>
          <w:tab w:val="left" w:pos="284"/>
        </w:tabs>
        <w:bidi w:val="0"/>
        <w:rPr>
          <w:rFonts w:ascii="Times New Roman" w:hAnsi="Times New Roman"/>
          <w:szCs w:val="22"/>
        </w:rPr>
      </w:pPr>
      <w:r w:rsidRPr="002A5103">
        <w:rPr>
          <w:rFonts w:ascii="Times New Roman" w:hAnsi="Times New Roman"/>
          <w:szCs w:val="22"/>
        </w:rPr>
        <w:t xml:space="preserve">Celkový výnos podielovej </w:t>
      </w:r>
      <w:r w:rsidRPr="002A5103">
        <w:rPr>
          <w:rFonts w:ascii="Times New Roman" w:hAnsi="Times New Roman"/>
          <w:b/>
          <w:i/>
          <w:szCs w:val="22"/>
        </w:rPr>
        <w:t>dane z príjmov fyzických osôb,</w:t>
      </w:r>
      <w:r w:rsidRPr="002A5103">
        <w:rPr>
          <w:rFonts w:ascii="Times New Roman" w:hAnsi="Times New Roman"/>
          <w:szCs w:val="22"/>
        </w:rPr>
        <w:t xml:space="preserve"> vrátane prevodov do obcí a VÚC sa rozpočtoval vo výške 2 522 349 tis. eur. Skutočný výnos dane z príjmov fyzických osôb vrátane prevodov do obcí a VÚC dosiahol 2 574 877 tis. eur. Z toho výnos dane zo závislej činnosti predstavuje 2 512 108 tis. eur a výnos dane z podnikania, z inej samostatnej zárobkovej činnosti a z prenájmu 92</w:t>
      </w:r>
      <w:r w:rsidR="007B2991">
        <w:rPr>
          <w:rFonts w:ascii="Times New Roman" w:hAnsi="Times New Roman"/>
          <w:szCs w:val="22"/>
        </w:rPr>
        <w:t xml:space="preserve"> 942 tis. eur. Prevod do obcí a </w:t>
      </w:r>
      <w:r w:rsidRPr="002A5103">
        <w:rPr>
          <w:rFonts w:ascii="Times New Roman" w:hAnsi="Times New Roman"/>
          <w:szCs w:val="22"/>
        </w:rPr>
        <w:t>VÚC predstavoval za rok 2017 spolu 2 570 694 tis. eur, resp. 2 567 916 ti</w:t>
      </w:r>
      <w:r w:rsidR="00DD7B28">
        <w:rPr>
          <w:rFonts w:ascii="Times New Roman" w:hAnsi="Times New Roman"/>
          <w:szCs w:val="22"/>
        </w:rPr>
        <w:t xml:space="preserve">s. eur po presune časti sankcií </w:t>
      </w:r>
      <w:r w:rsidR="00F17076">
        <w:rPr>
          <w:rFonts w:ascii="Times New Roman" w:hAnsi="Times New Roman"/>
          <w:szCs w:val="22"/>
        </w:rPr>
        <w:t>uložených v daňovom konaní</w:t>
      </w:r>
      <w:r w:rsidR="00DD7B28">
        <w:rPr>
          <w:rFonts w:ascii="Times New Roman" w:hAnsi="Times New Roman"/>
          <w:szCs w:val="22"/>
        </w:rPr>
        <w:t>.</w:t>
      </w:r>
      <w:r w:rsidRPr="002A5103">
        <w:rPr>
          <w:rFonts w:ascii="Times New Roman" w:hAnsi="Times New Roman"/>
          <w:szCs w:val="22"/>
        </w:rPr>
        <w:t xml:space="preserve"> </w:t>
      </w:r>
      <w:r w:rsidR="00F17076">
        <w:rPr>
          <w:rFonts w:ascii="Times New Roman" w:hAnsi="Times New Roman"/>
          <w:szCs w:val="22"/>
        </w:rPr>
        <w:t>Na c</w:t>
      </w:r>
      <w:r w:rsidRPr="002A5103">
        <w:rPr>
          <w:rFonts w:ascii="Times New Roman" w:hAnsi="Times New Roman"/>
          <w:szCs w:val="22"/>
        </w:rPr>
        <w:t>elkový výnos dane z </w:t>
      </w:r>
      <w:r w:rsidR="001F5B67">
        <w:rPr>
          <w:rFonts w:ascii="Times New Roman" w:hAnsi="Times New Roman"/>
          <w:szCs w:val="22"/>
        </w:rPr>
        <w:t>príjmov fyzických osôb</w:t>
      </w:r>
      <w:r w:rsidR="00F17076">
        <w:rPr>
          <w:rFonts w:ascii="Times New Roman" w:hAnsi="Times New Roman"/>
          <w:szCs w:val="22"/>
        </w:rPr>
        <w:t xml:space="preserve"> mal vplyv aj p</w:t>
      </w:r>
      <w:r w:rsidRPr="002A5103" w:rsidR="00F17076">
        <w:rPr>
          <w:rFonts w:ascii="Times New Roman" w:hAnsi="Times New Roman"/>
          <w:szCs w:val="22"/>
        </w:rPr>
        <w:t xml:space="preserve">revod </w:t>
      </w:r>
      <w:r w:rsidR="00F17076">
        <w:rPr>
          <w:rFonts w:ascii="Times New Roman" w:hAnsi="Times New Roman"/>
          <w:szCs w:val="22"/>
        </w:rPr>
        <w:t>podielu zaplatenej dane na osobitné účely</w:t>
      </w:r>
      <w:r w:rsidRPr="002A5103" w:rsidR="00F17076">
        <w:rPr>
          <w:rFonts w:ascii="Times New Roman" w:hAnsi="Times New Roman"/>
          <w:szCs w:val="22"/>
        </w:rPr>
        <w:t xml:space="preserve"> v</w:t>
      </w:r>
      <w:r w:rsidR="00F17076">
        <w:rPr>
          <w:rFonts w:ascii="Times New Roman" w:hAnsi="Times New Roman"/>
          <w:szCs w:val="22"/>
        </w:rPr>
        <w:t> </w:t>
      </w:r>
      <w:r w:rsidRPr="002A5103" w:rsidR="00F17076">
        <w:rPr>
          <w:rFonts w:ascii="Times New Roman" w:hAnsi="Times New Roman"/>
          <w:szCs w:val="22"/>
        </w:rPr>
        <w:t>zmysle</w:t>
      </w:r>
      <w:r w:rsidR="00F17076">
        <w:rPr>
          <w:rFonts w:ascii="Times New Roman" w:hAnsi="Times New Roman"/>
          <w:szCs w:val="22"/>
        </w:rPr>
        <w:t xml:space="preserve"> § </w:t>
      </w:r>
      <w:r w:rsidRPr="002A5103" w:rsidR="00F17076">
        <w:rPr>
          <w:rFonts w:ascii="Times New Roman" w:hAnsi="Times New Roman"/>
          <w:szCs w:val="22"/>
        </w:rPr>
        <w:t>50 zákona č. 595/2003 Z. z. o dani z príjmov v znení nesko</w:t>
      </w:r>
      <w:r w:rsidR="00F17076">
        <w:rPr>
          <w:rFonts w:ascii="Times New Roman" w:hAnsi="Times New Roman"/>
          <w:szCs w:val="22"/>
        </w:rPr>
        <w:t xml:space="preserve">rších predpisov, ktorý </w:t>
      </w:r>
      <w:r w:rsidR="001F5B67">
        <w:rPr>
          <w:rFonts w:ascii="Times New Roman" w:hAnsi="Times New Roman"/>
          <w:szCs w:val="22"/>
        </w:rPr>
        <w:t xml:space="preserve">dosiahol </w:t>
      </w:r>
      <w:r w:rsidRPr="002A5103">
        <w:rPr>
          <w:rFonts w:ascii="Times New Roman" w:hAnsi="Times New Roman"/>
          <w:szCs w:val="22"/>
        </w:rPr>
        <w:t>sumu 30 173 tis. eur.</w:t>
      </w:r>
    </w:p>
    <w:p w:rsidR="000D2656" w:rsidRPr="002A5103" w:rsidP="000D2656">
      <w:pPr>
        <w:tabs>
          <w:tab w:val="left" w:pos="284"/>
        </w:tabs>
        <w:bidi w:val="0"/>
        <w:rPr>
          <w:rFonts w:ascii="Times New Roman" w:hAnsi="Times New Roman"/>
          <w:szCs w:val="22"/>
        </w:rPr>
      </w:pPr>
      <w:r w:rsidRPr="002A5103">
        <w:rPr>
          <w:rFonts w:ascii="Times New Roman" w:hAnsi="Times New Roman"/>
          <w:szCs w:val="22"/>
        </w:rPr>
        <w:t xml:space="preserve">Od roku 2005 je daň z príjmov fyzických osôb podielovou daňou. V zmysle zákona č. 564/2004 Z. z. o rozpočtovom určení výnosu dane z príjmov územnej samospráve a o zmene a doplnení niektorých zákonov </w:t>
      </w:r>
      <w:r w:rsidR="007B2991">
        <w:rPr>
          <w:rFonts w:ascii="Times New Roman" w:hAnsi="Times New Roman"/>
          <w:szCs w:val="22"/>
        </w:rPr>
        <w:t xml:space="preserve">v znení neskorších predpisov </w:t>
      </w:r>
      <w:r w:rsidRPr="002A5103">
        <w:rPr>
          <w:rFonts w:ascii="Times New Roman" w:hAnsi="Times New Roman"/>
          <w:szCs w:val="22"/>
        </w:rPr>
        <w:t xml:space="preserve">sa výnos dane prerozdeľuje stanoveným mechanizmom medzi obce a vyššie územné celky. Od roku 2016 sa celý výnos dane prerozdeľuje medzi obce a vyššie územné celky. Podiel obcí na výnose dane z príjmov fyzických osôb sa </w:t>
      </w:r>
      <w:r w:rsidR="003D5917">
        <w:rPr>
          <w:rFonts w:ascii="Times New Roman" w:hAnsi="Times New Roman"/>
          <w:szCs w:val="22"/>
        </w:rPr>
        <w:br/>
      </w:r>
      <w:r w:rsidR="007B2991">
        <w:rPr>
          <w:rFonts w:ascii="Times New Roman" w:hAnsi="Times New Roman"/>
          <w:szCs w:val="22"/>
        </w:rPr>
        <w:t>od roku 2016 zvýšil na 70 % a podiel v</w:t>
      </w:r>
      <w:r w:rsidRPr="002A5103">
        <w:rPr>
          <w:rFonts w:ascii="Times New Roman" w:hAnsi="Times New Roman"/>
          <w:szCs w:val="22"/>
        </w:rPr>
        <w:t>yšší</w:t>
      </w:r>
      <w:r w:rsidR="007B2991">
        <w:rPr>
          <w:rFonts w:ascii="Times New Roman" w:hAnsi="Times New Roman"/>
          <w:szCs w:val="22"/>
        </w:rPr>
        <w:t>ch</w:t>
      </w:r>
      <w:r w:rsidRPr="002A5103">
        <w:rPr>
          <w:rFonts w:ascii="Times New Roman" w:hAnsi="Times New Roman"/>
          <w:szCs w:val="22"/>
        </w:rPr>
        <w:t xml:space="preserve"> územný</w:t>
      </w:r>
      <w:r w:rsidR="007B2991">
        <w:rPr>
          <w:rFonts w:ascii="Times New Roman" w:hAnsi="Times New Roman"/>
          <w:szCs w:val="22"/>
        </w:rPr>
        <w:t>ch</w:t>
      </w:r>
      <w:r w:rsidRPr="002A5103">
        <w:rPr>
          <w:rFonts w:ascii="Times New Roman" w:hAnsi="Times New Roman"/>
          <w:szCs w:val="22"/>
        </w:rPr>
        <w:t xml:space="preserve"> celko</w:t>
      </w:r>
      <w:r w:rsidR="007B2991">
        <w:rPr>
          <w:rFonts w:ascii="Times New Roman" w:hAnsi="Times New Roman"/>
          <w:szCs w:val="22"/>
        </w:rPr>
        <w:t>v</w:t>
      </w:r>
      <w:r w:rsidRPr="002A5103">
        <w:rPr>
          <w:rFonts w:ascii="Times New Roman" w:hAnsi="Times New Roman"/>
          <w:szCs w:val="22"/>
        </w:rPr>
        <w:t xml:space="preserve"> </w:t>
      </w:r>
      <w:r w:rsidR="007B2991">
        <w:rPr>
          <w:rFonts w:ascii="Times New Roman" w:hAnsi="Times New Roman"/>
          <w:szCs w:val="22"/>
        </w:rPr>
        <w:t xml:space="preserve">na </w:t>
      </w:r>
      <w:r w:rsidR="004F5AD8">
        <w:rPr>
          <w:rFonts w:ascii="Times New Roman" w:hAnsi="Times New Roman"/>
          <w:szCs w:val="22"/>
        </w:rPr>
        <w:t>30 % z výnosu.</w:t>
        <w:br/>
      </w:r>
      <w:r w:rsidRPr="002A5103">
        <w:rPr>
          <w:rFonts w:ascii="Times New Roman" w:hAnsi="Times New Roman"/>
          <w:szCs w:val="22"/>
        </w:rPr>
        <w:t xml:space="preserve">Na účte štátneho rozpočtu zostávajú priebežne len časti výnosu dane z dôvodu posunu medzi pripísaním dane na účet ŠR a jej prevedením na obce a vyššie územné celky. </w:t>
      </w:r>
    </w:p>
    <w:p w:rsidR="000D2656" w:rsidRPr="00A648B6" w:rsidP="000D2656">
      <w:pPr>
        <w:tabs>
          <w:tab w:val="left" w:pos="284"/>
        </w:tabs>
        <w:bidi w:val="0"/>
        <w:rPr>
          <w:rFonts w:ascii="Times New Roman" w:hAnsi="Times New Roman"/>
          <w:szCs w:val="22"/>
        </w:rPr>
      </w:pPr>
      <w:r w:rsidRPr="002A5103">
        <w:rPr>
          <w:rFonts w:ascii="Times New Roman" w:hAnsi="Times New Roman"/>
          <w:b/>
          <w:i/>
          <w:szCs w:val="22"/>
        </w:rPr>
        <w:t>Príjem štátneho rozpočtu z dane z príjmov fyzických osôb</w:t>
      </w:r>
      <w:r w:rsidRPr="002A5103">
        <w:rPr>
          <w:rFonts w:ascii="Times New Roman" w:hAnsi="Times New Roman"/>
          <w:b/>
          <w:szCs w:val="22"/>
        </w:rPr>
        <w:t xml:space="preserve"> </w:t>
      </w:r>
      <w:r w:rsidRPr="002A5103">
        <w:rPr>
          <w:rFonts w:ascii="Times New Roman" w:hAnsi="Times New Roman"/>
          <w:szCs w:val="22"/>
        </w:rPr>
        <w:t>sa s ohľadom na uvedené pravidlá fiškálnej decentralizácie rozpočtoval sumou 5 365 tis. eur a skutočné plnenie dosiahlo hodnotu 4 183 tis. eur, resp. 6 961 tis. eur po presune časti sankcií.</w:t>
      </w:r>
    </w:p>
    <w:p w:rsidR="004D048A" w:rsidP="000D2656">
      <w:pPr>
        <w:pStyle w:val="ListParagraph"/>
        <w:bidi w:val="0"/>
        <w:spacing w:after="120" w:line="336" w:lineRule="auto"/>
        <w:ind w:left="0"/>
        <w:jc w:val="both"/>
        <w:rPr>
          <w:rFonts w:ascii="Times New Roman" w:hAnsi="Times New Roman"/>
        </w:rPr>
      </w:pPr>
      <w:r w:rsidRPr="002A5103" w:rsidR="000D2656">
        <w:rPr>
          <w:rFonts w:ascii="Times New Roman" w:hAnsi="Times New Roman"/>
        </w:rPr>
        <w:t>V roku 2017 mali fyzické a právnické osoby možnosť poukázať 2 % (v špecifických prípadoch právnické osoby len 1,5 % a fyzické osoby až 3 %) z odvedenej dane na verejnoprospešný účel</w:t>
      </w:r>
      <w:r>
        <w:rPr>
          <w:rStyle w:val="FootnoteReference"/>
          <w:rFonts w:ascii="Times New Roman" w:hAnsi="Times New Roman"/>
          <w:rtl w:val="0"/>
        </w:rPr>
        <w:footnoteReference w:id="13"/>
      </w:r>
      <w:r w:rsidRPr="002A5103" w:rsidR="000D2656">
        <w:rPr>
          <w:rFonts w:ascii="Times New Roman" w:hAnsi="Times New Roman"/>
        </w:rPr>
        <w:t>. V</w:t>
      </w:r>
      <w:r w:rsidR="000D2656">
        <w:rPr>
          <w:rFonts w:ascii="Times New Roman" w:hAnsi="Times New Roman"/>
        </w:rPr>
        <w:t> </w:t>
      </w:r>
      <w:r w:rsidRPr="002A5103" w:rsidR="000D2656">
        <w:rPr>
          <w:rFonts w:ascii="Times New Roman" w:hAnsi="Times New Roman"/>
        </w:rPr>
        <w:t>priebehu roka 2017 bolo týmto spôsobom prevedených 63 429 tis. eur, čo je v porovn</w:t>
      </w:r>
      <w:r w:rsidR="000D2656">
        <w:rPr>
          <w:rFonts w:ascii="Times New Roman" w:hAnsi="Times New Roman"/>
        </w:rPr>
        <w:t>aní s </w:t>
      </w:r>
      <w:r w:rsidRPr="002A5103" w:rsidR="000D2656">
        <w:rPr>
          <w:rFonts w:ascii="Times New Roman" w:hAnsi="Times New Roman"/>
        </w:rPr>
        <w:t xml:space="preserve">minulým rokom nárast o 1 797 tis. eur. Fyzické osoby </w:t>
      </w:r>
      <w:r w:rsidR="00425E24">
        <w:rPr>
          <w:rFonts w:ascii="Times New Roman" w:hAnsi="Times New Roman"/>
        </w:rPr>
        <w:t>poukázali</w:t>
      </w:r>
      <w:r w:rsidRPr="002A5103" w:rsidR="000D2656">
        <w:rPr>
          <w:rFonts w:ascii="Times New Roman" w:hAnsi="Times New Roman"/>
        </w:rPr>
        <w:t xml:space="preserve"> 30 173 tis. eur a právnické osoby 33 25</w:t>
      </w:r>
      <w:r w:rsidR="00B6567B">
        <w:rPr>
          <w:rFonts w:ascii="Times New Roman" w:hAnsi="Times New Roman"/>
        </w:rPr>
        <w:t>6</w:t>
      </w:r>
      <w:r w:rsidRPr="002A5103" w:rsidR="000D2656">
        <w:rPr>
          <w:rFonts w:ascii="Times New Roman" w:hAnsi="Times New Roman"/>
        </w:rPr>
        <w:t xml:space="preserve"> tis. eur.</w:t>
      </w:r>
    </w:p>
    <w:tbl>
      <w:tblPr>
        <w:tblStyle w:val="TableNormal"/>
        <w:tblpPr w:leftFromText="141" w:rightFromText="141" w:vertAnchor="text" w:horzAnchor="margin" w:tblpXSpec="center" w:tblpY="59"/>
        <w:tblW w:w="8767" w:type="dxa"/>
        <w:tblCellMar>
          <w:left w:w="70" w:type="dxa"/>
          <w:right w:w="70" w:type="dxa"/>
        </w:tblCellMar>
        <w:tblLook w:val="04A0"/>
      </w:tblPr>
      <w:tblGrid>
        <w:gridCol w:w="6604"/>
        <w:gridCol w:w="636"/>
        <w:gridCol w:w="636"/>
        <w:gridCol w:w="891"/>
      </w:tblGrid>
      <w:tr>
        <w:tblPrEx>
          <w:tblW w:w="8767" w:type="dxa"/>
          <w:tblCellMar>
            <w:left w:w="70" w:type="dxa"/>
            <w:right w:w="70" w:type="dxa"/>
          </w:tblCellMar>
          <w:tblLook w:val="04A0"/>
        </w:tblPrEx>
        <w:trPr>
          <w:trHeight w:val="332"/>
        </w:trPr>
        <w:tc>
          <w:tcPr>
            <w:tcW w:w="8767" w:type="dxa"/>
            <w:gridSpan w:val="4"/>
            <w:tcBorders>
              <w:top w:val="single" w:sz="4" w:space="0" w:color="auto"/>
              <w:left w:val="nil"/>
              <w:bottom w:val="nil"/>
              <w:right w:val="nil"/>
            </w:tcBorders>
            <w:shd w:val="clear" w:color="000000" w:fill="000000"/>
            <w:noWrap/>
            <w:textDirection w:val="lrTb"/>
            <w:vAlign w:val="center"/>
          </w:tcPr>
          <w:p w:rsidR="000D2656" w:rsidRPr="002A5103" w:rsidP="00872214">
            <w:pPr>
              <w:bidi w:val="0"/>
              <w:spacing w:after="0" w:line="240" w:lineRule="auto"/>
              <w:rPr>
                <w:rFonts w:ascii="Times New Roman" w:hAnsi="Times New Roman"/>
                <w:b/>
                <w:bCs/>
                <w:sz w:val="18"/>
                <w:szCs w:val="18"/>
              </w:rPr>
            </w:pPr>
            <w:r w:rsidRPr="002A5103">
              <w:rPr>
                <w:rFonts w:ascii="Times New Roman" w:hAnsi="Times New Roman"/>
                <w:b/>
                <w:bCs/>
                <w:sz w:val="18"/>
                <w:szCs w:val="18"/>
              </w:rPr>
              <w:t>Prevod podielu dane</w:t>
            </w:r>
            <w:r w:rsidR="00872214">
              <w:rPr>
                <w:rFonts w:ascii="Times New Roman" w:hAnsi="Times New Roman"/>
                <w:b/>
                <w:bCs/>
                <w:sz w:val="18"/>
                <w:szCs w:val="18"/>
              </w:rPr>
              <w:t xml:space="preserve"> na verejnoprospešný účel          </w:t>
            </w:r>
            <w:r w:rsidRPr="002A5103">
              <w:rPr>
                <w:rFonts w:ascii="Times New Roman" w:hAnsi="Times New Roman"/>
                <w:b/>
                <w:bCs/>
                <w:sz w:val="18"/>
                <w:szCs w:val="18"/>
              </w:rPr>
              <w:t xml:space="preserve">                                                                                       v tis. eur</w:t>
            </w:r>
          </w:p>
        </w:tc>
      </w:tr>
      <w:tr>
        <w:tblPrEx>
          <w:tblW w:w="8767" w:type="dxa"/>
          <w:tblCellMar>
            <w:left w:w="70" w:type="dxa"/>
            <w:right w:w="70" w:type="dxa"/>
          </w:tblCellMar>
          <w:tblLook w:val="04A0"/>
        </w:tblPrEx>
        <w:trPr>
          <w:trHeight w:val="194"/>
        </w:trPr>
        <w:tc>
          <w:tcPr>
            <w:tcW w:w="6604" w:type="dxa"/>
            <w:tcBorders>
              <w:top w:val="nil"/>
              <w:left w:val="nil"/>
              <w:bottom w:val="none" w:sz="0"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 </w:t>
            </w:r>
          </w:p>
        </w:tc>
        <w:tc>
          <w:tcPr>
            <w:tcW w:w="2163" w:type="dxa"/>
            <w:gridSpan w:val="3"/>
            <w:tcBorders>
              <w:top w:val="nil"/>
              <w:left w:val="nil"/>
              <w:bottom w:val="none" w:sz="0"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Skutočnosť</w:t>
            </w:r>
          </w:p>
        </w:tc>
      </w:tr>
      <w:tr>
        <w:tblPrEx>
          <w:tblW w:w="8767" w:type="dxa"/>
          <w:tblCellMar>
            <w:left w:w="70" w:type="dxa"/>
            <w:right w:w="70" w:type="dxa"/>
          </w:tblCellMar>
          <w:tblLook w:val="04A0"/>
        </w:tblPrEx>
        <w:trPr>
          <w:trHeight w:val="352"/>
        </w:trPr>
        <w:tc>
          <w:tcPr>
            <w:tcW w:w="6604" w:type="dxa"/>
            <w:tcBorders>
              <w:top w:val="nil"/>
              <w:left w:val="nil"/>
              <w:bottom w:val="single" w:sz="4"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 </w:t>
            </w:r>
          </w:p>
        </w:tc>
        <w:tc>
          <w:tcPr>
            <w:tcW w:w="0" w:type="auto"/>
            <w:tcBorders>
              <w:top w:val="nil"/>
              <w:left w:val="nil"/>
              <w:bottom w:val="single" w:sz="4"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2015</w:t>
            </w:r>
          </w:p>
        </w:tc>
        <w:tc>
          <w:tcPr>
            <w:tcW w:w="0" w:type="auto"/>
            <w:tcBorders>
              <w:top w:val="nil"/>
              <w:left w:val="nil"/>
              <w:bottom w:val="single" w:sz="4"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2016</w:t>
            </w:r>
          </w:p>
        </w:tc>
        <w:tc>
          <w:tcPr>
            <w:tcW w:w="891" w:type="dxa"/>
            <w:tcBorders>
              <w:top w:val="nil"/>
              <w:left w:val="nil"/>
              <w:bottom w:val="single" w:sz="4" w:space="0" w:color="auto"/>
              <w:right w:val="nil"/>
            </w:tcBorders>
            <w:shd w:val="clear" w:color="000000" w:fill="BFBFBF"/>
            <w:noWrap/>
            <w:textDirection w:val="lrTb"/>
            <w:vAlign w:val="center"/>
          </w:tcPr>
          <w:p w:rsidR="000D2656" w:rsidRPr="002A5103" w:rsidP="00531D02">
            <w:pPr>
              <w:bidi w:val="0"/>
              <w:spacing w:after="0" w:line="240" w:lineRule="auto"/>
              <w:contextualSpacing/>
              <w:jc w:val="center"/>
              <w:rPr>
                <w:rFonts w:ascii="Times New Roman" w:hAnsi="Times New Roman"/>
                <w:b/>
                <w:sz w:val="18"/>
                <w:szCs w:val="18"/>
                <w:lang w:eastAsia="sk-SK"/>
              </w:rPr>
            </w:pPr>
            <w:r w:rsidRPr="002A5103">
              <w:rPr>
                <w:rFonts w:ascii="Times New Roman" w:hAnsi="Times New Roman"/>
                <w:b/>
                <w:sz w:val="18"/>
                <w:szCs w:val="18"/>
                <w:lang w:eastAsia="sk-SK"/>
              </w:rPr>
              <w:t>2017</w:t>
            </w:r>
          </w:p>
        </w:tc>
      </w:tr>
      <w:tr>
        <w:tblPrEx>
          <w:tblW w:w="8767" w:type="dxa"/>
          <w:tblCellMar>
            <w:left w:w="70" w:type="dxa"/>
            <w:right w:w="70" w:type="dxa"/>
          </w:tblCellMar>
          <w:tblLook w:val="04A0"/>
        </w:tblPrEx>
        <w:trPr>
          <w:trHeight w:val="300"/>
        </w:trPr>
        <w:tc>
          <w:tcPr>
            <w:tcW w:w="6604" w:type="dxa"/>
            <w:tcBorders>
              <w:top w:val="single" w:sz="4" w:space="0" w:color="auto"/>
              <w:left w:val="nil"/>
              <w:bottom w:val="nil"/>
              <w:right w:val="nil"/>
            </w:tcBorders>
            <w:noWrap/>
            <w:textDirection w:val="lrTb"/>
            <w:vAlign w:val="center"/>
          </w:tcPr>
          <w:p w:rsidR="000D2656" w:rsidRPr="002A5103" w:rsidP="00531D02">
            <w:pPr>
              <w:bidi w:val="0"/>
              <w:spacing w:after="0" w:line="240" w:lineRule="auto"/>
              <w:jc w:val="left"/>
              <w:rPr>
                <w:rFonts w:ascii="Times New Roman" w:hAnsi="Times New Roman"/>
                <w:sz w:val="18"/>
                <w:szCs w:val="18"/>
                <w:lang w:eastAsia="sk-SK"/>
              </w:rPr>
            </w:pPr>
            <w:r w:rsidRPr="002A5103">
              <w:rPr>
                <w:rFonts w:ascii="Times New Roman" w:hAnsi="Times New Roman"/>
                <w:sz w:val="18"/>
                <w:szCs w:val="18"/>
                <w:lang w:eastAsia="sk-SK"/>
              </w:rPr>
              <w:t>Prevod podielu dane z príjmov FO na osobitný účel</w:t>
            </w:r>
          </w:p>
        </w:tc>
        <w:tc>
          <w:tcPr>
            <w:tcW w:w="0" w:type="auto"/>
            <w:tcBorders>
              <w:top w:val="single" w:sz="4" w:space="0" w:color="auto"/>
              <w:left w:val="nil"/>
              <w:bottom w:val="nil"/>
              <w:right w:val="nil"/>
            </w:tcBorders>
            <w:noWrap/>
            <w:textDirection w:val="lrTb"/>
            <w:vAlign w:val="center"/>
          </w:tcPr>
          <w:p w:rsidR="000D2656" w:rsidRPr="002A5103" w:rsidP="00531D02">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24 231</w:t>
            </w:r>
          </w:p>
        </w:tc>
        <w:tc>
          <w:tcPr>
            <w:tcW w:w="0" w:type="auto"/>
            <w:tcBorders>
              <w:top w:val="single" w:sz="4" w:space="0" w:color="auto"/>
              <w:left w:val="nil"/>
              <w:bottom w:val="nil"/>
              <w:right w:val="nil"/>
            </w:tcBorders>
            <w:noWrap/>
            <w:textDirection w:val="lrTb"/>
            <w:vAlign w:val="center"/>
          </w:tcPr>
          <w:p w:rsidR="000D2656" w:rsidRPr="002A5103" w:rsidP="00531D02">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27 175</w:t>
            </w:r>
          </w:p>
        </w:tc>
        <w:tc>
          <w:tcPr>
            <w:tcW w:w="891" w:type="dxa"/>
            <w:tcBorders>
              <w:top w:val="single" w:sz="4" w:space="0" w:color="auto"/>
              <w:left w:val="nil"/>
              <w:bottom w:val="nil"/>
              <w:right w:val="nil"/>
            </w:tcBorders>
            <w:shd w:val="clear" w:color="auto" w:fill="BFBFBF"/>
            <w:noWrap/>
            <w:textDirection w:val="lrTb"/>
            <w:vAlign w:val="center"/>
          </w:tcPr>
          <w:p w:rsidR="000D2656" w:rsidRPr="002A5103" w:rsidP="00531D02">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30 173</w:t>
            </w:r>
          </w:p>
        </w:tc>
      </w:tr>
      <w:tr>
        <w:tblPrEx>
          <w:tblW w:w="8767" w:type="dxa"/>
          <w:tblCellMar>
            <w:left w:w="70" w:type="dxa"/>
            <w:right w:w="70" w:type="dxa"/>
          </w:tblCellMar>
          <w:tblLook w:val="04A0"/>
        </w:tblPrEx>
        <w:trPr>
          <w:trHeight w:val="300"/>
        </w:trPr>
        <w:tc>
          <w:tcPr>
            <w:tcW w:w="6604" w:type="dxa"/>
            <w:tcBorders>
              <w:top w:val="nil"/>
              <w:left w:val="nil"/>
              <w:bottom w:val="single" w:sz="8" w:space="0" w:color="auto"/>
              <w:right w:val="nil"/>
            </w:tcBorders>
            <w:noWrap/>
            <w:textDirection w:val="lrTb"/>
            <w:vAlign w:val="center"/>
          </w:tcPr>
          <w:p w:rsidR="000D2656" w:rsidRPr="002A5103" w:rsidP="00531D02">
            <w:pPr>
              <w:bidi w:val="0"/>
              <w:spacing w:after="0" w:line="240" w:lineRule="auto"/>
              <w:jc w:val="left"/>
              <w:rPr>
                <w:rFonts w:ascii="Times New Roman" w:hAnsi="Times New Roman"/>
                <w:sz w:val="18"/>
                <w:szCs w:val="18"/>
                <w:lang w:eastAsia="sk-SK"/>
              </w:rPr>
            </w:pPr>
            <w:r w:rsidRPr="002A5103">
              <w:rPr>
                <w:rFonts w:ascii="Times New Roman" w:hAnsi="Times New Roman"/>
                <w:sz w:val="18"/>
                <w:szCs w:val="18"/>
                <w:lang w:eastAsia="sk-SK"/>
              </w:rPr>
              <w:t>Prevod podielu dane z príjmov PO na osobitný účel</w:t>
            </w:r>
          </w:p>
        </w:tc>
        <w:tc>
          <w:tcPr>
            <w:tcW w:w="0" w:type="auto"/>
            <w:tcBorders>
              <w:top w:val="nil"/>
              <w:left w:val="nil"/>
              <w:bottom w:val="single" w:sz="8" w:space="0" w:color="auto"/>
              <w:right w:val="nil"/>
            </w:tcBorders>
            <w:noWrap/>
            <w:textDirection w:val="lrTb"/>
            <w:vAlign w:val="center"/>
          </w:tcPr>
          <w:p w:rsidR="000D2656" w:rsidRPr="002A5103" w:rsidP="00531D02">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32 719</w:t>
            </w:r>
          </w:p>
        </w:tc>
        <w:tc>
          <w:tcPr>
            <w:tcW w:w="0" w:type="auto"/>
            <w:tcBorders>
              <w:top w:val="nil"/>
              <w:left w:val="nil"/>
              <w:bottom w:val="single" w:sz="8" w:space="0" w:color="auto"/>
              <w:right w:val="nil"/>
            </w:tcBorders>
            <w:noWrap/>
            <w:textDirection w:val="lrTb"/>
            <w:vAlign w:val="center"/>
          </w:tcPr>
          <w:p w:rsidR="000D2656" w:rsidRPr="002A5103" w:rsidP="00531D02">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34 456</w:t>
            </w:r>
          </w:p>
        </w:tc>
        <w:tc>
          <w:tcPr>
            <w:tcW w:w="891" w:type="dxa"/>
            <w:tcBorders>
              <w:top w:val="nil"/>
              <w:left w:val="nil"/>
              <w:bottom w:val="single" w:sz="8" w:space="0" w:color="auto"/>
              <w:right w:val="nil"/>
            </w:tcBorders>
            <w:shd w:val="clear" w:color="auto" w:fill="BFBFBF"/>
            <w:noWrap/>
            <w:textDirection w:val="lrTb"/>
            <w:vAlign w:val="center"/>
          </w:tcPr>
          <w:p w:rsidR="000D2656" w:rsidRPr="002A5103" w:rsidP="00B6567B">
            <w:pPr>
              <w:bidi w:val="0"/>
              <w:spacing w:after="0" w:line="240" w:lineRule="auto"/>
              <w:jc w:val="right"/>
              <w:rPr>
                <w:rFonts w:ascii="Times New Roman" w:hAnsi="Times New Roman"/>
                <w:sz w:val="18"/>
                <w:szCs w:val="18"/>
                <w:lang w:eastAsia="sk-SK"/>
              </w:rPr>
            </w:pPr>
            <w:r w:rsidRPr="002A5103">
              <w:rPr>
                <w:rFonts w:ascii="Times New Roman" w:hAnsi="Times New Roman"/>
                <w:sz w:val="18"/>
                <w:szCs w:val="18"/>
                <w:lang w:eastAsia="sk-SK"/>
              </w:rPr>
              <w:t>33 25</w:t>
            </w:r>
            <w:r w:rsidR="00B6567B">
              <w:rPr>
                <w:rFonts w:ascii="Times New Roman" w:hAnsi="Times New Roman"/>
                <w:sz w:val="18"/>
                <w:szCs w:val="18"/>
                <w:lang w:eastAsia="sk-SK"/>
              </w:rPr>
              <w:t>6</w:t>
            </w:r>
          </w:p>
        </w:tc>
      </w:tr>
      <w:tr>
        <w:tblPrEx>
          <w:tblW w:w="8767" w:type="dxa"/>
          <w:tblCellMar>
            <w:left w:w="70" w:type="dxa"/>
            <w:right w:w="70" w:type="dxa"/>
          </w:tblCellMar>
          <w:tblLook w:val="04A0"/>
        </w:tblPrEx>
        <w:trPr>
          <w:trHeight w:val="300"/>
        </w:trPr>
        <w:tc>
          <w:tcPr>
            <w:tcW w:w="6604" w:type="dxa"/>
            <w:tcBorders>
              <w:top w:val="single" w:sz="8" w:space="0" w:color="auto"/>
              <w:left w:val="nil"/>
              <w:bottom w:val="single" w:sz="8" w:space="0" w:color="auto"/>
              <w:right w:val="nil"/>
            </w:tcBorders>
            <w:noWrap/>
            <w:textDirection w:val="lrTb"/>
            <w:vAlign w:val="center"/>
          </w:tcPr>
          <w:p w:rsidR="000D2656" w:rsidRPr="002A5103" w:rsidP="00531D02">
            <w:pPr>
              <w:bidi w:val="0"/>
              <w:spacing w:after="0" w:line="240" w:lineRule="auto"/>
              <w:contextualSpacing/>
              <w:jc w:val="left"/>
              <w:rPr>
                <w:rFonts w:ascii="Times New Roman" w:hAnsi="Times New Roman"/>
                <w:b/>
                <w:bCs/>
                <w:sz w:val="18"/>
                <w:szCs w:val="18"/>
                <w:lang w:eastAsia="sk-SK"/>
              </w:rPr>
            </w:pPr>
            <w:r w:rsidRPr="002A5103">
              <w:rPr>
                <w:rFonts w:ascii="Times New Roman" w:hAnsi="Times New Roman"/>
                <w:b/>
                <w:bCs/>
                <w:sz w:val="18"/>
                <w:szCs w:val="18"/>
                <w:lang w:eastAsia="sk-SK"/>
              </w:rPr>
              <w:t>Spolu</w:t>
            </w:r>
          </w:p>
        </w:tc>
        <w:tc>
          <w:tcPr>
            <w:tcW w:w="0" w:type="auto"/>
            <w:tcBorders>
              <w:top w:val="single" w:sz="8" w:space="0" w:color="auto"/>
              <w:left w:val="nil"/>
              <w:bottom w:val="single" w:sz="8" w:space="0" w:color="auto"/>
              <w:right w:val="nil"/>
            </w:tcBorders>
            <w:noWrap/>
            <w:textDirection w:val="lrTb"/>
            <w:vAlign w:val="center"/>
          </w:tcPr>
          <w:p w:rsidR="000D2656" w:rsidRPr="002A5103" w:rsidP="00531D02">
            <w:pPr>
              <w:bidi w:val="0"/>
              <w:spacing w:after="0" w:line="240" w:lineRule="auto"/>
              <w:contextualSpacing/>
              <w:jc w:val="right"/>
              <w:rPr>
                <w:rFonts w:ascii="Times New Roman" w:hAnsi="Times New Roman"/>
                <w:b/>
                <w:bCs/>
                <w:sz w:val="18"/>
                <w:szCs w:val="18"/>
                <w:lang w:eastAsia="sk-SK"/>
              </w:rPr>
            </w:pPr>
            <w:r w:rsidRPr="002A5103">
              <w:rPr>
                <w:rFonts w:ascii="Times New Roman" w:hAnsi="Times New Roman"/>
                <w:b/>
                <w:bCs/>
                <w:sz w:val="18"/>
                <w:szCs w:val="18"/>
                <w:lang w:eastAsia="sk-SK"/>
              </w:rPr>
              <w:t>56 950</w:t>
            </w:r>
          </w:p>
        </w:tc>
        <w:tc>
          <w:tcPr>
            <w:tcW w:w="0" w:type="auto"/>
            <w:tcBorders>
              <w:top w:val="single" w:sz="8" w:space="0" w:color="auto"/>
              <w:left w:val="nil"/>
              <w:bottom w:val="single" w:sz="8" w:space="0" w:color="auto"/>
              <w:right w:val="nil"/>
            </w:tcBorders>
            <w:noWrap/>
            <w:textDirection w:val="lrTb"/>
            <w:vAlign w:val="center"/>
          </w:tcPr>
          <w:p w:rsidR="000D2656" w:rsidRPr="002A5103" w:rsidP="00531D02">
            <w:pPr>
              <w:bidi w:val="0"/>
              <w:spacing w:after="0" w:line="240" w:lineRule="auto"/>
              <w:contextualSpacing/>
              <w:jc w:val="right"/>
              <w:rPr>
                <w:rFonts w:ascii="Times New Roman" w:hAnsi="Times New Roman"/>
                <w:b/>
                <w:bCs/>
                <w:sz w:val="18"/>
                <w:szCs w:val="18"/>
                <w:lang w:eastAsia="sk-SK"/>
              </w:rPr>
            </w:pPr>
            <w:r w:rsidRPr="002A5103">
              <w:rPr>
                <w:rFonts w:ascii="Times New Roman" w:hAnsi="Times New Roman"/>
                <w:b/>
                <w:bCs/>
                <w:sz w:val="18"/>
                <w:szCs w:val="18"/>
                <w:lang w:eastAsia="sk-SK"/>
              </w:rPr>
              <w:t>61 631</w:t>
            </w:r>
          </w:p>
        </w:tc>
        <w:tc>
          <w:tcPr>
            <w:tcW w:w="891" w:type="dxa"/>
            <w:tcBorders>
              <w:top w:val="single" w:sz="8" w:space="0" w:color="auto"/>
              <w:left w:val="nil"/>
              <w:bottom w:val="single" w:sz="8" w:space="0" w:color="auto"/>
              <w:right w:val="nil"/>
            </w:tcBorders>
            <w:shd w:val="clear" w:color="auto" w:fill="BFBFBF"/>
            <w:noWrap/>
            <w:textDirection w:val="lrTb"/>
            <w:vAlign w:val="center"/>
          </w:tcPr>
          <w:p w:rsidR="000D2656" w:rsidRPr="002A5103" w:rsidP="00531D02">
            <w:pPr>
              <w:bidi w:val="0"/>
              <w:spacing w:after="0" w:line="240" w:lineRule="auto"/>
              <w:contextualSpacing/>
              <w:jc w:val="right"/>
              <w:rPr>
                <w:rFonts w:ascii="Times New Roman" w:hAnsi="Times New Roman"/>
                <w:b/>
                <w:bCs/>
                <w:sz w:val="18"/>
                <w:szCs w:val="18"/>
                <w:lang w:eastAsia="sk-SK"/>
              </w:rPr>
            </w:pPr>
            <w:r w:rsidRPr="002A5103">
              <w:rPr>
                <w:rFonts w:ascii="Times New Roman" w:hAnsi="Times New Roman"/>
                <w:b/>
                <w:bCs/>
                <w:sz w:val="18"/>
                <w:szCs w:val="18"/>
                <w:lang w:eastAsia="sk-SK"/>
              </w:rPr>
              <w:t>63 429</w:t>
            </w:r>
          </w:p>
        </w:tc>
      </w:tr>
    </w:tbl>
    <w:p w:rsidR="000D2656" w:rsidRPr="001420D7" w:rsidP="001420D7">
      <w:pPr>
        <w:bidi w:val="0"/>
        <w:jc w:val="right"/>
        <w:rPr>
          <w:rFonts w:ascii="Times New Roman" w:hAnsi="Times New Roman"/>
          <w:bCs/>
          <w:sz w:val="18"/>
          <w:szCs w:val="18"/>
        </w:rPr>
      </w:pPr>
      <w:r w:rsidR="001420D7">
        <w:rPr>
          <w:rFonts w:ascii="Times New Roman" w:hAnsi="Times New Roman"/>
          <w:bCs/>
          <w:sz w:val="18"/>
          <w:szCs w:val="18"/>
        </w:rPr>
        <w:t>Zdroj: MF SR</w:t>
      </w:r>
    </w:p>
    <w:p w:rsidR="000D2656" w:rsidRPr="002A5103" w:rsidP="000D2656">
      <w:pPr>
        <w:bidi w:val="0"/>
        <w:rPr>
          <w:rFonts w:ascii="Times New Roman" w:hAnsi="Times New Roman"/>
          <w:szCs w:val="22"/>
        </w:rPr>
      </w:pPr>
      <w:r w:rsidRPr="002A5103">
        <w:rPr>
          <w:rFonts w:ascii="Times New Roman" w:hAnsi="Times New Roman"/>
          <w:b/>
          <w:bCs/>
          <w:i/>
          <w:szCs w:val="22"/>
        </w:rPr>
        <w:t>Daň z príjmov vyberaná zrážkou</w:t>
      </w:r>
      <w:r w:rsidRPr="002A5103">
        <w:rPr>
          <w:rFonts w:ascii="Times New Roman" w:hAnsi="Times New Roman"/>
          <w:szCs w:val="22"/>
        </w:rPr>
        <w:t xml:space="preserve"> sa rozpočtovala sumou 190 024 tis. eur a v skutočnosti dosiahla výnos 178 43</w:t>
      </w:r>
      <w:r>
        <w:rPr>
          <w:rFonts w:ascii="Times New Roman" w:hAnsi="Times New Roman"/>
          <w:szCs w:val="22"/>
        </w:rPr>
        <w:t>2</w:t>
      </w:r>
      <w:r w:rsidRPr="002A5103">
        <w:rPr>
          <w:rFonts w:ascii="Times New Roman" w:hAnsi="Times New Roman"/>
          <w:szCs w:val="22"/>
        </w:rPr>
        <w:t xml:space="preserve"> tis. eu</w:t>
      </w:r>
      <w:r w:rsidR="00872214">
        <w:rPr>
          <w:rFonts w:ascii="Times New Roman" w:hAnsi="Times New Roman"/>
          <w:szCs w:val="22"/>
        </w:rPr>
        <w:t>r,</w:t>
      </w:r>
      <w:r w:rsidRPr="002A5103">
        <w:rPr>
          <w:rFonts w:ascii="Times New Roman" w:hAnsi="Times New Roman"/>
          <w:szCs w:val="22"/>
        </w:rPr>
        <w:t xml:space="preserve"> </w:t>
      </w:r>
      <w:r w:rsidR="00872214">
        <w:rPr>
          <w:rFonts w:ascii="Times New Roman" w:hAnsi="Times New Roman"/>
          <w:szCs w:val="22"/>
        </w:rPr>
        <w:t>r</w:t>
      </w:r>
      <w:r w:rsidRPr="002A5103">
        <w:rPr>
          <w:rFonts w:ascii="Times New Roman" w:hAnsi="Times New Roman"/>
          <w:szCs w:val="22"/>
        </w:rPr>
        <w:t xml:space="preserve">ozpočtovaný výnos sa </w:t>
      </w:r>
      <w:r w:rsidR="00872214">
        <w:rPr>
          <w:rFonts w:ascii="Times New Roman" w:hAnsi="Times New Roman"/>
          <w:szCs w:val="22"/>
        </w:rPr>
        <w:t xml:space="preserve">tak </w:t>
      </w:r>
      <w:r w:rsidRPr="002A5103">
        <w:rPr>
          <w:rFonts w:ascii="Times New Roman" w:hAnsi="Times New Roman"/>
          <w:szCs w:val="22"/>
        </w:rPr>
        <w:t xml:space="preserve">naplnil na </w:t>
      </w:r>
      <w:r w:rsidR="004001FC">
        <w:rPr>
          <w:rFonts w:ascii="Times New Roman" w:hAnsi="Times New Roman"/>
          <w:szCs w:val="22"/>
        </w:rPr>
        <w:t>93,9 %. Plnenie tejto dane je v </w:t>
      </w:r>
      <w:r w:rsidRPr="002A5103">
        <w:rPr>
          <w:rFonts w:ascii="Times New Roman" w:hAnsi="Times New Roman"/>
          <w:szCs w:val="22"/>
        </w:rPr>
        <w:t>porovnaní s rokom 2016 nižšie o 7</w:t>
      </w:r>
      <w:r>
        <w:rPr>
          <w:rFonts w:ascii="Times New Roman" w:hAnsi="Times New Roman"/>
          <w:szCs w:val="22"/>
        </w:rPr>
        <w:t>80</w:t>
      </w:r>
      <w:r w:rsidRPr="002A5103">
        <w:rPr>
          <w:rFonts w:ascii="Times New Roman" w:hAnsi="Times New Roman"/>
          <w:szCs w:val="22"/>
        </w:rPr>
        <w:t xml:space="preserve"> tis. eur. Výnos v roku 2017 bol negatívne ovplyvnený vývojom priemernej úrokovej miery z vkladov. Pozitívne na vývoj dane vplývali licenčné poplatky, ktorých výška nemusí priamo súvisieť s ekonomickým vývojom.</w:t>
      </w:r>
    </w:p>
    <w:p w:rsidR="000D2656" w:rsidRPr="00A82E14" w:rsidP="00E3200E">
      <w:pPr>
        <w:tabs>
          <w:tab w:val="left" w:pos="284"/>
        </w:tabs>
        <w:bidi w:val="0"/>
        <w:rPr>
          <w:rFonts w:ascii="Times New Roman" w:hAnsi="Times New Roman"/>
          <w:b/>
          <w:szCs w:val="22"/>
        </w:rPr>
      </w:pPr>
      <w:r>
        <w:rPr>
          <w:rFonts w:ascii="Times New Roman" w:hAnsi="Times New Roman"/>
          <w:b/>
          <w:szCs w:val="22"/>
        </w:rPr>
        <w:t>V</w:t>
      </w:r>
      <w:r w:rsidRPr="002A5103">
        <w:rPr>
          <w:rFonts w:ascii="Times New Roman" w:hAnsi="Times New Roman"/>
          <w:b/>
          <w:szCs w:val="22"/>
        </w:rPr>
        <w:t>ýnos daní z medzinárodného obchodu a</w:t>
      </w:r>
      <w:r w:rsidR="00046B9A">
        <w:rPr>
          <w:rFonts w:ascii="Times New Roman" w:hAnsi="Times New Roman"/>
          <w:b/>
          <w:szCs w:val="22"/>
        </w:rPr>
        <w:t xml:space="preserve"> </w:t>
      </w:r>
      <w:r w:rsidRPr="002A5103">
        <w:rPr>
          <w:rFonts w:ascii="Times New Roman" w:hAnsi="Times New Roman"/>
          <w:b/>
          <w:szCs w:val="22"/>
        </w:rPr>
        <w:t xml:space="preserve">transakcií </w:t>
      </w:r>
      <w:r w:rsidRPr="00A82E14">
        <w:rPr>
          <w:rFonts w:ascii="Times New Roman" w:hAnsi="Times New Roman"/>
          <w:szCs w:val="22"/>
        </w:rPr>
        <w:t>sa rozp</w:t>
      </w:r>
      <w:r>
        <w:rPr>
          <w:rFonts w:ascii="Times New Roman" w:hAnsi="Times New Roman"/>
          <w:szCs w:val="22"/>
        </w:rPr>
        <w:t>očtoval v celkovej výške 24 487 </w:t>
      </w:r>
      <w:r w:rsidR="00740DE5">
        <w:rPr>
          <w:rFonts w:ascii="Times New Roman" w:hAnsi="Times New Roman"/>
          <w:szCs w:val="22"/>
        </w:rPr>
        <w:t>tis. </w:t>
      </w:r>
      <w:r w:rsidRPr="00A82E14">
        <w:rPr>
          <w:rFonts w:ascii="Times New Roman" w:hAnsi="Times New Roman"/>
          <w:szCs w:val="22"/>
        </w:rPr>
        <w:t>eur. V skutočnosti dosiahol 22 43</w:t>
      </w:r>
      <w:r>
        <w:rPr>
          <w:rFonts w:ascii="Times New Roman" w:hAnsi="Times New Roman"/>
          <w:szCs w:val="22"/>
        </w:rPr>
        <w:t>2</w:t>
      </w:r>
      <w:r w:rsidRPr="00A82E14">
        <w:rPr>
          <w:rFonts w:ascii="Times New Roman" w:hAnsi="Times New Roman"/>
          <w:szCs w:val="22"/>
        </w:rPr>
        <w:t xml:space="preserve"> tis. eur, čo predstavuje plnenie štátneho rozpočtu na 91,6 %. V porovnaní s rokom 2016 bol výnos o 6 455 tis. eur nižší.</w:t>
      </w:r>
    </w:p>
    <w:p w:rsidR="000D2656" w:rsidRPr="002A5103" w:rsidP="000D2656">
      <w:pPr>
        <w:bidi w:val="0"/>
        <w:rPr>
          <w:rFonts w:ascii="Times New Roman" w:hAnsi="Times New Roman"/>
          <w:szCs w:val="22"/>
        </w:rPr>
      </w:pPr>
      <w:r w:rsidRPr="002A5103">
        <w:rPr>
          <w:rFonts w:ascii="Times New Roman" w:hAnsi="Times New Roman"/>
          <w:szCs w:val="22"/>
        </w:rPr>
        <w:t>Najväčšiu časť na daniach z medzinárodného obchodu a transakcií tvorí výnos z podielu na vybratých finančných prostriedkoch, ktorého skutočný výnos vo výške 22</w:t>
      </w:r>
      <w:r>
        <w:rPr>
          <w:rFonts w:ascii="Times New Roman" w:hAnsi="Times New Roman"/>
          <w:szCs w:val="22"/>
        </w:rPr>
        <w:t> </w:t>
      </w:r>
      <w:r w:rsidRPr="002A5103">
        <w:rPr>
          <w:rFonts w:ascii="Times New Roman" w:hAnsi="Times New Roman"/>
          <w:szCs w:val="22"/>
        </w:rPr>
        <w:t>420</w:t>
      </w:r>
      <w:r>
        <w:rPr>
          <w:rFonts w:ascii="Times New Roman" w:hAnsi="Times New Roman"/>
          <w:szCs w:val="22"/>
        </w:rPr>
        <w:t> </w:t>
      </w:r>
      <w:r w:rsidRPr="002A5103">
        <w:rPr>
          <w:rFonts w:ascii="Times New Roman" w:hAnsi="Times New Roman"/>
          <w:szCs w:val="22"/>
        </w:rPr>
        <w:t>tis. eur predstavuje plnenie rozpočtu na 91,6 %. V porovnaní s predchádzajúcim rokom je výnos o 6 425 tis. eur nižší. Súčasťou daní z</w:t>
      </w:r>
      <w:r>
        <w:rPr>
          <w:rFonts w:ascii="Times New Roman" w:hAnsi="Times New Roman"/>
          <w:szCs w:val="22"/>
        </w:rPr>
        <w:t> </w:t>
      </w:r>
      <w:r w:rsidRPr="002A5103">
        <w:rPr>
          <w:rFonts w:ascii="Times New Roman" w:hAnsi="Times New Roman"/>
          <w:szCs w:val="22"/>
        </w:rPr>
        <w:t xml:space="preserve">medzinárodného obchodu a transakcií je aj výnos z dovozného cla, ktoré bolo vymerané pred 1.5.2004. Dobeh dovozného cla dosiahol v roku 2017 výšku </w:t>
      </w:r>
      <w:r w:rsidRPr="00046B9A">
        <w:rPr>
          <w:rFonts w:ascii="Times New Roman" w:hAnsi="Times New Roman"/>
        </w:rPr>
        <w:t>9</w:t>
      </w:r>
      <w:r w:rsidR="00046B9A">
        <w:rPr>
          <w:rFonts w:ascii="Times New Roman" w:hAnsi="Times New Roman"/>
        </w:rPr>
        <w:t> </w:t>
      </w:r>
      <w:r w:rsidRPr="00046B9A">
        <w:rPr>
          <w:rFonts w:ascii="Times New Roman" w:hAnsi="Times New Roman"/>
        </w:rPr>
        <w:t>tis</w:t>
      </w:r>
      <w:r w:rsidRPr="002A5103">
        <w:rPr>
          <w:rFonts w:ascii="Times New Roman" w:hAnsi="Times New Roman"/>
          <w:szCs w:val="22"/>
        </w:rPr>
        <w:t>. eur. Dobeh zrušenej dovoznej prirážky dosiahol hodnotu 3 tis. eur.</w:t>
      </w:r>
    </w:p>
    <w:p w:rsidR="000D2656" w:rsidRPr="002A5103" w:rsidP="00E3200E">
      <w:pPr>
        <w:tabs>
          <w:tab w:val="left" w:pos="284"/>
        </w:tabs>
        <w:bidi w:val="0"/>
        <w:rPr>
          <w:rFonts w:ascii="Times New Roman" w:hAnsi="Times New Roman"/>
          <w:b/>
          <w:szCs w:val="22"/>
        </w:rPr>
      </w:pPr>
      <w:r w:rsidRPr="002A5103">
        <w:rPr>
          <w:rFonts w:ascii="Times New Roman" w:hAnsi="Times New Roman"/>
          <w:b/>
          <w:szCs w:val="22"/>
        </w:rPr>
        <w:t xml:space="preserve">Sankcie uložené v daňovom konaní a sankcie súvisiace s úhradou dane </w:t>
      </w:r>
      <w:r w:rsidRPr="002A5103">
        <w:rPr>
          <w:rFonts w:ascii="Times New Roman" w:hAnsi="Times New Roman"/>
          <w:szCs w:val="22"/>
        </w:rPr>
        <w:t>sa rozpočtovali v sume 11 478 tis. eur. Ich skutočná výška dosiahla sumu 16 741 tis. eur, resp. 13 963 tis. eur po presune podielu sankcií do dane z príjmov fyzických osôb, z ktorých bol poukázaný výnos územnej samospráve. Plnenie rozpočtu tak dosiahlo 127,6 % (resp. 137,3 %).</w:t>
      </w:r>
    </w:p>
    <w:p w:rsidR="000D2656" w:rsidRPr="002A5103" w:rsidP="000D2656">
      <w:pPr>
        <w:pStyle w:val="HALVNEPISMOVS"/>
        <w:bidi w:val="0"/>
        <w:spacing w:line="336" w:lineRule="auto"/>
        <w:rPr>
          <w:rFonts w:ascii="Times New Roman" w:hAnsi="Times New Roman"/>
          <w:color w:val="auto"/>
        </w:rPr>
      </w:pPr>
      <w:r w:rsidRPr="002A5103">
        <w:rPr>
          <w:rFonts w:ascii="Times New Roman" w:hAnsi="Times New Roman"/>
          <w:color w:val="auto"/>
        </w:rPr>
        <w:t>Finančné orgány v sledovanom roku 2017 na žiadosť daňového subjektu povolili úľavu na dani alebo odpustili daňový nedoplatok na dani v zmysle § 70 daňového poriadku v 3 prípadoch v celkovej výške 37 tis</w:t>
      </w:r>
      <w:r w:rsidR="00DF1A1A">
        <w:rPr>
          <w:rFonts w:ascii="Times New Roman" w:hAnsi="Times New Roman"/>
          <w:color w:val="auto"/>
        </w:rPr>
        <w:t>.</w:t>
      </w:r>
      <w:r w:rsidRPr="002A5103">
        <w:rPr>
          <w:rFonts w:ascii="Times New Roman" w:hAnsi="Times New Roman"/>
          <w:color w:val="auto"/>
        </w:rPr>
        <w:t xml:space="preserve"> eur. Úľav</w:t>
      </w:r>
      <w:r>
        <w:rPr>
          <w:rFonts w:ascii="Times New Roman" w:hAnsi="Times New Roman"/>
          <w:color w:val="auto"/>
        </w:rPr>
        <w:t xml:space="preserve">y </w:t>
      </w:r>
      <w:r w:rsidRPr="002A5103">
        <w:rPr>
          <w:rFonts w:ascii="Times New Roman" w:hAnsi="Times New Roman"/>
          <w:color w:val="auto"/>
        </w:rPr>
        <w:t>zo sankcie alebo odpustenie sankcie, v zmysle § 157 daňového</w:t>
      </w:r>
      <w:r>
        <w:rPr>
          <w:rFonts w:ascii="Times New Roman" w:hAnsi="Times New Roman"/>
          <w:color w:val="auto"/>
        </w:rPr>
        <w:t xml:space="preserve"> poriadku,</w:t>
      </w:r>
      <w:r w:rsidRPr="002A5103">
        <w:rPr>
          <w:rFonts w:ascii="Times New Roman" w:hAnsi="Times New Roman"/>
          <w:color w:val="auto"/>
        </w:rPr>
        <w:t> boli povolené v 376 prípadoch v celkovej výške 636 tis. eur. V roku 2016 bolo povolených 426 prípadov v úhrnnej výške 290 tis. eur.</w:t>
      </w:r>
    </w:p>
    <w:tbl>
      <w:tblPr>
        <w:tblStyle w:val="TableNormal"/>
        <w:tblW w:w="8789" w:type="dxa"/>
        <w:tblInd w:w="108" w:type="dxa"/>
        <w:tblLayout w:type="fixed"/>
        <w:tblCellMar>
          <w:left w:w="0" w:type="dxa"/>
          <w:right w:w="0" w:type="dxa"/>
        </w:tblCellMar>
        <w:tblLook w:val="04A0"/>
      </w:tblPr>
      <w:tblGrid>
        <w:gridCol w:w="1701"/>
        <w:gridCol w:w="1701"/>
        <w:gridCol w:w="2268"/>
        <w:gridCol w:w="1560"/>
        <w:gridCol w:w="1559"/>
      </w:tblGrid>
      <w:tr>
        <w:tblPrEx>
          <w:tblW w:w="8789" w:type="dxa"/>
          <w:tblInd w:w="108" w:type="dxa"/>
          <w:tblLayout w:type="fixed"/>
          <w:tblCellMar>
            <w:left w:w="0" w:type="dxa"/>
            <w:right w:w="0" w:type="dxa"/>
          </w:tblCellMar>
          <w:tblLook w:val="04A0"/>
        </w:tblPrEx>
        <w:trPr>
          <w:trHeight w:val="414"/>
        </w:trPr>
        <w:tc>
          <w:tcPr>
            <w:tcW w:w="8789" w:type="dxa"/>
            <w:gridSpan w:val="5"/>
            <w:tcBorders>
              <w:top w:val="none" w:sz="0" w:space="0" w:color="auto"/>
              <w:left w:val="none" w:sz="0" w:space="0" w:color="auto"/>
              <w:bottom w:val="none" w:sz="0" w:space="0" w:color="auto"/>
              <w:right w:val="none" w:sz="0" w:space="0" w:color="auto"/>
            </w:tcBorders>
            <w:shd w:val="clear" w:color="auto" w:fill="000000"/>
            <w:tcMar>
              <w:top w:w="0" w:type="dxa"/>
              <w:left w:w="108" w:type="dxa"/>
              <w:bottom w:w="0" w:type="dxa"/>
              <w:right w:w="108" w:type="dxa"/>
            </w:tcMar>
            <w:textDirection w:val="lrTb"/>
            <w:vAlign w:val="center"/>
            <w:hideMark/>
          </w:tcPr>
          <w:p w:rsidR="00E25E8F" w:rsidP="00E25E8F">
            <w:pPr>
              <w:pStyle w:val="HALVNEPISMOVS"/>
              <w:bidi w:val="0"/>
              <w:spacing w:after="0" w:line="240" w:lineRule="auto"/>
              <w:jc w:val="left"/>
              <w:rPr>
                <w:rFonts w:ascii="Times New Roman" w:hAnsi="Times New Roman"/>
                <w:b/>
                <w:bCs/>
                <w:color w:val="auto"/>
                <w:sz w:val="18"/>
                <w:szCs w:val="18"/>
                <w:lang w:eastAsia="en-US"/>
              </w:rPr>
            </w:pPr>
            <w:r w:rsidRPr="001420D7" w:rsidR="000D2656">
              <w:rPr>
                <w:rFonts w:ascii="Times New Roman" w:hAnsi="Times New Roman"/>
                <w:color w:val="auto"/>
              </w:rPr>
              <w:br w:type="page"/>
            </w:r>
            <w:r w:rsidRPr="001420D7" w:rsidR="000D2656">
              <w:rPr>
                <w:rFonts w:ascii="Times New Roman" w:hAnsi="Times New Roman"/>
                <w:b/>
                <w:bCs/>
                <w:color w:val="auto"/>
                <w:sz w:val="18"/>
                <w:szCs w:val="18"/>
                <w:lang w:eastAsia="en-US"/>
              </w:rPr>
              <w:t xml:space="preserve">Povolené úľavy na dani / odpustenie daňového nedoplatku na dani / úľavy zo sankcie / odpustenie sankcie </w:t>
            </w:r>
          </w:p>
          <w:p w:rsidR="000D2656" w:rsidRPr="001420D7" w:rsidP="00E25E8F">
            <w:pPr>
              <w:pStyle w:val="HALVNEPISMOVS"/>
              <w:bidi w:val="0"/>
              <w:spacing w:after="0" w:line="240" w:lineRule="auto"/>
              <w:jc w:val="right"/>
              <w:rPr>
                <w:rFonts w:ascii="Times New Roman" w:hAnsi="Times New Roman"/>
                <w:b/>
                <w:bCs/>
                <w:color w:val="auto"/>
                <w:sz w:val="18"/>
                <w:szCs w:val="18"/>
                <w:lang w:eastAsia="en-US"/>
              </w:rPr>
            </w:pPr>
            <w:r w:rsidRPr="001420D7">
              <w:rPr>
                <w:rFonts w:ascii="Times New Roman" w:hAnsi="Times New Roman"/>
                <w:b/>
                <w:bCs/>
                <w:color w:val="auto"/>
                <w:sz w:val="18"/>
                <w:szCs w:val="18"/>
                <w:lang w:eastAsia="en-US"/>
              </w:rPr>
              <w:t>v tis. eur</w:t>
            </w:r>
          </w:p>
        </w:tc>
      </w:tr>
      <w:tr>
        <w:tblPrEx>
          <w:tblW w:w="8789" w:type="dxa"/>
          <w:tblInd w:w="108" w:type="dxa"/>
          <w:tblLayout w:type="fixed"/>
          <w:tblCellMar>
            <w:left w:w="0" w:type="dxa"/>
            <w:right w:w="0" w:type="dxa"/>
          </w:tblCellMar>
          <w:tblLook w:val="04A0"/>
        </w:tblPrEx>
        <w:trPr>
          <w:trHeight w:val="433"/>
        </w:trPr>
        <w:tc>
          <w:tcPr>
            <w:tcW w:w="1701" w:type="dxa"/>
            <w:vMerge w:val="restart"/>
            <w:tcBorders>
              <w:top w:val="nil"/>
              <w:left w:val="nil"/>
              <w:bottom w:val="none" w:sz="0" w:space="0" w:color="auto"/>
              <w:right w:val="nil"/>
            </w:tcBorders>
            <w:shd w:val="clear" w:color="auto" w:fill="BFBFBF"/>
            <w:tcMar>
              <w:top w:w="0" w:type="dxa"/>
              <w:left w:w="108" w:type="dxa"/>
              <w:bottom w:w="0" w:type="dxa"/>
              <w:right w:w="108" w:type="dxa"/>
            </w:tcMar>
            <w:textDirection w:val="lrTb"/>
            <w:vAlign w:val="center"/>
            <w:hideMark/>
          </w:tcPr>
          <w:p w:rsidR="000D2656" w:rsidRPr="001420D7" w:rsidP="00531D02">
            <w:pPr>
              <w:pStyle w:val="HALVNEPISMOVS"/>
              <w:bidi w:val="0"/>
              <w:spacing w:after="0" w:line="240" w:lineRule="auto"/>
              <w:jc w:val="left"/>
              <w:rPr>
                <w:rFonts w:ascii="Times New Roman" w:hAnsi="Times New Roman"/>
                <w:b/>
                <w:bCs/>
                <w:color w:val="auto"/>
                <w:sz w:val="18"/>
                <w:szCs w:val="18"/>
                <w:lang w:eastAsia="en-US"/>
              </w:rPr>
            </w:pPr>
            <w:r w:rsidRPr="001420D7">
              <w:rPr>
                <w:rFonts w:ascii="Times New Roman" w:hAnsi="Times New Roman"/>
                <w:b/>
                <w:bCs/>
                <w:color w:val="auto"/>
                <w:sz w:val="18"/>
                <w:szCs w:val="18"/>
                <w:lang w:eastAsia="en-US"/>
              </w:rPr>
              <w:t>Finančný orgán</w:t>
            </w:r>
          </w:p>
        </w:tc>
        <w:tc>
          <w:tcPr>
            <w:tcW w:w="3969" w:type="dxa"/>
            <w:gridSpan w:val="2"/>
            <w:tcBorders>
              <w:top w:val="none" w:sz="0" w:space="0" w:color="auto"/>
              <w:left w:val="none" w:sz="0" w:space="0" w:color="auto"/>
              <w:bottom w:val="none" w:sz="0" w:space="0" w:color="auto"/>
              <w:right w:val="none" w:sz="0" w:space="0" w:color="auto"/>
            </w:tcBorders>
            <w:shd w:val="clear" w:color="auto" w:fill="BFBFBF"/>
            <w:tcMar>
              <w:top w:w="0" w:type="dxa"/>
              <w:left w:w="108" w:type="dxa"/>
              <w:bottom w:w="0" w:type="dxa"/>
              <w:right w:w="108" w:type="dxa"/>
            </w:tcMar>
            <w:textDirection w:val="lrTb"/>
            <w:vAlign w:val="top"/>
            <w:hideMark/>
          </w:tcPr>
          <w:p w:rsidR="000D2656" w:rsidRPr="001420D7" w:rsidP="00531D02">
            <w:pPr>
              <w:pStyle w:val="HALVNEPISMOVS"/>
              <w:bidi w:val="0"/>
              <w:spacing w:after="0" w:line="240" w:lineRule="auto"/>
              <w:jc w:val="center"/>
              <w:rPr>
                <w:rFonts w:ascii="Times New Roman" w:hAnsi="Times New Roman"/>
                <w:b/>
                <w:bCs/>
                <w:color w:val="auto"/>
                <w:sz w:val="18"/>
                <w:szCs w:val="18"/>
                <w:lang w:eastAsia="en-US"/>
              </w:rPr>
            </w:pPr>
            <w:r w:rsidRPr="001420D7">
              <w:rPr>
                <w:rFonts w:ascii="Times New Roman" w:hAnsi="Times New Roman"/>
                <w:b/>
                <w:bCs/>
                <w:color w:val="auto"/>
                <w:sz w:val="18"/>
                <w:szCs w:val="18"/>
                <w:lang w:eastAsia="en-US"/>
              </w:rPr>
              <w:t xml:space="preserve">Úľavy na dani alebo odpustenie daňového nedoplatku na dani </w:t>
            </w:r>
          </w:p>
        </w:tc>
        <w:tc>
          <w:tcPr>
            <w:tcW w:w="3119" w:type="dxa"/>
            <w:gridSpan w:val="2"/>
            <w:tcBorders>
              <w:top w:val="none" w:sz="0" w:space="0" w:color="auto"/>
              <w:left w:val="none" w:sz="0" w:space="0" w:color="auto"/>
              <w:bottom w:val="none" w:sz="0" w:space="0" w:color="auto"/>
              <w:right w:val="none" w:sz="0" w:space="0" w:color="auto"/>
            </w:tcBorders>
            <w:shd w:val="clear" w:color="auto" w:fill="BFBFBF"/>
            <w:tcMar>
              <w:top w:w="0" w:type="dxa"/>
              <w:left w:w="108" w:type="dxa"/>
              <w:bottom w:w="0" w:type="dxa"/>
              <w:right w:w="108" w:type="dxa"/>
            </w:tcMar>
            <w:textDirection w:val="lrTb"/>
            <w:vAlign w:val="top"/>
            <w:hideMark/>
          </w:tcPr>
          <w:p w:rsidR="000D2656" w:rsidRPr="001420D7" w:rsidP="00531D02">
            <w:pPr>
              <w:pStyle w:val="HALVNEPISMOVS"/>
              <w:bidi w:val="0"/>
              <w:spacing w:after="0" w:line="240" w:lineRule="auto"/>
              <w:jc w:val="center"/>
              <w:rPr>
                <w:rFonts w:ascii="Times New Roman" w:hAnsi="Times New Roman"/>
                <w:b/>
                <w:bCs/>
                <w:color w:val="auto"/>
                <w:sz w:val="18"/>
                <w:szCs w:val="18"/>
                <w:lang w:eastAsia="en-US"/>
              </w:rPr>
            </w:pPr>
            <w:r w:rsidRPr="001420D7">
              <w:rPr>
                <w:rFonts w:ascii="Times New Roman" w:hAnsi="Times New Roman"/>
                <w:b/>
                <w:bCs/>
                <w:color w:val="auto"/>
                <w:sz w:val="18"/>
                <w:szCs w:val="18"/>
                <w:lang w:eastAsia="en-US"/>
              </w:rPr>
              <w:t xml:space="preserve">Úľavy zo sankcie alebo odpustenie sankcie </w:t>
            </w:r>
          </w:p>
        </w:tc>
      </w:tr>
      <w:tr>
        <w:tblPrEx>
          <w:tblW w:w="8789" w:type="dxa"/>
          <w:tblInd w:w="108" w:type="dxa"/>
          <w:tblLayout w:type="fixed"/>
          <w:tblCellMar>
            <w:left w:w="0" w:type="dxa"/>
            <w:right w:w="0" w:type="dxa"/>
          </w:tblCellMar>
          <w:tblLook w:val="04A0"/>
        </w:tblPrEx>
        <w:trPr>
          <w:trHeight w:val="89"/>
        </w:trPr>
        <w:tc>
          <w:tcPr>
            <w:tcW w:w="1701" w:type="dxa"/>
            <w:vMerge/>
            <w:tcBorders>
              <w:top w:val="nil"/>
              <w:left w:val="nil"/>
              <w:bottom w:val="single" w:sz="8" w:space="0" w:color="auto"/>
              <w:right w:val="nil"/>
            </w:tcBorders>
            <w:textDirection w:val="lrTb"/>
            <w:vAlign w:val="center"/>
            <w:hideMark/>
          </w:tcPr>
          <w:p w:rsidR="000D2656" w:rsidRPr="001420D7" w:rsidP="00531D02">
            <w:pPr>
              <w:bidi w:val="0"/>
              <w:rPr>
                <w:rFonts w:ascii="Times New Roman" w:hAnsi="Times New Roman"/>
                <w:b/>
                <w:bCs/>
                <w:sz w:val="18"/>
                <w:szCs w:val="18"/>
              </w:rPr>
            </w:pPr>
          </w:p>
        </w:tc>
        <w:tc>
          <w:tcPr>
            <w:tcW w:w="1701"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0D2656" w:rsidRPr="001420D7" w:rsidP="00531D02">
            <w:pPr>
              <w:bidi w:val="0"/>
              <w:ind w:right="259"/>
              <w:jc w:val="center"/>
              <w:rPr>
                <w:rFonts w:ascii="Times New Roman" w:hAnsi="Times New Roman"/>
                <w:b/>
                <w:bCs/>
                <w:sz w:val="18"/>
                <w:szCs w:val="18"/>
              </w:rPr>
            </w:pPr>
            <w:r w:rsidRPr="001420D7">
              <w:rPr>
                <w:rFonts w:ascii="Times New Roman" w:hAnsi="Times New Roman"/>
                <w:b/>
                <w:bCs/>
                <w:sz w:val="18"/>
                <w:szCs w:val="18"/>
              </w:rPr>
              <w:t>počet</w:t>
            </w:r>
          </w:p>
        </w:tc>
        <w:tc>
          <w:tcPr>
            <w:tcW w:w="2268"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0D2656" w:rsidRPr="001420D7" w:rsidP="00531D02">
            <w:pPr>
              <w:bidi w:val="0"/>
              <w:ind w:right="265"/>
              <w:jc w:val="center"/>
              <w:rPr>
                <w:rFonts w:ascii="Times New Roman" w:hAnsi="Times New Roman"/>
                <w:b/>
                <w:bCs/>
                <w:sz w:val="18"/>
                <w:szCs w:val="18"/>
              </w:rPr>
            </w:pPr>
            <w:r w:rsidRPr="001420D7">
              <w:rPr>
                <w:rFonts w:ascii="Times New Roman" w:hAnsi="Times New Roman"/>
                <w:b/>
                <w:bCs/>
                <w:sz w:val="18"/>
                <w:szCs w:val="18"/>
              </w:rPr>
              <w:t>suma</w:t>
            </w:r>
          </w:p>
        </w:tc>
        <w:tc>
          <w:tcPr>
            <w:tcW w:w="1560"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0D2656" w:rsidRPr="001420D7" w:rsidP="001420D7">
            <w:pPr>
              <w:bidi w:val="0"/>
              <w:ind w:right="271"/>
              <w:jc w:val="center"/>
              <w:rPr>
                <w:rFonts w:ascii="Times New Roman" w:hAnsi="Times New Roman"/>
                <w:b/>
                <w:bCs/>
                <w:sz w:val="18"/>
                <w:szCs w:val="18"/>
              </w:rPr>
            </w:pPr>
            <w:r w:rsidRPr="001420D7">
              <w:rPr>
                <w:rFonts w:ascii="Times New Roman" w:hAnsi="Times New Roman"/>
                <w:b/>
                <w:bCs/>
                <w:sz w:val="18"/>
                <w:szCs w:val="18"/>
              </w:rPr>
              <w:t>počet</w:t>
            </w:r>
          </w:p>
        </w:tc>
        <w:tc>
          <w:tcPr>
            <w:tcW w:w="1559"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0D2656" w:rsidRPr="001420D7" w:rsidP="001420D7">
            <w:pPr>
              <w:bidi w:val="0"/>
              <w:ind w:right="277"/>
              <w:jc w:val="center"/>
              <w:rPr>
                <w:rFonts w:ascii="Times New Roman" w:hAnsi="Times New Roman"/>
                <w:b/>
                <w:bCs/>
                <w:sz w:val="18"/>
                <w:szCs w:val="18"/>
              </w:rPr>
            </w:pPr>
            <w:r w:rsidRPr="001420D7">
              <w:rPr>
                <w:rFonts w:ascii="Times New Roman" w:hAnsi="Times New Roman"/>
                <w:b/>
                <w:bCs/>
                <w:sz w:val="18"/>
                <w:szCs w:val="18"/>
              </w:rPr>
              <w:t>suma</w:t>
            </w:r>
          </w:p>
        </w:tc>
      </w:tr>
      <w:tr>
        <w:tblPrEx>
          <w:tblW w:w="8789" w:type="dxa"/>
          <w:tblInd w:w="108" w:type="dxa"/>
          <w:tblLayout w:type="fixed"/>
          <w:tblCellMar>
            <w:left w:w="0" w:type="dxa"/>
            <w:right w:w="0" w:type="dxa"/>
          </w:tblCellMar>
          <w:tblLook w:val="04A0"/>
        </w:tblPrEx>
        <w:trPr>
          <w:trHeight w:val="300"/>
        </w:trPr>
        <w:tc>
          <w:tcPr>
            <w:tcW w:w="1701"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531D02">
            <w:pPr>
              <w:pStyle w:val="HALVNEPISMOVS"/>
              <w:bidi w:val="0"/>
              <w:spacing w:after="0" w:line="240" w:lineRule="auto"/>
              <w:jc w:val="left"/>
              <w:rPr>
                <w:rFonts w:ascii="Times New Roman" w:hAnsi="Times New Roman"/>
                <w:color w:val="auto"/>
                <w:sz w:val="18"/>
                <w:szCs w:val="18"/>
                <w:lang w:eastAsia="en-US"/>
              </w:rPr>
            </w:pPr>
            <w:r w:rsidRPr="001420D7">
              <w:rPr>
                <w:rFonts w:ascii="Times New Roman" w:hAnsi="Times New Roman"/>
                <w:color w:val="auto"/>
                <w:sz w:val="18"/>
                <w:szCs w:val="18"/>
                <w:lang w:eastAsia="en-US"/>
              </w:rPr>
              <w:t>Daňové úrady</w:t>
            </w:r>
          </w:p>
        </w:tc>
        <w:tc>
          <w:tcPr>
            <w:tcW w:w="1701"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59"/>
              <w:jc w:val="center"/>
              <w:rPr>
                <w:rFonts w:ascii="Times New Roman" w:hAnsi="Times New Roman"/>
                <w:sz w:val="18"/>
                <w:szCs w:val="18"/>
              </w:rPr>
            </w:pPr>
            <w:r w:rsidRPr="001420D7">
              <w:rPr>
                <w:rFonts w:ascii="Times New Roman" w:hAnsi="Times New Roman"/>
                <w:sz w:val="18"/>
                <w:szCs w:val="18"/>
              </w:rPr>
              <w:t>3</w:t>
            </w:r>
          </w:p>
        </w:tc>
        <w:tc>
          <w:tcPr>
            <w:tcW w:w="226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65"/>
              <w:jc w:val="center"/>
              <w:rPr>
                <w:rFonts w:ascii="Times New Roman" w:hAnsi="Times New Roman"/>
                <w:sz w:val="18"/>
                <w:szCs w:val="18"/>
              </w:rPr>
            </w:pPr>
            <w:r w:rsidRPr="001420D7">
              <w:rPr>
                <w:rFonts w:ascii="Times New Roman" w:hAnsi="Times New Roman"/>
                <w:sz w:val="18"/>
                <w:szCs w:val="18"/>
              </w:rPr>
              <w:t>37</w:t>
            </w:r>
          </w:p>
        </w:tc>
        <w:tc>
          <w:tcPr>
            <w:tcW w:w="1560"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374</w:t>
            </w:r>
          </w:p>
        </w:tc>
        <w:tc>
          <w:tcPr>
            <w:tcW w:w="155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604</w:t>
            </w:r>
          </w:p>
        </w:tc>
      </w:tr>
      <w:tr>
        <w:tblPrEx>
          <w:tblW w:w="8789" w:type="dxa"/>
          <w:tblInd w:w="108" w:type="dxa"/>
          <w:tblLayout w:type="fixed"/>
          <w:tblCellMar>
            <w:left w:w="0" w:type="dxa"/>
            <w:right w:w="0" w:type="dxa"/>
          </w:tblCellMar>
          <w:tblLook w:val="04A0"/>
        </w:tblPrEx>
        <w:trPr>
          <w:trHeight w:val="300"/>
        </w:trPr>
        <w:tc>
          <w:tcPr>
            <w:tcW w:w="1701"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531D02">
            <w:pPr>
              <w:pStyle w:val="HALVNEPISMOVS"/>
              <w:bidi w:val="0"/>
              <w:spacing w:after="0" w:line="240" w:lineRule="auto"/>
              <w:jc w:val="left"/>
              <w:rPr>
                <w:rFonts w:ascii="Times New Roman" w:hAnsi="Times New Roman"/>
                <w:color w:val="auto"/>
                <w:sz w:val="18"/>
                <w:szCs w:val="18"/>
                <w:lang w:eastAsia="en-US"/>
              </w:rPr>
            </w:pPr>
            <w:r w:rsidRPr="001420D7">
              <w:rPr>
                <w:rFonts w:ascii="Times New Roman" w:hAnsi="Times New Roman"/>
                <w:color w:val="auto"/>
                <w:sz w:val="18"/>
                <w:szCs w:val="18"/>
                <w:lang w:eastAsia="en-US"/>
              </w:rPr>
              <w:t xml:space="preserve">Colné úrady /* </w:t>
            </w:r>
          </w:p>
        </w:tc>
        <w:tc>
          <w:tcPr>
            <w:tcW w:w="1701"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59"/>
              <w:jc w:val="center"/>
              <w:rPr>
                <w:rFonts w:ascii="Times New Roman" w:hAnsi="Times New Roman"/>
                <w:sz w:val="18"/>
                <w:szCs w:val="18"/>
              </w:rPr>
            </w:pPr>
            <w:r w:rsidRPr="001420D7">
              <w:rPr>
                <w:rFonts w:ascii="Times New Roman" w:hAnsi="Times New Roman"/>
                <w:sz w:val="18"/>
                <w:szCs w:val="18"/>
              </w:rPr>
              <w:t>x</w:t>
            </w:r>
          </w:p>
        </w:tc>
        <w:tc>
          <w:tcPr>
            <w:tcW w:w="226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65"/>
              <w:jc w:val="center"/>
              <w:rPr>
                <w:rFonts w:ascii="Times New Roman" w:hAnsi="Times New Roman"/>
                <w:sz w:val="18"/>
                <w:szCs w:val="18"/>
              </w:rPr>
            </w:pPr>
            <w:r w:rsidRPr="001420D7">
              <w:rPr>
                <w:rFonts w:ascii="Times New Roman" w:hAnsi="Times New Roman"/>
                <w:sz w:val="18"/>
                <w:szCs w:val="18"/>
              </w:rPr>
              <w:t>x</w:t>
            </w:r>
          </w:p>
        </w:tc>
        <w:tc>
          <w:tcPr>
            <w:tcW w:w="1560"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2</w:t>
            </w:r>
          </w:p>
        </w:tc>
        <w:tc>
          <w:tcPr>
            <w:tcW w:w="155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32</w:t>
            </w:r>
          </w:p>
        </w:tc>
      </w:tr>
      <w:tr>
        <w:tblPrEx>
          <w:tblW w:w="8789" w:type="dxa"/>
          <w:tblInd w:w="108" w:type="dxa"/>
          <w:tblLayout w:type="fixed"/>
          <w:tblCellMar>
            <w:left w:w="0" w:type="dxa"/>
            <w:right w:w="0" w:type="dxa"/>
          </w:tblCellMar>
          <w:tblLook w:val="04A0"/>
        </w:tblPrEx>
        <w:trPr>
          <w:trHeight w:val="300"/>
        </w:trPr>
        <w:tc>
          <w:tcPr>
            <w:tcW w:w="1701"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0D2656" w:rsidRPr="001420D7" w:rsidP="00531D02">
            <w:pPr>
              <w:pStyle w:val="HALVNEPISMOVS"/>
              <w:bidi w:val="0"/>
              <w:spacing w:after="0" w:line="240" w:lineRule="auto"/>
              <w:jc w:val="left"/>
              <w:rPr>
                <w:rFonts w:ascii="Times New Roman" w:hAnsi="Times New Roman"/>
                <w:color w:val="auto"/>
                <w:sz w:val="18"/>
                <w:szCs w:val="18"/>
                <w:lang w:eastAsia="en-US"/>
              </w:rPr>
            </w:pPr>
            <w:r w:rsidRPr="001420D7">
              <w:rPr>
                <w:rFonts w:ascii="Times New Roman" w:hAnsi="Times New Roman"/>
                <w:color w:val="auto"/>
                <w:sz w:val="18"/>
                <w:szCs w:val="18"/>
                <w:lang w:eastAsia="en-US"/>
              </w:rPr>
              <w:t>FR SR</w:t>
            </w:r>
          </w:p>
        </w:tc>
        <w:tc>
          <w:tcPr>
            <w:tcW w:w="1701"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59"/>
              <w:jc w:val="center"/>
              <w:rPr>
                <w:rFonts w:ascii="Times New Roman" w:hAnsi="Times New Roman"/>
                <w:sz w:val="18"/>
                <w:szCs w:val="18"/>
              </w:rPr>
            </w:pPr>
            <w:r w:rsidRPr="001420D7">
              <w:rPr>
                <w:rFonts w:ascii="Times New Roman" w:hAnsi="Times New Roman"/>
                <w:sz w:val="18"/>
                <w:szCs w:val="18"/>
              </w:rPr>
              <w:t>x</w:t>
            </w:r>
          </w:p>
        </w:tc>
        <w:tc>
          <w:tcPr>
            <w:tcW w:w="2268"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65"/>
              <w:jc w:val="center"/>
              <w:rPr>
                <w:rFonts w:ascii="Times New Roman" w:hAnsi="Times New Roman"/>
                <w:sz w:val="18"/>
                <w:szCs w:val="18"/>
              </w:rPr>
            </w:pPr>
            <w:r w:rsidRPr="001420D7">
              <w:rPr>
                <w:rFonts w:ascii="Times New Roman" w:hAnsi="Times New Roman"/>
                <w:sz w:val="18"/>
                <w:szCs w:val="18"/>
              </w:rPr>
              <w:t>x</w:t>
            </w:r>
          </w:p>
        </w:tc>
        <w:tc>
          <w:tcPr>
            <w:tcW w:w="1560"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x</w:t>
            </w:r>
          </w:p>
        </w:tc>
        <w:tc>
          <w:tcPr>
            <w:tcW w:w="1559"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0D2656" w:rsidRPr="001420D7" w:rsidP="001420D7">
            <w:pPr>
              <w:bidi w:val="0"/>
              <w:spacing w:after="0" w:line="240" w:lineRule="auto"/>
              <w:ind w:right="271"/>
              <w:jc w:val="center"/>
              <w:rPr>
                <w:rFonts w:ascii="Times New Roman" w:hAnsi="Times New Roman"/>
                <w:sz w:val="18"/>
                <w:szCs w:val="18"/>
              </w:rPr>
            </w:pPr>
            <w:r w:rsidRPr="001420D7">
              <w:rPr>
                <w:rFonts w:ascii="Times New Roman" w:hAnsi="Times New Roman"/>
                <w:sz w:val="18"/>
                <w:szCs w:val="18"/>
              </w:rPr>
              <w:t>x</w:t>
            </w:r>
          </w:p>
        </w:tc>
      </w:tr>
      <w:tr>
        <w:tblPrEx>
          <w:tblW w:w="8789" w:type="dxa"/>
          <w:tblInd w:w="108" w:type="dxa"/>
          <w:tblLayout w:type="fixed"/>
          <w:tblCellMar>
            <w:left w:w="0" w:type="dxa"/>
            <w:right w:w="0" w:type="dxa"/>
          </w:tblCellMar>
          <w:tblLook w:val="04A0"/>
        </w:tblPrEx>
        <w:trPr>
          <w:trHeight w:val="300"/>
        </w:trPr>
        <w:tc>
          <w:tcPr>
            <w:tcW w:w="1701"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0D2656" w:rsidRPr="001420D7" w:rsidP="00531D02">
            <w:pPr>
              <w:bidi w:val="0"/>
              <w:spacing w:after="0" w:line="240" w:lineRule="auto"/>
              <w:contextualSpacing/>
              <w:jc w:val="left"/>
              <w:rPr>
                <w:rFonts w:ascii="Times New Roman" w:hAnsi="Times New Roman"/>
                <w:b/>
                <w:bCs/>
                <w:sz w:val="18"/>
                <w:szCs w:val="18"/>
                <w:lang w:eastAsia="sk-SK"/>
              </w:rPr>
            </w:pPr>
            <w:r w:rsidRPr="001420D7">
              <w:rPr>
                <w:rFonts w:ascii="Times New Roman" w:hAnsi="Times New Roman"/>
                <w:b/>
                <w:bCs/>
                <w:sz w:val="18"/>
                <w:szCs w:val="18"/>
                <w:lang w:eastAsia="sk-SK"/>
              </w:rPr>
              <w:t>Spolu</w:t>
            </w:r>
          </w:p>
        </w:tc>
        <w:tc>
          <w:tcPr>
            <w:tcW w:w="1701"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0D2656" w:rsidRPr="001420D7" w:rsidP="00E12A3D">
            <w:pPr>
              <w:bidi w:val="0"/>
              <w:spacing w:after="0" w:line="240" w:lineRule="auto"/>
              <w:contextualSpacing/>
              <w:jc w:val="left"/>
              <w:rPr>
                <w:rFonts w:ascii="Times New Roman" w:hAnsi="Times New Roman"/>
                <w:b/>
                <w:bCs/>
                <w:sz w:val="18"/>
                <w:szCs w:val="18"/>
                <w:lang w:eastAsia="sk-SK"/>
              </w:rPr>
            </w:pPr>
            <w:r w:rsidR="00E12A3D">
              <w:rPr>
                <w:rFonts w:ascii="Times New Roman" w:hAnsi="Times New Roman"/>
                <w:b/>
                <w:bCs/>
                <w:sz w:val="18"/>
                <w:szCs w:val="18"/>
                <w:lang w:eastAsia="sk-SK"/>
              </w:rPr>
              <w:t xml:space="preserve">             </w:t>
            </w:r>
            <w:r w:rsidRPr="001420D7">
              <w:rPr>
                <w:rFonts w:ascii="Times New Roman" w:hAnsi="Times New Roman"/>
                <w:b/>
                <w:bCs/>
                <w:sz w:val="18"/>
                <w:szCs w:val="18"/>
                <w:lang w:eastAsia="sk-SK"/>
              </w:rPr>
              <w:t>3</w:t>
            </w:r>
          </w:p>
        </w:tc>
        <w:tc>
          <w:tcPr>
            <w:tcW w:w="2268"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0D2656" w:rsidRPr="001420D7" w:rsidP="00E12A3D">
            <w:pPr>
              <w:bidi w:val="0"/>
              <w:spacing w:after="0" w:line="240" w:lineRule="auto"/>
              <w:contextualSpacing/>
              <w:rPr>
                <w:rFonts w:ascii="Times New Roman" w:hAnsi="Times New Roman"/>
                <w:b/>
                <w:bCs/>
                <w:sz w:val="18"/>
                <w:szCs w:val="18"/>
                <w:lang w:eastAsia="sk-SK"/>
              </w:rPr>
            </w:pPr>
            <w:r w:rsidR="00E12A3D">
              <w:rPr>
                <w:rFonts w:ascii="Times New Roman" w:hAnsi="Times New Roman"/>
                <w:b/>
                <w:bCs/>
                <w:sz w:val="18"/>
                <w:szCs w:val="18"/>
                <w:lang w:eastAsia="sk-SK"/>
              </w:rPr>
              <w:t xml:space="preserve">                  </w:t>
            </w:r>
            <w:r w:rsidRPr="001420D7">
              <w:rPr>
                <w:rFonts w:ascii="Times New Roman" w:hAnsi="Times New Roman"/>
                <w:b/>
                <w:bCs/>
                <w:sz w:val="18"/>
                <w:szCs w:val="18"/>
                <w:lang w:eastAsia="sk-SK"/>
              </w:rPr>
              <w:t>37</w:t>
            </w:r>
          </w:p>
        </w:tc>
        <w:tc>
          <w:tcPr>
            <w:tcW w:w="1560"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0D2656" w:rsidRPr="001420D7" w:rsidP="00E12A3D">
            <w:pPr>
              <w:bidi w:val="0"/>
              <w:spacing w:after="0" w:line="240" w:lineRule="auto"/>
              <w:contextualSpacing/>
              <w:rPr>
                <w:rFonts w:ascii="Times New Roman" w:hAnsi="Times New Roman"/>
                <w:b/>
                <w:bCs/>
                <w:sz w:val="18"/>
                <w:szCs w:val="18"/>
                <w:lang w:eastAsia="sk-SK"/>
              </w:rPr>
            </w:pPr>
            <w:r w:rsidR="00E12A3D">
              <w:rPr>
                <w:rFonts w:ascii="Times New Roman" w:hAnsi="Times New Roman"/>
                <w:b/>
                <w:bCs/>
                <w:sz w:val="18"/>
                <w:szCs w:val="18"/>
                <w:lang w:eastAsia="sk-SK"/>
              </w:rPr>
              <w:t xml:space="preserve">         </w:t>
            </w:r>
            <w:r w:rsidRPr="001420D7">
              <w:rPr>
                <w:rFonts w:ascii="Times New Roman" w:hAnsi="Times New Roman"/>
                <w:b/>
                <w:bCs/>
                <w:sz w:val="18"/>
                <w:szCs w:val="18"/>
                <w:lang w:eastAsia="sk-SK"/>
              </w:rPr>
              <w:t>376</w:t>
            </w:r>
          </w:p>
        </w:tc>
        <w:tc>
          <w:tcPr>
            <w:tcW w:w="1559"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0D2656" w:rsidRPr="001420D7" w:rsidP="00E12A3D">
            <w:pPr>
              <w:bidi w:val="0"/>
              <w:spacing w:after="0" w:line="240" w:lineRule="auto"/>
              <w:contextualSpacing/>
              <w:rPr>
                <w:rFonts w:ascii="Times New Roman" w:hAnsi="Times New Roman"/>
                <w:b/>
                <w:bCs/>
                <w:sz w:val="18"/>
                <w:szCs w:val="18"/>
                <w:lang w:eastAsia="sk-SK"/>
              </w:rPr>
            </w:pPr>
            <w:r w:rsidR="00E12A3D">
              <w:rPr>
                <w:rFonts w:ascii="Times New Roman" w:hAnsi="Times New Roman"/>
                <w:b/>
                <w:bCs/>
                <w:sz w:val="18"/>
                <w:szCs w:val="18"/>
                <w:lang w:eastAsia="sk-SK"/>
              </w:rPr>
              <w:t xml:space="preserve">         </w:t>
            </w:r>
            <w:r w:rsidRPr="001420D7">
              <w:rPr>
                <w:rFonts w:ascii="Times New Roman" w:hAnsi="Times New Roman"/>
                <w:b/>
                <w:bCs/>
                <w:sz w:val="18"/>
                <w:szCs w:val="18"/>
                <w:lang w:eastAsia="sk-SK"/>
              </w:rPr>
              <w:t>636</w:t>
            </w:r>
          </w:p>
        </w:tc>
      </w:tr>
    </w:tbl>
    <w:p w:rsidR="000D2656" w:rsidRPr="002A5103" w:rsidP="000D2656">
      <w:pPr>
        <w:pStyle w:val="HLAVNYVS"/>
        <w:bidi w:val="0"/>
        <w:rPr>
          <w:rFonts w:ascii="Times New Roman" w:hAnsi="Times New Roman"/>
          <w:b w:val="0"/>
          <w:bCs w:val="0"/>
          <w:caps w:val="0"/>
          <w:color w:val="auto"/>
          <w:sz w:val="18"/>
          <w:szCs w:val="18"/>
        </w:rPr>
      </w:pPr>
      <w:r w:rsidRPr="002A5103">
        <w:rPr>
          <w:rFonts w:ascii="Times New Roman" w:hAnsi="Times New Roman"/>
          <w:b w:val="0"/>
          <w:bCs w:val="0"/>
          <w:caps w:val="0"/>
          <w:color w:val="auto"/>
          <w:sz w:val="18"/>
          <w:szCs w:val="18"/>
        </w:rPr>
        <w:t xml:space="preserve">*Colné úrady neposkytujú úľavy a odpustenie dane </w:t>
      </w:r>
      <w:r w:rsidR="001420D7">
        <w:rPr>
          <w:rFonts w:ascii="Times New Roman" w:hAnsi="Times New Roman"/>
          <w:b w:val="0"/>
          <w:bCs w:val="0"/>
          <w:caps w:val="0"/>
          <w:color w:val="auto"/>
          <w:sz w:val="18"/>
          <w:szCs w:val="18"/>
        </w:rPr>
        <w:t>v zmysle § 70 daňového poriadku</w:t>
      </w:r>
      <w:r w:rsidR="004001FC">
        <w:rPr>
          <w:rFonts w:ascii="Times New Roman" w:hAnsi="Times New Roman"/>
          <w:b w:val="0"/>
          <w:bCs w:val="0"/>
          <w:caps w:val="0"/>
          <w:color w:val="auto"/>
          <w:sz w:val="18"/>
          <w:szCs w:val="18"/>
        </w:rPr>
        <w:tab/>
        <w:tab/>
        <w:tab/>
      </w:r>
      <w:r w:rsidRPr="002A5103">
        <w:rPr>
          <w:rFonts w:ascii="Times New Roman" w:hAnsi="Times New Roman"/>
          <w:b w:val="0"/>
          <w:bCs w:val="0"/>
          <w:caps w:val="0"/>
          <w:color w:val="auto"/>
          <w:sz w:val="18"/>
          <w:szCs w:val="18"/>
        </w:rPr>
        <w:t>Zdroj: FR SR</w:t>
      </w:r>
    </w:p>
    <w:p w:rsidR="002E3DFF" w:rsidP="004D048A">
      <w:pPr>
        <w:bidi w:val="0"/>
        <w:rPr>
          <w:rFonts w:ascii="Times New Roman" w:hAnsi="Times New Roman"/>
          <w:b/>
          <w:i/>
          <w:szCs w:val="22"/>
        </w:rPr>
      </w:pPr>
    </w:p>
    <w:p w:rsidR="00071300" w:rsidRPr="002B0054" w:rsidP="004D048A">
      <w:pPr>
        <w:bidi w:val="0"/>
        <w:rPr>
          <w:rFonts w:ascii="Times New Roman" w:hAnsi="Times New Roman"/>
          <w:b/>
          <w:i/>
          <w:szCs w:val="22"/>
        </w:rPr>
      </w:pPr>
      <w:r w:rsidRPr="002B0054" w:rsidR="000D2656">
        <w:rPr>
          <w:rFonts w:ascii="Times New Roman" w:hAnsi="Times New Roman"/>
          <w:b/>
          <w:i/>
          <w:szCs w:val="22"/>
        </w:rPr>
        <w:t>Podrobné údaje o plnení daňových príjmov štátneho rozpočtu v roku 2017 sú uvedené v tab. č. 2 tabuľkovej prílohy štátneho záverečného účtu.</w:t>
      </w:r>
    </w:p>
    <w:p w:rsidR="00693173" w:rsidRPr="005A703A" w:rsidP="003E2C97">
      <w:pPr>
        <w:pStyle w:val="Heading3"/>
        <w:numPr>
          <w:ilvl w:val="0"/>
          <w:numId w:val="0"/>
        </w:numPr>
        <w:bidi w:val="0"/>
        <w:ind w:left="709" w:firstLine="0"/>
        <w:rPr>
          <w:rFonts w:hint="default"/>
        </w:rPr>
      </w:pPr>
      <w:bookmarkStart w:id="42" w:name="_Toc512599669"/>
      <w:r w:rsidR="003E2C97">
        <w:t xml:space="preserve">3.1.2 </w:t>
      </w:r>
      <w:r w:rsidRPr="005A703A">
        <w:rPr>
          <w:rFonts w:hint="default"/>
        </w:rPr>
        <w:t>Nedaň</w:t>
      </w:r>
      <w:r w:rsidRPr="005A703A">
        <w:rPr>
          <w:rFonts w:hint="default"/>
        </w:rPr>
        <w:t>ové</w:t>
      </w:r>
      <w:r w:rsidRPr="005A703A">
        <w:rPr>
          <w:rFonts w:hint="default"/>
        </w:rPr>
        <w:t xml:space="preserve"> prí</w:t>
      </w:r>
      <w:r w:rsidRPr="005A703A">
        <w:rPr>
          <w:rFonts w:hint="default"/>
        </w:rPr>
        <w:t>jmy</w:t>
      </w:r>
      <w:bookmarkEnd w:id="41"/>
      <w:bookmarkEnd w:id="42"/>
    </w:p>
    <w:p w:rsidR="005A703A" w:rsidRPr="00D00713" w:rsidP="005A703A">
      <w:pPr>
        <w:bidi w:val="0"/>
        <w:rPr>
          <w:rFonts w:ascii="Times New Roman" w:hAnsi="Times New Roman"/>
          <w:color w:val="000000" w:themeColor="tx1" w:themeShade="FF"/>
          <w:szCs w:val="22"/>
        </w:rPr>
      </w:pPr>
      <w:r w:rsidRPr="00714A5C">
        <w:rPr>
          <w:rFonts w:ascii="Times New Roman" w:hAnsi="Times New Roman"/>
          <w:color w:val="000000" w:themeColor="tx1" w:themeShade="FF"/>
          <w:szCs w:val="22"/>
        </w:rPr>
        <w:t>Nedaňové príjmy do štátneho rozpočtu plynú najmä z</w:t>
      </w:r>
      <w:r w:rsidR="00007AAE">
        <w:rPr>
          <w:rFonts w:ascii="Times New Roman" w:hAnsi="Times New Roman"/>
          <w:color w:val="000000" w:themeColor="tx1" w:themeShade="FF"/>
          <w:szCs w:val="22"/>
        </w:rPr>
        <w:t> podnikania a</w:t>
      </w:r>
      <w:r w:rsidRPr="00714A5C">
        <w:rPr>
          <w:rFonts w:ascii="Times New Roman" w:hAnsi="Times New Roman"/>
          <w:color w:val="000000" w:themeColor="tx1" w:themeShade="FF"/>
          <w:szCs w:val="22"/>
        </w:rPr>
        <w:t> v</w:t>
      </w:r>
      <w:r w:rsidR="0035704D">
        <w:rPr>
          <w:rFonts w:ascii="Times New Roman" w:hAnsi="Times New Roman"/>
          <w:color w:val="000000" w:themeColor="tx1" w:themeShade="FF"/>
          <w:szCs w:val="22"/>
        </w:rPr>
        <w:t>lastníctva majetku</w:t>
      </w:r>
      <w:r w:rsidR="00007AAE">
        <w:rPr>
          <w:rFonts w:ascii="Times New Roman" w:hAnsi="Times New Roman"/>
          <w:color w:val="000000" w:themeColor="tx1" w:themeShade="FF"/>
          <w:szCs w:val="22"/>
        </w:rPr>
        <w:t xml:space="preserve"> (</w:t>
      </w:r>
      <w:r w:rsidR="00EA313C">
        <w:rPr>
          <w:rFonts w:ascii="Times New Roman" w:hAnsi="Times New Roman"/>
          <w:color w:val="000000" w:themeColor="tx1" w:themeShade="FF"/>
          <w:szCs w:val="22"/>
        </w:rPr>
        <w:t>z dividend</w:t>
      </w:r>
      <w:r w:rsidR="00007AAE">
        <w:rPr>
          <w:rFonts w:ascii="Times New Roman" w:hAnsi="Times New Roman"/>
          <w:color w:val="000000" w:themeColor="tx1" w:themeShade="FF"/>
          <w:szCs w:val="22"/>
        </w:rPr>
        <w:t>,</w:t>
      </w:r>
      <w:r w:rsidR="00EA313C">
        <w:rPr>
          <w:rFonts w:ascii="Times New Roman" w:hAnsi="Times New Roman"/>
          <w:color w:val="000000" w:themeColor="tx1" w:themeShade="FF"/>
          <w:szCs w:val="22"/>
        </w:rPr>
        <w:t xml:space="preserve"> z prenájmu pozemkov, budov, strojov)</w:t>
      </w:r>
      <w:r w:rsidR="0035704D">
        <w:rPr>
          <w:rFonts w:ascii="Times New Roman" w:hAnsi="Times New Roman"/>
          <w:color w:val="000000" w:themeColor="tx1" w:themeShade="FF"/>
          <w:szCs w:val="22"/>
        </w:rPr>
        <w:t xml:space="preserve">, poplatkov a </w:t>
      </w:r>
      <w:r w:rsidRPr="00714A5C">
        <w:rPr>
          <w:rFonts w:ascii="Times New Roman" w:hAnsi="Times New Roman"/>
          <w:color w:val="000000" w:themeColor="tx1" w:themeShade="FF"/>
          <w:szCs w:val="22"/>
        </w:rPr>
        <w:t>platieb, kapitálových príjmov a úrokov. Tieto príjmy dosiahli za rok 2017 sumu 1 385 457 tis. </w:t>
      </w:r>
      <w:r w:rsidRPr="00781E59">
        <w:rPr>
          <w:rFonts w:ascii="Times New Roman" w:hAnsi="Times New Roman"/>
          <w:color w:val="000000" w:themeColor="tx1" w:themeShade="FF"/>
          <w:szCs w:val="22"/>
        </w:rPr>
        <w:t xml:space="preserve">eur, čo bolo </w:t>
      </w:r>
      <w:r w:rsidR="002B0054">
        <w:rPr>
          <w:rFonts w:ascii="Times New Roman" w:hAnsi="Times New Roman"/>
          <w:color w:val="000000" w:themeColor="tx1" w:themeShade="FF"/>
          <w:szCs w:val="22"/>
        </w:rPr>
        <w:t>približne 10,0</w:t>
      </w:r>
      <w:r w:rsidRPr="00781E59">
        <w:rPr>
          <w:rFonts w:ascii="Times New Roman" w:hAnsi="Times New Roman"/>
          <w:color w:val="000000" w:themeColor="tx1" w:themeShade="FF"/>
          <w:szCs w:val="22"/>
        </w:rPr>
        <w:t xml:space="preserve"> % z celkovo dosiahnutých príjmov štátneho rozpočtu. </w:t>
      </w:r>
      <w:r w:rsidRPr="00D00713">
        <w:rPr>
          <w:rFonts w:ascii="Times New Roman" w:hAnsi="Times New Roman"/>
          <w:color w:val="000000" w:themeColor="tx1" w:themeShade="FF"/>
          <w:szCs w:val="22"/>
        </w:rPr>
        <w:t xml:space="preserve">V porovnaní s rokom 2016 sa skutočne vyinkasovaná suma nedaňových príjmov zvýšila o 162 484 tis. eur. </w:t>
      </w:r>
    </w:p>
    <w:p w:rsidR="00B44B47" w:rsidP="005A703A">
      <w:pPr>
        <w:bidi w:val="0"/>
        <w:rPr>
          <w:rFonts w:ascii="Times New Roman" w:hAnsi="Times New Roman"/>
          <w:color w:val="000000" w:themeColor="tx1" w:themeShade="FF"/>
          <w:szCs w:val="22"/>
        </w:rPr>
      </w:pPr>
      <w:r w:rsidRPr="00805621" w:rsidR="005A703A">
        <w:rPr>
          <w:rFonts w:ascii="Times New Roman" w:hAnsi="Times New Roman"/>
          <w:color w:val="000000" w:themeColor="tx1" w:themeShade="FF"/>
          <w:szCs w:val="22"/>
        </w:rPr>
        <w:t>Súhrnný prehľad o plnení nedaňových príjmov poskytuje nasledovná tabuľka:</w:t>
      </w:r>
    </w:p>
    <w:p w:rsidR="00B44B47" w:rsidP="00D678A1">
      <w:pPr>
        <w:bidi w:val="0"/>
        <w:spacing w:after="0" w:line="240" w:lineRule="auto"/>
        <w:jc w:val="right"/>
        <w:rPr>
          <w:rFonts w:ascii="Times New Roman" w:hAnsi="Times New Roman"/>
          <w:color w:val="000000" w:themeColor="tx1" w:themeShade="FF"/>
          <w:sz w:val="18"/>
          <w:szCs w:val="18"/>
        </w:rPr>
      </w:pPr>
      <w:r>
        <w:rPr>
          <w:rFonts w:ascii="Times New Roman" w:hAnsi="Times New Roman"/>
          <w:b/>
          <w:noProof/>
          <w:color w:val="000000"/>
          <w:sz w:val="18"/>
          <w:szCs w:val="18"/>
          <w:rtl w:val="0"/>
          <w:lang w:eastAsia="sk-SK"/>
        </w:rPr>
        <w:pict>
          <v:shape id="Obrázok 6" o:spid="_x0000_i1030" type="#_x0000_t75" style="width:435.2pt;height:246.71pt;visibility:visible" filled="f" stroked="f">
            <v:fill o:detectmouseclick="f"/>
            <v:imagedata r:id="rId11" o:title=""/>
            <o:lock v:ext="edit" aspectratio="t"/>
          </v:shape>
        </w:pict>
      </w:r>
      <w:bookmarkStart w:id="43" w:name="RANGE!B5:H14"/>
      <w:bookmarkEnd w:id="43"/>
      <w:r w:rsidRPr="00E51230">
        <w:rPr>
          <w:rFonts w:ascii="Times New Roman" w:hAnsi="Times New Roman"/>
          <w:color w:val="000000" w:themeColor="tx1" w:themeShade="FF"/>
          <w:sz w:val="18"/>
          <w:szCs w:val="18"/>
        </w:rPr>
        <w:t>Zdroj: MF SR</w:t>
      </w:r>
    </w:p>
    <w:p w:rsidR="00887CF9" w:rsidRPr="007616D4" w:rsidP="00840A65">
      <w:pPr>
        <w:bidi w:val="0"/>
        <w:spacing w:after="0" w:line="240" w:lineRule="auto"/>
        <w:jc w:val="left"/>
        <w:rPr>
          <w:rFonts w:ascii="Times New Roman" w:hAnsi="Times New Roman"/>
          <w:color w:val="000000" w:themeColor="tx1" w:themeShade="FF"/>
          <w:szCs w:val="22"/>
        </w:rPr>
      </w:pPr>
    </w:p>
    <w:p w:rsidR="00E51230" w:rsidP="0029468B">
      <w:pPr>
        <w:tabs>
          <w:tab w:val="left" w:pos="284"/>
        </w:tabs>
        <w:suppressAutoHyphens/>
        <w:bidi w:val="0"/>
        <w:spacing w:after="0"/>
        <w:rPr>
          <w:rFonts w:ascii="Times New Roman" w:hAnsi="Times New Roman"/>
          <w:color w:val="000000" w:themeColor="tx1" w:themeShade="FF"/>
          <w:szCs w:val="22"/>
        </w:rPr>
      </w:pPr>
      <w:r w:rsidRPr="008051FB">
        <w:rPr>
          <w:rFonts w:ascii="Times New Roman" w:hAnsi="Times New Roman"/>
          <w:b/>
          <w:color w:val="000000" w:themeColor="tx1" w:themeShade="FF"/>
          <w:szCs w:val="22"/>
        </w:rPr>
        <w:t>Príjmy z podnikania a</w:t>
      </w:r>
      <w:r w:rsidR="00DB7BC3">
        <w:rPr>
          <w:rFonts w:ascii="Times New Roman" w:hAnsi="Times New Roman"/>
          <w:b/>
          <w:color w:val="000000" w:themeColor="tx1" w:themeShade="FF"/>
          <w:szCs w:val="22"/>
        </w:rPr>
        <w:t xml:space="preserve"> </w:t>
      </w:r>
      <w:r w:rsidRPr="008051FB">
        <w:rPr>
          <w:rFonts w:ascii="Times New Roman" w:hAnsi="Times New Roman"/>
          <w:b/>
          <w:color w:val="000000" w:themeColor="tx1" w:themeShade="FF"/>
          <w:szCs w:val="22"/>
        </w:rPr>
        <w:t>z vlastníctva majetku</w:t>
      </w:r>
      <w:r w:rsidRPr="008051FB">
        <w:rPr>
          <w:rFonts w:ascii="Times New Roman" w:hAnsi="Times New Roman"/>
          <w:color w:val="000000" w:themeColor="tx1" w:themeShade="FF"/>
          <w:szCs w:val="22"/>
        </w:rPr>
        <w:t>, ktoré dosiahli sumu 612 030 tis. eur sú svojou výškou najdôležitejšou časťou nedaňových príjmov. Z tejto sumy najpodstatnejšiu časť tvorili prijaté dividendy</w:t>
      </w:r>
      <w:r w:rsidRPr="008051FB">
        <w:rPr>
          <w:rFonts w:ascii="Times New Roman" w:hAnsi="Times New Roman"/>
          <w:b/>
          <w:color w:val="000000" w:themeColor="tx1" w:themeShade="FF"/>
          <w:szCs w:val="22"/>
        </w:rPr>
        <w:t xml:space="preserve"> </w:t>
      </w:r>
      <w:r w:rsidRPr="008051FB">
        <w:rPr>
          <w:rFonts w:ascii="Times New Roman" w:hAnsi="Times New Roman"/>
          <w:color w:val="000000" w:themeColor="tx1" w:themeShade="FF"/>
          <w:szCs w:val="22"/>
        </w:rPr>
        <w:t>z obchodných spoločností štátu (rozdelené v prechádzajúcom období) v</w:t>
      </w:r>
      <w:r w:rsidR="0029468B">
        <w:rPr>
          <w:rFonts w:ascii="Times New Roman" w:hAnsi="Times New Roman"/>
          <w:color w:val="000000" w:themeColor="tx1" w:themeShade="FF"/>
          <w:szCs w:val="22"/>
        </w:rPr>
        <w:t> </w:t>
      </w:r>
      <w:r w:rsidRPr="008051FB">
        <w:rPr>
          <w:rFonts w:ascii="Times New Roman" w:hAnsi="Times New Roman"/>
          <w:color w:val="000000" w:themeColor="tx1" w:themeShade="FF"/>
          <w:szCs w:val="22"/>
        </w:rPr>
        <w:t>objeme</w:t>
      </w:r>
      <w:r w:rsidR="0029468B">
        <w:rPr>
          <w:rFonts w:ascii="Times New Roman" w:hAnsi="Times New Roman"/>
          <w:color w:val="000000" w:themeColor="tx1" w:themeShade="FF"/>
          <w:szCs w:val="22"/>
        </w:rPr>
        <w:t xml:space="preserve"> </w:t>
      </w:r>
      <w:r w:rsidRPr="008051FB">
        <w:rPr>
          <w:rFonts w:ascii="Times New Roman" w:hAnsi="Times New Roman"/>
          <w:color w:val="000000" w:themeColor="tx1" w:themeShade="FF"/>
          <w:szCs w:val="22"/>
        </w:rPr>
        <w:t>599 068 tis. eur, ktoré vyinkasovali vybrané kapitoly štátneho rozpočtu v roku 2017. Najvyšší príjem z dividend bol v kapitole Všeobecná pokladničná správa v sume 524 244 tis. eur, a to najmä od Slovenského plynárenského priemyslu, a.s. a energetických spoločností</w:t>
      </w:r>
      <w:r w:rsidR="002B0054">
        <w:rPr>
          <w:rFonts w:ascii="Times New Roman" w:hAnsi="Times New Roman"/>
          <w:color w:val="000000" w:themeColor="tx1" w:themeShade="FF"/>
          <w:szCs w:val="22"/>
        </w:rPr>
        <w:t>, v ktorých má podiel štát</w:t>
      </w:r>
      <w:r w:rsidRPr="008051FB">
        <w:rPr>
          <w:rFonts w:ascii="Times New Roman" w:hAnsi="Times New Roman"/>
          <w:color w:val="000000" w:themeColor="tx1" w:themeShade="FF"/>
          <w:szCs w:val="22"/>
        </w:rPr>
        <w:t>. Druhý najvyšší príjem dosiahlo Ministerstvo financií SR, ktoré získalo z dividend sumu 69 130 tis. eur, z toho najviac od Slovenskej elektrizačnej prenosovej sústavy, a.s. (57 000 tis. eur). Rozdiel medzi rozpočtovanou a skutočne prijatou sumou</w:t>
      </w:r>
      <w:r>
        <w:rPr>
          <w:rFonts w:ascii="Times New Roman" w:hAnsi="Times New Roman"/>
          <w:color w:val="000000" w:themeColor="tx1" w:themeShade="FF"/>
          <w:szCs w:val="22"/>
        </w:rPr>
        <w:t xml:space="preserve"> u Ministerstva financií SR</w:t>
      </w:r>
      <w:r w:rsidRPr="008051FB">
        <w:rPr>
          <w:rFonts w:ascii="Times New Roman" w:hAnsi="Times New Roman"/>
          <w:color w:val="000000" w:themeColor="tx1" w:themeShade="FF"/>
          <w:szCs w:val="22"/>
        </w:rPr>
        <w:t xml:space="preserve"> predstavoval pri prijatých dividendách sumu 46 541 tis. eur, z toho najväčší rozdiel bol u Slovenskej elektrizačnej prenosovej sústavy, a.s. (40 375 tis. eur) vplyvom zmeny dividendovej politiky a</w:t>
      </w:r>
      <w:r w:rsidR="001102D4">
        <w:rPr>
          <w:rFonts w:ascii="Times New Roman" w:hAnsi="Times New Roman"/>
          <w:color w:val="000000" w:themeColor="tx1" w:themeShade="FF"/>
          <w:szCs w:val="22"/>
        </w:rPr>
        <w:t xml:space="preserve"> </w:t>
      </w:r>
      <w:r w:rsidRPr="008051FB">
        <w:rPr>
          <w:rFonts w:ascii="Times New Roman" w:hAnsi="Times New Roman"/>
          <w:color w:val="000000" w:themeColor="tx1" w:themeShade="FF"/>
          <w:szCs w:val="22"/>
        </w:rPr>
        <w:t>vyšších výnosov z cezhraničnej spoluprác</w:t>
      </w:r>
      <w:r>
        <w:rPr>
          <w:rFonts w:ascii="Times New Roman" w:hAnsi="Times New Roman"/>
          <w:color w:val="000000" w:themeColor="tx1" w:themeShade="FF"/>
          <w:szCs w:val="22"/>
        </w:rPr>
        <w:t>e a súčasne nižšími nákladmi na </w:t>
      </w:r>
      <w:r w:rsidRPr="008051FB">
        <w:rPr>
          <w:rFonts w:ascii="Times New Roman" w:hAnsi="Times New Roman"/>
          <w:color w:val="000000" w:themeColor="tx1" w:themeShade="FF"/>
          <w:szCs w:val="22"/>
        </w:rPr>
        <w:t xml:space="preserve">služby. </w:t>
      </w:r>
      <w:r>
        <w:rPr>
          <w:rFonts w:ascii="Times New Roman" w:hAnsi="Times New Roman"/>
          <w:color w:val="000000" w:themeColor="tx1" w:themeShade="FF"/>
          <w:szCs w:val="22"/>
        </w:rPr>
        <w:t>Ministerstvo hospodárstva SR malo rozpočtované dividendy aj od sp</w:t>
      </w:r>
      <w:r w:rsidR="001102D4">
        <w:rPr>
          <w:rFonts w:ascii="Times New Roman" w:hAnsi="Times New Roman"/>
          <w:color w:val="000000" w:themeColor="tx1" w:themeShade="FF"/>
          <w:szCs w:val="22"/>
        </w:rPr>
        <w:t>oločnosti Transpetrol, a. s. vo </w:t>
      </w:r>
      <w:r>
        <w:rPr>
          <w:rFonts w:ascii="Times New Roman" w:hAnsi="Times New Roman"/>
          <w:color w:val="000000" w:themeColor="tx1" w:themeShade="FF"/>
          <w:szCs w:val="22"/>
        </w:rPr>
        <w:t xml:space="preserve">výške 7 000 tis. eur, no tieto neboli vyplatené v súvislosti s poklesom hospodárskeho výsledku spoločnosti za rok 2017. </w:t>
      </w:r>
      <w:r w:rsidRPr="003921B2">
        <w:rPr>
          <w:rFonts w:ascii="Times New Roman" w:hAnsi="Times New Roman"/>
          <w:color w:val="000000" w:themeColor="tx1" w:themeShade="FF"/>
          <w:szCs w:val="22"/>
        </w:rPr>
        <w:t>Súhrnný prehľad prijatých dividend podľa kapitol ŠR poskytuje nasledujúca tabuľka:</w:t>
      </w:r>
    </w:p>
    <w:tbl>
      <w:tblPr>
        <w:tblStyle w:val="TableNormal"/>
        <w:tblW w:w="9030" w:type="dxa"/>
        <w:tblLayout w:type="fixed"/>
        <w:tblCellMar>
          <w:left w:w="70" w:type="dxa"/>
          <w:right w:w="70" w:type="dxa"/>
        </w:tblCellMar>
        <w:tblLook w:val="04A0"/>
      </w:tblPr>
      <w:tblGrid>
        <w:gridCol w:w="4181"/>
        <w:gridCol w:w="842"/>
        <w:gridCol w:w="796"/>
        <w:gridCol w:w="799"/>
        <w:gridCol w:w="984"/>
        <w:gridCol w:w="842"/>
        <w:gridCol w:w="586"/>
      </w:tblGrid>
      <w:tr>
        <w:tblPrEx>
          <w:tblW w:w="9030" w:type="dxa"/>
          <w:tblLayout w:type="fixed"/>
          <w:tblCellMar>
            <w:left w:w="70" w:type="dxa"/>
            <w:right w:w="70" w:type="dxa"/>
          </w:tblCellMar>
          <w:tblLook w:val="04A0"/>
        </w:tblPrEx>
        <w:trPr>
          <w:trHeight w:val="221"/>
        </w:trPr>
        <w:tc>
          <w:tcPr>
            <w:tcW w:w="9030" w:type="dxa"/>
            <w:gridSpan w:val="7"/>
            <w:tcBorders>
              <w:top w:val="nil"/>
              <w:left w:val="single" w:sz="8" w:space="0" w:color="auto"/>
              <w:bottom w:val="nil"/>
              <w:right w:val="nil"/>
            </w:tcBorders>
            <w:shd w:val="clear" w:color="000000" w:fill="000000"/>
            <w:textDirection w:val="lrTb"/>
            <w:vAlign w:val="center"/>
            <w:hideMark/>
          </w:tcPr>
          <w:p w:rsidR="00E51230" w:rsidRPr="00E25E8F" w:rsidP="00AB5363">
            <w:pPr>
              <w:bidi w:val="0"/>
              <w:rPr>
                <w:rFonts w:ascii="Times New Roman" w:hAnsi="Times New Roman"/>
                <w:b/>
                <w:bCs/>
                <w:color w:val="FFFFFF"/>
                <w:sz w:val="18"/>
                <w:szCs w:val="18"/>
              </w:rPr>
            </w:pPr>
            <w:bookmarkStart w:id="44" w:name="RANGE!B5:H31"/>
            <w:bookmarkEnd w:id="44"/>
            <w:r w:rsidRPr="00E25E8F">
              <w:rPr>
                <w:rFonts w:ascii="Times New Roman" w:hAnsi="Times New Roman"/>
                <w:b/>
                <w:bCs/>
                <w:color w:val="FFFFFF"/>
                <w:sz w:val="18"/>
                <w:szCs w:val="18"/>
              </w:rPr>
              <w:t xml:space="preserve">Príjem dividend podľa kapitol ŠR                                                                                            </w:t>
            </w:r>
            <w:r w:rsidR="00AB5363">
              <w:rPr>
                <w:rFonts w:ascii="Times New Roman" w:hAnsi="Times New Roman"/>
                <w:b/>
                <w:bCs/>
                <w:color w:val="FFFFFF"/>
                <w:sz w:val="18"/>
                <w:szCs w:val="18"/>
              </w:rPr>
              <w:t xml:space="preserve">                           </w:t>
            </w:r>
            <w:r w:rsidRPr="00E25E8F">
              <w:rPr>
                <w:rFonts w:ascii="Times New Roman" w:hAnsi="Times New Roman"/>
                <w:b/>
                <w:bCs/>
                <w:color w:val="FFFFFF"/>
                <w:sz w:val="18"/>
                <w:szCs w:val="18"/>
              </w:rPr>
              <w:t xml:space="preserve">   v tis. eur</w:t>
            </w:r>
          </w:p>
        </w:tc>
      </w:tr>
      <w:tr>
        <w:tblPrEx>
          <w:tblW w:w="9030" w:type="dxa"/>
          <w:tblLayout w:type="fixed"/>
          <w:tblCellMar>
            <w:left w:w="70" w:type="dxa"/>
            <w:right w:w="70" w:type="dxa"/>
          </w:tblCellMar>
          <w:tblLook w:val="04A0"/>
        </w:tblPrEx>
        <w:trPr>
          <w:trHeight w:val="229"/>
        </w:trPr>
        <w:tc>
          <w:tcPr>
            <w:tcW w:w="4181" w:type="dxa"/>
            <w:tcBorders>
              <w:top w:val="nil"/>
              <w:left w:val="nil"/>
              <w:bottom w:val="nil"/>
              <w:right w:val="nil"/>
            </w:tcBorders>
            <w:shd w:val="clear" w:color="000000" w:fill="BFBFBF"/>
            <w:textDirection w:val="lrTb"/>
            <w:vAlign w:val="center"/>
            <w:hideMark/>
          </w:tcPr>
          <w:p w:rsidR="00E51230" w:rsidRPr="00E25E8F" w:rsidP="004854E2">
            <w:pPr>
              <w:bidi w:val="0"/>
              <w:rPr>
                <w:rFonts w:ascii="Times New Roman" w:hAnsi="Times New Roman"/>
                <w:b/>
                <w:bCs/>
                <w:color w:val="FFFFFF"/>
                <w:sz w:val="18"/>
                <w:szCs w:val="18"/>
              </w:rPr>
            </w:pPr>
            <w:r w:rsidRPr="00E25E8F">
              <w:rPr>
                <w:rFonts w:ascii="Times New Roman" w:hAnsi="Times New Roman"/>
                <w:b/>
                <w:bCs/>
                <w:color w:val="FFFFFF"/>
                <w:sz w:val="18"/>
                <w:szCs w:val="18"/>
              </w:rPr>
              <w:t> </w:t>
            </w:r>
          </w:p>
        </w:tc>
        <w:tc>
          <w:tcPr>
            <w:tcW w:w="1638" w:type="dxa"/>
            <w:gridSpan w:val="2"/>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Skutočnosť</w:t>
            </w:r>
          </w:p>
        </w:tc>
        <w:tc>
          <w:tcPr>
            <w:tcW w:w="799"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ind w:right="-62"/>
              <w:jc w:val="center"/>
              <w:rPr>
                <w:rFonts w:ascii="Times New Roman" w:hAnsi="Times New Roman"/>
                <w:b/>
                <w:bCs/>
                <w:color w:val="000000"/>
                <w:sz w:val="18"/>
                <w:szCs w:val="18"/>
              </w:rPr>
            </w:pPr>
            <w:r w:rsidRPr="00E25E8F">
              <w:rPr>
                <w:rFonts w:ascii="Times New Roman" w:hAnsi="Times New Roman"/>
                <w:b/>
                <w:bCs/>
                <w:color w:val="000000"/>
                <w:sz w:val="18"/>
                <w:szCs w:val="18"/>
              </w:rPr>
              <w:t>Rozpočet</w:t>
            </w:r>
          </w:p>
        </w:tc>
        <w:tc>
          <w:tcPr>
            <w:tcW w:w="984"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ind w:right="-70"/>
              <w:jc w:val="center"/>
              <w:rPr>
                <w:rFonts w:ascii="Times New Roman" w:hAnsi="Times New Roman"/>
                <w:b/>
                <w:bCs/>
                <w:color w:val="000000"/>
                <w:sz w:val="18"/>
                <w:szCs w:val="18"/>
              </w:rPr>
            </w:pPr>
            <w:r w:rsidRPr="00E25E8F">
              <w:rPr>
                <w:rFonts w:ascii="Times New Roman" w:hAnsi="Times New Roman"/>
                <w:b/>
                <w:bCs/>
                <w:color w:val="000000"/>
                <w:sz w:val="18"/>
                <w:szCs w:val="18"/>
              </w:rPr>
              <w:t>Skutočnosť</w:t>
            </w:r>
          </w:p>
        </w:tc>
        <w:tc>
          <w:tcPr>
            <w:tcW w:w="1428" w:type="dxa"/>
            <w:gridSpan w:val="2"/>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Rozdiel</w:t>
            </w:r>
          </w:p>
        </w:tc>
      </w:tr>
      <w:tr>
        <w:tblPrEx>
          <w:tblW w:w="9030" w:type="dxa"/>
          <w:tblLayout w:type="fixed"/>
          <w:tblCellMar>
            <w:left w:w="70" w:type="dxa"/>
            <w:right w:w="70" w:type="dxa"/>
          </w:tblCellMar>
          <w:tblLook w:val="04A0"/>
        </w:tblPrEx>
        <w:trPr>
          <w:trHeight w:val="391"/>
        </w:trPr>
        <w:tc>
          <w:tcPr>
            <w:tcW w:w="4181" w:type="dxa"/>
            <w:tcBorders>
              <w:top w:val="nil"/>
              <w:left w:val="nil"/>
              <w:bottom w:val="nil"/>
              <w:right w:val="nil"/>
            </w:tcBorders>
            <w:shd w:val="clear" w:color="000000" w:fill="BFBFBF"/>
            <w:textDirection w:val="lrTb"/>
            <w:vAlign w:val="center"/>
            <w:hideMark/>
          </w:tcPr>
          <w:p w:rsidR="00E51230" w:rsidRPr="00E25E8F" w:rsidP="008C2388">
            <w:pPr>
              <w:bidi w:val="0"/>
              <w:ind w:right="-89"/>
              <w:jc w:val="center"/>
              <w:rPr>
                <w:rFonts w:ascii="Times New Roman" w:hAnsi="Times New Roman"/>
                <w:b/>
                <w:bCs/>
                <w:sz w:val="18"/>
                <w:szCs w:val="18"/>
              </w:rPr>
            </w:pPr>
            <w:r w:rsidRPr="00E25E8F">
              <w:rPr>
                <w:rFonts w:ascii="Times New Roman" w:hAnsi="Times New Roman"/>
                <w:b/>
                <w:bCs/>
                <w:sz w:val="18"/>
                <w:szCs w:val="18"/>
              </w:rPr>
              <w:t> </w:t>
            </w:r>
          </w:p>
        </w:tc>
        <w:tc>
          <w:tcPr>
            <w:tcW w:w="842"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2015</w:t>
            </w:r>
          </w:p>
        </w:tc>
        <w:tc>
          <w:tcPr>
            <w:tcW w:w="796"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2016</w:t>
            </w:r>
          </w:p>
        </w:tc>
        <w:tc>
          <w:tcPr>
            <w:tcW w:w="799"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2017</w:t>
            </w:r>
          </w:p>
        </w:tc>
        <w:tc>
          <w:tcPr>
            <w:tcW w:w="984"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2017</w:t>
            </w:r>
          </w:p>
        </w:tc>
        <w:tc>
          <w:tcPr>
            <w:tcW w:w="842"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 xml:space="preserve"> v tis. eur</w:t>
            </w:r>
          </w:p>
        </w:tc>
        <w:tc>
          <w:tcPr>
            <w:tcW w:w="586" w:type="dxa"/>
            <w:tcBorders>
              <w:top w:val="nil"/>
              <w:left w:val="nil"/>
              <w:bottom w:val="nil"/>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color w:val="000000"/>
                <w:sz w:val="18"/>
                <w:szCs w:val="18"/>
              </w:rPr>
            </w:pPr>
            <w:r w:rsidRPr="00E25E8F">
              <w:rPr>
                <w:rFonts w:ascii="Times New Roman" w:hAnsi="Times New Roman"/>
                <w:b/>
                <w:bCs/>
                <w:color w:val="000000"/>
                <w:sz w:val="18"/>
                <w:szCs w:val="18"/>
              </w:rPr>
              <w:t>v %</w:t>
            </w:r>
          </w:p>
        </w:tc>
      </w:tr>
      <w:tr>
        <w:tblPrEx>
          <w:tblW w:w="9030" w:type="dxa"/>
          <w:tblLayout w:type="fixed"/>
          <w:tblCellMar>
            <w:left w:w="70" w:type="dxa"/>
            <w:right w:w="70" w:type="dxa"/>
          </w:tblCellMar>
          <w:tblLook w:val="04A0"/>
        </w:tblPrEx>
        <w:trPr>
          <w:trHeight w:val="271"/>
        </w:trPr>
        <w:tc>
          <w:tcPr>
            <w:tcW w:w="4181" w:type="dxa"/>
            <w:tcBorders>
              <w:top w:val="nil"/>
              <w:left w:val="nil"/>
              <w:bottom w:val="single" w:sz="8" w:space="0" w:color="auto"/>
              <w:right w:val="nil"/>
            </w:tcBorders>
            <w:shd w:val="clear" w:color="000000" w:fill="BFBFBF"/>
            <w:textDirection w:val="lrTb"/>
            <w:vAlign w:val="center"/>
            <w:hideMark/>
          </w:tcPr>
          <w:p w:rsidR="00E51230" w:rsidRPr="00E25E8F" w:rsidP="004854E2">
            <w:pPr>
              <w:bidi w:val="0"/>
              <w:rPr>
                <w:rFonts w:ascii="Times New Roman" w:hAnsi="Times New Roman"/>
                <w:b/>
                <w:bCs/>
                <w:color w:val="FFFFFF"/>
                <w:sz w:val="18"/>
                <w:szCs w:val="18"/>
              </w:rPr>
            </w:pPr>
            <w:r w:rsidRPr="00E25E8F">
              <w:rPr>
                <w:rFonts w:ascii="Times New Roman" w:hAnsi="Times New Roman"/>
                <w:b/>
                <w:bCs/>
                <w:color w:val="FFFFFF"/>
                <w:sz w:val="18"/>
                <w:szCs w:val="18"/>
              </w:rPr>
              <w:t> </w:t>
            </w:r>
          </w:p>
        </w:tc>
        <w:tc>
          <w:tcPr>
            <w:tcW w:w="842"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1</w:t>
            </w:r>
          </w:p>
        </w:tc>
        <w:tc>
          <w:tcPr>
            <w:tcW w:w="796"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2</w:t>
            </w:r>
          </w:p>
        </w:tc>
        <w:tc>
          <w:tcPr>
            <w:tcW w:w="799"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3</w:t>
            </w:r>
          </w:p>
        </w:tc>
        <w:tc>
          <w:tcPr>
            <w:tcW w:w="984"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4</w:t>
            </w:r>
          </w:p>
        </w:tc>
        <w:tc>
          <w:tcPr>
            <w:tcW w:w="842"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5=4-3</w:t>
            </w:r>
          </w:p>
        </w:tc>
        <w:tc>
          <w:tcPr>
            <w:tcW w:w="586" w:type="dxa"/>
            <w:tcBorders>
              <w:top w:val="nil"/>
              <w:left w:val="nil"/>
              <w:bottom w:val="single" w:sz="8" w:space="0" w:color="auto"/>
              <w:right w:val="nil"/>
            </w:tcBorders>
            <w:shd w:val="clear" w:color="000000" w:fill="BFBFBF"/>
            <w:textDirection w:val="lrTb"/>
            <w:vAlign w:val="center"/>
            <w:hideMark/>
          </w:tcPr>
          <w:p w:rsidR="00E51230" w:rsidRPr="00E25E8F" w:rsidP="008C2388">
            <w:pPr>
              <w:bidi w:val="0"/>
              <w:spacing w:line="240" w:lineRule="auto"/>
              <w:jc w:val="center"/>
              <w:rPr>
                <w:rFonts w:ascii="Times New Roman" w:hAnsi="Times New Roman"/>
                <w:b/>
                <w:bCs/>
                <w:sz w:val="18"/>
                <w:szCs w:val="18"/>
              </w:rPr>
            </w:pPr>
            <w:r w:rsidRPr="00E25E8F">
              <w:rPr>
                <w:rFonts w:ascii="Times New Roman" w:hAnsi="Times New Roman"/>
                <w:b/>
                <w:bCs/>
                <w:sz w:val="18"/>
                <w:szCs w:val="18"/>
              </w:rPr>
              <w:t>6=4-3</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7552AD" w:rsidP="008C2388">
            <w:pPr>
              <w:bidi w:val="0"/>
              <w:spacing w:after="0" w:line="240" w:lineRule="auto"/>
              <w:ind w:right="-70"/>
              <w:jc w:val="left"/>
              <w:rPr>
                <w:rFonts w:ascii="Times New Roman" w:hAnsi="Times New Roman"/>
                <w:b/>
                <w:color w:val="000000"/>
                <w:sz w:val="18"/>
                <w:szCs w:val="18"/>
                <w:lang w:eastAsia="sk-SK"/>
              </w:rPr>
            </w:pPr>
            <w:r w:rsidR="008C2388">
              <w:rPr>
                <w:rFonts w:ascii="Times New Roman" w:hAnsi="Times New Roman"/>
                <w:b/>
                <w:color w:val="000000"/>
                <w:sz w:val="18"/>
                <w:szCs w:val="18"/>
                <w:lang w:eastAsia="sk-SK"/>
              </w:rPr>
              <w:t xml:space="preserve">Ministerstvo zahr. vecí a európskych záležitostí </w:t>
            </w:r>
            <w:r w:rsidRPr="007552AD">
              <w:rPr>
                <w:rFonts w:ascii="Times New Roman" w:hAnsi="Times New Roman"/>
                <w:b/>
                <w:color w:val="000000"/>
                <w:sz w:val="18"/>
                <w:szCs w:val="18"/>
                <w:lang w:eastAsia="sk-SK"/>
              </w:rPr>
              <w:t>SR</w:t>
            </w:r>
          </w:p>
        </w:tc>
        <w:tc>
          <w:tcPr>
            <w:tcW w:w="842" w:type="dxa"/>
            <w:tcBorders>
              <w:top w:val="nil"/>
              <w:left w:val="nil"/>
              <w:bottom w:val="nil"/>
              <w:right w:val="nil"/>
            </w:tcBorders>
            <w:shd w:val="clear" w:color="000000" w:fill="FFFFFF"/>
            <w:noWrap/>
            <w:textDirection w:val="lrTb"/>
            <w:vAlign w:val="center"/>
          </w:tcPr>
          <w:p w:rsidR="007552AD" w:rsidRPr="007552AD" w:rsidP="007552AD">
            <w:pPr>
              <w:bidi w:val="0"/>
              <w:spacing w:after="0" w:line="240" w:lineRule="auto"/>
              <w:jc w:val="right"/>
              <w:rPr>
                <w:rFonts w:ascii="Times New Roman" w:hAnsi="Times New Roman"/>
                <w:b/>
                <w:color w:val="000000"/>
                <w:sz w:val="18"/>
                <w:szCs w:val="18"/>
                <w:lang w:eastAsia="sk-SK"/>
              </w:rPr>
            </w:pPr>
            <w:r w:rsidRPr="007552AD">
              <w:rPr>
                <w:rFonts w:ascii="Times New Roman" w:hAnsi="Times New Roman"/>
                <w:b/>
                <w:color w:val="000000"/>
                <w:sz w:val="18"/>
                <w:szCs w:val="18"/>
                <w:lang w:eastAsia="sk-SK"/>
              </w:rPr>
              <w:t>202</w:t>
            </w:r>
          </w:p>
        </w:tc>
        <w:tc>
          <w:tcPr>
            <w:tcW w:w="796" w:type="dxa"/>
            <w:tcBorders>
              <w:top w:val="nil"/>
              <w:left w:val="nil"/>
              <w:bottom w:val="nil"/>
              <w:right w:val="nil"/>
            </w:tcBorders>
            <w:shd w:val="clear" w:color="000000" w:fill="FFFFFF"/>
            <w:noWrap/>
            <w:textDirection w:val="lrTb"/>
            <w:vAlign w:val="center"/>
          </w:tcPr>
          <w:p w:rsidR="007552AD" w:rsidRPr="007552AD" w:rsidP="007552AD">
            <w:pPr>
              <w:bidi w:val="0"/>
              <w:spacing w:after="0" w:line="240" w:lineRule="auto"/>
              <w:jc w:val="right"/>
              <w:rPr>
                <w:rFonts w:ascii="Times New Roman" w:hAnsi="Times New Roman"/>
                <w:b/>
                <w:color w:val="000000"/>
                <w:sz w:val="18"/>
                <w:szCs w:val="18"/>
                <w:lang w:eastAsia="sk-SK"/>
              </w:rPr>
            </w:pPr>
            <w:r w:rsidRPr="007552AD">
              <w:rPr>
                <w:rFonts w:ascii="Times New Roman" w:hAnsi="Times New Roman"/>
                <w:b/>
                <w:color w:val="000000"/>
                <w:sz w:val="18"/>
                <w:szCs w:val="18"/>
                <w:lang w:eastAsia="sk-SK"/>
              </w:rPr>
              <w:t>205</w:t>
            </w:r>
          </w:p>
        </w:tc>
        <w:tc>
          <w:tcPr>
            <w:tcW w:w="799" w:type="dxa"/>
            <w:tcBorders>
              <w:top w:val="nil"/>
              <w:left w:val="nil"/>
              <w:bottom w:val="nil"/>
              <w:right w:val="nil"/>
            </w:tcBorders>
            <w:shd w:val="clear" w:color="000000" w:fill="FFFFFF"/>
            <w:noWrap/>
            <w:textDirection w:val="lrTb"/>
            <w:vAlign w:val="center"/>
          </w:tcPr>
          <w:p w:rsidR="007552AD" w:rsidRPr="007552AD" w:rsidP="007552AD">
            <w:pPr>
              <w:bidi w:val="0"/>
              <w:spacing w:after="0" w:line="240" w:lineRule="auto"/>
              <w:jc w:val="right"/>
              <w:rPr>
                <w:rFonts w:ascii="Times New Roman" w:hAnsi="Times New Roman"/>
                <w:b/>
                <w:color w:val="000000"/>
                <w:sz w:val="18"/>
                <w:szCs w:val="18"/>
                <w:lang w:eastAsia="sk-SK"/>
              </w:rPr>
            </w:pPr>
            <w:r w:rsidRPr="007552AD">
              <w:rPr>
                <w:rFonts w:ascii="Times New Roman" w:hAnsi="Times New Roman"/>
                <w:b/>
                <w:color w:val="000000"/>
                <w:sz w:val="18"/>
                <w:szCs w:val="18"/>
                <w:lang w:eastAsia="sk-SK"/>
              </w:rPr>
              <w:t>210</w:t>
            </w:r>
          </w:p>
        </w:tc>
        <w:tc>
          <w:tcPr>
            <w:tcW w:w="984" w:type="dxa"/>
            <w:tcBorders>
              <w:top w:val="nil"/>
              <w:left w:val="nil"/>
              <w:bottom w:val="nil"/>
              <w:right w:val="nil"/>
            </w:tcBorders>
            <w:shd w:val="clear" w:color="000000" w:fill="BFBFBF"/>
            <w:noWrap/>
            <w:textDirection w:val="lrTb"/>
            <w:vAlign w:val="center"/>
            <w:hideMark/>
          </w:tcPr>
          <w:p w:rsidR="007552AD" w:rsidRPr="007552AD" w:rsidP="007552AD">
            <w:pPr>
              <w:bidi w:val="0"/>
              <w:spacing w:after="0" w:line="240" w:lineRule="auto"/>
              <w:jc w:val="right"/>
              <w:rPr>
                <w:rFonts w:ascii="Times New Roman" w:hAnsi="Times New Roman"/>
                <w:b/>
                <w:color w:val="000000"/>
                <w:sz w:val="18"/>
                <w:szCs w:val="18"/>
                <w:lang w:eastAsia="sk-SK"/>
              </w:rPr>
            </w:pPr>
            <w:r>
              <w:rPr>
                <w:rFonts w:ascii="Times New Roman" w:hAnsi="Times New Roman"/>
                <w:b/>
                <w:color w:val="000000"/>
                <w:sz w:val="18"/>
                <w:szCs w:val="18"/>
                <w:lang w:eastAsia="sk-SK"/>
              </w:rPr>
              <w:t>210</w:t>
            </w:r>
          </w:p>
        </w:tc>
        <w:tc>
          <w:tcPr>
            <w:tcW w:w="842" w:type="dxa"/>
            <w:tcBorders>
              <w:top w:val="nil"/>
              <w:left w:val="nil"/>
              <w:bottom w:val="nil"/>
              <w:right w:val="nil"/>
            </w:tcBorders>
            <w:shd w:val="clear" w:color="000000" w:fill="FFFFFF"/>
            <w:textDirection w:val="lrTb"/>
            <w:vAlign w:val="center"/>
            <w:hideMark/>
          </w:tcPr>
          <w:p w:rsidR="007552AD" w:rsidRPr="007552AD" w:rsidP="007552AD">
            <w:pPr>
              <w:bidi w:val="0"/>
              <w:spacing w:after="0" w:line="240" w:lineRule="auto"/>
              <w:jc w:val="right"/>
              <w:rPr>
                <w:rFonts w:ascii="Times New Roman" w:hAnsi="Times New Roman"/>
                <w:b/>
                <w:color w:val="000000"/>
                <w:sz w:val="18"/>
                <w:szCs w:val="18"/>
                <w:lang w:eastAsia="sk-SK"/>
              </w:rPr>
            </w:pPr>
            <w:r w:rsidRPr="007552AD">
              <w:rPr>
                <w:rFonts w:ascii="Times New Roman" w:hAnsi="Times New Roman"/>
                <w:b/>
                <w:color w:val="000000"/>
                <w:sz w:val="18"/>
                <w:szCs w:val="18"/>
                <w:lang w:eastAsia="sk-SK"/>
              </w:rPr>
              <w:t>0</w:t>
            </w:r>
          </w:p>
        </w:tc>
        <w:tc>
          <w:tcPr>
            <w:tcW w:w="586" w:type="dxa"/>
            <w:tcBorders>
              <w:top w:val="nil"/>
              <w:left w:val="nil"/>
              <w:bottom w:val="nil"/>
              <w:right w:val="nil"/>
            </w:tcBorders>
            <w:shd w:val="clear" w:color="000000" w:fill="FFFFFF"/>
            <w:textDirection w:val="lrTb"/>
            <w:vAlign w:val="center"/>
            <w:hideMark/>
          </w:tcPr>
          <w:p w:rsidR="007552AD" w:rsidRPr="007552AD" w:rsidP="007552AD">
            <w:pPr>
              <w:bidi w:val="0"/>
              <w:spacing w:after="0" w:line="240" w:lineRule="auto"/>
              <w:jc w:val="right"/>
              <w:rPr>
                <w:rFonts w:ascii="Times New Roman" w:hAnsi="Times New Roman"/>
                <w:b/>
                <w:color w:val="000000"/>
                <w:sz w:val="18"/>
                <w:szCs w:val="18"/>
                <w:lang w:eastAsia="sk-SK"/>
              </w:rPr>
            </w:pPr>
            <w:r w:rsidRPr="007552AD">
              <w:rPr>
                <w:rFonts w:ascii="Times New Roman" w:hAnsi="Times New Roman"/>
                <w:b/>
                <w:color w:val="000000"/>
                <w:sz w:val="18"/>
                <w:szCs w:val="18"/>
                <w:lang w:eastAsia="sk-SK"/>
              </w:rPr>
              <w:t>0,0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Správa služieb diplomatického zboru,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202</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205</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210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210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Ministerstvo financií SR</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78 279</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62 572</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22 589</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69 130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46 541</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206,0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Tipos, národná lotériová spoločnosť, a.s. Bratislava</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8 500</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5 000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3 000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8 000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5 000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166,7</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Slovenská konsolidačná, a.s. Bratislava</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2 644</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2 221</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1 964</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2 130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166</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8,5</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Slovenská záručná a rozvojová banka,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1 000</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2 000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1 000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1 000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100,0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Slovenská elektrizačná prenosová sústava,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66 135</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53 351</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16 625</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57 000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40 375</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242,9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Ministerstvo práce, sociálnych vecí a rodiny SR</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32</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27</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42</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47</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5</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11,9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Technická inšpekcia, a.s. Bratislava</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32</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27</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42</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47</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11,9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Ministerstvo hospodárstva SR</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23 065</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11 939</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9 859</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5 000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-4 859</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-49,3</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Transpetrol,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7 000</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6 939</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7 000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-7 000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-100,0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Slovak Telekom,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11 065</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x</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x</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x</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JAVYS,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5 000</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5 000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2 859</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2 141</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74,9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Ministerstvo dopravy a výstavby SR</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736</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856</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782</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437</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-345</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-44,1</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Letisko Košice - Airport Košice,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458</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589</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432</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433</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0,2</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Verejné prístavy,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269</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255</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350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-350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-100,0</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Poštová banka, a.s.</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9</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12</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0</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x</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Všeobecná pokladničná správa</w:t>
            </w:r>
          </w:p>
        </w:tc>
        <w:tc>
          <w:tcPr>
            <w:tcW w:w="842"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377 349</w:t>
            </w:r>
          </w:p>
        </w:tc>
        <w:tc>
          <w:tcPr>
            <w:tcW w:w="796"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401 840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394 395</w:t>
            </w:r>
          </w:p>
        </w:tc>
        <w:tc>
          <w:tcPr>
            <w:tcW w:w="984" w:type="dxa"/>
            <w:tcBorders>
              <w:top w:val="nil"/>
              <w:left w:val="nil"/>
              <w:bottom w:val="nil"/>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524 244</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129 849</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32,9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Slovenský plynárenský priemysel, a.s.</w:t>
            </w:r>
          </w:p>
        </w:tc>
        <w:tc>
          <w:tcPr>
            <w:tcW w:w="842"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288 547</w:t>
            </w:r>
          </w:p>
        </w:tc>
        <w:tc>
          <w:tcPr>
            <w:tcW w:w="796"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303 000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300 000</w:t>
            </w:r>
          </w:p>
        </w:tc>
        <w:tc>
          <w:tcPr>
            <w:tcW w:w="984" w:type="dxa"/>
            <w:tcBorders>
              <w:top w:val="nil"/>
              <w:left w:val="nil"/>
              <w:bottom w:val="nil"/>
              <w:right w:val="nil"/>
            </w:tcBorders>
            <w:shd w:val="clear" w:color="000000" w:fill="BFBFB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430 000</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130 000</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43,3</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Západoslovenská energetika, a. s.</w:t>
            </w:r>
          </w:p>
        </w:tc>
        <w:tc>
          <w:tcPr>
            <w:tcW w:w="842"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31 089</w:t>
            </w:r>
          </w:p>
        </w:tc>
        <w:tc>
          <w:tcPr>
            <w:tcW w:w="796"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29 361</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34 710</w:t>
            </w:r>
          </w:p>
        </w:tc>
        <w:tc>
          <w:tcPr>
            <w:tcW w:w="984" w:type="dxa"/>
            <w:tcBorders>
              <w:top w:val="nil"/>
              <w:left w:val="nil"/>
              <w:bottom w:val="nil"/>
              <w:right w:val="nil"/>
            </w:tcBorders>
            <w:shd w:val="clear" w:color="000000" w:fill="BFBFB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25 737</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-8 973</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-25,9</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Stredoslovenská energetika, a s.</w:t>
            </w:r>
          </w:p>
        </w:tc>
        <w:tc>
          <w:tcPr>
            <w:tcW w:w="842"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26 413</w:t>
            </w:r>
          </w:p>
        </w:tc>
        <w:tc>
          <w:tcPr>
            <w:tcW w:w="796"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33 479</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29 289</w:t>
            </w:r>
          </w:p>
        </w:tc>
        <w:tc>
          <w:tcPr>
            <w:tcW w:w="984" w:type="dxa"/>
            <w:tcBorders>
              <w:top w:val="nil"/>
              <w:left w:val="nil"/>
              <w:bottom w:val="nil"/>
              <w:right w:val="nil"/>
            </w:tcBorders>
            <w:shd w:val="clear" w:color="000000" w:fill="BFBFB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39 785</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10 496</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35,8</w:t>
            </w:r>
          </w:p>
        </w:tc>
      </w:tr>
      <w:tr>
        <w:tblPrEx>
          <w:tblW w:w="9030" w:type="dxa"/>
          <w:tblLayout w:type="fixed"/>
          <w:tblCellMar>
            <w:left w:w="70" w:type="dxa"/>
            <w:right w:w="70" w:type="dxa"/>
          </w:tblCellMar>
          <w:tblLook w:val="04A0"/>
        </w:tblPrEx>
        <w:trPr>
          <w:trHeight w:val="348"/>
        </w:trPr>
        <w:tc>
          <w:tcPr>
            <w:tcW w:w="4181"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color w:val="000000"/>
                <w:sz w:val="18"/>
                <w:szCs w:val="18"/>
                <w:lang w:eastAsia="sk-SK"/>
              </w:rPr>
            </w:pPr>
            <w:r w:rsidRPr="00E25E8F">
              <w:rPr>
                <w:rFonts w:ascii="Times New Roman" w:hAnsi="Times New Roman"/>
                <w:color w:val="000000"/>
                <w:sz w:val="18"/>
                <w:szCs w:val="18"/>
                <w:lang w:eastAsia="sk-SK"/>
              </w:rPr>
              <w:t xml:space="preserve">   Východoslovenská energetika HOLDING, a.s.</w:t>
            </w:r>
          </w:p>
        </w:tc>
        <w:tc>
          <w:tcPr>
            <w:tcW w:w="842"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31 300</w:t>
            </w:r>
          </w:p>
        </w:tc>
        <w:tc>
          <w:tcPr>
            <w:tcW w:w="796" w:type="dxa"/>
            <w:tcBorders>
              <w:top w:val="nil"/>
              <w:left w:val="nil"/>
              <w:bottom w:val="nil"/>
              <w:right w:val="nil"/>
            </w:tcBorders>
            <w:shd w:val="clear" w:color="000000" w:fill="FFFFF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36 000</w:t>
            </w:r>
          </w:p>
        </w:tc>
        <w:tc>
          <w:tcPr>
            <w:tcW w:w="799" w:type="dxa"/>
            <w:tcBorders>
              <w:top w:val="nil"/>
              <w:left w:val="nil"/>
              <w:bottom w:val="nil"/>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30 396</w:t>
            </w:r>
          </w:p>
        </w:tc>
        <w:tc>
          <w:tcPr>
            <w:tcW w:w="984" w:type="dxa"/>
            <w:tcBorders>
              <w:top w:val="nil"/>
              <w:left w:val="nil"/>
              <w:bottom w:val="nil"/>
              <w:right w:val="nil"/>
            </w:tcBorders>
            <w:shd w:val="clear" w:color="000000" w:fill="BFBFBF"/>
            <w:noWrap/>
            <w:textDirection w:val="lrTb"/>
            <w:vAlign w:val="center"/>
            <w:hideMark/>
          </w:tcPr>
          <w:p w:rsidR="007552AD" w:rsidRPr="00E25E8F" w:rsidP="005D46D9">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28 722</w:t>
            </w:r>
          </w:p>
        </w:tc>
        <w:tc>
          <w:tcPr>
            <w:tcW w:w="842"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-1 674</w:t>
            </w:r>
          </w:p>
        </w:tc>
        <w:tc>
          <w:tcPr>
            <w:tcW w:w="586" w:type="dxa"/>
            <w:tcBorders>
              <w:top w:val="nil"/>
              <w:left w:val="nil"/>
              <w:bottom w:val="nil"/>
              <w:right w:val="nil"/>
            </w:tcBorders>
            <w:shd w:val="clear" w:color="000000" w:fill="FFFFFF"/>
            <w:textDirection w:val="lrTb"/>
            <w:vAlign w:val="center"/>
            <w:hideMark/>
          </w:tcPr>
          <w:p w:rsidR="007552AD" w:rsidRPr="00E25E8F" w:rsidP="007552AD">
            <w:pPr>
              <w:bidi w:val="0"/>
              <w:spacing w:after="0" w:line="240" w:lineRule="auto"/>
              <w:jc w:val="right"/>
              <w:rPr>
                <w:rFonts w:ascii="Times New Roman" w:hAnsi="Times New Roman"/>
                <w:color w:val="000000"/>
                <w:sz w:val="18"/>
                <w:szCs w:val="18"/>
                <w:lang w:eastAsia="sk-SK"/>
              </w:rPr>
            </w:pPr>
            <w:r w:rsidRPr="00E25E8F">
              <w:rPr>
                <w:rFonts w:ascii="Times New Roman" w:hAnsi="Times New Roman"/>
                <w:color w:val="000000"/>
                <w:sz w:val="18"/>
                <w:szCs w:val="18"/>
                <w:lang w:eastAsia="sk-SK"/>
              </w:rPr>
              <w:t>-5,5</w:t>
            </w:r>
          </w:p>
        </w:tc>
      </w:tr>
      <w:tr>
        <w:tblPrEx>
          <w:tblW w:w="9030" w:type="dxa"/>
          <w:tblLayout w:type="fixed"/>
          <w:tblCellMar>
            <w:left w:w="70" w:type="dxa"/>
            <w:right w:w="70" w:type="dxa"/>
          </w:tblCellMar>
          <w:tblLook w:val="04A0"/>
        </w:tblPrEx>
        <w:trPr>
          <w:trHeight w:val="348"/>
        </w:trPr>
        <w:tc>
          <w:tcPr>
            <w:tcW w:w="4181"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lef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Spolu</w:t>
            </w:r>
          </w:p>
        </w:tc>
        <w:tc>
          <w:tcPr>
            <w:tcW w:w="842"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479 663</w:t>
            </w:r>
          </w:p>
        </w:tc>
        <w:tc>
          <w:tcPr>
            <w:tcW w:w="796"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477 439</w:t>
            </w:r>
          </w:p>
        </w:tc>
        <w:tc>
          <w:tcPr>
            <w:tcW w:w="799"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427 877</w:t>
            </w:r>
          </w:p>
        </w:tc>
        <w:tc>
          <w:tcPr>
            <w:tcW w:w="984" w:type="dxa"/>
            <w:tcBorders>
              <w:top w:val="single" w:sz="4" w:space="0" w:color="auto"/>
              <w:left w:val="nil"/>
              <w:bottom w:val="single" w:sz="8" w:space="0" w:color="auto"/>
              <w:right w:val="nil"/>
            </w:tcBorders>
            <w:shd w:val="clear" w:color="000000" w:fill="BFBFB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599 068</w:t>
            </w:r>
          </w:p>
        </w:tc>
        <w:tc>
          <w:tcPr>
            <w:tcW w:w="842"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171 191</w:t>
            </w:r>
          </w:p>
        </w:tc>
        <w:tc>
          <w:tcPr>
            <w:tcW w:w="586" w:type="dxa"/>
            <w:tcBorders>
              <w:top w:val="single" w:sz="4" w:space="0" w:color="auto"/>
              <w:left w:val="nil"/>
              <w:bottom w:val="single" w:sz="8" w:space="0" w:color="auto"/>
              <w:right w:val="nil"/>
            </w:tcBorders>
            <w:shd w:val="clear" w:color="000000" w:fill="FFFFFF"/>
            <w:noWrap/>
            <w:textDirection w:val="lrTb"/>
            <w:vAlign w:val="center"/>
            <w:hideMark/>
          </w:tcPr>
          <w:p w:rsidR="007552AD" w:rsidRPr="00E25E8F" w:rsidP="007552AD">
            <w:pPr>
              <w:bidi w:val="0"/>
              <w:spacing w:after="0" w:line="240" w:lineRule="auto"/>
              <w:jc w:val="right"/>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40,0</w:t>
            </w:r>
          </w:p>
        </w:tc>
      </w:tr>
    </w:tbl>
    <w:p w:rsidR="00E51230" w:rsidP="00E51230">
      <w:pPr>
        <w:suppressAutoHyphens/>
        <w:bidi w:val="0"/>
        <w:jc w:val="right"/>
        <w:rPr>
          <w:rFonts w:ascii="Times New Roman" w:hAnsi="Times New Roman"/>
          <w:color w:val="000000" w:themeColor="tx1" w:themeShade="FF"/>
          <w:sz w:val="18"/>
          <w:szCs w:val="18"/>
        </w:rPr>
      </w:pPr>
      <w:r w:rsidR="0029468B">
        <w:rPr>
          <w:rFonts w:ascii="Times New Roman" w:hAnsi="Times New Roman"/>
          <w:color w:val="000000" w:themeColor="tx1" w:themeShade="FF"/>
          <w:sz w:val="18"/>
          <w:szCs w:val="18"/>
        </w:rPr>
        <w:t xml:space="preserve">   </w:t>
      </w:r>
      <w:r w:rsidRPr="003921B2">
        <w:rPr>
          <w:rFonts w:ascii="Times New Roman" w:hAnsi="Times New Roman"/>
          <w:color w:val="000000" w:themeColor="tx1" w:themeShade="FF"/>
          <w:sz w:val="18"/>
          <w:szCs w:val="18"/>
        </w:rPr>
        <w:t>Zdroj: MF SR</w:t>
      </w:r>
    </w:p>
    <w:p w:rsidR="00E51230" w:rsidRPr="00F2346D" w:rsidP="00E51230">
      <w:pPr>
        <w:tabs>
          <w:tab w:val="left" w:pos="284"/>
        </w:tabs>
        <w:suppressAutoHyphens/>
        <w:bidi w:val="0"/>
        <w:rPr>
          <w:rFonts w:ascii="Times New Roman" w:hAnsi="Times New Roman"/>
          <w:color w:val="000000" w:themeColor="tx1" w:themeShade="FF"/>
          <w:szCs w:val="22"/>
        </w:rPr>
      </w:pPr>
      <w:r w:rsidRPr="00F2346D">
        <w:rPr>
          <w:rFonts w:ascii="Times New Roman" w:hAnsi="Times New Roman"/>
          <w:color w:val="000000" w:themeColor="tx1" w:themeShade="FF"/>
          <w:szCs w:val="22"/>
        </w:rPr>
        <w:t xml:space="preserve">V rámci iných príjmov z podnikania prijalo Ministerstvo pôdohospodárstva a rozvoja vidieka SR čiastku 5 000 tis. eur ako </w:t>
      </w:r>
      <w:r w:rsidRPr="00304522">
        <w:rPr>
          <w:rFonts w:ascii="Times New Roman" w:hAnsi="Times New Roman"/>
          <w:color w:val="000000" w:themeColor="tx1" w:themeShade="FF"/>
          <w:szCs w:val="22"/>
        </w:rPr>
        <w:t>osobitný odvod zo zisku po zdanení od štátneho podniku LESY SR, š.</w:t>
      </w:r>
      <w:r w:rsidR="00891A14">
        <w:rPr>
          <w:rFonts w:ascii="Times New Roman" w:hAnsi="Times New Roman"/>
          <w:color w:val="000000" w:themeColor="tx1" w:themeShade="FF"/>
          <w:szCs w:val="22"/>
        </w:rPr>
        <w:t xml:space="preserve"> </w:t>
      </w:r>
      <w:r w:rsidRPr="00304522">
        <w:rPr>
          <w:rFonts w:ascii="Times New Roman" w:hAnsi="Times New Roman"/>
          <w:color w:val="000000" w:themeColor="tx1" w:themeShade="FF"/>
          <w:szCs w:val="22"/>
        </w:rPr>
        <w:t xml:space="preserve">p., </w:t>
      </w:r>
      <w:r w:rsidRPr="00F2346D">
        <w:rPr>
          <w:rFonts w:ascii="Times New Roman" w:hAnsi="Times New Roman"/>
          <w:color w:val="000000" w:themeColor="tx1" w:themeShade="FF"/>
          <w:szCs w:val="22"/>
        </w:rPr>
        <w:t xml:space="preserve">Ministerstvo životného prostredia SR sumu 2 000 tis. eur </w:t>
      </w:r>
      <w:r w:rsidRPr="00CB42A3">
        <w:rPr>
          <w:rFonts w:ascii="Times New Roman" w:hAnsi="Times New Roman"/>
          <w:color w:val="000000" w:themeColor="tx1" w:themeShade="FF"/>
          <w:szCs w:val="22"/>
        </w:rPr>
        <w:t>od Vodohospodárskej výstavby, š.</w:t>
      </w:r>
      <w:r w:rsidR="00891A14">
        <w:rPr>
          <w:rFonts w:ascii="Times New Roman" w:hAnsi="Times New Roman"/>
          <w:color w:val="000000" w:themeColor="tx1" w:themeShade="FF"/>
          <w:szCs w:val="22"/>
        </w:rPr>
        <w:t xml:space="preserve"> </w:t>
      </w:r>
      <w:r w:rsidRPr="00CB42A3">
        <w:rPr>
          <w:rFonts w:ascii="Times New Roman" w:hAnsi="Times New Roman"/>
          <w:color w:val="000000" w:themeColor="tx1" w:themeShade="FF"/>
          <w:szCs w:val="22"/>
        </w:rPr>
        <w:t xml:space="preserve">p. Bratislava </w:t>
      </w:r>
      <w:r w:rsidRPr="00F2346D">
        <w:rPr>
          <w:rFonts w:ascii="Times New Roman" w:hAnsi="Times New Roman"/>
          <w:color w:val="000000" w:themeColor="tx1" w:themeShade="FF"/>
          <w:szCs w:val="22"/>
        </w:rPr>
        <w:t>a Ministerstvo dopravy</w:t>
      </w:r>
      <w:r>
        <w:rPr>
          <w:rFonts w:ascii="Times New Roman" w:hAnsi="Times New Roman"/>
          <w:color w:val="000000" w:themeColor="tx1" w:themeShade="FF"/>
          <w:szCs w:val="22"/>
        </w:rPr>
        <w:t xml:space="preserve"> a </w:t>
      </w:r>
      <w:r w:rsidRPr="00F2346D">
        <w:rPr>
          <w:rFonts w:ascii="Times New Roman" w:hAnsi="Times New Roman"/>
          <w:color w:val="000000" w:themeColor="tx1" w:themeShade="FF"/>
          <w:szCs w:val="22"/>
        </w:rPr>
        <w:t xml:space="preserve">výstavby SR získalo čiastku 131 tis. eur </w:t>
      </w:r>
      <w:r w:rsidRPr="00391277">
        <w:rPr>
          <w:rFonts w:ascii="Times New Roman" w:hAnsi="Times New Roman"/>
          <w:color w:val="000000" w:themeColor="tx1" w:themeShade="FF"/>
          <w:szCs w:val="22"/>
        </w:rPr>
        <w:t xml:space="preserve">z prenájmu </w:t>
      </w:r>
      <w:r w:rsidRPr="0016341E">
        <w:rPr>
          <w:rFonts w:ascii="Times New Roman" w:hAnsi="Times New Roman"/>
          <w:color w:val="000000" w:themeColor="tx1" w:themeShade="FF"/>
          <w:szCs w:val="22"/>
        </w:rPr>
        <w:t>odpočívadiel od spoločnosti Granvia</w:t>
      </w:r>
      <w:r w:rsidR="00891A14">
        <w:rPr>
          <w:rFonts w:ascii="Times New Roman" w:hAnsi="Times New Roman"/>
          <w:color w:val="000000" w:themeColor="tx1" w:themeShade="FF"/>
          <w:szCs w:val="22"/>
        </w:rPr>
        <w:t xml:space="preserve">, </w:t>
      </w:r>
      <w:r w:rsidRPr="0016341E">
        <w:rPr>
          <w:rFonts w:ascii="Times New Roman" w:hAnsi="Times New Roman"/>
          <w:color w:val="000000" w:themeColor="tx1" w:themeShade="FF"/>
          <w:szCs w:val="22"/>
        </w:rPr>
        <w:t xml:space="preserve">a.s. </w:t>
      </w:r>
      <w:r w:rsidRPr="00F2346D">
        <w:rPr>
          <w:rFonts w:ascii="Times New Roman" w:hAnsi="Times New Roman"/>
          <w:color w:val="000000" w:themeColor="tx1" w:themeShade="FF"/>
          <w:szCs w:val="22"/>
        </w:rPr>
        <w:t xml:space="preserve">Ministerstvo financií SR malo rozpočtovanú sumu 300 tis. eur </w:t>
      </w:r>
      <w:r>
        <w:rPr>
          <w:rFonts w:ascii="Times New Roman" w:hAnsi="Times New Roman"/>
          <w:color w:val="000000" w:themeColor="tx1" w:themeShade="FF"/>
          <w:szCs w:val="22"/>
        </w:rPr>
        <w:t>od Exportno-importnej banky SR, avšak z dôvodu dosiahnutia záporného hospodárskeho výsledku banky nebol odvod zo zisku zrealizovaný.</w:t>
      </w:r>
    </w:p>
    <w:p w:rsidR="00E51230" w:rsidRPr="00994E63" w:rsidP="00E51230">
      <w:pPr>
        <w:tabs>
          <w:tab w:val="left" w:pos="284"/>
        </w:tabs>
        <w:suppressAutoHyphens/>
        <w:bidi w:val="0"/>
        <w:rPr>
          <w:rFonts w:ascii="Times New Roman" w:hAnsi="Times New Roman"/>
          <w:color w:val="000000" w:themeColor="tx1" w:themeShade="FF"/>
          <w:szCs w:val="22"/>
        </w:rPr>
      </w:pPr>
      <w:r w:rsidRPr="00E77A0C">
        <w:rPr>
          <w:rFonts w:ascii="Times New Roman" w:hAnsi="Times New Roman"/>
          <w:color w:val="000000" w:themeColor="tx1" w:themeShade="FF"/>
          <w:szCs w:val="22"/>
        </w:rPr>
        <w:t>Príjmy z vlastníctva prenajatých budov, priestorov a</w:t>
      </w:r>
      <w:r w:rsidR="001102D4">
        <w:rPr>
          <w:rFonts w:ascii="Times New Roman" w:hAnsi="Times New Roman"/>
          <w:color w:val="000000" w:themeColor="tx1" w:themeShade="FF"/>
          <w:szCs w:val="22"/>
        </w:rPr>
        <w:t xml:space="preserve"> </w:t>
      </w:r>
      <w:r w:rsidRPr="00E77A0C">
        <w:rPr>
          <w:rFonts w:ascii="Times New Roman" w:hAnsi="Times New Roman"/>
          <w:color w:val="000000" w:themeColor="tx1" w:themeShade="FF"/>
          <w:szCs w:val="22"/>
        </w:rPr>
        <w:t xml:space="preserve">objektov dosiahli v roku 2017 sumu 5 831 tis. eur, </w:t>
      </w:r>
      <w:r w:rsidRPr="00994E63">
        <w:rPr>
          <w:rFonts w:ascii="Times New Roman" w:hAnsi="Times New Roman"/>
          <w:color w:val="000000" w:themeColor="tx1" w:themeShade="FF"/>
          <w:szCs w:val="22"/>
        </w:rPr>
        <w:t>z toho najviac Ministerstvo vnútra SR 1 136 tis. eur, Ministerstvo zahraničných vecí a</w:t>
      </w:r>
      <w:r w:rsidR="001102D4">
        <w:rPr>
          <w:rFonts w:ascii="Times New Roman" w:hAnsi="Times New Roman"/>
          <w:color w:val="000000" w:themeColor="tx1" w:themeShade="FF"/>
          <w:szCs w:val="22"/>
        </w:rPr>
        <w:t xml:space="preserve"> </w:t>
      </w:r>
      <w:r w:rsidRPr="00994E63">
        <w:rPr>
          <w:rFonts w:ascii="Times New Roman" w:hAnsi="Times New Roman"/>
          <w:color w:val="000000" w:themeColor="tx1" w:themeShade="FF"/>
          <w:szCs w:val="22"/>
        </w:rPr>
        <w:t xml:space="preserve">európskych záležitostí SR 795 tis. eur, Ministerstvo zdravotníctva </w:t>
      </w:r>
      <w:r w:rsidR="004854E2">
        <w:rPr>
          <w:rFonts w:ascii="Times New Roman" w:hAnsi="Times New Roman"/>
          <w:color w:val="000000" w:themeColor="tx1" w:themeShade="FF"/>
          <w:szCs w:val="22"/>
        </w:rPr>
        <w:t xml:space="preserve">SR </w:t>
      </w:r>
      <w:r w:rsidRPr="00994E63">
        <w:rPr>
          <w:rFonts w:ascii="Times New Roman" w:hAnsi="Times New Roman"/>
          <w:color w:val="000000" w:themeColor="tx1" w:themeShade="FF"/>
          <w:szCs w:val="22"/>
        </w:rPr>
        <w:t>683 tis. eur</w:t>
      </w:r>
      <w:r w:rsidR="001102D4">
        <w:rPr>
          <w:rFonts w:ascii="Times New Roman" w:hAnsi="Times New Roman"/>
          <w:color w:val="000000" w:themeColor="tx1" w:themeShade="FF"/>
          <w:szCs w:val="22"/>
        </w:rPr>
        <w:t xml:space="preserve"> a</w:t>
      </w:r>
      <w:r w:rsidRPr="00994E63">
        <w:rPr>
          <w:rFonts w:ascii="Times New Roman" w:hAnsi="Times New Roman"/>
          <w:color w:val="000000" w:themeColor="tx1" w:themeShade="FF"/>
          <w:szCs w:val="22"/>
        </w:rPr>
        <w:t xml:space="preserve"> Ministerstvo spravodlivosti SR 594 tis. eur.</w:t>
      </w:r>
    </w:p>
    <w:p w:rsidR="00E51230" w:rsidRPr="00472DA8" w:rsidP="002B0054">
      <w:pPr>
        <w:tabs>
          <w:tab w:val="left" w:pos="284"/>
        </w:tabs>
        <w:suppressAutoHyphens/>
        <w:bidi w:val="0"/>
        <w:rPr>
          <w:rFonts w:ascii="Times New Roman" w:hAnsi="Times New Roman"/>
          <w:color w:val="000000" w:themeColor="tx1" w:themeShade="FF"/>
          <w:szCs w:val="22"/>
        </w:rPr>
      </w:pPr>
      <w:r w:rsidRPr="00472DA8">
        <w:rPr>
          <w:rFonts w:ascii="Times New Roman" w:hAnsi="Times New Roman"/>
          <w:b/>
          <w:color w:val="000000" w:themeColor="tx1" w:themeShade="FF"/>
          <w:szCs w:val="22"/>
        </w:rPr>
        <w:t>Príjem z administratívnych poplatkov a</w:t>
      </w:r>
      <w:r w:rsidR="001102D4">
        <w:rPr>
          <w:rFonts w:ascii="Times New Roman" w:hAnsi="Times New Roman"/>
          <w:b/>
          <w:color w:val="000000" w:themeColor="tx1" w:themeShade="FF"/>
          <w:szCs w:val="22"/>
        </w:rPr>
        <w:t xml:space="preserve"> </w:t>
      </w:r>
      <w:r w:rsidRPr="00472DA8">
        <w:rPr>
          <w:rFonts w:ascii="Times New Roman" w:hAnsi="Times New Roman"/>
          <w:b/>
          <w:color w:val="000000" w:themeColor="tx1" w:themeShade="FF"/>
          <w:szCs w:val="22"/>
        </w:rPr>
        <w:t>iných poplatkov a</w:t>
      </w:r>
      <w:r w:rsidR="001102D4">
        <w:rPr>
          <w:rFonts w:ascii="Times New Roman" w:hAnsi="Times New Roman"/>
          <w:b/>
          <w:color w:val="000000" w:themeColor="tx1" w:themeShade="FF"/>
          <w:szCs w:val="22"/>
        </w:rPr>
        <w:t xml:space="preserve"> </w:t>
      </w:r>
      <w:r w:rsidRPr="00472DA8">
        <w:rPr>
          <w:rFonts w:ascii="Times New Roman" w:hAnsi="Times New Roman"/>
          <w:b/>
          <w:color w:val="000000" w:themeColor="tx1" w:themeShade="FF"/>
          <w:szCs w:val="22"/>
        </w:rPr>
        <w:t>platieb</w:t>
      </w:r>
      <w:r w:rsidRPr="00472DA8">
        <w:rPr>
          <w:rFonts w:ascii="Times New Roman" w:hAnsi="Times New Roman"/>
          <w:color w:val="000000" w:themeColor="tx1" w:themeShade="FF"/>
          <w:szCs w:val="22"/>
        </w:rPr>
        <w:t xml:space="preserve"> závisí od počtu jednotlivých konaní v priebehu roka. Schválený rozpočet vo výške 328 837 tis. eur dosiahol k 31. 12. 2017 plnenie v sume 365 884 tis. eur, čo je </w:t>
      </w:r>
      <w:r w:rsidR="002B0054">
        <w:rPr>
          <w:rFonts w:ascii="Times New Roman" w:hAnsi="Times New Roman"/>
          <w:color w:val="000000" w:themeColor="tx1" w:themeShade="FF"/>
          <w:szCs w:val="22"/>
        </w:rPr>
        <w:t xml:space="preserve">viac o 37 047 tis. eur a </w:t>
      </w:r>
      <w:r w:rsidRPr="00472DA8">
        <w:rPr>
          <w:rFonts w:ascii="Times New Roman" w:hAnsi="Times New Roman"/>
          <w:color w:val="000000" w:themeColor="tx1" w:themeShade="FF"/>
          <w:szCs w:val="22"/>
        </w:rPr>
        <w:t>v porovnaní s rokom 2016 viac o 28 490 tis. eur.</w:t>
      </w:r>
      <w:r w:rsidR="00A17BBA">
        <w:rPr>
          <w:rFonts w:ascii="Times New Roman" w:hAnsi="Times New Roman"/>
          <w:color w:val="000000" w:themeColor="tx1" w:themeShade="FF"/>
          <w:szCs w:val="22"/>
        </w:rPr>
        <w:t xml:space="preserve"> Medziročný rozdiel v skutočnom plnení bol spôsobený vyšším výberom prostriedkov z pokút, penále a</w:t>
      </w:r>
      <w:r w:rsidR="001D13C4">
        <w:rPr>
          <w:rFonts w:ascii="Times New Roman" w:hAnsi="Times New Roman"/>
          <w:color w:val="000000" w:themeColor="tx1" w:themeShade="FF"/>
          <w:szCs w:val="22"/>
        </w:rPr>
        <w:t xml:space="preserve"> </w:t>
      </w:r>
      <w:r w:rsidR="00A17BBA">
        <w:rPr>
          <w:rFonts w:ascii="Times New Roman" w:hAnsi="Times New Roman"/>
          <w:color w:val="000000" w:themeColor="tx1" w:themeShade="FF"/>
          <w:szCs w:val="22"/>
        </w:rPr>
        <w:t xml:space="preserve">iných sankcií v roku </w:t>
      </w:r>
      <w:r w:rsidR="004C52C0">
        <w:rPr>
          <w:rFonts w:ascii="Times New Roman" w:hAnsi="Times New Roman"/>
          <w:color w:val="000000" w:themeColor="tx1" w:themeShade="FF"/>
          <w:szCs w:val="22"/>
        </w:rPr>
        <w:t>2017 oproti roku 2016</w:t>
      </w:r>
      <w:r w:rsidR="001D13C4">
        <w:rPr>
          <w:rFonts w:ascii="Times New Roman" w:hAnsi="Times New Roman"/>
          <w:color w:val="000000" w:themeColor="tx1" w:themeShade="FF"/>
          <w:szCs w:val="22"/>
        </w:rPr>
        <w:t>,</w:t>
      </w:r>
      <w:r w:rsidR="004C52C0">
        <w:rPr>
          <w:rFonts w:ascii="Times New Roman" w:hAnsi="Times New Roman"/>
          <w:color w:val="000000" w:themeColor="tx1" w:themeShade="FF"/>
          <w:szCs w:val="22"/>
        </w:rPr>
        <w:t xml:space="preserve"> a</w:t>
      </w:r>
      <w:r w:rsidR="001D13C4">
        <w:rPr>
          <w:rFonts w:ascii="Times New Roman" w:hAnsi="Times New Roman"/>
          <w:color w:val="000000" w:themeColor="tx1" w:themeShade="FF"/>
          <w:szCs w:val="22"/>
        </w:rPr>
        <w:t xml:space="preserve"> </w:t>
      </w:r>
      <w:r w:rsidR="004C52C0">
        <w:rPr>
          <w:rFonts w:ascii="Times New Roman" w:hAnsi="Times New Roman"/>
          <w:color w:val="000000" w:themeColor="tx1" w:themeShade="FF"/>
          <w:szCs w:val="22"/>
        </w:rPr>
        <w:t xml:space="preserve">to najmä u Protimonopolného úradu, ktorý </w:t>
      </w:r>
      <w:r w:rsidRPr="00E905CB" w:rsidR="004C52C0">
        <w:rPr>
          <w:rFonts w:ascii="Times New Roman" w:hAnsi="Times New Roman"/>
          <w:color w:val="000000" w:themeColor="tx1" w:themeShade="FF"/>
          <w:szCs w:val="22"/>
        </w:rPr>
        <w:t xml:space="preserve">vyinkasoval sumu 20 801 tis. eur za pokuty, </w:t>
      </w:r>
      <w:r w:rsidRPr="00B54105" w:rsidR="004C52C0">
        <w:rPr>
          <w:rFonts w:ascii="Times New Roman" w:hAnsi="Times New Roman"/>
          <w:color w:val="000000" w:themeColor="tx1" w:themeShade="FF"/>
          <w:szCs w:val="22"/>
        </w:rPr>
        <w:t xml:space="preserve">z toho najviac </w:t>
      </w:r>
      <w:r w:rsidR="006A20B0">
        <w:rPr>
          <w:rFonts w:ascii="Times New Roman" w:hAnsi="Times New Roman"/>
          <w:color w:val="000000" w:themeColor="tx1" w:themeShade="FF"/>
          <w:szCs w:val="22"/>
        </w:rPr>
        <w:br/>
      </w:r>
      <w:r w:rsidRPr="00B54105" w:rsidR="004C52C0">
        <w:rPr>
          <w:rFonts w:ascii="Times New Roman" w:hAnsi="Times New Roman"/>
          <w:color w:val="000000" w:themeColor="tx1" w:themeShade="FF"/>
          <w:szCs w:val="22"/>
        </w:rPr>
        <w:t>od spoločnosti Slovak Telecom, a.s.</w:t>
      </w:r>
      <w:r w:rsidR="004C52C0">
        <w:rPr>
          <w:rFonts w:ascii="Times New Roman" w:hAnsi="Times New Roman"/>
          <w:color w:val="000000" w:themeColor="tx1" w:themeShade="FF"/>
          <w:szCs w:val="22"/>
        </w:rPr>
        <w:t xml:space="preserve"> (17 453 tis. eur).</w:t>
      </w:r>
    </w:p>
    <w:p w:rsidR="00E51230" w:rsidP="00E51230">
      <w:pPr>
        <w:bidi w:val="0"/>
        <w:rPr>
          <w:rFonts w:ascii="Times New Roman" w:hAnsi="Times New Roman"/>
          <w:color w:val="000000" w:themeColor="tx1" w:themeShade="FF"/>
          <w:szCs w:val="22"/>
        </w:rPr>
      </w:pPr>
      <w:r w:rsidRPr="00AC36A6">
        <w:rPr>
          <w:rFonts w:ascii="Times New Roman" w:hAnsi="Times New Roman"/>
          <w:color w:val="000000" w:themeColor="tx1" w:themeShade="FF"/>
          <w:szCs w:val="22"/>
        </w:rPr>
        <w:t xml:space="preserve">Súhrnný prehľad o plnení </w:t>
      </w:r>
      <w:r>
        <w:rPr>
          <w:rFonts w:ascii="Times New Roman" w:hAnsi="Times New Roman"/>
          <w:color w:val="000000" w:themeColor="tx1" w:themeShade="FF"/>
          <w:szCs w:val="22"/>
        </w:rPr>
        <w:t>administratívnych poplatkov a iných poplatkov a platieb</w:t>
      </w:r>
      <w:r w:rsidRPr="00AC36A6">
        <w:rPr>
          <w:rFonts w:ascii="Times New Roman" w:hAnsi="Times New Roman"/>
          <w:color w:val="000000" w:themeColor="tx1" w:themeShade="FF"/>
          <w:szCs w:val="22"/>
        </w:rPr>
        <w:t xml:space="preserve"> poskytuje nasledovná tabuľka:</w:t>
      </w:r>
    </w:p>
    <w:tbl>
      <w:tblPr>
        <w:tblStyle w:val="TableNormal"/>
        <w:tblW w:w="8810" w:type="dxa"/>
        <w:tblInd w:w="80" w:type="dxa"/>
        <w:tblLayout w:type="fixed"/>
        <w:tblCellMar>
          <w:left w:w="70" w:type="dxa"/>
          <w:right w:w="70" w:type="dxa"/>
        </w:tblCellMar>
        <w:tblLook w:val="04A0"/>
      </w:tblPr>
      <w:tblGrid>
        <w:gridCol w:w="2976"/>
        <w:gridCol w:w="949"/>
        <w:gridCol w:w="950"/>
        <w:gridCol w:w="1085"/>
        <w:gridCol w:w="1085"/>
        <w:gridCol w:w="1085"/>
        <w:gridCol w:w="680"/>
      </w:tblGrid>
      <w:tr>
        <w:tblPrEx>
          <w:tblW w:w="8810" w:type="dxa"/>
          <w:tblInd w:w="80" w:type="dxa"/>
          <w:tblLayout w:type="fixed"/>
          <w:tblCellMar>
            <w:left w:w="70" w:type="dxa"/>
            <w:right w:w="70" w:type="dxa"/>
          </w:tblCellMar>
          <w:tblLook w:val="04A0"/>
        </w:tblPrEx>
        <w:trPr>
          <w:trHeight w:val="332"/>
        </w:trPr>
        <w:tc>
          <w:tcPr>
            <w:tcW w:w="8810" w:type="dxa"/>
            <w:gridSpan w:val="7"/>
            <w:tcBorders>
              <w:top w:val="nil"/>
              <w:left w:val="single" w:sz="8" w:space="0" w:color="auto"/>
              <w:bottom w:val="nil"/>
              <w:right w:val="nil"/>
            </w:tcBorders>
            <w:shd w:val="clear" w:color="000000" w:fill="000000"/>
            <w:textDirection w:val="lrTb"/>
            <w:vAlign w:val="center"/>
            <w:hideMark/>
          </w:tcPr>
          <w:p w:rsidR="001D13C4" w:rsidRPr="00211BC5" w:rsidP="00211BC5">
            <w:pPr>
              <w:bidi w:val="0"/>
              <w:spacing w:after="0" w:line="240" w:lineRule="auto"/>
              <w:jc w:val="left"/>
              <w:rPr>
                <w:rFonts w:ascii="Times New Roman" w:hAnsi="Times New Roman"/>
                <w:b/>
                <w:bCs/>
                <w:color w:val="FFFFFF"/>
                <w:sz w:val="18"/>
                <w:szCs w:val="18"/>
                <w:lang w:eastAsia="sk-SK"/>
              </w:rPr>
            </w:pPr>
            <w:bookmarkStart w:id="45" w:name="RANGE!B5:H17"/>
            <w:bookmarkEnd w:id="45"/>
            <w:r w:rsidRPr="00211BC5">
              <w:rPr>
                <w:rFonts w:ascii="Times New Roman" w:hAnsi="Times New Roman"/>
                <w:b/>
                <w:bCs/>
                <w:color w:val="FFFFFF"/>
                <w:sz w:val="18"/>
                <w:szCs w:val="18"/>
                <w:lang w:eastAsia="sk-SK"/>
              </w:rPr>
              <w:t xml:space="preserve">Administratívne poplatky a iné poplatky a platby                                                    </w:t>
            </w:r>
            <w:r w:rsidR="00211BC5">
              <w:rPr>
                <w:rFonts w:ascii="Times New Roman" w:hAnsi="Times New Roman"/>
                <w:b/>
                <w:bCs/>
                <w:color w:val="FFFFFF"/>
                <w:sz w:val="18"/>
                <w:szCs w:val="18"/>
                <w:lang w:eastAsia="sk-SK"/>
              </w:rPr>
              <w:t xml:space="preserve">                   </w:t>
            </w:r>
            <w:r w:rsidRPr="00211BC5">
              <w:rPr>
                <w:rFonts w:ascii="Times New Roman" w:hAnsi="Times New Roman"/>
                <w:b/>
                <w:bCs/>
                <w:color w:val="FFFFFF"/>
                <w:sz w:val="18"/>
                <w:szCs w:val="18"/>
                <w:lang w:eastAsia="sk-SK"/>
              </w:rPr>
              <w:t xml:space="preserve">                             v tis. eur</w:t>
            </w:r>
          </w:p>
        </w:tc>
      </w:tr>
      <w:tr>
        <w:tblPrEx>
          <w:tblW w:w="8810" w:type="dxa"/>
          <w:tblInd w:w="80" w:type="dxa"/>
          <w:tblLayout w:type="fixed"/>
          <w:tblCellMar>
            <w:left w:w="70" w:type="dxa"/>
            <w:right w:w="70" w:type="dxa"/>
          </w:tblCellMar>
          <w:tblLook w:val="04A0"/>
        </w:tblPrEx>
        <w:trPr>
          <w:trHeight w:val="314"/>
        </w:trPr>
        <w:tc>
          <w:tcPr>
            <w:tcW w:w="2976"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left"/>
              <w:rPr>
                <w:rFonts w:ascii="Times New Roman" w:hAnsi="Times New Roman"/>
                <w:b/>
                <w:bCs/>
                <w:color w:val="FFFFFF"/>
                <w:sz w:val="18"/>
                <w:szCs w:val="18"/>
                <w:lang w:eastAsia="sk-SK"/>
              </w:rPr>
            </w:pPr>
            <w:r w:rsidRPr="00211BC5">
              <w:rPr>
                <w:rFonts w:ascii="Times New Roman" w:hAnsi="Times New Roman"/>
                <w:b/>
                <w:bCs/>
                <w:color w:val="FFFFFF"/>
                <w:sz w:val="18"/>
                <w:szCs w:val="18"/>
                <w:lang w:eastAsia="sk-SK"/>
              </w:rPr>
              <w:t> </w:t>
            </w:r>
          </w:p>
        </w:tc>
        <w:tc>
          <w:tcPr>
            <w:tcW w:w="1899" w:type="dxa"/>
            <w:gridSpan w:val="2"/>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Skutočnosť</w:t>
            </w:r>
          </w:p>
        </w:tc>
        <w:tc>
          <w:tcPr>
            <w:tcW w:w="1085"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Rozpočet</w:t>
            </w:r>
          </w:p>
        </w:tc>
        <w:tc>
          <w:tcPr>
            <w:tcW w:w="1085"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Skutočnosť</w:t>
            </w:r>
          </w:p>
        </w:tc>
        <w:tc>
          <w:tcPr>
            <w:tcW w:w="1764" w:type="dxa"/>
            <w:gridSpan w:val="2"/>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Rozdiel</w:t>
            </w:r>
          </w:p>
        </w:tc>
      </w:tr>
      <w:tr>
        <w:tblPrEx>
          <w:tblW w:w="8810" w:type="dxa"/>
          <w:tblInd w:w="80" w:type="dxa"/>
          <w:tblLayout w:type="fixed"/>
          <w:tblCellMar>
            <w:left w:w="70" w:type="dxa"/>
            <w:right w:w="70" w:type="dxa"/>
          </w:tblCellMar>
          <w:tblLook w:val="04A0"/>
        </w:tblPrEx>
        <w:trPr>
          <w:trHeight w:val="314"/>
        </w:trPr>
        <w:tc>
          <w:tcPr>
            <w:tcW w:w="2976"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 </w:t>
            </w:r>
          </w:p>
        </w:tc>
        <w:tc>
          <w:tcPr>
            <w:tcW w:w="949"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2015</w:t>
            </w:r>
          </w:p>
        </w:tc>
        <w:tc>
          <w:tcPr>
            <w:tcW w:w="949"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2016</w:t>
            </w:r>
          </w:p>
        </w:tc>
        <w:tc>
          <w:tcPr>
            <w:tcW w:w="1085"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2017</w:t>
            </w:r>
          </w:p>
        </w:tc>
        <w:tc>
          <w:tcPr>
            <w:tcW w:w="1085"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2017</w:t>
            </w:r>
          </w:p>
        </w:tc>
        <w:tc>
          <w:tcPr>
            <w:tcW w:w="1085"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v tis. eur</w:t>
            </w:r>
          </w:p>
        </w:tc>
        <w:tc>
          <w:tcPr>
            <w:tcW w:w="678" w:type="dxa"/>
            <w:tcBorders>
              <w:top w:val="nil"/>
              <w:left w:val="nil"/>
              <w:bottom w:val="nil"/>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v %</w:t>
            </w:r>
          </w:p>
        </w:tc>
      </w:tr>
      <w:tr>
        <w:tblPrEx>
          <w:tblW w:w="8810" w:type="dxa"/>
          <w:tblInd w:w="80" w:type="dxa"/>
          <w:tblLayout w:type="fixed"/>
          <w:tblCellMar>
            <w:left w:w="70" w:type="dxa"/>
            <w:right w:w="70" w:type="dxa"/>
          </w:tblCellMar>
          <w:tblLook w:val="04A0"/>
        </w:tblPrEx>
        <w:trPr>
          <w:trHeight w:val="314"/>
        </w:trPr>
        <w:tc>
          <w:tcPr>
            <w:tcW w:w="2976"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left"/>
              <w:rPr>
                <w:rFonts w:ascii="Times New Roman" w:hAnsi="Times New Roman"/>
                <w:b/>
                <w:bCs/>
                <w:color w:val="FFFFFF"/>
                <w:sz w:val="18"/>
                <w:szCs w:val="18"/>
                <w:lang w:eastAsia="sk-SK"/>
              </w:rPr>
            </w:pPr>
            <w:r w:rsidRPr="00211BC5">
              <w:rPr>
                <w:rFonts w:ascii="Times New Roman" w:hAnsi="Times New Roman"/>
                <w:b/>
                <w:bCs/>
                <w:color w:val="FFFFFF"/>
                <w:sz w:val="18"/>
                <w:szCs w:val="18"/>
                <w:lang w:eastAsia="sk-SK"/>
              </w:rPr>
              <w:t> </w:t>
            </w:r>
          </w:p>
        </w:tc>
        <w:tc>
          <w:tcPr>
            <w:tcW w:w="949"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1</w:t>
            </w:r>
          </w:p>
        </w:tc>
        <w:tc>
          <w:tcPr>
            <w:tcW w:w="949"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2</w:t>
            </w:r>
          </w:p>
        </w:tc>
        <w:tc>
          <w:tcPr>
            <w:tcW w:w="1085"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3</w:t>
            </w:r>
          </w:p>
        </w:tc>
        <w:tc>
          <w:tcPr>
            <w:tcW w:w="1085"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4</w:t>
            </w:r>
          </w:p>
        </w:tc>
        <w:tc>
          <w:tcPr>
            <w:tcW w:w="1085"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5=4-3</w:t>
            </w:r>
          </w:p>
        </w:tc>
        <w:tc>
          <w:tcPr>
            <w:tcW w:w="678" w:type="dxa"/>
            <w:tcBorders>
              <w:top w:val="nil"/>
              <w:left w:val="nil"/>
              <w:bottom w:val="single" w:sz="8" w:space="0" w:color="auto"/>
              <w:right w:val="nil"/>
            </w:tcBorders>
            <w:shd w:val="clear" w:color="000000" w:fill="BFBFBF"/>
            <w:textDirection w:val="lrTb"/>
            <w:vAlign w:val="center"/>
            <w:hideMark/>
          </w:tcPr>
          <w:p w:rsidR="00DD1989" w:rsidRPr="00211BC5" w:rsidP="00DD1989">
            <w:pPr>
              <w:bidi w:val="0"/>
              <w:spacing w:after="0" w:line="240" w:lineRule="auto"/>
              <w:jc w:val="center"/>
              <w:rPr>
                <w:rFonts w:ascii="Times New Roman" w:hAnsi="Times New Roman"/>
                <w:b/>
                <w:bCs/>
                <w:sz w:val="18"/>
                <w:szCs w:val="18"/>
                <w:lang w:eastAsia="sk-SK"/>
              </w:rPr>
            </w:pPr>
            <w:r w:rsidRPr="00211BC5">
              <w:rPr>
                <w:rFonts w:ascii="Times New Roman" w:hAnsi="Times New Roman"/>
                <w:b/>
                <w:bCs/>
                <w:sz w:val="18"/>
                <w:szCs w:val="18"/>
                <w:lang w:eastAsia="sk-SK"/>
              </w:rPr>
              <w:t>6=4-3</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Administratívne poplatky</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203 095</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219 894</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204 509</w:t>
            </w:r>
          </w:p>
        </w:tc>
        <w:tc>
          <w:tcPr>
            <w:tcW w:w="1085" w:type="dxa"/>
            <w:tcBorders>
              <w:top w:val="nil"/>
              <w:left w:val="nil"/>
              <w:bottom w:val="nil"/>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217 375</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12 866</w:t>
            </w:r>
          </w:p>
        </w:tc>
        <w:tc>
          <w:tcPr>
            <w:tcW w:w="678"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6,3</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5F45B2">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 xml:space="preserve">   Súdne </w:t>
            </w:r>
            <w:r w:rsidR="005F45B2">
              <w:rPr>
                <w:rFonts w:ascii="Times New Roman" w:hAnsi="Times New Roman"/>
                <w:color w:val="000000"/>
                <w:sz w:val="18"/>
                <w:szCs w:val="18"/>
                <w:lang w:eastAsia="sk-SK"/>
              </w:rPr>
              <w:t>a o</w:t>
            </w:r>
            <w:r w:rsidRPr="00211BC5" w:rsidR="005F45B2">
              <w:rPr>
                <w:rFonts w:ascii="Times New Roman" w:hAnsi="Times New Roman"/>
                <w:color w:val="000000"/>
                <w:sz w:val="18"/>
                <w:szCs w:val="18"/>
                <w:lang w:eastAsia="sk-SK"/>
              </w:rPr>
              <w:t xml:space="preserve">statné </w:t>
            </w:r>
            <w:r w:rsidRPr="00211BC5">
              <w:rPr>
                <w:rFonts w:ascii="Times New Roman" w:hAnsi="Times New Roman"/>
                <w:color w:val="000000"/>
                <w:sz w:val="18"/>
                <w:szCs w:val="18"/>
                <w:lang w:eastAsia="sk-SK"/>
              </w:rPr>
              <w:t>poplatky</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005F45B2">
              <w:rPr>
                <w:rFonts w:ascii="Times New Roman" w:hAnsi="Times New Roman"/>
                <w:color w:val="000000"/>
                <w:sz w:val="18"/>
                <w:szCs w:val="18"/>
                <w:lang w:eastAsia="sk-SK"/>
              </w:rPr>
              <w:t>41 292</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005F45B2">
              <w:rPr>
                <w:rFonts w:ascii="Times New Roman" w:hAnsi="Times New Roman"/>
                <w:color w:val="000000"/>
                <w:sz w:val="18"/>
                <w:szCs w:val="18"/>
                <w:lang w:eastAsia="sk-SK"/>
              </w:rPr>
              <w:t>219 145</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005F45B2">
              <w:rPr>
                <w:rFonts w:ascii="Times New Roman" w:hAnsi="Times New Roman"/>
                <w:color w:val="000000"/>
                <w:sz w:val="18"/>
                <w:szCs w:val="18"/>
                <w:lang w:eastAsia="sk-SK"/>
              </w:rPr>
              <w:t>203 809</w:t>
            </w:r>
          </w:p>
        </w:tc>
        <w:tc>
          <w:tcPr>
            <w:tcW w:w="1085" w:type="dxa"/>
            <w:tcBorders>
              <w:top w:val="nil"/>
              <w:left w:val="nil"/>
              <w:bottom w:val="nil"/>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005F45B2">
              <w:rPr>
                <w:rFonts w:ascii="Times New Roman" w:hAnsi="Times New Roman"/>
                <w:color w:val="000000"/>
                <w:sz w:val="18"/>
                <w:szCs w:val="18"/>
                <w:lang w:eastAsia="sk-SK"/>
              </w:rPr>
              <w:t>216 578</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005F45B2">
              <w:rPr>
                <w:rFonts w:ascii="Times New Roman" w:hAnsi="Times New Roman"/>
                <w:color w:val="000000"/>
                <w:sz w:val="18"/>
                <w:szCs w:val="18"/>
                <w:lang w:eastAsia="sk-SK"/>
              </w:rPr>
              <w:t>12 779</w:t>
            </w:r>
          </w:p>
        </w:tc>
        <w:tc>
          <w:tcPr>
            <w:tcW w:w="678" w:type="dxa"/>
            <w:tcBorders>
              <w:top w:val="nil"/>
              <w:left w:val="nil"/>
              <w:bottom w:val="nil"/>
              <w:right w:val="nil"/>
            </w:tcBorders>
            <w:shd w:val="clear" w:color="000000" w:fill="FFFFFF"/>
            <w:textDirection w:val="lrTb"/>
            <w:vAlign w:val="center"/>
            <w:hideMark/>
          </w:tcPr>
          <w:p w:rsidR="00DD1989" w:rsidRPr="00211BC5" w:rsidP="005F45B2">
            <w:pPr>
              <w:bidi w:val="0"/>
              <w:spacing w:after="0" w:line="240" w:lineRule="auto"/>
              <w:jc w:val="right"/>
              <w:rPr>
                <w:rFonts w:ascii="Times New Roman" w:hAnsi="Times New Roman"/>
                <w:color w:val="000000"/>
                <w:sz w:val="18"/>
                <w:szCs w:val="18"/>
                <w:lang w:eastAsia="sk-SK"/>
              </w:rPr>
            </w:pPr>
            <w:r w:rsidR="00622E51">
              <w:rPr>
                <w:rFonts w:ascii="Times New Roman" w:hAnsi="Times New Roman"/>
                <w:color w:val="000000"/>
                <w:sz w:val="18"/>
                <w:szCs w:val="18"/>
                <w:lang w:eastAsia="sk-SK"/>
              </w:rPr>
              <w:t>6,3</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 xml:space="preserve">   Tržby z predaja kolkových známok</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161 006</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x</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x</w:t>
            </w:r>
          </w:p>
        </w:tc>
        <w:tc>
          <w:tcPr>
            <w:tcW w:w="1085" w:type="dxa"/>
            <w:tcBorders>
              <w:top w:val="nil"/>
              <w:left w:val="nil"/>
              <w:bottom w:val="nil"/>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x</w:t>
            </w:r>
          </w:p>
        </w:tc>
        <w:tc>
          <w:tcPr>
            <w:tcW w:w="1085"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x</w:t>
            </w:r>
          </w:p>
        </w:tc>
        <w:tc>
          <w:tcPr>
            <w:tcW w:w="678"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x</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 xml:space="preserve">   Puncové poplatky</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600</w:t>
            </w:r>
          </w:p>
        </w:tc>
        <w:tc>
          <w:tcPr>
            <w:tcW w:w="949"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622</w:t>
            </w:r>
          </w:p>
        </w:tc>
        <w:tc>
          <w:tcPr>
            <w:tcW w:w="1085"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600</w:t>
            </w:r>
          </w:p>
        </w:tc>
        <w:tc>
          <w:tcPr>
            <w:tcW w:w="1085" w:type="dxa"/>
            <w:tcBorders>
              <w:top w:val="nil"/>
              <w:left w:val="nil"/>
              <w:bottom w:val="nil"/>
              <w:right w:val="nil"/>
            </w:tcBorders>
            <w:shd w:val="clear" w:color="000000" w:fill="BFBFB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640</w:t>
            </w:r>
          </w:p>
        </w:tc>
        <w:tc>
          <w:tcPr>
            <w:tcW w:w="1085"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40</w:t>
            </w:r>
          </w:p>
        </w:tc>
        <w:tc>
          <w:tcPr>
            <w:tcW w:w="678"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6,7</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 xml:space="preserve">   Licencie</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197</w:t>
            </w:r>
          </w:p>
        </w:tc>
        <w:tc>
          <w:tcPr>
            <w:tcW w:w="949"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127</w:t>
            </w:r>
          </w:p>
        </w:tc>
        <w:tc>
          <w:tcPr>
            <w:tcW w:w="1085"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100</w:t>
            </w:r>
          </w:p>
        </w:tc>
        <w:tc>
          <w:tcPr>
            <w:tcW w:w="1085" w:type="dxa"/>
            <w:tcBorders>
              <w:top w:val="nil"/>
              <w:left w:val="nil"/>
              <w:bottom w:val="nil"/>
              <w:right w:val="nil"/>
            </w:tcBorders>
            <w:shd w:val="clear" w:color="000000" w:fill="BFBFB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147</w:t>
            </w:r>
          </w:p>
        </w:tc>
        <w:tc>
          <w:tcPr>
            <w:tcW w:w="1085"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47</w:t>
            </w:r>
          </w:p>
        </w:tc>
        <w:tc>
          <w:tcPr>
            <w:tcW w:w="678"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47,0</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Pokuty, penále a iné sankcie</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53 944</w:t>
            </w:r>
          </w:p>
        </w:tc>
        <w:tc>
          <w:tcPr>
            <w:tcW w:w="949"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51 862</w:t>
            </w:r>
          </w:p>
        </w:tc>
        <w:tc>
          <w:tcPr>
            <w:tcW w:w="1085"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71 719</w:t>
            </w:r>
          </w:p>
        </w:tc>
        <w:tc>
          <w:tcPr>
            <w:tcW w:w="1085" w:type="dxa"/>
            <w:tcBorders>
              <w:top w:val="nil"/>
              <w:left w:val="nil"/>
              <w:bottom w:val="nil"/>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81 535</w:t>
            </w:r>
          </w:p>
        </w:tc>
        <w:tc>
          <w:tcPr>
            <w:tcW w:w="1085"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9 816</w:t>
            </w:r>
          </w:p>
        </w:tc>
        <w:tc>
          <w:tcPr>
            <w:tcW w:w="678"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13,7</w:t>
            </w:r>
          </w:p>
        </w:tc>
      </w:tr>
      <w:tr>
        <w:tblPrEx>
          <w:tblW w:w="8810" w:type="dxa"/>
          <w:tblInd w:w="80" w:type="dxa"/>
          <w:tblLayout w:type="fixed"/>
          <w:tblCellMar>
            <w:left w:w="70" w:type="dxa"/>
            <w:right w:w="70" w:type="dxa"/>
          </w:tblCellMar>
          <w:tblLook w:val="04A0"/>
        </w:tblPrEx>
        <w:trPr>
          <w:trHeight w:val="302"/>
        </w:trPr>
        <w:tc>
          <w:tcPr>
            <w:tcW w:w="2976"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color w:val="000000"/>
                <w:sz w:val="18"/>
                <w:szCs w:val="18"/>
                <w:lang w:eastAsia="sk-SK"/>
              </w:rPr>
            </w:pPr>
            <w:r w:rsidRPr="00211BC5">
              <w:rPr>
                <w:rFonts w:ascii="Times New Roman" w:hAnsi="Times New Roman"/>
                <w:color w:val="000000"/>
                <w:sz w:val="18"/>
                <w:szCs w:val="18"/>
                <w:lang w:eastAsia="sk-SK"/>
              </w:rPr>
              <w:t>Poplatky a platby z nepriemyselného a náhod. predaja</w:t>
            </w:r>
          </w:p>
        </w:tc>
        <w:tc>
          <w:tcPr>
            <w:tcW w:w="949" w:type="dxa"/>
            <w:tcBorders>
              <w:top w:val="nil"/>
              <w:left w:val="nil"/>
              <w:bottom w:val="nil"/>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66 495</w:t>
            </w:r>
          </w:p>
        </w:tc>
        <w:tc>
          <w:tcPr>
            <w:tcW w:w="949"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65 638</w:t>
            </w:r>
          </w:p>
        </w:tc>
        <w:tc>
          <w:tcPr>
            <w:tcW w:w="1085" w:type="dxa"/>
            <w:tcBorders>
              <w:top w:val="nil"/>
              <w:left w:val="nil"/>
              <w:bottom w:val="nil"/>
              <w:right w:val="nil"/>
            </w:tcBorders>
            <w:shd w:val="clear" w:color="000000" w:fill="FFFFFF"/>
            <w:noWrap/>
            <w:textDirection w:val="lrTb"/>
            <w:vAlign w:val="center"/>
            <w:hideMark/>
          </w:tcPr>
          <w:p w:rsidR="00DD1989" w:rsidRPr="00211BC5" w:rsidP="005D46D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52 609</w:t>
            </w:r>
          </w:p>
        </w:tc>
        <w:tc>
          <w:tcPr>
            <w:tcW w:w="1085" w:type="dxa"/>
            <w:tcBorders>
              <w:top w:val="nil"/>
              <w:left w:val="nil"/>
              <w:bottom w:val="nil"/>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66 974</w:t>
            </w:r>
          </w:p>
        </w:tc>
        <w:tc>
          <w:tcPr>
            <w:tcW w:w="1085"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14 365</w:t>
            </w:r>
          </w:p>
        </w:tc>
        <w:tc>
          <w:tcPr>
            <w:tcW w:w="678" w:type="dxa"/>
            <w:tcBorders>
              <w:top w:val="nil"/>
              <w:left w:val="nil"/>
              <w:bottom w:val="nil"/>
              <w:right w:val="nil"/>
            </w:tcBorders>
            <w:shd w:val="clear" w:color="000000" w:fill="FFFFFF"/>
            <w:textDirection w:val="lrTb"/>
            <w:vAlign w:val="center"/>
            <w:hideMark/>
          </w:tcPr>
          <w:p w:rsidR="00DD1989" w:rsidRPr="00211BC5" w:rsidP="00DD1989">
            <w:pPr>
              <w:bidi w:val="0"/>
              <w:spacing w:after="0" w:line="240" w:lineRule="auto"/>
              <w:jc w:val="right"/>
              <w:rPr>
                <w:rFonts w:ascii="Times New Roman" w:hAnsi="Times New Roman"/>
                <w:color w:val="000000"/>
                <w:sz w:val="18"/>
                <w:szCs w:val="18"/>
                <w:lang w:eastAsia="sk-SK"/>
              </w:rPr>
            </w:pPr>
            <w:r w:rsidRPr="00211BC5">
              <w:rPr>
                <w:rFonts w:ascii="Times New Roman" w:hAnsi="Times New Roman"/>
                <w:color w:val="000000"/>
                <w:sz w:val="18"/>
                <w:szCs w:val="18"/>
                <w:lang w:eastAsia="sk-SK"/>
              </w:rPr>
              <w:t>27,3</w:t>
            </w:r>
          </w:p>
        </w:tc>
      </w:tr>
      <w:tr>
        <w:tblPrEx>
          <w:tblW w:w="8810" w:type="dxa"/>
          <w:tblInd w:w="80" w:type="dxa"/>
          <w:tblLayout w:type="fixed"/>
          <w:tblCellMar>
            <w:left w:w="70" w:type="dxa"/>
            <w:right w:w="70" w:type="dxa"/>
          </w:tblCellMar>
          <w:tblLook w:val="04A0"/>
        </w:tblPrEx>
        <w:trPr>
          <w:trHeight w:val="302"/>
        </w:trPr>
        <w:tc>
          <w:tcPr>
            <w:tcW w:w="2976"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lef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Spolu</w:t>
            </w:r>
          </w:p>
        </w:tc>
        <w:tc>
          <w:tcPr>
            <w:tcW w:w="949"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323 534</w:t>
            </w:r>
          </w:p>
        </w:tc>
        <w:tc>
          <w:tcPr>
            <w:tcW w:w="949"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337 394</w:t>
            </w:r>
          </w:p>
        </w:tc>
        <w:tc>
          <w:tcPr>
            <w:tcW w:w="1085"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328 837</w:t>
            </w:r>
          </w:p>
        </w:tc>
        <w:tc>
          <w:tcPr>
            <w:tcW w:w="1085" w:type="dxa"/>
            <w:tcBorders>
              <w:top w:val="single" w:sz="4" w:space="0" w:color="auto"/>
              <w:left w:val="nil"/>
              <w:bottom w:val="single" w:sz="8" w:space="0" w:color="auto"/>
              <w:right w:val="nil"/>
            </w:tcBorders>
            <w:shd w:val="clear" w:color="000000" w:fill="BFBFB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365 884</w:t>
            </w:r>
          </w:p>
        </w:tc>
        <w:tc>
          <w:tcPr>
            <w:tcW w:w="1085"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37 047</w:t>
            </w:r>
          </w:p>
        </w:tc>
        <w:tc>
          <w:tcPr>
            <w:tcW w:w="678" w:type="dxa"/>
            <w:tcBorders>
              <w:top w:val="single" w:sz="4" w:space="0" w:color="auto"/>
              <w:left w:val="nil"/>
              <w:bottom w:val="single" w:sz="8" w:space="0" w:color="auto"/>
              <w:right w:val="nil"/>
            </w:tcBorders>
            <w:shd w:val="clear" w:color="000000" w:fill="FFFFFF"/>
            <w:noWrap/>
            <w:textDirection w:val="lrTb"/>
            <w:vAlign w:val="center"/>
            <w:hideMark/>
          </w:tcPr>
          <w:p w:rsidR="00DD1989" w:rsidRPr="00211BC5" w:rsidP="00DD1989">
            <w:pPr>
              <w:bidi w:val="0"/>
              <w:spacing w:after="0" w:line="240" w:lineRule="auto"/>
              <w:jc w:val="right"/>
              <w:rPr>
                <w:rFonts w:ascii="Times New Roman" w:hAnsi="Times New Roman"/>
                <w:b/>
                <w:bCs/>
                <w:color w:val="000000"/>
                <w:sz w:val="18"/>
                <w:szCs w:val="18"/>
                <w:lang w:eastAsia="sk-SK"/>
              </w:rPr>
            </w:pPr>
            <w:r w:rsidRPr="00211BC5">
              <w:rPr>
                <w:rFonts w:ascii="Times New Roman" w:hAnsi="Times New Roman"/>
                <w:b/>
                <w:bCs/>
                <w:color w:val="000000"/>
                <w:sz w:val="18"/>
                <w:szCs w:val="18"/>
                <w:lang w:eastAsia="sk-SK"/>
              </w:rPr>
              <w:t>11,3</w:t>
            </w:r>
          </w:p>
        </w:tc>
      </w:tr>
    </w:tbl>
    <w:p w:rsidR="00E51230" w:rsidRPr="00012E11" w:rsidP="006436EF">
      <w:pPr>
        <w:suppressAutoHyphens/>
        <w:bidi w:val="0"/>
        <w:jc w:val="right"/>
        <w:rPr>
          <w:rFonts w:ascii="Times New Roman" w:hAnsi="Times New Roman"/>
          <w:color w:val="000000" w:themeColor="tx1" w:themeShade="FF"/>
          <w:sz w:val="18"/>
          <w:szCs w:val="18"/>
        </w:rPr>
      </w:pPr>
      <w:r w:rsidRPr="003921B2">
        <w:rPr>
          <w:rFonts w:ascii="Times New Roman" w:hAnsi="Times New Roman"/>
          <w:color w:val="000000" w:themeColor="tx1" w:themeShade="FF"/>
          <w:sz w:val="18"/>
          <w:szCs w:val="18"/>
        </w:rPr>
        <w:t>Zdroj: MF SR</w:t>
      </w:r>
    </w:p>
    <w:p w:rsidR="005F45B2" w:rsidP="00E51230">
      <w:pPr>
        <w:tabs>
          <w:tab w:val="left" w:pos="284"/>
        </w:tabs>
        <w:suppressAutoHyphens/>
        <w:bidi w:val="0"/>
        <w:spacing w:line="360" w:lineRule="auto"/>
        <w:rPr>
          <w:rFonts w:ascii="Times New Roman" w:hAnsi="Times New Roman"/>
          <w:color w:val="000000" w:themeColor="tx1" w:themeShade="FF"/>
          <w:szCs w:val="22"/>
        </w:rPr>
      </w:pPr>
      <w:r w:rsidRPr="00D5535D" w:rsidR="00E51230">
        <w:rPr>
          <w:rFonts w:ascii="Times New Roman" w:hAnsi="Times New Roman"/>
          <w:color w:val="000000" w:themeColor="tx1" w:themeShade="FF"/>
          <w:szCs w:val="22"/>
        </w:rPr>
        <w:t xml:space="preserve">V rámci tejto kategórie dosiahli najvyšší príjem </w:t>
      </w:r>
      <w:r w:rsidRPr="00D5535D" w:rsidR="00E51230">
        <w:rPr>
          <w:rFonts w:ascii="Times New Roman" w:hAnsi="Times New Roman"/>
          <w:b/>
          <w:i/>
          <w:color w:val="000000" w:themeColor="tx1" w:themeShade="FF"/>
          <w:szCs w:val="22"/>
        </w:rPr>
        <w:t>administratívne poplatky</w:t>
      </w:r>
      <w:r w:rsidRPr="00D5535D" w:rsidR="00E51230">
        <w:rPr>
          <w:rFonts w:ascii="Times New Roman" w:hAnsi="Times New Roman"/>
          <w:color w:val="000000" w:themeColor="tx1" w:themeShade="FF"/>
          <w:szCs w:val="22"/>
        </w:rPr>
        <w:t xml:space="preserve">, a to čiastku 217 375 tis. eur. </w:t>
      </w:r>
      <w:r w:rsidRPr="004F3386" w:rsidR="00E51230">
        <w:rPr>
          <w:rFonts w:ascii="Times New Roman" w:hAnsi="Times New Roman"/>
          <w:color w:val="000000" w:themeColor="tx1" w:themeShade="FF"/>
          <w:szCs w:val="22"/>
        </w:rPr>
        <w:t xml:space="preserve">Z nich </w:t>
      </w:r>
      <w:r w:rsidRPr="005F45B2">
        <w:rPr>
          <w:rFonts w:ascii="Times New Roman" w:hAnsi="Times New Roman"/>
          <w:i/>
          <w:color w:val="000000" w:themeColor="tx1" w:themeShade="FF"/>
          <w:szCs w:val="22"/>
        </w:rPr>
        <w:t xml:space="preserve">súdne </w:t>
      </w:r>
      <w:r>
        <w:rPr>
          <w:rFonts w:ascii="Times New Roman" w:hAnsi="Times New Roman"/>
          <w:i/>
          <w:color w:val="000000" w:themeColor="tx1" w:themeShade="FF"/>
          <w:szCs w:val="22"/>
        </w:rPr>
        <w:t xml:space="preserve">a </w:t>
      </w:r>
      <w:r w:rsidRPr="005F45B2" w:rsidR="00E51230">
        <w:rPr>
          <w:rFonts w:ascii="Times New Roman" w:hAnsi="Times New Roman"/>
          <w:i/>
          <w:color w:val="000000" w:themeColor="tx1" w:themeShade="FF"/>
          <w:szCs w:val="22"/>
        </w:rPr>
        <w:t>o</w:t>
      </w:r>
      <w:r w:rsidRPr="004F3386" w:rsidR="00E51230">
        <w:rPr>
          <w:rFonts w:ascii="Times New Roman" w:hAnsi="Times New Roman"/>
          <w:i/>
          <w:color w:val="000000" w:themeColor="tx1" w:themeShade="FF"/>
          <w:szCs w:val="22"/>
        </w:rPr>
        <w:t>statné poplatky</w:t>
      </w:r>
      <w:r w:rsidRPr="004F3386" w:rsidR="00E51230">
        <w:rPr>
          <w:rFonts w:ascii="Times New Roman" w:hAnsi="Times New Roman"/>
          <w:color w:val="000000" w:themeColor="tx1" w:themeShade="FF"/>
          <w:szCs w:val="22"/>
        </w:rPr>
        <w:t xml:space="preserve"> boli vyinkasované v objeme 216 </w:t>
      </w:r>
      <w:r>
        <w:rPr>
          <w:rFonts w:ascii="Times New Roman" w:hAnsi="Times New Roman"/>
          <w:color w:val="000000" w:themeColor="tx1" w:themeShade="FF"/>
          <w:szCs w:val="22"/>
        </w:rPr>
        <w:t>578</w:t>
      </w:r>
      <w:r w:rsidRPr="004F3386" w:rsidR="00E51230">
        <w:rPr>
          <w:rFonts w:ascii="Times New Roman" w:hAnsi="Times New Roman"/>
          <w:color w:val="000000" w:themeColor="tx1" w:themeShade="FF"/>
          <w:szCs w:val="22"/>
        </w:rPr>
        <w:t> tis. eur (</w:t>
      </w:r>
      <w:r>
        <w:rPr>
          <w:rFonts w:ascii="Times New Roman" w:hAnsi="Times New Roman"/>
          <w:color w:val="000000" w:themeColor="tx1" w:themeShade="FF"/>
          <w:szCs w:val="22"/>
        </w:rPr>
        <w:t>z </w:t>
      </w:r>
      <w:r w:rsidR="001102D4">
        <w:rPr>
          <w:rFonts w:ascii="Times New Roman" w:hAnsi="Times New Roman"/>
          <w:color w:val="000000" w:themeColor="tx1" w:themeShade="FF"/>
          <w:szCs w:val="22"/>
        </w:rPr>
        <w:t>toho</w:t>
      </w:r>
      <w:r w:rsidRPr="004F3386" w:rsidR="00E51230">
        <w:rPr>
          <w:rFonts w:ascii="Times New Roman" w:hAnsi="Times New Roman"/>
          <w:color w:val="000000" w:themeColor="tx1" w:themeShade="FF"/>
          <w:szCs w:val="22"/>
        </w:rPr>
        <w:t xml:space="preserve"> Všeobecná pokladničná správa 204 096 tis. eur).</w:t>
      </w:r>
      <w:r w:rsidRPr="008C1D81" w:rsidR="00E51230">
        <w:rPr>
          <w:rFonts w:ascii="Times New Roman" w:hAnsi="Times New Roman"/>
          <w:color w:val="FF0000"/>
          <w:szCs w:val="22"/>
        </w:rPr>
        <w:t xml:space="preserve"> </w:t>
      </w:r>
      <w:r w:rsidRPr="00C71CEE" w:rsidR="00E51230">
        <w:rPr>
          <w:rFonts w:ascii="Times New Roman" w:hAnsi="Times New Roman"/>
          <w:color w:val="000000" w:themeColor="tx1" w:themeShade="FF"/>
          <w:szCs w:val="22"/>
        </w:rPr>
        <w:t xml:space="preserve">Patria sem napr. </w:t>
      </w:r>
      <w:r>
        <w:rPr>
          <w:rFonts w:ascii="Times New Roman" w:hAnsi="Times New Roman"/>
          <w:color w:val="000000" w:themeColor="tx1" w:themeShade="FF"/>
          <w:szCs w:val="22"/>
        </w:rPr>
        <w:t xml:space="preserve">súdne poplatky (31 363 tis. eur) a ostatné </w:t>
      </w:r>
      <w:r w:rsidRPr="00C71CEE" w:rsidR="00E51230">
        <w:rPr>
          <w:rFonts w:ascii="Times New Roman" w:hAnsi="Times New Roman"/>
          <w:color w:val="000000" w:themeColor="tx1" w:themeShade="FF"/>
          <w:szCs w:val="22"/>
        </w:rPr>
        <w:t xml:space="preserve">správne poplatky, paušálne náhrady za udeľovanie víz, udržiavacie poplatky za patent </w:t>
      </w:r>
      <w:r>
        <w:rPr>
          <w:rFonts w:ascii="Times New Roman" w:hAnsi="Times New Roman"/>
          <w:color w:val="000000" w:themeColor="tx1" w:themeShade="FF"/>
          <w:szCs w:val="22"/>
        </w:rPr>
        <w:t>(172 642 tis. eur)</w:t>
      </w:r>
      <w:r w:rsidRPr="00C71CEE" w:rsidR="00E51230">
        <w:rPr>
          <w:rFonts w:ascii="Times New Roman" w:hAnsi="Times New Roman"/>
          <w:color w:val="000000" w:themeColor="tx1" w:themeShade="FF"/>
          <w:szCs w:val="22"/>
        </w:rPr>
        <w:t xml:space="preserve">. </w:t>
      </w:r>
    </w:p>
    <w:p w:rsidR="00E51230" w:rsidRPr="00AE043B" w:rsidP="00E51230">
      <w:pPr>
        <w:tabs>
          <w:tab w:val="left" w:pos="284"/>
        </w:tabs>
        <w:suppressAutoHyphens/>
        <w:bidi w:val="0"/>
        <w:spacing w:line="360" w:lineRule="auto"/>
        <w:rPr>
          <w:rFonts w:ascii="Times New Roman" w:hAnsi="Times New Roman"/>
          <w:color w:val="000000" w:themeColor="tx1" w:themeShade="FF"/>
          <w:szCs w:val="22"/>
        </w:rPr>
      </w:pPr>
      <w:r w:rsidRPr="00AE043B">
        <w:rPr>
          <w:rFonts w:ascii="Times New Roman" w:hAnsi="Times New Roman"/>
          <w:i/>
          <w:color w:val="000000" w:themeColor="tx1" w:themeShade="FF"/>
          <w:szCs w:val="22"/>
        </w:rPr>
        <w:t>Puncové poplatky</w:t>
      </w:r>
      <w:r w:rsidRPr="00AE043B">
        <w:rPr>
          <w:rFonts w:ascii="Times New Roman" w:hAnsi="Times New Roman"/>
          <w:color w:val="000000" w:themeColor="tx1" w:themeShade="FF"/>
          <w:szCs w:val="22"/>
        </w:rPr>
        <w:t xml:space="preserve"> boli dosiahnuté len v kapitole Ministerstva hospodárstva SR v celkovej čiastke 640 tis. eur.</w:t>
      </w:r>
    </w:p>
    <w:p w:rsidR="00E51230" w:rsidRPr="001914AC" w:rsidP="00E51230">
      <w:pPr>
        <w:tabs>
          <w:tab w:val="left" w:pos="284"/>
        </w:tabs>
        <w:suppressAutoHyphens/>
        <w:bidi w:val="0"/>
        <w:spacing w:line="360" w:lineRule="auto"/>
        <w:rPr>
          <w:rFonts w:ascii="Times New Roman" w:hAnsi="Times New Roman"/>
          <w:color w:val="000000" w:themeColor="tx1" w:themeShade="FF"/>
          <w:szCs w:val="22"/>
        </w:rPr>
      </w:pPr>
      <w:r w:rsidRPr="001914AC">
        <w:rPr>
          <w:rFonts w:ascii="Times New Roman" w:hAnsi="Times New Roman"/>
          <w:color w:val="000000" w:themeColor="tx1" w:themeShade="FF"/>
          <w:szCs w:val="22"/>
        </w:rPr>
        <w:t>Príjem z </w:t>
      </w:r>
      <w:r w:rsidRPr="001914AC">
        <w:rPr>
          <w:rFonts w:ascii="Times New Roman" w:hAnsi="Times New Roman"/>
          <w:i/>
          <w:color w:val="000000" w:themeColor="tx1" w:themeShade="FF"/>
          <w:szCs w:val="22"/>
        </w:rPr>
        <w:t>licencií</w:t>
      </w:r>
      <w:r w:rsidRPr="001914AC">
        <w:rPr>
          <w:rFonts w:ascii="Times New Roman" w:hAnsi="Times New Roman"/>
          <w:color w:val="000000" w:themeColor="tx1" w:themeShade="FF"/>
          <w:szCs w:val="22"/>
        </w:rPr>
        <w:t xml:space="preserve"> (v zmysle § 16 zákona č. 171/2005 Z. z. o hazardných hrách a</w:t>
      </w:r>
      <w:r w:rsidR="001102D4">
        <w:rPr>
          <w:rFonts w:ascii="Times New Roman" w:hAnsi="Times New Roman"/>
          <w:color w:val="000000" w:themeColor="tx1" w:themeShade="FF"/>
          <w:szCs w:val="22"/>
        </w:rPr>
        <w:t xml:space="preserve"> </w:t>
      </w:r>
      <w:r w:rsidRPr="001914AC">
        <w:rPr>
          <w:rFonts w:ascii="Times New Roman" w:hAnsi="Times New Roman"/>
          <w:color w:val="000000" w:themeColor="tx1" w:themeShade="FF"/>
          <w:szCs w:val="22"/>
        </w:rPr>
        <w:t>o zmene a</w:t>
      </w:r>
      <w:r w:rsidR="001102D4">
        <w:rPr>
          <w:rFonts w:ascii="Times New Roman" w:hAnsi="Times New Roman"/>
          <w:color w:val="000000" w:themeColor="tx1" w:themeShade="FF"/>
          <w:szCs w:val="22"/>
        </w:rPr>
        <w:t xml:space="preserve"> </w:t>
      </w:r>
      <w:r w:rsidRPr="001914AC">
        <w:rPr>
          <w:rFonts w:ascii="Times New Roman" w:hAnsi="Times New Roman"/>
          <w:color w:val="000000" w:themeColor="tx1" w:themeShade="FF"/>
          <w:szCs w:val="22"/>
        </w:rPr>
        <w:t>doplnení niektorých zákonov)</w:t>
      </w:r>
      <w:r w:rsidRPr="001914AC">
        <w:rPr>
          <w:rFonts w:ascii="Times New Roman" w:hAnsi="Times New Roman"/>
          <w:color w:val="000000" w:themeColor="tx1" w:themeShade="FF"/>
        </w:rPr>
        <w:t xml:space="preserve"> </w:t>
      </w:r>
      <w:r w:rsidRPr="001914AC">
        <w:rPr>
          <w:rFonts w:ascii="Times New Roman" w:hAnsi="Times New Roman"/>
          <w:color w:val="000000" w:themeColor="tx1" w:themeShade="FF"/>
          <w:szCs w:val="22"/>
        </w:rPr>
        <w:t>bol v kapitole Všeobecná pokladničná správa v sume 147 tis. eur.</w:t>
      </w:r>
    </w:p>
    <w:p w:rsidR="00E51230" w:rsidP="00E51230">
      <w:pPr>
        <w:bidi w:val="0"/>
        <w:spacing w:line="360" w:lineRule="auto"/>
        <w:rPr>
          <w:rFonts w:ascii="Times New Roman" w:hAnsi="Times New Roman"/>
          <w:color w:val="000000" w:themeColor="tx1" w:themeShade="FF"/>
          <w:szCs w:val="22"/>
        </w:rPr>
      </w:pPr>
      <w:r w:rsidRPr="002F77DF">
        <w:rPr>
          <w:rFonts w:ascii="Times New Roman" w:hAnsi="Times New Roman"/>
          <w:color w:val="000000" w:themeColor="tx1" w:themeShade="FF"/>
          <w:szCs w:val="22"/>
        </w:rPr>
        <w:t xml:space="preserve">Okrem administratívnych poplatkov patria do tejto kategórie príjmov aj </w:t>
      </w:r>
      <w:r w:rsidR="001102D4">
        <w:rPr>
          <w:rFonts w:ascii="Times New Roman" w:hAnsi="Times New Roman"/>
          <w:b/>
          <w:i/>
          <w:color w:val="000000" w:themeColor="tx1" w:themeShade="FF"/>
          <w:szCs w:val="22"/>
        </w:rPr>
        <w:t xml:space="preserve">pokuty, penále a </w:t>
      </w:r>
      <w:r w:rsidRPr="002F77DF">
        <w:rPr>
          <w:rFonts w:ascii="Times New Roman" w:hAnsi="Times New Roman"/>
          <w:b/>
          <w:i/>
          <w:color w:val="000000" w:themeColor="tx1" w:themeShade="FF"/>
          <w:szCs w:val="22"/>
        </w:rPr>
        <w:t>iné sankcie</w:t>
      </w:r>
      <w:r w:rsidRPr="002F77DF">
        <w:rPr>
          <w:rFonts w:ascii="Times New Roman" w:hAnsi="Times New Roman"/>
          <w:color w:val="000000" w:themeColor="tx1" w:themeShade="FF"/>
          <w:szCs w:val="22"/>
        </w:rPr>
        <w:t xml:space="preserve">. Vznikajú </w:t>
      </w:r>
      <w:r w:rsidRPr="002F77DF">
        <w:rPr>
          <w:rFonts w:ascii="Times New Roman" w:hAnsi="Times New Roman"/>
          <w:color w:val="000000" w:themeColor="tx1" w:themeShade="FF"/>
        </w:rPr>
        <w:t>v súvislosti s porušením zákona o rozpočtových pravidlách, z porušenia daňových, cenových,</w:t>
      </w:r>
      <w:r w:rsidR="001545D9">
        <w:rPr>
          <w:rFonts w:ascii="Times New Roman" w:hAnsi="Times New Roman"/>
          <w:color w:val="000000" w:themeColor="tx1" w:themeShade="FF"/>
        </w:rPr>
        <w:t xml:space="preserve"> </w:t>
      </w:r>
      <w:r w:rsidRPr="002F77DF">
        <w:rPr>
          <w:rFonts w:ascii="Times New Roman" w:hAnsi="Times New Roman"/>
          <w:color w:val="000000" w:themeColor="tx1" w:themeShade="FF"/>
        </w:rPr>
        <w:t>colných a</w:t>
      </w:r>
      <w:r w:rsidR="001545D9">
        <w:rPr>
          <w:rFonts w:ascii="Times New Roman" w:hAnsi="Times New Roman"/>
          <w:color w:val="000000" w:themeColor="tx1" w:themeShade="FF"/>
        </w:rPr>
        <w:t xml:space="preserve"> </w:t>
      </w:r>
      <w:r w:rsidRPr="002F77DF">
        <w:rPr>
          <w:rFonts w:ascii="Times New Roman" w:hAnsi="Times New Roman"/>
          <w:color w:val="000000" w:themeColor="tx1" w:themeShade="FF"/>
        </w:rPr>
        <w:t>ostatných predpisov.</w:t>
      </w:r>
      <w:r w:rsidRPr="002F77DF">
        <w:rPr>
          <w:rFonts w:ascii="Times New Roman" w:hAnsi="Times New Roman"/>
          <w:color w:val="000000" w:themeColor="tx1" w:themeShade="FF"/>
          <w:szCs w:val="22"/>
        </w:rPr>
        <w:t xml:space="preserve"> Tieto dosiahli </w:t>
      </w:r>
      <w:r w:rsidR="001102D4">
        <w:rPr>
          <w:rFonts w:ascii="Times New Roman" w:hAnsi="Times New Roman"/>
          <w:color w:val="000000" w:themeColor="tx1" w:themeShade="FF"/>
          <w:szCs w:val="22"/>
        </w:rPr>
        <w:t>k 31. 12. 2017 sumu 81 535 tis. </w:t>
      </w:r>
      <w:r w:rsidR="0064349F">
        <w:rPr>
          <w:rFonts w:ascii="Times New Roman" w:hAnsi="Times New Roman"/>
          <w:color w:val="000000" w:themeColor="tx1" w:themeShade="FF"/>
          <w:szCs w:val="22"/>
        </w:rPr>
        <w:t>eur</w:t>
      </w:r>
      <w:r w:rsidRPr="002F77DF">
        <w:rPr>
          <w:rFonts w:ascii="Times New Roman" w:hAnsi="Times New Roman"/>
          <w:color w:val="000000" w:themeColor="tx1" w:themeShade="FF"/>
          <w:szCs w:val="22"/>
        </w:rPr>
        <w:t xml:space="preserve">. </w:t>
      </w:r>
    </w:p>
    <w:p w:rsidR="00E51230" w:rsidRPr="00E905CB" w:rsidP="00E51230">
      <w:pPr>
        <w:bidi w:val="0"/>
        <w:spacing w:line="360" w:lineRule="auto"/>
        <w:rPr>
          <w:rFonts w:ascii="Times New Roman" w:hAnsi="Times New Roman"/>
          <w:color w:val="000000" w:themeColor="tx1" w:themeShade="FF"/>
          <w:szCs w:val="22"/>
        </w:rPr>
      </w:pPr>
      <w:r w:rsidRPr="007526D9">
        <w:rPr>
          <w:rFonts w:ascii="Times New Roman" w:hAnsi="Times New Roman"/>
          <w:color w:val="000000" w:themeColor="tx1" w:themeShade="FF"/>
          <w:szCs w:val="22"/>
        </w:rPr>
        <w:t>Najväčší podiel</w:t>
      </w:r>
      <w:r>
        <w:rPr>
          <w:rFonts w:ascii="Times New Roman" w:hAnsi="Times New Roman"/>
          <w:color w:val="000000" w:themeColor="tx1" w:themeShade="FF"/>
          <w:szCs w:val="22"/>
        </w:rPr>
        <w:t xml:space="preserve"> v rámci položky pokuty, penále a iné sankcie</w:t>
      </w:r>
      <w:r w:rsidRPr="007526D9">
        <w:rPr>
          <w:rFonts w:ascii="Times New Roman" w:hAnsi="Times New Roman"/>
          <w:color w:val="000000" w:themeColor="tx1" w:themeShade="FF"/>
          <w:szCs w:val="22"/>
        </w:rPr>
        <w:t xml:space="preserve"> pripadol na kapitolu Ministerstva vnútra SR (35 12</w:t>
      </w:r>
      <w:r>
        <w:rPr>
          <w:rFonts w:ascii="Times New Roman" w:hAnsi="Times New Roman"/>
          <w:color w:val="000000" w:themeColor="tx1" w:themeShade="FF"/>
          <w:szCs w:val="22"/>
        </w:rPr>
        <w:t>4</w:t>
      </w:r>
      <w:r w:rsidRPr="007526D9">
        <w:rPr>
          <w:rFonts w:ascii="Times New Roman" w:hAnsi="Times New Roman"/>
          <w:color w:val="000000" w:themeColor="tx1" w:themeShade="FF"/>
          <w:szCs w:val="22"/>
        </w:rPr>
        <w:t> tis. eur</w:t>
      </w:r>
      <w:r w:rsidRPr="00E905CB">
        <w:rPr>
          <w:rFonts w:ascii="Times New Roman" w:hAnsi="Times New Roman"/>
          <w:color w:val="000000" w:themeColor="tx1" w:themeShade="FF"/>
          <w:szCs w:val="22"/>
        </w:rPr>
        <w:t>), kde išlo o príjmy od fyzických a</w:t>
      </w:r>
      <w:r w:rsidR="001102D4">
        <w:rPr>
          <w:rFonts w:ascii="Times New Roman" w:hAnsi="Times New Roman"/>
          <w:color w:val="000000" w:themeColor="tx1" w:themeShade="FF"/>
          <w:szCs w:val="22"/>
        </w:rPr>
        <w:t xml:space="preserve"> </w:t>
      </w:r>
      <w:r w:rsidRPr="00E905CB">
        <w:rPr>
          <w:rFonts w:ascii="Times New Roman" w:hAnsi="Times New Roman"/>
          <w:color w:val="000000" w:themeColor="tx1" w:themeShade="FF"/>
          <w:szCs w:val="22"/>
        </w:rPr>
        <w:t>právnických osôb najmä za uložené pokuty</w:t>
      </w:r>
      <w:r w:rsidR="0015313D">
        <w:rPr>
          <w:rFonts w:ascii="Times New Roman" w:hAnsi="Times New Roman"/>
          <w:color w:val="000000" w:themeColor="tx1" w:themeShade="FF"/>
          <w:szCs w:val="22"/>
        </w:rPr>
        <w:t>,</w:t>
      </w:r>
      <w:r w:rsidRPr="00E905CB">
        <w:rPr>
          <w:rFonts w:ascii="Times New Roman" w:hAnsi="Times New Roman"/>
          <w:color w:val="000000" w:themeColor="tx1" w:themeShade="FF"/>
          <w:szCs w:val="22"/>
        </w:rPr>
        <w:t xml:space="preserve"> a to za dopravné priestupky, za pokuty z objektívnej zodpovednosti – za dopravné priestupky, za diaľničné známky, za mýto, za emisnú a technickú kontrolu</w:t>
      </w:r>
      <w:r>
        <w:rPr>
          <w:rFonts w:ascii="Times New Roman" w:hAnsi="Times New Roman"/>
          <w:color w:val="000000" w:themeColor="tx1" w:themeShade="FF"/>
          <w:szCs w:val="22"/>
        </w:rPr>
        <w:t>.</w:t>
      </w:r>
      <w:r w:rsidRPr="00E905CB">
        <w:rPr>
          <w:rFonts w:ascii="Times New Roman" w:hAnsi="Times New Roman"/>
          <w:color w:val="000000" w:themeColor="tx1" w:themeShade="FF"/>
          <w:szCs w:val="22"/>
        </w:rPr>
        <w:t xml:space="preserve"> </w:t>
      </w:r>
      <w:r w:rsidR="00B76748">
        <w:rPr>
          <w:rFonts w:ascii="Times New Roman" w:hAnsi="Times New Roman"/>
          <w:color w:val="000000" w:themeColor="tx1" w:themeShade="FF"/>
          <w:szCs w:val="22"/>
        </w:rPr>
        <w:t>Tieto pokuty uložili najmä krajské riaditeľstvá poli</w:t>
      </w:r>
      <w:r w:rsidR="001A3F4B">
        <w:rPr>
          <w:rFonts w:ascii="Times New Roman" w:hAnsi="Times New Roman"/>
          <w:color w:val="000000" w:themeColor="tx1" w:themeShade="FF"/>
          <w:szCs w:val="22"/>
        </w:rPr>
        <w:t>cajného zboru (26 793 tis. eur) a</w:t>
      </w:r>
      <w:r w:rsidR="00B76748">
        <w:rPr>
          <w:rFonts w:ascii="Times New Roman" w:hAnsi="Times New Roman"/>
          <w:color w:val="000000" w:themeColor="tx1" w:themeShade="FF"/>
          <w:szCs w:val="22"/>
        </w:rPr>
        <w:t xml:space="preserve"> </w:t>
      </w:r>
      <w:r w:rsidR="00BE7350">
        <w:rPr>
          <w:rFonts w:ascii="Times New Roman" w:hAnsi="Times New Roman"/>
          <w:color w:val="000000" w:themeColor="tx1" w:themeShade="FF"/>
          <w:szCs w:val="22"/>
        </w:rPr>
        <w:t>okresné úrady (7 161 tis. eur).</w:t>
      </w:r>
      <w:r w:rsidR="001A3F4B">
        <w:rPr>
          <w:rFonts w:ascii="Times New Roman" w:hAnsi="Times New Roman"/>
          <w:color w:val="000000" w:themeColor="tx1" w:themeShade="FF"/>
          <w:szCs w:val="22"/>
        </w:rPr>
        <w:t xml:space="preserve"> </w:t>
      </w:r>
    </w:p>
    <w:p w:rsidR="00E51230" w:rsidP="00E51230">
      <w:pPr>
        <w:bidi w:val="0"/>
        <w:spacing w:line="360" w:lineRule="auto"/>
        <w:rPr>
          <w:rFonts w:ascii="Times New Roman" w:hAnsi="Times New Roman"/>
          <w:color w:val="000000" w:themeColor="tx1" w:themeShade="FF"/>
          <w:szCs w:val="22"/>
        </w:rPr>
      </w:pPr>
      <w:r w:rsidRPr="00E905CB">
        <w:rPr>
          <w:rFonts w:ascii="Times New Roman" w:hAnsi="Times New Roman"/>
          <w:color w:val="000000" w:themeColor="tx1" w:themeShade="FF"/>
          <w:szCs w:val="22"/>
        </w:rPr>
        <w:t xml:space="preserve">Protimonopolný úrad SR vyinkasoval sumu 20 801 tis. eur za pokuty, </w:t>
      </w:r>
      <w:r w:rsidRPr="00B54105">
        <w:rPr>
          <w:rFonts w:ascii="Times New Roman" w:hAnsi="Times New Roman"/>
          <w:color w:val="000000" w:themeColor="tx1" w:themeShade="FF"/>
          <w:szCs w:val="22"/>
        </w:rPr>
        <w:t>z toho najviac od spoločnosti Slovak Telecom, a.s.</w:t>
      </w:r>
      <w:r w:rsidR="005869E7">
        <w:rPr>
          <w:rFonts w:ascii="Times New Roman" w:hAnsi="Times New Roman"/>
          <w:color w:val="000000" w:themeColor="tx1" w:themeShade="FF"/>
          <w:szCs w:val="22"/>
        </w:rPr>
        <w:t xml:space="preserve"> (17 453 tis. eur)</w:t>
      </w:r>
      <w:r>
        <w:rPr>
          <w:rFonts w:ascii="Times New Roman" w:hAnsi="Times New Roman"/>
          <w:color w:val="000000" w:themeColor="tx1" w:themeShade="FF"/>
          <w:szCs w:val="22"/>
        </w:rPr>
        <w:t xml:space="preserve">, Ministerstvo financií SR získalo príjem z pokút vo výške 8 310 tis. eur od platobnej jednotky MF SR a od Úradu vládneho auditu. </w:t>
      </w:r>
      <w:r w:rsidRPr="007F51A3">
        <w:rPr>
          <w:rFonts w:ascii="Times New Roman" w:hAnsi="Times New Roman"/>
          <w:color w:val="000000" w:themeColor="tx1" w:themeShade="FF"/>
          <w:szCs w:val="22"/>
        </w:rPr>
        <w:t xml:space="preserve">Ministerstvo práce, sociálnych vecí a rodiny SR dosiahlo </w:t>
      </w:r>
      <w:r w:rsidRPr="000672E1">
        <w:rPr>
          <w:rFonts w:ascii="Times New Roman" w:hAnsi="Times New Roman"/>
          <w:color w:val="000000" w:themeColor="tx1" w:themeShade="FF"/>
          <w:szCs w:val="22"/>
        </w:rPr>
        <w:t xml:space="preserve">príjem 7 228 tis. eur najmä z blokových pokút a pokút </w:t>
      </w:r>
      <w:r w:rsidR="00127817">
        <w:rPr>
          <w:rFonts w:ascii="Times New Roman" w:hAnsi="Times New Roman"/>
          <w:color w:val="000000" w:themeColor="tx1" w:themeShade="FF"/>
          <w:szCs w:val="22"/>
        </w:rPr>
        <w:br/>
      </w:r>
      <w:r w:rsidRPr="000672E1">
        <w:rPr>
          <w:rFonts w:ascii="Times New Roman" w:hAnsi="Times New Roman"/>
          <w:color w:val="000000" w:themeColor="tx1" w:themeShade="FF"/>
          <w:szCs w:val="22"/>
        </w:rPr>
        <w:t>za porušovanie pracovnoprávnych predpisov na zaistenie bezpečnosti a ochrany zdravia pri práci, odvody za neplnenie povinného podielu zamestnávania občanov so zdravotným postihnutím podľa § 65 zákona č. 5/2004 Z.</w:t>
      </w:r>
      <w:r w:rsidR="00E0337D">
        <w:rPr>
          <w:rFonts w:ascii="Times New Roman" w:hAnsi="Times New Roman"/>
          <w:color w:val="000000" w:themeColor="tx1" w:themeShade="FF"/>
          <w:szCs w:val="22"/>
        </w:rPr>
        <w:t xml:space="preserve"> </w:t>
      </w:r>
      <w:r w:rsidRPr="000672E1">
        <w:rPr>
          <w:rFonts w:ascii="Times New Roman" w:hAnsi="Times New Roman"/>
          <w:color w:val="000000" w:themeColor="tx1" w:themeShade="FF"/>
          <w:szCs w:val="22"/>
        </w:rPr>
        <w:t>z. o službách zamestnanosti a pokuty ukladané úradmi práce.</w:t>
      </w:r>
    </w:p>
    <w:p w:rsidR="000152A0" w:rsidP="000152A0">
      <w:pPr>
        <w:bidi w:val="0"/>
        <w:rPr>
          <w:rFonts w:ascii="Times New Roman" w:hAnsi="Times New Roman"/>
          <w:szCs w:val="22"/>
        </w:rPr>
      </w:pPr>
      <w:r w:rsidRPr="000672E1" w:rsidR="00E51230">
        <w:rPr>
          <w:rFonts w:ascii="Times New Roman" w:hAnsi="Times New Roman"/>
          <w:color w:val="000000" w:themeColor="tx1" w:themeShade="FF"/>
          <w:szCs w:val="22"/>
        </w:rPr>
        <w:t>Ministerstvo pôdohospodárstva a rozvoja vidieka SR prijalo sumu 2 673 tis. eur vo forme</w:t>
      </w:r>
      <w:r w:rsidRPr="000672E1" w:rsidR="00E51230">
        <w:rPr>
          <w:rFonts w:ascii="Times New Roman" w:hAnsi="Times New Roman"/>
          <w:szCs w:val="22"/>
        </w:rPr>
        <w:t xml:space="preserve"> pokút, penále a iných sankcií za veterinárne úkony, ktoré v rámci svojej pôsobnosti vykonáva Štátna veterinárna a potravinová správa SR. Ďalšie príjmy plynuli za fytosanitárne úkony</w:t>
      </w:r>
      <w:r>
        <w:rPr>
          <w:rStyle w:val="FootnoteReference"/>
          <w:rFonts w:ascii="Times New Roman" w:hAnsi="Times New Roman"/>
          <w:szCs w:val="22"/>
          <w:rtl w:val="0"/>
        </w:rPr>
        <w:footnoteReference w:id="14"/>
      </w:r>
      <w:r w:rsidRPr="000672E1" w:rsidR="00E51230">
        <w:rPr>
          <w:rFonts w:ascii="Times New Roman" w:hAnsi="Times New Roman"/>
          <w:szCs w:val="22"/>
        </w:rPr>
        <w:t xml:space="preserve">, ktoré zabezpečuje Ústredný kontrolný a skúšobný ústav poľnohospodársky SR. </w:t>
      </w:r>
    </w:p>
    <w:p w:rsidR="00E51230" w:rsidRPr="000672E1" w:rsidP="00E51230">
      <w:pPr>
        <w:bidi w:val="0"/>
        <w:spacing w:line="360" w:lineRule="auto"/>
        <w:rPr>
          <w:rFonts w:ascii="Times New Roman" w:hAnsi="Times New Roman"/>
          <w:szCs w:val="22"/>
        </w:rPr>
      </w:pPr>
      <w:r>
        <w:rPr>
          <w:rFonts w:ascii="Times New Roman" w:hAnsi="Times New Roman"/>
          <w:szCs w:val="22"/>
        </w:rPr>
        <w:t>Ostatné</w:t>
      </w:r>
      <w:r w:rsidRPr="000672E1">
        <w:rPr>
          <w:rFonts w:ascii="Times New Roman" w:hAnsi="Times New Roman"/>
          <w:szCs w:val="22"/>
        </w:rPr>
        <w:t xml:space="preserve"> príjmy</w:t>
      </w:r>
      <w:r>
        <w:rPr>
          <w:rFonts w:ascii="Times New Roman" w:hAnsi="Times New Roman"/>
          <w:szCs w:val="22"/>
        </w:rPr>
        <w:t xml:space="preserve"> boli</w:t>
      </w:r>
      <w:r w:rsidRPr="000672E1">
        <w:rPr>
          <w:rFonts w:ascii="Times New Roman" w:hAnsi="Times New Roman"/>
          <w:szCs w:val="22"/>
        </w:rPr>
        <w:t xml:space="preserve"> za porušenie predpisov vyrubené v súlade s platnou legislatívou kontrolnými orgánmi (Plemenárska inšpekcia, Pôdo</w:t>
      </w:r>
      <w:r w:rsidR="006436EF">
        <w:rPr>
          <w:rFonts w:ascii="Times New Roman" w:hAnsi="Times New Roman"/>
          <w:szCs w:val="22"/>
        </w:rPr>
        <w:t xml:space="preserve">hospodárska platobná agentúra a </w:t>
      </w:r>
      <w:r w:rsidR="00F16F14">
        <w:rPr>
          <w:rFonts w:ascii="Times New Roman" w:hAnsi="Times New Roman"/>
          <w:szCs w:val="22"/>
        </w:rPr>
        <w:t>aparát ministerstva) a ostatnými subjektami verejnej správy.</w:t>
      </w:r>
    </w:p>
    <w:p w:rsidR="00E51230" w:rsidRPr="00661931" w:rsidP="00E51230">
      <w:pPr>
        <w:bidi w:val="0"/>
        <w:spacing w:line="360" w:lineRule="auto"/>
        <w:rPr>
          <w:rFonts w:ascii="Times New Roman" w:hAnsi="Times New Roman"/>
          <w:color w:val="000000" w:themeColor="tx1" w:themeShade="FF"/>
          <w:szCs w:val="22"/>
        </w:rPr>
      </w:pPr>
      <w:r w:rsidRPr="00CA6A9E">
        <w:rPr>
          <w:rFonts w:ascii="Times New Roman" w:hAnsi="Times New Roman"/>
          <w:b/>
          <w:i/>
          <w:color w:val="000000" w:themeColor="tx1" w:themeShade="FF"/>
          <w:szCs w:val="22"/>
        </w:rPr>
        <w:t>Poplatky a platby z nepriemyselného a náhodného predaja</w:t>
      </w:r>
      <w:r w:rsidRPr="00CA6A9E">
        <w:rPr>
          <w:rFonts w:ascii="Times New Roman" w:hAnsi="Times New Roman"/>
          <w:color w:val="000000" w:themeColor="tx1" w:themeShade="FF"/>
          <w:szCs w:val="22"/>
        </w:rPr>
        <w:t xml:space="preserve"> prijali kapitoly v celkovej čiastke 66 974 tis. eur, z toho najviac za predaj výrobkov, tovarov a</w:t>
      </w:r>
      <w:r>
        <w:rPr>
          <w:rFonts w:ascii="Times New Roman" w:hAnsi="Times New Roman"/>
          <w:color w:val="000000" w:themeColor="tx1" w:themeShade="FF"/>
          <w:szCs w:val="22"/>
        </w:rPr>
        <w:t> </w:t>
      </w:r>
      <w:r w:rsidRPr="00CA6A9E">
        <w:rPr>
          <w:rFonts w:ascii="Times New Roman" w:hAnsi="Times New Roman"/>
          <w:color w:val="000000" w:themeColor="tx1" w:themeShade="FF"/>
          <w:szCs w:val="22"/>
        </w:rPr>
        <w:t>služieb</w:t>
      </w:r>
      <w:r>
        <w:rPr>
          <w:rFonts w:ascii="Times New Roman" w:hAnsi="Times New Roman"/>
          <w:color w:val="000000" w:themeColor="tx1" w:themeShade="FF"/>
          <w:szCs w:val="22"/>
        </w:rPr>
        <w:t xml:space="preserve"> (51 157 tis. eur)</w:t>
      </w:r>
      <w:r w:rsidRPr="00CA6A9E">
        <w:rPr>
          <w:rFonts w:ascii="Times New Roman" w:hAnsi="Times New Roman"/>
          <w:color w:val="000000" w:themeColor="tx1" w:themeShade="FF"/>
          <w:szCs w:val="22"/>
        </w:rPr>
        <w:t>.</w:t>
      </w:r>
      <w:r w:rsidRPr="00E51230">
        <w:rPr>
          <w:rFonts w:ascii="Times New Roman" w:hAnsi="Times New Roman"/>
          <w:color w:val="000000" w:themeColor="tx1" w:themeShade="FF"/>
          <w:szCs w:val="22"/>
        </w:rPr>
        <w:t xml:space="preserve"> </w:t>
      </w:r>
      <w:r w:rsidRPr="0044046D">
        <w:rPr>
          <w:rFonts w:ascii="Times New Roman" w:hAnsi="Times New Roman"/>
          <w:color w:val="000000" w:themeColor="tx1" w:themeShade="FF"/>
          <w:szCs w:val="22"/>
        </w:rPr>
        <w:t>Ministerstvo dopravy</w:t>
      </w:r>
      <w:r>
        <w:rPr>
          <w:rFonts w:ascii="Times New Roman" w:hAnsi="Times New Roman"/>
          <w:color w:val="000000" w:themeColor="tx1" w:themeShade="FF"/>
          <w:szCs w:val="22"/>
        </w:rPr>
        <w:t xml:space="preserve"> a</w:t>
      </w:r>
      <w:r w:rsidRPr="0044046D">
        <w:rPr>
          <w:rFonts w:ascii="Times New Roman" w:hAnsi="Times New Roman"/>
          <w:color w:val="000000" w:themeColor="tx1" w:themeShade="FF"/>
          <w:szCs w:val="22"/>
        </w:rPr>
        <w:t xml:space="preserve"> výstavby SR získalo sumu 19 322 tis. eur</w:t>
      </w:r>
      <w:r>
        <w:rPr>
          <w:rFonts w:ascii="Times New Roman" w:hAnsi="Times New Roman"/>
          <w:color w:val="000000" w:themeColor="tx1" w:themeShade="FF"/>
          <w:szCs w:val="22"/>
        </w:rPr>
        <w:t xml:space="preserve"> najmä</w:t>
      </w:r>
      <w:r w:rsidRPr="0044046D">
        <w:rPr>
          <w:rFonts w:ascii="Times New Roman" w:hAnsi="Times New Roman"/>
          <w:color w:val="000000" w:themeColor="tx1" w:themeShade="FF"/>
          <w:szCs w:val="22"/>
        </w:rPr>
        <w:t xml:space="preserve"> </w:t>
      </w:r>
      <w:r w:rsidRPr="00661931">
        <w:rPr>
          <w:rFonts w:ascii="Times New Roman" w:hAnsi="Times New Roman"/>
          <w:color w:val="000000" w:themeColor="tx1" w:themeShade="FF"/>
          <w:szCs w:val="22"/>
        </w:rPr>
        <w:t xml:space="preserve">za správu frekvencií, technickú reguláciu, z výnosov z mýta na koncesných cestách NDS, a.s., za údržbu a opravu vozoviek a iné. </w:t>
      </w:r>
    </w:p>
    <w:p w:rsidR="00E51230" w:rsidRPr="00E51230" w:rsidP="00E51230">
      <w:pPr>
        <w:bidi w:val="0"/>
        <w:spacing w:line="360" w:lineRule="auto"/>
        <w:rPr>
          <w:rFonts w:ascii="Times New Roman" w:hAnsi="Times New Roman"/>
          <w:color w:val="000000" w:themeColor="tx1" w:themeShade="FF"/>
          <w:szCs w:val="22"/>
        </w:rPr>
      </w:pPr>
      <w:r w:rsidRPr="00E569C5">
        <w:rPr>
          <w:rFonts w:ascii="Times New Roman" w:hAnsi="Times New Roman"/>
          <w:color w:val="000000" w:themeColor="tx1" w:themeShade="FF"/>
          <w:szCs w:val="22"/>
        </w:rPr>
        <w:t>Ministerstvo vnútra SR</w:t>
      </w:r>
      <w:r>
        <w:rPr>
          <w:rFonts w:ascii="Times New Roman" w:hAnsi="Times New Roman"/>
          <w:color w:val="000000" w:themeColor="tx1" w:themeShade="FF"/>
          <w:szCs w:val="22"/>
        </w:rPr>
        <w:t xml:space="preserve"> prijalo čiastku 17 015 tis. eur, </w:t>
      </w:r>
      <w:r w:rsidRPr="00AC3DA1">
        <w:rPr>
          <w:rFonts w:ascii="Times New Roman" w:hAnsi="Times New Roman"/>
          <w:color w:val="000000" w:themeColor="tx1" w:themeShade="FF"/>
          <w:szCs w:val="22"/>
        </w:rPr>
        <w:t xml:space="preserve">z toho suma </w:t>
      </w:r>
      <w:r w:rsidR="00511310">
        <w:rPr>
          <w:rFonts w:ascii="Times New Roman" w:hAnsi="Times New Roman"/>
          <w:color w:val="000000" w:themeColor="tx1" w:themeShade="FF"/>
          <w:szCs w:val="22"/>
        </w:rPr>
        <w:t>11 091 </w:t>
      </w:r>
      <w:r w:rsidR="006436EF">
        <w:rPr>
          <w:rFonts w:ascii="Times New Roman" w:hAnsi="Times New Roman"/>
          <w:color w:val="000000" w:themeColor="tx1" w:themeShade="FF"/>
          <w:szCs w:val="22"/>
        </w:rPr>
        <w:t xml:space="preserve">tis. eur predstavovala </w:t>
      </w:r>
      <w:r w:rsidRPr="00AC3DA1">
        <w:rPr>
          <w:rFonts w:ascii="Times New Roman" w:hAnsi="Times New Roman"/>
          <w:color w:val="000000" w:themeColor="tx1" w:themeShade="FF"/>
          <w:szCs w:val="22"/>
        </w:rPr>
        <w:t>prostriedky za stravu poskytovanú zamestnávateľom hradenú zamestnancami alebo bývalými zamestnancami Ministerstva vnútra SR (v zmysle Zákonníka práce alebo kolektívnej zmluvy) a</w:t>
      </w:r>
      <w:r w:rsidR="001102D4">
        <w:rPr>
          <w:rFonts w:ascii="Times New Roman" w:hAnsi="Times New Roman"/>
          <w:color w:val="000000" w:themeColor="tx1" w:themeShade="FF"/>
          <w:szCs w:val="22"/>
        </w:rPr>
        <w:t xml:space="preserve"> </w:t>
      </w:r>
      <w:r w:rsidRPr="00AC3DA1">
        <w:rPr>
          <w:rFonts w:ascii="Times New Roman" w:hAnsi="Times New Roman"/>
          <w:color w:val="000000" w:themeColor="tx1" w:themeShade="FF"/>
          <w:szCs w:val="22"/>
        </w:rPr>
        <w:t xml:space="preserve">taktiež sú tu vedené príspevky na stravovanie zamestnancov zo sociálneho fondu. </w:t>
      </w:r>
      <w:r w:rsidRPr="00D02259">
        <w:rPr>
          <w:rFonts w:ascii="Times New Roman" w:hAnsi="Times New Roman"/>
          <w:color w:val="000000" w:themeColor="tx1" w:themeShade="FF"/>
          <w:szCs w:val="22"/>
        </w:rPr>
        <w:t xml:space="preserve">Ďalšia suma vo výške </w:t>
      </w:r>
      <w:r w:rsidR="0071570D">
        <w:rPr>
          <w:rFonts w:ascii="Times New Roman" w:hAnsi="Times New Roman"/>
          <w:color w:val="000000" w:themeColor="tx1" w:themeShade="FF"/>
          <w:szCs w:val="22"/>
        </w:rPr>
        <w:t>5 924</w:t>
      </w:r>
      <w:r w:rsidRPr="00D02259">
        <w:rPr>
          <w:rFonts w:ascii="Times New Roman" w:hAnsi="Times New Roman"/>
          <w:color w:val="000000" w:themeColor="tx1" w:themeShade="FF"/>
          <w:szCs w:val="22"/>
        </w:rPr>
        <w:t xml:space="preserve"> tis. eur predstavovala príjmy za napojenie na pulty centrálnej ochrany, príjmy </w:t>
      </w:r>
      <w:r w:rsidR="00127817">
        <w:rPr>
          <w:rFonts w:ascii="Times New Roman" w:hAnsi="Times New Roman"/>
          <w:color w:val="000000" w:themeColor="tx1" w:themeShade="FF"/>
          <w:szCs w:val="22"/>
        </w:rPr>
        <w:br/>
      </w:r>
      <w:r w:rsidRPr="00D02259">
        <w:rPr>
          <w:rFonts w:ascii="Times New Roman" w:hAnsi="Times New Roman"/>
          <w:color w:val="000000" w:themeColor="tx1" w:themeShade="FF"/>
          <w:szCs w:val="22"/>
        </w:rPr>
        <w:t xml:space="preserve">za fyzickú ochranu prevozu rádioaktívneho odpadu, príjmy za policajný doprovod, príjmy za znalecké posudky a iné. </w:t>
      </w:r>
    </w:p>
    <w:p w:rsidR="00E51230" w:rsidRPr="00E51230" w:rsidP="00FB3B91">
      <w:pPr>
        <w:bidi w:val="0"/>
        <w:rPr>
          <w:rFonts w:ascii="Times New Roman" w:hAnsi="Times New Roman"/>
          <w:color w:val="000000" w:themeColor="tx1" w:themeShade="FF"/>
          <w:szCs w:val="22"/>
        </w:rPr>
      </w:pPr>
      <w:r>
        <w:rPr>
          <w:rFonts w:ascii="Times New Roman" w:hAnsi="Times New Roman"/>
          <w:color w:val="000000" w:themeColor="tx1" w:themeShade="FF"/>
          <w:szCs w:val="22"/>
        </w:rPr>
        <w:t>Ministerstvo</w:t>
      </w:r>
      <w:r w:rsidR="006436EF">
        <w:rPr>
          <w:rFonts w:ascii="Times New Roman" w:hAnsi="Times New Roman"/>
          <w:color w:val="000000" w:themeColor="tx1" w:themeShade="FF"/>
          <w:szCs w:val="22"/>
        </w:rPr>
        <w:t xml:space="preserve"> </w:t>
      </w:r>
      <w:r w:rsidRPr="00E569C5">
        <w:rPr>
          <w:rFonts w:ascii="Times New Roman" w:hAnsi="Times New Roman"/>
          <w:color w:val="000000" w:themeColor="tx1" w:themeShade="FF"/>
          <w:szCs w:val="22"/>
        </w:rPr>
        <w:t>spravodlivosti SR prijalo sumu 15 030 tis. eur</w:t>
      </w:r>
      <w:r w:rsidRPr="00E51230">
        <w:rPr>
          <w:rFonts w:ascii="Times New Roman" w:hAnsi="Times New Roman"/>
          <w:color w:val="000000" w:themeColor="tx1" w:themeShade="FF"/>
          <w:szCs w:val="22"/>
        </w:rPr>
        <w:t xml:space="preserve"> </w:t>
      </w:r>
      <w:r w:rsidRPr="003339D1">
        <w:rPr>
          <w:rFonts w:ascii="Times New Roman" w:hAnsi="Times New Roman"/>
          <w:color w:val="000000" w:themeColor="tx1" w:themeShade="FF"/>
          <w:szCs w:val="22"/>
        </w:rPr>
        <w:t>najmä za právne služby, náhrady trov preddavkované zo štátneho rozpočtu (svedočné, znalecké a tlmočnícke úkony), príjmy za lekárske výkony Zboru väzenskej a justičnej stráže a iné.</w:t>
      </w:r>
    </w:p>
    <w:p w:rsidR="00E51230" w:rsidRPr="00200260" w:rsidP="00FB3B91">
      <w:pPr>
        <w:bidi w:val="0"/>
        <w:rPr>
          <w:rFonts w:ascii="Times New Roman" w:hAnsi="Times New Roman"/>
          <w:color w:val="000000" w:themeColor="tx1" w:themeShade="FF"/>
          <w:szCs w:val="22"/>
        </w:rPr>
      </w:pPr>
      <w:r w:rsidRPr="00247E52">
        <w:rPr>
          <w:rFonts w:ascii="Times New Roman" w:hAnsi="Times New Roman"/>
          <w:color w:val="000000" w:themeColor="tx1" w:themeShade="FF"/>
          <w:szCs w:val="22"/>
        </w:rPr>
        <w:t xml:space="preserve">Ministerstvo pôdohospodárstva </w:t>
      </w:r>
      <w:r w:rsidR="003C0828">
        <w:rPr>
          <w:rFonts w:ascii="Times New Roman" w:hAnsi="Times New Roman"/>
          <w:color w:val="000000" w:themeColor="tx1" w:themeShade="FF"/>
          <w:szCs w:val="22"/>
        </w:rPr>
        <w:t>a</w:t>
      </w:r>
      <w:r w:rsidR="006436EF">
        <w:rPr>
          <w:rFonts w:ascii="Times New Roman" w:hAnsi="Times New Roman"/>
          <w:color w:val="000000" w:themeColor="tx1" w:themeShade="FF"/>
          <w:szCs w:val="22"/>
        </w:rPr>
        <w:t xml:space="preserve"> </w:t>
      </w:r>
      <w:r w:rsidR="003C0828">
        <w:rPr>
          <w:rFonts w:ascii="Times New Roman" w:hAnsi="Times New Roman"/>
          <w:color w:val="000000" w:themeColor="tx1" w:themeShade="FF"/>
          <w:szCs w:val="22"/>
        </w:rPr>
        <w:t xml:space="preserve">rozvoja vidieka </w:t>
      </w:r>
      <w:r w:rsidRPr="00247E52">
        <w:rPr>
          <w:rFonts w:ascii="Times New Roman" w:hAnsi="Times New Roman"/>
          <w:color w:val="000000" w:themeColor="tx1" w:themeShade="FF"/>
          <w:szCs w:val="22"/>
        </w:rPr>
        <w:t>SR získalo sumu 4 733 tis. eur</w:t>
      </w:r>
      <w:r w:rsidRPr="008C1D81">
        <w:rPr>
          <w:rFonts w:ascii="Times New Roman" w:hAnsi="Times New Roman"/>
          <w:color w:val="FF0000"/>
          <w:szCs w:val="22"/>
        </w:rPr>
        <w:t xml:space="preserve"> </w:t>
      </w:r>
      <w:r w:rsidRPr="00200260">
        <w:rPr>
          <w:rFonts w:ascii="Times New Roman" w:hAnsi="Times New Roman"/>
          <w:color w:val="000000" w:themeColor="tx1" w:themeShade="FF"/>
          <w:szCs w:val="22"/>
        </w:rPr>
        <w:t xml:space="preserve">najmä </w:t>
      </w:r>
      <w:r w:rsidR="00127817">
        <w:rPr>
          <w:rFonts w:ascii="Times New Roman" w:hAnsi="Times New Roman"/>
          <w:color w:val="000000" w:themeColor="tx1" w:themeShade="FF"/>
          <w:szCs w:val="22"/>
        </w:rPr>
        <w:br/>
      </w:r>
      <w:r w:rsidRPr="00200260">
        <w:rPr>
          <w:rFonts w:ascii="Times New Roman" w:hAnsi="Times New Roman"/>
          <w:color w:val="000000" w:themeColor="tx1" w:themeShade="FF"/>
          <w:szCs w:val="22"/>
        </w:rPr>
        <w:t>za fytosanitárne úkony realizované Ústredným kontrolným a</w:t>
      </w:r>
      <w:r w:rsidR="006436EF">
        <w:rPr>
          <w:rFonts w:ascii="Times New Roman" w:hAnsi="Times New Roman"/>
          <w:color w:val="000000" w:themeColor="tx1" w:themeShade="FF"/>
          <w:szCs w:val="22"/>
        </w:rPr>
        <w:t xml:space="preserve"> </w:t>
      </w:r>
      <w:r w:rsidRPr="00200260">
        <w:rPr>
          <w:rFonts w:ascii="Times New Roman" w:hAnsi="Times New Roman"/>
          <w:color w:val="000000" w:themeColor="tx1" w:themeShade="FF"/>
          <w:szCs w:val="22"/>
        </w:rPr>
        <w:t>skúšobným ústavom poľnohospodárskym v</w:t>
      </w:r>
      <w:r>
        <w:rPr>
          <w:rFonts w:ascii="Times New Roman" w:hAnsi="Times New Roman"/>
          <w:color w:val="000000" w:themeColor="tx1" w:themeShade="FF"/>
          <w:szCs w:val="22"/>
        </w:rPr>
        <w:t> </w:t>
      </w:r>
      <w:r w:rsidRPr="00200260">
        <w:rPr>
          <w:rFonts w:ascii="Times New Roman" w:hAnsi="Times New Roman"/>
          <w:color w:val="000000" w:themeColor="tx1" w:themeShade="FF"/>
          <w:szCs w:val="22"/>
        </w:rPr>
        <w:t>Bratislave</w:t>
      </w:r>
      <w:r>
        <w:rPr>
          <w:rFonts w:ascii="Times New Roman" w:hAnsi="Times New Roman"/>
          <w:color w:val="000000" w:themeColor="tx1" w:themeShade="FF"/>
          <w:szCs w:val="22"/>
        </w:rPr>
        <w:t>. Ďalšie príjmy plynuli z realizácie veterinárnych výkonov, inšpekcie a</w:t>
      </w:r>
      <w:r w:rsidR="00DF1A1A">
        <w:rPr>
          <w:rFonts w:ascii="Times New Roman" w:hAnsi="Times New Roman"/>
          <w:color w:val="000000" w:themeColor="tx1" w:themeShade="FF"/>
          <w:szCs w:val="22"/>
        </w:rPr>
        <w:t xml:space="preserve"> </w:t>
      </w:r>
      <w:r>
        <w:rPr>
          <w:rFonts w:ascii="Times New Roman" w:hAnsi="Times New Roman"/>
          <w:color w:val="000000" w:themeColor="tx1" w:themeShade="FF"/>
          <w:szCs w:val="22"/>
        </w:rPr>
        <w:t>kontrol, ktoré r</w:t>
      </w:r>
      <w:r w:rsidR="006436EF">
        <w:rPr>
          <w:rFonts w:ascii="Times New Roman" w:hAnsi="Times New Roman"/>
          <w:color w:val="000000" w:themeColor="tx1" w:themeShade="FF"/>
          <w:szCs w:val="22"/>
        </w:rPr>
        <w:t xml:space="preserve">ealizovala Štátna veterinárna a </w:t>
      </w:r>
      <w:r>
        <w:rPr>
          <w:rFonts w:ascii="Times New Roman" w:hAnsi="Times New Roman"/>
          <w:color w:val="000000" w:themeColor="tx1" w:themeShade="FF"/>
          <w:szCs w:val="22"/>
        </w:rPr>
        <w:t>potravinová správa SR.</w:t>
      </w:r>
    </w:p>
    <w:p w:rsidR="00E51230" w:rsidP="002B0054">
      <w:pPr>
        <w:tabs>
          <w:tab w:val="left" w:pos="284"/>
        </w:tabs>
        <w:suppressAutoHyphens/>
        <w:bidi w:val="0"/>
        <w:rPr>
          <w:rFonts w:ascii="Times New Roman" w:hAnsi="Times New Roman"/>
          <w:color w:val="000000" w:themeColor="tx1" w:themeShade="FF"/>
          <w:szCs w:val="22"/>
        </w:rPr>
      </w:pPr>
      <w:r w:rsidRPr="006068E7">
        <w:rPr>
          <w:rFonts w:ascii="Times New Roman" w:hAnsi="Times New Roman"/>
          <w:b/>
          <w:color w:val="000000" w:themeColor="tx1" w:themeShade="FF"/>
          <w:szCs w:val="22"/>
        </w:rPr>
        <w:t xml:space="preserve">Kapitálové príjmy </w:t>
      </w:r>
      <w:r w:rsidRPr="006068E7">
        <w:rPr>
          <w:rFonts w:ascii="Times New Roman" w:hAnsi="Times New Roman"/>
          <w:color w:val="000000" w:themeColor="tx1" w:themeShade="FF"/>
          <w:szCs w:val="22"/>
        </w:rPr>
        <w:t xml:space="preserve">sú príjmy z predaja </w:t>
      </w:r>
      <w:r w:rsidR="00F16082">
        <w:rPr>
          <w:rFonts w:ascii="Times New Roman" w:hAnsi="Times New Roman"/>
          <w:color w:val="000000" w:themeColor="tx1" w:themeShade="FF"/>
          <w:szCs w:val="22"/>
        </w:rPr>
        <w:t xml:space="preserve">pozemkov a nehmotných aktív </w:t>
      </w:r>
      <w:r w:rsidRPr="006068E7" w:rsidR="00F16082">
        <w:rPr>
          <w:rFonts w:ascii="Times New Roman" w:hAnsi="Times New Roman"/>
          <w:color w:val="000000" w:themeColor="tx1" w:themeShade="FF"/>
          <w:szCs w:val="22"/>
        </w:rPr>
        <w:t>v správe jednotlivých kapitol štátneho rozpočtu</w:t>
      </w:r>
      <w:r w:rsidR="00F16082">
        <w:rPr>
          <w:rFonts w:ascii="Times New Roman" w:hAnsi="Times New Roman"/>
          <w:color w:val="000000" w:themeColor="tx1" w:themeShade="FF"/>
          <w:szCs w:val="22"/>
        </w:rPr>
        <w:t>, z kapitálových aktív a z vratiek</w:t>
      </w:r>
      <w:r w:rsidRPr="006068E7">
        <w:rPr>
          <w:rFonts w:ascii="Times New Roman" w:hAnsi="Times New Roman"/>
          <w:color w:val="000000" w:themeColor="tx1" w:themeShade="FF"/>
          <w:szCs w:val="22"/>
        </w:rPr>
        <w:t xml:space="preserve">. </w:t>
      </w:r>
      <w:r>
        <w:rPr>
          <w:rFonts w:ascii="Times New Roman" w:hAnsi="Times New Roman"/>
          <w:color w:val="000000" w:themeColor="tx1" w:themeShade="FF"/>
          <w:szCs w:val="22"/>
        </w:rPr>
        <w:t>Táto objemovo najmenšia časť nedaňových príjmov</w:t>
      </w:r>
      <w:r w:rsidRPr="006068E7">
        <w:rPr>
          <w:rFonts w:ascii="Times New Roman" w:hAnsi="Times New Roman"/>
          <w:color w:val="000000" w:themeColor="tx1" w:themeShade="FF"/>
          <w:szCs w:val="22"/>
        </w:rPr>
        <w:t xml:space="preserve"> </w:t>
      </w:r>
      <w:r>
        <w:rPr>
          <w:rFonts w:ascii="Times New Roman" w:hAnsi="Times New Roman"/>
          <w:color w:val="000000" w:themeColor="tx1" w:themeShade="FF"/>
          <w:szCs w:val="22"/>
        </w:rPr>
        <w:t>dosiahla</w:t>
      </w:r>
      <w:r w:rsidRPr="006068E7">
        <w:rPr>
          <w:rFonts w:ascii="Times New Roman" w:hAnsi="Times New Roman"/>
          <w:color w:val="000000" w:themeColor="tx1" w:themeShade="FF"/>
          <w:szCs w:val="22"/>
        </w:rPr>
        <w:t xml:space="preserve"> za rok 2017 skutočné plnenie</w:t>
      </w:r>
      <w:r>
        <w:rPr>
          <w:rFonts w:ascii="Times New Roman" w:hAnsi="Times New Roman"/>
          <w:color w:val="000000" w:themeColor="tx1" w:themeShade="FF"/>
          <w:szCs w:val="22"/>
        </w:rPr>
        <w:t xml:space="preserve"> vo výške</w:t>
      </w:r>
      <w:r w:rsidRPr="006068E7">
        <w:rPr>
          <w:rFonts w:ascii="Times New Roman" w:hAnsi="Times New Roman"/>
          <w:color w:val="000000" w:themeColor="tx1" w:themeShade="FF"/>
          <w:szCs w:val="22"/>
        </w:rPr>
        <w:t xml:space="preserve"> 11 748 tis. eur </w:t>
      </w:r>
      <w:r>
        <w:rPr>
          <w:rFonts w:ascii="Times New Roman" w:hAnsi="Times New Roman"/>
          <w:color w:val="000000" w:themeColor="tx1" w:themeShade="FF"/>
          <w:szCs w:val="22"/>
        </w:rPr>
        <w:t>a zaznamenala</w:t>
      </w:r>
      <w:r w:rsidRPr="006068E7">
        <w:rPr>
          <w:rFonts w:ascii="Times New Roman" w:hAnsi="Times New Roman"/>
          <w:color w:val="000000" w:themeColor="tx1" w:themeShade="FF"/>
          <w:szCs w:val="22"/>
        </w:rPr>
        <w:t xml:space="preserve"> výpadok oproti schválenému rozpočtu o</w:t>
      </w:r>
      <w:r w:rsidR="00F16082">
        <w:rPr>
          <w:rFonts w:ascii="Times New Roman" w:hAnsi="Times New Roman"/>
          <w:color w:val="000000" w:themeColor="tx1" w:themeShade="FF"/>
          <w:szCs w:val="22"/>
        </w:rPr>
        <w:t> 39 138 tis. eur.</w:t>
      </w:r>
      <w:r>
        <w:rPr>
          <w:rFonts w:ascii="Times New Roman" w:hAnsi="Times New Roman"/>
          <w:color w:val="000000" w:themeColor="tx1" w:themeShade="FF"/>
          <w:szCs w:val="22"/>
        </w:rPr>
        <w:t xml:space="preserve"> </w:t>
      </w:r>
      <w:r w:rsidRPr="006068E7">
        <w:rPr>
          <w:rFonts w:ascii="Times New Roman" w:hAnsi="Times New Roman"/>
          <w:color w:val="000000" w:themeColor="tx1" w:themeShade="FF"/>
          <w:szCs w:val="22"/>
        </w:rPr>
        <w:t>Nep</w:t>
      </w:r>
      <w:r w:rsidR="0035507F">
        <w:rPr>
          <w:rFonts w:ascii="Times New Roman" w:hAnsi="Times New Roman"/>
          <w:color w:val="000000" w:themeColor="tx1" w:themeShade="FF"/>
          <w:szCs w:val="22"/>
        </w:rPr>
        <w:t>lnenie ročného rozpočtu bolo vo </w:t>
      </w:r>
      <w:r w:rsidRPr="006068E7">
        <w:rPr>
          <w:rFonts w:ascii="Times New Roman" w:hAnsi="Times New Roman"/>
          <w:color w:val="000000" w:themeColor="tx1" w:themeShade="FF"/>
          <w:szCs w:val="22"/>
        </w:rPr>
        <w:t>viacerých položkách kapitálových príjmov, najviac v príjmoch z predaja kapitálových aktív</w:t>
      </w:r>
      <w:r w:rsidR="0035507F">
        <w:rPr>
          <w:rFonts w:ascii="Times New Roman" w:hAnsi="Times New Roman"/>
          <w:color w:val="000000" w:themeColor="tx1" w:themeShade="FF"/>
          <w:szCs w:val="22"/>
        </w:rPr>
        <w:t>,</w:t>
      </w:r>
      <w:r w:rsidRPr="006068E7">
        <w:rPr>
          <w:rFonts w:ascii="Times New Roman" w:hAnsi="Times New Roman"/>
          <w:color w:val="000000" w:themeColor="tx1" w:themeShade="FF"/>
          <w:szCs w:val="22"/>
        </w:rPr>
        <w:t xml:space="preserve"> </w:t>
      </w:r>
      <w:r w:rsidR="0035507F">
        <w:rPr>
          <w:rFonts w:ascii="Times New Roman" w:hAnsi="Times New Roman"/>
          <w:color w:val="000000" w:themeColor="tx1" w:themeShade="FF"/>
          <w:szCs w:val="22"/>
        </w:rPr>
        <w:t>napr. z dôvodu vysporiadania majetkovo – právnych vzťahov a</w:t>
      </w:r>
      <w:r w:rsidRPr="0035507F" w:rsidR="0035507F">
        <w:rPr>
          <w:rFonts w:ascii="Times New Roman" w:hAnsi="Times New Roman"/>
          <w:color w:val="000000" w:themeColor="tx1" w:themeShade="FF"/>
          <w:szCs w:val="22"/>
        </w:rPr>
        <w:t xml:space="preserve"> </w:t>
      </w:r>
      <w:r w:rsidR="0035507F">
        <w:rPr>
          <w:rFonts w:ascii="Times New Roman" w:hAnsi="Times New Roman"/>
          <w:color w:val="000000" w:themeColor="tx1" w:themeShade="FF"/>
          <w:szCs w:val="22"/>
        </w:rPr>
        <w:t>zdĺhavého procesu odpredaja prebytočného majetku štátu.</w:t>
      </w:r>
    </w:p>
    <w:p w:rsidR="00E51230" w:rsidRPr="001A40B9" w:rsidP="00E51230">
      <w:pPr>
        <w:tabs>
          <w:tab w:val="left" w:pos="284"/>
        </w:tabs>
        <w:suppressAutoHyphens/>
        <w:bidi w:val="0"/>
        <w:rPr>
          <w:rFonts w:ascii="Times New Roman" w:hAnsi="Times New Roman"/>
          <w:color w:val="000000" w:themeColor="tx1" w:themeShade="FF"/>
          <w:szCs w:val="22"/>
        </w:rPr>
      </w:pPr>
      <w:r w:rsidRPr="00582DC9">
        <w:rPr>
          <w:rFonts w:ascii="Times New Roman" w:hAnsi="Times New Roman"/>
          <w:color w:val="000000" w:themeColor="tx1" w:themeShade="FF"/>
          <w:szCs w:val="22"/>
        </w:rPr>
        <w:t>Najväčšiu časť</w:t>
      </w:r>
      <w:r>
        <w:rPr>
          <w:rFonts w:ascii="Times New Roman" w:hAnsi="Times New Roman"/>
          <w:color w:val="000000" w:themeColor="tx1" w:themeShade="FF"/>
          <w:szCs w:val="22"/>
        </w:rPr>
        <w:t xml:space="preserve"> kapitálových príjmov tvorili </w:t>
      </w:r>
      <w:r w:rsidRPr="0035507F">
        <w:rPr>
          <w:rFonts w:ascii="Times New Roman" w:hAnsi="Times New Roman"/>
          <w:i/>
          <w:color w:val="000000" w:themeColor="tx1" w:themeShade="FF"/>
          <w:szCs w:val="22"/>
        </w:rPr>
        <w:t>príjmy z predaja pozemkov a nehmotných aktív</w:t>
      </w:r>
      <w:r>
        <w:rPr>
          <w:rFonts w:ascii="Times New Roman" w:hAnsi="Times New Roman"/>
          <w:color w:val="000000" w:themeColor="tx1" w:themeShade="FF"/>
          <w:szCs w:val="22"/>
        </w:rPr>
        <w:t xml:space="preserve">, ktoré dosiahli sumu 7 413 tis. eur. </w:t>
      </w:r>
      <w:r w:rsidRPr="004C351E">
        <w:rPr>
          <w:rFonts w:ascii="Times New Roman" w:hAnsi="Times New Roman"/>
          <w:color w:val="000000" w:themeColor="tx1" w:themeShade="FF"/>
          <w:szCs w:val="22"/>
        </w:rPr>
        <w:t>Z tejto čiastky dosiahlo Ministerstvo vnútra SR sumu 6 190 tis. eur. Išlo o finančné prostriedky za odpredané pozemky, doplatky z titulu zámenných zmlúv a prevedené zábezpeky od fyzických osôb, právnických osôb, miest a obcí.</w:t>
      </w:r>
    </w:p>
    <w:p w:rsidR="0035507F" w:rsidP="00E51230">
      <w:pPr>
        <w:tabs>
          <w:tab w:val="left" w:pos="284"/>
        </w:tabs>
        <w:suppressAutoHyphens/>
        <w:bidi w:val="0"/>
        <w:rPr>
          <w:rFonts w:ascii="Times New Roman" w:hAnsi="Times New Roman"/>
          <w:color w:val="000000" w:themeColor="tx1" w:themeShade="FF"/>
          <w:szCs w:val="22"/>
        </w:rPr>
      </w:pPr>
      <w:r w:rsidRPr="0035507F">
        <w:rPr>
          <w:rFonts w:ascii="Times New Roman" w:hAnsi="Times New Roman"/>
          <w:i/>
          <w:color w:val="000000" w:themeColor="tx1" w:themeShade="FF"/>
          <w:szCs w:val="22"/>
        </w:rPr>
        <w:t>P</w:t>
      </w:r>
      <w:r w:rsidRPr="0035507F" w:rsidR="00E51230">
        <w:rPr>
          <w:rFonts w:ascii="Times New Roman" w:hAnsi="Times New Roman"/>
          <w:i/>
          <w:color w:val="000000" w:themeColor="tx1" w:themeShade="FF"/>
          <w:szCs w:val="22"/>
        </w:rPr>
        <w:t>ríjmy z predaja kapitál</w:t>
      </w:r>
      <w:r w:rsidRPr="0035507F" w:rsidR="00DF1A1A">
        <w:rPr>
          <w:rFonts w:ascii="Times New Roman" w:hAnsi="Times New Roman"/>
          <w:i/>
          <w:color w:val="000000" w:themeColor="tx1" w:themeShade="FF"/>
          <w:szCs w:val="22"/>
        </w:rPr>
        <w:t>ových aktív</w:t>
      </w:r>
      <w:r w:rsidR="00DF1A1A">
        <w:rPr>
          <w:rFonts w:ascii="Times New Roman" w:hAnsi="Times New Roman"/>
          <w:color w:val="000000" w:themeColor="tx1" w:themeShade="FF"/>
          <w:szCs w:val="22"/>
        </w:rPr>
        <w:t xml:space="preserve"> </w:t>
      </w:r>
      <w:r>
        <w:rPr>
          <w:rFonts w:ascii="Times New Roman" w:hAnsi="Times New Roman"/>
          <w:color w:val="000000" w:themeColor="tx1" w:themeShade="FF"/>
          <w:szCs w:val="22"/>
        </w:rPr>
        <w:t>dosiahli</w:t>
      </w:r>
      <w:r w:rsidR="00DF1A1A">
        <w:rPr>
          <w:rFonts w:ascii="Times New Roman" w:hAnsi="Times New Roman"/>
          <w:color w:val="000000" w:themeColor="tx1" w:themeShade="FF"/>
          <w:szCs w:val="22"/>
        </w:rPr>
        <w:t xml:space="preserve"> 3 595 tis. </w:t>
      </w:r>
      <w:r w:rsidR="00E51230">
        <w:rPr>
          <w:rFonts w:ascii="Times New Roman" w:hAnsi="Times New Roman"/>
          <w:color w:val="000000" w:themeColor="tx1" w:themeShade="FF"/>
          <w:szCs w:val="22"/>
        </w:rPr>
        <w:t xml:space="preserve">eur, z ktorých najviac bolo prijatých v kapitole </w:t>
      </w:r>
      <w:r w:rsidRPr="00204FC5" w:rsidR="00E51230">
        <w:rPr>
          <w:rFonts w:ascii="Times New Roman" w:hAnsi="Times New Roman"/>
          <w:color w:val="000000" w:themeColor="tx1" w:themeShade="FF"/>
          <w:szCs w:val="22"/>
        </w:rPr>
        <w:t>Ministerstva vnútra SR</w:t>
      </w:r>
      <w:r w:rsidR="0015313D">
        <w:rPr>
          <w:rFonts w:ascii="Times New Roman" w:hAnsi="Times New Roman"/>
          <w:color w:val="000000" w:themeColor="tx1" w:themeShade="FF"/>
          <w:szCs w:val="22"/>
        </w:rPr>
        <w:t>,</w:t>
      </w:r>
      <w:r w:rsidRPr="00204FC5" w:rsidR="00E51230">
        <w:rPr>
          <w:rFonts w:ascii="Times New Roman" w:hAnsi="Times New Roman"/>
          <w:color w:val="000000" w:themeColor="tx1" w:themeShade="FF"/>
          <w:szCs w:val="22"/>
        </w:rPr>
        <w:t xml:space="preserve"> a to 1 424 tis. eur. </w:t>
      </w:r>
      <w:r w:rsidRPr="005E6AA8" w:rsidR="00E51230">
        <w:rPr>
          <w:rFonts w:ascii="Times New Roman" w:hAnsi="Times New Roman"/>
          <w:color w:val="000000" w:themeColor="tx1" w:themeShade="FF"/>
          <w:szCs w:val="22"/>
        </w:rPr>
        <w:t xml:space="preserve">Išlo najmä o splátky od zamestnancov </w:t>
      </w:r>
      <w:r w:rsidR="00127817">
        <w:rPr>
          <w:rFonts w:ascii="Times New Roman" w:hAnsi="Times New Roman"/>
          <w:color w:val="000000" w:themeColor="tx1" w:themeShade="FF"/>
          <w:szCs w:val="22"/>
        </w:rPr>
        <w:br/>
      </w:r>
      <w:r w:rsidRPr="005E6AA8" w:rsidR="00E51230">
        <w:rPr>
          <w:rFonts w:ascii="Times New Roman" w:hAnsi="Times New Roman"/>
          <w:color w:val="000000" w:themeColor="tx1" w:themeShade="FF"/>
          <w:szCs w:val="22"/>
        </w:rPr>
        <w:t>za odpredané služobné byty, úhrady k</w:t>
      </w:r>
      <w:r w:rsidR="00E51230">
        <w:rPr>
          <w:rFonts w:ascii="Times New Roman" w:hAnsi="Times New Roman"/>
          <w:color w:val="000000" w:themeColor="tx1" w:themeShade="FF"/>
          <w:szCs w:val="22"/>
        </w:rPr>
        <w:t>úpnych cien za nehnuteľnosti na z</w:t>
      </w:r>
      <w:r w:rsidRPr="005E6AA8" w:rsidR="00E51230">
        <w:rPr>
          <w:rFonts w:ascii="Times New Roman" w:hAnsi="Times New Roman"/>
          <w:color w:val="000000" w:themeColor="tx1" w:themeShade="FF"/>
          <w:szCs w:val="22"/>
        </w:rPr>
        <w:t>áklade kúpnych zmlúv, doplatky na základe zámenných zmlúv,</w:t>
      </w:r>
      <w:r w:rsidR="00E51230">
        <w:rPr>
          <w:rFonts w:ascii="Times New Roman" w:hAnsi="Times New Roman"/>
          <w:color w:val="000000" w:themeColor="tx1" w:themeShade="FF"/>
          <w:szCs w:val="22"/>
        </w:rPr>
        <w:t xml:space="preserve"> prepadnuté zábezpeky a iné. </w:t>
      </w:r>
    </w:p>
    <w:p w:rsidR="00F17E8A" w:rsidP="002B0054">
      <w:pPr>
        <w:tabs>
          <w:tab w:val="left" w:pos="284"/>
        </w:tabs>
        <w:suppressAutoHyphens/>
        <w:bidi w:val="0"/>
        <w:spacing w:line="360" w:lineRule="auto"/>
        <w:rPr>
          <w:rFonts w:ascii="Times New Roman" w:hAnsi="Times New Roman"/>
          <w:szCs w:val="22"/>
        </w:rPr>
      </w:pPr>
      <w:r w:rsidRPr="005425F2" w:rsidR="00E51230">
        <w:rPr>
          <w:rFonts w:ascii="Times New Roman" w:hAnsi="Times New Roman"/>
          <w:b/>
          <w:szCs w:val="22"/>
        </w:rPr>
        <w:t xml:space="preserve">Úroky z tuzemských úverov, pôžičiek a návratných finančných výpomocí </w:t>
      </w:r>
      <w:r w:rsidRPr="005425F2" w:rsidR="00E51230">
        <w:rPr>
          <w:rFonts w:ascii="Times New Roman" w:hAnsi="Times New Roman"/>
          <w:szCs w:val="22"/>
        </w:rPr>
        <w:t>dosiahli v roku 2017 sumu 28 61</w:t>
      </w:r>
      <w:r w:rsidR="00E51230">
        <w:rPr>
          <w:rFonts w:ascii="Times New Roman" w:hAnsi="Times New Roman"/>
          <w:szCs w:val="22"/>
        </w:rPr>
        <w:t>8</w:t>
      </w:r>
      <w:r w:rsidRPr="005425F2" w:rsidR="00E51230">
        <w:rPr>
          <w:rFonts w:ascii="Times New Roman" w:hAnsi="Times New Roman"/>
          <w:szCs w:val="22"/>
        </w:rPr>
        <w:t xml:space="preserve"> tis. eur a v rámci nedaňových príjmov dosiahla táto kategória príjmov najvyššie plnenie schváleného rozpočtu. </w:t>
      </w:r>
      <w:r w:rsidR="0035507F">
        <w:rPr>
          <w:rFonts w:ascii="Times New Roman" w:hAnsi="Times New Roman"/>
          <w:szCs w:val="22"/>
        </w:rPr>
        <w:t>P</w:t>
      </w:r>
      <w:r w:rsidRPr="005425F2" w:rsidR="00E51230">
        <w:rPr>
          <w:rFonts w:ascii="Times New Roman" w:hAnsi="Times New Roman"/>
          <w:szCs w:val="22"/>
        </w:rPr>
        <w:t xml:space="preserve">rekročenie príjmov bolo dosiahnuté v kapitole Všeobecná pokladničná správa, </w:t>
      </w:r>
      <w:r w:rsidR="0035507F">
        <w:rPr>
          <w:rFonts w:ascii="Times New Roman" w:hAnsi="Times New Roman"/>
          <w:szCs w:val="22"/>
        </w:rPr>
        <w:t>z dôvodu úrokov</w:t>
      </w:r>
      <w:r w:rsidRPr="00A6590F" w:rsidR="00E51230">
        <w:rPr>
          <w:rFonts w:ascii="Times New Roman" w:hAnsi="Times New Roman"/>
          <w:szCs w:val="22"/>
        </w:rPr>
        <w:t xml:space="preserve"> z ú</w:t>
      </w:r>
      <w:r w:rsidR="003B1ACF">
        <w:rPr>
          <w:rFonts w:ascii="Times New Roman" w:hAnsi="Times New Roman"/>
          <w:szCs w:val="22"/>
        </w:rPr>
        <w:t>čtov finančného hospodárenia so </w:t>
      </w:r>
      <w:r w:rsidRPr="00A6590F" w:rsidR="00E51230">
        <w:rPr>
          <w:rFonts w:ascii="Times New Roman" w:hAnsi="Times New Roman"/>
          <w:szCs w:val="22"/>
        </w:rPr>
        <w:t>Štátnou pokladnicou</w:t>
      </w:r>
      <w:r w:rsidR="0035507F">
        <w:rPr>
          <w:rFonts w:ascii="Times New Roman" w:hAnsi="Times New Roman"/>
          <w:szCs w:val="22"/>
        </w:rPr>
        <w:t xml:space="preserve">, ktoré </w:t>
      </w:r>
      <w:r w:rsidRPr="00A6590F" w:rsidR="00E51230">
        <w:rPr>
          <w:rFonts w:ascii="Times New Roman" w:hAnsi="Times New Roman"/>
          <w:szCs w:val="22"/>
        </w:rPr>
        <w:t xml:space="preserve">dosiahli sumu </w:t>
      </w:r>
      <w:r w:rsidR="00E51230">
        <w:rPr>
          <w:rFonts w:ascii="Times New Roman" w:hAnsi="Times New Roman"/>
          <w:szCs w:val="22"/>
        </w:rPr>
        <w:t>23 127 tis. eur</w:t>
      </w:r>
      <w:r w:rsidRPr="00A6590F" w:rsidR="00E51230">
        <w:rPr>
          <w:rFonts w:ascii="Times New Roman" w:hAnsi="Times New Roman"/>
          <w:szCs w:val="22"/>
        </w:rPr>
        <w:t>, čo znamen</w:t>
      </w:r>
      <w:r w:rsidR="00E51230">
        <w:rPr>
          <w:rFonts w:ascii="Times New Roman" w:hAnsi="Times New Roman"/>
          <w:szCs w:val="22"/>
        </w:rPr>
        <w:t>alo</w:t>
      </w:r>
      <w:r w:rsidRPr="00A6590F" w:rsidR="00E51230">
        <w:rPr>
          <w:rFonts w:ascii="Times New Roman" w:hAnsi="Times New Roman"/>
          <w:szCs w:val="22"/>
        </w:rPr>
        <w:t xml:space="preserve"> prekročenie rozpočtovanej úrovne o</w:t>
      </w:r>
      <w:r w:rsidR="00E51230">
        <w:rPr>
          <w:rFonts w:ascii="Times New Roman" w:hAnsi="Times New Roman"/>
          <w:szCs w:val="22"/>
        </w:rPr>
        <w:t> 20 856 tis. eur</w:t>
      </w:r>
      <w:r w:rsidRPr="00A6590F" w:rsidR="00E51230">
        <w:rPr>
          <w:rFonts w:ascii="Times New Roman" w:hAnsi="Times New Roman"/>
          <w:szCs w:val="22"/>
        </w:rPr>
        <w:t xml:space="preserve">. Uvedené príjmy </w:t>
      </w:r>
      <w:r w:rsidR="00E51230">
        <w:rPr>
          <w:rFonts w:ascii="Times New Roman" w:hAnsi="Times New Roman"/>
          <w:szCs w:val="22"/>
        </w:rPr>
        <w:t>boli</w:t>
      </w:r>
      <w:r w:rsidRPr="00A6590F" w:rsidR="00E51230">
        <w:rPr>
          <w:rFonts w:ascii="Times New Roman" w:hAnsi="Times New Roman"/>
          <w:szCs w:val="22"/>
        </w:rPr>
        <w:t xml:space="preserve"> vyššie oproti rozpočtovaným z dôvodu, že Štátna pokladnica previedla do príjmov štátneho rozpočtu prostri</w:t>
      </w:r>
      <w:r w:rsidR="0015313D">
        <w:rPr>
          <w:rFonts w:ascii="Times New Roman" w:hAnsi="Times New Roman"/>
          <w:szCs w:val="22"/>
        </w:rPr>
        <w:t>edky z výsledkov hospodárenia z </w:t>
      </w:r>
      <w:r w:rsidR="001F72E0">
        <w:rPr>
          <w:rFonts w:ascii="Times New Roman" w:hAnsi="Times New Roman"/>
          <w:szCs w:val="22"/>
        </w:rPr>
        <w:t>minulých rokov v </w:t>
      </w:r>
      <w:r w:rsidRPr="00A6590F" w:rsidR="00E51230">
        <w:rPr>
          <w:rFonts w:ascii="Times New Roman" w:hAnsi="Times New Roman"/>
          <w:szCs w:val="22"/>
        </w:rPr>
        <w:t xml:space="preserve">celkovej sume </w:t>
      </w:r>
      <w:r w:rsidR="00E51230">
        <w:rPr>
          <w:rFonts w:ascii="Times New Roman" w:hAnsi="Times New Roman"/>
          <w:szCs w:val="22"/>
        </w:rPr>
        <w:t>20 000 tis. eur</w:t>
      </w:r>
      <w:r w:rsidRPr="00A6590F" w:rsidR="00E51230">
        <w:rPr>
          <w:rFonts w:ascii="Times New Roman" w:hAnsi="Times New Roman"/>
          <w:szCs w:val="22"/>
        </w:rPr>
        <w:t xml:space="preserve"> (nerozpočtovan</w:t>
      </w:r>
      <w:r w:rsidR="0015313D">
        <w:rPr>
          <w:rFonts w:ascii="Times New Roman" w:hAnsi="Times New Roman"/>
          <w:szCs w:val="22"/>
        </w:rPr>
        <w:t>ý jednorazový prevod) a ďalej z </w:t>
      </w:r>
      <w:r w:rsidRPr="00A6590F" w:rsidR="00E51230">
        <w:rPr>
          <w:rFonts w:ascii="Times New Roman" w:hAnsi="Times New Roman"/>
          <w:szCs w:val="22"/>
        </w:rPr>
        <w:t xml:space="preserve">dôvodu nárastu priemerných zostatkov na účtoch prostriedkov Európskej únie a na účtoch </w:t>
      </w:r>
      <w:r w:rsidRPr="008512BB" w:rsidR="00E51230">
        <w:rPr>
          <w:rFonts w:ascii="Times New Roman" w:hAnsi="Times New Roman"/>
          <w:szCs w:val="22"/>
        </w:rPr>
        <w:t xml:space="preserve">dobrovoľných klientov. </w:t>
      </w:r>
    </w:p>
    <w:p w:rsidR="00E51230" w:rsidRPr="008512BB" w:rsidP="002B0054">
      <w:pPr>
        <w:tabs>
          <w:tab w:val="left" w:pos="284"/>
        </w:tabs>
        <w:suppressAutoHyphens/>
        <w:bidi w:val="0"/>
        <w:spacing w:line="360" w:lineRule="auto"/>
        <w:rPr>
          <w:rFonts w:ascii="Times New Roman" w:hAnsi="Times New Roman"/>
          <w:szCs w:val="22"/>
        </w:rPr>
      </w:pPr>
      <w:r w:rsidRPr="008512BB">
        <w:rPr>
          <w:rFonts w:ascii="Times New Roman" w:hAnsi="Times New Roman"/>
          <w:szCs w:val="22"/>
        </w:rPr>
        <w:t>Úroky z návratných finančných výpomocí boli rozpočtované v sume 6 003 tis. eur</w:t>
      </w:r>
      <w:r w:rsidR="0015313D">
        <w:rPr>
          <w:rFonts w:ascii="Times New Roman" w:hAnsi="Times New Roman"/>
          <w:szCs w:val="22"/>
        </w:rPr>
        <w:t>,</w:t>
      </w:r>
      <w:r w:rsidRPr="008512BB">
        <w:rPr>
          <w:rFonts w:ascii="Times New Roman" w:hAnsi="Times New Roman"/>
          <w:szCs w:val="22"/>
        </w:rPr>
        <w:t xml:space="preserve"> a to za obec Ľubotice a Agentúru pre núdzové zá</w:t>
      </w:r>
      <w:r w:rsidR="0015313D">
        <w:rPr>
          <w:rFonts w:ascii="Times New Roman" w:hAnsi="Times New Roman"/>
          <w:szCs w:val="22"/>
        </w:rPr>
        <w:t>soby ropy a ropných výrobkov. V </w:t>
      </w:r>
      <w:r w:rsidRPr="008512BB">
        <w:rPr>
          <w:rFonts w:ascii="Times New Roman" w:hAnsi="Times New Roman"/>
          <w:szCs w:val="22"/>
        </w:rPr>
        <w:t>skutočnosti dosiahli sumu 5 490 tis. eur. Nenaplnenie rozpočtovaných príjmov bolo spôsobené skutočnosťou, že obci Ľubotice bola odpustená časť návratnej finančnej výpomoci a</w:t>
      </w:r>
      <w:r w:rsidR="003B1ACF">
        <w:rPr>
          <w:rFonts w:ascii="Times New Roman" w:hAnsi="Times New Roman"/>
          <w:szCs w:val="22"/>
        </w:rPr>
        <w:t xml:space="preserve"> </w:t>
      </w:r>
      <w:r w:rsidR="001F72E0">
        <w:rPr>
          <w:rFonts w:ascii="Times New Roman" w:hAnsi="Times New Roman"/>
          <w:szCs w:val="22"/>
        </w:rPr>
        <w:t>súčasne</w:t>
      </w:r>
      <w:r w:rsidRPr="008512BB">
        <w:rPr>
          <w:rFonts w:ascii="Times New Roman" w:hAnsi="Times New Roman"/>
          <w:szCs w:val="22"/>
        </w:rPr>
        <w:t xml:space="preserve"> klesla úroková sadzba použitá pre výpočet úrokov. Zároveň Nemo</w:t>
      </w:r>
      <w:r>
        <w:rPr>
          <w:rFonts w:ascii="Times New Roman" w:hAnsi="Times New Roman"/>
          <w:szCs w:val="22"/>
        </w:rPr>
        <w:t>cnica s </w:t>
      </w:r>
      <w:r w:rsidRPr="008512BB">
        <w:rPr>
          <w:rFonts w:ascii="Times New Roman" w:hAnsi="Times New Roman"/>
          <w:szCs w:val="22"/>
        </w:rPr>
        <w:t>poliklinikou Považská Bystrica a Detská fakultná nemocnica s poliklinikou Bratislava splatili úroky z návratnej finančnej výpomoci poskytnutej zdravo</w:t>
      </w:r>
      <w:r>
        <w:rPr>
          <w:rFonts w:ascii="Times New Roman" w:hAnsi="Times New Roman"/>
          <w:szCs w:val="22"/>
        </w:rPr>
        <w:t>tníckym zariadeniam v roku 2009 v sume 218 tis. eur, ktoré pôvodne rozpočtované neboli.</w:t>
      </w:r>
    </w:p>
    <w:p w:rsidR="00E51230" w:rsidRPr="00A478ED" w:rsidP="002B0054">
      <w:pPr>
        <w:tabs>
          <w:tab w:val="left" w:pos="284"/>
        </w:tabs>
        <w:suppressAutoHyphens/>
        <w:bidi w:val="0"/>
        <w:rPr>
          <w:rFonts w:ascii="Times New Roman" w:hAnsi="Times New Roman"/>
          <w:szCs w:val="22"/>
        </w:rPr>
      </w:pPr>
      <w:r w:rsidRPr="00A478ED">
        <w:rPr>
          <w:rFonts w:ascii="Times New Roman" w:hAnsi="Times New Roman"/>
          <w:b/>
          <w:szCs w:val="22"/>
        </w:rPr>
        <w:t>Úroky zo zahraničných úverov, pôžičiek, návratných finančných výpomocí a vkladov</w:t>
      </w:r>
      <w:r w:rsidRPr="00A478ED">
        <w:rPr>
          <w:rFonts w:ascii="Times New Roman" w:hAnsi="Times New Roman"/>
          <w:szCs w:val="22"/>
        </w:rPr>
        <w:t xml:space="preserve"> v</w:t>
      </w:r>
      <w:r w:rsidR="002B0054">
        <w:rPr>
          <w:rFonts w:ascii="Times New Roman" w:hAnsi="Times New Roman"/>
          <w:szCs w:val="22"/>
        </w:rPr>
        <w:t>o </w:t>
      </w:r>
      <w:r w:rsidRPr="00A478ED">
        <w:rPr>
          <w:rFonts w:ascii="Times New Roman" w:hAnsi="Times New Roman"/>
          <w:szCs w:val="22"/>
        </w:rPr>
        <w:t>výške 1 tis. eur tvorili úroky kapitoly Ministerstva zahraničných vec</w:t>
      </w:r>
      <w:r w:rsidR="00FB3B91">
        <w:rPr>
          <w:rFonts w:ascii="Times New Roman" w:hAnsi="Times New Roman"/>
          <w:szCs w:val="22"/>
        </w:rPr>
        <w:t xml:space="preserve">í a európskych záležitostí SR a </w:t>
      </w:r>
      <w:r w:rsidRPr="00A478ED">
        <w:rPr>
          <w:rFonts w:ascii="Times New Roman" w:hAnsi="Times New Roman"/>
          <w:szCs w:val="22"/>
        </w:rPr>
        <w:t>Ministerstva obrany SR. Išlo o kreditné úroky účtov zastupiteľských úradov SR v zahraničí.</w:t>
      </w:r>
    </w:p>
    <w:p w:rsidR="00E51230" w:rsidRPr="00267545" w:rsidP="002B0054">
      <w:pPr>
        <w:tabs>
          <w:tab w:val="left" w:pos="284"/>
        </w:tabs>
        <w:suppressAutoHyphens/>
        <w:bidi w:val="0"/>
        <w:rPr>
          <w:rFonts w:ascii="Times New Roman" w:hAnsi="Times New Roman"/>
          <w:color w:val="000000" w:themeColor="tx1" w:themeShade="FF"/>
        </w:rPr>
      </w:pPr>
      <w:r w:rsidRPr="00267545">
        <w:rPr>
          <w:rFonts w:ascii="Times New Roman" w:hAnsi="Times New Roman"/>
          <w:b/>
          <w:color w:val="000000" w:themeColor="tx1" w:themeShade="FF"/>
          <w:szCs w:val="22"/>
        </w:rPr>
        <w:t>Iné nedaňové príjmy</w:t>
      </w:r>
      <w:r w:rsidRPr="00267545">
        <w:rPr>
          <w:rFonts w:ascii="Times New Roman" w:hAnsi="Times New Roman"/>
          <w:color w:val="000000" w:themeColor="tx1" w:themeShade="FF"/>
          <w:szCs w:val="22"/>
        </w:rPr>
        <w:t xml:space="preserve"> tvoria príjmy z náhrad z poistného plnenia, z odvodov z hazardných hier a</w:t>
      </w:r>
      <w:r w:rsidR="00FB3B91">
        <w:rPr>
          <w:rFonts w:ascii="Times New Roman" w:hAnsi="Times New Roman"/>
          <w:color w:val="000000" w:themeColor="tx1" w:themeShade="FF"/>
          <w:szCs w:val="22"/>
        </w:rPr>
        <w:t xml:space="preserve"> </w:t>
      </w:r>
      <w:r w:rsidRPr="00267545">
        <w:rPr>
          <w:rFonts w:ascii="Times New Roman" w:hAnsi="Times New Roman"/>
          <w:color w:val="000000" w:themeColor="tx1" w:themeShade="FF"/>
          <w:szCs w:val="22"/>
        </w:rPr>
        <w:t>iných podobných hier, odvody, vratky a vrátené neoprávnene použité alebo zadržané finančné prostriedky od neziskových organizácií, rozpočtových organizácií, obcí a</w:t>
      </w:r>
      <w:r w:rsidR="00FB3B91">
        <w:rPr>
          <w:rFonts w:ascii="Times New Roman" w:hAnsi="Times New Roman"/>
          <w:color w:val="000000" w:themeColor="tx1" w:themeShade="FF"/>
          <w:szCs w:val="22"/>
        </w:rPr>
        <w:t xml:space="preserve"> </w:t>
      </w:r>
      <w:r w:rsidRPr="00267545">
        <w:rPr>
          <w:rFonts w:ascii="Times New Roman" w:hAnsi="Times New Roman"/>
          <w:color w:val="000000" w:themeColor="tx1" w:themeShade="FF"/>
          <w:szCs w:val="22"/>
        </w:rPr>
        <w:t xml:space="preserve">pod. Za rok 2017 dosiahla táto kategória sumu 367 176 tis. eur, čo predstavuje prekročenie schváleného rozpočtu o 35 180 tis. eur. </w:t>
      </w:r>
    </w:p>
    <w:p w:rsidR="00E51230" w:rsidRPr="00BA4AD2" w:rsidP="00E51230">
      <w:pPr>
        <w:bidi w:val="0"/>
        <w:spacing w:after="200" w:line="360" w:lineRule="auto"/>
        <w:rPr>
          <w:rFonts w:ascii="Times New Roman" w:hAnsi="Times New Roman"/>
          <w:szCs w:val="22"/>
        </w:rPr>
      </w:pPr>
      <w:r w:rsidRPr="00BA4AD2">
        <w:rPr>
          <w:rFonts w:ascii="Times New Roman" w:hAnsi="Times New Roman"/>
          <w:b/>
          <w:i/>
          <w:color w:val="000000" w:themeColor="tx1" w:themeShade="FF"/>
          <w:szCs w:val="22"/>
        </w:rPr>
        <w:t>Príjem z odvodu z hazardných hier</w:t>
      </w:r>
      <w:r w:rsidRPr="00BA4AD2">
        <w:rPr>
          <w:rFonts w:ascii="Times New Roman" w:hAnsi="Times New Roman"/>
          <w:color w:val="000000" w:themeColor="tx1" w:themeShade="FF"/>
          <w:szCs w:val="22"/>
        </w:rPr>
        <w:t xml:space="preserve"> bol dosiahnutý v kapitole Všeobecná pokladničná správa v</w:t>
      </w:r>
      <w:r w:rsidR="00FB3B91">
        <w:rPr>
          <w:rFonts w:ascii="Times New Roman" w:hAnsi="Times New Roman"/>
          <w:color w:val="000000" w:themeColor="tx1" w:themeShade="FF"/>
          <w:szCs w:val="22"/>
        </w:rPr>
        <w:t> </w:t>
      </w:r>
      <w:r w:rsidRPr="00BA4AD2">
        <w:rPr>
          <w:rFonts w:ascii="Times New Roman" w:hAnsi="Times New Roman"/>
          <w:color w:val="000000" w:themeColor="tx1" w:themeShade="FF"/>
          <w:szCs w:val="22"/>
        </w:rPr>
        <w:t>celkovej</w:t>
      </w:r>
      <w:r w:rsidR="00FB3B91">
        <w:rPr>
          <w:rFonts w:ascii="Times New Roman" w:hAnsi="Times New Roman"/>
          <w:color w:val="000000" w:themeColor="tx1" w:themeShade="FF"/>
          <w:szCs w:val="22"/>
        </w:rPr>
        <w:t xml:space="preserve"> </w:t>
      </w:r>
      <w:r w:rsidRPr="00BA4AD2">
        <w:rPr>
          <w:rFonts w:ascii="Times New Roman" w:hAnsi="Times New Roman"/>
          <w:color w:val="000000" w:themeColor="tx1" w:themeShade="FF"/>
          <w:szCs w:val="22"/>
        </w:rPr>
        <w:t xml:space="preserve">výške 208 178 tis. eur, </w:t>
      </w:r>
      <w:r w:rsidRPr="00BA4AD2">
        <w:rPr>
          <w:rFonts w:ascii="Times New Roman" w:hAnsi="Times New Roman"/>
          <w:szCs w:val="22"/>
        </w:rPr>
        <w:t>čo predstavuje</w:t>
      </w:r>
      <w:r>
        <w:rPr>
          <w:rFonts w:ascii="Times New Roman" w:hAnsi="Times New Roman"/>
          <w:szCs w:val="22"/>
        </w:rPr>
        <w:t xml:space="preserve"> takmer</w:t>
      </w:r>
      <w:r w:rsidRPr="00BA4AD2">
        <w:rPr>
          <w:rFonts w:ascii="Times New Roman" w:hAnsi="Times New Roman"/>
          <w:szCs w:val="22"/>
        </w:rPr>
        <w:t xml:space="preserve"> </w:t>
      </w:r>
      <w:r>
        <w:rPr>
          <w:rFonts w:ascii="Times New Roman" w:hAnsi="Times New Roman"/>
          <w:szCs w:val="22"/>
        </w:rPr>
        <w:t>111</w:t>
      </w:r>
      <w:r w:rsidRPr="00BA4AD2">
        <w:rPr>
          <w:rFonts w:ascii="Times New Roman" w:hAnsi="Times New Roman"/>
          <w:szCs w:val="22"/>
        </w:rPr>
        <w:t xml:space="preserve"> % schváleného rozpočtu. Prekročenie uvedených príjmov súvisí najmä so</w:t>
      </w:r>
      <w:r>
        <w:rPr>
          <w:rFonts w:ascii="Times New Roman" w:hAnsi="Times New Roman"/>
          <w:szCs w:val="22"/>
        </w:rPr>
        <w:t xml:space="preserve"> </w:t>
      </w:r>
      <w:r w:rsidRPr="00BA4AD2">
        <w:rPr>
          <w:rFonts w:ascii="Times New Roman" w:hAnsi="Times New Roman"/>
          <w:szCs w:val="22"/>
        </w:rPr>
        <w:t xml:space="preserve">zvýšením sadzieb odvodov vybraných druhov hazardných </w:t>
      </w:r>
      <w:r>
        <w:rPr>
          <w:rFonts w:ascii="Times New Roman" w:hAnsi="Times New Roman"/>
          <w:szCs w:val="22"/>
        </w:rPr>
        <w:t>hier od</w:t>
      </w:r>
      <w:r w:rsidR="00FB3B91">
        <w:rPr>
          <w:rFonts w:ascii="Times New Roman" w:hAnsi="Times New Roman"/>
          <w:szCs w:val="22"/>
        </w:rPr>
        <w:t xml:space="preserve"> </w:t>
      </w:r>
      <w:r>
        <w:rPr>
          <w:rFonts w:ascii="Times New Roman" w:hAnsi="Times New Roman"/>
          <w:szCs w:val="22"/>
        </w:rPr>
        <w:t>1. </w:t>
      </w:r>
      <w:r w:rsidRPr="00BA4AD2">
        <w:rPr>
          <w:rFonts w:ascii="Times New Roman" w:hAnsi="Times New Roman"/>
          <w:szCs w:val="22"/>
        </w:rPr>
        <w:t>januára 2017 na základe novely zákona č. 171/</w:t>
      </w:r>
      <w:r w:rsidR="001D644F">
        <w:rPr>
          <w:rFonts w:ascii="Times New Roman" w:hAnsi="Times New Roman"/>
          <w:szCs w:val="22"/>
        </w:rPr>
        <w:t xml:space="preserve">2005 Z. z. o hazardných hrách a </w:t>
      </w:r>
      <w:r w:rsidRPr="00BA4AD2">
        <w:rPr>
          <w:rFonts w:ascii="Times New Roman" w:hAnsi="Times New Roman"/>
          <w:szCs w:val="22"/>
        </w:rPr>
        <w:t>o zmene a doplnení niektorých zákonov a</w:t>
      </w:r>
      <w:r w:rsidR="00FB3B91">
        <w:rPr>
          <w:rFonts w:ascii="Times New Roman" w:hAnsi="Times New Roman"/>
          <w:szCs w:val="22"/>
        </w:rPr>
        <w:t xml:space="preserve"> </w:t>
      </w:r>
      <w:r w:rsidRPr="00BA4AD2">
        <w:rPr>
          <w:rFonts w:ascii="Times New Roman" w:hAnsi="Times New Roman"/>
          <w:szCs w:val="22"/>
        </w:rPr>
        <w:t>tiež s pokračovaním dynamického rastu kurzových stávok a zvýšením ich podielu na celkovej štruktúre hazardných hier.</w:t>
      </w:r>
    </w:p>
    <w:p w:rsidR="002B0054" w:rsidP="00E51230">
      <w:pPr>
        <w:tabs>
          <w:tab w:val="left" w:pos="284"/>
        </w:tabs>
        <w:suppressAutoHyphens/>
        <w:bidi w:val="0"/>
        <w:rPr>
          <w:rFonts w:ascii="Times New Roman" w:hAnsi="Times New Roman"/>
          <w:color w:val="000000" w:themeColor="tx1" w:themeShade="FF"/>
          <w:szCs w:val="22"/>
        </w:rPr>
      </w:pPr>
      <w:r w:rsidRPr="009B702C" w:rsidR="00E51230">
        <w:rPr>
          <w:rFonts w:ascii="Times New Roman" w:hAnsi="Times New Roman"/>
          <w:b/>
          <w:i/>
          <w:color w:val="000000" w:themeColor="tx1" w:themeShade="FF"/>
          <w:szCs w:val="22"/>
        </w:rPr>
        <w:t>Vrátené neoprávnene použité alebo zadržané finančné prostriedky</w:t>
      </w:r>
      <w:r w:rsidR="0035704D">
        <w:rPr>
          <w:rFonts w:ascii="Times New Roman" w:hAnsi="Times New Roman"/>
          <w:color w:val="000000" w:themeColor="tx1" w:themeShade="FF"/>
          <w:szCs w:val="22"/>
        </w:rPr>
        <w:t xml:space="preserve"> sa rozpočtovali vo výške </w:t>
      </w:r>
      <w:r w:rsidRPr="009B702C" w:rsidR="00E51230">
        <w:rPr>
          <w:rFonts w:ascii="Times New Roman" w:hAnsi="Times New Roman"/>
          <w:color w:val="000000" w:themeColor="tx1" w:themeShade="FF"/>
          <w:szCs w:val="22"/>
        </w:rPr>
        <w:t>6 431 tis. eur a v skutočnosti dosiahli 18 081 tis. eur.</w:t>
      </w:r>
      <w:r w:rsidRPr="008C1D81" w:rsidR="00E51230">
        <w:rPr>
          <w:rFonts w:ascii="Times New Roman" w:hAnsi="Times New Roman"/>
          <w:color w:val="FF0000"/>
          <w:szCs w:val="22"/>
        </w:rPr>
        <w:t xml:space="preserve"> </w:t>
      </w:r>
      <w:r w:rsidRPr="009B702C" w:rsidR="00E51230">
        <w:rPr>
          <w:rFonts w:ascii="Times New Roman" w:hAnsi="Times New Roman"/>
          <w:color w:val="000000" w:themeColor="tx1" w:themeShade="FF"/>
          <w:szCs w:val="22"/>
        </w:rPr>
        <w:t>Tento rozdiel bol spôsobený</w:t>
      </w:r>
      <w:r w:rsidR="00E51230">
        <w:rPr>
          <w:rFonts w:ascii="Times New Roman" w:hAnsi="Times New Roman"/>
          <w:color w:val="000000" w:themeColor="tx1" w:themeShade="FF"/>
          <w:szCs w:val="22"/>
        </w:rPr>
        <w:t xml:space="preserve"> najmä</w:t>
      </w:r>
      <w:r w:rsidRPr="009B702C" w:rsidR="00E51230">
        <w:rPr>
          <w:rFonts w:ascii="Times New Roman" w:hAnsi="Times New Roman"/>
          <w:color w:val="000000" w:themeColor="tx1" w:themeShade="FF"/>
          <w:szCs w:val="22"/>
        </w:rPr>
        <w:t xml:space="preserve"> nezrovnalosťami a inými vratkami za prostriedky Európskej únie, ktoré z pôvodne schváleného rozpočtu v objeme 25 tis. eur dosiahli skutočnosť až 12 711 tis. eur.</w:t>
      </w:r>
      <w:r w:rsidRPr="008C1D81" w:rsidR="00E51230">
        <w:rPr>
          <w:rFonts w:ascii="Times New Roman" w:hAnsi="Times New Roman"/>
          <w:color w:val="FF0000"/>
          <w:szCs w:val="22"/>
        </w:rPr>
        <w:t xml:space="preserve"> </w:t>
      </w:r>
      <w:r w:rsidRPr="009B702C" w:rsidR="00E51230">
        <w:rPr>
          <w:rFonts w:ascii="Times New Roman" w:hAnsi="Times New Roman"/>
          <w:color w:val="000000" w:themeColor="tx1" w:themeShade="FF"/>
          <w:szCs w:val="22"/>
        </w:rPr>
        <w:t>Vrátenia za nezrovnalosti vznikli väčšinou nedodržaním zmluvy o poskytnutí nenávratného finančn</w:t>
      </w:r>
      <w:r w:rsidR="00E51230">
        <w:rPr>
          <w:rFonts w:ascii="Times New Roman" w:hAnsi="Times New Roman"/>
          <w:color w:val="000000" w:themeColor="tx1" w:themeShade="FF"/>
          <w:szCs w:val="22"/>
        </w:rPr>
        <w:t>ého príspevku na projekty EÚ zo </w:t>
      </w:r>
      <w:r w:rsidRPr="009B702C" w:rsidR="00E51230">
        <w:rPr>
          <w:rFonts w:ascii="Times New Roman" w:hAnsi="Times New Roman"/>
          <w:color w:val="000000" w:themeColor="tx1" w:themeShade="FF"/>
          <w:szCs w:val="22"/>
        </w:rPr>
        <w:t xml:space="preserve">strany prijímateľov, vratky sú vrátenia nevyčerpaných záloh na financovanie projektov EÚ. </w:t>
      </w:r>
      <w:r w:rsidRPr="003263B1" w:rsidR="00E51230">
        <w:rPr>
          <w:rFonts w:ascii="Times New Roman" w:hAnsi="Times New Roman"/>
          <w:color w:val="000000" w:themeColor="tx1" w:themeShade="FF"/>
          <w:szCs w:val="22"/>
        </w:rPr>
        <w:t>Tieto príjmy boli dosiahnuté najmä v kapitol</w:t>
      </w:r>
      <w:r w:rsidR="00E51230">
        <w:rPr>
          <w:rFonts w:ascii="Times New Roman" w:hAnsi="Times New Roman"/>
          <w:color w:val="000000" w:themeColor="tx1" w:themeShade="FF"/>
          <w:szCs w:val="22"/>
        </w:rPr>
        <w:t>ách</w:t>
      </w:r>
      <w:r w:rsidRPr="003263B1" w:rsidR="00E51230">
        <w:rPr>
          <w:rFonts w:ascii="Times New Roman" w:hAnsi="Times New Roman"/>
          <w:color w:val="000000" w:themeColor="tx1" w:themeShade="FF"/>
          <w:szCs w:val="22"/>
        </w:rPr>
        <w:t xml:space="preserve"> Ministerstva financií SR (5 755 tis. eur), Ministerstva hospodárstva SR (2 572 tis. eur), Ministerstva práce, sociálnych vecí a</w:t>
      </w:r>
      <w:r w:rsidR="00FB3B91">
        <w:rPr>
          <w:rFonts w:ascii="Times New Roman" w:hAnsi="Times New Roman"/>
          <w:color w:val="000000" w:themeColor="tx1" w:themeShade="FF"/>
          <w:szCs w:val="22"/>
        </w:rPr>
        <w:t xml:space="preserve"> </w:t>
      </w:r>
      <w:r w:rsidRPr="003263B1" w:rsidR="00E51230">
        <w:rPr>
          <w:rFonts w:ascii="Times New Roman" w:hAnsi="Times New Roman"/>
          <w:color w:val="000000" w:themeColor="tx1" w:themeShade="FF"/>
          <w:szCs w:val="22"/>
        </w:rPr>
        <w:t>rodiny SR (1 236 tis. eur)</w:t>
      </w:r>
      <w:r w:rsidR="00FB3B91">
        <w:rPr>
          <w:rFonts w:ascii="Times New Roman" w:hAnsi="Times New Roman"/>
          <w:color w:val="000000" w:themeColor="tx1" w:themeShade="FF"/>
          <w:szCs w:val="22"/>
        </w:rPr>
        <w:t xml:space="preserve"> a</w:t>
      </w:r>
      <w:r w:rsidR="00E51230">
        <w:rPr>
          <w:rFonts w:ascii="Times New Roman" w:hAnsi="Times New Roman"/>
          <w:color w:val="000000" w:themeColor="tx1" w:themeShade="FF"/>
          <w:szCs w:val="22"/>
        </w:rPr>
        <w:t xml:space="preserve"> </w:t>
      </w:r>
      <w:r w:rsidRPr="003263B1" w:rsidR="00E51230">
        <w:rPr>
          <w:rFonts w:ascii="Times New Roman" w:hAnsi="Times New Roman"/>
          <w:color w:val="000000" w:themeColor="tx1" w:themeShade="FF"/>
          <w:szCs w:val="22"/>
        </w:rPr>
        <w:t>Ministerstva školstva, vedy, výskumu a športu SR (1 176 tis. eur</w:t>
      </w:r>
      <w:r w:rsidR="00E51230">
        <w:rPr>
          <w:rFonts w:ascii="Times New Roman" w:hAnsi="Times New Roman"/>
          <w:color w:val="000000" w:themeColor="tx1" w:themeShade="FF"/>
          <w:szCs w:val="22"/>
        </w:rPr>
        <w:t xml:space="preserve">). </w:t>
      </w:r>
      <w:r w:rsidRPr="004032FE" w:rsidR="00E51230">
        <w:rPr>
          <w:rFonts w:ascii="Times New Roman" w:hAnsi="Times New Roman"/>
          <w:color w:val="000000" w:themeColor="tx1" w:themeShade="FF"/>
          <w:szCs w:val="22"/>
        </w:rPr>
        <w:t>Okrem nezrovnalostí a v</w:t>
      </w:r>
      <w:r w:rsidR="00E51230">
        <w:rPr>
          <w:rFonts w:ascii="Times New Roman" w:hAnsi="Times New Roman"/>
          <w:color w:val="000000" w:themeColor="tx1" w:themeShade="FF"/>
          <w:szCs w:val="22"/>
        </w:rPr>
        <w:t>ratiek za </w:t>
      </w:r>
      <w:r w:rsidRPr="004032FE" w:rsidR="00E51230">
        <w:rPr>
          <w:rFonts w:ascii="Times New Roman" w:hAnsi="Times New Roman"/>
          <w:color w:val="000000" w:themeColor="tx1" w:themeShade="FF"/>
          <w:szCs w:val="22"/>
        </w:rPr>
        <w:t xml:space="preserve">prostriedky EÚ </w:t>
      </w:r>
      <w:r w:rsidR="00E51230">
        <w:rPr>
          <w:rFonts w:ascii="Times New Roman" w:hAnsi="Times New Roman"/>
          <w:color w:val="000000" w:themeColor="tx1" w:themeShade="FF"/>
          <w:szCs w:val="22"/>
        </w:rPr>
        <w:t xml:space="preserve">sa významnejšou sumou na </w:t>
      </w:r>
      <w:r w:rsidRPr="004032FE" w:rsidR="00E51230">
        <w:rPr>
          <w:rFonts w:ascii="Times New Roman" w:hAnsi="Times New Roman"/>
          <w:color w:val="000000" w:themeColor="tx1" w:themeShade="FF"/>
          <w:szCs w:val="22"/>
        </w:rPr>
        <w:t>tejto kategóri</w:t>
      </w:r>
      <w:r w:rsidR="00E51230">
        <w:rPr>
          <w:rFonts w:ascii="Times New Roman" w:hAnsi="Times New Roman"/>
          <w:color w:val="000000" w:themeColor="tx1" w:themeShade="FF"/>
          <w:szCs w:val="22"/>
        </w:rPr>
        <w:t>i</w:t>
      </w:r>
      <w:r w:rsidRPr="004032FE" w:rsidR="00E51230">
        <w:rPr>
          <w:rFonts w:ascii="Times New Roman" w:hAnsi="Times New Roman"/>
          <w:color w:val="000000" w:themeColor="tx1" w:themeShade="FF"/>
          <w:szCs w:val="22"/>
        </w:rPr>
        <w:t xml:space="preserve"> príjmov</w:t>
      </w:r>
      <w:r w:rsidR="00E51230">
        <w:rPr>
          <w:rFonts w:ascii="Times New Roman" w:hAnsi="Times New Roman"/>
          <w:color w:val="000000" w:themeColor="tx1" w:themeShade="FF"/>
          <w:szCs w:val="22"/>
        </w:rPr>
        <w:t xml:space="preserve"> podieľali</w:t>
      </w:r>
      <w:r w:rsidRPr="004032FE" w:rsidR="00E51230">
        <w:rPr>
          <w:rFonts w:ascii="Times New Roman" w:hAnsi="Times New Roman"/>
          <w:color w:val="000000" w:themeColor="tx1" w:themeShade="FF"/>
          <w:szCs w:val="22"/>
        </w:rPr>
        <w:t xml:space="preserve"> aj vrátené neoprávnene použité alebo zadržané finančné prostriedky od fyzických osôb (4 438 tis. eur)</w:t>
      </w:r>
      <w:r w:rsidR="00E51230">
        <w:rPr>
          <w:rFonts w:ascii="Times New Roman" w:hAnsi="Times New Roman"/>
          <w:color w:val="000000" w:themeColor="tx1" w:themeShade="FF"/>
          <w:szCs w:val="22"/>
        </w:rPr>
        <w:t xml:space="preserve">. </w:t>
      </w:r>
    </w:p>
    <w:p w:rsidR="00E51230" w:rsidRPr="00354C41" w:rsidP="00E51230">
      <w:pPr>
        <w:tabs>
          <w:tab w:val="left" w:pos="284"/>
        </w:tabs>
        <w:suppressAutoHyphens/>
        <w:bidi w:val="0"/>
        <w:rPr>
          <w:rFonts w:ascii="Times New Roman" w:hAnsi="Times New Roman"/>
          <w:szCs w:val="22"/>
        </w:rPr>
      </w:pPr>
      <w:r w:rsidRPr="009C5730">
        <w:rPr>
          <w:rFonts w:ascii="Times New Roman" w:hAnsi="Times New Roman"/>
          <w:b/>
          <w:i/>
          <w:color w:val="000000" w:themeColor="tx1" w:themeShade="FF"/>
          <w:szCs w:val="22"/>
        </w:rPr>
        <w:t>Príjmy z odvodu</w:t>
      </w:r>
      <w:r w:rsidRPr="009C5730">
        <w:rPr>
          <w:rFonts w:ascii="Times New Roman" w:hAnsi="Times New Roman"/>
          <w:color w:val="000000" w:themeColor="tx1" w:themeShade="FF"/>
          <w:szCs w:val="22"/>
        </w:rPr>
        <w:t xml:space="preserve"> tvorili finančné prostriedky zo zúčtovania vzťahov podnikateľských subjektov, príspevkových a rozpočtových organizácií, ústredných orgánov, neziskových organizácií, obcí a</w:t>
      </w:r>
      <w:r w:rsidR="00FB3B91">
        <w:rPr>
          <w:rFonts w:ascii="Times New Roman" w:hAnsi="Times New Roman"/>
          <w:color w:val="000000" w:themeColor="tx1" w:themeShade="FF"/>
          <w:szCs w:val="22"/>
        </w:rPr>
        <w:t xml:space="preserve"> </w:t>
      </w:r>
      <w:r w:rsidRPr="009C5730">
        <w:rPr>
          <w:rFonts w:ascii="Times New Roman" w:hAnsi="Times New Roman"/>
          <w:color w:val="000000" w:themeColor="tx1" w:themeShade="FF"/>
          <w:szCs w:val="22"/>
        </w:rPr>
        <w:t xml:space="preserve">vyšších územných celkov so štátnym rozpočtom. </w:t>
      </w:r>
      <w:r w:rsidRPr="007C3D5E">
        <w:rPr>
          <w:rFonts w:ascii="Times New Roman" w:hAnsi="Times New Roman"/>
          <w:szCs w:val="22"/>
        </w:rPr>
        <w:t>V roku 2017</w:t>
      </w:r>
      <w:r w:rsidR="002B0054">
        <w:rPr>
          <w:rFonts w:ascii="Times New Roman" w:hAnsi="Times New Roman"/>
          <w:szCs w:val="22"/>
        </w:rPr>
        <w:t xml:space="preserve"> ich objem dosiahol 12 963 tis. eur</w:t>
      </w:r>
      <w:r w:rsidRPr="007C3D5E">
        <w:rPr>
          <w:rFonts w:ascii="Times New Roman" w:hAnsi="Times New Roman"/>
          <w:szCs w:val="22"/>
        </w:rPr>
        <w:t xml:space="preserve">, z toho 12 952 tis. eur v kapitole Všeobecná pokladničná správa. </w:t>
      </w:r>
      <w:r w:rsidRPr="00354C41">
        <w:rPr>
          <w:rFonts w:ascii="Times New Roman" w:hAnsi="Times New Roman"/>
          <w:szCs w:val="22"/>
        </w:rPr>
        <w:t>Najväčší podiel na tejto sume predstavoval príjem z finančného zúčtovania s Ministerstvom práce, sociálnych vecí a rodiny SR v sume 5 151 tis. eur, Ministerstvom dopravy a výstavby SR v sume 2 430 tis. eur a</w:t>
      </w:r>
      <w:r w:rsidR="00FB3B91">
        <w:rPr>
          <w:rFonts w:ascii="Times New Roman" w:hAnsi="Times New Roman"/>
          <w:szCs w:val="22"/>
        </w:rPr>
        <w:t xml:space="preserve"> </w:t>
      </w:r>
      <w:r w:rsidRPr="00354C41">
        <w:rPr>
          <w:rFonts w:ascii="Times New Roman" w:hAnsi="Times New Roman"/>
          <w:szCs w:val="22"/>
        </w:rPr>
        <w:t>Ministerstvom zdravotníctva SR v sume 1 164 tis. eur.</w:t>
      </w:r>
    </w:p>
    <w:p w:rsidR="00E51230" w:rsidRPr="00A36565" w:rsidP="00E51230">
      <w:pPr>
        <w:bidi w:val="0"/>
        <w:spacing w:after="200" w:line="360" w:lineRule="auto"/>
        <w:rPr>
          <w:rFonts w:ascii="Times New Roman" w:hAnsi="Times New Roman"/>
          <w:szCs w:val="22"/>
        </w:rPr>
      </w:pPr>
      <w:r w:rsidRPr="00875FE3">
        <w:rPr>
          <w:rFonts w:ascii="Times New Roman" w:hAnsi="Times New Roman"/>
          <w:b/>
          <w:i/>
          <w:color w:val="000000" w:themeColor="tx1" w:themeShade="FF"/>
          <w:szCs w:val="22"/>
        </w:rPr>
        <w:t>Príjmy z vratiek</w:t>
      </w:r>
      <w:r w:rsidRPr="00875FE3">
        <w:rPr>
          <w:rFonts w:ascii="Times New Roman" w:hAnsi="Times New Roman"/>
          <w:color w:val="000000" w:themeColor="tx1" w:themeShade="FF"/>
          <w:szCs w:val="22"/>
        </w:rPr>
        <w:t xml:space="preserve"> sa rozpočtovali v objeme 11 877 tis. eur a v skutočnosti dosiahli 24 684 tis. eur. Najvyššiu </w:t>
      </w:r>
      <w:r w:rsidR="00FB3B91">
        <w:rPr>
          <w:rFonts w:ascii="Times New Roman" w:hAnsi="Times New Roman"/>
          <w:color w:val="000000" w:themeColor="tx1" w:themeShade="FF"/>
          <w:szCs w:val="22"/>
        </w:rPr>
        <w:t>hodnotu</w:t>
      </w:r>
      <w:r w:rsidRPr="00875FE3">
        <w:rPr>
          <w:rFonts w:ascii="Times New Roman" w:hAnsi="Times New Roman"/>
          <w:color w:val="000000" w:themeColor="tx1" w:themeShade="FF"/>
          <w:szCs w:val="22"/>
        </w:rPr>
        <w:t xml:space="preserve"> v objeme 20 272 tis. eur prijala Všeobecná pokladničná správa.</w:t>
      </w:r>
      <w:r w:rsidRPr="00875FE3">
        <w:rPr>
          <w:rFonts w:ascii="Times New Roman" w:hAnsi="Times New Roman"/>
          <w:color w:val="FF0000"/>
          <w:szCs w:val="22"/>
        </w:rPr>
        <w:t xml:space="preserve"> </w:t>
      </w:r>
      <w:r w:rsidR="0035704D">
        <w:rPr>
          <w:rFonts w:ascii="Times New Roman" w:hAnsi="Times New Roman"/>
          <w:szCs w:val="22"/>
        </w:rPr>
        <w:t>Išlo najmä o </w:t>
      </w:r>
      <w:r w:rsidRPr="00875FE3">
        <w:rPr>
          <w:rFonts w:ascii="Times New Roman" w:hAnsi="Times New Roman"/>
          <w:szCs w:val="22"/>
        </w:rPr>
        <w:t xml:space="preserve">vrátenie predfinancovania za Švajčiarsky finančný mechanizmus vo výške </w:t>
      </w:r>
      <w:r>
        <w:rPr>
          <w:rFonts w:ascii="Times New Roman" w:hAnsi="Times New Roman"/>
          <w:szCs w:val="22"/>
        </w:rPr>
        <w:t>10 639 tis. </w:t>
      </w:r>
      <w:r w:rsidRPr="00875FE3">
        <w:rPr>
          <w:rFonts w:ascii="Times New Roman" w:hAnsi="Times New Roman"/>
          <w:szCs w:val="22"/>
        </w:rPr>
        <w:t>eur a</w:t>
      </w:r>
      <w:r w:rsidR="00FB3B91">
        <w:rPr>
          <w:rFonts w:ascii="Times New Roman" w:hAnsi="Times New Roman"/>
          <w:szCs w:val="22"/>
        </w:rPr>
        <w:t xml:space="preserve"> </w:t>
      </w:r>
      <w:r w:rsidRPr="00875FE3">
        <w:rPr>
          <w:rFonts w:ascii="Times New Roman" w:hAnsi="Times New Roman"/>
          <w:szCs w:val="22"/>
        </w:rPr>
        <w:t xml:space="preserve">vrátenie prostriedkov z operačného programu Cezhraničná spolupráca SR-ČR 2007-2013 poskytnutých pre operačný program z dôvodu preklenutia nedostatočnej likvidity na bankovom účte certifikačného orgánu </w:t>
      </w:r>
      <w:r>
        <w:rPr>
          <w:rFonts w:ascii="Times New Roman" w:hAnsi="Times New Roman"/>
          <w:szCs w:val="22"/>
        </w:rPr>
        <w:t>v sume 8 720 tis. </w:t>
      </w:r>
      <w:r w:rsidRPr="00875FE3">
        <w:rPr>
          <w:rFonts w:ascii="Times New Roman" w:hAnsi="Times New Roman"/>
          <w:szCs w:val="22"/>
        </w:rPr>
        <w:t xml:space="preserve">eur. </w:t>
      </w:r>
      <w:r w:rsidRPr="00B804EB">
        <w:rPr>
          <w:rFonts w:ascii="Times New Roman" w:hAnsi="Times New Roman"/>
          <w:color w:val="000000" w:themeColor="tx1" w:themeShade="FF"/>
          <w:szCs w:val="22"/>
        </w:rPr>
        <w:t xml:space="preserve">Ministerstvo zdravotníctva SR získalo </w:t>
      </w:r>
      <w:r w:rsidR="005A2A78">
        <w:rPr>
          <w:rFonts w:ascii="Times New Roman" w:hAnsi="Times New Roman"/>
          <w:color w:val="000000" w:themeColor="tx1" w:themeShade="FF"/>
          <w:szCs w:val="22"/>
        </w:rPr>
        <w:t xml:space="preserve">sumu </w:t>
      </w:r>
      <w:r w:rsidRPr="00B804EB">
        <w:rPr>
          <w:rFonts w:ascii="Times New Roman" w:hAnsi="Times New Roman"/>
          <w:color w:val="000000" w:themeColor="tx1" w:themeShade="FF"/>
          <w:szCs w:val="22"/>
        </w:rPr>
        <w:t>942 tis. eur</w:t>
      </w:r>
      <w:r w:rsidR="005A2A78">
        <w:rPr>
          <w:rFonts w:ascii="Times New Roman" w:hAnsi="Times New Roman"/>
          <w:color w:val="000000" w:themeColor="tx1" w:themeShade="FF"/>
          <w:szCs w:val="22"/>
        </w:rPr>
        <w:t xml:space="preserve"> a </w:t>
      </w:r>
      <w:r w:rsidRPr="00B804EB">
        <w:rPr>
          <w:rFonts w:ascii="Times New Roman" w:hAnsi="Times New Roman"/>
          <w:color w:val="000000" w:themeColor="tx1" w:themeShade="FF"/>
          <w:szCs w:val="22"/>
        </w:rPr>
        <w:t xml:space="preserve">Ministerstvo práce, sociálnych vecí a rodiny SR 868 tis. eur. Ostatné kapitoly dosiahli menšie </w:t>
      </w:r>
      <w:r w:rsidR="00FB3B91">
        <w:rPr>
          <w:rFonts w:ascii="Times New Roman" w:hAnsi="Times New Roman"/>
          <w:color w:val="000000" w:themeColor="tx1" w:themeShade="FF"/>
          <w:szCs w:val="22"/>
        </w:rPr>
        <w:t>sumy</w:t>
      </w:r>
      <w:r w:rsidRPr="00B804EB">
        <w:rPr>
          <w:rFonts w:ascii="Times New Roman" w:hAnsi="Times New Roman"/>
          <w:color w:val="000000" w:themeColor="tx1" w:themeShade="FF"/>
          <w:szCs w:val="22"/>
        </w:rPr>
        <w:t>.</w:t>
      </w:r>
    </w:p>
    <w:p w:rsidR="00E51230" w:rsidRPr="00073F56" w:rsidP="00E51230">
      <w:pPr>
        <w:tabs>
          <w:tab w:val="left" w:pos="284"/>
        </w:tabs>
        <w:suppressAutoHyphens/>
        <w:bidi w:val="0"/>
        <w:rPr>
          <w:rFonts w:ascii="Times New Roman" w:hAnsi="Times New Roman"/>
          <w:color w:val="000000" w:themeColor="tx1" w:themeShade="FF"/>
          <w:szCs w:val="22"/>
        </w:rPr>
      </w:pPr>
      <w:r w:rsidRPr="001F0F90">
        <w:rPr>
          <w:rFonts w:ascii="Times New Roman" w:hAnsi="Times New Roman"/>
          <w:b/>
          <w:i/>
          <w:color w:val="000000" w:themeColor="tx1" w:themeShade="FF"/>
          <w:szCs w:val="22"/>
        </w:rPr>
        <w:t xml:space="preserve">Iné príjmy </w:t>
      </w:r>
      <w:r w:rsidRPr="001F0F90">
        <w:rPr>
          <w:rFonts w:ascii="Times New Roman" w:hAnsi="Times New Roman"/>
          <w:color w:val="000000" w:themeColor="tx1" w:themeShade="FF"/>
          <w:szCs w:val="22"/>
        </w:rPr>
        <w:t>dosiahli plnenie 97 938 tis. eur</w:t>
      </w:r>
      <w:r w:rsidR="009D224D">
        <w:rPr>
          <w:rFonts w:ascii="Times New Roman" w:hAnsi="Times New Roman"/>
          <w:color w:val="000000" w:themeColor="tx1" w:themeShade="FF"/>
          <w:szCs w:val="22"/>
        </w:rPr>
        <w:t>,</w:t>
      </w:r>
      <w:r w:rsidRPr="001F0F90">
        <w:rPr>
          <w:rFonts w:ascii="Times New Roman" w:hAnsi="Times New Roman"/>
          <w:color w:val="000000" w:themeColor="tx1" w:themeShade="FF"/>
          <w:szCs w:val="22"/>
        </w:rPr>
        <w:t xml:space="preserve"> </w:t>
      </w:r>
      <w:r w:rsidR="009D224D">
        <w:rPr>
          <w:rFonts w:ascii="Times New Roman" w:hAnsi="Times New Roman"/>
          <w:color w:val="000000" w:themeColor="tx1" w:themeShade="FF"/>
          <w:szCs w:val="22"/>
        </w:rPr>
        <w:t>z č</w:t>
      </w:r>
      <w:r>
        <w:rPr>
          <w:rFonts w:ascii="Times New Roman" w:hAnsi="Times New Roman"/>
          <w:color w:val="000000" w:themeColor="tx1" w:themeShade="FF"/>
          <w:szCs w:val="22"/>
        </w:rPr>
        <w:t xml:space="preserve">oho </w:t>
      </w:r>
      <w:r w:rsidRPr="000E6005" w:rsidR="009D224D">
        <w:rPr>
          <w:rFonts w:ascii="Times New Roman" w:hAnsi="Times New Roman"/>
          <w:color w:val="000000" w:themeColor="tx1" w:themeShade="FF"/>
          <w:szCs w:val="22"/>
        </w:rPr>
        <w:t>77 987 tis. eur</w:t>
      </w:r>
      <w:r w:rsidR="009D224D">
        <w:rPr>
          <w:rFonts w:ascii="Times New Roman" w:hAnsi="Times New Roman"/>
          <w:color w:val="000000" w:themeColor="tx1" w:themeShade="FF"/>
          <w:szCs w:val="22"/>
        </w:rPr>
        <w:t xml:space="preserve"> predstavovali príjmy </w:t>
      </w:r>
      <w:r w:rsidR="00127817">
        <w:rPr>
          <w:rFonts w:ascii="Times New Roman" w:hAnsi="Times New Roman"/>
          <w:color w:val="000000" w:themeColor="tx1" w:themeShade="FF"/>
          <w:szCs w:val="22"/>
        </w:rPr>
        <w:br/>
      </w:r>
      <w:r w:rsidRPr="000E6005">
        <w:rPr>
          <w:rFonts w:ascii="Times New Roman" w:hAnsi="Times New Roman"/>
          <w:color w:val="000000" w:themeColor="tx1" w:themeShade="FF"/>
          <w:szCs w:val="22"/>
        </w:rPr>
        <w:t>od prevádzk</w:t>
      </w:r>
      <w:r w:rsidR="00FB3B91">
        <w:rPr>
          <w:rFonts w:ascii="Times New Roman" w:hAnsi="Times New Roman"/>
          <w:color w:val="000000" w:themeColor="tx1" w:themeShade="FF"/>
          <w:szCs w:val="22"/>
        </w:rPr>
        <w:t xml:space="preserve">ovateľov distribučných sústav a </w:t>
      </w:r>
      <w:r w:rsidRPr="000E6005">
        <w:rPr>
          <w:rFonts w:ascii="Times New Roman" w:hAnsi="Times New Roman"/>
          <w:color w:val="000000" w:themeColor="tx1" w:themeShade="FF"/>
          <w:szCs w:val="22"/>
        </w:rPr>
        <w:t xml:space="preserve">prenosovej sústavy, ktorí sú povinní odvádzať do štátneho rozpočtu odvod z množstva elektriny dodanej </w:t>
      </w:r>
      <w:r w:rsidR="00073F56">
        <w:rPr>
          <w:rFonts w:ascii="Times New Roman" w:hAnsi="Times New Roman"/>
          <w:color w:val="000000" w:themeColor="tx1" w:themeShade="FF"/>
          <w:szCs w:val="22"/>
        </w:rPr>
        <w:t>koncovým odberateľom elektriny.</w:t>
      </w:r>
      <w:r>
        <w:rPr>
          <w:rStyle w:val="FootnoteReference"/>
          <w:rFonts w:ascii="Times New Roman" w:hAnsi="Times New Roman"/>
          <w:color w:val="000000" w:themeColor="tx1" w:themeShade="FF"/>
          <w:szCs w:val="22"/>
          <w:rtl w:val="0"/>
        </w:rPr>
        <w:footnoteReference w:id="15"/>
      </w:r>
      <w:r w:rsidR="00073F56">
        <w:rPr>
          <w:rFonts w:ascii="Times New Roman" w:hAnsi="Times New Roman"/>
          <w:color w:val="000000" w:themeColor="tx1" w:themeShade="FF"/>
          <w:szCs w:val="22"/>
        </w:rPr>
        <w:t xml:space="preserve"> </w:t>
      </w:r>
      <w:r w:rsidR="009D224D">
        <w:rPr>
          <w:rFonts w:ascii="Times New Roman" w:hAnsi="Times New Roman"/>
          <w:color w:val="000000" w:themeColor="tx1" w:themeShade="FF"/>
          <w:szCs w:val="22"/>
        </w:rPr>
        <w:t>Ďalšie p</w:t>
      </w:r>
      <w:r w:rsidRPr="00DF38C4" w:rsidR="009D224D">
        <w:rPr>
          <w:rFonts w:ascii="Times New Roman" w:hAnsi="Times New Roman"/>
          <w:color w:val="000000" w:themeColor="tx1" w:themeShade="FF"/>
          <w:szCs w:val="22"/>
        </w:rPr>
        <w:t>rostriedky</w:t>
      </w:r>
      <w:r w:rsidRPr="00DF38C4">
        <w:rPr>
          <w:rFonts w:ascii="Times New Roman" w:hAnsi="Times New Roman"/>
          <w:color w:val="000000" w:themeColor="tx1" w:themeShade="FF"/>
          <w:szCs w:val="22"/>
        </w:rPr>
        <w:t xml:space="preserve"> </w:t>
      </w:r>
      <w:r w:rsidR="009D224D">
        <w:rPr>
          <w:rFonts w:ascii="Times New Roman" w:hAnsi="Times New Roman"/>
          <w:color w:val="000000" w:themeColor="tx1" w:themeShade="FF"/>
          <w:szCs w:val="22"/>
        </w:rPr>
        <w:t xml:space="preserve">vo výške 8 471 tis. eur </w:t>
      </w:r>
      <w:r w:rsidRPr="00DF38C4">
        <w:rPr>
          <w:rFonts w:ascii="Times New Roman" w:hAnsi="Times New Roman"/>
          <w:color w:val="000000" w:themeColor="tx1" w:themeShade="FF"/>
          <w:szCs w:val="22"/>
        </w:rPr>
        <w:t>plynuli najmä z úhrad trov</w:t>
      </w:r>
      <w:r>
        <w:rPr>
          <w:rFonts w:ascii="Times New Roman" w:hAnsi="Times New Roman"/>
          <w:color w:val="000000" w:themeColor="tx1" w:themeShade="FF"/>
          <w:szCs w:val="22"/>
        </w:rPr>
        <w:t xml:space="preserve"> konania a</w:t>
      </w:r>
      <w:r w:rsidRPr="00DF38C4">
        <w:rPr>
          <w:rFonts w:ascii="Times New Roman" w:hAnsi="Times New Roman"/>
          <w:color w:val="000000" w:themeColor="tx1" w:themeShade="FF"/>
          <w:szCs w:val="22"/>
        </w:rPr>
        <w:t xml:space="preserve"> výkonu väzby a</w:t>
      </w:r>
      <w:r w:rsidR="00FB3B91">
        <w:rPr>
          <w:rFonts w:ascii="Times New Roman" w:hAnsi="Times New Roman"/>
          <w:color w:val="000000" w:themeColor="tx1" w:themeShade="FF"/>
          <w:szCs w:val="22"/>
        </w:rPr>
        <w:t xml:space="preserve"> </w:t>
      </w:r>
      <w:r>
        <w:rPr>
          <w:rFonts w:ascii="Times New Roman" w:hAnsi="Times New Roman"/>
          <w:color w:val="000000" w:themeColor="tx1" w:themeShade="FF"/>
          <w:szCs w:val="22"/>
        </w:rPr>
        <w:t xml:space="preserve">výkonu </w:t>
      </w:r>
      <w:r w:rsidRPr="00DF38C4">
        <w:rPr>
          <w:rFonts w:ascii="Times New Roman" w:hAnsi="Times New Roman"/>
          <w:color w:val="000000" w:themeColor="tx1" w:themeShade="FF"/>
          <w:szCs w:val="22"/>
        </w:rPr>
        <w:t>trestu</w:t>
      </w:r>
      <w:r>
        <w:rPr>
          <w:rFonts w:ascii="Times New Roman" w:hAnsi="Times New Roman"/>
          <w:color w:val="000000" w:themeColor="tx1" w:themeShade="FF"/>
          <w:szCs w:val="22"/>
        </w:rPr>
        <w:t xml:space="preserve"> odňatia slobody</w:t>
      </w:r>
      <w:r w:rsidRPr="00DF38C4">
        <w:rPr>
          <w:rFonts w:ascii="Times New Roman" w:hAnsi="Times New Roman"/>
          <w:color w:val="000000" w:themeColor="tx1" w:themeShade="FF"/>
          <w:szCs w:val="22"/>
        </w:rPr>
        <w:t>, z úhrad pohľadávok obvinených a</w:t>
      </w:r>
      <w:r w:rsidR="00FB3B91">
        <w:rPr>
          <w:rFonts w:ascii="Times New Roman" w:hAnsi="Times New Roman"/>
          <w:color w:val="000000" w:themeColor="tx1" w:themeShade="FF"/>
          <w:szCs w:val="22"/>
        </w:rPr>
        <w:t xml:space="preserve"> </w:t>
      </w:r>
      <w:r w:rsidRPr="00DF38C4">
        <w:rPr>
          <w:rFonts w:ascii="Times New Roman" w:hAnsi="Times New Roman"/>
          <w:color w:val="000000" w:themeColor="tx1" w:themeShade="FF"/>
          <w:szCs w:val="22"/>
        </w:rPr>
        <w:t>odsúdených, z prepadnutých kaucií,</w:t>
      </w:r>
      <w:r w:rsidR="00FB3B91">
        <w:rPr>
          <w:rFonts w:ascii="Times New Roman" w:hAnsi="Times New Roman"/>
          <w:color w:val="000000" w:themeColor="tx1" w:themeShade="FF"/>
          <w:szCs w:val="22"/>
        </w:rPr>
        <w:t xml:space="preserve"> zábezpek, z prepísaných mánk a </w:t>
      </w:r>
      <w:r w:rsidRPr="00DF38C4">
        <w:rPr>
          <w:rFonts w:ascii="Times New Roman" w:hAnsi="Times New Roman"/>
          <w:color w:val="000000" w:themeColor="tx1" w:themeShade="FF"/>
          <w:szCs w:val="22"/>
        </w:rPr>
        <w:t>škôd a</w:t>
      </w:r>
      <w:r w:rsidR="00FB3B91">
        <w:rPr>
          <w:rFonts w:ascii="Times New Roman" w:hAnsi="Times New Roman"/>
          <w:color w:val="000000" w:themeColor="tx1" w:themeShade="FF"/>
          <w:szCs w:val="22"/>
        </w:rPr>
        <w:t xml:space="preserve"> </w:t>
      </w:r>
      <w:r w:rsidRPr="00DF38C4">
        <w:rPr>
          <w:rFonts w:ascii="Times New Roman" w:hAnsi="Times New Roman"/>
          <w:color w:val="000000" w:themeColor="tx1" w:themeShade="FF"/>
          <w:szCs w:val="22"/>
        </w:rPr>
        <w:t xml:space="preserve">iných. </w:t>
      </w:r>
      <w:r w:rsidRPr="00183379">
        <w:rPr>
          <w:rFonts w:ascii="Times New Roman" w:hAnsi="Times New Roman"/>
          <w:color w:val="000000" w:themeColor="tx1" w:themeShade="FF"/>
          <w:szCs w:val="22"/>
        </w:rPr>
        <w:t xml:space="preserve">Ministerstvo vnútra SR získalo iné príjmy v čiastke 4 442 tis. eur. </w:t>
      </w:r>
      <w:r w:rsidRPr="004D26D6">
        <w:rPr>
          <w:rFonts w:ascii="Times New Roman" w:hAnsi="Times New Roman"/>
          <w:color w:val="000000" w:themeColor="tx1" w:themeShade="FF"/>
          <w:szCs w:val="22"/>
        </w:rPr>
        <w:t>V nej najvyšší podiel majú odvody za odňatie poľnohospodárskej pôdy a</w:t>
      </w:r>
      <w:r w:rsidR="00FB3B91">
        <w:rPr>
          <w:rFonts w:ascii="Times New Roman" w:hAnsi="Times New Roman"/>
          <w:color w:val="000000" w:themeColor="tx1" w:themeShade="FF"/>
          <w:szCs w:val="22"/>
        </w:rPr>
        <w:t xml:space="preserve"> </w:t>
      </w:r>
      <w:r w:rsidRPr="004D26D6">
        <w:rPr>
          <w:rFonts w:ascii="Times New Roman" w:hAnsi="Times New Roman"/>
          <w:color w:val="000000" w:themeColor="tx1" w:themeShade="FF"/>
          <w:szCs w:val="22"/>
        </w:rPr>
        <w:t>lesnej pôd</w:t>
      </w:r>
      <w:r w:rsidR="00FB3B91">
        <w:rPr>
          <w:rFonts w:ascii="Times New Roman" w:hAnsi="Times New Roman"/>
          <w:color w:val="000000" w:themeColor="tx1" w:themeShade="FF"/>
          <w:szCs w:val="22"/>
        </w:rPr>
        <w:t xml:space="preserve">y, príjmy z predpísaných mánk a </w:t>
      </w:r>
      <w:r w:rsidRPr="004D26D6">
        <w:rPr>
          <w:rFonts w:ascii="Times New Roman" w:hAnsi="Times New Roman"/>
          <w:color w:val="000000" w:themeColor="tx1" w:themeShade="FF"/>
          <w:szCs w:val="22"/>
        </w:rPr>
        <w:t>škôd, príjmy z trov konania, príjmy z dedičského konania, príjmy z poplatkov za obnovu evidencie pozemkov a</w:t>
      </w:r>
      <w:r w:rsidR="006436EF">
        <w:rPr>
          <w:rFonts w:ascii="Times New Roman" w:hAnsi="Times New Roman"/>
          <w:color w:val="000000" w:themeColor="tx1" w:themeShade="FF"/>
          <w:szCs w:val="22"/>
        </w:rPr>
        <w:t xml:space="preserve"> </w:t>
      </w:r>
      <w:r w:rsidRPr="004D26D6">
        <w:rPr>
          <w:rFonts w:ascii="Times New Roman" w:hAnsi="Times New Roman"/>
          <w:color w:val="000000" w:themeColor="tx1" w:themeShade="FF"/>
          <w:szCs w:val="22"/>
        </w:rPr>
        <w:t>iné.</w:t>
      </w:r>
    </w:p>
    <w:p w:rsidR="00E51230" w:rsidRPr="002B0054" w:rsidP="00E51230">
      <w:pPr>
        <w:tabs>
          <w:tab w:val="left" w:pos="284"/>
        </w:tabs>
        <w:suppressAutoHyphens/>
        <w:bidi w:val="0"/>
        <w:rPr>
          <w:rFonts w:ascii="Times New Roman" w:hAnsi="Times New Roman"/>
          <w:b/>
          <w:color w:val="000000" w:themeColor="tx1" w:themeShade="FF"/>
        </w:rPr>
      </w:pPr>
      <w:r w:rsidRPr="002B0054">
        <w:rPr>
          <w:rFonts w:ascii="Times New Roman" w:hAnsi="Times New Roman"/>
          <w:b/>
          <w:i/>
          <w:color w:val="000000" w:themeColor="tx1" w:themeShade="FF"/>
          <w:szCs w:val="22"/>
        </w:rPr>
        <w:t>Podrobné údaje o plnení nedaňových príjmov štátneho rozpočtu v</w:t>
      </w:r>
      <w:r w:rsidR="001545D9">
        <w:rPr>
          <w:rFonts w:ascii="Times New Roman" w:hAnsi="Times New Roman"/>
          <w:b/>
          <w:i/>
          <w:color w:val="000000" w:themeColor="tx1" w:themeShade="FF"/>
          <w:szCs w:val="22"/>
        </w:rPr>
        <w:t> roku 2017 sú uvedené v tab. č. </w:t>
      </w:r>
      <w:r w:rsidRPr="002B0054">
        <w:rPr>
          <w:rFonts w:ascii="Times New Roman" w:hAnsi="Times New Roman"/>
          <w:b/>
          <w:i/>
          <w:color w:val="000000" w:themeColor="tx1" w:themeShade="FF"/>
          <w:szCs w:val="22"/>
        </w:rPr>
        <w:t>3 tabuľkovej prílohy štátneho záverečného účtu.</w:t>
      </w:r>
    </w:p>
    <w:p w:rsidR="00EB7A00">
      <w:pPr>
        <w:bidi w:val="0"/>
        <w:spacing w:after="200" w:line="276" w:lineRule="auto"/>
        <w:jc w:val="left"/>
        <w:rPr>
          <w:rFonts w:ascii="Times New Roman" w:hAnsi="Times New Roman" w:eastAsiaTheme="majorEastAsia"/>
          <w:b/>
          <w:bCs/>
          <w:sz w:val="24"/>
        </w:rPr>
      </w:pPr>
      <w:bookmarkStart w:id="46" w:name="_Toc479313238"/>
      <w:r>
        <w:rPr>
          <w:rFonts w:ascii="Times New Roman" w:hAnsi="Times New Roman"/>
        </w:rPr>
        <w:br w:type="page"/>
      </w:r>
    </w:p>
    <w:p w:rsidR="00693173" w:rsidRPr="004D79E7" w:rsidP="003E2C97">
      <w:pPr>
        <w:pStyle w:val="Heading3"/>
        <w:numPr>
          <w:ilvl w:val="0"/>
          <w:numId w:val="0"/>
        </w:numPr>
        <w:bidi w:val="0"/>
        <w:ind w:left="709" w:firstLine="0"/>
      </w:pPr>
      <w:bookmarkStart w:id="47" w:name="_Toc512599670"/>
      <w:r w:rsidR="003E2C97">
        <w:t xml:space="preserve">3.1.3 </w:t>
      </w:r>
      <w:r w:rsidRPr="004D79E7">
        <w:t>Granty a</w:t>
      </w:r>
      <w:r w:rsidR="009E6FAD">
        <w:t xml:space="preserve"> </w:t>
      </w:r>
      <w:r w:rsidRPr="004D79E7">
        <w:t>transfery</w:t>
      </w:r>
      <w:bookmarkEnd w:id="46"/>
      <w:bookmarkEnd w:id="47"/>
    </w:p>
    <w:p w:rsidR="004D79E7" w:rsidRPr="007C5ABB" w:rsidP="004D79E7">
      <w:pPr>
        <w:bidi w:val="0"/>
        <w:rPr>
          <w:rFonts w:ascii="Times New Roman" w:hAnsi="Times New Roman"/>
          <w:color w:val="000000" w:themeColor="tx1" w:themeShade="FF"/>
          <w:szCs w:val="22"/>
        </w:rPr>
      </w:pPr>
      <w:r w:rsidRPr="008B5EFD">
        <w:rPr>
          <w:rFonts w:ascii="Times New Roman" w:hAnsi="Times New Roman"/>
          <w:color w:val="000000" w:themeColor="tx1" w:themeShade="FF"/>
          <w:szCs w:val="22"/>
        </w:rPr>
        <w:t>Granty a</w:t>
      </w:r>
      <w:r w:rsidR="002B0054">
        <w:rPr>
          <w:rFonts w:ascii="Times New Roman" w:hAnsi="Times New Roman"/>
          <w:color w:val="000000" w:themeColor="tx1" w:themeShade="FF"/>
          <w:szCs w:val="22"/>
        </w:rPr>
        <w:t xml:space="preserve"> </w:t>
      </w:r>
      <w:r w:rsidRPr="008B5EFD">
        <w:rPr>
          <w:rFonts w:ascii="Times New Roman" w:hAnsi="Times New Roman"/>
          <w:color w:val="000000" w:themeColor="tx1" w:themeShade="FF"/>
          <w:szCs w:val="22"/>
        </w:rPr>
        <w:t>transfery boli na rok 2017 rozpočtované v celkovej výške 2 698 578 tis. eur (</w:t>
      </w:r>
      <w:r w:rsidR="00FB3B91">
        <w:rPr>
          <w:rFonts w:ascii="Times New Roman" w:hAnsi="Times New Roman"/>
          <w:color w:val="000000" w:themeColor="tx1" w:themeShade="FF"/>
          <w:szCs w:val="22"/>
        </w:rPr>
        <w:t>v tom</w:t>
      </w:r>
      <w:r w:rsidRPr="008B5EFD">
        <w:rPr>
          <w:rFonts w:ascii="Times New Roman" w:hAnsi="Times New Roman"/>
          <w:color w:val="000000" w:themeColor="tx1" w:themeShade="FF"/>
          <w:szCs w:val="22"/>
        </w:rPr>
        <w:t xml:space="preserve"> zahraničné v sume 2 655 927 tis. eur a</w:t>
      </w:r>
      <w:r w:rsidR="002B0054">
        <w:rPr>
          <w:rFonts w:ascii="Times New Roman" w:hAnsi="Times New Roman"/>
          <w:color w:val="000000" w:themeColor="tx1" w:themeShade="FF"/>
          <w:szCs w:val="22"/>
        </w:rPr>
        <w:t xml:space="preserve"> </w:t>
      </w:r>
      <w:r w:rsidRPr="008B5EFD">
        <w:rPr>
          <w:rFonts w:ascii="Times New Roman" w:hAnsi="Times New Roman"/>
          <w:color w:val="000000" w:themeColor="tx1" w:themeShade="FF"/>
          <w:szCs w:val="22"/>
        </w:rPr>
        <w:t>tuzemské v čiastke 42 651 tis. eu</w:t>
      </w:r>
      <w:r w:rsidR="009924A7">
        <w:rPr>
          <w:rFonts w:ascii="Times New Roman" w:hAnsi="Times New Roman"/>
          <w:color w:val="000000" w:themeColor="tx1" w:themeShade="FF"/>
          <w:szCs w:val="22"/>
        </w:rPr>
        <w:t>r), čo je oproti roku 2016 viac </w:t>
      </w:r>
      <w:r w:rsidRPr="008B5EFD">
        <w:rPr>
          <w:rFonts w:ascii="Times New Roman" w:hAnsi="Times New Roman"/>
          <w:color w:val="000000" w:themeColor="tx1" w:themeShade="FF"/>
          <w:szCs w:val="22"/>
        </w:rPr>
        <w:t xml:space="preserve">o 523 234 tis. eur. </w:t>
      </w:r>
      <w:r w:rsidRPr="007C5ABB">
        <w:rPr>
          <w:rFonts w:ascii="Times New Roman" w:hAnsi="Times New Roman"/>
          <w:color w:val="000000" w:themeColor="tx1" w:themeShade="FF"/>
          <w:szCs w:val="22"/>
        </w:rPr>
        <w:t>Rozpočtovali sa iba transfery, nakoľko výšku grantov, ktoré tvoria príspevky od dobrovoľných darcov, prispievateľov a pod. nie je možné vopred odhadnúť. Skutočné príjmy štátneho rozpočtu z grantov a transferov dosiahli sumu 1 476 362 tis. eur a</w:t>
      </w:r>
      <w:r w:rsidR="009E6FAD">
        <w:rPr>
          <w:rFonts w:ascii="Times New Roman" w:hAnsi="Times New Roman"/>
          <w:color w:val="000000" w:themeColor="tx1" w:themeShade="FF"/>
          <w:szCs w:val="22"/>
        </w:rPr>
        <w:t xml:space="preserve"> </w:t>
      </w:r>
      <w:r w:rsidRPr="007C5ABB">
        <w:rPr>
          <w:rFonts w:ascii="Times New Roman" w:hAnsi="Times New Roman"/>
          <w:color w:val="000000" w:themeColor="tx1" w:themeShade="FF"/>
          <w:szCs w:val="22"/>
        </w:rPr>
        <w:t>v porovnaní s minulým rokom je to menej o 508 426 tis. eur.</w:t>
      </w:r>
    </w:p>
    <w:p w:rsidR="004D79E7" w:rsidP="004D79E7">
      <w:pPr>
        <w:bidi w:val="0"/>
        <w:rPr>
          <w:rFonts w:ascii="Times New Roman" w:hAnsi="Times New Roman"/>
          <w:color w:val="000000" w:themeColor="tx1" w:themeShade="FF"/>
          <w:szCs w:val="22"/>
        </w:rPr>
      </w:pPr>
      <w:r w:rsidRPr="00AC006E">
        <w:rPr>
          <w:rFonts w:ascii="Times New Roman" w:hAnsi="Times New Roman"/>
          <w:color w:val="000000" w:themeColor="tx1" w:themeShade="FF"/>
          <w:szCs w:val="22"/>
        </w:rPr>
        <w:t>Súhrnný prehľad o plnení grantov a transferov poskytuje nasledovná tabuľka:</w:t>
      </w:r>
    </w:p>
    <w:tbl>
      <w:tblPr>
        <w:tblStyle w:val="TableNormal"/>
        <w:tblW w:w="5000" w:type="pct"/>
        <w:tblCellMar>
          <w:left w:w="70" w:type="dxa"/>
          <w:right w:w="70" w:type="dxa"/>
        </w:tblCellMar>
        <w:tblLook w:val="04A0"/>
      </w:tblPr>
      <w:tblGrid>
        <w:gridCol w:w="3038"/>
        <w:gridCol w:w="887"/>
        <w:gridCol w:w="925"/>
        <w:gridCol w:w="945"/>
        <w:gridCol w:w="1227"/>
        <w:gridCol w:w="1077"/>
        <w:gridCol w:w="829"/>
      </w:tblGrid>
      <w:tr>
        <w:tblPrEx>
          <w:tblW w:w="5000" w:type="pct"/>
          <w:tblCellMar>
            <w:left w:w="70" w:type="dxa"/>
            <w:right w:w="70" w:type="dxa"/>
          </w:tblCellMar>
          <w:tblLook w:val="04A0"/>
        </w:tblPrEx>
        <w:trPr>
          <w:trHeight w:val="300"/>
        </w:trPr>
        <w:tc>
          <w:tcPr>
            <w:tcW w:w="4535" w:type="pct"/>
            <w:gridSpan w:val="6"/>
            <w:tcBorders>
              <w:top w:val="nil"/>
              <w:left w:val="single" w:sz="8" w:space="0" w:color="auto"/>
              <w:bottom w:val="nil"/>
              <w:right w:val="nil"/>
            </w:tcBorders>
            <w:shd w:val="clear" w:color="000000" w:fill="000000"/>
            <w:textDirection w:val="lrTb"/>
            <w:vAlign w:val="center"/>
            <w:hideMark/>
          </w:tcPr>
          <w:p w:rsidR="004D79E7" w:rsidRPr="00212F27" w:rsidP="00111F29">
            <w:pPr>
              <w:bidi w:val="0"/>
              <w:jc w:val="left"/>
              <w:rPr>
                <w:rFonts w:ascii="Times New Roman" w:hAnsi="Times New Roman"/>
                <w:b/>
                <w:bCs/>
                <w:color w:val="FFFFFF"/>
                <w:sz w:val="18"/>
                <w:szCs w:val="18"/>
              </w:rPr>
            </w:pPr>
            <w:r w:rsidRPr="00212F27">
              <w:rPr>
                <w:rFonts w:ascii="Times New Roman" w:hAnsi="Times New Roman"/>
                <w:b/>
                <w:bCs/>
                <w:color w:val="FFFFFF"/>
                <w:sz w:val="18"/>
                <w:szCs w:val="18"/>
              </w:rPr>
              <w:t>Granty a transfery</w:t>
            </w:r>
          </w:p>
        </w:tc>
        <w:tc>
          <w:tcPr>
            <w:tcW w:w="465" w:type="pct"/>
            <w:tcBorders>
              <w:top w:val="nil"/>
              <w:left w:val="nil"/>
              <w:bottom w:val="nil"/>
              <w:right w:val="nil"/>
            </w:tcBorders>
            <w:shd w:val="clear" w:color="000000" w:fill="000000"/>
            <w:noWrap/>
            <w:textDirection w:val="lrTb"/>
            <w:vAlign w:val="center"/>
            <w:hideMark/>
          </w:tcPr>
          <w:p w:rsidR="004D79E7" w:rsidRPr="00212F27" w:rsidP="00111F29">
            <w:pPr>
              <w:bidi w:val="0"/>
              <w:jc w:val="left"/>
              <w:rPr>
                <w:rFonts w:ascii="Times New Roman" w:hAnsi="Times New Roman"/>
                <w:b/>
                <w:bCs/>
                <w:color w:val="FFFFFF"/>
                <w:sz w:val="18"/>
                <w:szCs w:val="18"/>
              </w:rPr>
            </w:pPr>
            <w:r w:rsidRPr="00212F27">
              <w:rPr>
                <w:rFonts w:ascii="Times New Roman" w:hAnsi="Times New Roman"/>
                <w:b/>
                <w:bCs/>
                <w:color w:val="FFFFFF"/>
                <w:sz w:val="18"/>
                <w:szCs w:val="18"/>
              </w:rPr>
              <w:t>v tis.</w:t>
            </w:r>
            <w:r w:rsidRPr="00212F27" w:rsidR="002B0054">
              <w:rPr>
                <w:rFonts w:ascii="Times New Roman" w:hAnsi="Times New Roman"/>
                <w:b/>
                <w:bCs/>
                <w:color w:val="FFFFFF"/>
                <w:sz w:val="18"/>
                <w:szCs w:val="18"/>
              </w:rPr>
              <w:t xml:space="preserve"> </w:t>
            </w:r>
            <w:r w:rsidRPr="00212F27">
              <w:rPr>
                <w:rFonts w:ascii="Times New Roman" w:hAnsi="Times New Roman"/>
                <w:b/>
                <w:bCs/>
                <w:color w:val="FFFFFF"/>
                <w:sz w:val="18"/>
                <w:szCs w:val="18"/>
              </w:rPr>
              <w:t>eur</w:t>
            </w:r>
          </w:p>
        </w:tc>
      </w:tr>
      <w:tr>
        <w:tblPrEx>
          <w:tblW w:w="5000" w:type="pct"/>
          <w:tblCellMar>
            <w:left w:w="70" w:type="dxa"/>
            <w:right w:w="70" w:type="dxa"/>
          </w:tblCellMar>
          <w:tblLook w:val="04A0"/>
        </w:tblPrEx>
        <w:trPr>
          <w:trHeight w:val="300"/>
        </w:trPr>
        <w:tc>
          <w:tcPr>
            <w:tcW w:w="1702" w:type="pct"/>
            <w:tcBorders>
              <w:top w:val="nil"/>
              <w:left w:val="nil"/>
              <w:bottom w:val="nil"/>
              <w:right w:val="nil"/>
            </w:tcBorders>
            <w:shd w:val="clear" w:color="000000" w:fill="BFBFBF"/>
            <w:textDirection w:val="lrTb"/>
            <w:vAlign w:val="center"/>
            <w:hideMark/>
          </w:tcPr>
          <w:p w:rsidR="004D79E7" w:rsidRPr="00212F27" w:rsidP="00531D02">
            <w:pPr>
              <w:bidi w:val="0"/>
              <w:rPr>
                <w:rFonts w:ascii="Times New Roman" w:hAnsi="Times New Roman"/>
                <w:b/>
                <w:bCs/>
                <w:color w:val="FFFFFF"/>
                <w:sz w:val="18"/>
                <w:szCs w:val="18"/>
              </w:rPr>
            </w:pPr>
            <w:r w:rsidRPr="00212F27">
              <w:rPr>
                <w:rFonts w:ascii="Times New Roman" w:hAnsi="Times New Roman"/>
                <w:b/>
                <w:bCs/>
                <w:color w:val="FFFFFF"/>
                <w:sz w:val="18"/>
                <w:szCs w:val="18"/>
              </w:rPr>
              <w:t> </w:t>
            </w:r>
          </w:p>
        </w:tc>
        <w:tc>
          <w:tcPr>
            <w:tcW w:w="1015" w:type="pct"/>
            <w:gridSpan w:val="2"/>
            <w:tcBorders>
              <w:top w:val="nil"/>
              <w:left w:val="nil"/>
              <w:bottom w:val="nil"/>
              <w:right w:val="nil"/>
            </w:tcBorders>
            <w:shd w:val="clear" w:color="000000" w:fill="BFBFBF"/>
            <w:textDirection w:val="lrTb"/>
            <w:vAlign w:val="center"/>
            <w:hideMark/>
          </w:tcPr>
          <w:p w:rsidR="004D79E7" w:rsidRPr="00212F27" w:rsidP="00531D02">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Skutočnosť</w:t>
            </w:r>
          </w:p>
        </w:tc>
        <w:tc>
          <w:tcPr>
            <w:tcW w:w="529" w:type="pct"/>
            <w:tcBorders>
              <w:top w:val="nil"/>
              <w:left w:val="nil"/>
              <w:bottom w:val="nil"/>
              <w:right w:val="nil"/>
            </w:tcBorders>
            <w:shd w:val="clear" w:color="000000" w:fill="BFBFBF"/>
            <w:textDirection w:val="lrTb"/>
            <w:vAlign w:val="center"/>
            <w:hideMark/>
          </w:tcPr>
          <w:p w:rsidR="004D79E7" w:rsidRPr="00212F27" w:rsidP="00531D02">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Rozpočet</w:t>
            </w:r>
          </w:p>
        </w:tc>
        <w:tc>
          <w:tcPr>
            <w:tcW w:w="687" w:type="pct"/>
            <w:tcBorders>
              <w:top w:val="nil"/>
              <w:left w:val="nil"/>
              <w:bottom w:val="nil"/>
              <w:right w:val="nil"/>
            </w:tcBorders>
            <w:shd w:val="clear" w:color="000000" w:fill="BFBFBF"/>
            <w:textDirection w:val="lrTb"/>
            <w:vAlign w:val="center"/>
            <w:hideMark/>
          </w:tcPr>
          <w:p w:rsidR="004D79E7" w:rsidRPr="00212F27" w:rsidP="00531D02">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Skutočnosť</w:t>
            </w:r>
          </w:p>
        </w:tc>
        <w:tc>
          <w:tcPr>
            <w:tcW w:w="1068" w:type="pct"/>
            <w:gridSpan w:val="2"/>
            <w:tcBorders>
              <w:top w:val="nil"/>
              <w:left w:val="nil"/>
              <w:bottom w:val="nil"/>
              <w:right w:val="nil"/>
            </w:tcBorders>
            <w:shd w:val="clear" w:color="000000" w:fill="BFBFBF"/>
            <w:textDirection w:val="lrTb"/>
            <w:vAlign w:val="center"/>
            <w:hideMark/>
          </w:tcPr>
          <w:p w:rsidR="004D79E7" w:rsidRPr="00212F27" w:rsidP="00531D02">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Rozdiel</w:t>
            </w:r>
          </w:p>
        </w:tc>
      </w:tr>
      <w:tr>
        <w:tblPrEx>
          <w:tblW w:w="5000" w:type="pct"/>
          <w:tblCellMar>
            <w:left w:w="70" w:type="dxa"/>
            <w:right w:w="70" w:type="dxa"/>
          </w:tblCellMar>
          <w:tblLook w:val="04A0"/>
        </w:tblPrEx>
        <w:trPr>
          <w:trHeight w:val="300"/>
        </w:trPr>
        <w:tc>
          <w:tcPr>
            <w:tcW w:w="1702"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sz w:val="18"/>
                <w:szCs w:val="18"/>
              </w:rPr>
            </w:pPr>
          </w:p>
        </w:tc>
        <w:tc>
          <w:tcPr>
            <w:tcW w:w="497"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2015</w:t>
            </w:r>
          </w:p>
        </w:tc>
        <w:tc>
          <w:tcPr>
            <w:tcW w:w="518"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2016</w:t>
            </w:r>
          </w:p>
        </w:tc>
        <w:tc>
          <w:tcPr>
            <w:tcW w:w="529"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2017</w:t>
            </w:r>
          </w:p>
        </w:tc>
        <w:tc>
          <w:tcPr>
            <w:tcW w:w="687"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2017</w:t>
            </w:r>
          </w:p>
        </w:tc>
        <w:tc>
          <w:tcPr>
            <w:tcW w:w="603"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v tis. eur</w:t>
            </w:r>
          </w:p>
        </w:tc>
        <w:tc>
          <w:tcPr>
            <w:tcW w:w="465" w:type="pct"/>
            <w:tcBorders>
              <w:top w:val="nil"/>
              <w:left w:val="nil"/>
              <w:bottom w:val="nil"/>
              <w:right w:val="nil"/>
            </w:tcBorders>
            <w:shd w:val="clear" w:color="000000" w:fill="BFBFBF"/>
            <w:textDirection w:val="lrTb"/>
            <w:vAlign w:val="center"/>
            <w:hideMark/>
          </w:tcPr>
          <w:p w:rsidR="004D79E7" w:rsidRPr="00212F27" w:rsidP="005D46D9">
            <w:pPr>
              <w:bidi w:val="0"/>
              <w:jc w:val="center"/>
              <w:rPr>
                <w:rFonts w:ascii="Times New Roman" w:hAnsi="Times New Roman"/>
                <w:b/>
                <w:bCs/>
                <w:color w:val="000000"/>
                <w:sz w:val="18"/>
                <w:szCs w:val="18"/>
              </w:rPr>
            </w:pPr>
            <w:r w:rsidRPr="00212F27">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00"/>
        </w:trPr>
        <w:tc>
          <w:tcPr>
            <w:tcW w:w="1702"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color w:val="FFFFFF"/>
                <w:sz w:val="18"/>
                <w:szCs w:val="18"/>
              </w:rPr>
            </w:pPr>
          </w:p>
        </w:tc>
        <w:tc>
          <w:tcPr>
            <w:tcW w:w="497"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1</w:t>
            </w:r>
          </w:p>
        </w:tc>
        <w:tc>
          <w:tcPr>
            <w:tcW w:w="518"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2</w:t>
            </w:r>
          </w:p>
        </w:tc>
        <w:tc>
          <w:tcPr>
            <w:tcW w:w="529"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3</w:t>
            </w:r>
          </w:p>
        </w:tc>
        <w:tc>
          <w:tcPr>
            <w:tcW w:w="687"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4</w:t>
            </w:r>
          </w:p>
        </w:tc>
        <w:tc>
          <w:tcPr>
            <w:tcW w:w="603"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5=4-3</w:t>
            </w:r>
          </w:p>
        </w:tc>
        <w:tc>
          <w:tcPr>
            <w:tcW w:w="465" w:type="pct"/>
            <w:tcBorders>
              <w:top w:val="nil"/>
              <w:left w:val="nil"/>
              <w:bottom w:val="single" w:sz="8" w:space="0" w:color="auto"/>
              <w:right w:val="nil"/>
            </w:tcBorders>
            <w:shd w:val="clear" w:color="000000" w:fill="BFBFBF"/>
            <w:textDirection w:val="lrTb"/>
            <w:vAlign w:val="bottom"/>
            <w:hideMark/>
          </w:tcPr>
          <w:p w:rsidR="004D79E7" w:rsidRPr="00212F27" w:rsidP="005D46D9">
            <w:pPr>
              <w:bidi w:val="0"/>
              <w:jc w:val="center"/>
              <w:rPr>
                <w:rFonts w:ascii="Times New Roman" w:hAnsi="Times New Roman"/>
                <w:b/>
                <w:bCs/>
                <w:sz w:val="18"/>
                <w:szCs w:val="18"/>
              </w:rPr>
            </w:pPr>
            <w:r w:rsidRPr="00212F27">
              <w:rPr>
                <w:rFonts w:ascii="Times New Roman" w:hAnsi="Times New Roman"/>
                <w:b/>
                <w:bCs/>
                <w:sz w:val="18"/>
                <w:szCs w:val="18"/>
              </w:rPr>
              <w:t>6=4-3</w:t>
            </w:r>
          </w:p>
        </w:tc>
      </w:tr>
      <w:tr>
        <w:tblPrEx>
          <w:tblW w:w="5000" w:type="pct"/>
          <w:tblCellMar>
            <w:left w:w="70" w:type="dxa"/>
            <w:right w:w="70" w:type="dxa"/>
          </w:tblCellMar>
          <w:tblLook w:val="04A0"/>
        </w:tblPrEx>
        <w:trPr>
          <w:trHeight w:val="300"/>
        </w:trPr>
        <w:tc>
          <w:tcPr>
            <w:tcW w:w="1702" w:type="pct"/>
            <w:tcBorders>
              <w:top w:val="nil"/>
              <w:left w:val="nil"/>
              <w:bottom w:val="nil"/>
              <w:right w:val="nil"/>
            </w:tcBorders>
            <w:shd w:val="clear" w:color="000000" w:fill="FFFFFF"/>
            <w:noWrap/>
            <w:textDirection w:val="lrTb"/>
            <w:vAlign w:val="center"/>
            <w:hideMark/>
          </w:tcPr>
          <w:p w:rsidR="004D79E7" w:rsidRPr="00212F27" w:rsidP="00531D02">
            <w:pPr>
              <w:bidi w:val="0"/>
              <w:rPr>
                <w:rFonts w:ascii="Times New Roman" w:hAnsi="Times New Roman"/>
                <w:color w:val="000000"/>
                <w:sz w:val="18"/>
                <w:szCs w:val="18"/>
              </w:rPr>
            </w:pPr>
            <w:r w:rsidRPr="00212F27">
              <w:rPr>
                <w:rFonts w:ascii="Times New Roman" w:hAnsi="Times New Roman"/>
                <w:color w:val="000000"/>
                <w:sz w:val="18"/>
                <w:szCs w:val="18"/>
              </w:rPr>
              <w:t>Tuzemské granty a transfery</w:t>
            </w:r>
          </w:p>
        </w:tc>
        <w:tc>
          <w:tcPr>
            <w:tcW w:w="497" w:type="pct"/>
            <w:tcBorders>
              <w:top w:val="nil"/>
              <w:left w:val="nil"/>
              <w:bottom w:val="nil"/>
              <w:right w:val="nil"/>
            </w:tcBorders>
            <w:shd w:val="clear" w:color="000000" w:fill="FFFFFF"/>
            <w:noWrap/>
            <w:textDirection w:val="lrTb"/>
            <w:vAlign w:val="bottom"/>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49 027</w:t>
            </w:r>
          </w:p>
        </w:tc>
        <w:tc>
          <w:tcPr>
            <w:tcW w:w="518" w:type="pct"/>
            <w:tcBorders>
              <w:top w:val="nil"/>
              <w:left w:val="nil"/>
              <w:bottom w:val="nil"/>
              <w:right w:val="nil"/>
            </w:tcBorders>
            <w:shd w:val="clear" w:color="000000" w:fill="FFFFFF"/>
            <w:noWrap/>
            <w:textDirection w:val="lrTb"/>
            <w:vAlign w:val="bottom"/>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35 242</w:t>
            </w:r>
          </w:p>
        </w:tc>
        <w:tc>
          <w:tcPr>
            <w:tcW w:w="529" w:type="pct"/>
            <w:tcBorders>
              <w:top w:val="nil"/>
              <w:left w:val="nil"/>
              <w:bottom w:val="nil"/>
              <w:right w:val="nil"/>
            </w:tcBorders>
            <w:shd w:val="clear" w:color="000000" w:fill="FFFFF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42 651</w:t>
            </w:r>
          </w:p>
        </w:tc>
        <w:tc>
          <w:tcPr>
            <w:tcW w:w="687" w:type="pct"/>
            <w:tcBorders>
              <w:top w:val="nil"/>
              <w:left w:val="nil"/>
              <w:bottom w:val="nil"/>
              <w:right w:val="nil"/>
            </w:tcBorders>
            <w:shd w:val="clear" w:color="000000" w:fill="BFBFBF"/>
            <w:noWrap/>
            <w:textDirection w:val="lrTb"/>
            <w:vAlign w:val="bottom"/>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43 128</w:t>
            </w:r>
          </w:p>
        </w:tc>
        <w:tc>
          <w:tcPr>
            <w:tcW w:w="603"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477</w:t>
            </w:r>
          </w:p>
        </w:tc>
        <w:tc>
          <w:tcPr>
            <w:tcW w:w="465"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1,1</w:t>
            </w:r>
          </w:p>
        </w:tc>
      </w:tr>
      <w:tr>
        <w:tblPrEx>
          <w:tblW w:w="5000" w:type="pct"/>
          <w:tblCellMar>
            <w:left w:w="70" w:type="dxa"/>
            <w:right w:w="70" w:type="dxa"/>
          </w:tblCellMar>
          <w:tblLook w:val="04A0"/>
        </w:tblPrEx>
        <w:trPr>
          <w:trHeight w:val="300"/>
        </w:trPr>
        <w:tc>
          <w:tcPr>
            <w:tcW w:w="1702" w:type="pct"/>
            <w:tcBorders>
              <w:top w:val="nil"/>
              <w:left w:val="nil"/>
              <w:bottom w:val="nil"/>
              <w:right w:val="nil"/>
            </w:tcBorders>
            <w:shd w:val="clear" w:color="000000" w:fill="FFFFFF"/>
            <w:noWrap/>
            <w:textDirection w:val="lrTb"/>
            <w:vAlign w:val="center"/>
            <w:hideMark/>
          </w:tcPr>
          <w:p w:rsidR="004D79E7" w:rsidRPr="00212F27" w:rsidP="00531D02">
            <w:pPr>
              <w:bidi w:val="0"/>
              <w:rPr>
                <w:rFonts w:ascii="Times New Roman" w:hAnsi="Times New Roman"/>
                <w:color w:val="000000"/>
                <w:sz w:val="18"/>
                <w:szCs w:val="18"/>
              </w:rPr>
            </w:pPr>
            <w:r w:rsidRPr="00212F27">
              <w:rPr>
                <w:rFonts w:ascii="Times New Roman" w:hAnsi="Times New Roman"/>
                <w:color w:val="000000"/>
                <w:sz w:val="18"/>
                <w:szCs w:val="18"/>
              </w:rPr>
              <w:t>Zahraničné granty a transfery</w:t>
            </w:r>
          </w:p>
        </w:tc>
        <w:tc>
          <w:tcPr>
            <w:tcW w:w="497" w:type="pct"/>
            <w:tcBorders>
              <w:top w:val="nil"/>
              <w:left w:val="nil"/>
              <w:bottom w:val="nil"/>
              <w:right w:val="nil"/>
            </w:tcBorders>
            <w:shd w:val="clear" w:color="000000" w:fill="FFFFF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4 293 335</w:t>
            </w:r>
          </w:p>
        </w:tc>
        <w:tc>
          <w:tcPr>
            <w:tcW w:w="518" w:type="pct"/>
            <w:tcBorders>
              <w:top w:val="nil"/>
              <w:left w:val="nil"/>
              <w:bottom w:val="nil"/>
              <w:right w:val="nil"/>
            </w:tcBorders>
            <w:shd w:val="clear" w:color="000000" w:fill="FFFFF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1 949 546</w:t>
            </w:r>
          </w:p>
        </w:tc>
        <w:tc>
          <w:tcPr>
            <w:tcW w:w="529" w:type="pct"/>
            <w:tcBorders>
              <w:top w:val="nil"/>
              <w:left w:val="nil"/>
              <w:bottom w:val="nil"/>
              <w:right w:val="nil"/>
            </w:tcBorders>
            <w:shd w:val="clear" w:color="000000" w:fill="FFFFF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2 655 927</w:t>
            </w:r>
          </w:p>
        </w:tc>
        <w:tc>
          <w:tcPr>
            <w:tcW w:w="687" w:type="pct"/>
            <w:tcBorders>
              <w:top w:val="nil"/>
              <w:left w:val="nil"/>
              <w:bottom w:val="nil"/>
              <w:right w:val="nil"/>
            </w:tcBorders>
            <w:shd w:val="clear" w:color="000000" w:fill="BFBFB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1 433 234</w:t>
            </w:r>
          </w:p>
        </w:tc>
        <w:tc>
          <w:tcPr>
            <w:tcW w:w="603"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-1 222 693</w:t>
            </w:r>
          </w:p>
        </w:tc>
        <w:tc>
          <w:tcPr>
            <w:tcW w:w="465"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-46,0</w:t>
            </w:r>
          </w:p>
        </w:tc>
      </w:tr>
      <w:tr>
        <w:tblPrEx>
          <w:tblW w:w="5000" w:type="pct"/>
          <w:tblCellMar>
            <w:left w:w="70" w:type="dxa"/>
            <w:right w:w="70" w:type="dxa"/>
          </w:tblCellMar>
          <w:tblLook w:val="04A0"/>
        </w:tblPrEx>
        <w:trPr>
          <w:trHeight w:val="300"/>
        </w:trPr>
        <w:tc>
          <w:tcPr>
            <w:tcW w:w="1702" w:type="pct"/>
            <w:tcBorders>
              <w:top w:val="nil"/>
              <w:left w:val="nil"/>
              <w:bottom w:val="nil"/>
              <w:right w:val="nil"/>
            </w:tcBorders>
            <w:shd w:val="clear" w:color="000000" w:fill="FFFFFF"/>
            <w:noWrap/>
            <w:textDirection w:val="lrTb"/>
            <w:vAlign w:val="center"/>
            <w:hideMark/>
          </w:tcPr>
          <w:p w:rsidR="004D79E7" w:rsidRPr="00212F27" w:rsidP="00531D02">
            <w:pPr>
              <w:bidi w:val="0"/>
              <w:rPr>
                <w:rFonts w:ascii="Times New Roman" w:hAnsi="Times New Roman"/>
                <w:color w:val="000000"/>
                <w:sz w:val="18"/>
                <w:szCs w:val="18"/>
              </w:rPr>
            </w:pPr>
            <w:r w:rsidRPr="00212F27">
              <w:rPr>
                <w:rFonts w:ascii="Times New Roman" w:hAnsi="Times New Roman"/>
                <w:color w:val="000000"/>
                <w:sz w:val="18"/>
                <w:szCs w:val="18"/>
              </w:rPr>
              <w:t xml:space="preserve">       z toho: prostriedky z rozpočtu EÚ</w:t>
            </w:r>
          </w:p>
        </w:tc>
        <w:tc>
          <w:tcPr>
            <w:tcW w:w="497" w:type="pct"/>
            <w:tcBorders>
              <w:top w:val="nil"/>
              <w:left w:val="nil"/>
              <w:bottom w:val="nil"/>
              <w:right w:val="nil"/>
            </w:tcBorders>
            <w:shd w:val="clear" w:color="000000" w:fill="FFFFFF"/>
            <w:noWrap/>
            <w:textDirection w:val="lrTb"/>
            <w:vAlign w:val="bottom"/>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4 280 041</w:t>
            </w:r>
          </w:p>
        </w:tc>
        <w:tc>
          <w:tcPr>
            <w:tcW w:w="518" w:type="pct"/>
            <w:tcBorders>
              <w:top w:val="nil"/>
              <w:left w:val="nil"/>
              <w:bottom w:val="nil"/>
              <w:right w:val="nil"/>
            </w:tcBorders>
            <w:shd w:val="clear" w:color="000000" w:fill="FFFFFF"/>
            <w:noWrap/>
            <w:textDirection w:val="lrTb"/>
            <w:vAlign w:val="bottom"/>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1 939 787</w:t>
            </w:r>
          </w:p>
        </w:tc>
        <w:tc>
          <w:tcPr>
            <w:tcW w:w="529" w:type="pct"/>
            <w:tcBorders>
              <w:top w:val="nil"/>
              <w:left w:val="nil"/>
              <w:bottom w:val="nil"/>
              <w:right w:val="nil"/>
            </w:tcBorders>
            <w:shd w:val="clear" w:color="000000" w:fill="FFFFFF"/>
            <w:noWrap/>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2 655 927</w:t>
            </w:r>
          </w:p>
        </w:tc>
        <w:tc>
          <w:tcPr>
            <w:tcW w:w="687" w:type="pct"/>
            <w:tcBorders>
              <w:top w:val="nil"/>
              <w:left w:val="nil"/>
              <w:bottom w:val="nil"/>
              <w:right w:val="nil"/>
            </w:tcBorders>
            <w:shd w:val="clear" w:color="000000" w:fill="BFBFBF"/>
            <w:noWrap/>
            <w:textDirection w:val="lrTb"/>
            <w:vAlign w:val="bottom"/>
            <w:hideMark/>
          </w:tcPr>
          <w:p w:rsidR="004D79E7" w:rsidRPr="00212F27" w:rsidP="00D85B82">
            <w:pPr>
              <w:bidi w:val="0"/>
              <w:jc w:val="right"/>
              <w:rPr>
                <w:rFonts w:ascii="Times New Roman" w:hAnsi="Times New Roman"/>
                <w:color w:val="000000"/>
                <w:sz w:val="18"/>
                <w:szCs w:val="18"/>
              </w:rPr>
            </w:pPr>
            <w:r w:rsidRPr="00212F27">
              <w:rPr>
                <w:rFonts w:ascii="Times New Roman" w:hAnsi="Times New Roman"/>
                <w:color w:val="000000"/>
                <w:sz w:val="18"/>
                <w:szCs w:val="18"/>
              </w:rPr>
              <w:t>1 422 4</w:t>
            </w:r>
            <w:r w:rsidR="00D85B82">
              <w:rPr>
                <w:rFonts w:ascii="Times New Roman" w:hAnsi="Times New Roman"/>
                <w:color w:val="000000"/>
                <w:sz w:val="18"/>
                <w:szCs w:val="18"/>
              </w:rPr>
              <w:t>88</w:t>
            </w:r>
          </w:p>
        </w:tc>
        <w:tc>
          <w:tcPr>
            <w:tcW w:w="603"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-1 233 430</w:t>
            </w:r>
          </w:p>
        </w:tc>
        <w:tc>
          <w:tcPr>
            <w:tcW w:w="465" w:type="pct"/>
            <w:tcBorders>
              <w:top w:val="nil"/>
              <w:left w:val="nil"/>
              <w:bottom w:val="nil"/>
              <w:right w:val="nil"/>
            </w:tcBorders>
            <w:shd w:val="clear" w:color="000000" w:fill="FFFFFF"/>
            <w:textDirection w:val="lrTb"/>
            <w:vAlign w:val="center"/>
            <w:hideMark/>
          </w:tcPr>
          <w:p w:rsidR="004D79E7" w:rsidRPr="00212F27" w:rsidP="00531D02">
            <w:pPr>
              <w:bidi w:val="0"/>
              <w:jc w:val="right"/>
              <w:rPr>
                <w:rFonts w:ascii="Times New Roman" w:hAnsi="Times New Roman"/>
                <w:color w:val="000000"/>
                <w:sz w:val="18"/>
                <w:szCs w:val="18"/>
              </w:rPr>
            </w:pPr>
            <w:r w:rsidRPr="00212F27">
              <w:rPr>
                <w:rFonts w:ascii="Times New Roman" w:hAnsi="Times New Roman"/>
                <w:color w:val="000000"/>
                <w:sz w:val="18"/>
                <w:szCs w:val="18"/>
              </w:rPr>
              <w:t>-46,4</w:t>
            </w:r>
          </w:p>
        </w:tc>
      </w:tr>
      <w:tr>
        <w:tblPrEx>
          <w:tblW w:w="5000" w:type="pct"/>
          <w:tblCellMar>
            <w:left w:w="70" w:type="dxa"/>
            <w:right w:w="70" w:type="dxa"/>
          </w:tblCellMar>
          <w:tblLook w:val="04A0"/>
        </w:tblPrEx>
        <w:trPr>
          <w:trHeight w:val="300"/>
        </w:trPr>
        <w:tc>
          <w:tcPr>
            <w:tcW w:w="1702"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rPr>
                <w:rFonts w:ascii="Times New Roman" w:hAnsi="Times New Roman"/>
                <w:b/>
                <w:bCs/>
                <w:sz w:val="18"/>
                <w:szCs w:val="18"/>
                <w:lang w:eastAsia="sk-SK"/>
              </w:rPr>
            </w:pPr>
            <w:r w:rsidRPr="00212F27">
              <w:rPr>
                <w:rFonts w:ascii="Times New Roman" w:hAnsi="Times New Roman"/>
                <w:b/>
                <w:bCs/>
                <w:sz w:val="18"/>
                <w:szCs w:val="18"/>
                <w:lang w:eastAsia="sk-SK"/>
              </w:rPr>
              <w:t>Spolu</w:t>
            </w:r>
          </w:p>
        </w:tc>
        <w:tc>
          <w:tcPr>
            <w:tcW w:w="497"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4 342 362</w:t>
            </w:r>
          </w:p>
        </w:tc>
        <w:tc>
          <w:tcPr>
            <w:tcW w:w="518"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1 984 788</w:t>
            </w:r>
          </w:p>
        </w:tc>
        <w:tc>
          <w:tcPr>
            <w:tcW w:w="529"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2 698 578</w:t>
            </w:r>
          </w:p>
        </w:tc>
        <w:tc>
          <w:tcPr>
            <w:tcW w:w="687" w:type="pct"/>
            <w:tcBorders>
              <w:top w:val="single" w:sz="4" w:space="0" w:color="auto"/>
              <w:left w:val="nil"/>
              <w:bottom w:val="single" w:sz="8" w:space="0" w:color="auto"/>
              <w:right w:val="nil"/>
            </w:tcBorders>
            <w:shd w:val="clear" w:color="000000" w:fill="BFBFB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1 476 362</w:t>
            </w:r>
          </w:p>
        </w:tc>
        <w:tc>
          <w:tcPr>
            <w:tcW w:w="603"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-1 222 216</w:t>
            </w:r>
          </w:p>
        </w:tc>
        <w:tc>
          <w:tcPr>
            <w:tcW w:w="465" w:type="pct"/>
            <w:tcBorders>
              <w:top w:val="single" w:sz="4" w:space="0" w:color="auto"/>
              <w:left w:val="nil"/>
              <w:bottom w:val="single" w:sz="8" w:space="0" w:color="auto"/>
              <w:right w:val="nil"/>
            </w:tcBorders>
            <w:shd w:val="clear" w:color="000000" w:fill="FFFFFF"/>
            <w:noWrap/>
            <w:textDirection w:val="lrTb"/>
            <w:vAlign w:val="center"/>
            <w:hideMark/>
          </w:tcPr>
          <w:p w:rsidR="004D79E7" w:rsidRPr="00212F27" w:rsidP="009E6FAD">
            <w:pPr>
              <w:bidi w:val="0"/>
              <w:spacing w:after="0" w:line="240" w:lineRule="auto"/>
              <w:jc w:val="right"/>
              <w:rPr>
                <w:rFonts w:ascii="Times New Roman" w:hAnsi="Times New Roman"/>
                <w:b/>
                <w:bCs/>
                <w:sz w:val="18"/>
                <w:szCs w:val="18"/>
                <w:lang w:eastAsia="sk-SK"/>
              </w:rPr>
            </w:pPr>
            <w:r w:rsidRPr="00212F27">
              <w:rPr>
                <w:rFonts w:ascii="Times New Roman" w:hAnsi="Times New Roman"/>
                <w:b/>
                <w:bCs/>
                <w:sz w:val="18"/>
                <w:szCs w:val="18"/>
                <w:lang w:eastAsia="sk-SK"/>
              </w:rPr>
              <w:t>-45,3</w:t>
            </w:r>
          </w:p>
        </w:tc>
      </w:tr>
    </w:tbl>
    <w:p w:rsidR="004D79E7" w:rsidRPr="00133210" w:rsidP="00D678A1">
      <w:pPr>
        <w:bidi w:val="0"/>
        <w:jc w:val="right"/>
        <w:rPr>
          <w:rFonts w:ascii="Times New Roman" w:hAnsi="Times New Roman"/>
          <w:color w:val="000000" w:themeColor="tx1" w:themeShade="FF"/>
          <w:szCs w:val="22"/>
        </w:rPr>
      </w:pPr>
      <w:r w:rsidRPr="00AC006E">
        <w:rPr>
          <w:rFonts w:ascii="Times New Roman" w:hAnsi="Times New Roman"/>
          <w:color w:val="000000" w:themeColor="tx1" w:themeShade="FF"/>
          <w:sz w:val="18"/>
          <w:szCs w:val="18"/>
        </w:rPr>
        <w:t>Zdroj: MF SR</w:t>
      </w:r>
    </w:p>
    <w:p w:rsidR="004D79E7" w:rsidP="002B0054">
      <w:pPr>
        <w:tabs>
          <w:tab w:val="left" w:pos="284"/>
        </w:tabs>
        <w:suppressAutoHyphens/>
        <w:bidi w:val="0"/>
        <w:rPr>
          <w:rFonts w:ascii="Times New Roman" w:hAnsi="Times New Roman"/>
          <w:color w:val="000000" w:themeColor="tx1" w:themeShade="FF"/>
          <w:szCs w:val="22"/>
        </w:rPr>
      </w:pPr>
      <w:r w:rsidRPr="00280406">
        <w:rPr>
          <w:rFonts w:ascii="Times New Roman" w:hAnsi="Times New Roman"/>
          <w:b/>
          <w:color w:val="000000" w:themeColor="tx1" w:themeShade="FF"/>
          <w:szCs w:val="22"/>
        </w:rPr>
        <w:t>Tuzemské granty a transfery</w:t>
      </w:r>
      <w:r w:rsidRPr="00280406">
        <w:rPr>
          <w:rFonts w:ascii="Times New Roman" w:hAnsi="Times New Roman"/>
          <w:color w:val="000000" w:themeColor="tx1" w:themeShade="FF"/>
          <w:szCs w:val="22"/>
        </w:rPr>
        <w:t xml:space="preserve"> v</w:t>
      </w:r>
      <w:r>
        <w:rPr>
          <w:rFonts w:ascii="Times New Roman" w:hAnsi="Times New Roman"/>
          <w:color w:val="000000" w:themeColor="tx1" w:themeShade="FF"/>
          <w:szCs w:val="22"/>
        </w:rPr>
        <w:t> </w:t>
      </w:r>
      <w:r w:rsidRPr="00280406">
        <w:rPr>
          <w:rFonts w:ascii="Times New Roman" w:hAnsi="Times New Roman"/>
          <w:color w:val="000000" w:themeColor="tx1" w:themeShade="FF"/>
          <w:szCs w:val="22"/>
        </w:rPr>
        <w:t>sume</w:t>
      </w:r>
      <w:r>
        <w:rPr>
          <w:rFonts w:ascii="Times New Roman" w:hAnsi="Times New Roman"/>
          <w:color w:val="000000" w:themeColor="tx1" w:themeShade="FF"/>
          <w:szCs w:val="22"/>
        </w:rPr>
        <w:t xml:space="preserve"> </w:t>
      </w:r>
      <w:r w:rsidRPr="00280406">
        <w:rPr>
          <w:rFonts w:ascii="Times New Roman" w:hAnsi="Times New Roman"/>
          <w:color w:val="000000" w:themeColor="tx1" w:themeShade="FF"/>
          <w:szCs w:val="22"/>
        </w:rPr>
        <w:t xml:space="preserve">43 128 tis. eur tvorili </w:t>
      </w:r>
      <w:r w:rsidR="009D224D">
        <w:rPr>
          <w:rFonts w:ascii="Times New Roman" w:hAnsi="Times New Roman"/>
          <w:color w:val="000000" w:themeColor="tx1" w:themeShade="FF"/>
          <w:szCs w:val="22"/>
        </w:rPr>
        <w:t xml:space="preserve">najmä </w:t>
      </w:r>
      <w:r>
        <w:rPr>
          <w:rFonts w:ascii="Times New Roman" w:hAnsi="Times New Roman"/>
          <w:color w:val="000000" w:themeColor="tx1" w:themeShade="FF"/>
          <w:szCs w:val="22"/>
        </w:rPr>
        <w:t xml:space="preserve">bežné granty a transfery </w:t>
      </w:r>
      <w:r w:rsidR="00127817">
        <w:rPr>
          <w:rFonts w:ascii="Times New Roman" w:hAnsi="Times New Roman"/>
          <w:color w:val="000000" w:themeColor="tx1" w:themeShade="FF"/>
          <w:szCs w:val="22"/>
        </w:rPr>
        <w:br/>
      </w:r>
      <w:r>
        <w:rPr>
          <w:rFonts w:ascii="Times New Roman" w:hAnsi="Times New Roman"/>
          <w:color w:val="000000" w:themeColor="tx1" w:themeShade="FF"/>
          <w:szCs w:val="22"/>
        </w:rPr>
        <w:t>vo výške 42 710 tis. eur</w:t>
      </w:r>
      <w:r w:rsidR="009D224D">
        <w:rPr>
          <w:rFonts w:ascii="Times New Roman" w:hAnsi="Times New Roman"/>
          <w:color w:val="000000" w:themeColor="tx1" w:themeShade="FF"/>
          <w:szCs w:val="22"/>
        </w:rPr>
        <w:t>.</w:t>
      </w:r>
      <w:r>
        <w:rPr>
          <w:rFonts w:ascii="Times New Roman" w:hAnsi="Times New Roman"/>
          <w:color w:val="000000" w:themeColor="tx1" w:themeShade="FF"/>
          <w:szCs w:val="22"/>
        </w:rPr>
        <w:t xml:space="preserve"> </w:t>
      </w:r>
      <w:r w:rsidRPr="00280406">
        <w:rPr>
          <w:rFonts w:ascii="Times New Roman" w:hAnsi="Times New Roman"/>
          <w:color w:val="000000" w:themeColor="tx1" w:themeShade="FF"/>
          <w:szCs w:val="22"/>
        </w:rPr>
        <w:t xml:space="preserve">Objemovo najdôležitejšou časťou </w:t>
      </w:r>
      <w:r w:rsidRPr="002D1C50">
        <w:rPr>
          <w:rFonts w:ascii="Times New Roman" w:hAnsi="Times New Roman"/>
          <w:i/>
          <w:color w:val="000000" w:themeColor="tx1" w:themeShade="FF"/>
          <w:szCs w:val="22"/>
        </w:rPr>
        <w:t>v rámci bežných grantov</w:t>
      </w:r>
      <w:r>
        <w:rPr>
          <w:rFonts w:ascii="Times New Roman" w:hAnsi="Times New Roman"/>
          <w:color w:val="000000" w:themeColor="tx1" w:themeShade="FF"/>
          <w:szCs w:val="22"/>
        </w:rPr>
        <w:t xml:space="preserve"> boli</w:t>
      </w:r>
      <w:r w:rsidRPr="00280406">
        <w:rPr>
          <w:rFonts w:ascii="Times New Roman" w:hAnsi="Times New Roman"/>
          <w:color w:val="000000" w:themeColor="tx1" w:themeShade="FF"/>
          <w:szCs w:val="22"/>
        </w:rPr>
        <w:t xml:space="preserve"> príjmy </w:t>
      </w:r>
      <w:r w:rsidR="00127817">
        <w:rPr>
          <w:rFonts w:ascii="Times New Roman" w:hAnsi="Times New Roman"/>
          <w:color w:val="000000" w:themeColor="tx1" w:themeShade="FF"/>
          <w:szCs w:val="22"/>
        </w:rPr>
        <w:br/>
      </w:r>
      <w:r w:rsidRPr="00280406">
        <w:rPr>
          <w:rFonts w:ascii="Times New Roman" w:hAnsi="Times New Roman"/>
          <w:color w:val="000000" w:themeColor="tx1" w:themeShade="FF"/>
          <w:szCs w:val="22"/>
        </w:rPr>
        <w:t>z príspevkov zdravotných poisťovní na činnosť operačných stredísk záchrannej zdravotnej služby a</w:t>
      </w:r>
      <w:r w:rsidR="005D46D9">
        <w:rPr>
          <w:rFonts w:ascii="Times New Roman" w:hAnsi="Times New Roman"/>
          <w:color w:val="000000" w:themeColor="tx1" w:themeShade="FF"/>
          <w:szCs w:val="22"/>
        </w:rPr>
        <w:t xml:space="preserve"> </w:t>
      </w:r>
      <w:r w:rsidRPr="00280406">
        <w:rPr>
          <w:rFonts w:ascii="Times New Roman" w:hAnsi="Times New Roman"/>
          <w:color w:val="000000" w:themeColor="tx1" w:themeShade="FF"/>
          <w:szCs w:val="22"/>
        </w:rPr>
        <w:t>na činnosť Národného centra zdravotníckych informácií vo výške 27 </w:t>
      </w:r>
      <w:r>
        <w:rPr>
          <w:rFonts w:ascii="Times New Roman" w:hAnsi="Times New Roman"/>
          <w:color w:val="000000" w:themeColor="tx1" w:themeShade="FF"/>
          <w:szCs w:val="22"/>
        </w:rPr>
        <w:t>086</w:t>
      </w:r>
      <w:r w:rsidRPr="00280406">
        <w:rPr>
          <w:rFonts w:ascii="Times New Roman" w:hAnsi="Times New Roman"/>
          <w:color w:val="000000" w:themeColor="tx1" w:themeShade="FF"/>
          <w:szCs w:val="22"/>
        </w:rPr>
        <w:t xml:space="preserve"> tis. eur v kapitole Ministerstva zdravotníctva SR. </w:t>
      </w:r>
    </w:p>
    <w:p w:rsidR="004D79E7" w:rsidRPr="00D81040" w:rsidP="004D79E7">
      <w:pPr>
        <w:tabs>
          <w:tab w:val="left" w:pos="284"/>
        </w:tabs>
        <w:suppressAutoHyphens/>
        <w:bidi w:val="0"/>
        <w:rPr>
          <w:rFonts w:ascii="Times New Roman" w:hAnsi="Times New Roman"/>
          <w:color w:val="000000" w:themeColor="tx1" w:themeShade="FF"/>
          <w:szCs w:val="22"/>
        </w:rPr>
      </w:pPr>
      <w:r w:rsidR="009D224D">
        <w:rPr>
          <w:rFonts w:ascii="Times New Roman" w:hAnsi="Times New Roman"/>
          <w:color w:val="000000" w:themeColor="tx1" w:themeShade="FF"/>
          <w:szCs w:val="22"/>
        </w:rPr>
        <w:t>Ministerstvo</w:t>
      </w:r>
      <w:r w:rsidRPr="00280406">
        <w:rPr>
          <w:rFonts w:ascii="Times New Roman" w:hAnsi="Times New Roman"/>
          <w:color w:val="000000" w:themeColor="tx1" w:themeShade="FF"/>
          <w:szCs w:val="22"/>
        </w:rPr>
        <w:t xml:space="preserve"> pôdohospodárstva a rozvoja vidieka SR prijal</w:t>
      </w:r>
      <w:r w:rsidR="009D224D">
        <w:rPr>
          <w:rFonts w:ascii="Times New Roman" w:hAnsi="Times New Roman"/>
          <w:color w:val="000000" w:themeColor="tx1" w:themeShade="FF"/>
          <w:szCs w:val="22"/>
        </w:rPr>
        <w:t>o</w:t>
      </w:r>
      <w:r w:rsidRPr="00280406">
        <w:rPr>
          <w:rFonts w:ascii="Times New Roman" w:hAnsi="Times New Roman"/>
          <w:color w:val="000000" w:themeColor="tx1" w:themeShade="FF"/>
          <w:szCs w:val="22"/>
        </w:rPr>
        <w:t xml:space="preserve"> sumu </w:t>
      </w:r>
      <w:r>
        <w:rPr>
          <w:rFonts w:ascii="Times New Roman" w:hAnsi="Times New Roman"/>
          <w:color w:val="000000" w:themeColor="tx1" w:themeShade="FF"/>
          <w:szCs w:val="22"/>
        </w:rPr>
        <w:t>11 596 tis. eur od </w:t>
      </w:r>
      <w:r w:rsidRPr="00280406">
        <w:rPr>
          <w:rFonts w:ascii="Times New Roman" w:hAnsi="Times New Roman"/>
          <w:color w:val="000000" w:themeColor="tx1" w:themeShade="FF"/>
          <w:szCs w:val="22"/>
        </w:rPr>
        <w:t xml:space="preserve">Slovenského pozemkového fondu </w:t>
      </w:r>
      <w:r>
        <w:rPr>
          <w:rFonts w:ascii="Times New Roman" w:hAnsi="Times New Roman"/>
          <w:szCs w:val="22"/>
        </w:rPr>
        <w:t>v</w:t>
      </w:r>
      <w:r w:rsidRPr="00F2369D">
        <w:rPr>
          <w:rFonts w:ascii="Times New Roman" w:hAnsi="Times New Roman"/>
          <w:szCs w:val="22"/>
        </w:rPr>
        <w:t> súvislosti s uznesením vlády SR č. 565 zo 7.12.2016 k Účtovnej závierke Slovenského pozemkového fondu ku dňu 31.12.2015 a</w:t>
      </w:r>
      <w:r w:rsidR="00DE23F6">
        <w:rPr>
          <w:rFonts w:ascii="Times New Roman" w:hAnsi="Times New Roman"/>
          <w:szCs w:val="22"/>
        </w:rPr>
        <w:t xml:space="preserve"> </w:t>
      </w:r>
      <w:r w:rsidRPr="00F2369D">
        <w:rPr>
          <w:rFonts w:ascii="Times New Roman" w:hAnsi="Times New Roman"/>
          <w:szCs w:val="22"/>
        </w:rPr>
        <w:t>návrh rozdelenia hospodárskeho výsledku za rok 2015</w:t>
      </w:r>
      <w:r>
        <w:rPr>
          <w:rFonts w:ascii="Times New Roman" w:hAnsi="Times New Roman"/>
          <w:szCs w:val="22"/>
        </w:rPr>
        <w:t>.</w:t>
      </w:r>
      <w:r w:rsidRPr="00F2369D">
        <w:rPr>
          <w:rFonts w:ascii="Times New Roman" w:hAnsi="Times New Roman"/>
          <w:szCs w:val="22"/>
        </w:rPr>
        <w:t xml:space="preserve"> </w:t>
      </w:r>
      <w:r>
        <w:rPr>
          <w:rFonts w:ascii="Times New Roman" w:hAnsi="Times New Roman"/>
          <w:szCs w:val="22"/>
        </w:rPr>
        <w:t>Z celkovej čiastky</w:t>
      </w:r>
      <w:r>
        <w:rPr>
          <w:rFonts w:ascii="Times New Roman" w:hAnsi="Times New Roman"/>
          <w:color w:val="000000" w:themeColor="tx1" w:themeShade="FF"/>
          <w:szCs w:val="22"/>
        </w:rPr>
        <w:t xml:space="preserve"> bola suma </w:t>
      </w:r>
      <w:r>
        <w:rPr>
          <w:rFonts w:ascii="Times New Roman" w:hAnsi="Times New Roman"/>
          <w:szCs w:val="22"/>
        </w:rPr>
        <w:t>10 096 tis. eur</w:t>
      </w:r>
      <w:r w:rsidRPr="00F2369D">
        <w:rPr>
          <w:rFonts w:ascii="Times New Roman" w:hAnsi="Times New Roman"/>
          <w:szCs w:val="22"/>
        </w:rPr>
        <w:t xml:space="preserve"> účelovo určen</w:t>
      </w:r>
      <w:r>
        <w:rPr>
          <w:rFonts w:ascii="Times New Roman" w:hAnsi="Times New Roman"/>
          <w:szCs w:val="22"/>
        </w:rPr>
        <w:t>á</w:t>
      </w:r>
      <w:r w:rsidRPr="00F2369D">
        <w:rPr>
          <w:rFonts w:ascii="Times New Roman" w:hAnsi="Times New Roman"/>
          <w:szCs w:val="22"/>
        </w:rPr>
        <w:t xml:space="preserve"> na plnenie ostatných úloh rezortu. </w:t>
      </w:r>
      <w:r>
        <w:rPr>
          <w:rFonts w:ascii="Times New Roman" w:hAnsi="Times New Roman"/>
          <w:szCs w:val="22"/>
        </w:rPr>
        <w:t>Suma</w:t>
      </w:r>
      <w:r w:rsidRPr="00F2369D">
        <w:rPr>
          <w:rFonts w:ascii="Times New Roman" w:hAnsi="Times New Roman"/>
          <w:szCs w:val="22"/>
        </w:rPr>
        <w:t xml:space="preserve"> </w:t>
      </w:r>
      <w:r>
        <w:rPr>
          <w:rFonts w:ascii="Times New Roman" w:hAnsi="Times New Roman"/>
          <w:szCs w:val="22"/>
        </w:rPr>
        <w:t>1 500 tis. eur</w:t>
      </w:r>
      <w:r w:rsidRPr="00F2369D">
        <w:rPr>
          <w:rFonts w:ascii="Times New Roman" w:hAnsi="Times New Roman"/>
          <w:szCs w:val="22"/>
        </w:rPr>
        <w:t xml:space="preserve"> bol</w:t>
      </w:r>
      <w:r>
        <w:rPr>
          <w:rFonts w:ascii="Times New Roman" w:hAnsi="Times New Roman"/>
          <w:szCs w:val="22"/>
        </w:rPr>
        <w:t>a</w:t>
      </w:r>
      <w:r w:rsidRPr="00F2369D">
        <w:rPr>
          <w:rFonts w:ascii="Times New Roman" w:hAnsi="Times New Roman"/>
          <w:szCs w:val="22"/>
        </w:rPr>
        <w:t xml:space="preserve"> účelovo vyčlenen</w:t>
      </w:r>
      <w:r>
        <w:rPr>
          <w:rFonts w:ascii="Times New Roman" w:hAnsi="Times New Roman"/>
          <w:szCs w:val="22"/>
        </w:rPr>
        <w:t>á</w:t>
      </w:r>
      <w:r w:rsidRPr="00F2369D">
        <w:rPr>
          <w:rFonts w:ascii="Times New Roman" w:hAnsi="Times New Roman"/>
          <w:szCs w:val="22"/>
        </w:rPr>
        <w:t xml:space="preserve"> pre kapitolu na financovanie zabezpečenia projektov pozemkových úprav vykonávaných podľa zákona č.</w:t>
      </w:r>
      <w:r w:rsidR="002D1C50">
        <w:rPr>
          <w:rFonts w:ascii="Times New Roman" w:hAnsi="Times New Roman"/>
          <w:szCs w:val="22"/>
        </w:rPr>
        <w:t xml:space="preserve"> </w:t>
      </w:r>
      <w:r w:rsidRPr="00F2369D">
        <w:rPr>
          <w:rFonts w:ascii="Times New Roman" w:hAnsi="Times New Roman"/>
          <w:szCs w:val="22"/>
        </w:rPr>
        <w:t>330/1991 Zb. a</w:t>
      </w:r>
      <w:r w:rsidR="005A2A78">
        <w:rPr>
          <w:rFonts w:ascii="Times New Roman" w:hAnsi="Times New Roman"/>
          <w:szCs w:val="22"/>
        </w:rPr>
        <w:t xml:space="preserve"> </w:t>
      </w:r>
      <w:r w:rsidRPr="00F2369D">
        <w:rPr>
          <w:rFonts w:ascii="Times New Roman" w:hAnsi="Times New Roman"/>
          <w:szCs w:val="22"/>
        </w:rPr>
        <w:t>obnovy evidencie pozemkov v zmysle zákona č.180/1995 Z.</w:t>
      </w:r>
      <w:r w:rsidR="003E7C64">
        <w:rPr>
          <w:rFonts w:ascii="Times New Roman" w:hAnsi="Times New Roman"/>
          <w:szCs w:val="22"/>
        </w:rPr>
        <w:t xml:space="preserve"> </w:t>
      </w:r>
      <w:r w:rsidR="009D224D">
        <w:rPr>
          <w:rFonts w:ascii="Times New Roman" w:hAnsi="Times New Roman"/>
          <w:szCs w:val="22"/>
        </w:rPr>
        <w:t>z.</w:t>
      </w:r>
    </w:p>
    <w:p w:rsidR="004D79E7" w:rsidP="004D79E7">
      <w:pPr>
        <w:tabs>
          <w:tab w:val="left" w:pos="284"/>
        </w:tabs>
        <w:suppressAutoHyphens/>
        <w:bidi w:val="0"/>
        <w:rPr>
          <w:rFonts w:ascii="Times New Roman" w:hAnsi="Times New Roman"/>
          <w:color w:val="000000" w:themeColor="tx1" w:themeShade="FF"/>
          <w:szCs w:val="22"/>
        </w:rPr>
      </w:pPr>
      <w:r w:rsidRPr="00280406">
        <w:rPr>
          <w:rFonts w:ascii="Times New Roman" w:hAnsi="Times New Roman"/>
          <w:color w:val="000000" w:themeColor="tx1" w:themeShade="FF"/>
          <w:szCs w:val="22"/>
        </w:rPr>
        <w:t xml:space="preserve">Slovenská akadémia vied dosiahla príjem v objeme 2 498 tis. eur, z toho sumu 2 257 tis. eur od Agentúry na podporu výskumu a vývoja. </w:t>
      </w:r>
    </w:p>
    <w:p w:rsidR="004D79E7" w:rsidP="004D79E7">
      <w:pPr>
        <w:tabs>
          <w:tab w:val="left" w:pos="284"/>
        </w:tabs>
        <w:suppressAutoHyphens/>
        <w:bidi w:val="0"/>
        <w:rPr>
          <w:rFonts w:ascii="Times New Roman" w:hAnsi="Times New Roman"/>
          <w:color w:val="000000" w:themeColor="tx1" w:themeShade="FF"/>
          <w:szCs w:val="22"/>
        </w:rPr>
      </w:pPr>
      <w:r w:rsidRPr="002D1C50">
        <w:rPr>
          <w:rFonts w:ascii="Times New Roman" w:hAnsi="Times New Roman"/>
          <w:i/>
          <w:color w:val="000000" w:themeColor="tx1" w:themeShade="FF"/>
          <w:szCs w:val="22"/>
        </w:rPr>
        <w:t>Z tuzemských kapitálových grantov</w:t>
      </w:r>
      <w:r>
        <w:rPr>
          <w:rFonts w:ascii="Times New Roman" w:hAnsi="Times New Roman"/>
          <w:color w:val="000000" w:themeColor="tx1" w:themeShade="FF"/>
          <w:szCs w:val="22"/>
        </w:rPr>
        <w:t xml:space="preserve"> najviac prostriedkov získala Slovenská akadémia vied, a to 361 tis. eur. Tieto prostriedky prijali rozpočtové organizácie kapitoly v rámci spolupráce s výskumnými inštitúciami. Najväčšiu čiastku v objeme 347 tis. eur získal Neurobiologický ústav SAV ako partner od hlavného riešiteľa projektu Univerzity Pavla Jozefa Šafárika Košice na nákup vedeckých </w:t>
      </w:r>
      <w:r w:rsidR="00E257B4">
        <w:rPr>
          <w:rFonts w:ascii="Times New Roman" w:hAnsi="Times New Roman"/>
          <w:color w:val="000000" w:themeColor="tx1" w:themeShade="FF"/>
          <w:szCs w:val="22"/>
        </w:rPr>
        <w:t>prístrojov na riešenie druhej fázy projektu MediPark II. Tento projekt je zameraný na vybudovanie medicínskeho univerzitného vedeckého parku v Košiciach.</w:t>
      </w:r>
    </w:p>
    <w:p w:rsidR="004D79E7" w:rsidRPr="00072F83" w:rsidP="004D79E7">
      <w:pPr>
        <w:tabs>
          <w:tab w:val="left" w:pos="284"/>
        </w:tabs>
        <w:suppressAutoHyphens/>
        <w:bidi w:val="0"/>
        <w:rPr>
          <w:rFonts w:ascii="Times New Roman" w:hAnsi="Times New Roman"/>
          <w:color w:val="000000" w:themeColor="tx1" w:themeShade="FF"/>
          <w:szCs w:val="22"/>
        </w:rPr>
      </w:pPr>
      <w:r w:rsidRPr="00E26963">
        <w:rPr>
          <w:rFonts w:ascii="Times New Roman" w:hAnsi="Times New Roman"/>
          <w:b/>
          <w:color w:val="000000" w:themeColor="tx1" w:themeShade="FF"/>
          <w:szCs w:val="22"/>
        </w:rPr>
        <w:t>Zahraničné granty a transfery</w:t>
      </w:r>
      <w:r w:rsidRPr="00E26963">
        <w:rPr>
          <w:rFonts w:ascii="Times New Roman" w:hAnsi="Times New Roman"/>
          <w:color w:val="000000" w:themeColor="tx1" w:themeShade="FF"/>
          <w:szCs w:val="22"/>
        </w:rPr>
        <w:t xml:space="preserve"> boli rozpočtované na rok 2017 vo výške 2 655 927 tis. eur</w:t>
      </w:r>
      <w:r>
        <w:rPr>
          <w:rFonts w:ascii="Times New Roman" w:hAnsi="Times New Roman"/>
          <w:color w:val="000000" w:themeColor="tx1" w:themeShade="FF"/>
          <w:szCs w:val="22"/>
        </w:rPr>
        <w:t>.</w:t>
      </w:r>
      <w:r w:rsidRPr="00E26963">
        <w:rPr>
          <w:rFonts w:ascii="Times New Roman" w:hAnsi="Times New Roman"/>
          <w:color w:val="000000" w:themeColor="tx1" w:themeShade="FF"/>
          <w:szCs w:val="22"/>
        </w:rPr>
        <w:t xml:space="preserve"> </w:t>
      </w:r>
      <w:r w:rsidRPr="00072F83">
        <w:rPr>
          <w:rFonts w:ascii="Times New Roman" w:hAnsi="Times New Roman"/>
          <w:color w:val="000000" w:themeColor="tx1" w:themeShade="FF"/>
          <w:szCs w:val="22"/>
        </w:rPr>
        <w:t>Skutočné plnenie týchto príjmov bolo vo výške 1 433 234 tis. eur</w:t>
      </w:r>
      <w:r w:rsidR="00BB4A7D">
        <w:rPr>
          <w:rFonts w:ascii="Times New Roman" w:hAnsi="Times New Roman"/>
          <w:color w:val="000000" w:themeColor="tx1" w:themeShade="FF"/>
          <w:szCs w:val="22"/>
        </w:rPr>
        <w:t xml:space="preserve">, </w:t>
      </w:r>
      <w:r w:rsidR="00575053">
        <w:rPr>
          <w:rFonts w:ascii="Times New Roman" w:hAnsi="Times New Roman"/>
          <w:color w:val="000000" w:themeColor="tx1" w:themeShade="FF"/>
          <w:szCs w:val="22"/>
        </w:rPr>
        <w:t>v tom</w:t>
      </w:r>
      <w:r w:rsidRPr="00072F83">
        <w:rPr>
          <w:rFonts w:ascii="Times New Roman" w:hAnsi="Times New Roman"/>
          <w:color w:val="000000" w:themeColor="tx1" w:themeShade="FF"/>
          <w:szCs w:val="22"/>
        </w:rPr>
        <w:t xml:space="preserve"> transfery</w:t>
      </w:r>
      <w:r w:rsidR="00BB4A7D">
        <w:rPr>
          <w:rFonts w:ascii="Times New Roman" w:hAnsi="Times New Roman"/>
          <w:color w:val="000000" w:themeColor="tx1" w:themeShade="FF"/>
          <w:szCs w:val="22"/>
        </w:rPr>
        <w:t xml:space="preserve"> </w:t>
      </w:r>
      <w:r w:rsidRPr="00072F83">
        <w:rPr>
          <w:rFonts w:ascii="Times New Roman" w:hAnsi="Times New Roman"/>
          <w:color w:val="000000" w:themeColor="tx1" w:themeShade="FF"/>
          <w:szCs w:val="22"/>
        </w:rPr>
        <w:t>v</w:t>
      </w:r>
      <w:r w:rsidR="00575053">
        <w:rPr>
          <w:rFonts w:ascii="Times New Roman" w:hAnsi="Times New Roman"/>
          <w:color w:val="000000" w:themeColor="tx1" w:themeShade="FF"/>
          <w:szCs w:val="22"/>
        </w:rPr>
        <w:t> </w:t>
      </w:r>
      <w:r w:rsidRPr="00072F83">
        <w:rPr>
          <w:rFonts w:ascii="Times New Roman" w:hAnsi="Times New Roman"/>
          <w:color w:val="000000" w:themeColor="tx1" w:themeShade="FF"/>
          <w:szCs w:val="22"/>
        </w:rPr>
        <w:t>sume</w:t>
      </w:r>
      <w:r w:rsidR="00575053">
        <w:rPr>
          <w:rFonts w:ascii="Times New Roman" w:hAnsi="Times New Roman"/>
          <w:color w:val="000000" w:themeColor="tx1" w:themeShade="FF"/>
          <w:szCs w:val="22"/>
        </w:rPr>
        <w:t xml:space="preserve"> </w:t>
      </w:r>
      <w:r w:rsidRPr="00072F83">
        <w:rPr>
          <w:rFonts w:ascii="Times New Roman" w:hAnsi="Times New Roman"/>
          <w:color w:val="000000" w:themeColor="tx1" w:themeShade="FF"/>
          <w:szCs w:val="22"/>
        </w:rPr>
        <w:t>1 422 4</w:t>
      </w:r>
      <w:r w:rsidR="00D85B82">
        <w:rPr>
          <w:rFonts w:ascii="Times New Roman" w:hAnsi="Times New Roman"/>
          <w:color w:val="000000" w:themeColor="tx1" w:themeShade="FF"/>
          <w:szCs w:val="22"/>
        </w:rPr>
        <w:t>88</w:t>
      </w:r>
      <w:r w:rsidRPr="00072F83">
        <w:rPr>
          <w:rFonts w:ascii="Times New Roman" w:hAnsi="Times New Roman"/>
          <w:color w:val="000000" w:themeColor="tx1" w:themeShade="FF"/>
          <w:szCs w:val="22"/>
        </w:rPr>
        <w:t> tis. eur a</w:t>
      </w:r>
      <w:r w:rsidR="00575053">
        <w:rPr>
          <w:rFonts w:ascii="Times New Roman" w:hAnsi="Times New Roman"/>
          <w:color w:val="000000" w:themeColor="tx1" w:themeShade="FF"/>
          <w:szCs w:val="22"/>
        </w:rPr>
        <w:t xml:space="preserve"> </w:t>
      </w:r>
      <w:r w:rsidRPr="00072F83">
        <w:rPr>
          <w:rFonts w:ascii="Times New Roman" w:hAnsi="Times New Roman"/>
          <w:color w:val="000000" w:themeColor="tx1" w:themeShade="FF"/>
          <w:szCs w:val="22"/>
        </w:rPr>
        <w:t>granty v sume 10 7</w:t>
      </w:r>
      <w:r w:rsidR="00D85B82">
        <w:rPr>
          <w:rFonts w:ascii="Times New Roman" w:hAnsi="Times New Roman"/>
          <w:color w:val="000000" w:themeColor="tx1" w:themeShade="FF"/>
          <w:szCs w:val="22"/>
        </w:rPr>
        <w:t>46</w:t>
      </w:r>
      <w:r w:rsidRPr="00072F83">
        <w:rPr>
          <w:rFonts w:ascii="Times New Roman" w:hAnsi="Times New Roman"/>
          <w:color w:val="000000" w:themeColor="tx1" w:themeShade="FF"/>
          <w:szCs w:val="22"/>
        </w:rPr>
        <w:t xml:space="preserve"> tis. eur. </w:t>
      </w:r>
    </w:p>
    <w:p w:rsidR="004D79E7" w:rsidRPr="001F44C9" w:rsidP="004D79E7">
      <w:pPr>
        <w:bidi w:val="0"/>
        <w:rPr>
          <w:rFonts w:ascii="Times New Roman" w:hAnsi="Times New Roman"/>
          <w:szCs w:val="22"/>
        </w:rPr>
      </w:pPr>
      <w:r w:rsidRPr="005045CC">
        <w:rPr>
          <w:rFonts w:ascii="Times New Roman" w:hAnsi="Times New Roman"/>
          <w:i/>
          <w:color w:val="000000" w:themeColor="tx1" w:themeShade="FF"/>
          <w:szCs w:val="22"/>
        </w:rPr>
        <w:t>Zahraničné transfery</w:t>
      </w:r>
      <w:r w:rsidRPr="00B6190D">
        <w:rPr>
          <w:rFonts w:ascii="Times New Roman" w:hAnsi="Times New Roman"/>
          <w:color w:val="000000" w:themeColor="tx1" w:themeShade="FF"/>
          <w:szCs w:val="22"/>
        </w:rPr>
        <w:t xml:space="preserve"> dosiahli k 31. 12. 2017 sumu 1 422 4</w:t>
      </w:r>
      <w:r w:rsidR="00D85B82">
        <w:rPr>
          <w:rFonts w:ascii="Times New Roman" w:hAnsi="Times New Roman"/>
          <w:color w:val="000000" w:themeColor="tx1" w:themeShade="FF"/>
          <w:szCs w:val="22"/>
        </w:rPr>
        <w:t>88</w:t>
      </w:r>
      <w:r w:rsidRPr="00B6190D">
        <w:rPr>
          <w:rFonts w:ascii="Times New Roman" w:hAnsi="Times New Roman"/>
          <w:color w:val="000000" w:themeColor="tx1" w:themeShade="FF"/>
          <w:szCs w:val="22"/>
        </w:rPr>
        <w:t> tis. eur,</w:t>
      </w:r>
      <w:r w:rsidRPr="00634DC3">
        <w:rPr>
          <w:rFonts w:ascii="Times New Roman" w:hAnsi="Times New Roman"/>
          <w:color w:val="FF0000"/>
          <w:szCs w:val="22"/>
        </w:rPr>
        <w:t xml:space="preserve"> </w:t>
      </w:r>
      <w:r w:rsidRPr="00B6190D">
        <w:rPr>
          <w:rFonts w:ascii="Times New Roman" w:hAnsi="Times New Roman"/>
          <w:color w:val="000000" w:themeColor="tx1" w:themeShade="FF"/>
          <w:szCs w:val="22"/>
        </w:rPr>
        <w:t>čo predstavuje oproti schválenému rozpočtu nižší skutočný príjem o 1 233 430 tis. eur</w:t>
      </w:r>
      <w:r>
        <w:rPr>
          <w:rFonts w:ascii="Times New Roman" w:hAnsi="Times New Roman"/>
          <w:color w:val="000000" w:themeColor="tx1" w:themeShade="FF"/>
          <w:szCs w:val="22"/>
        </w:rPr>
        <w:t xml:space="preserve">. </w:t>
      </w:r>
      <w:r w:rsidRPr="001F44C9">
        <w:rPr>
          <w:rFonts w:ascii="Times New Roman" w:hAnsi="Times New Roman"/>
          <w:szCs w:val="22"/>
        </w:rPr>
        <w:t>K</w:t>
      </w:r>
      <w:r>
        <w:rPr>
          <w:rFonts w:ascii="Times New Roman" w:hAnsi="Times New Roman"/>
          <w:szCs w:val="22"/>
        </w:rPr>
        <w:t> </w:t>
      </w:r>
      <w:r w:rsidRPr="001F44C9">
        <w:rPr>
          <w:rFonts w:ascii="Times New Roman" w:hAnsi="Times New Roman"/>
          <w:szCs w:val="22"/>
        </w:rPr>
        <w:t>úpravám</w:t>
      </w:r>
      <w:r>
        <w:rPr>
          <w:rFonts w:ascii="Times New Roman" w:hAnsi="Times New Roman"/>
          <w:szCs w:val="22"/>
        </w:rPr>
        <w:t xml:space="preserve"> schváleného rozpočtu</w:t>
      </w:r>
      <w:r w:rsidRPr="001F44C9">
        <w:rPr>
          <w:rFonts w:ascii="Times New Roman" w:hAnsi="Times New Roman"/>
          <w:szCs w:val="22"/>
        </w:rPr>
        <w:t xml:space="preserve"> došlo v nadväznosti na vysporiadanie finančných prostriedkov za finančné opravy </w:t>
      </w:r>
      <w:r>
        <w:rPr>
          <w:rFonts w:ascii="Times New Roman" w:hAnsi="Times New Roman"/>
          <w:szCs w:val="22"/>
        </w:rPr>
        <w:t xml:space="preserve">v zmysle § 15 zákona </w:t>
      </w:r>
      <w:r w:rsidRPr="001F44C9">
        <w:rPr>
          <w:rFonts w:ascii="Times New Roman" w:hAnsi="Times New Roman"/>
          <w:szCs w:val="22"/>
        </w:rPr>
        <w:t>o rozpočtových pravidlách</w:t>
      </w:r>
      <w:r w:rsidR="00575053">
        <w:rPr>
          <w:rFonts w:ascii="Times New Roman" w:hAnsi="Times New Roman"/>
          <w:szCs w:val="22"/>
        </w:rPr>
        <w:t xml:space="preserve">, </w:t>
      </w:r>
      <w:r w:rsidRPr="001F44C9">
        <w:rPr>
          <w:rFonts w:ascii="Times New Roman" w:hAnsi="Times New Roman"/>
          <w:szCs w:val="22"/>
        </w:rPr>
        <w:t>v nadväznosti na prijaté oznámenia o výške prostriedkov, ktoré budú použité v nasledujúcic</w:t>
      </w:r>
      <w:r w:rsidR="001827A8">
        <w:rPr>
          <w:rFonts w:ascii="Times New Roman" w:hAnsi="Times New Roman"/>
          <w:szCs w:val="22"/>
        </w:rPr>
        <w:t xml:space="preserve">h rokoch v zmysle § 8 zákona </w:t>
      </w:r>
      <w:r w:rsidRPr="001F44C9">
        <w:rPr>
          <w:rFonts w:ascii="Times New Roman" w:hAnsi="Times New Roman"/>
          <w:szCs w:val="22"/>
        </w:rPr>
        <w:t xml:space="preserve">o rozpočtových pravidlách </w:t>
      </w:r>
      <w:r>
        <w:rPr>
          <w:rFonts w:ascii="Times New Roman" w:hAnsi="Times New Roman"/>
          <w:szCs w:val="22"/>
        </w:rPr>
        <w:t>a</w:t>
      </w:r>
      <w:r w:rsidR="001827A8">
        <w:rPr>
          <w:rFonts w:ascii="Times New Roman" w:hAnsi="Times New Roman"/>
          <w:szCs w:val="22"/>
        </w:rPr>
        <w:t xml:space="preserve"> </w:t>
      </w:r>
      <w:r>
        <w:rPr>
          <w:rFonts w:ascii="Times New Roman" w:hAnsi="Times New Roman"/>
          <w:szCs w:val="22"/>
        </w:rPr>
        <w:t>v</w:t>
      </w:r>
      <w:r w:rsidR="001827A8">
        <w:rPr>
          <w:rFonts w:ascii="Times New Roman" w:hAnsi="Times New Roman"/>
          <w:szCs w:val="22"/>
        </w:rPr>
        <w:t> </w:t>
      </w:r>
      <w:r w:rsidRPr="001F44C9">
        <w:rPr>
          <w:rFonts w:ascii="Times New Roman" w:hAnsi="Times New Roman"/>
          <w:szCs w:val="22"/>
        </w:rPr>
        <w:t>nadväznosti</w:t>
      </w:r>
      <w:r w:rsidR="001827A8">
        <w:rPr>
          <w:rFonts w:ascii="Times New Roman" w:hAnsi="Times New Roman"/>
          <w:szCs w:val="22"/>
        </w:rPr>
        <w:t xml:space="preserve"> </w:t>
      </w:r>
      <w:r w:rsidRPr="001F44C9">
        <w:rPr>
          <w:rFonts w:ascii="Times New Roman" w:hAnsi="Times New Roman"/>
          <w:szCs w:val="22"/>
        </w:rPr>
        <w:t>na</w:t>
      </w:r>
      <w:r>
        <w:rPr>
          <w:rFonts w:ascii="Times New Roman" w:hAnsi="Times New Roman"/>
          <w:szCs w:val="22"/>
        </w:rPr>
        <w:t> </w:t>
      </w:r>
      <w:r w:rsidR="001827A8">
        <w:rPr>
          <w:rFonts w:ascii="Times New Roman" w:hAnsi="Times New Roman"/>
          <w:szCs w:val="22"/>
        </w:rPr>
        <w:t xml:space="preserve">ostatné viazania prostriedkov </w:t>
      </w:r>
      <w:r w:rsidRPr="001F44C9">
        <w:rPr>
          <w:rFonts w:ascii="Times New Roman" w:hAnsi="Times New Roman"/>
          <w:szCs w:val="22"/>
        </w:rPr>
        <w:t xml:space="preserve">v zmysle </w:t>
      </w:r>
      <w:r>
        <w:rPr>
          <w:rFonts w:ascii="Times New Roman" w:hAnsi="Times New Roman"/>
          <w:szCs w:val="22"/>
        </w:rPr>
        <w:t>§ </w:t>
      </w:r>
      <w:r w:rsidRPr="001F44C9">
        <w:rPr>
          <w:rFonts w:ascii="Times New Roman" w:hAnsi="Times New Roman"/>
          <w:szCs w:val="22"/>
        </w:rPr>
        <w:t>18 zákona o rozpočtových pravidlách.</w:t>
      </w:r>
    </w:p>
    <w:p w:rsidR="004D79E7" w:rsidRPr="00C81602" w:rsidP="004D79E7">
      <w:pPr>
        <w:bidi w:val="0"/>
        <w:rPr>
          <w:rFonts w:ascii="Times New Roman" w:hAnsi="Times New Roman"/>
          <w:color w:val="000000" w:themeColor="tx1" w:themeShade="FF"/>
          <w:szCs w:val="22"/>
        </w:rPr>
      </w:pPr>
      <w:r>
        <w:rPr>
          <w:rFonts w:ascii="Times New Roman" w:hAnsi="Times New Roman"/>
          <w:color w:val="000000" w:themeColor="tx1" w:themeShade="FF"/>
          <w:szCs w:val="22"/>
        </w:rPr>
        <w:t>C</w:t>
      </w:r>
      <w:r w:rsidRPr="00FA5A7D">
        <w:rPr>
          <w:rFonts w:ascii="Times New Roman" w:hAnsi="Times New Roman"/>
          <w:color w:val="000000" w:themeColor="tx1" w:themeShade="FF"/>
          <w:szCs w:val="22"/>
        </w:rPr>
        <w:t>elú sumu</w:t>
      </w:r>
      <w:r>
        <w:rPr>
          <w:rFonts w:ascii="Times New Roman" w:hAnsi="Times New Roman"/>
          <w:color w:val="000000" w:themeColor="tx1" w:themeShade="FF"/>
          <w:szCs w:val="22"/>
        </w:rPr>
        <w:t xml:space="preserve"> zahraničných transferov </w:t>
      </w:r>
      <w:r w:rsidRPr="00FA5A7D">
        <w:rPr>
          <w:rFonts w:ascii="Times New Roman" w:hAnsi="Times New Roman"/>
          <w:color w:val="000000" w:themeColor="tx1" w:themeShade="FF"/>
          <w:szCs w:val="22"/>
        </w:rPr>
        <w:t>tvorili prostriedky z rozpočtu Európskej únie</w:t>
      </w:r>
      <w:r>
        <w:rPr>
          <w:rFonts w:ascii="Times New Roman" w:hAnsi="Times New Roman"/>
          <w:szCs w:val="22"/>
        </w:rPr>
        <w:t xml:space="preserve">, ktoré </w:t>
      </w:r>
      <w:r w:rsidR="009D224D">
        <w:rPr>
          <w:rFonts w:ascii="Times New Roman" w:hAnsi="Times New Roman"/>
          <w:szCs w:val="22"/>
        </w:rPr>
        <w:t>sa v </w:t>
      </w:r>
      <w:r w:rsidRPr="00F26C05">
        <w:rPr>
          <w:rFonts w:ascii="Times New Roman" w:hAnsi="Times New Roman"/>
          <w:szCs w:val="22"/>
        </w:rPr>
        <w:t>Slovenskej republike poskytujú prostredníctvom certifikačného orgánu</w:t>
      </w:r>
      <w:r w:rsidR="001827A8">
        <w:rPr>
          <w:rFonts w:ascii="Times New Roman" w:hAnsi="Times New Roman"/>
          <w:szCs w:val="22"/>
        </w:rPr>
        <w:t xml:space="preserve"> (Ministerstvo financií SR a </w:t>
      </w:r>
      <w:r>
        <w:rPr>
          <w:rFonts w:ascii="Times New Roman" w:hAnsi="Times New Roman"/>
          <w:szCs w:val="22"/>
        </w:rPr>
        <w:t>Ministerstvo práce, sociálnych vecí a rodiny SR)</w:t>
      </w:r>
      <w:r w:rsidRPr="00F26C05">
        <w:rPr>
          <w:rFonts w:ascii="Times New Roman" w:hAnsi="Times New Roman"/>
          <w:szCs w:val="22"/>
        </w:rPr>
        <w:t xml:space="preserve"> alebo Ministerstva pôdohospodárstva a rozvoja vidieka S</w:t>
      </w:r>
      <w:r w:rsidR="001827A8">
        <w:rPr>
          <w:rFonts w:ascii="Times New Roman" w:hAnsi="Times New Roman"/>
          <w:szCs w:val="22"/>
        </w:rPr>
        <w:t>R</w:t>
      </w:r>
      <w:r>
        <w:rPr>
          <w:rFonts w:ascii="Times New Roman" w:hAnsi="Times New Roman"/>
          <w:szCs w:val="22"/>
        </w:rPr>
        <w:t xml:space="preserve">. </w:t>
      </w:r>
      <w:r w:rsidRPr="00E83448">
        <w:rPr>
          <w:rFonts w:ascii="Times New Roman" w:hAnsi="Times New Roman"/>
          <w:szCs w:val="22"/>
        </w:rPr>
        <w:t>Príjmy zo zahraničných transferov</w:t>
      </w:r>
      <w:r>
        <w:rPr>
          <w:rFonts w:ascii="Times New Roman" w:hAnsi="Times New Roman"/>
          <w:szCs w:val="22"/>
        </w:rPr>
        <w:t xml:space="preserve"> sa</w:t>
      </w:r>
      <w:r w:rsidR="00E7520C">
        <w:rPr>
          <w:rFonts w:ascii="Times New Roman" w:hAnsi="Times New Roman"/>
          <w:szCs w:val="22"/>
        </w:rPr>
        <w:t xml:space="preserve"> </w:t>
      </w:r>
      <w:r w:rsidRPr="001F44C9">
        <w:rPr>
          <w:rFonts w:ascii="Times New Roman" w:hAnsi="Times New Roman"/>
          <w:szCs w:val="22"/>
        </w:rPr>
        <w:t>rozpočt</w:t>
      </w:r>
      <w:r>
        <w:rPr>
          <w:rFonts w:ascii="Times New Roman" w:hAnsi="Times New Roman"/>
          <w:szCs w:val="22"/>
        </w:rPr>
        <w:t>ovali</w:t>
      </w:r>
      <w:r w:rsidRPr="001F44C9">
        <w:rPr>
          <w:rFonts w:ascii="Times New Roman" w:hAnsi="Times New Roman"/>
          <w:szCs w:val="22"/>
        </w:rPr>
        <w:t xml:space="preserve"> v rámci jednotlivých kapitol na úrovni platobných jednotiek, Pôdohospodárskej platobnej agentúry a</w:t>
      </w:r>
      <w:r w:rsidR="00E7520C">
        <w:rPr>
          <w:rFonts w:ascii="Times New Roman" w:hAnsi="Times New Roman"/>
          <w:szCs w:val="22"/>
        </w:rPr>
        <w:t xml:space="preserve"> </w:t>
      </w:r>
      <w:r w:rsidRPr="001F44C9">
        <w:rPr>
          <w:rFonts w:ascii="Times New Roman" w:hAnsi="Times New Roman"/>
          <w:szCs w:val="22"/>
        </w:rPr>
        <w:t>Ministerstva práce</w:t>
      </w:r>
      <w:r w:rsidR="001671AE">
        <w:rPr>
          <w:rFonts w:ascii="Times New Roman" w:hAnsi="Times New Roman"/>
          <w:szCs w:val="22"/>
        </w:rPr>
        <w:t>,</w:t>
      </w:r>
      <w:r w:rsidRPr="001F44C9">
        <w:rPr>
          <w:rFonts w:ascii="Times New Roman" w:hAnsi="Times New Roman"/>
          <w:szCs w:val="22"/>
        </w:rPr>
        <w:t xml:space="preserve"> sociálnych vecí a</w:t>
      </w:r>
      <w:r w:rsidR="00E7520C">
        <w:rPr>
          <w:rFonts w:ascii="Times New Roman" w:hAnsi="Times New Roman"/>
          <w:szCs w:val="22"/>
        </w:rPr>
        <w:t xml:space="preserve"> </w:t>
      </w:r>
      <w:r w:rsidRPr="001F44C9">
        <w:rPr>
          <w:rFonts w:ascii="Times New Roman" w:hAnsi="Times New Roman"/>
          <w:szCs w:val="22"/>
        </w:rPr>
        <w:t>rodiny SR</w:t>
      </w:r>
      <w:r>
        <w:rPr>
          <w:rFonts w:ascii="Times New Roman" w:hAnsi="Times New Roman"/>
          <w:szCs w:val="22"/>
        </w:rPr>
        <w:t>.</w:t>
      </w:r>
      <w:r w:rsidR="00CD44F4">
        <w:rPr>
          <w:rFonts w:ascii="Times New Roman" w:hAnsi="Times New Roman"/>
          <w:szCs w:val="22"/>
        </w:rPr>
        <w:t xml:space="preserve"> K príjmom </w:t>
      </w:r>
      <w:r w:rsidR="009D224D">
        <w:rPr>
          <w:rFonts w:ascii="Times New Roman" w:hAnsi="Times New Roman"/>
          <w:szCs w:val="22"/>
        </w:rPr>
        <w:t>boli</w:t>
      </w:r>
      <w:r w:rsidR="00CD44F4">
        <w:rPr>
          <w:rFonts w:ascii="Times New Roman" w:hAnsi="Times New Roman"/>
          <w:szCs w:val="22"/>
        </w:rPr>
        <w:t xml:space="preserve"> rozpočtované aj výdavky</w:t>
      </w:r>
      <w:r w:rsidR="00CE3584">
        <w:rPr>
          <w:rFonts w:ascii="Times New Roman" w:hAnsi="Times New Roman"/>
          <w:szCs w:val="22"/>
        </w:rPr>
        <w:t>, ktoré sú uvedené v časti 3.4.2.</w:t>
      </w:r>
    </w:p>
    <w:p w:rsidR="004D79E7" w:rsidRPr="005437EF" w:rsidP="005437EF">
      <w:pPr>
        <w:bidi w:val="0"/>
        <w:rPr>
          <w:rFonts w:ascii="Times New Roman" w:hAnsi="Times New Roman"/>
          <w:sz w:val="24"/>
          <w:szCs w:val="24"/>
        </w:rPr>
      </w:pPr>
      <w:r w:rsidRPr="00202296">
        <w:rPr>
          <w:rFonts w:ascii="Times New Roman" w:hAnsi="Times New Roman"/>
          <w:color w:val="000000" w:themeColor="tx1" w:themeShade="FF"/>
          <w:szCs w:val="22"/>
        </w:rPr>
        <w:t xml:space="preserve">Najvyšší príjem zo zahraničných transferov bol v kapitole </w:t>
      </w:r>
      <w:r w:rsidRPr="002D1C50">
        <w:rPr>
          <w:rFonts w:ascii="Times New Roman" w:hAnsi="Times New Roman"/>
          <w:b/>
          <w:color w:val="000000" w:themeColor="tx1" w:themeShade="FF"/>
          <w:szCs w:val="22"/>
        </w:rPr>
        <w:t>Ministerstva pôdohospodárstva a</w:t>
      </w:r>
      <w:r w:rsidR="005D46D9">
        <w:rPr>
          <w:rFonts w:ascii="Times New Roman" w:hAnsi="Times New Roman"/>
          <w:b/>
          <w:color w:val="000000" w:themeColor="tx1" w:themeShade="FF"/>
          <w:szCs w:val="22"/>
        </w:rPr>
        <w:t xml:space="preserve"> </w:t>
      </w:r>
      <w:r w:rsidRPr="002D1C50">
        <w:rPr>
          <w:rFonts w:ascii="Times New Roman" w:hAnsi="Times New Roman"/>
          <w:b/>
          <w:color w:val="000000" w:themeColor="tx1" w:themeShade="FF"/>
          <w:szCs w:val="22"/>
        </w:rPr>
        <w:t>rozvoja vidieka SR</w:t>
      </w:r>
      <w:r w:rsidRPr="00202296">
        <w:rPr>
          <w:rFonts w:ascii="Times New Roman" w:hAnsi="Times New Roman"/>
          <w:color w:val="000000" w:themeColor="tx1" w:themeShade="FF"/>
          <w:szCs w:val="22"/>
        </w:rPr>
        <w:t xml:space="preserve"> v celkovej čiastke 631 473 tis. eur. Z toho v rámci Priamych platieb </w:t>
      </w:r>
      <w:r w:rsidR="00127817">
        <w:rPr>
          <w:rFonts w:ascii="Times New Roman" w:hAnsi="Times New Roman"/>
          <w:color w:val="000000" w:themeColor="tx1" w:themeShade="FF"/>
          <w:szCs w:val="22"/>
        </w:rPr>
        <w:br/>
      </w:r>
      <w:r w:rsidRPr="00202296">
        <w:rPr>
          <w:rFonts w:ascii="Times New Roman" w:hAnsi="Times New Roman"/>
          <w:color w:val="000000" w:themeColor="tx1" w:themeShade="FF"/>
          <w:szCs w:val="22"/>
        </w:rPr>
        <w:t>2014-2020 bola prijatá suma 402 201 tis. eur</w:t>
      </w:r>
      <w:r w:rsidR="00604357">
        <w:rPr>
          <w:rFonts w:ascii="Times New Roman" w:hAnsi="Times New Roman"/>
          <w:color w:val="000000" w:themeColor="tx1" w:themeShade="FF"/>
          <w:szCs w:val="22"/>
        </w:rPr>
        <w:t>.</w:t>
      </w:r>
      <w:r w:rsidRPr="00202296">
        <w:rPr>
          <w:rFonts w:ascii="Times New Roman" w:hAnsi="Times New Roman"/>
          <w:color w:val="000000" w:themeColor="tx1" w:themeShade="FF"/>
          <w:szCs w:val="22"/>
        </w:rPr>
        <w:t xml:space="preserve"> </w:t>
      </w:r>
      <w:r w:rsidR="00604357">
        <w:rPr>
          <w:rFonts w:ascii="Times New Roman" w:hAnsi="Times New Roman"/>
          <w:color w:val="000000" w:themeColor="tx1" w:themeShade="FF"/>
          <w:szCs w:val="22"/>
        </w:rPr>
        <w:t>Priame platby</w:t>
      </w:r>
      <w:r w:rsidRPr="00202296">
        <w:rPr>
          <w:rFonts w:ascii="Times New Roman" w:hAnsi="Times New Roman"/>
          <w:color w:val="000000" w:themeColor="tx1" w:themeShade="FF"/>
          <w:szCs w:val="22"/>
        </w:rPr>
        <w:t xml:space="preserve"> </w:t>
      </w:r>
      <w:r w:rsidRPr="00604357" w:rsidR="00604357">
        <w:rPr>
          <w:rFonts w:ascii="Times New Roman" w:hAnsi="Times New Roman"/>
          <w:sz w:val="24"/>
          <w:szCs w:val="24"/>
        </w:rPr>
        <w:t>predstavuj</w:t>
      </w:r>
      <w:r w:rsidR="00604357">
        <w:rPr>
          <w:rFonts w:ascii="Times New Roman" w:hAnsi="Times New Roman"/>
          <w:sz w:val="24"/>
          <w:szCs w:val="24"/>
        </w:rPr>
        <w:t>ú</w:t>
      </w:r>
      <w:r w:rsidRPr="00604357" w:rsidR="00604357">
        <w:rPr>
          <w:rFonts w:ascii="Times New Roman" w:hAnsi="Times New Roman"/>
          <w:sz w:val="24"/>
          <w:szCs w:val="24"/>
        </w:rPr>
        <w:t xml:space="preserve"> podporu poľnohospodárov pod</w:t>
      </w:r>
      <w:r w:rsidR="00604357">
        <w:rPr>
          <w:rFonts w:ascii="Times New Roman" w:hAnsi="Times New Roman"/>
          <w:sz w:val="24"/>
          <w:szCs w:val="24"/>
        </w:rPr>
        <w:t>ľa vopred stanovených podmienok a</w:t>
      </w:r>
      <w:r w:rsidRPr="00604357" w:rsidR="00604357">
        <w:rPr>
          <w:rFonts w:ascii="Times New Roman" w:hAnsi="Times New Roman"/>
          <w:sz w:val="24"/>
          <w:szCs w:val="24"/>
        </w:rPr>
        <w:t xml:space="preserve"> </w:t>
      </w:r>
      <w:r w:rsidR="00604357">
        <w:rPr>
          <w:rFonts w:ascii="Times New Roman" w:hAnsi="Times New Roman"/>
          <w:sz w:val="24"/>
          <w:szCs w:val="24"/>
        </w:rPr>
        <w:t>r</w:t>
      </w:r>
      <w:r w:rsidRPr="00604357" w:rsidR="00604357">
        <w:rPr>
          <w:rFonts w:ascii="Times New Roman" w:hAnsi="Times New Roman"/>
          <w:sz w:val="24"/>
          <w:szCs w:val="24"/>
        </w:rPr>
        <w:t>ealizujú sa formou bežných transferov subjektom priamo hospodáriacim na pôde</w:t>
      </w:r>
      <w:r>
        <w:rPr>
          <w:rStyle w:val="FootnoteReference"/>
          <w:rFonts w:ascii="Times New Roman" w:hAnsi="Times New Roman"/>
          <w:sz w:val="24"/>
          <w:szCs w:val="24"/>
          <w:rtl w:val="0"/>
        </w:rPr>
        <w:footnoteReference w:id="16"/>
      </w:r>
      <w:r w:rsidRPr="00604357" w:rsidR="00604357">
        <w:rPr>
          <w:rFonts w:ascii="Times New Roman" w:hAnsi="Times New Roman"/>
          <w:sz w:val="24"/>
          <w:szCs w:val="24"/>
        </w:rPr>
        <w:t xml:space="preserve">. </w:t>
      </w:r>
      <w:r w:rsidRPr="00202296">
        <w:rPr>
          <w:rFonts w:ascii="Times New Roman" w:hAnsi="Times New Roman"/>
          <w:color w:val="000000" w:themeColor="tx1" w:themeShade="FF"/>
          <w:szCs w:val="22"/>
        </w:rPr>
        <w:t>V rámci Programu rozvoja vidieka SR 2014-2020 získala kapitola čiastku 172 327 tis. eur, v rámci Integrovaného regionálneho operačného programu 2014-2020 sumu 44 79</w:t>
      </w:r>
      <w:r>
        <w:rPr>
          <w:rFonts w:ascii="Times New Roman" w:hAnsi="Times New Roman"/>
          <w:color w:val="000000" w:themeColor="tx1" w:themeShade="FF"/>
          <w:szCs w:val="22"/>
        </w:rPr>
        <w:t>6</w:t>
      </w:r>
      <w:r w:rsidRPr="00202296">
        <w:rPr>
          <w:rFonts w:ascii="Times New Roman" w:hAnsi="Times New Roman"/>
          <w:color w:val="000000" w:themeColor="tx1" w:themeShade="FF"/>
          <w:szCs w:val="22"/>
        </w:rPr>
        <w:t> tis. eur určenú najmä na zvýšenie energetickej efektívnosti bytových domov a v rámci Trhovo orientovaných výdavkov sumu 12 149 tis. eur</w:t>
      </w:r>
      <w:r>
        <w:rPr>
          <w:rFonts w:ascii="Times New Roman" w:hAnsi="Times New Roman"/>
          <w:color w:val="000000" w:themeColor="tx1" w:themeShade="FF"/>
          <w:szCs w:val="22"/>
        </w:rPr>
        <w:t xml:space="preserve"> určenú na stabilizáciu a</w:t>
      </w:r>
      <w:r w:rsidR="00137718">
        <w:rPr>
          <w:rFonts w:ascii="Times New Roman" w:hAnsi="Times New Roman"/>
          <w:color w:val="000000" w:themeColor="tx1" w:themeShade="FF"/>
          <w:szCs w:val="22"/>
        </w:rPr>
        <w:t xml:space="preserve"> </w:t>
      </w:r>
      <w:r>
        <w:rPr>
          <w:rFonts w:ascii="Times New Roman" w:hAnsi="Times New Roman"/>
          <w:color w:val="000000" w:themeColor="tx1" w:themeShade="FF"/>
          <w:szCs w:val="22"/>
        </w:rPr>
        <w:t>podporu poľnohospodárskych trhov (podpora vin</w:t>
      </w:r>
      <w:r w:rsidR="00E7520C">
        <w:rPr>
          <w:rFonts w:ascii="Times New Roman" w:hAnsi="Times New Roman"/>
          <w:color w:val="000000" w:themeColor="tx1" w:themeShade="FF"/>
          <w:szCs w:val="22"/>
        </w:rPr>
        <w:t xml:space="preserve">ohradnícko-vinárskeho sektora a </w:t>
      </w:r>
      <w:r>
        <w:rPr>
          <w:rFonts w:ascii="Times New Roman" w:hAnsi="Times New Roman"/>
          <w:color w:val="000000" w:themeColor="tx1" w:themeShade="FF"/>
          <w:szCs w:val="22"/>
        </w:rPr>
        <w:t>sektora ovocia a</w:t>
      </w:r>
      <w:r w:rsidR="00E7520C">
        <w:rPr>
          <w:rFonts w:ascii="Times New Roman" w:hAnsi="Times New Roman"/>
          <w:color w:val="000000" w:themeColor="tx1" w:themeShade="FF"/>
          <w:szCs w:val="22"/>
        </w:rPr>
        <w:t xml:space="preserve"> </w:t>
      </w:r>
      <w:r>
        <w:rPr>
          <w:rFonts w:ascii="Times New Roman" w:hAnsi="Times New Roman"/>
          <w:color w:val="000000" w:themeColor="tx1" w:themeShade="FF"/>
          <w:szCs w:val="22"/>
        </w:rPr>
        <w:t>zeleniny, podpora spotreby vybraných komodít – školské mlieko a</w:t>
      </w:r>
      <w:r w:rsidR="005F6874">
        <w:rPr>
          <w:rFonts w:ascii="Times New Roman" w:hAnsi="Times New Roman"/>
          <w:color w:val="000000" w:themeColor="tx1" w:themeShade="FF"/>
          <w:szCs w:val="22"/>
        </w:rPr>
        <w:t xml:space="preserve"> </w:t>
      </w:r>
      <w:r>
        <w:rPr>
          <w:rFonts w:ascii="Times New Roman" w:hAnsi="Times New Roman"/>
          <w:color w:val="000000" w:themeColor="tx1" w:themeShade="FF"/>
          <w:szCs w:val="22"/>
        </w:rPr>
        <w:t xml:space="preserve">školské ovocie). </w:t>
      </w:r>
    </w:p>
    <w:p w:rsidR="004D79E7" w:rsidP="004D79E7">
      <w:pPr>
        <w:tabs>
          <w:tab w:val="left" w:pos="284"/>
        </w:tabs>
        <w:suppressAutoHyphens/>
        <w:bidi w:val="0"/>
        <w:rPr>
          <w:rFonts w:ascii="Times New Roman" w:hAnsi="Times New Roman"/>
          <w:color w:val="000000" w:themeColor="tx1" w:themeShade="FF"/>
          <w:szCs w:val="22"/>
        </w:rPr>
      </w:pPr>
      <w:r w:rsidRPr="005564D8">
        <w:rPr>
          <w:rFonts w:ascii="Times New Roman" w:hAnsi="Times New Roman"/>
          <w:b/>
          <w:color w:val="000000" w:themeColor="tx1" w:themeShade="FF"/>
          <w:szCs w:val="22"/>
        </w:rPr>
        <w:t>Ministerstvo</w:t>
      </w:r>
      <w:r w:rsidRPr="005564D8" w:rsidR="002C26E4">
        <w:rPr>
          <w:rFonts w:ascii="Times New Roman" w:hAnsi="Times New Roman"/>
          <w:b/>
          <w:color w:val="000000" w:themeColor="tx1" w:themeShade="FF"/>
          <w:szCs w:val="22"/>
        </w:rPr>
        <w:t xml:space="preserve"> dopravy a </w:t>
      </w:r>
      <w:r w:rsidRPr="005564D8">
        <w:rPr>
          <w:rFonts w:ascii="Times New Roman" w:hAnsi="Times New Roman"/>
          <w:b/>
          <w:color w:val="000000" w:themeColor="tx1" w:themeShade="FF"/>
          <w:szCs w:val="22"/>
        </w:rPr>
        <w:t>výstavby SR</w:t>
      </w:r>
      <w:r w:rsidRPr="003B3430">
        <w:rPr>
          <w:rFonts w:ascii="Times New Roman" w:hAnsi="Times New Roman"/>
          <w:color w:val="000000" w:themeColor="tx1" w:themeShade="FF"/>
          <w:szCs w:val="22"/>
        </w:rPr>
        <w:t xml:space="preserve"> prijalo sumu 321 088 tis. eur</w:t>
      </w:r>
      <w:r w:rsidRPr="00634DC3">
        <w:rPr>
          <w:rFonts w:ascii="Times New Roman" w:hAnsi="Times New Roman"/>
          <w:color w:val="FF0000"/>
          <w:szCs w:val="22"/>
        </w:rPr>
        <w:t xml:space="preserve"> </w:t>
      </w:r>
      <w:r w:rsidR="0006204A">
        <w:rPr>
          <w:rFonts w:ascii="Times New Roman" w:hAnsi="Times New Roman"/>
          <w:color w:val="000000" w:themeColor="tx1" w:themeShade="FF"/>
          <w:szCs w:val="22"/>
        </w:rPr>
        <w:t>z Európskych fondov v</w:t>
      </w:r>
      <w:r w:rsidR="00E7520C">
        <w:rPr>
          <w:rFonts w:ascii="Times New Roman" w:hAnsi="Times New Roman"/>
          <w:color w:val="000000" w:themeColor="tx1" w:themeShade="FF"/>
          <w:szCs w:val="22"/>
        </w:rPr>
        <w:t> </w:t>
      </w:r>
      <w:r w:rsidRPr="003B3430">
        <w:rPr>
          <w:rFonts w:ascii="Times New Roman" w:hAnsi="Times New Roman"/>
          <w:color w:val="000000" w:themeColor="tx1" w:themeShade="FF"/>
          <w:szCs w:val="22"/>
        </w:rPr>
        <w:t>rámci</w:t>
      </w:r>
      <w:r w:rsidR="00E7520C">
        <w:rPr>
          <w:rFonts w:ascii="Times New Roman" w:hAnsi="Times New Roman"/>
          <w:color w:val="000000" w:themeColor="tx1" w:themeShade="FF"/>
          <w:szCs w:val="22"/>
        </w:rPr>
        <w:t xml:space="preserve"> </w:t>
      </w:r>
      <w:r w:rsidRPr="003B3430">
        <w:rPr>
          <w:rFonts w:ascii="Times New Roman" w:hAnsi="Times New Roman"/>
          <w:color w:val="000000" w:themeColor="tx1" w:themeShade="FF"/>
          <w:szCs w:val="22"/>
        </w:rPr>
        <w:t>operačného programu</w:t>
      </w:r>
      <w:r w:rsidR="00E7520C">
        <w:rPr>
          <w:rFonts w:ascii="Times New Roman" w:hAnsi="Times New Roman"/>
          <w:color w:val="000000" w:themeColor="tx1" w:themeShade="FF"/>
          <w:szCs w:val="22"/>
        </w:rPr>
        <w:t xml:space="preserve"> </w:t>
      </w:r>
      <w:r w:rsidRPr="003B3430">
        <w:rPr>
          <w:rFonts w:ascii="Times New Roman" w:hAnsi="Times New Roman"/>
          <w:color w:val="000000" w:themeColor="tx1" w:themeShade="FF"/>
          <w:szCs w:val="22"/>
        </w:rPr>
        <w:t>Integrovaná infraštruktúra</w:t>
      </w:r>
      <w:r>
        <w:rPr>
          <w:rFonts w:ascii="Times New Roman" w:hAnsi="Times New Roman"/>
          <w:color w:val="000000" w:themeColor="tx1" w:themeShade="FF"/>
          <w:szCs w:val="22"/>
        </w:rPr>
        <w:t xml:space="preserve">. </w:t>
      </w:r>
    </w:p>
    <w:p w:rsidR="004D79E7" w:rsidRPr="002C4B85" w:rsidP="004D79E7">
      <w:pPr>
        <w:tabs>
          <w:tab w:val="left" w:pos="284"/>
        </w:tabs>
        <w:suppressAutoHyphens/>
        <w:bidi w:val="0"/>
        <w:rPr>
          <w:rFonts w:ascii="Times New Roman" w:hAnsi="Times New Roman"/>
          <w:color w:val="000000" w:themeColor="tx1" w:themeShade="FF"/>
          <w:szCs w:val="22"/>
        </w:rPr>
      </w:pPr>
      <w:r w:rsidRPr="005564D8">
        <w:rPr>
          <w:rFonts w:ascii="Times New Roman" w:hAnsi="Times New Roman"/>
          <w:b/>
          <w:color w:val="000000" w:themeColor="tx1" w:themeShade="FF"/>
          <w:szCs w:val="22"/>
        </w:rPr>
        <w:t>Ministerstvo práce, sociálnych vecí a</w:t>
      </w:r>
      <w:r w:rsidR="005564D8">
        <w:rPr>
          <w:rFonts w:ascii="Times New Roman" w:hAnsi="Times New Roman"/>
          <w:b/>
          <w:color w:val="000000" w:themeColor="tx1" w:themeShade="FF"/>
          <w:szCs w:val="22"/>
        </w:rPr>
        <w:t xml:space="preserve"> </w:t>
      </w:r>
      <w:r w:rsidRPr="005564D8">
        <w:rPr>
          <w:rFonts w:ascii="Times New Roman" w:hAnsi="Times New Roman"/>
          <w:b/>
          <w:color w:val="000000" w:themeColor="tx1" w:themeShade="FF"/>
          <w:szCs w:val="22"/>
        </w:rPr>
        <w:t>rodiny SR</w:t>
      </w:r>
      <w:r w:rsidRPr="002C4B85">
        <w:rPr>
          <w:rFonts w:ascii="Times New Roman" w:hAnsi="Times New Roman"/>
          <w:color w:val="000000" w:themeColor="tx1" w:themeShade="FF"/>
          <w:szCs w:val="22"/>
        </w:rPr>
        <w:t xml:space="preserve"> získalo sumu 165 697 tis. eur. Z toho v rámci Operačného programu Ľudské zdroje čiastku 153 438 tis. eur, v rámci Operačného programu potravinovej a</w:t>
      </w:r>
      <w:r w:rsidR="00E7520C">
        <w:rPr>
          <w:rFonts w:ascii="Times New Roman" w:hAnsi="Times New Roman"/>
          <w:color w:val="000000" w:themeColor="tx1" w:themeShade="FF"/>
          <w:szCs w:val="22"/>
        </w:rPr>
        <w:t xml:space="preserve"> </w:t>
      </w:r>
      <w:r w:rsidRPr="002C4B85">
        <w:rPr>
          <w:rFonts w:ascii="Times New Roman" w:hAnsi="Times New Roman"/>
          <w:color w:val="000000" w:themeColor="tx1" w:themeShade="FF"/>
          <w:szCs w:val="22"/>
        </w:rPr>
        <w:t>základnej materiálnej pomoci sumu 9 123 tis. eur a</w:t>
      </w:r>
      <w:r w:rsidR="00E7520C">
        <w:rPr>
          <w:rFonts w:ascii="Times New Roman" w:hAnsi="Times New Roman"/>
          <w:color w:val="000000" w:themeColor="tx1" w:themeShade="FF"/>
          <w:szCs w:val="22"/>
        </w:rPr>
        <w:t xml:space="preserve"> </w:t>
      </w:r>
      <w:r w:rsidRPr="002C4B85">
        <w:rPr>
          <w:rFonts w:ascii="Times New Roman" w:hAnsi="Times New Roman"/>
          <w:color w:val="000000" w:themeColor="tx1" w:themeShade="FF"/>
          <w:szCs w:val="22"/>
        </w:rPr>
        <w:t>v rámci Ope</w:t>
      </w:r>
      <w:r w:rsidR="00E7520C">
        <w:rPr>
          <w:rFonts w:ascii="Times New Roman" w:hAnsi="Times New Roman"/>
          <w:color w:val="000000" w:themeColor="tx1" w:themeShade="FF"/>
          <w:szCs w:val="22"/>
        </w:rPr>
        <w:t xml:space="preserve">račného programu zamestnanosť a </w:t>
      </w:r>
      <w:r w:rsidRPr="002C4B85">
        <w:rPr>
          <w:rFonts w:ascii="Times New Roman" w:hAnsi="Times New Roman"/>
          <w:color w:val="000000" w:themeColor="tx1" w:themeShade="FF"/>
          <w:szCs w:val="22"/>
        </w:rPr>
        <w:t xml:space="preserve">sociálna inklúzia sumu 3 136 tis. eur. </w:t>
      </w:r>
    </w:p>
    <w:p w:rsidR="00EB7A00">
      <w:pPr>
        <w:bidi w:val="0"/>
        <w:spacing w:after="200" w:line="276" w:lineRule="auto"/>
        <w:jc w:val="left"/>
        <w:rPr>
          <w:rFonts w:ascii="Times New Roman" w:hAnsi="Times New Roman"/>
          <w:b/>
          <w:color w:val="000000" w:themeColor="tx1" w:themeShade="FF"/>
          <w:szCs w:val="22"/>
        </w:rPr>
      </w:pPr>
      <w:r>
        <w:rPr>
          <w:rFonts w:ascii="Times New Roman" w:hAnsi="Times New Roman"/>
          <w:b/>
          <w:color w:val="000000" w:themeColor="tx1" w:themeShade="FF"/>
          <w:szCs w:val="22"/>
        </w:rPr>
        <w:br w:type="page"/>
      </w:r>
    </w:p>
    <w:p w:rsidR="004D79E7" w:rsidP="004D79E7">
      <w:pPr>
        <w:tabs>
          <w:tab w:val="left" w:pos="284"/>
        </w:tabs>
        <w:suppressAutoHyphens/>
        <w:bidi w:val="0"/>
        <w:rPr>
          <w:rFonts w:ascii="Times New Roman" w:hAnsi="Times New Roman"/>
          <w:color w:val="000000" w:themeColor="tx1" w:themeShade="FF"/>
          <w:szCs w:val="22"/>
        </w:rPr>
      </w:pPr>
      <w:r w:rsidRPr="005564D8">
        <w:rPr>
          <w:rFonts w:ascii="Times New Roman" w:hAnsi="Times New Roman"/>
          <w:b/>
          <w:color w:val="000000" w:themeColor="tx1" w:themeShade="FF"/>
          <w:szCs w:val="22"/>
        </w:rPr>
        <w:t>Ministerstvo životného prostredia SR</w:t>
      </w:r>
      <w:r w:rsidRPr="00E57EE6">
        <w:rPr>
          <w:rFonts w:ascii="Times New Roman" w:hAnsi="Times New Roman"/>
          <w:color w:val="000000" w:themeColor="tx1" w:themeShade="FF"/>
          <w:szCs w:val="22"/>
        </w:rPr>
        <w:t xml:space="preserve"> </w:t>
      </w:r>
      <w:r w:rsidR="009E729F">
        <w:rPr>
          <w:rFonts w:ascii="Times New Roman" w:hAnsi="Times New Roman"/>
          <w:color w:val="000000" w:themeColor="tx1" w:themeShade="FF"/>
          <w:szCs w:val="22"/>
        </w:rPr>
        <w:t>prijalo</w:t>
      </w:r>
      <w:r w:rsidRPr="00E57EE6">
        <w:rPr>
          <w:rFonts w:ascii="Times New Roman" w:hAnsi="Times New Roman"/>
          <w:color w:val="000000" w:themeColor="tx1" w:themeShade="FF"/>
          <w:szCs w:val="22"/>
        </w:rPr>
        <w:t xml:space="preserve"> sumu 142 731 tis. eur </w:t>
      </w:r>
      <w:r>
        <w:rPr>
          <w:rFonts w:ascii="Times New Roman" w:hAnsi="Times New Roman"/>
          <w:color w:val="000000" w:themeColor="tx1" w:themeShade="FF"/>
          <w:szCs w:val="22"/>
        </w:rPr>
        <w:t>určenú na </w:t>
      </w:r>
      <w:r w:rsidRPr="000547AA">
        <w:rPr>
          <w:rFonts w:ascii="Times New Roman" w:hAnsi="Times New Roman"/>
          <w:color w:val="000000" w:themeColor="tx1" w:themeShade="FF"/>
          <w:szCs w:val="22"/>
        </w:rPr>
        <w:t>spoluf</w:t>
      </w:r>
      <w:r w:rsidR="009E729F">
        <w:rPr>
          <w:rFonts w:ascii="Times New Roman" w:hAnsi="Times New Roman"/>
          <w:color w:val="000000" w:themeColor="tx1" w:themeShade="FF"/>
          <w:szCs w:val="22"/>
        </w:rPr>
        <w:t>inancovanie O</w:t>
      </w:r>
      <w:r w:rsidR="005F6874">
        <w:rPr>
          <w:rFonts w:ascii="Times New Roman" w:hAnsi="Times New Roman"/>
          <w:color w:val="000000" w:themeColor="tx1" w:themeShade="FF"/>
          <w:szCs w:val="22"/>
        </w:rPr>
        <w:t xml:space="preserve">peračného programu </w:t>
      </w:r>
      <w:r w:rsidRPr="000547AA">
        <w:rPr>
          <w:rFonts w:ascii="Times New Roman" w:hAnsi="Times New Roman"/>
          <w:color w:val="000000" w:themeColor="tx1" w:themeShade="FF"/>
          <w:szCs w:val="22"/>
        </w:rPr>
        <w:t>Kvalita životného prostredia.</w:t>
      </w:r>
      <w:r>
        <w:rPr>
          <w:rFonts w:ascii="Times New Roman" w:hAnsi="Times New Roman"/>
          <w:color w:val="000000" w:themeColor="tx1" w:themeShade="FF"/>
          <w:szCs w:val="22"/>
        </w:rPr>
        <w:t xml:space="preserve"> V rámci tohto operačného programu sa spolufinancovali projekty zamerané na zvýšenie miery zhodnocovania </w:t>
      </w:r>
      <w:r w:rsidR="005F6874">
        <w:rPr>
          <w:rFonts w:ascii="Times New Roman" w:hAnsi="Times New Roman"/>
          <w:color w:val="000000" w:themeColor="tx1" w:themeShade="FF"/>
          <w:szCs w:val="22"/>
        </w:rPr>
        <w:t xml:space="preserve">odpadov, zlepšenie odvádzania a </w:t>
      </w:r>
      <w:r>
        <w:rPr>
          <w:rFonts w:ascii="Times New Roman" w:hAnsi="Times New Roman"/>
          <w:color w:val="000000" w:themeColor="tx1" w:themeShade="FF"/>
          <w:szCs w:val="22"/>
        </w:rPr>
        <w:t>čistenia komunálnych odpadových vôd, zlepšenie stavu ochrany druhov a</w:t>
      </w:r>
      <w:r w:rsidR="00E7520C">
        <w:rPr>
          <w:rFonts w:ascii="Times New Roman" w:hAnsi="Times New Roman"/>
          <w:color w:val="000000" w:themeColor="tx1" w:themeShade="FF"/>
          <w:szCs w:val="22"/>
        </w:rPr>
        <w:t xml:space="preserve"> </w:t>
      </w:r>
      <w:r>
        <w:rPr>
          <w:rFonts w:ascii="Times New Roman" w:hAnsi="Times New Roman"/>
          <w:color w:val="000000" w:themeColor="tx1" w:themeShade="FF"/>
          <w:szCs w:val="22"/>
        </w:rPr>
        <w:t>biotopov a</w:t>
      </w:r>
      <w:r w:rsidR="005F6874">
        <w:rPr>
          <w:rFonts w:ascii="Times New Roman" w:hAnsi="Times New Roman"/>
          <w:color w:val="000000" w:themeColor="tx1" w:themeShade="FF"/>
          <w:szCs w:val="22"/>
        </w:rPr>
        <w:t xml:space="preserve"> </w:t>
      </w:r>
      <w:r>
        <w:rPr>
          <w:rFonts w:ascii="Times New Roman" w:hAnsi="Times New Roman"/>
          <w:color w:val="000000" w:themeColor="tx1" w:themeShade="FF"/>
          <w:szCs w:val="22"/>
        </w:rPr>
        <w:t xml:space="preserve">ďalšie. </w:t>
      </w:r>
    </w:p>
    <w:p w:rsidR="004D79E7" w:rsidRPr="003249B2" w:rsidP="004D79E7">
      <w:pPr>
        <w:tabs>
          <w:tab w:val="left" w:pos="284"/>
        </w:tabs>
        <w:suppressAutoHyphens/>
        <w:bidi w:val="0"/>
        <w:rPr>
          <w:rFonts w:ascii="Times New Roman" w:hAnsi="Times New Roman"/>
          <w:color w:val="000000" w:themeColor="tx1" w:themeShade="FF"/>
          <w:szCs w:val="22"/>
        </w:rPr>
      </w:pPr>
      <w:r w:rsidRPr="003249B2">
        <w:rPr>
          <w:rFonts w:ascii="Times New Roman" w:hAnsi="Times New Roman"/>
          <w:color w:val="000000" w:themeColor="tx1" w:themeShade="FF"/>
          <w:szCs w:val="22"/>
        </w:rPr>
        <w:t xml:space="preserve">Bližšie informácie o príjmoch z rozpočtu EÚ sú uvedené v samostatnej kapitole 3.4. vzťahy štátneho rozpočtu k Európskej </w:t>
      </w:r>
      <w:r>
        <w:rPr>
          <w:rFonts w:ascii="Times New Roman" w:hAnsi="Times New Roman"/>
          <w:color w:val="000000" w:themeColor="tx1" w:themeShade="FF"/>
          <w:szCs w:val="22"/>
        </w:rPr>
        <w:t>ú</w:t>
      </w:r>
      <w:r w:rsidRPr="003249B2">
        <w:rPr>
          <w:rFonts w:ascii="Times New Roman" w:hAnsi="Times New Roman"/>
          <w:color w:val="000000" w:themeColor="tx1" w:themeShade="FF"/>
          <w:szCs w:val="22"/>
        </w:rPr>
        <w:t>nii.</w:t>
      </w:r>
    </w:p>
    <w:p w:rsidR="004D79E7" w:rsidRPr="0026555D" w:rsidP="004D79E7">
      <w:pPr>
        <w:bidi w:val="0"/>
        <w:rPr>
          <w:rFonts w:ascii="Times New Roman" w:hAnsi="Times New Roman"/>
          <w:szCs w:val="22"/>
        </w:rPr>
      </w:pPr>
      <w:r w:rsidRPr="00B125E1">
        <w:rPr>
          <w:rFonts w:ascii="Times New Roman" w:hAnsi="Times New Roman"/>
          <w:i/>
          <w:color w:val="000000" w:themeColor="tx1" w:themeShade="FF"/>
          <w:szCs w:val="22"/>
        </w:rPr>
        <w:t>Zahraničné granty</w:t>
      </w:r>
      <w:r w:rsidRPr="00B125E1">
        <w:rPr>
          <w:rFonts w:ascii="Times New Roman" w:hAnsi="Times New Roman"/>
          <w:color w:val="000000" w:themeColor="tx1" w:themeShade="FF"/>
          <w:szCs w:val="22"/>
        </w:rPr>
        <w:t>,</w:t>
      </w:r>
      <w:r w:rsidRPr="009C113F">
        <w:rPr>
          <w:rFonts w:ascii="Times New Roman" w:hAnsi="Times New Roman"/>
          <w:color w:val="000000" w:themeColor="tx1" w:themeShade="FF"/>
          <w:szCs w:val="22"/>
        </w:rPr>
        <w:t xml:space="preserve"> ktoré neboli rozpočtované, dosiahli celkovú výšku 10 737 tis. eur. Išlo hlavne o príjmy poskytnuté </w:t>
      </w:r>
      <w:r w:rsidRPr="00336AFD" w:rsidR="009E729F">
        <w:rPr>
          <w:rFonts w:ascii="Times New Roman" w:hAnsi="Times New Roman"/>
          <w:color w:val="000000" w:themeColor="tx1" w:themeShade="FF"/>
          <w:szCs w:val="22"/>
        </w:rPr>
        <w:t>zo zahraničia mimo rozpočtu EÚ na základe medzinárodných zmlúv v sume</w:t>
      </w:r>
      <w:r w:rsidRPr="00634DC3" w:rsidR="009E729F">
        <w:rPr>
          <w:rFonts w:ascii="Times New Roman" w:hAnsi="Times New Roman"/>
          <w:color w:val="FF0000"/>
          <w:szCs w:val="22"/>
        </w:rPr>
        <w:t xml:space="preserve"> </w:t>
      </w:r>
      <w:r w:rsidRPr="0026555D" w:rsidR="009E729F">
        <w:rPr>
          <w:rFonts w:ascii="Times New Roman" w:hAnsi="Times New Roman"/>
          <w:color w:val="000000" w:themeColor="tx1" w:themeShade="FF"/>
          <w:szCs w:val="22"/>
        </w:rPr>
        <w:t xml:space="preserve">7 653 tis. eur. </w:t>
      </w:r>
      <w:r w:rsidRPr="00336AFD" w:rsidR="009E729F">
        <w:rPr>
          <w:rFonts w:ascii="Times New Roman" w:hAnsi="Times New Roman"/>
          <w:color w:val="000000" w:themeColor="tx1" w:themeShade="FF"/>
          <w:szCs w:val="22"/>
        </w:rPr>
        <w:t xml:space="preserve">Ide </w:t>
      </w:r>
      <w:r w:rsidR="009E729F">
        <w:rPr>
          <w:rFonts w:ascii="Times New Roman" w:hAnsi="Times New Roman"/>
          <w:color w:val="000000" w:themeColor="tx1" w:themeShade="FF"/>
          <w:szCs w:val="22"/>
        </w:rPr>
        <w:t xml:space="preserve">napr. </w:t>
      </w:r>
      <w:r w:rsidRPr="00336AFD" w:rsidR="009E729F">
        <w:rPr>
          <w:rFonts w:ascii="Times New Roman" w:hAnsi="Times New Roman"/>
          <w:color w:val="000000" w:themeColor="tx1" w:themeShade="FF"/>
          <w:szCs w:val="22"/>
        </w:rPr>
        <w:t>o prostriedky Finančného mechanizmu EHP, N</w:t>
      </w:r>
      <w:r w:rsidR="009E729F">
        <w:rPr>
          <w:rFonts w:ascii="Times New Roman" w:hAnsi="Times New Roman"/>
          <w:color w:val="000000" w:themeColor="tx1" w:themeShade="FF"/>
          <w:szCs w:val="22"/>
        </w:rPr>
        <w:t xml:space="preserve">órskeho finančného mechanizmu a </w:t>
      </w:r>
      <w:r w:rsidRPr="00336AFD" w:rsidR="009E729F">
        <w:rPr>
          <w:rFonts w:ascii="Times New Roman" w:hAnsi="Times New Roman"/>
          <w:color w:val="000000" w:themeColor="tx1" w:themeShade="FF"/>
          <w:szCs w:val="22"/>
        </w:rPr>
        <w:t>Švajčiarskeho finančného mechanizmu.</w:t>
      </w:r>
      <w:r w:rsidR="009E729F">
        <w:rPr>
          <w:rFonts w:ascii="Times New Roman" w:hAnsi="Times New Roman"/>
          <w:color w:val="000000" w:themeColor="tx1" w:themeShade="FF"/>
          <w:szCs w:val="22"/>
        </w:rPr>
        <w:t xml:space="preserve"> </w:t>
      </w:r>
      <w:r w:rsidRPr="00336AFD" w:rsidR="009E729F">
        <w:rPr>
          <w:rFonts w:ascii="Times New Roman" w:hAnsi="Times New Roman"/>
          <w:color w:val="000000" w:themeColor="tx1" w:themeShade="FF"/>
          <w:szCs w:val="22"/>
        </w:rPr>
        <w:t>Ďalej sem patria aj</w:t>
      </w:r>
      <w:r w:rsidR="009E729F">
        <w:rPr>
          <w:rFonts w:ascii="Times New Roman" w:hAnsi="Times New Roman"/>
          <w:color w:val="000000" w:themeColor="tx1" w:themeShade="FF"/>
          <w:szCs w:val="22"/>
        </w:rPr>
        <w:t xml:space="preserve"> </w:t>
      </w:r>
      <w:r w:rsidRPr="00336AFD" w:rsidR="009E729F">
        <w:rPr>
          <w:rFonts w:ascii="Times New Roman" w:hAnsi="Times New Roman"/>
          <w:color w:val="000000" w:themeColor="tx1" w:themeShade="FF"/>
          <w:szCs w:val="22"/>
        </w:rPr>
        <w:t>príjmy poskytnuté</w:t>
      </w:r>
      <w:r w:rsidR="00B125E1">
        <w:rPr>
          <w:rFonts w:ascii="Times New Roman" w:hAnsi="Times New Roman"/>
          <w:color w:val="000000" w:themeColor="tx1" w:themeShade="FF"/>
          <w:szCs w:val="22"/>
        </w:rPr>
        <w:t xml:space="preserve"> </w:t>
      </w:r>
      <w:r w:rsidRPr="009C113F">
        <w:rPr>
          <w:rFonts w:ascii="Times New Roman" w:hAnsi="Times New Roman"/>
          <w:color w:val="000000" w:themeColor="tx1" w:themeShade="FF"/>
          <w:szCs w:val="22"/>
        </w:rPr>
        <w:t xml:space="preserve">z rozpočtu Európskej únie </w:t>
      </w:r>
      <w:r w:rsidRPr="00B140C2">
        <w:rPr>
          <w:rFonts w:ascii="Times New Roman" w:hAnsi="Times New Roman"/>
          <w:color w:val="000000" w:themeColor="tx1" w:themeShade="FF"/>
          <w:szCs w:val="22"/>
        </w:rPr>
        <w:t xml:space="preserve">(3 084 tis. eur), </w:t>
      </w:r>
      <w:r w:rsidRPr="004C5C6E">
        <w:rPr>
          <w:rFonts w:ascii="Times New Roman" w:hAnsi="Times New Roman"/>
          <w:szCs w:val="22"/>
        </w:rPr>
        <w:t>ktorých poskyt</w:t>
      </w:r>
      <w:r>
        <w:rPr>
          <w:rFonts w:ascii="Times New Roman" w:hAnsi="Times New Roman"/>
          <w:szCs w:val="22"/>
        </w:rPr>
        <w:t>ovanie riadi EÚ centralizovaným</w:t>
      </w:r>
      <w:r w:rsidR="005564D8">
        <w:rPr>
          <w:rFonts w:ascii="Times New Roman" w:hAnsi="Times New Roman"/>
          <w:szCs w:val="22"/>
        </w:rPr>
        <w:t xml:space="preserve"> spôsobom. </w:t>
      </w:r>
      <w:r>
        <w:rPr>
          <w:rFonts w:ascii="Times New Roman" w:hAnsi="Times New Roman"/>
          <w:szCs w:val="22"/>
        </w:rPr>
        <w:t>Tieto</w:t>
      </w:r>
      <w:r w:rsidR="005564D8">
        <w:rPr>
          <w:rFonts w:ascii="Times New Roman" w:hAnsi="Times New Roman"/>
          <w:szCs w:val="22"/>
        </w:rPr>
        <w:t xml:space="preserve"> </w:t>
      </w:r>
      <w:r w:rsidRPr="004C5C6E">
        <w:rPr>
          <w:rFonts w:ascii="Times New Roman" w:hAnsi="Times New Roman"/>
          <w:szCs w:val="22"/>
        </w:rPr>
        <w:t>príjmy boli použité najmä na programy cezhraničnej spolupráce, programy v oblasti vzdelávania, výskumu, zdravia a</w:t>
      </w:r>
      <w:r w:rsidR="005F6874">
        <w:rPr>
          <w:rFonts w:ascii="Times New Roman" w:hAnsi="Times New Roman"/>
          <w:szCs w:val="22"/>
        </w:rPr>
        <w:t xml:space="preserve"> </w:t>
      </w:r>
      <w:r w:rsidRPr="004C5C6E">
        <w:rPr>
          <w:rFonts w:ascii="Times New Roman" w:hAnsi="Times New Roman"/>
          <w:szCs w:val="22"/>
        </w:rPr>
        <w:t>ochrany spotrebiteľa a</w:t>
      </w:r>
      <w:r w:rsidR="005564D8">
        <w:rPr>
          <w:rFonts w:ascii="Times New Roman" w:hAnsi="Times New Roman"/>
          <w:szCs w:val="22"/>
        </w:rPr>
        <w:t xml:space="preserve"> </w:t>
      </w:r>
      <w:r w:rsidRPr="004C5C6E">
        <w:rPr>
          <w:rFonts w:ascii="Times New Roman" w:hAnsi="Times New Roman"/>
          <w:szCs w:val="22"/>
        </w:rPr>
        <w:t>v oblasti bezpečnosti, mi</w:t>
      </w:r>
      <w:r w:rsidR="005F6874">
        <w:rPr>
          <w:rFonts w:ascii="Times New Roman" w:hAnsi="Times New Roman"/>
          <w:szCs w:val="22"/>
        </w:rPr>
        <w:t xml:space="preserve">grácie osôb a </w:t>
      </w:r>
      <w:r w:rsidRPr="004C5C6E">
        <w:rPr>
          <w:rFonts w:ascii="Times New Roman" w:hAnsi="Times New Roman"/>
          <w:szCs w:val="22"/>
        </w:rPr>
        <w:t>ochrany hraníc.</w:t>
      </w:r>
      <w:r>
        <w:rPr>
          <w:rFonts w:ascii="Times New Roman" w:hAnsi="Times New Roman"/>
          <w:szCs w:val="22"/>
        </w:rPr>
        <w:t xml:space="preserve"> </w:t>
      </w:r>
    </w:p>
    <w:p w:rsidR="004D79E7" w:rsidRPr="00BE5678" w:rsidP="004D79E7">
      <w:pPr>
        <w:bidi w:val="0"/>
        <w:spacing w:line="360" w:lineRule="auto"/>
        <w:rPr>
          <w:rFonts w:ascii="Times New Roman" w:hAnsi="Times New Roman"/>
          <w:color w:val="000000" w:themeColor="tx1" w:themeShade="FF"/>
          <w:szCs w:val="22"/>
        </w:rPr>
      </w:pPr>
      <w:r w:rsidRPr="00B24C71">
        <w:rPr>
          <w:rFonts w:ascii="Times New Roman" w:hAnsi="Times New Roman"/>
          <w:color w:val="000000" w:themeColor="tx1" w:themeShade="FF"/>
          <w:szCs w:val="22"/>
        </w:rPr>
        <w:t xml:space="preserve">Najväčší objem príjmov zo zahraničných grantov dosiahlo Ministerstvo vnútra SR, a to 2 493 tis. eur. </w:t>
      </w:r>
      <w:r>
        <w:rPr>
          <w:rFonts w:ascii="Times New Roman" w:hAnsi="Times New Roman"/>
          <w:color w:val="000000" w:themeColor="tx1" w:themeShade="FF"/>
          <w:szCs w:val="22"/>
        </w:rPr>
        <w:t xml:space="preserve">Tieto </w:t>
      </w:r>
      <w:r w:rsidRPr="00BE5678">
        <w:rPr>
          <w:rFonts w:ascii="Times New Roman" w:hAnsi="Times New Roman"/>
          <w:color w:val="000000" w:themeColor="tx1" w:themeShade="FF"/>
          <w:szCs w:val="22"/>
        </w:rPr>
        <w:t>prostriedky boli prijaté najmä od Európskeho podporného úradu p</w:t>
      </w:r>
      <w:r>
        <w:rPr>
          <w:rFonts w:ascii="Times New Roman" w:hAnsi="Times New Roman"/>
          <w:color w:val="000000" w:themeColor="tx1" w:themeShade="FF"/>
          <w:szCs w:val="22"/>
        </w:rPr>
        <w:t>re azyl, Európskej agentúry pre</w:t>
      </w:r>
      <w:r w:rsidR="005F6874">
        <w:rPr>
          <w:rFonts w:ascii="Times New Roman" w:hAnsi="Times New Roman"/>
          <w:color w:val="000000" w:themeColor="tx1" w:themeShade="FF"/>
          <w:szCs w:val="22"/>
        </w:rPr>
        <w:t xml:space="preserve"> </w:t>
      </w:r>
      <w:r w:rsidRPr="00BE5678">
        <w:rPr>
          <w:rFonts w:ascii="Times New Roman" w:hAnsi="Times New Roman"/>
          <w:color w:val="000000" w:themeColor="tx1" w:themeShade="FF"/>
          <w:szCs w:val="22"/>
        </w:rPr>
        <w:t>pohranič</w:t>
      </w:r>
      <w:r w:rsidR="005F6874">
        <w:rPr>
          <w:rFonts w:ascii="Times New Roman" w:hAnsi="Times New Roman"/>
          <w:color w:val="000000" w:themeColor="tx1" w:themeShade="FF"/>
          <w:szCs w:val="22"/>
        </w:rPr>
        <w:t xml:space="preserve">nú a </w:t>
      </w:r>
      <w:r w:rsidR="00501D65">
        <w:rPr>
          <w:rFonts w:ascii="Times New Roman" w:hAnsi="Times New Roman"/>
          <w:color w:val="000000" w:themeColor="tx1" w:themeShade="FF"/>
          <w:szCs w:val="22"/>
        </w:rPr>
        <w:t xml:space="preserve">pobrežnú stráž (Frontex), </w:t>
      </w:r>
      <w:r w:rsidRPr="00BE5678">
        <w:rPr>
          <w:rFonts w:ascii="Times New Roman" w:hAnsi="Times New Roman"/>
          <w:color w:val="000000" w:themeColor="tx1" w:themeShade="FF"/>
          <w:szCs w:val="22"/>
        </w:rPr>
        <w:t>Európskej komisie</w:t>
      </w:r>
      <w:r w:rsidR="0015313D">
        <w:rPr>
          <w:rFonts w:ascii="Times New Roman" w:hAnsi="Times New Roman"/>
          <w:color w:val="000000" w:themeColor="tx1" w:themeShade="FF"/>
          <w:szCs w:val="22"/>
        </w:rPr>
        <w:t>,</w:t>
      </w:r>
      <w:r w:rsidR="005F6874">
        <w:rPr>
          <w:rFonts w:ascii="Times New Roman" w:hAnsi="Times New Roman"/>
          <w:color w:val="000000" w:themeColor="tx1" w:themeShade="FF"/>
          <w:szCs w:val="22"/>
        </w:rPr>
        <w:t xml:space="preserve"> a </w:t>
      </w:r>
      <w:r w:rsidRPr="00BE5678">
        <w:rPr>
          <w:rFonts w:ascii="Times New Roman" w:hAnsi="Times New Roman"/>
          <w:color w:val="000000" w:themeColor="tx1" w:themeShade="FF"/>
          <w:szCs w:val="22"/>
        </w:rPr>
        <w:t>to z Fondu pre azyl, migráciu a</w:t>
      </w:r>
      <w:r w:rsidR="00501D65">
        <w:rPr>
          <w:rFonts w:ascii="Times New Roman" w:hAnsi="Times New Roman"/>
          <w:color w:val="000000" w:themeColor="tx1" w:themeShade="FF"/>
          <w:szCs w:val="22"/>
        </w:rPr>
        <w:t xml:space="preserve"> integráciu a </w:t>
      </w:r>
      <w:r w:rsidRPr="00BE5678">
        <w:rPr>
          <w:rFonts w:ascii="Times New Roman" w:hAnsi="Times New Roman"/>
          <w:color w:val="000000" w:themeColor="tx1" w:themeShade="FF"/>
          <w:szCs w:val="22"/>
        </w:rPr>
        <w:t>z Fondu pre vnútornú bezpečnosť, Európskej komisie v rámci projektov Rómskej platformy. Prostriedky boli určené na napĺňanie cieľov azylovej p</w:t>
      </w:r>
      <w:r>
        <w:rPr>
          <w:rFonts w:ascii="Times New Roman" w:hAnsi="Times New Roman"/>
          <w:color w:val="000000" w:themeColor="tx1" w:themeShade="FF"/>
          <w:szCs w:val="22"/>
        </w:rPr>
        <w:t>olitiky, na výdavky súvisiace s </w:t>
      </w:r>
      <w:r w:rsidRPr="00BE5678">
        <w:rPr>
          <w:rFonts w:ascii="Times New Roman" w:hAnsi="Times New Roman"/>
          <w:color w:val="000000" w:themeColor="tx1" w:themeShade="FF"/>
          <w:szCs w:val="22"/>
        </w:rPr>
        <w:t>vysielan</w:t>
      </w:r>
      <w:r>
        <w:rPr>
          <w:rFonts w:ascii="Times New Roman" w:hAnsi="Times New Roman"/>
          <w:color w:val="000000" w:themeColor="tx1" w:themeShade="FF"/>
          <w:szCs w:val="22"/>
        </w:rPr>
        <w:t>ím</w:t>
      </w:r>
      <w:r w:rsidRPr="00BE5678">
        <w:rPr>
          <w:rFonts w:ascii="Times New Roman" w:hAnsi="Times New Roman"/>
          <w:color w:val="000000" w:themeColor="tx1" w:themeShade="FF"/>
          <w:szCs w:val="22"/>
        </w:rPr>
        <w:t xml:space="preserve"> príslušníkov zahraničných jednotiek policajného zboru na výko</w:t>
      </w:r>
      <w:r>
        <w:rPr>
          <w:rFonts w:ascii="Times New Roman" w:hAnsi="Times New Roman"/>
          <w:color w:val="000000" w:themeColor="tx1" w:themeShade="FF"/>
          <w:szCs w:val="22"/>
        </w:rPr>
        <w:t>n hraničného dozoru, výdavky na </w:t>
      </w:r>
      <w:r w:rsidRPr="00BE5678">
        <w:rPr>
          <w:rFonts w:ascii="Times New Roman" w:hAnsi="Times New Roman"/>
          <w:color w:val="000000" w:themeColor="tx1" w:themeShade="FF"/>
          <w:szCs w:val="22"/>
        </w:rPr>
        <w:t>spoluprácu európskych špeciálnych jednotiek, vzdelávanie príslušníkov hraničnej a cudzineckej polície v cudzích jazykoch, právnu poradň</w:t>
      </w:r>
      <w:r w:rsidR="0003598A">
        <w:rPr>
          <w:rFonts w:ascii="Times New Roman" w:hAnsi="Times New Roman"/>
          <w:color w:val="000000" w:themeColor="tx1" w:themeShade="FF"/>
          <w:szCs w:val="22"/>
        </w:rPr>
        <w:t>u</w:t>
      </w:r>
      <w:r w:rsidRPr="00BE5678">
        <w:rPr>
          <w:rFonts w:ascii="Times New Roman" w:hAnsi="Times New Roman"/>
          <w:color w:val="000000" w:themeColor="tx1" w:themeShade="FF"/>
          <w:szCs w:val="22"/>
        </w:rPr>
        <w:t xml:space="preserve"> pre azyl, výdavky </w:t>
      </w:r>
      <w:r w:rsidR="00B125E1">
        <w:rPr>
          <w:rFonts w:ascii="Times New Roman" w:hAnsi="Times New Roman"/>
          <w:color w:val="000000" w:themeColor="tx1" w:themeShade="FF"/>
          <w:szCs w:val="22"/>
        </w:rPr>
        <w:t xml:space="preserve">v oblasti podpory integrácie </w:t>
      </w:r>
      <w:r w:rsidRPr="00BE5678" w:rsidR="00B125E1">
        <w:rPr>
          <w:rFonts w:ascii="Times New Roman" w:hAnsi="Times New Roman"/>
          <w:color w:val="000000" w:themeColor="tx1" w:themeShade="FF"/>
          <w:szCs w:val="22"/>
        </w:rPr>
        <w:t>rómskej mládeže v</w:t>
      </w:r>
      <w:r w:rsidR="00B125E1">
        <w:rPr>
          <w:rFonts w:ascii="Times New Roman" w:hAnsi="Times New Roman"/>
          <w:color w:val="000000" w:themeColor="tx1" w:themeShade="FF"/>
          <w:szCs w:val="22"/>
        </w:rPr>
        <w:t> </w:t>
      </w:r>
      <w:r w:rsidRPr="00BE5678" w:rsidR="00B125E1">
        <w:rPr>
          <w:rFonts w:ascii="Times New Roman" w:hAnsi="Times New Roman"/>
          <w:color w:val="000000" w:themeColor="tx1" w:themeShade="FF"/>
          <w:szCs w:val="22"/>
        </w:rPr>
        <w:t>SR</w:t>
      </w:r>
      <w:r w:rsidR="00B125E1">
        <w:rPr>
          <w:rFonts w:ascii="Times New Roman" w:hAnsi="Times New Roman"/>
          <w:color w:val="000000" w:themeColor="tx1" w:themeShade="FF"/>
          <w:szCs w:val="22"/>
        </w:rPr>
        <w:t>.</w:t>
      </w:r>
      <w:r w:rsidRPr="00BE5678">
        <w:rPr>
          <w:rFonts w:ascii="Times New Roman" w:hAnsi="Times New Roman"/>
          <w:color w:val="000000" w:themeColor="tx1" w:themeShade="FF"/>
          <w:szCs w:val="22"/>
        </w:rPr>
        <w:t xml:space="preserve"> </w:t>
      </w:r>
    </w:p>
    <w:p w:rsidR="004D79E7" w:rsidP="004D79E7">
      <w:pPr>
        <w:bidi w:val="0"/>
        <w:spacing w:line="360" w:lineRule="auto"/>
        <w:rPr>
          <w:rFonts w:ascii="Times New Roman" w:hAnsi="Times New Roman"/>
          <w:color w:val="000000" w:themeColor="tx1" w:themeShade="FF"/>
          <w:szCs w:val="22"/>
        </w:rPr>
      </w:pPr>
      <w:r w:rsidRPr="005564D8">
        <w:rPr>
          <w:rFonts w:ascii="Times New Roman" w:hAnsi="Times New Roman"/>
          <w:b/>
          <w:color w:val="000000" w:themeColor="tx1" w:themeShade="FF"/>
          <w:szCs w:val="22"/>
        </w:rPr>
        <w:t>Ministerstvo</w:t>
      </w:r>
      <w:r w:rsidRPr="005564D8" w:rsidR="00501D65">
        <w:rPr>
          <w:rFonts w:ascii="Times New Roman" w:hAnsi="Times New Roman"/>
          <w:b/>
          <w:color w:val="000000" w:themeColor="tx1" w:themeShade="FF"/>
          <w:szCs w:val="22"/>
        </w:rPr>
        <w:t xml:space="preserve"> dopravy a</w:t>
      </w:r>
      <w:r w:rsidRPr="005564D8">
        <w:rPr>
          <w:rFonts w:ascii="Times New Roman" w:hAnsi="Times New Roman"/>
          <w:b/>
          <w:color w:val="000000" w:themeColor="tx1" w:themeShade="FF"/>
          <w:szCs w:val="22"/>
        </w:rPr>
        <w:t xml:space="preserve"> výstavby SR</w:t>
      </w:r>
      <w:r w:rsidRPr="00457987">
        <w:rPr>
          <w:rFonts w:ascii="Times New Roman" w:hAnsi="Times New Roman"/>
          <w:color w:val="000000" w:themeColor="tx1" w:themeShade="FF"/>
          <w:szCs w:val="22"/>
        </w:rPr>
        <w:t xml:space="preserve"> dosiahlo príjem 2 228 tis. eur, z toho Dopravný úrad prijal sumu 1 457 tis. eur od medzinárodnej organizácie na základe leteckého zákona najmä za letecké kalibračné merania a overovania v rámci projektu jednotného európskeho neba. Slovenská správa ciest prijala zahraničný grant vo výške </w:t>
      </w:r>
      <w:r>
        <w:rPr>
          <w:rFonts w:ascii="Times New Roman" w:hAnsi="Times New Roman"/>
          <w:color w:val="000000" w:themeColor="tx1" w:themeShade="FF"/>
          <w:szCs w:val="22"/>
        </w:rPr>
        <w:t>561 tis. eur</w:t>
      </w:r>
      <w:r w:rsidRPr="00457987">
        <w:rPr>
          <w:rFonts w:ascii="Times New Roman" w:hAnsi="Times New Roman"/>
          <w:color w:val="000000" w:themeColor="tx1" w:themeShade="FF"/>
          <w:szCs w:val="22"/>
        </w:rPr>
        <w:t xml:space="preserve"> v rámci projektu CEF s názvom „Prepojenie elementov základnej siete v odvetví dopravy: Koridor Rýn – Dunaj Komárom – Komárno cezhraničný most (Projek</w:t>
      </w:r>
      <w:r>
        <w:rPr>
          <w:rFonts w:ascii="Times New Roman" w:hAnsi="Times New Roman"/>
          <w:color w:val="000000" w:themeColor="tx1" w:themeShade="FF"/>
          <w:szCs w:val="22"/>
        </w:rPr>
        <w:t>t vnútrozemských vodných ciest)“.</w:t>
      </w:r>
    </w:p>
    <w:p w:rsidR="004D79E7" w:rsidP="004D79E7">
      <w:pPr>
        <w:bidi w:val="0"/>
        <w:spacing w:line="360" w:lineRule="auto"/>
        <w:rPr>
          <w:rFonts w:ascii="Times New Roman" w:hAnsi="Times New Roman"/>
          <w:color w:val="000000" w:themeColor="tx1" w:themeShade="FF"/>
          <w:szCs w:val="22"/>
        </w:rPr>
      </w:pPr>
      <w:r w:rsidRPr="005564D8">
        <w:rPr>
          <w:rFonts w:ascii="Times New Roman" w:hAnsi="Times New Roman"/>
          <w:b/>
          <w:color w:val="000000" w:themeColor="tx1" w:themeShade="FF"/>
          <w:szCs w:val="22"/>
        </w:rPr>
        <w:t>Ministerstvo pôdohospodárstva a</w:t>
      </w:r>
      <w:r w:rsidR="00E7520C">
        <w:rPr>
          <w:rFonts w:ascii="Times New Roman" w:hAnsi="Times New Roman"/>
          <w:b/>
          <w:color w:val="000000" w:themeColor="tx1" w:themeShade="FF"/>
          <w:szCs w:val="22"/>
        </w:rPr>
        <w:t xml:space="preserve"> </w:t>
      </w:r>
      <w:r w:rsidRPr="005564D8">
        <w:rPr>
          <w:rFonts w:ascii="Times New Roman" w:hAnsi="Times New Roman"/>
          <w:b/>
          <w:color w:val="000000" w:themeColor="tx1" w:themeShade="FF"/>
          <w:szCs w:val="22"/>
        </w:rPr>
        <w:t>rozvoja vidieka SR</w:t>
      </w:r>
      <w:r>
        <w:rPr>
          <w:rFonts w:ascii="Times New Roman" w:hAnsi="Times New Roman"/>
          <w:color w:val="000000" w:themeColor="tx1" w:themeShade="FF"/>
          <w:szCs w:val="22"/>
        </w:rPr>
        <w:t xml:space="preserve"> prijalo čiastku 1 317 tis. eur, z čoho Štátna veterinárna a</w:t>
      </w:r>
      <w:r w:rsidR="00E7520C">
        <w:rPr>
          <w:rFonts w:ascii="Times New Roman" w:hAnsi="Times New Roman"/>
          <w:color w:val="000000" w:themeColor="tx1" w:themeShade="FF"/>
          <w:szCs w:val="22"/>
        </w:rPr>
        <w:t xml:space="preserve"> </w:t>
      </w:r>
      <w:r>
        <w:rPr>
          <w:rFonts w:ascii="Times New Roman" w:hAnsi="Times New Roman"/>
          <w:color w:val="000000" w:themeColor="tx1" w:themeShade="FF"/>
          <w:szCs w:val="22"/>
        </w:rPr>
        <w:t>potravinová správa SR získala sumu 698 tis. eur na monitorovanie určitých chorôb zvierat.</w:t>
      </w:r>
    </w:p>
    <w:p w:rsidR="004D79E7" w:rsidRPr="007C1B45" w:rsidP="004D79E7">
      <w:pPr>
        <w:bidi w:val="0"/>
        <w:spacing w:line="360" w:lineRule="auto"/>
        <w:rPr>
          <w:rFonts w:ascii="Times New Roman" w:hAnsi="Times New Roman"/>
          <w:color w:val="000000" w:themeColor="tx1" w:themeShade="FF"/>
          <w:szCs w:val="22"/>
        </w:rPr>
      </w:pPr>
      <w:r w:rsidRPr="005564D8">
        <w:rPr>
          <w:rFonts w:ascii="Times New Roman" w:hAnsi="Times New Roman"/>
          <w:b/>
          <w:color w:val="000000" w:themeColor="tx1" w:themeShade="FF"/>
          <w:szCs w:val="22"/>
        </w:rPr>
        <w:t>Štatistický úrad SR</w:t>
      </w:r>
      <w:r w:rsidRPr="007F6745">
        <w:rPr>
          <w:rFonts w:ascii="Times New Roman" w:hAnsi="Times New Roman"/>
          <w:color w:val="000000" w:themeColor="tx1" w:themeShade="FF"/>
          <w:szCs w:val="22"/>
        </w:rPr>
        <w:t xml:space="preserve"> prijal formou bežného grantu sumu 1 143 tis. eur od Európskej komisie s cieľom zaviesť nové štatistické zisťovania.</w:t>
      </w:r>
    </w:p>
    <w:p w:rsidR="004D79E7" w:rsidRPr="005564D8" w:rsidP="004D79E7">
      <w:pPr>
        <w:tabs>
          <w:tab w:val="left" w:pos="284"/>
        </w:tabs>
        <w:suppressAutoHyphens/>
        <w:bidi w:val="0"/>
        <w:rPr>
          <w:rFonts w:ascii="Times New Roman" w:hAnsi="Times New Roman"/>
          <w:b/>
          <w:color w:val="000000" w:themeColor="tx1" w:themeShade="FF"/>
        </w:rPr>
      </w:pPr>
      <w:r w:rsidRPr="005564D8">
        <w:rPr>
          <w:rFonts w:ascii="Times New Roman" w:hAnsi="Times New Roman"/>
          <w:b/>
          <w:i/>
          <w:color w:val="000000" w:themeColor="tx1" w:themeShade="FF"/>
          <w:szCs w:val="22"/>
        </w:rPr>
        <w:t>Podrobné údaje o príjmoch štátneho rozpočtu podľa kapitol, kategórií rozpočtovej klasifikácie a podľa zdrojov za rok 2017 sú uvedené v tab. č. 4 až 6 tabuľkovej prílohy štátneho záverečného účtu.</w:t>
      </w:r>
    </w:p>
    <w:p w:rsidR="00693173" w:rsidRPr="005564D8" w:rsidP="003E2C97">
      <w:pPr>
        <w:pStyle w:val="Heading2"/>
        <w:numPr>
          <w:ilvl w:val="0"/>
          <w:numId w:val="0"/>
        </w:numPr>
        <w:bidi w:val="0"/>
        <w:ind w:left="576" w:hanging="576"/>
        <w:rPr>
          <w:rFonts w:hint="default"/>
        </w:rPr>
      </w:pPr>
      <w:bookmarkStart w:id="48" w:name="_Toc479313239"/>
      <w:bookmarkStart w:id="49" w:name="_Toc512599671"/>
      <w:r w:rsidR="003E2C97">
        <w:t xml:space="preserve">3.2  </w:t>
      </w:r>
      <w:r w:rsidRPr="005564D8">
        <w:rPr>
          <w:rFonts w:hint="default"/>
        </w:rPr>
        <w:t>Vý</w:t>
      </w:r>
      <w:r w:rsidRPr="005564D8">
        <w:rPr>
          <w:rFonts w:hint="default"/>
        </w:rPr>
        <w:t>davky š</w:t>
      </w:r>
      <w:r w:rsidRPr="005564D8">
        <w:rPr>
          <w:rFonts w:hint="default"/>
        </w:rPr>
        <w:t>tá</w:t>
      </w:r>
      <w:r w:rsidRPr="005564D8">
        <w:rPr>
          <w:rFonts w:hint="default"/>
        </w:rPr>
        <w:t>tneho rozpoč</w:t>
      </w:r>
      <w:r w:rsidRPr="005564D8">
        <w:rPr>
          <w:rFonts w:hint="default"/>
        </w:rPr>
        <w:t>tu</w:t>
      </w:r>
      <w:bookmarkEnd w:id="48"/>
      <w:bookmarkEnd w:id="49"/>
    </w:p>
    <w:p w:rsidR="005C44D8" w:rsidRPr="00D9084F" w:rsidP="005C44D8">
      <w:pPr>
        <w:bidi w:val="0"/>
        <w:rPr>
          <w:rFonts w:ascii="Times New Roman" w:hAnsi="Times New Roman"/>
          <w:szCs w:val="22"/>
        </w:rPr>
      </w:pPr>
      <w:bookmarkStart w:id="50" w:name="_Toc322614759"/>
      <w:bookmarkStart w:id="51" w:name="_Toc449622838"/>
      <w:bookmarkStart w:id="52" w:name="_Toc479313240"/>
      <w:r w:rsidRPr="00D9084F">
        <w:rPr>
          <w:rFonts w:ascii="Times New Roman" w:hAnsi="Times New Roman"/>
          <w:szCs w:val="22"/>
        </w:rPr>
        <w:t>Schválený rozpočet výdavkov bol vo výraznej miere ovplyvnený opatreniami vyplývajúcimi z ústavného zákona o rozpočtovej zodpovednosti a zabezpečovaním efektívnych a dlhodobo udržateľných verejných financií. Pri rozpočtovaní výdavkov na rok 201</w:t>
      </w:r>
      <w:r w:rsidR="0003598A">
        <w:rPr>
          <w:rFonts w:ascii="Times New Roman" w:hAnsi="Times New Roman"/>
          <w:szCs w:val="22"/>
        </w:rPr>
        <w:t>7</w:t>
      </w:r>
      <w:r w:rsidRPr="00D9084F">
        <w:rPr>
          <w:rFonts w:ascii="Times New Roman" w:hAnsi="Times New Roman"/>
          <w:szCs w:val="22"/>
        </w:rPr>
        <w:t xml:space="preserve"> sa taktiež zohľadnili aktuálne legislatívne zmeny a dodržali sa pravidlá rozpočtového hospodárenia v zmysle zákona o rozpočtových pravidlách </w:t>
      </w:r>
    </w:p>
    <w:p w:rsidR="005C44D8" w:rsidRPr="001F5B67" w:rsidP="005C44D8">
      <w:pPr>
        <w:numPr>
          <w:ilvl w:val="1"/>
          <w:numId w:val="9"/>
        </w:numPr>
        <w:bidi w:val="0"/>
        <w:ind w:left="426" w:hanging="426"/>
        <w:rPr>
          <w:rFonts w:ascii="Times New Roman" w:hAnsi="Times New Roman"/>
          <w:szCs w:val="22"/>
        </w:rPr>
      </w:pPr>
      <w:r w:rsidRPr="001F5B67">
        <w:rPr>
          <w:rFonts w:ascii="Times New Roman" w:hAnsi="Times New Roman"/>
          <w:szCs w:val="22"/>
        </w:rPr>
        <w:t>možnosť použitia kapitálových výdavkov na určený účel aj v nasledujúcich dvoch rozpočtových rokoch po rozpočtovom roku, na ktorý boli rozpočtované,</w:t>
      </w:r>
    </w:p>
    <w:p w:rsidR="005C44D8" w:rsidRPr="001F5B67" w:rsidP="005C44D8">
      <w:pPr>
        <w:numPr>
          <w:ilvl w:val="1"/>
          <w:numId w:val="9"/>
        </w:numPr>
        <w:bidi w:val="0"/>
        <w:ind w:left="426" w:hanging="426"/>
        <w:rPr>
          <w:rFonts w:ascii="Times New Roman" w:hAnsi="Times New Roman"/>
          <w:szCs w:val="22"/>
        </w:rPr>
      </w:pPr>
      <w:r w:rsidRPr="001F5B67">
        <w:rPr>
          <w:rFonts w:ascii="Times New Roman" w:hAnsi="Times New Roman"/>
          <w:szCs w:val="22"/>
        </w:rPr>
        <w:t>možnosť použitia prostriedkov Európskej únie vrátane spolufinancovania zo štátneho rozpočtu aj v nasledujúcich rozpočtových rokoch až do ich vyčerpania na určený účel,</w:t>
      </w:r>
    </w:p>
    <w:p w:rsidR="005C44D8" w:rsidRPr="001F5B67" w:rsidP="005C44D8">
      <w:pPr>
        <w:numPr>
          <w:ilvl w:val="1"/>
          <w:numId w:val="9"/>
        </w:numPr>
        <w:bidi w:val="0"/>
        <w:ind w:left="426" w:hanging="426"/>
        <w:rPr>
          <w:rFonts w:ascii="Times New Roman" w:hAnsi="Times New Roman"/>
          <w:szCs w:val="22"/>
        </w:rPr>
      </w:pPr>
      <w:r w:rsidRPr="001F5B67">
        <w:rPr>
          <w:rFonts w:ascii="Times New Roman" w:hAnsi="Times New Roman"/>
          <w:szCs w:val="22"/>
        </w:rPr>
        <w:t xml:space="preserve">pri bežných transferoch s výnimkou miezd, poskytnutých príjemcom </w:t>
      </w:r>
      <w:r w:rsidRPr="005E6C1C">
        <w:rPr>
          <w:rFonts w:ascii="Times New Roman" w:hAnsi="Times New Roman"/>
          <w:szCs w:val="22"/>
        </w:rPr>
        <w:t xml:space="preserve">po 1. </w:t>
      </w:r>
      <w:r w:rsidRPr="005E6C1C" w:rsidR="00F958EB">
        <w:rPr>
          <w:rFonts w:ascii="Times New Roman" w:hAnsi="Times New Roman"/>
          <w:szCs w:val="22"/>
        </w:rPr>
        <w:t>auguste</w:t>
      </w:r>
      <w:r w:rsidRPr="001F5B67">
        <w:rPr>
          <w:rFonts w:ascii="Times New Roman" w:hAnsi="Times New Roman"/>
          <w:szCs w:val="22"/>
        </w:rPr>
        <w:t xml:space="preserve"> rozpočtového roka, možnosť ich použitia do konca prvého štvrťroka nasledujúceho roka,</w:t>
      </w:r>
    </w:p>
    <w:p w:rsidR="005C44D8" w:rsidRPr="001F5B67" w:rsidP="005C44D8">
      <w:pPr>
        <w:numPr>
          <w:numId w:val="7"/>
        </w:numPr>
        <w:tabs>
          <w:tab w:val="left" w:pos="426"/>
        </w:tabs>
        <w:bidi w:val="0"/>
        <w:ind w:left="0" w:firstLine="0"/>
        <w:rPr>
          <w:rFonts w:ascii="Times New Roman" w:hAnsi="Times New Roman"/>
          <w:szCs w:val="22"/>
        </w:rPr>
      </w:pPr>
      <w:r w:rsidRPr="001F5B67">
        <w:rPr>
          <w:rFonts w:ascii="Times New Roman" w:hAnsi="Times New Roman"/>
          <w:szCs w:val="22"/>
        </w:rPr>
        <w:t>viacročné rozpočtovanie na tri rozpočtové roky,</w:t>
      </w:r>
    </w:p>
    <w:p w:rsidR="005C44D8" w:rsidRPr="001F5B67" w:rsidP="005C44D8">
      <w:pPr>
        <w:numPr>
          <w:numId w:val="7"/>
        </w:numPr>
        <w:tabs>
          <w:tab w:val="left" w:pos="426"/>
        </w:tabs>
        <w:bidi w:val="0"/>
        <w:ind w:left="426" w:hanging="426"/>
        <w:rPr>
          <w:rFonts w:ascii="Times New Roman" w:hAnsi="Times New Roman"/>
          <w:szCs w:val="22"/>
        </w:rPr>
      </w:pPr>
      <w:r w:rsidRPr="001F5B67">
        <w:rPr>
          <w:rFonts w:ascii="Times New Roman" w:hAnsi="Times New Roman"/>
          <w:szCs w:val="22"/>
        </w:rPr>
        <w:t>rozpočtovanie formou bežných a kapitálových výdavkov pri uplatňovaní rozpočtovej klasifikácie,</w:t>
      </w:r>
    </w:p>
    <w:p w:rsidR="005C44D8" w:rsidRPr="001F5B67" w:rsidP="005C44D8">
      <w:pPr>
        <w:numPr>
          <w:ilvl w:val="1"/>
          <w:numId w:val="9"/>
        </w:numPr>
        <w:bidi w:val="0"/>
        <w:ind w:left="426" w:hanging="426"/>
        <w:rPr>
          <w:rFonts w:ascii="Times New Roman" w:hAnsi="Times New Roman"/>
          <w:szCs w:val="22"/>
        </w:rPr>
      </w:pPr>
      <w:r w:rsidRPr="001F5B67">
        <w:rPr>
          <w:rFonts w:ascii="Times New Roman" w:hAnsi="Times New Roman"/>
          <w:szCs w:val="22"/>
        </w:rPr>
        <w:t>využívanie programového rozpočtovania, aby bolo možné transparentné hodnotenie formulovaných zámerov,</w:t>
      </w:r>
    </w:p>
    <w:p w:rsidR="005C44D8" w:rsidRPr="001F5B67" w:rsidP="005C44D8">
      <w:pPr>
        <w:numPr>
          <w:ilvl w:val="1"/>
          <w:numId w:val="9"/>
        </w:numPr>
        <w:bidi w:val="0"/>
        <w:ind w:left="426" w:hanging="426"/>
        <w:rPr>
          <w:rFonts w:ascii="Times New Roman" w:hAnsi="Times New Roman"/>
          <w:szCs w:val="22"/>
        </w:rPr>
      </w:pPr>
      <w:r w:rsidRPr="001F5B67">
        <w:rPr>
          <w:rFonts w:ascii="Times New Roman" w:hAnsi="Times New Roman"/>
          <w:szCs w:val="22"/>
        </w:rPr>
        <w:t>poskytovanie dotácií v súlade so zákonom o štátnom rozpo</w:t>
      </w:r>
      <w:r w:rsidR="0072654F">
        <w:rPr>
          <w:rFonts w:ascii="Times New Roman" w:hAnsi="Times New Roman"/>
          <w:szCs w:val="22"/>
        </w:rPr>
        <w:t>čte na príslušný rozpočtový rok.</w:t>
      </w:r>
    </w:p>
    <w:p w:rsidR="005C44D8" w:rsidRPr="00472F1D" w:rsidP="005C44D8">
      <w:pPr>
        <w:bidi w:val="0"/>
        <w:rPr>
          <w:rFonts w:ascii="Times New Roman" w:hAnsi="Times New Roman"/>
          <w:b/>
        </w:rPr>
      </w:pPr>
      <w:r w:rsidRPr="00472F1D">
        <w:rPr>
          <w:rFonts w:ascii="Times New Roman" w:hAnsi="Times New Roman"/>
          <w:b/>
          <w:i/>
          <w:szCs w:val="22"/>
        </w:rPr>
        <w:t>Podrobný prehľad o výdavkoch štátneho rozpočtu v roku 2017 podľa kategórií rozpočtovej klasifikácie a kapitol štátneho rozpočtu, o bežných transferoch a kapitálových výdavkoch je uvedený v tab. 7 až 9 tabuľkovej prílohy štátneho záverečného účtu.</w:t>
      </w:r>
    </w:p>
    <w:p w:rsidR="00EB7A00">
      <w:pPr>
        <w:bidi w:val="0"/>
        <w:spacing w:after="200" w:line="276" w:lineRule="auto"/>
        <w:jc w:val="left"/>
        <w:rPr>
          <w:rFonts w:ascii="Times New Roman" w:hAnsi="Times New Roman" w:eastAsiaTheme="majorEastAsia"/>
          <w:b/>
          <w:bCs/>
          <w:sz w:val="24"/>
        </w:rPr>
      </w:pPr>
    </w:p>
    <w:p w:rsidR="00233644" w:rsidRPr="005564D8" w:rsidP="003E2C97">
      <w:pPr>
        <w:pStyle w:val="Heading3"/>
        <w:numPr>
          <w:ilvl w:val="0"/>
          <w:numId w:val="0"/>
        </w:numPr>
        <w:bidi w:val="0"/>
        <w:ind w:left="709" w:firstLine="0"/>
        <w:rPr>
          <w:rFonts w:hint="default"/>
        </w:rPr>
      </w:pPr>
      <w:bookmarkStart w:id="53" w:name="_Toc512599672"/>
      <w:r w:rsidR="003E2C97">
        <w:t xml:space="preserve">3.2.1 </w:t>
      </w:r>
      <w:r w:rsidRPr="005564D8">
        <w:rPr>
          <w:rFonts w:hint="default"/>
        </w:rPr>
        <w:t>Vý</w:t>
      </w:r>
      <w:r w:rsidRPr="005564D8">
        <w:rPr>
          <w:rFonts w:hint="default"/>
        </w:rPr>
        <w:t>davky š</w:t>
      </w:r>
      <w:r w:rsidRPr="005564D8">
        <w:rPr>
          <w:rFonts w:hint="default"/>
        </w:rPr>
        <w:t>tá</w:t>
      </w:r>
      <w:r w:rsidRPr="005564D8">
        <w:rPr>
          <w:rFonts w:hint="default"/>
        </w:rPr>
        <w:t>tneho rozpoč</w:t>
      </w:r>
      <w:r w:rsidRPr="005564D8">
        <w:rPr>
          <w:rFonts w:hint="default"/>
        </w:rPr>
        <w:t>tu podľ</w:t>
      </w:r>
      <w:r w:rsidRPr="005564D8">
        <w:rPr>
          <w:rFonts w:hint="default"/>
        </w:rPr>
        <w:t>a ekonomickej klasifiká</w:t>
      </w:r>
      <w:r w:rsidRPr="005564D8">
        <w:rPr>
          <w:rFonts w:hint="default"/>
        </w:rPr>
        <w:t>cie</w:t>
      </w:r>
      <w:bookmarkEnd w:id="50"/>
      <w:bookmarkEnd w:id="51"/>
      <w:bookmarkEnd w:id="52"/>
      <w:bookmarkEnd w:id="53"/>
    </w:p>
    <w:p w:rsidR="001A568F" w:rsidRPr="00A339AF" w:rsidP="001A568F">
      <w:pPr>
        <w:bidi w:val="0"/>
        <w:rPr>
          <w:rFonts w:ascii="Times New Roman" w:hAnsi="Times New Roman"/>
          <w:szCs w:val="22"/>
          <w:highlight w:val="yellow"/>
        </w:rPr>
      </w:pPr>
      <w:r w:rsidRPr="00E2476D" w:rsidR="005C44D8">
        <w:rPr>
          <w:rFonts w:ascii="Times New Roman" w:hAnsi="Times New Roman"/>
          <w:szCs w:val="22"/>
        </w:rPr>
        <w:t>Pre rok 2017 boli celkové výdavky štátneho rozpočtu plánované vo výške 17 383 367 </w:t>
      </w:r>
      <w:r w:rsidRPr="00736CB2" w:rsidR="005C44D8">
        <w:rPr>
          <w:rFonts w:ascii="Times New Roman" w:hAnsi="Times New Roman"/>
          <w:szCs w:val="22"/>
        </w:rPr>
        <w:t xml:space="preserve">tis. eur, čo v porovnaní so schváleným rozpočtom pre rok 2016 predstavovalo nárast 7,0 %. Skutočne </w:t>
      </w:r>
      <w:r w:rsidRPr="00E2476D" w:rsidR="005C44D8">
        <w:rPr>
          <w:rFonts w:ascii="Times New Roman" w:hAnsi="Times New Roman"/>
          <w:szCs w:val="22"/>
        </w:rPr>
        <w:t>bolo vynaložených 15 2</w:t>
      </w:r>
      <w:r w:rsidR="005C44D8">
        <w:rPr>
          <w:rFonts w:ascii="Times New Roman" w:hAnsi="Times New Roman"/>
          <w:szCs w:val="22"/>
        </w:rPr>
        <w:t>34</w:t>
      </w:r>
      <w:r w:rsidRPr="00E2476D" w:rsidR="005C44D8">
        <w:rPr>
          <w:rFonts w:ascii="Times New Roman" w:hAnsi="Times New Roman"/>
          <w:szCs w:val="22"/>
        </w:rPr>
        <w:t> </w:t>
      </w:r>
      <w:r w:rsidR="005C44D8">
        <w:rPr>
          <w:rFonts w:ascii="Times New Roman" w:hAnsi="Times New Roman"/>
          <w:szCs w:val="22"/>
        </w:rPr>
        <w:t>261</w:t>
      </w:r>
      <w:r w:rsidRPr="00E2476D" w:rsidR="005C44D8">
        <w:rPr>
          <w:rFonts w:ascii="Times New Roman" w:hAnsi="Times New Roman"/>
          <w:szCs w:val="22"/>
        </w:rPr>
        <w:t xml:space="preserve"> tis. eur, na čom sa bežné výdavky podieľali objemom 13</w:t>
      </w:r>
      <w:r w:rsidR="005C44D8">
        <w:rPr>
          <w:rFonts w:ascii="Times New Roman" w:hAnsi="Times New Roman"/>
          <w:szCs w:val="22"/>
        </w:rPr>
        <w:t> 681 468 </w:t>
      </w:r>
      <w:r w:rsidRPr="00E2476D" w:rsidR="005C44D8">
        <w:rPr>
          <w:rFonts w:ascii="Times New Roman" w:hAnsi="Times New Roman"/>
          <w:szCs w:val="22"/>
        </w:rPr>
        <w:t xml:space="preserve">tis. eur a kapitálové výdavky objemom </w:t>
      </w:r>
      <w:r w:rsidR="005C44D8">
        <w:rPr>
          <w:rFonts w:ascii="Times New Roman" w:hAnsi="Times New Roman"/>
          <w:szCs w:val="22"/>
        </w:rPr>
        <w:t>1 552 793 </w:t>
      </w:r>
      <w:r w:rsidRPr="00E2476D" w:rsidR="005C44D8">
        <w:rPr>
          <w:rFonts w:ascii="Times New Roman" w:hAnsi="Times New Roman"/>
          <w:szCs w:val="22"/>
        </w:rPr>
        <w:t>tis.</w:t>
      </w:r>
      <w:r w:rsidR="005C44D8">
        <w:rPr>
          <w:rFonts w:ascii="Times New Roman" w:hAnsi="Times New Roman"/>
          <w:szCs w:val="22"/>
        </w:rPr>
        <w:t> </w:t>
      </w:r>
      <w:r w:rsidRPr="00E2476D" w:rsidR="005C44D8">
        <w:rPr>
          <w:rFonts w:ascii="Times New Roman" w:hAnsi="Times New Roman"/>
          <w:szCs w:val="22"/>
        </w:rPr>
        <w:t>eur. Celkové výdavky boli oproti schválenému rozpočtu nižšie o</w:t>
      </w:r>
      <w:r w:rsidR="005C44D8">
        <w:rPr>
          <w:rFonts w:ascii="Times New Roman" w:hAnsi="Times New Roman"/>
          <w:szCs w:val="22"/>
        </w:rPr>
        <w:t> 2 149 106 </w:t>
      </w:r>
      <w:r w:rsidRPr="00E2476D" w:rsidR="005C44D8">
        <w:rPr>
          <w:rFonts w:ascii="Times New Roman" w:hAnsi="Times New Roman"/>
          <w:szCs w:val="22"/>
        </w:rPr>
        <w:t>tis. eur a v medziročnom porovnaní klesli o</w:t>
      </w:r>
      <w:r w:rsidR="005C44D8">
        <w:rPr>
          <w:rFonts w:ascii="Times New Roman" w:hAnsi="Times New Roman"/>
          <w:szCs w:val="22"/>
        </w:rPr>
        <w:t> </w:t>
      </w:r>
      <w:r w:rsidRPr="00E2476D" w:rsidR="005C44D8">
        <w:rPr>
          <w:rFonts w:ascii="Times New Roman" w:hAnsi="Times New Roman"/>
          <w:szCs w:val="22"/>
        </w:rPr>
        <w:t>2</w:t>
      </w:r>
      <w:r w:rsidR="005C44D8">
        <w:rPr>
          <w:rFonts w:ascii="Times New Roman" w:hAnsi="Times New Roman"/>
          <w:szCs w:val="22"/>
        </w:rPr>
        <w:t>1 </w:t>
      </w:r>
      <w:r w:rsidRPr="00E2476D" w:rsidR="005C44D8">
        <w:rPr>
          <w:rFonts w:ascii="Times New Roman" w:hAnsi="Times New Roman"/>
          <w:szCs w:val="22"/>
        </w:rPr>
        <w:t>91</w:t>
      </w:r>
      <w:r w:rsidR="005C44D8">
        <w:rPr>
          <w:rFonts w:ascii="Times New Roman" w:hAnsi="Times New Roman"/>
          <w:szCs w:val="22"/>
        </w:rPr>
        <w:t>1 </w:t>
      </w:r>
      <w:r w:rsidRPr="00E2476D" w:rsidR="005C44D8">
        <w:rPr>
          <w:rFonts w:ascii="Times New Roman" w:hAnsi="Times New Roman"/>
          <w:szCs w:val="22"/>
        </w:rPr>
        <w:t>tis. eur</w:t>
      </w:r>
    </w:p>
    <w:p w:rsidR="00285DB8" w:rsidRPr="005564D8" w:rsidP="003E2C97">
      <w:pPr>
        <w:pStyle w:val="Heading4"/>
        <w:numPr>
          <w:ilvl w:val="0"/>
          <w:numId w:val="0"/>
        </w:numPr>
        <w:bidi w:val="0"/>
        <w:ind w:left="864" w:firstLine="0"/>
        <w:rPr>
          <w:rFonts w:hint="default"/>
        </w:rPr>
      </w:pPr>
      <w:bookmarkStart w:id="54" w:name="_Toc512599673"/>
      <w:r w:rsidR="003E2C97">
        <w:t xml:space="preserve">3.2.1.1 </w:t>
      </w:r>
      <w:r w:rsidRPr="005564D8">
        <w:rPr>
          <w:rFonts w:hint="default"/>
        </w:rPr>
        <w:t>Bež</w:t>
      </w:r>
      <w:r w:rsidRPr="005564D8">
        <w:rPr>
          <w:rFonts w:hint="default"/>
        </w:rPr>
        <w:t>né</w:t>
      </w:r>
      <w:r w:rsidRPr="005564D8">
        <w:rPr>
          <w:rFonts w:hint="default"/>
        </w:rPr>
        <w:t xml:space="preserve"> vý</w:t>
      </w:r>
      <w:r w:rsidRPr="005564D8">
        <w:rPr>
          <w:rFonts w:hint="default"/>
        </w:rPr>
        <w:t>davky</w:t>
      </w:r>
      <w:bookmarkEnd w:id="54"/>
    </w:p>
    <w:p w:rsidR="005C44D8" w:rsidRPr="00D9084F" w:rsidP="005C44D8">
      <w:pPr>
        <w:bidi w:val="0"/>
        <w:rPr>
          <w:rFonts w:ascii="Times New Roman" w:hAnsi="Times New Roman"/>
          <w:szCs w:val="22"/>
        </w:rPr>
      </w:pPr>
      <w:r w:rsidRPr="00D9084F">
        <w:rPr>
          <w:rFonts w:ascii="Times New Roman" w:hAnsi="Times New Roman"/>
          <w:szCs w:val="22"/>
        </w:rPr>
        <w:t xml:space="preserve">Schváleným rozpočtom boli stanovené </w:t>
      </w:r>
      <w:r w:rsidRPr="00D9084F">
        <w:rPr>
          <w:rFonts w:ascii="Times New Roman" w:hAnsi="Times New Roman"/>
          <w:b/>
          <w:szCs w:val="22"/>
        </w:rPr>
        <w:t>bežné výdavky</w:t>
      </w:r>
      <w:r w:rsidRPr="00D9084F">
        <w:rPr>
          <w:rFonts w:ascii="Times New Roman" w:hAnsi="Times New Roman"/>
          <w:szCs w:val="22"/>
        </w:rPr>
        <w:t xml:space="preserve"> vo výške 14</w:t>
      </w:r>
      <w:r>
        <w:rPr>
          <w:rFonts w:ascii="Times New Roman" w:hAnsi="Times New Roman"/>
          <w:szCs w:val="22"/>
        </w:rPr>
        <w:t> 644 347 </w:t>
      </w:r>
      <w:r w:rsidRPr="00D9084F">
        <w:rPr>
          <w:rFonts w:ascii="Times New Roman" w:hAnsi="Times New Roman"/>
          <w:szCs w:val="22"/>
        </w:rPr>
        <w:t>tis.</w:t>
      </w:r>
      <w:r>
        <w:rPr>
          <w:rFonts w:ascii="Times New Roman" w:hAnsi="Times New Roman"/>
          <w:szCs w:val="22"/>
        </w:rPr>
        <w:t> </w:t>
      </w:r>
      <w:r w:rsidRPr="00D9084F">
        <w:rPr>
          <w:rFonts w:ascii="Times New Roman" w:hAnsi="Times New Roman"/>
          <w:szCs w:val="22"/>
        </w:rPr>
        <w:t>eur. V ich skutočnom čerpaní 13</w:t>
      </w:r>
      <w:r>
        <w:rPr>
          <w:rFonts w:ascii="Times New Roman" w:hAnsi="Times New Roman"/>
          <w:szCs w:val="22"/>
        </w:rPr>
        <w:t> 681 468 </w:t>
      </w:r>
      <w:r w:rsidRPr="00D9084F">
        <w:rPr>
          <w:rFonts w:ascii="Times New Roman" w:hAnsi="Times New Roman"/>
          <w:szCs w:val="22"/>
        </w:rPr>
        <w:t>tis.</w:t>
      </w:r>
      <w:r>
        <w:rPr>
          <w:rFonts w:ascii="Times New Roman" w:hAnsi="Times New Roman"/>
          <w:szCs w:val="22"/>
        </w:rPr>
        <w:t> </w:t>
      </w:r>
      <w:r w:rsidRPr="00D9084F">
        <w:rPr>
          <w:rFonts w:ascii="Times New Roman" w:hAnsi="Times New Roman"/>
          <w:szCs w:val="22"/>
        </w:rPr>
        <w:t>eur sa odráža aj pokračujúca optimalizácia činností ús</w:t>
      </w:r>
      <w:r w:rsidR="00111F29">
        <w:rPr>
          <w:rFonts w:ascii="Times New Roman" w:hAnsi="Times New Roman"/>
          <w:szCs w:val="22"/>
        </w:rPr>
        <w:t xml:space="preserve">trednej správy. Nižšie čerpanie </w:t>
      </w:r>
      <w:r w:rsidRPr="00D9084F">
        <w:rPr>
          <w:rFonts w:ascii="Times New Roman" w:hAnsi="Times New Roman"/>
          <w:szCs w:val="22"/>
        </w:rPr>
        <w:t>plánovaných výdavkov dosiahlo</w:t>
      </w:r>
      <w:r>
        <w:rPr>
          <w:rFonts w:ascii="Times New Roman" w:hAnsi="Times New Roman"/>
          <w:szCs w:val="22"/>
        </w:rPr>
        <w:t xml:space="preserve"> 6</w:t>
      </w:r>
      <w:r w:rsidRPr="00D9084F">
        <w:rPr>
          <w:rFonts w:ascii="Times New Roman" w:hAnsi="Times New Roman"/>
          <w:szCs w:val="22"/>
        </w:rPr>
        <w:t>,</w:t>
      </w:r>
      <w:r>
        <w:rPr>
          <w:rFonts w:ascii="Times New Roman" w:hAnsi="Times New Roman"/>
          <w:szCs w:val="22"/>
        </w:rPr>
        <w:t>6</w:t>
      </w:r>
      <w:r w:rsidRPr="00D9084F">
        <w:rPr>
          <w:rFonts w:ascii="Times New Roman" w:hAnsi="Times New Roman"/>
          <w:szCs w:val="22"/>
        </w:rPr>
        <w:t xml:space="preserve"> % a prejavilo sa najmä v kategórii tovarov a</w:t>
      </w:r>
      <w:r w:rsidR="00111F29">
        <w:rPr>
          <w:rFonts w:ascii="Times New Roman" w:hAnsi="Times New Roman"/>
          <w:szCs w:val="22"/>
        </w:rPr>
        <w:t xml:space="preserve"> </w:t>
      </w:r>
      <w:r w:rsidRPr="00D9084F">
        <w:rPr>
          <w:rFonts w:ascii="Times New Roman" w:hAnsi="Times New Roman"/>
          <w:szCs w:val="22"/>
        </w:rPr>
        <w:t>služieb a v kategórii bežných transferov.</w:t>
      </w:r>
    </w:p>
    <w:p w:rsidR="00F17E8A">
      <w:pPr>
        <w:bidi w:val="0"/>
        <w:spacing w:after="200" w:line="276" w:lineRule="auto"/>
        <w:jc w:val="left"/>
        <w:rPr>
          <w:rFonts w:ascii="Times New Roman" w:hAnsi="Times New Roman"/>
          <w:szCs w:val="22"/>
        </w:rPr>
      </w:pPr>
      <w:r>
        <w:rPr>
          <w:rFonts w:ascii="Times New Roman" w:hAnsi="Times New Roman"/>
          <w:szCs w:val="22"/>
        </w:rPr>
        <w:br w:type="page"/>
      </w:r>
    </w:p>
    <w:p w:rsidR="005C44D8" w:rsidP="005C44D8">
      <w:pPr>
        <w:bidi w:val="0"/>
        <w:rPr>
          <w:rFonts w:ascii="Times New Roman" w:hAnsi="Times New Roman"/>
          <w:szCs w:val="22"/>
        </w:rPr>
      </w:pPr>
      <w:r w:rsidRPr="00D9084F">
        <w:rPr>
          <w:rFonts w:ascii="Times New Roman" w:hAnsi="Times New Roman"/>
          <w:szCs w:val="22"/>
        </w:rPr>
        <w:t>Prehľad bežných výdavkov v štruktúre ekonomickej klasifikácie je uvedený v nasledovnej tabuľke:</w:t>
      </w:r>
    </w:p>
    <w:tbl>
      <w:tblPr>
        <w:tblStyle w:val="TableNormal"/>
        <w:tblW w:w="8846" w:type="dxa"/>
        <w:tblInd w:w="55" w:type="dxa"/>
        <w:tblLayout w:type="fixed"/>
        <w:tblCellMar>
          <w:left w:w="70" w:type="dxa"/>
          <w:right w:w="70" w:type="dxa"/>
        </w:tblCellMar>
        <w:tblLook w:val="04A0"/>
      </w:tblPr>
      <w:tblGrid>
        <w:gridCol w:w="2774"/>
        <w:gridCol w:w="1104"/>
        <w:gridCol w:w="966"/>
        <w:gridCol w:w="1241"/>
        <w:gridCol w:w="1104"/>
        <w:gridCol w:w="966"/>
        <w:gridCol w:w="691"/>
      </w:tblGrid>
      <w:tr>
        <w:tblPrEx>
          <w:tblW w:w="8846" w:type="dxa"/>
          <w:tblInd w:w="55" w:type="dxa"/>
          <w:tblLayout w:type="fixed"/>
          <w:tblCellMar>
            <w:left w:w="70" w:type="dxa"/>
            <w:right w:w="70" w:type="dxa"/>
          </w:tblCellMar>
          <w:tblLook w:val="04A0"/>
        </w:tblPrEx>
        <w:trPr>
          <w:trHeight w:val="388"/>
        </w:trPr>
        <w:tc>
          <w:tcPr>
            <w:tcW w:w="8846" w:type="dxa"/>
            <w:gridSpan w:val="7"/>
            <w:tcBorders>
              <w:top w:val="nil"/>
              <w:left w:val="nil"/>
              <w:bottom w:val="nil"/>
              <w:right w:val="nil"/>
            </w:tcBorders>
            <w:shd w:val="clear" w:color="000000" w:fill="000000"/>
            <w:textDirection w:val="lrTb"/>
            <w:vAlign w:val="center"/>
            <w:hideMark/>
          </w:tcPr>
          <w:p w:rsidR="005C44D8" w:rsidRPr="00D13C65" w:rsidP="00314FE3">
            <w:pPr>
              <w:bidi w:val="0"/>
              <w:spacing w:after="0" w:line="240" w:lineRule="auto"/>
              <w:jc w:val="left"/>
              <w:rPr>
                <w:rFonts w:ascii="Times New Roman" w:hAnsi="Times New Roman"/>
                <w:b/>
                <w:bCs/>
                <w:sz w:val="18"/>
                <w:szCs w:val="18"/>
              </w:rPr>
            </w:pPr>
            <w:r w:rsidRPr="00D13C65">
              <w:rPr>
                <w:rFonts w:ascii="Times New Roman" w:hAnsi="Times New Roman"/>
                <w:b/>
                <w:bCs/>
                <w:sz w:val="18"/>
                <w:szCs w:val="18"/>
                <w:lang w:eastAsia="sk-SK"/>
              </w:rPr>
              <w:t xml:space="preserve">Bežné výdavky podľa ekonomickej klasifikácie                                                                  </w:t>
            </w:r>
            <w:r w:rsidR="00127817">
              <w:rPr>
                <w:rFonts w:ascii="Times New Roman" w:hAnsi="Times New Roman"/>
                <w:b/>
                <w:bCs/>
                <w:sz w:val="18"/>
                <w:szCs w:val="18"/>
                <w:lang w:eastAsia="sk-SK"/>
              </w:rPr>
              <w:t xml:space="preserve">                              </w:t>
            </w:r>
            <w:r w:rsidRPr="00D13C65">
              <w:rPr>
                <w:rFonts w:ascii="Times New Roman" w:hAnsi="Times New Roman"/>
                <w:b/>
                <w:bCs/>
                <w:sz w:val="18"/>
                <w:szCs w:val="18"/>
                <w:lang w:eastAsia="sk-SK"/>
              </w:rPr>
              <w:t xml:space="preserve">  v tis. eur</w:t>
            </w:r>
          </w:p>
        </w:tc>
      </w:tr>
      <w:tr>
        <w:tblPrEx>
          <w:tblW w:w="8846" w:type="dxa"/>
          <w:tblInd w:w="55" w:type="dxa"/>
          <w:tblLayout w:type="fixed"/>
          <w:tblCellMar>
            <w:left w:w="70" w:type="dxa"/>
            <w:right w:w="70" w:type="dxa"/>
          </w:tblCellMar>
          <w:tblLook w:val="04A0"/>
        </w:tblPrEx>
        <w:trPr>
          <w:trHeight w:val="318"/>
        </w:trPr>
        <w:tc>
          <w:tcPr>
            <w:tcW w:w="2774" w:type="dxa"/>
            <w:vMerge w:val="restart"/>
            <w:tcBorders>
              <w:top w:val="nil"/>
              <w:left w:val="nil"/>
              <w:bottom w:val="nil"/>
              <w:right w:val="nil"/>
            </w:tcBorders>
            <w:shd w:val="clear" w:color="000000" w:fill="BFBFBF"/>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 xml:space="preserve"> </w:t>
            </w:r>
          </w:p>
        </w:tc>
        <w:tc>
          <w:tcPr>
            <w:tcW w:w="2070" w:type="dxa"/>
            <w:gridSpan w:val="2"/>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Skutočnosť</w:t>
            </w:r>
          </w:p>
        </w:tc>
        <w:tc>
          <w:tcPr>
            <w:tcW w:w="1241"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Rozpočet</w:t>
            </w:r>
          </w:p>
        </w:tc>
        <w:tc>
          <w:tcPr>
            <w:tcW w:w="1104"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Skutočnosť</w:t>
            </w:r>
          </w:p>
        </w:tc>
        <w:tc>
          <w:tcPr>
            <w:tcW w:w="1657" w:type="dxa"/>
            <w:gridSpan w:val="2"/>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Rozdiel</w:t>
            </w:r>
          </w:p>
        </w:tc>
      </w:tr>
      <w:tr>
        <w:tblPrEx>
          <w:tblW w:w="8846" w:type="dxa"/>
          <w:tblInd w:w="55" w:type="dxa"/>
          <w:tblLayout w:type="fixed"/>
          <w:tblCellMar>
            <w:left w:w="70" w:type="dxa"/>
            <w:right w:w="70" w:type="dxa"/>
          </w:tblCellMar>
          <w:tblLook w:val="04A0"/>
        </w:tblPrEx>
        <w:trPr>
          <w:trHeight w:val="318"/>
        </w:trPr>
        <w:tc>
          <w:tcPr>
            <w:tcW w:w="2774" w:type="dxa"/>
            <w:vMerge/>
            <w:tcBorders>
              <w:top w:val="nil"/>
              <w:left w:val="nil"/>
              <w:bottom w:val="nil"/>
              <w:right w:val="nil"/>
            </w:tcBorders>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p>
        </w:tc>
        <w:tc>
          <w:tcPr>
            <w:tcW w:w="1104"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2015</w:t>
            </w:r>
          </w:p>
        </w:tc>
        <w:tc>
          <w:tcPr>
            <w:tcW w:w="966"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2016</w:t>
            </w:r>
          </w:p>
        </w:tc>
        <w:tc>
          <w:tcPr>
            <w:tcW w:w="1241"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2017</w:t>
            </w:r>
          </w:p>
        </w:tc>
        <w:tc>
          <w:tcPr>
            <w:tcW w:w="1104"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2017</w:t>
            </w:r>
          </w:p>
        </w:tc>
        <w:tc>
          <w:tcPr>
            <w:tcW w:w="966"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v tis. eur</w:t>
            </w:r>
          </w:p>
        </w:tc>
        <w:tc>
          <w:tcPr>
            <w:tcW w:w="691" w:type="dxa"/>
            <w:tcBorders>
              <w:top w:val="nil"/>
              <w:left w:val="nil"/>
              <w:bottom w:val="nil"/>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v %</w:t>
            </w:r>
          </w:p>
        </w:tc>
      </w:tr>
      <w:tr>
        <w:tblPrEx>
          <w:tblW w:w="8846" w:type="dxa"/>
          <w:tblInd w:w="55" w:type="dxa"/>
          <w:tblLayout w:type="fixed"/>
          <w:tblCellMar>
            <w:left w:w="70" w:type="dxa"/>
            <w:right w:w="70" w:type="dxa"/>
          </w:tblCellMar>
          <w:tblLook w:val="04A0"/>
        </w:tblPrEx>
        <w:trPr>
          <w:trHeight w:val="318"/>
        </w:trPr>
        <w:tc>
          <w:tcPr>
            <w:tcW w:w="2774" w:type="dxa"/>
            <w:tcBorders>
              <w:top w:val="nil"/>
              <w:left w:val="nil"/>
              <w:bottom w:val="single" w:sz="8" w:space="0" w:color="auto"/>
              <w:right w:val="nil"/>
            </w:tcBorders>
            <w:shd w:val="clear" w:color="000000" w:fill="BFBFBF"/>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 </w:t>
            </w:r>
          </w:p>
        </w:tc>
        <w:tc>
          <w:tcPr>
            <w:tcW w:w="1104"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1</w:t>
            </w:r>
          </w:p>
        </w:tc>
        <w:tc>
          <w:tcPr>
            <w:tcW w:w="966"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2</w:t>
            </w:r>
          </w:p>
        </w:tc>
        <w:tc>
          <w:tcPr>
            <w:tcW w:w="1241"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3</w:t>
            </w:r>
          </w:p>
        </w:tc>
        <w:tc>
          <w:tcPr>
            <w:tcW w:w="1104"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4</w:t>
            </w:r>
          </w:p>
        </w:tc>
        <w:tc>
          <w:tcPr>
            <w:tcW w:w="966"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5=4-3</w:t>
            </w:r>
          </w:p>
        </w:tc>
        <w:tc>
          <w:tcPr>
            <w:tcW w:w="691" w:type="dxa"/>
            <w:tcBorders>
              <w:top w:val="nil"/>
              <w:left w:val="nil"/>
              <w:bottom w:val="single" w:sz="8" w:space="0" w:color="auto"/>
              <w:right w:val="nil"/>
            </w:tcBorders>
            <w:shd w:val="clear" w:color="000000" w:fill="BFBFBF"/>
            <w:noWrap/>
            <w:textDirection w:val="lrTb"/>
            <w:vAlign w:val="center"/>
            <w:hideMark/>
          </w:tcPr>
          <w:p w:rsidR="005C44D8" w:rsidRPr="00D13C65" w:rsidP="00314FE3">
            <w:pPr>
              <w:bidi w:val="0"/>
              <w:spacing w:after="0" w:line="240" w:lineRule="auto"/>
              <w:contextualSpacing/>
              <w:jc w:val="center"/>
              <w:rPr>
                <w:rFonts w:ascii="Times New Roman" w:hAnsi="Times New Roman"/>
                <w:b/>
                <w:sz w:val="18"/>
                <w:szCs w:val="18"/>
                <w:lang w:eastAsia="sk-SK"/>
              </w:rPr>
            </w:pPr>
            <w:r w:rsidRPr="00D13C65">
              <w:rPr>
                <w:rFonts w:ascii="Times New Roman" w:hAnsi="Times New Roman"/>
                <w:b/>
                <w:sz w:val="18"/>
                <w:szCs w:val="18"/>
                <w:lang w:eastAsia="sk-SK"/>
              </w:rPr>
              <w:t>6=4-3</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D13C65" w:rsidP="00314FE3">
            <w:pPr>
              <w:bidi w:val="0"/>
              <w:spacing w:after="0" w:line="240" w:lineRule="auto"/>
              <w:jc w:val="left"/>
              <w:rPr>
                <w:rFonts w:ascii="Times New Roman" w:hAnsi="Times New Roman"/>
                <w:sz w:val="18"/>
                <w:szCs w:val="18"/>
                <w:lang w:eastAsia="sk-SK"/>
              </w:rPr>
            </w:pPr>
            <w:r w:rsidRPr="00D13C65">
              <w:rPr>
                <w:rFonts w:ascii="Times New Roman" w:hAnsi="Times New Roman"/>
                <w:sz w:val="18"/>
                <w:szCs w:val="18"/>
                <w:lang w:eastAsia="sk-SK"/>
              </w:rPr>
              <w:t>Mzdy, platy, služobné príjmy a ostatné osobné vyrovnania</w:t>
            </w:r>
          </w:p>
        </w:tc>
        <w:tc>
          <w:tcPr>
            <w:tcW w:w="1104"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1 677 390</w:t>
            </w:r>
          </w:p>
        </w:tc>
        <w:tc>
          <w:tcPr>
            <w:tcW w:w="966"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1 776 555</w:t>
            </w:r>
          </w:p>
        </w:tc>
        <w:tc>
          <w:tcPr>
            <w:tcW w:w="1241" w:type="dxa"/>
            <w:tcBorders>
              <w:top w:val="nil"/>
              <w:left w:val="nil"/>
              <w:bottom w:val="nil"/>
              <w:right w:val="nil"/>
            </w:tcBorders>
            <w:noWrap/>
            <w:textDirection w:val="lrTb"/>
            <w:vAlign w:val="center"/>
            <w:hideMark/>
          </w:tcPr>
          <w:p w:rsidR="005C44D8" w:rsidRPr="001545D9" w:rsidP="00314FE3">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1 745 017</w:t>
            </w:r>
          </w:p>
        </w:tc>
        <w:tc>
          <w:tcPr>
            <w:tcW w:w="1104" w:type="dxa"/>
            <w:tcBorders>
              <w:top w:val="nil"/>
              <w:left w:val="nil"/>
              <w:bottom w:val="nil"/>
              <w:right w:val="nil"/>
            </w:tcBorders>
            <w:shd w:val="clear" w:color="000000" w:fill="BFBFBF"/>
            <w:noWrap/>
            <w:textDirection w:val="lrTb"/>
            <w:vAlign w:val="center"/>
          </w:tcPr>
          <w:p w:rsidR="005C44D8" w:rsidRPr="001545D9" w:rsidP="00314FE3">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1 869 049</w:t>
            </w:r>
          </w:p>
        </w:tc>
        <w:tc>
          <w:tcPr>
            <w:tcW w:w="966" w:type="dxa"/>
            <w:tcBorders>
              <w:top w:val="nil"/>
              <w:left w:val="nil"/>
              <w:bottom w:val="nil"/>
              <w:right w:val="nil"/>
            </w:tcBorders>
            <w:noWrap/>
            <w:textDirection w:val="lrTb"/>
            <w:vAlign w:val="center"/>
            <w:hideMark/>
          </w:tcPr>
          <w:p w:rsidR="005C44D8" w:rsidRPr="001545D9" w:rsidP="00314FE3">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124 032</w:t>
            </w:r>
          </w:p>
        </w:tc>
        <w:tc>
          <w:tcPr>
            <w:tcW w:w="691" w:type="dxa"/>
            <w:tcBorders>
              <w:top w:val="nil"/>
              <w:left w:val="nil"/>
              <w:bottom w:val="nil"/>
              <w:right w:val="nil"/>
            </w:tcBorders>
            <w:noWrap/>
            <w:textDirection w:val="lrTb"/>
            <w:vAlign w:val="center"/>
            <w:hideMark/>
          </w:tcPr>
          <w:p w:rsidR="005C44D8" w:rsidRPr="001545D9" w:rsidP="00314FE3">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7,1</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D13C65" w:rsidP="00314FE3">
            <w:pPr>
              <w:bidi w:val="0"/>
              <w:spacing w:after="0" w:line="240" w:lineRule="auto"/>
              <w:jc w:val="left"/>
              <w:rPr>
                <w:rFonts w:ascii="Times New Roman" w:hAnsi="Times New Roman"/>
                <w:sz w:val="18"/>
                <w:szCs w:val="18"/>
                <w:lang w:eastAsia="sk-SK"/>
              </w:rPr>
            </w:pPr>
            <w:r w:rsidRPr="00D13C65">
              <w:rPr>
                <w:rFonts w:ascii="Times New Roman" w:hAnsi="Times New Roman"/>
                <w:sz w:val="18"/>
                <w:szCs w:val="18"/>
                <w:lang w:eastAsia="sk-SK"/>
              </w:rPr>
              <w:t>Poistné a príspevok do poisťovní</w:t>
            </w:r>
          </w:p>
        </w:tc>
        <w:tc>
          <w:tcPr>
            <w:tcW w:w="1104"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604 645</w:t>
            </w:r>
          </w:p>
        </w:tc>
        <w:tc>
          <w:tcPr>
            <w:tcW w:w="966"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632 010</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612 554</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675 515</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62 962</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10,3</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D13C65" w:rsidP="00314FE3">
            <w:pPr>
              <w:bidi w:val="0"/>
              <w:spacing w:after="0" w:line="240" w:lineRule="auto"/>
              <w:jc w:val="left"/>
              <w:rPr>
                <w:rFonts w:ascii="Times New Roman" w:hAnsi="Times New Roman"/>
                <w:sz w:val="18"/>
                <w:szCs w:val="18"/>
                <w:lang w:eastAsia="sk-SK"/>
              </w:rPr>
            </w:pPr>
            <w:r w:rsidRPr="00D13C65">
              <w:rPr>
                <w:rFonts w:ascii="Times New Roman" w:hAnsi="Times New Roman"/>
                <w:sz w:val="18"/>
                <w:szCs w:val="18"/>
                <w:lang w:eastAsia="sk-SK"/>
              </w:rPr>
              <w:t>Tovary a služby</w:t>
            </w:r>
          </w:p>
        </w:tc>
        <w:tc>
          <w:tcPr>
            <w:tcW w:w="1104"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1 590 167</w:t>
            </w:r>
          </w:p>
        </w:tc>
        <w:tc>
          <w:tcPr>
            <w:tcW w:w="966"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1 459 354</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2 150 137</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1 483 704</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-666 433</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-31,0</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D13C65" w:rsidP="00314FE3">
            <w:pPr>
              <w:bidi w:val="0"/>
              <w:spacing w:after="0" w:line="240" w:lineRule="auto"/>
              <w:jc w:val="left"/>
              <w:rPr>
                <w:rFonts w:ascii="Times New Roman" w:hAnsi="Times New Roman"/>
                <w:sz w:val="18"/>
                <w:szCs w:val="18"/>
                <w:lang w:eastAsia="sk-SK"/>
              </w:rPr>
            </w:pPr>
            <w:r w:rsidRPr="00D13C65">
              <w:rPr>
                <w:rFonts w:ascii="Times New Roman" w:hAnsi="Times New Roman"/>
                <w:sz w:val="18"/>
                <w:szCs w:val="18"/>
                <w:lang w:eastAsia="sk-SK"/>
              </w:rPr>
              <w:t>Bežné transfery</w:t>
            </w:r>
          </w:p>
        </w:tc>
        <w:tc>
          <w:tcPr>
            <w:tcW w:w="1104"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9 625 831</w:t>
            </w:r>
          </w:p>
        </w:tc>
        <w:tc>
          <w:tcPr>
            <w:tcW w:w="966"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9 485 727</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10 136 370</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9 652 930</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-483 440</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-4,8</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D13C65" w:rsidP="00314FE3">
            <w:pPr>
              <w:bidi w:val="0"/>
              <w:spacing w:after="0" w:line="240" w:lineRule="auto"/>
              <w:jc w:val="left"/>
              <w:rPr>
                <w:rFonts w:ascii="Times New Roman" w:hAnsi="Times New Roman"/>
                <w:i/>
                <w:sz w:val="18"/>
                <w:szCs w:val="18"/>
                <w:lang w:eastAsia="sk-SK"/>
              </w:rPr>
            </w:pPr>
            <w:r w:rsidRPr="00D13C65">
              <w:rPr>
                <w:rFonts w:ascii="Times New Roman" w:hAnsi="Times New Roman"/>
                <w:i/>
                <w:sz w:val="18"/>
                <w:szCs w:val="18"/>
                <w:lang w:eastAsia="sk-SK"/>
              </w:rPr>
              <w:t xml:space="preserve">v tom: </w:t>
            </w:r>
          </w:p>
        </w:tc>
        <w:tc>
          <w:tcPr>
            <w:tcW w:w="1104"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p>
        </w:tc>
        <w:tc>
          <w:tcPr>
            <w:tcW w:w="966" w:type="dxa"/>
            <w:tcBorders>
              <w:top w:val="nil"/>
              <w:left w:val="nil"/>
              <w:bottom w:val="nil"/>
              <w:right w:val="nil"/>
            </w:tcBorders>
            <w:noWrap/>
            <w:textDirection w:val="lrTb"/>
            <w:vAlign w:val="center"/>
          </w:tcPr>
          <w:p w:rsidR="005C44D8" w:rsidRPr="00D13C65" w:rsidP="00314FE3">
            <w:pPr>
              <w:bidi w:val="0"/>
              <w:spacing w:after="0" w:line="240" w:lineRule="auto"/>
              <w:jc w:val="right"/>
              <w:rPr>
                <w:rFonts w:ascii="Times New Roman" w:hAnsi="Times New Roman"/>
                <w:sz w:val="18"/>
                <w:szCs w:val="18"/>
                <w:lang w:eastAsia="sk-SK"/>
              </w:rPr>
            </w:pPr>
            <w:r w:rsidRPr="00D13C65">
              <w:rPr>
                <w:rFonts w:ascii="Times New Roman" w:hAnsi="Times New Roman"/>
                <w:sz w:val="18"/>
                <w:szCs w:val="18"/>
                <w:lang w:eastAsia="sk-SK"/>
              </w:rPr>
              <w:t xml:space="preserve"> </w:t>
            </w:r>
          </w:p>
        </w:tc>
        <w:tc>
          <w:tcPr>
            <w:tcW w:w="1241" w:type="dxa"/>
            <w:tcBorders>
              <w:top w:val="nil"/>
              <w:left w:val="nil"/>
              <w:bottom w:val="nil"/>
              <w:right w:val="nil"/>
            </w:tcBorders>
            <w:noWrap/>
            <w:textDirection w:val="lrTb"/>
            <w:vAlign w:val="center"/>
            <w:hideMark/>
          </w:tcPr>
          <w:p w:rsidR="005C44D8" w:rsidP="00314FE3">
            <w:pPr>
              <w:bidi w:val="0"/>
              <w:spacing w:after="0"/>
              <w:jc w:val="left"/>
              <w:rPr>
                <w:rFonts w:ascii="Arial Narrow" w:hAnsi="Arial Narrow"/>
                <w:color w:val="000000"/>
                <w:sz w:val="20"/>
                <w:szCs w:val="20"/>
              </w:rPr>
            </w:pPr>
            <w:r>
              <w:rPr>
                <w:rFonts w:ascii="Arial Narrow" w:hAnsi="Arial Narrow"/>
                <w:color w:val="000000"/>
                <w:sz w:val="20"/>
                <w:szCs w:val="20"/>
              </w:rPr>
              <w:t xml:space="preserve"> </w:t>
            </w:r>
          </w:p>
        </w:tc>
        <w:tc>
          <w:tcPr>
            <w:tcW w:w="1104" w:type="dxa"/>
            <w:tcBorders>
              <w:top w:val="nil"/>
              <w:left w:val="nil"/>
              <w:bottom w:val="nil"/>
              <w:right w:val="nil"/>
            </w:tcBorders>
            <w:shd w:val="clear" w:color="000000" w:fill="BFBFBF"/>
            <w:noWrap/>
            <w:textDirection w:val="lrTb"/>
            <w:vAlign w:val="center"/>
          </w:tcPr>
          <w:p w:rsidR="005C44D8" w:rsidP="00314FE3">
            <w:pPr>
              <w:bidi w:val="0"/>
              <w:spacing w:after="0"/>
              <w:jc w:val="right"/>
              <w:rPr>
                <w:rFonts w:ascii="Times New Roman" w:hAnsi="Times New Roman"/>
                <w:i/>
                <w:iCs/>
                <w:color w:val="000000"/>
                <w:sz w:val="18"/>
                <w:szCs w:val="18"/>
              </w:rPr>
            </w:pPr>
            <w:r>
              <w:rPr>
                <w:rFonts w:ascii="Times New Roman" w:hAnsi="Times New Roman"/>
                <w:i/>
                <w:iCs/>
                <w:color w:val="000000"/>
                <w:sz w:val="18"/>
                <w:szCs w:val="18"/>
              </w:rPr>
              <w:t xml:space="preserve"> </w:t>
            </w:r>
          </w:p>
        </w:tc>
        <w:tc>
          <w:tcPr>
            <w:tcW w:w="966" w:type="dxa"/>
            <w:tcBorders>
              <w:top w:val="nil"/>
              <w:left w:val="nil"/>
              <w:bottom w:val="nil"/>
              <w:right w:val="nil"/>
            </w:tcBorders>
            <w:noWrap/>
            <w:textDirection w:val="lrTb"/>
            <w:vAlign w:val="center"/>
            <w:hideMark/>
          </w:tcPr>
          <w:p w:rsidR="005C44D8" w:rsidP="00314FE3">
            <w:pPr>
              <w:bidi w:val="0"/>
              <w:spacing w:after="0"/>
              <w:jc w:val="right"/>
              <w:rPr>
                <w:rFonts w:ascii="Times New Roman" w:hAnsi="Times New Roman"/>
                <w:color w:val="000000"/>
                <w:sz w:val="18"/>
                <w:szCs w:val="18"/>
              </w:rPr>
            </w:pPr>
            <w:r>
              <w:rPr>
                <w:rFonts w:ascii="Times New Roman" w:hAnsi="Times New Roman"/>
                <w:color w:val="000000"/>
                <w:sz w:val="18"/>
                <w:szCs w:val="18"/>
              </w:rPr>
              <w:t xml:space="preserve"> </w:t>
            </w:r>
          </w:p>
        </w:tc>
        <w:tc>
          <w:tcPr>
            <w:tcW w:w="691" w:type="dxa"/>
            <w:tcBorders>
              <w:top w:val="nil"/>
              <w:left w:val="nil"/>
              <w:bottom w:val="nil"/>
              <w:right w:val="nil"/>
            </w:tcBorders>
            <w:noWrap/>
            <w:textDirection w:val="lrTb"/>
            <w:vAlign w:val="center"/>
            <w:hideMark/>
          </w:tcPr>
          <w:p w:rsidR="005C44D8" w:rsidP="00314FE3">
            <w:pPr>
              <w:bidi w:val="0"/>
              <w:spacing w:after="0"/>
              <w:jc w:val="left"/>
              <w:rPr>
                <w:rFonts w:ascii="Arial Narrow" w:hAnsi="Arial Narrow"/>
                <w:color w:val="000000"/>
                <w:sz w:val="20"/>
                <w:szCs w:val="20"/>
              </w:rPr>
            </w:pPr>
            <w:r>
              <w:rPr>
                <w:rFonts w:ascii="Arial Narrow" w:hAnsi="Arial Narrow"/>
                <w:color w:val="000000"/>
                <w:sz w:val="20"/>
                <w:szCs w:val="20"/>
              </w:rPr>
              <w:t xml:space="preserve"> </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111F29" w:rsidP="00314FE3">
            <w:pPr>
              <w:bidi w:val="0"/>
              <w:spacing w:after="0" w:line="240" w:lineRule="auto"/>
              <w:jc w:val="left"/>
              <w:rPr>
                <w:rFonts w:ascii="Times New Roman" w:hAnsi="Times New Roman"/>
                <w:i/>
                <w:sz w:val="18"/>
                <w:szCs w:val="18"/>
                <w:lang w:eastAsia="sk-SK"/>
              </w:rPr>
            </w:pPr>
            <w:r w:rsidRPr="00111F29">
              <w:rPr>
                <w:rFonts w:ascii="Times New Roman" w:hAnsi="Times New Roman"/>
                <w:i/>
                <w:sz w:val="18"/>
                <w:szCs w:val="18"/>
                <w:lang w:eastAsia="sk-SK"/>
              </w:rPr>
              <w:t>v rámci verejnej správy</w:t>
            </w:r>
          </w:p>
        </w:tc>
        <w:tc>
          <w:tcPr>
            <w:tcW w:w="1104"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4 405 975</w:t>
            </w:r>
          </w:p>
        </w:tc>
        <w:tc>
          <w:tcPr>
            <w:tcW w:w="966"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4 344 119</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4 567 662</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4 600 132</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32 470</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0,7</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111F29" w:rsidP="00314FE3">
            <w:pPr>
              <w:bidi w:val="0"/>
              <w:spacing w:after="0" w:line="240" w:lineRule="auto"/>
              <w:jc w:val="left"/>
              <w:rPr>
                <w:rFonts w:ascii="Times New Roman" w:hAnsi="Times New Roman"/>
                <w:i/>
                <w:sz w:val="18"/>
                <w:szCs w:val="18"/>
                <w:lang w:eastAsia="sk-SK"/>
              </w:rPr>
            </w:pPr>
            <w:r w:rsidRPr="00111F29">
              <w:rPr>
                <w:rFonts w:ascii="Times New Roman" w:hAnsi="Times New Roman"/>
                <w:i/>
                <w:sz w:val="18"/>
                <w:szCs w:val="18"/>
                <w:lang w:eastAsia="sk-SK"/>
              </w:rPr>
              <w:t>jednotlivcom a neziskovým právnickým osobám</w:t>
            </w:r>
          </w:p>
        </w:tc>
        <w:tc>
          <w:tcPr>
            <w:tcW w:w="1104"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3 691 591</w:t>
            </w:r>
          </w:p>
        </w:tc>
        <w:tc>
          <w:tcPr>
            <w:tcW w:w="966"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3 809 874</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3 777 541</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3 696 261</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-81 280</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-2,2</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111F29" w:rsidP="00314FE3">
            <w:pPr>
              <w:bidi w:val="0"/>
              <w:spacing w:after="0" w:line="240" w:lineRule="auto"/>
              <w:jc w:val="left"/>
              <w:rPr>
                <w:rFonts w:ascii="Times New Roman" w:hAnsi="Times New Roman"/>
                <w:i/>
                <w:sz w:val="18"/>
                <w:szCs w:val="18"/>
                <w:lang w:eastAsia="sk-SK"/>
              </w:rPr>
            </w:pPr>
            <w:r w:rsidRPr="00111F29">
              <w:rPr>
                <w:rFonts w:ascii="Times New Roman" w:hAnsi="Times New Roman"/>
                <w:i/>
                <w:sz w:val="18"/>
                <w:szCs w:val="18"/>
                <w:lang w:eastAsia="sk-SK"/>
              </w:rPr>
              <w:t>nefin. subjektom a transfery PO nezaradeným vo verejnej správe</w:t>
            </w:r>
          </w:p>
        </w:tc>
        <w:tc>
          <w:tcPr>
            <w:tcW w:w="1104"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859 603</w:t>
            </w:r>
          </w:p>
        </w:tc>
        <w:tc>
          <w:tcPr>
            <w:tcW w:w="966"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618 022</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1 037 722</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643 405</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-394 317</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-38,7</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111F29" w:rsidP="00314FE3">
            <w:pPr>
              <w:bidi w:val="0"/>
              <w:spacing w:after="0" w:line="240" w:lineRule="auto"/>
              <w:jc w:val="left"/>
              <w:rPr>
                <w:rFonts w:ascii="Times New Roman" w:hAnsi="Times New Roman"/>
                <w:i/>
                <w:sz w:val="18"/>
                <w:szCs w:val="18"/>
                <w:lang w:eastAsia="sk-SK"/>
              </w:rPr>
            </w:pPr>
            <w:r w:rsidRPr="00111F29">
              <w:rPr>
                <w:rFonts w:ascii="Times New Roman" w:hAnsi="Times New Roman"/>
                <w:i/>
                <w:sz w:val="18"/>
                <w:szCs w:val="18"/>
                <w:lang w:eastAsia="sk-SK"/>
              </w:rPr>
              <w:t>do tuzemských finančných inštitúcií</w:t>
            </w:r>
          </w:p>
        </w:tc>
        <w:tc>
          <w:tcPr>
            <w:tcW w:w="1104"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2 023</w:t>
            </w:r>
          </w:p>
        </w:tc>
        <w:tc>
          <w:tcPr>
            <w:tcW w:w="966"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2 127</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2 710</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1 774</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-936</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-34,5</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nil"/>
              <w:right w:val="nil"/>
            </w:tcBorders>
            <w:textDirection w:val="lrTb"/>
            <w:vAlign w:val="center"/>
            <w:hideMark/>
          </w:tcPr>
          <w:p w:rsidR="005C44D8" w:rsidRPr="00111F29" w:rsidP="00314FE3">
            <w:pPr>
              <w:bidi w:val="0"/>
              <w:spacing w:after="0" w:line="240" w:lineRule="auto"/>
              <w:jc w:val="left"/>
              <w:rPr>
                <w:rFonts w:ascii="Times New Roman" w:hAnsi="Times New Roman"/>
                <w:i/>
                <w:sz w:val="18"/>
                <w:szCs w:val="18"/>
                <w:lang w:eastAsia="sk-SK"/>
              </w:rPr>
            </w:pPr>
            <w:r w:rsidRPr="00111F29">
              <w:rPr>
                <w:rFonts w:ascii="Times New Roman" w:hAnsi="Times New Roman"/>
                <w:i/>
                <w:sz w:val="18"/>
                <w:szCs w:val="18"/>
                <w:lang w:eastAsia="sk-SK"/>
              </w:rPr>
              <w:t>do zahraničia</w:t>
            </w:r>
          </w:p>
        </w:tc>
        <w:tc>
          <w:tcPr>
            <w:tcW w:w="1104"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666 639</w:t>
            </w:r>
          </w:p>
        </w:tc>
        <w:tc>
          <w:tcPr>
            <w:tcW w:w="966" w:type="dxa"/>
            <w:tcBorders>
              <w:top w:val="nil"/>
              <w:left w:val="nil"/>
              <w:bottom w:val="nil"/>
              <w:right w:val="nil"/>
            </w:tcBorders>
            <w:noWrap/>
            <w:textDirection w:val="lrTb"/>
            <w:vAlign w:val="center"/>
          </w:tcPr>
          <w:p w:rsidR="005C44D8" w:rsidRPr="00111F29" w:rsidP="00314FE3">
            <w:pPr>
              <w:bidi w:val="0"/>
              <w:spacing w:after="0" w:line="240" w:lineRule="auto"/>
              <w:jc w:val="right"/>
              <w:rPr>
                <w:rFonts w:ascii="Times New Roman" w:hAnsi="Times New Roman"/>
                <w:i/>
                <w:sz w:val="18"/>
                <w:szCs w:val="18"/>
                <w:lang w:eastAsia="sk-SK"/>
              </w:rPr>
            </w:pPr>
            <w:r w:rsidRPr="00111F29">
              <w:rPr>
                <w:rFonts w:ascii="Times New Roman" w:hAnsi="Times New Roman"/>
                <w:i/>
                <w:sz w:val="18"/>
                <w:szCs w:val="18"/>
                <w:lang w:eastAsia="sk-SK"/>
              </w:rPr>
              <w:t>711 585</w:t>
            </w:r>
          </w:p>
        </w:tc>
        <w:tc>
          <w:tcPr>
            <w:tcW w:w="124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750 735</w:t>
            </w:r>
          </w:p>
        </w:tc>
        <w:tc>
          <w:tcPr>
            <w:tcW w:w="1104" w:type="dxa"/>
            <w:tcBorders>
              <w:top w:val="nil"/>
              <w:left w:val="nil"/>
              <w:bottom w:val="nil"/>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711 358</w:t>
            </w:r>
          </w:p>
        </w:tc>
        <w:tc>
          <w:tcPr>
            <w:tcW w:w="966"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-39 377</w:t>
            </w:r>
          </w:p>
        </w:tc>
        <w:tc>
          <w:tcPr>
            <w:tcW w:w="691" w:type="dxa"/>
            <w:tcBorders>
              <w:top w:val="nil"/>
              <w:left w:val="nil"/>
              <w:bottom w:val="nil"/>
              <w:right w:val="nil"/>
            </w:tcBorders>
            <w:noWrap/>
            <w:textDirection w:val="lrTb"/>
            <w:vAlign w:val="center"/>
            <w:hideMark/>
          </w:tcPr>
          <w:p w:rsidR="005C44D8" w:rsidRPr="001545D9" w:rsidP="001545D9">
            <w:pPr>
              <w:bidi w:val="0"/>
              <w:spacing w:after="0" w:line="240" w:lineRule="auto"/>
              <w:jc w:val="right"/>
              <w:rPr>
                <w:rFonts w:ascii="Times New Roman" w:hAnsi="Times New Roman"/>
                <w:i/>
                <w:sz w:val="18"/>
                <w:szCs w:val="18"/>
                <w:lang w:eastAsia="sk-SK"/>
              </w:rPr>
            </w:pPr>
            <w:r w:rsidRPr="001545D9">
              <w:rPr>
                <w:rFonts w:ascii="Times New Roman" w:hAnsi="Times New Roman"/>
                <w:i/>
                <w:sz w:val="18"/>
                <w:szCs w:val="18"/>
                <w:lang w:eastAsia="sk-SK"/>
              </w:rPr>
              <w:t>-5,2</w:t>
            </w:r>
          </w:p>
        </w:tc>
      </w:tr>
      <w:tr>
        <w:tblPrEx>
          <w:tblW w:w="8846" w:type="dxa"/>
          <w:tblInd w:w="55" w:type="dxa"/>
          <w:tblLayout w:type="fixed"/>
          <w:tblCellMar>
            <w:left w:w="70" w:type="dxa"/>
            <w:right w:w="70" w:type="dxa"/>
          </w:tblCellMar>
          <w:tblLook w:val="04A0"/>
        </w:tblPrEx>
        <w:trPr>
          <w:trHeight w:val="305"/>
        </w:trPr>
        <w:tc>
          <w:tcPr>
            <w:tcW w:w="2774" w:type="dxa"/>
            <w:tcBorders>
              <w:top w:val="nil"/>
              <w:left w:val="nil"/>
              <w:bottom w:val="single" w:sz="8" w:space="0" w:color="auto"/>
              <w:right w:val="nil"/>
            </w:tcBorders>
            <w:textDirection w:val="lrTb"/>
            <w:vAlign w:val="center"/>
            <w:hideMark/>
          </w:tcPr>
          <w:p w:rsidR="005C44D8" w:rsidRPr="001545D9" w:rsidP="001545D9">
            <w:pPr>
              <w:bidi w:val="0"/>
              <w:spacing w:after="0" w:line="240" w:lineRule="auto"/>
              <w:jc w:val="left"/>
              <w:rPr>
                <w:rFonts w:ascii="Times New Roman" w:hAnsi="Times New Roman"/>
                <w:sz w:val="18"/>
                <w:szCs w:val="18"/>
                <w:lang w:eastAsia="sk-SK"/>
              </w:rPr>
            </w:pPr>
            <w:r w:rsidRPr="001545D9">
              <w:rPr>
                <w:rFonts w:ascii="Times New Roman" w:hAnsi="Times New Roman"/>
                <w:sz w:val="18"/>
                <w:szCs w:val="18"/>
                <w:lang w:eastAsia="sk-SK"/>
              </w:rPr>
              <w:t>Splácanie úrokov a platby súvisiace s úverom</w:t>
            </w:r>
          </w:p>
        </w:tc>
        <w:tc>
          <w:tcPr>
            <w:tcW w:w="1104" w:type="dxa"/>
            <w:tcBorders>
              <w:top w:val="nil"/>
              <w:left w:val="nil"/>
              <w:bottom w:val="single" w:sz="8" w:space="0" w:color="auto"/>
              <w:right w:val="nil"/>
            </w:tcBorders>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270</w:t>
            </w:r>
          </w:p>
        </w:tc>
        <w:tc>
          <w:tcPr>
            <w:tcW w:w="966" w:type="dxa"/>
            <w:tcBorders>
              <w:top w:val="nil"/>
              <w:left w:val="nil"/>
              <w:bottom w:val="single" w:sz="8" w:space="0" w:color="auto"/>
              <w:right w:val="nil"/>
            </w:tcBorders>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270</w:t>
            </w:r>
          </w:p>
        </w:tc>
        <w:tc>
          <w:tcPr>
            <w:tcW w:w="1241" w:type="dxa"/>
            <w:tcBorders>
              <w:top w:val="nil"/>
              <w:left w:val="nil"/>
              <w:bottom w:val="single" w:sz="8" w:space="0" w:color="auto"/>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270</w:t>
            </w:r>
          </w:p>
        </w:tc>
        <w:tc>
          <w:tcPr>
            <w:tcW w:w="1104" w:type="dxa"/>
            <w:tcBorders>
              <w:top w:val="nil"/>
              <w:left w:val="nil"/>
              <w:bottom w:val="single" w:sz="8" w:space="0" w:color="auto"/>
              <w:right w:val="nil"/>
            </w:tcBorders>
            <w:shd w:val="clear" w:color="000000" w:fill="BFBFBF"/>
            <w:noWrap/>
            <w:textDirection w:val="lrTb"/>
            <w:vAlign w:val="center"/>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270</w:t>
            </w:r>
          </w:p>
        </w:tc>
        <w:tc>
          <w:tcPr>
            <w:tcW w:w="966" w:type="dxa"/>
            <w:tcBorders>
              <w:top w:val="nil"/>
              <w:left w:val="nil"/>
              <w:bottom w:val="single" w:sz="8" w:space="0" w:color="auto"/>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0</w:t>
            </w:r>
          </w:p>
        </w:tc>
        <w:tc>
          <w:tcPr>
            <w:tcW w:w="691" w:type="dxa"/>
            <w:tcBorders>
              <w:top w:val="nil"/>
              <w:left w:val="nil"/>
              <w:bottom w:val="single" w:sz="8" w:space="0" w:color="auto"/>
              <w:right w:val="nil"/>
            </w:tcBorders>
            <w:noWrap/>
            <w:textDirection w:val="lrTb"/>
            <w:vAlign w:val="center"/>
            <w:hideMark/>
          </w:tcPr>
          <w:p w:rsidR="005C44D8" w:rsidRPr="001545D9" w:rsidP="001545D9">
            <w:pPr>
              <w:bidi w:val="0"/>
              <w:spacing w:after="0" w:line="240" w:lineRule="auto"/>
              <w:jc w:val="right"/>
              <w:rPr>
                <w:rFonts w:ascii="Times New Roman" w:hAnsi="Times New Roman"/>
                <w:sz w:val="18"/>
                <w:szCs w:val="18"/>
                <w:lang w:eastAsia="sk-SK"/>
              </w:rPr>
            </w:pPr>
            <w:r w:rsidRPr="001545D9">
              <w:rPr>
                <w:rFonts w:ascii="Times New Roman" w:hAnsi="Times New Roman"/>
                <w:sz w:val="18"/>
                <w:szCs w:val="18"/>
                <w:lang w:eastAsia="sk-SK"/>
              </w:rPr>
              <w:t>0,0</w:t>
            </w:r>
          </w:p>
        </w:tc>
      </w:tr>
      <w:tr>
        <w:tblPrEx>
          <w:tblW w:w="8846" w:type="dxa"/>
          <w:tblInd w:w="55" w:type="dxa"/>
          <w:tblLayout w:type="fixed"/>
          <w:tblCellMar>
            <w:left w:w="70" w:type="dxa"/>
            <w:right w:w="70" w:type="dxa"/>
          </w:tblCellMar>
          <w:tblLook w:val="04A0"/>
        </w:tblPrEx>
        <w:trPr>
          <w:trHeight w:val="305"/>
        </w:trPr>
        <w:tc>
          <w:tcPr>
            <w:tcW w:w="2774" w:type="dxa"/>
            <w:tcBorders>
              <w:top w:val="single" w:sz="8" w:space="0" w:color="auto"/>
              <w:left w:val="nil"/>
              <w:bottom w:val="single" w:sz="8" w:space="0" w:color="auto"/>
              <w:right w:val="nil"/>
            </w:tcBorders>
            <w:textDirection w:val="lrTb"/>
            <w:vAlign w:val="center"/>
            <w:hideMark/>
          </w:tcPr>
          <w:p w:rsidR="005C44D8" w:rsidRPr="00D13C65" w:rsidP="00314FE3">
            <w:pPr>
              <w:bidi w:val="0"/>
              <w:spacing w:after="0" w:line="240" w:lineRule="auto"/>
              <w:jc w:val="left"/>
              <w:rPr>
                <w:rFonts w:ascii="Times New Roman" w:hAnsi="Times New Roman"/>
                <w:b/>
                <w:bCs/>
                <w:sz w:val="18"/>
                <w:szCs w:val="18"/>
                <w:lang w:eastAsia="sk-SK"/>
              </w:rPr>
            </w:pPr>
            <w:r w:rsidRPr="00D13C65">
              <w:rPr>
                <w:rFonts w:ascii="Times New Roman" w:hAnsi="Times New Roman"/>
                <w:b/>
                <w:bCs/>
                <w:sz w:val="18"/>
                <w:szCs w:val="18"/>
                <w:lang w:eastAsia="sk-SK"/>
              </w:rPr>
              <w:t>Spolu</w:t>
            </w:r>
          </w:p>
        </w:tc>
        <w:tc>
          <w:tcPr>
            <w:tcW w:w="1104" w:type="dxa"/>
            <w:tcBorders>
              <w:top w:val="single" w:sz="8" w:space="0" w:color="auto"/>
              <w:left w:val="nil"/>
              <w:bottom w:val="single" w:sz="8" w:space="0" w:color="auto"/>
              <w:right w:val="nil"/>
            </w:tcBorders>
            <w:noWrap/>
            <w:textDirection w:val="lrTb"/>
            <w:vAlign w:val="center"/>
            <w:hideMark/>
          </w:tcPr>
          <w:p w:rsidR="005C44D8" w:rsidRPr="00D13C65" w:rsidP="00314FE3">
            <w:pPr>
              <w:bidi w:val="0"/>
              <w:spacing w:after="0" w:line="240" w:lineRule="auto"/>
              <w:jc w:val="right"/>
              <w:rPr>
                <w:rFonts w:ascii="Times New Roman" w:hAnsi="Times New Roman"/>
                <w:b/>
                <w:bCs/>
                <w:sz w:val="18"/>
                <w:szCs w:val="18"/>
                <w:lang w:eastAsia="sk-SK"/>
              </w:rPr>
            </w:pPr>
            <w:r w:rsidRPr="00D13C65">
              <w:rPr>
                <w:rFonts w:ascii="Times New Roman" w:hAnsi="Times New Roman"/>
                <w:b/>
                <w:bCs/>
                <w:sz w:val="18"/>
                <w:szCs w:val="18"/>
                <w:lang w:eastAsia="sk-SK"/>
              </w:rPr>
              <w:t>13 498 303</w:t>
            </w:r>
          </w:p>
        </w:tc>
        <w:tc>
          <w:tcPr>
            <w:tcW w:w="966" w:type="dxa"/>
            <w:tcBorders>
              <w:top w:val="single" w:sz="8" w:space="0" w:color="auto"/>
              <w:left w:val="nil"/>
              <w:bottom w:val="single" w:sz="8" w:space="0" w:color="auto"/>
              <w:right w:val="nil"/>
            </w:tcBorders>
            <w:noWrap/>
            <w:textDirection w:val="lrTb"/>
            <w:vAlign w:val="center"/>
          </w:tcPr>
          <w:p w:rsidR="005C44D8" w:rsidRPr="00D13C65" w:rsidP="00314FE3">
            <w:pPr>
              <w:bidi w:val="0"/>
              <w:spacing w:after="0" w:line="240" w:lineRule="auto"/>
              <w:jc w:val="right"/>
              <w:rPr>
                <w:rFonts w:ascii="Times New Roman" w:hAnsi="Times New Roman"/>
                <w:b/>
                <w:bCs/>
                <w:sz w:val="18"/>
                <w:szCs w:val="18"/>
                <w:lang w:eastAsia="sk-SK"/>
              </w:rPr>
            </w:pPr>
            <w:r w:rsidRPr="00D13C65">
              <w:rPr>
                <w:rFonts w:ascii="Times New Roman" w:hAnsi="Times New Roman"/>
                <w:b/>
                <w:bCs/>
                <w:sz w:val="18"/>
                <w:szCs w:val="18"/>
                <w:lang w:eastAsia="sk-SK"/>
              </w:rPr>
              <w:t>13 353 916</w:t>
            </w:r>
          </w:p>
        </w:tc>
        <w:tc>
          <w:tcPr>
            <w:tcW w:w="1241" w:type="dxa"/>
            <w:tcBorders>
              <w:top w:val="nil"/>
              <w:left w:val="nil"/>
              <w:bottom w:val="single" w:sz="8" w:space="0" w:color="auto"/>
              <w:right w:val="nil"/>
            </w:tcBorders>
            <w:noWrap/>
            <w:textDirection w:val="lrTb"/>
            <w:vAlign w:val="center"/>
            <w:hideMark/>
          </w:tcPr>
          <w:p w:rsidR="005C44D8" w:rsidRPr="003F0CCF" w:rsidP="003F0CCF">
            <w:pPr>
              <w:bidi w:val="0"/>
              <w:spacing w:after="0" w:line="240" w:lineRule="auto"/>
              <w:jc w:val="right"/>
              <w:rPr>
                <w:rFonts w:ascii="Times New Roman" w:hAnsi="Times New Roman"/>
                <w:b/>
                <w:bCs/>
                <w:sz w:val="18"/>
                <w:szCs w:val="18"/>
                <w:lang w:eastAsia="sk-SK"/>
              </w:rPr>
            </w:pPr>
            <w:r w:rsidRPr="003F0CCF">
              <w:rPr>
                <w:rFonts w:ascii="Times New Roman" w:hAnsi="Times New Roman"/>
                <w:b/>
                <w:bCs/>
                <w:sz w:val="18"/>
                <w:szCs w:val="18"/>
                <w:lang w:eastAsia="sk-SK"/>
              </w:rPr>
              <w:t>14 644 347</w:t>
            </w:r>
          </w:p>
        </w:tc>
        <w:tc>
          <w:tcPr>
            <w:tcW w:w="1104" w:type="dxa"/>
            <w:tcBorders>
              <w:top w:val="nil"/>
              <w:left w:val="nil"/>
              <w:bottom w:val="single" w:sz="8" w:space="0" w:color="auto"/>
              <w:right w:val="nil"/>
            </w:tcBorders>
            <w:shd w:val="clear" w:color="000000" w:fill="BFBFBF"/>
            <w:noWrap/>
            <w:textDirection w:val="lrTb"/>
            <w:vAlign w:val="center"/>
          </w:tcPr>
          <w:p w:rsidR="005C44D8" w:rsidRPr="003F0CCF" w:rsidP="003F0CCF">
            <w:pPr>
              <w:bidi w:val="0"/>
              <w:spacing w:after="0" w:line="240" w:lineRule="auto"/>
              <w:jc w:val="right"/>
              <w:rPr>
                <w:rFonts w:ascii="Times New Roman" w:hAnsi="Times New Roman"/>
                <w:b/>
                <w:bCs/>
                <w:sz w:val="18"/>
                <w:szCs w:val="18"/>
                <w:lang w:eastAsia="sk-SK"/>
              </w:rPr>
            </w:pPr>
            <w:r w:rsidRPr="003F0CCF">
              <w:rPr>
                <w:rFonts w:ascii="Times New Roman" w:hAnsi="Times New Roman"/>
                <w:b/>
                <w:bCs/>
                <w:sz w:val="18"/>
                <w:szCs w:val="18"/>
                <w:lang w:eastAsia="sk-SK"/>
              </w:rPr>
              <w:t>13 681 468</w:t>
            </w:r>
          </w:p>
        </w:tc>
        <w:tc>
          <w:tcPr>
            <w:tcW w:w="966" w:type="dxa"/>
            <w:tcBorders>
              <w:top w:val="single" w:sz="8" w:space="0" w:color="auto"/>
              <w:left w:val="nil"/>
              <w:bottom w:val="single" w:sz="8" w:space="0" w:color="auto"/>
              <w:right w:val="nil"/>
            </w:tcBorders>
            <w:noWrap/>
            <w:textDirection w:val="lrTb"/>
            <w:vAlign w:val="center"/>
            <w:hideMark/>
          </w:tcPr>
          <w:p w:rsidR="005C44D8" w:rsidRPr="003F0CCF" w:rsidP="003F0CCF">
            <w:pPr>
              <w:bidi w:val="0"/>
              <w:spacing w:after="0" w:line="240" w:lineRule="auto"/>
              <w:jc w:val="right"/>
              <w:rPr>
                <w:rFonts w:ascii="Times New Roman" w:hAnsi="Times New Roman"/>
                <w:b/>
                <w:bCs/>
                <w:sz w:val="18"/>
                <w:szCs w:val="18"/>
                <w:lang w:eastAsia="sk-SK"/>
              </w:rPr>
            </w:pPr>
            <w:r w:rsidRPr="003F0CCF">
              <w:rPr>
                <w:rFonts w:ascii="Times New Roman" w:hAnsi="Times New Roman"/>
                <w:b/>
                <w:bCs/>
                <w:sz w:val="18"/>
                <w:szCs w:val="18"/>
                <w:lang w:eastAsia="sk-SK"/>
              </w:rPr>
              <w:t>-962 879</w:t>
            </w:r>
          </w:p>
        </w:tc>
        <w:tc>
          <w:tcPr>
            <w:tcW w:w="691" w:type="dxa"/>
            <w:tcBorders>
              <w:top w:val="single" w:sz="8" w:space="0" w:color="auto"/>
              <w:left w:val="nil"/>
              <w:bottom w:val="single" w:sz="8" w:space="0" w:color="auto"/>
              <w:right w:val="nil"/>
            </w:tcBorders>
            <w:noWrap/>
            <w:textDirection w:val="lrTb"/>
            <w:vAlign w:val="center"/>
            <w:hideMark/>
          </w:tcPr>
          <w:p w:rsidR="005C44D8" w:rsidP="00314FE3">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-6,6</w:t>
            </w:r>
          </w:p>
        </w:tc>
      </w:tr>
    </w:tbl>
    <w:p w:rsidR="005C44D8" w:rsidRPr="00B26D4A" w:rsidP="005C44D8">
      <w:pPr>
        <w:bidi w:val="0"/>
        <w:spacing w:after="0" w:line="240" w:lineRule="auto"/>
        <w:jc w:val="right"/>
        <w:rPr>
          <w:rFonts w:ascii="Times New Roman" w:hAnsi="Times New Roman"/>
          <w:sz w:val="18"/>
          <w:szCs w:val="18"/>
        </w:rPr>
      </w:pPr>
      <w:r w:rsidRPr="00B26D4A">
        <w:rPr>
          <w:rFonts w:ascii="Times New Roman" w:hAnsi="Times New Roman"/>
          <w:sz w:val="18"/>
          <w:szCs w:val="18"/>
        </w:rPr>
        <w:t>Zdroj: MF SR</w:t>
      </w:r>
    </w:p>
    <w:p w:rsidR="005C44D8" w:rsidRPr="00E7520C" w:rsidP="00E7520C">
      <w:pPr>
        <w:bidi w:val="0"/>
        <w:rPr>
          <w:rFonts w:ascii="Times New Roman" w:hAnsi="Times New Roman"/>
        </w:rPr>
      </w:pPr>
      <w:r w:rsidRPr="00E7520C">
        <w:rPr>
          <w:rFonts w:ascii="Times New Roman" w:hAnsi="Times New Roman"/>
          <w:b/>
        </w:rPr>
        <w:t>Výdavky na mzdy, platy, služobné príjmy a ostatné osobné vyrovnania</w:t>
      </w:r>
    </w:p>
    <w:p w:rsidR="00F17E8A" w:rsidP="005C44D8">
      <w:pPr>
        <w:bidi w:val="0"/>
        <w:rPr>
          <w:rFonts w:ascii="Times New Roman" w:hAnsi="Times New Roman"/>
          <w:szCs w:val="22"/>
        </w:rPr>
      </w:pPr>
      <w:r w:rsidRPr="000270C2" w:rsidR="005C44D8">
        <w:rPr>
          <w:rFonts w:ascii="Times New Roman" w:hAnsi="Times New Roman"/>
          <w:szCs w:val="22"/>
        </w:rPr>
        <w:t xml:space="preserve">Zákon č. 357/2016 o štátnom rozpočte na rok 2017 stanovil pre zamestnancov rozpočtových organizácií kapitol štátneho rozpočtu </w:t>
      </w:r>
      <w:r w:rsidRPr="000270C2" w:rsidR="005C44D8">
        <w:rPr>
          <w:rFonts w:ascii="Times New Roman" w:hAnsi="Times New Roman"/>
          <w:b/>
          <w:szCs w:val="22"/>
        </w:rPr>
        <w:t>limit výdavkov na mzdy, platy, služobné príjmy a ostatné osobné vyrovnania</w:t>
      </w:r>
      <w:r w:rsidRPr="000270C2" w:rsidR="005C44D8">
        <w:rPr>
          <w:rFonts w:ascii="Times New Roman" w:hAnsi="Times New Roman"/>
          <w:szCs w:val="22"/>
        </w:rPr>
        <w:t xml:space="preserve"> ako záväzný ukazovateľ </w:t>
      </w:r>
      <w:r w:rsidRPr="000270C2" w:rsidR="005C44D8">
        <w:rPr>
          <w:rFonts w:ascii="Times New Roman" w:hAnsi="Times New Roman"/>
          <w:b/>
          <w:szCs w:val="22"/>
        </w:rPr>
        <w:t xml:space="preserve">z kódu 111 </w:t>
      </w:r>
      <w:r w:rsidR="00137718">
        <w:rPr>
          <w:rFonts w:ascii="Times New Roman" w:hAnsi="Times New Roman"/>
          <w:szCs w:val="22"/>
        </w:rPr>
        <w:t xml:space="preserve">(zdroj štátneho rozpočtu) a </w:t>
      </w:r>
      <w:r w:rsidRPr="000270C2" w:rsidR="005C44D8">
        <w:rPr>
          <w:rFonts w:ascii="Times New Roman" w:hAnsi="Times New Roman"/>
          <w:b/>
          <w:szCs w:val="22"/>
        </w:rPr>
        <w:t>11H</w:t>
      </w:r>
      <w:r w:rsidRPr="000270C2" w:rsidR="005C44D8">
        <w:rPr>
          <w:rFonts w:ascii="Times New Roman" w:hAnsi="Times New Roman"/>
          <w:szCs w:val="22"/>
        </w:rPr>
        <w:t xml:space="preserve"> </w:t>
      </w:r>
      <w:r w:rsidR="0072654F">
        <w:rPr>
          <w:rFonts w:ascii="Times New Roman" w:hAnsi="Times New Roman"/>
          <w:szCs w:val="22"/>
        </w:rPr>
        <w:t xml:space="preserve">(transfery od ostatných subjektov verejnej správy) </w:t>
      </w:r>
      <w:r w:rsidRPr="000270C2" w:rsidR="005C44D8">
        <w:rPr>
          <w:rFonts w:ascii="Times New Roman" w:hAnsi="Times New Roman"/>
          <w:szCs w:val="22"/>
        </w:rPr>
        <w:t xml:space="preserve">v súhrnnej sume 1 745 017 tis. </w:t>
      </w:r>
      <w:r w:rsidRPr="0087329E" w:rsidR="005C44D8">
        <w:rPr>
          <w:rFonts w:ascii="Times New Roman" w:hAnsi="Times New Roman"/>
          <w:szCs w:val="22"/>
        </w:rPr>
        <w:t>eur. V</w:t>
      </w:r>
      <w:r w:rsidRPr="000270C2" w:rsidR="005C44D8">
        <w:rPr>
          <w:rFonts w:ascii="Times New Roman" w:hAnsi="Times New Roman"/>
          <w:szCs w:val="22"/>
        </w:rPr>
        <w:t> priebehu roka bol tento limit rozpočtovými opatreniami zvýšený na 1 813 448 tis. eur. Z upraveného limitu výdavkov na mzdy a platy na tomto zdroji sa skutočne použilo 1 813 06</w:t>
      </w:r>
      <w:r w:rsidR="00137718">
        <w:rPr>
          <w:rFonts w:ascii="Times New Roman" w:hAnsi="Times New Roman"/>
          <w:szCs w:val="22"/>
        </w:rPr>
        <w:t xml:space="preserve">0 tis. eur, čo je o 90 174 tis. eur </w:t>
      </w:r>
      <w:r w:rsidRPr="000270C2" w:rsidR="005C44D8">
        <w:rPr>
          <w:rFonts w:ascii="Times New Roman" w:hAnsi="Times New Roman"/>
          <w:szCs w:val="22"/>
        </w:rPr>
        <w:t>viac než v predchádzajúcom kalendárnom roku. Medziročný nárast výdavkov na mzdy, platy, služobné príjmy a</w:t>
      </w:r>
      <w:r w:rsidR="005273BE">
        <w:rPr>
          <w:rFonts w:ascii="Times New Roman" w:hAnsi="Times New Roman"/>
          <w:szCs w:val="22"/>
        </w:rPr>
        <w:t xml:space="preserve"> </w:t>
      </w:r>
      <w:r w:rsidRPr="000270C2" w:rsidR="005C44D8">
        <w:rPr>
          <w:rFonts w:ascii="Times New Roman" w:hAnsi="Times New Roman"/>
          <w:szCs w:val="22"/>
        </w:rPr>
        <w:t xml:space="preserve">ostatné osobné vyrovnania ovplyvnilo predovšetkým zvýšenie platov štátnych zamestnancov (v štátnozamestnaneckom aj služobnom pomere) a zamestnancov </w:t>
      </w:r>
      <w:r w:rsidR="00BF2946">
        <w:rPr>
          <w:rFonts w:ascii="Times New Roman" w:hAnsi="Times New Roman"/>
          <w:szCs w:val="22"/>
        </w:rPr>
        <w:br/>
      </w:r>
      <w:r w:rsidRPr="000270C2" w:rsidR="005C44D8">
        <w:rPr>
          <w:rFonts w:ascii="Times New Roman" w:hAnsi="Times New Roman"/>
          <w:szCs w:val="22"/>
        </w:rPr>
        <w:t>pri výkone práce vo verejnom záujme o 4 % s účinnosťou od 1.</w:t>
      </w:r>
      <w:r w:rsidR="005C44D8">
        <w:rPr>
          <w:rFonts w:ascii="Times New Roman" w:hAnsi="Times New Roman"/>
          <w:szCs w:val="22"/>
        </w:rPr>
        <w:t> </w:t>
      </w:r>
      <w:r w:rsidRPr="000270C2" w:rsidR="005C44D8">
        <w:rPr>
          <w:rFonts w:ascii="Times New Roman" w:hAnsi="Times New Roman"/>
          <w:szCs w:val="22"/>
        </w:rPr>
        <w:t>januára 2017 a</w:t>
      </w:r>
      <w:r w:rsidR="005273BE">
        <w:rPr>
          <w:rFonts w:ascii="Times New Roman" w:hAnsi="Times New Roman"/>
          <w:szCs w:val="22"/>
        </w:rPr>
        <w:t xml:space="preserve"> </w:t>
      </w:r>
      <w:r w:rsidRPr="000270C2" w:rsidR="005C44D8">
        <w:rPr>
          <w:rFonts w:ascii="Times New Roman" w:hAnsi="Times New Roman"/>
          <w:szCs w:val="22"/>
        </w:rPr>
        <w:t xml:space="preserve">zvýšenie platov </w:t>
      </w:r>
      <w:r w:rsidR="00BF2946">
        <w:rPr>
          <w:rFonts w:ascii="Times New Roman" w:hAnsi="Times New Roman"/>
          <w:szCs w:val="22"/>
        </w:rPr>
        <w:br/>
      </w:r>
      <w:r w:rsidRPr="000270C2" w:rsidR="005C44D8">
        <w:rPr>
          <w:rFonts w:ascii="Times New Roman" w:hAnsi="Times New Roman"/>
          <w:szCs w:val="22"/>
        </w:rPr>
        <w:t>na úrovni 2 % funkčných platov v zmysle Memoranda o úprave platových pomerov zamestnancov v štátnej službe a niektorých zamestnancov pri výkone práce vo verejnom záujme, ktoré tvorí prílohu kolektívnych zmlúv v</w:t>
      </w:r>
      <w:r w:rsidR="005273BE">
        <w:rPr>
          <w:rFonts w:ascii="Times New Roman" w:hAnsi="Times New Roman"/>
          <w:szCs w:val="22"/>
        </w:rPr>
        <w:t>yššieho stupňa, v termíne od 1. </w:t>
      </w:r>
      <w:r w:rsidRPr="000270C2" w:rsidR="005C44D8">
        <w:rPr>
          <w:rFonts w:ascii="Times New Roman" w:hAnsi="Times New Roman"/>
          <w:szCs w:val="22"/>
        </w:rPr>
        <w:t xml:space="preserve">septembra do 31. decembra 2017 </w:t>
      </w:r>
      <w:r w:rsidRPr="000270C2" w:rsidR="00137718">
        <w:rPr>
          <w:rFonts w:ascii="Times New Roman" w:hAnsi="Times New Roman"/>
          <w:szCs w:val="22"/>
        </w:rPr>
        <w:t xml:space="preserve">súhrnne </w:t>
      </w:r>
      <w:r w:rsidRPr="000270C2" w:rsidR="005C44D8">
        <w:rPr>
          <w:rFonts w:ascii="Times New Roman" w:hAnsi="Times New Roman"/>
          <w:szCs w:val="22"/>
        </w:rPr>
        <w:t xml:space="preserve">v sume 58 322 tis. eur. </w:t>
      </w:r>
      <w:r w:rsidR="0087329E">
        <w:rPr>
          <w:rFonts w:ascii="Times New Roman" w:hAnsi="Times New Roman"/>
          <w:szCs w:val="22"/>
        </w:rPr>
        <w:t>Ďalším d</w:t>
      </w:r>
      <w:r w:rsidRPr="000270C2" w:rsidR="005C44D8">
        <w:rPr>
          <w:rFonts w:ascii="Times New Roman" w:hAnsi="Times New Roman"/>
          <w:szCs w:val="22"/>
        </w:rPr>
        <w:t>ôvodom medziročného nárastu výdavkov na mzdy a platy bolo tiež zvýšenie platových taríf pedagogických zamestna</w:t>
      </w:r>
      <w:r w:rsidR="00137718">
        <w:rPr>
          <w:rFonts w:ascii="Times New Roman" w:hAnsi="Times New Roman"/>
          <w:szCs w:val="22"/>
        </w:rPr>
        <w:t xml:space="preserve">ncov a odborných zamestnancov a </w:t>
      </w:r>
      <w:r w:rsidRPr="000270C2" w:rsidR="005C44D8">
        <w:rPr>
          <w:rFonts w:ascii="Times New Roman" w:hAnsi="Times New Roman"/>
          <w:szCs w:val="22"/>
        </w:rPr>
        <w:t>osobitnej stupnice platových tar</w:t>
      </w:r>
      <w:r w:rsidR="0087329E">
        <w:rPr>
          <w:rFonts w:ascii="Times New Roman" w:hAnsi="Times New Roman"/>
          <w:szCs w:val="22"/>
        </w:rPr>
        <w:t>íf učiteľov vysokých škôl od 1. </w:t>
      </w:r>
      <w:r w:rsidRPr="000270C2" w:rsidR="005C44D8">
        <w:rPr>
          <w:rFonts w:ascii="Times New Roman" w:hAnsi="Times New Roman"/>
          <w:szCs w:val="22"/>
        </w:rPr>
        <w:t>septembra 2017 o</w:t>
      </w:r>
      <w:r w:rsidR="005C44D8">
        <w:rPr>
          <w:rFonts w:ascii="Times New Roman" w:hAnsi="Times New Roman"/>
          <w:szCs w:val="22"/>
        </w:rPr>
        <w:t> </w:t>
      </w:r>
      <w:r w:rsidRPr="000270C2" w:rsidR="005C44D8">
        <w:rPr>
          <w:rFonts w:ascii="Times New Roman" w:hAnsi="Times New Roman"/>
          <w:szCs w:val="22"/>
        </w:rPr>
        <w:t>6</w:t>
      </w:r>
      <w:r w:rsidR="005C44D8">
        <w:rPr>
          <w:rFonts w:ascii="Times New Roman" w:hAnsi="Times New Roman"/>
          <w:szCs w:val="22"/>
        </w:rPr>
        <w:t> </w:t>
      </w:r>
      <w:r w:rsidRPr="000270C2" w:rsidR="005C44D8">
        <w:rPr>
          <w:rFonts w:ascii="Times New Roman" w:hAnsi="Times New Roman"/>
          <w:szCs w:val="22"/>
        </w:rPr>
        <w:t>% v sume 2</w:t>
      </w:r>
      <w:r w:rsidR="005C44D8">
        <w:rPr>
          <w:rFonts w:ascii="Times New Roman" w:hAnsi="Times New Roman"/>
          <w:szCs w:val="22"/>
        </w:rPr>
        <w:t> </w:t>
      </w:r>
      <w:r w:rsidRPr="000270C2" w:rsidR="005C44D8">
        <w:rPr>
          <w:rFonts w:ascii="Times New Roman" w:hAnsi="Times New Roman"/>
          <w:szCs w:val="22"/>
        </w:rPr>
        <w:t>347</w:t>
      </w:r>
      <w:r w:rsidR="005C44D8">
        <w:rPr>
          <w:rFonts w:ascii="Times New Roman" w:hAnsi="Times New Roman"/>
          <w:szCs w:val="22"/>
        </w:rPr>
        <w:t> </w:t>
      </w:r>
      <w:r w:rsidRPr="000270C2" w:rsidR="005C44D8">
        <w:rPr>
          <w:rFonts w:ascii="Times New Roman" w:hAnsi="Times New Roman"/>
          <w:szCs w:val="22"/>
        </w:rPr>
        <w:t>tis.</w:t>
      </w:r>
      <w:r w:rsidR="005C44D8">
        <w:rPr>
          <w:rFonts w:ascii="Times New Roman" w:hAnsi="Times New Roman"/>
          <w:szCs w:val="22"/>
        </w:rPr>
        <w:t> </w:t>
      </w:r>
      <w:r w:rsidRPr="000270C2" w:rsidR="005C44D8">
        <w:rPr>
          <w:rFonts w:ascii="Times New Roman" w:hAnsi="Times New Roman"/>
          <w:szCs w:val="22"/>
        </w:rPr>
        <w:t>eur. V nadväznosti na zverejnenie priemernej mzdy v hospodárstve Slovenskej republiky za rok 2016 Štatistickým úradom S</w:t>
      </w:r>
      <w:r w:rsidR="005273BE">
        <w:rPr>
          <w:rFonts w:ascii="Times New Roman" w:hAnsi="Times New Roman"/>
          <w:szCs w:val="22"/>
        </w:rPr>
        <w:t>R</w:t>
      </w:r>
      <w:r w:rsidRPr="000270C2" w:rsidR="005C44D8">
        <w:rPr>
          <w:rFonts w:ascii="Times New Roman" w:hAnsi="Times New Roman"/>
          <w:szCs w:val="22"/>
        </w:rPr>
        <w:t xml:space="preserve"> boli od 1. januára 2017 upraven</w:t>
      </w:r>
      <w:r w:rsidR="00137718">
        <w:rPr>
          <w:rFonts w:ascii="Times New Roman" w:hAnsi="Times New Roman"/>
          <w:szCs w:val="22"/>
        </w:rPr>
        <w:t>é aj platy sudcov (o 2 068 tis. </w:t>
      </w:r>
      <w:r w:rsidRPr="000270C2" w:rsidR="005C44D8">
        <w:rPr>
          <w:rFonts w:ascii="Times New Roman" w:hAnsi="Times New Roman"/>
          <w:szCs w:val="22"/>
        </w:rPr>
        <w:t>eur), prokurátorov (o 1 266 tis. eur) a</w:t>
      </w:r>
      <w:r w:rsidR="00137718">
        <w:rPr>
          <w:rFonts w:ascii="Times New Roman" w:hAnsi="Times New Roman"/>
          <w:szCs w:val="22"/>
        </w:rPr>
        <w:t xml:space="preserve"> </w:t>
      </w:r>
      <w:r w:rsidRPr="000270C2" w:rsidR="005C44D8">
        <w:rPr>
          <w:rFonts w:ascii="Times New Roman" w:hAnsi="Times New Roman"/>
          <w:szCs w:val="22"/>
        </w:rPr>
        <w:t>ústavných sudcov (o 29 tis. eur). Úroveň čerpania výdavkov na mzdy a</w:t>
      </w:r>
      <w:r w:rsidR="005273BE">
        <w:rPr>
          <w:rFonts w:ascii="Times New Roman" w:hAnsi="Times New Roman"/>
          <w:szCs w:val="22"/>
        </w:rPr>
        <w:t xml:space="preserve"> </w:t>
      </w:r>
      <w:r w:rsidRPr="000270C2" w:rsidR="005C44D8">
        <w:rPr>
          <w:rFonts w:ascii="Times New Roman" w:hAnsi="Times New Roman"/>
          <w:szCs w:val="22"/>
        </w:rPr>
        <w:t xml:space="preserve">platy zamestnancov v roku 2017 čiastočne ovplyvnilo aj čerpanie výdavkov na mzdy zamestnancov, ktorí vykonávali činnosti v rámci SK PRES (1 476 tis. </w:t>
      </w:r>
      <w:r w:rsidRPr="008A6AD1" w:rsidR="005C44D8">
        <w:rPr>
          <w:rFonts w:ascii="Times New Roman" w:hAnsi="Times New Roman"/>
          <w:szCs w:val="22"/>
        </w:rPr>
        <w:t>eur) a</w:t>
      </w:r>
      <w:r w:rsidR="00137718">
        <w:rPr>
          <w:rFonts w:ascii="Times New Roman" w:hAnsi="Times New Roman"/>
          <w:szCs w:val="22"/>
        </w:rPr>
        <w:t xml:space="preserve"> </w:t>
      </w:r>
      <w:r w:rsidR="00BF2946">
        <w:rPr>
          <w:rFonts w:ascii="Times New Roman" w:hAnsi="Times New Roman"/>
          <w:szCs w:val="22"/>
        </w:rPr>
        <w:br/>
      </w:r>
      <w:r w:rsidRPr="008A6AD1" w:rsidR="005C44D8">
        <w:rPr>
          <w:rFonts w:ascii="Times New Roman" w:hAnsi="Times New Roman"/>
          <w:szCs w:val="22"/>
        </w:rPr>
        <w:t>na mzdy zamestnancov, ktorí zabezpečoval</w:t>
      </w:r>
      <w:r w:rsidR="005273BE">
        <w:rPr>
          <w:rFonts w:ascii="Times New Roman" w:hAnsi="Times New Roman"/>
          <w:szCs w:val="22"/>
        </w:rPr>
        <w:t>i udržateľnosť projektov (1 422 </w:t>
      </w:r>
      <w:r>
        <w:rPr>
          <w:rFonts w:ascii="Times New Roman" w:hAnsi="Times New Roman"/>
          <w:szCs w:val="22"/>
        </w:rPr>
        <w:t>tis. eur).</w:t>
        <w:br/>
      </w:r>
    </w:p>
    <w:p w:rsidR="005C44D8" w:rsidRPr="008A6AD1" w:rsidP="005C44D8">
      <w:pPr>
        <w:bidi w:val="0"/>
        <w:rPr>
          <w:rFonts w:ascii="Times New Roman" w:hAnsi="Times New Roman"/>
          <w:szCs w:val="22"/>
        </w:rPr>
      </w:pPr>
      <w:r w:rsidRPr="008A6AD1">
        <w:rPr>
          <w:rFonts w:ascii="Times New Roman" w:hAnsi="Times New Roman"/>
          <w:szCs w:val="22"/>
        </w:rPr>
        <w:t>V súvislosti s p</w:t>
      </w:r>
      <w:r w:rsidR="005273BE">
        <w:rPr>
          <w:rFonts w:ascii="Times New Roman" w:hAnsi="Times New Roman"/>
          <w:szCs w:val="22"/>
        </w:rPr>
        <w:t xml:space="preserve">rijatými uzneseniami vlády SR a </w:t>
      </w:r>
      <w:r w:rsidRPr="008A6AD1">
        <w:rPr>
          <w:rFonts w:ascii="Times New Roman" w:hAnsi="Times New Roman"/>
          <w:szCs w:val="22"/>
        </w:rPr>
        <w:t>s novou legislatívou bolo potrebné od r</w:t>
      </w:r>
      <w:r w:rsidR="00E7520C">
        <w:rPr>
          <w:rFonts w:ascii="Times New Roman" w:hAnsi="Times New Roman"/>
          <w:szCs w:val="22"/>
        </w:rPr>
        <w:t>oku</w:t>
      </w:r>
      <w:r w:rsidRPr="008A6AD1">
        <w:rPr>
          <w:rFonts w:ascii="Times New Roman" w:hAnsi="Times New Roman"/>
          <w:szCs w:val="22"/>
        </w:rPr>
        <w:t xml:space="preserve"> 2017 v niektorých kapitolách štátneho rozpočtu zabezpečiť financovanie odmeňovania nových zamestnancov (napr.</w:t>
      </w:r>
      <w:r>
        <w:rPr>
          <w:rFonts w:ascii="Times New Roman" w:hAnsi="Times New Roman"/>
          <w:szCs w:val="22"/>
        </w:rPr>
        <w:t> </w:t>
      </w:r>
      <w:r w:rsidRPr="008A6AD1">
        <w:rPr>
          <w:rFonts w:ascii="Times New Roman" w:hAnsi="Times New Roman"/>
          <w:szCs w:val="22"/>
        </w:rPr>
        <w:t>o</w:t>
      </w:r>
      <w:r>
        <w:rPr>
          <w:rFonts w:ascii="Times New Roman" w:hAnsi="Times New Roman"/>
          <w:szCs w:val="22"/>
        </w:rPr>
        <w:t> </w:t>
      </w:r>
      <w:r w:rsidRPr="008A6AD1">
        <w:rPr>
          <w:rFonts w:ascii="Times New Roman" w:hAnsi="Times New Roman"/>
          <w:szCs w:val="22"/>
        </w:rPr>
        <w:t>923</w:t>
      </w:r>
      <w:r>
        <w:rPr>
          <w:rFonts w:ascii="Times New Roman" w:hAnsi="Times New Roman"/>
          <w:szCs w:val="22"/>
        </w:rPr>
        <w:t> </w:t>
      </w:r>
      <w:r w:rsidRPr="008A6AD1">
        <w:rPr>
          <w:rFonts w:ascii="Times New Roman" w:hAnsi="Times New Roman"/>
          <w:szCs w:val="22"/>
        </w:rPr>
        <w:t xml:space="preserve">tis. </w:t>
      </w:r>
      <w:r w:rsidR="0003598A">
        <w:rPr>
          <w:rFonts w:ascii="Times New Roman" w:hAnsi="Times New Roman"/>
          <w:szCs w:val="22"/>
        </w:rPr>
        <w:t>na</w:t>
      </w:r>
      <w:r w:rsidRPr="008A6AD1">
        <w:rPr>
          <w:rFonts w:ascii="Times New Roman" w:hAnsi="Times New Roman"/>
          <w:szCs w:val="22"/>
        </w:rPr>
        <w:t> Najvyššom súde SR na mzdy 55 nových zamestnancov), resp. bolo nutné posilniť odmeňovanie niektorých vybraných kategórií zamestnancov (napr. mzdy policajtov v kapitole Ministerstva vnútra SR o 25 000 tis.). Saldo medziročného zvýšenia výdavkov na mzdy a platy bolo súčasne ovplyvnené viazaním výdavkov na mzdy a platy súvisiacim so zmenou formy hospodárenia rozpočtových organizácií, čo sa najvýraznejšie prejavilo v kapitole Slovenskej akadémie vied, v ktorej z tohto dôvodu došlo k zn</w:t>
      </w:r>
      <w:r w:rsidR="0035704D">
        <w:rPr>
          <w:rFonts w:ascii="Times New Roman" w:hAnsi="Times New Roman"/>
          <w:szCs w:val="22"/>
        </w:rPr>
        <w:t xml:space="preserve">íženiu miezd o 5 739 tis. eur. </w:t>
      </w:r>
    </w:p>
    <w:p w:rsidR="005273BE" w:rsidP="005C44D8">
      <w:pPr>
        <w:bidi w:val="0"/>
        <w:rPr>
          <w:rFonts w:ascii="Times New Roman" w:hAnsi="Times New Roman"/>
          <w:szCs w:val="22"/>
        </w:rPr>
      </w:pPr>
      <w:r w:rsidRPr="008A6AD1" w:rsidR="005C44D8">
        <w:rPr>
          <w:rFonts w:ascii="Times New Roman" w:hAnsi="Times New Roman"/>
          <w:b/>
          <w:szCs w:val="22"/>
        </w:rPr>
        <w:t>V skutočnosti bolo na</w:t>
      </w:r>
      <w:r w:rsidRPr="008A6AD1" w:rsidR="005C44D8">
        <w:rPr>
          <w:rFonts w:ascii="Times New Roman" w:hAnsi="Times New Roman"/>
          <w:szCs w:val="22"/>
        </w:rPr>
        <w:t xml:space="preserve"> </w:t>
      </w:r>
      <w:r w:rsidRPr="008A6AD1" w:rsidR="005C44D8">
        <w:rPr>
          <w:rFonts w:ascii="Times New Roman" w:hAnsi="Times New Roman"/>
          <w:b/>
          <w:szCs w:val="22"/>
        </w:rPr>
        <w:t>mzdy, platy, služobné príjmy a ostatné osobné vyrovnania</w:t>
      </w:r>
      <w:r w:rsidR="0035704D">
        <w:rPr>
          <w:rFonts w:ascii="Times New Roman" w:hAnsi="Times New Roman"/>
          <w:b/>
          <w:szCs w:val="22"/>
        </w:rPr>
        <w:t xml:space="preserve"> </w:t>
      </w:r>
      <w:r w:rsidRPr="008A6AD1" w:rsidR="005C44D8">
        <w:rPr>
          <w:rFonts w:ascii="Times New Roman" w:hAnsi="Times New Roman"/>
          <w:b/>
          <w:szCs w:val="22"/>
        </w:rPr>
        <w:t>zamestnancov rozpočtových organizácií kapitol štátneho rozpočtu za všetky zdroje vynaložených 1 869 049 tis. eur, čo je o 92 494 tis. eur viac než v roku 2016.</w:t>
      </w:r>
      <w:r w:rsidRPr="008A6AD1" w:rsidR="005C44D8">
        <w:rPr>
          <w:rFonts w:ascii="Times New Roman" w:hAnsi="Times New Roman"/>
          <w:szCs w:val="22"/>
        </w:rPr>
        <w:t xml:space="preserve"> Z prostriedkov štátneho rozpočtu zo zdroja 111 a 11H boli na mzdy a platy zamestnancov vyčerpané finančné prostriedky v sume 1 813 060 tis. eur. Okrem toho boli čerpané aj finančné prostriedky z rozpočtu EÚ a zo spolufinancovania zo štátneho rozpočtu v sume 51 988 tis.</w:t>
      </w:r>
      <w:r>
        <w:rPr>
          <w:rFonts w:ascii="Times New Roman" w:hAnsi="Times New Roman"/>
          <w:szCs w:val="22"/>
        </w:rPr>
        <w:t xml:space="preserve"> eur, čo je medziročne o 10 288 tis. </w:t>
      </w:r>
      <w:r w:rsidRPr="008A6AD1" w:rsidR="005C44D8">
        <w:rPr>
          <w:rFonts w:ascii="Times New Roman" w:hAnsi="Times New Roman"/>
          <w:szCs w:val="22"/>
        </w:rPr>
        <w:t>eur viac. V súlade s ustanovením § 23 zákona o rozpočtových pravidlách boli na mzdy a platy čerpané prostriedky z mimorozpočtových zdrojov v sume 4 001 tis. eur, čo je v porovnaní s rokom 2016 o 7 968 tis. eur menej. Limit výdavkov na mzdy, platy, služobné príjmy a ostatné osobné vyrovnania bol ako záväzný ukazovateľ na zdroji 111 a</w:t>
      </w:r>
      <w:r w:rsidR="00E7520C">
        <w:rPr>
          <w:rFonts w:ascii="Times New Roman" w:hAnsi="Times New Roman"/>
          <w:szCs w:val="22"/>
        </w:rPr>
        <w:t xml:space="preserve"> </w:t>
      </w:r>
      <w:r w:rsidRPr="008A6AD1" w:rsidR="005C44D8">
        <w:rPr>
          <w:rFonts w:ascii="Times New Roman" w:hAnsi="Times New Roman"/>
          <w:szCs w:val="22"/>
        </w:rPr>
        <w:t xml:space="preserve">11H dodržaný vo všetkých kapitolách štátneho rozpočtu. </w:t>
      </w:r>
    </w:p>
    <w:p w:rsidR="005C44D8" w:rsidRPr="008A6AD1" w:rsidP="005C44D8">
      <w:pPr>
        <w:bidi w:val="0"/>
        <w:rPr>
          <w:rFonts w:ascii="Times New Roman" w:hAnsi="Times New Roman"/>
          <w:szCs w:val="22"/>
        </w:rPr>
      </w:pPr>
      <w:r w:rsidRPr="008A6AD1">
        <w:rPr>
          <w:rFonts w:ascii="Times New Roman" w:hAnsi="Times New Roman"/>
          <w:b/>
          <w:szCs w:val="22"/>
        </w:rPr>
        <w:t>Limit počtu zamestnancov pre rozpočtové organizácie kapitol štátneho rozpočtu</w:t>
      </w:r>
      <w:r w:rsidRPr="008A6AD1">
        <w:rPr>
          <w:rFonts w:ascii="Times New Roman" w:hAnsi="Times New Roman"/>
          <w:szCs w:val="22"/>
        </w:rPr>
        <w:t xml:space="preserve"> bol schválený uznesením vlády SR č. 461/2016 k návrhu rozpočtu verejnej správy na roky 2017 až 2019 v počte 128 523 osôb (2016: 127 531). Na medziročné zvýšenie schváleného limitu počtu zamestnancov rozpočtových organizácií (o 992 osôb) malo vplyv predovšetkým zvýšenie o 1 140 osôb v</w:t>
      </w:r>
      <w:r w:rsidR="00F16F14">
        <w:rPr>
          <w:rFonts w:ascii="Times New Roman" w:hAnsi="Times New Roman"/>
          <w:szCs w:val="22"/>
        </w:rPr>
        <w:t xml:space="preserve"> kapitole </w:t>
      </w:r>
      <w:r w:rsidRPr="008A6AD1">
        <w:rPr>
          <w:rFonts w:ascii="Times New Roman" w:hAnsi="Times New Roman"/>
          <w:szCs w:val="22"/>
        </w:rPr>
        <w:t>Ministerstv</w:t>
      </w:r>
      <w:r w:rsidR="00F16F14">
        <w:rPr>
          <w:rFonts w:ascii="Times New Roman" w:hAnsi="Times New Roman"/>
          <w:szCs w:val="22"/>
        </w:rPr>
        <w:t>a</w:t>
      </w:r>
      <w:r w:rsidRPr="008A6AD1">
        <w:rPr>
          <w:rFonts w:ascii="Times New Roman" w:hAnsi="Times New Roman"/>
          <w:szCs w:val="22"/>
        </w:rPr>
        <w:t xml:space="preserve"> vnútra SR (UV SR č. 600/2015 a 707/2015), o 254 osôb v</w:t>
      </w:r>
      <w:r w:rsidR="00F16F14">
        <w:rPr>
          <w:rFonts w:ascii="Times New Roman" w:hAnsi="Times New Roman"/>
          <w:szCs w:val="22"/>
        </w:rPr>
        <w:t xml:space="preserve"> kapitole </w:t>
      </w:r>
      <w:r w:rsidRPr="008A6AD1">
        <w:rPr>
          <w:rFonts w:ascii="Times New Roman" w:hAnsi="Times New Roman"/>
          <w:szCs w:val="22"/>
        </w:rPr>
        <w:t>Ministerstv</w:t>
      </w:r>
      <w:r w:rsidR="00F16F14">
        <w:rPr>
          <w:rFonts w:ascii="Times New Roman" w:hAnsi="Times New Roman"/>
          <w:szCs w:val="22"/>
        </w:rPr>
        <w:t>a</w:t>
      </w:r>
      <w:r w:rsidRPr="008A6AD1">
        <w:rPr>
          <w:rFonts w:ascii="Times New Roman" w:hAnsi="Times New Roman"/>
          <w:szCs w:val="22"/>
        </w:rPr>
        <w:t xml:space="preserve"> spravodlivosti SR (protiteroristická legislatíva, zákon o upomínacom konaní, zákon o registri partnerov </w:t>
      </w:r>
      <w:r>
        <w:rPr>
          <w:rFonts w:ascii="Times New Roman" w:hAnsi="Times New Roman"/>
          <w:szCs w:val="22"/>
        </w:rPr>
        <w:t>verejného sektora</w:t>
      </w:r>
      <w:r w:rsidRPr="008A6AD1">
        <w:rPr>
          <w:rFonts w:ascii="Times New Roman" w:hAnsi="Times New Roman"/>
          <w:szCs w:val="22"/>
        </w:rPr>
        <w:t>, zmena zákona o konkurze a reštrukturalizácii a</w:t>
      </w:r>
      <w:r w:rsidR="00F16F14">
        <w:rPr>
          <w:rFonts w:ascii="Times New Roman" w:hAnsi="Times New Roman"/>
          <w:szCs w:val="22"/>
        </w:rPr>
        <w:t xml:space="preserve"> </w:t>
      </w:r>
      <w:r w:rsidRPr="008A6AD1">
        <w:rPr>
          <w:rFonts w:ascii="Times New Roman" w:hAnsi="Times New Roman"/>
          <w:szCs w:val="22"/>
        </w:rPr>
        <w:t xml:space="preserve">zmena zákona o súdnych exekútoroch), o 56 osôb </w:t>
      </w:r>
      <w:r w:rsidR="00F16F14">
        <w:rPr>
          <w:rFonts w:ascii="Times New Roman" w:hAnsi="Times New Roman"/>
          <w:szCs w:val="22"/>
        </w:rPr>
        <w:t xml:space="preserve">v kapitole </w:t>
      </w:r>
      <w:r w:rsidRPr="008A6AD1">
        <w:rPr>
          <w:rFonts w:ascii="Times New Roman" w:hAnsi="Times New Roman"/>
          <w:szCs w:val="22"/>
        </w:rPr>
        <w:t>Najvyšš</w:t>
      </w:r>
      <w:r w:rsidR="00F16F14">
        <w:rPr>
          <w:rFonts w:ascii="Times New Roman" w:hAnsi="Times New Roman"/>
          <w:szCs w:val="22"/>
        </w:rPr>
        <w:t>ieho</w:t>
      </w:r>
      <w:r w:rsidRPr="008A6AD1">
        <w:rPr>
          <w:rFonts w:ascii="Times New Roman" w:hAnsi="Times New Roman"/>
          <w:szCs w:val="22"/>
        </w:rPr>
        <w:t xml:space="preserve"> s</w:t>
      </w:r>
      <w:r w:rsidR="005273BE">
        <w:rPr>
          <w:rFonts w:ascii="Times New Roman" w:hAnsi="Times New Roman"/>
          <w:szCs w:val="22"/>
        </w:rPr>
        <w:t>úd</w:t>
      </w:r>
      <w:r w:rsidR="00F16F14">
        <w:rPr>
          <w:rFonts w:ascii="Times New Roman" w:hAnsi="Times New Roman"/>
          <w:szCs w:val="22"/>
        </w:rPr>
        <w:t>u</w:t>
      </w:r>
      <w:r w:rsidR="005273BE">
        <w:rPr>
          <w:rFonts w:ascii="Times New Roman" w:hAnsi="Times New Roman"/>
          <w:szCs w:val="22"/>
        </w:rPr>
        <w:t xml:space="preserve"> SR (personálne posilnenie a zákon č. </w:t>
      </w:r>
      <w:r w:rsidRPr="008A6AD1">
        <w:rPr>
          <w:rFonts w:ascii="Times New Roman" w:hAnsi="Times New Roman"/>
          <w:szCs w:val="22"/>
        </w:rPr>
        <w:t xml:space="preserve">357/2015 o finančnej kontrole a audite), o 39 osôb </w:t>
      </w:r>
      <w:r w:rsidR="00F16F14">
        <w:rPr>
          <w:rFonts w:ascii="Times New Roman" w:hAnsi="Times New Roman"/>
          <w:szCs w:val="22"/>
        </w:rPr>
        <w:t xml:space="preserve">v kapitole </w:t>
      </w:r>
      <w:r w:rsidRPr="008A6AD1">
        <w:rPr>
          <w:rFonts w:ascii="Times New Roman" w:hAnsi="Times New Roman"/>
          <w:szCs w:val="22"/>
        </w:rPr>
        <w:t>Ministerstv</w:t>
      </w:r>
      <w:r w:rsidR="00F16F14">
        <w:rPr>
          <w:rFonts w:ascii="Times New Roman" w:hAnsi="Times New Roman"/>
          <w:szCs w:val="22"/>
        </w:rPr>
        <w:t>a</w:t>
      </w:r>
      <w:r w:rsidRPr="008A6AD1">
        <w:rPr>
          <w:rFonts w:ascii="Times New Roman" w:hAnsi="Times New Roman"/>
          <w:szCs w:val="22"/>
        </w:rPr>
        <w:t xml:space="preserve"> zdravotníctva SR na organizačné zmeny a o 35 osôb </w:t>
      </w:r>
      <w:r w:rsidR="00F16F14">
        <w:rPr>
          <w:rFonts w:ascii="Times New Roman" w:hAnsi="Times New Roman"/>
          <w:szCs w:val="22"/>
        </w:rPr>
        <w:t xml:space="preserve">v kapitole </w:t>
      </w:r>
      <w:r w:rsidRPr="008A6AD1">
        <w:rPr>
          <w:rFonts w:ascii="Times New Roman" w:hAnsi="Times New Roman"/>
          <w:szCs w:val="22"/>
        </w:rPr>
        <w:t>Ministerstv</w:t>
      </w:r>
      <w:r w:rsidR="00F16F14">
        <w:rPr>
          <w:rFonts w:ascii="Times New Roman" w:hAnsi="Times New Roman"/>
          <w:szCs w:val="22"/>
        </w:rPr>
        <w:t>a</w:t>
      </w:r>
      <w:r w:rsidRPr="008A6AD1">
        <w:rPr>
          <w:rFonts w:ascii="Times New Roman" w:hAnsi="Times New Roman"/>
          <w:szCs w:val="22"/>
        </w:rPr>
        <w:t xml:space="preserve"> práce, sociálnych vecí a rodiny SR na posilnenie Národného inšpektorátu práce. Mierne zvýšenie limitu počtu zamestnancov v niektorých ostatných kapitolách súviselo predovšetkým so z</w:t>
      </w:r>
      <w:r w:rsidR="00F16F14">
        <w:rPr>
          <w:rFonts w:ascii="Times New Roman" w:hAnsi="Times New Roman"/>
          <w:szCs w:val="22"/>
        </w:rPr>
        <w:t xml:space="preserve">abezpečením novej legislatívy a </w:t>
      </w:r>
      <w:r w:rsidRPr="008A6AD1">
        <w:rPr>
          <w:rFonts w:ascii="Times New Roman" w:hAnsi="Times New Roman"/>
          <w:szCs w:val="22"/>
        </w:rPr>
        <w:t xml:space="preserve">s plnením prijatých uznesení vlády SR. V Slovenskej akadémii vied súčasne došlo k zníženiu limitu počtu zamestnancov o 688 osôb v súvislosti s transformáciou </w:t>
      </w:r>
      <w:r w:rsidR="005273BE">
        <w:rPr>
          <w:rFonts w:ascii="Times New Roman" w:hAnsi="Times New Roman"/>
          <w:szCs w:val="22"/>
        </w:rPr>
        <w:t>organizácií na budúce verejné výskumné inštitúcie</w:t>
      </w:r>
      <w:r w:rsidRPr="008A6AD1">
        <w:rPr>
          <w:rFonts w:ascii="Times New Roman" w:hAnsi="Times New Roman"/>
          <w:szCs w:val="22"/>
        </w:rPr>
        <w:t>.</w:t>
      </w:r>
    </w:p>
    <w:p w:rsidR="005C44D8" w:rsidRPr="008A6AD1" w:rsidP="005C44D8">
      <w:pPr>
        <w:bidi w:val="0"/>
        <w:rPr>
          <w:rFonts w:ascii="Times New Roman" w:hAnsi="Times New Roman"/>
          <w:szCs w:val="22"/>
        </w:rPr>
      </w:pPr>
      <w:r w:rsidRPr="008A6AD1">
        <w:rPr>
          <w:rFonts w:ascii="Times New Roman" w:hAnsi="Times New Roman"/>
          <w:szCs w:val="22"/>
        </w:rPr>
        <w:t>V rámci schváleného limitu počtu zamestnancov rozpočtových organizácií kapitoly štátneho rozpočtu a aparátu ústredného orgánu boli osobitne schválené administratívne kapacity osobitne sledované v</w:t>
      </w:r>
      <w:r>
        <w:rPr>
          <w:rFonts w:ascii="Times New Roman" w:hAnsi="Times New Roman"/>
          <w:szCs w:val="22"/>
        </w:rPr>
        <w:t> </w:t>
      </w:r>
      <w:r w:rsidRPr="008A6AD1">
        <w:rPr>
          <w:rFonts w:ascii="Times New Roman" w:hAnsi="Times New Roman"/>
          <w:szCs w:val="22"/>
        </w:rPr>
        <w:t>počte</w:t>
      </w:r>
      <w:r>
        <w:rPr>
          <w:rFonts w:ascii="Times New Roman" w:hAnsi="Times New Roman"/>
          <w:szCs w:val="22"/>
        </w:rPr>
        <w:t xml:space="preserve"> </w:t>
      </w:r>
      <w:r w:rsidRPr="008A6AD1">
        <w:rPr>
          <w:rFonts w:ascii="Times New Roman" w:hAnsi="Times New Roman"/>
          <w:szCs w:val="22"/>
        </w:rPr>
        <w:t>1</w:t>
      </w:r>
      <w:r>
        <w:rPr>
          <w:rFonts w:ascii="Times New Roman" w:hAnsi="Times New Roman"/>
          <w:szCs w:val="22"/>
        </w:rPr>
        <w:t> </w:t>
      </w:r>
      <w:r w:rsidRPr="008A6AD1">
        <w:rPr>
          <w:rFonts w:ascii="Times New Roman" w:hAnsi="Times New Roman"/>
          <w:szCs w:val="22"/>
        </w:rPr>
        <w:t>047.</w:t>
      </w:r>
      <w:r w:rsidRPr="008A6AD1">
        <w:rPr>
          <w:rFonts w:ascii="Times New Roman" w:hAnsi="Times New Roman"/>
          <w:color w:val="C00000"/>
          <w:szCs w:val="22"/>
        </w:rPr>
        <w:t xml:space="preserve"> </w:t>
      </w:r>
      <w:r w:rsidRPr="008A6AD1">
        <w:rPr>
          <w:rFonts w:ascii="Times New Roman" w:hAnsi="Times New Roman"/>
          <w:szCs w:val="22"/>
        </w:rPr>
        <w:t>Administratívne kapacity osobitne sledované sú osobitnou skupinou zamestnancov, ktorá je v zmysle uznesenia vlády SR č. 181/2017</w:t>
      </w:r>
      <w:r>
        <w:rPr>
          <w:rStyle w:val="FootnoteReference"/>
          <w:rFonts w:ascii="Times New Roman" w:hAnsi="Times New Roman"/>
          <w:szCs w:val="22"/>
          <w:rtl w:val="0"/>
        </w:rPr>
        <w:footnoteReference w:id="17"/>
      </w:r>
      <w:r w:rsidRPr="008A6AD1">
        <w:rPr>
          <w:rFonts w:ascii="Times New Roman" w:hAnsi="Times New Roman"/>
          <w:szCs w:val="22"/>
        </w:rPr>
        <w:t xml:space="preserve"> bez nárokov na dodatočné finančné prostriedky zo štátneho rozpočtu zapojená do implementácie európskych štrukturálnych a investičných fondov v programovom období 2014 – 2020 od roku 2017 (v rozpočtových organizáciách v maximálnom počte 1 568 osôb). </w:t>
      </w:r>
    </w:p>
    <w:p w:rsidR="005C44D8" w:rsidRPr="008A6AD1" w:rsidP="005C44D8">
      <w:pPr>
        <w:bidi w:val="0"/>
        <w:rPr>
          <w:rFonts w:ascii="Times New Roman" w:hAnsi="Times New Roman"/>
          <w:szCs w:val="22"/>
        </w:rPr>
      </w:pPr>
      <w:r w:rsidRPr="008A6AD1">
        <w:rPr>
          <w:rFonts w:ascii="Times New Roman" w:hAnsi="Times New Roman"/>
          <w:szCs w:val="22"/>
        </w:rPr>
        <w:t xml:space="preserve">V priebehu roka </w:t>
      </w:r>
      <w:r>
        <w:rPr>
          <w:rFonts w:ascii="Times New Roman" w:hAnsi="Times New Roman"/>
          <w:szCs w:val="22"/>
        </w:rPr>
        <w:t xml:space="preserve">2017 </w:t>
      </w:r>
      <w:r w:rsidRPr="008A6AD1">
        <w:rPr>
          <w:rFonts w:ascii="Times New Roman" w:hAnsi="Times New Roman"/>
          <w:szCs w:val="22"/>
        </w:rPr>
        <w:t>bol limit počtu zamestnancov rozpočtových organizácií rozpočtovými opatreniami zvýšený o 1 050 osôb na 129 573 osôb. Administratívne kapacity osobitne sledované schválené na rok 2017 UV SR č. 461/2016 boli zvýšené o 444 na počet 1 491, pričom ich zvýšenie bolo realizované v rámci neplnenia limitu počtu zamestnancov kapitoly a</w:t>
      </w:r>
      <w:r w:rsidR="005273BE">
        <w:rPr>
          <w:rFonts w:ascii="Times New Roman" w:hAnsi="Times New Roman"/>
          <w:szCs w:val="22"/>
        </w:rPr>
        <w:t xml:space="preserve"> </w:t>
      </w:r>
      <w:r w:rsidRPr="008A6AD1">
        <w:rPr>
          <w:rFonts w:ascii="Times New Roman" w:hAnsi="Times New Roman"/>
          <w:szCs w:val="22"/>
        </w:rPr>
        <w:t xml:space="preserve">v prípade naplnenia rozpočtovaného počtu zamestnancov aj absolútnym navýšením limitu počtu osôb kapitoly v súlade s prijatým uznesením vlády SR č. 181/2017. Ich skutočná obsadenosť dosiahla stav 1 269. </w:t>
      </w:r>
    </w:p>
    <w:p w:rsidR="005C44D8" w:rsidRPr="008A6AD1" w:rsidP="005C44D8">
      <w:pPr>
        <w:bidi w:val="0"/>
        <w:rPr>
          <w:rFonts w:ascii="Times New Roman" w:hAnsi="Times New Roman"/>
          <w:szCs w:val="22"/>
        </w:rPr>
      </w:pPr>
      <w:r w:rsidRPr="00E0337D">
        <w:rPr>
          <w:rFonts w:ascii="Times New Roman" w:hAnsi="Times New Roman"/>
          <w:b/>
          <w:szCs w:val="22"/>
        </w:rPr>
        <w:t>Skutočné plnenie počtu zamestnancov rozpočtových organizácií kapitol štátneho rozpočtu dosiahlo úroveň 123 015 osôb, čo je v porovnaní s ich skutočným plnením</w:t>
      </w:r>
      <w:r w:rsidR="00204B4F">
        <w:rPr>
          <w:rFonts w:ascii="Times New Roman" w:hAnsi="Times New Roman"/>
          <w:b/>
          <w:szCs w:val="22"/>
        </w:rPr>
        <w:t xml:space="preserve"> v roku 2016 o 143 osôb menej a </w:t>
      </w:r>
      <w:r w:rsidRPr="00E0337D">
        <w:rPr>
          <w:rFonts w:ascii="Times New Roman" w:hAnsi="Times New Roman"/>
          <w:b/>
          <w:szCs w:val="22"/>
        </w:rPr>
        <w:t>v porovnaní s pôvodne schváleným limitom o 5 508 zamestnancov menej.</w:t>
      </w:r>
      <w:r w:rsidRPr="008A6AD1">
        <w:rPr>
          <w:rFonts w:ascii="Times New Roman" w:hAnsi="Times New Roman"/>
          <w:szCs w:val="22"/>
        </w:rPr>
        <w:t xml:space="preserve"> V porovnaní s upraveným limitom počtu osôb je skutočnosť nižšia o 6 558 osôb. Z porovnania skutočného plnenia počtu zamestnancov so schváleným limitom vyplýva, že z počtu 33 kapitol štátneho rozpočtu </w:t>
      </w:r>
      <w:r>
        <w:rPr>
          <w:rFonts w:ascii="Times New Roman" w:hAnsi="Times New Roman"/>
          <w:szCs w:val="22"/>
        </w:rPr>
        <w:t>a</w:t>
      </w:r>
      <w:r w:rsidR="00C35918">
        <w:rPr>
          <w:rFonts w:ascii="Times New Roman" w:hAnsi="Times New Roman"/>
          <w:szCs w:val="22"/>
        </w:rPr>
        <w:t xml:space="preserve"> </w:t>
      </w:r>
      <w:r w:rsidRPr="008A6AD1">
        <w:rPr>
          <w:rFonts w:ascii="Times New Roman" w:hAnsi="Times New Roman"/>
          <w:szCs w:val="22"/>
        </w:rPr>
        <w:t xml:space="preserve">3 organizácií (Kancelária verejného ochrancu práv, Rada </w:t>
      </w:r>
      <w:r w:rsidR="003B6B6A">
        <w:rPr>
          <w:rFonts w:ascii="Times New Roman" w:hAnsi="Times New Roman"/>
          <w:szCs w:val="22"/>
        </w:rPr>
        <w:t xml:space="preserve">pre vysielanie a retransmisiu a </w:t>
      </w:r>
      <w:r w:rsidRPr="008A6AD1">
        <w:rPr>
          <w:rFonts w:ascii="Times New Roman" w:hAnsi="Times New Roman"/>
          <w:szCs w:val="22"/>
        </w:rPr>
        <w:t>Úrad na ochranu osobných údajov) počet zamestnancov schválený uznesením vlády SR č. 461/2016 nenaplnilo 28 kapitol a</w:t>
      </w:r>
      <w:r w:rsidR="003B6B6A">
        <w:rPr>
          <w:rFonts w:ascii="Times New Roman" w:hAnsi="Times New Roman"/>
          <w:szCs w:val="22"/>
        </w:rPr>
        <w:t xml:space="preserve"> </w:t>
      </w:r>
      <w:r w:rsidRPr="008A6AD1">
        <w:rPr>
          <w:rFonts w:ascii="Times New Roman" w:hAnsi="Times New Roman"/>
          <w:szCs w:val="22"/>
        </w:rPr>
        <w:t>ani jedna z 3 organizá</w:t>
      </w:r>
      <w:r w:rsidR="004115F2">
        <w:rPr>
          <w:rFonts w:ascii="Times New Roman" w:hAnsi="Times New Roman"/>
          <w:szCs w:val="22"/>
        </w:rPr>
        <w:t>cií.</w:t>
      </w:r>
    </w:p>
    <w:p w:rsidR="005C44D8" w:rsidRPr="00C35918" w:rsidP="005C44D8">
      <w:pPr>
        <w:bidi w:val="0"/>
        <w:rPr>
          <w:rFonts w:ascii="Times New Roman" w:hAnsi="Times New Roman"/>
          <w:szCs w:val="22"/>
        </w:rPr>
      </w:pPr>
      <w:r w:rsidRPr="008A6AD1">
        <w:rPr>
          <w:rFonts w:ascii="Times New Roman" w:hAnsi="Times New Roman"/>
          <w:szCs w:val="22"/>
        </w:rPr>
        <w:t xml:space="preserve">Pre samotné </w:t>
      </w:r>
      <w:r w:rsidRPr="008A6AD1">
        <w:rPr>
          <w:rFonts w:ascii="Times New Roman" w:hAnsi="Times New Roman"/>
          <w:b/>
          <w:szCs w:val="22"/>
        </w:rPr>
        <w:t>aparáty ústredných orgánov</w:t>
      </w:r>
      <w:r w:rsidRPr="008A6AD1">
        <w:rPr>
          <w:rFonts w:ascii="Times New Roman" w:hAnsi="Times New Roman"/>
          <w:szCs w:val="22"/>
        </w:rPr>
        <w:t xml:space="preserve"> boli schválené výdavky na</w:t>
      </w:r>
      <w:r w:rsidR="00E0337D">
        <w:rPr>
          <w:rFonts w:ascii="Times New Roman" w:hAnsi="Times New Roman"/>
          <w:szCs w:val="22"/>
        </w:rPr>
        <w:t xml:space="preserve"> mzdy, platy, služobné príjmy a </w:t>
      </w:r>
      <w:r w:rsidRPr="008A6AD1">
        <w:rPr>
          <w:rFonts w:ascii="Times New Roman" w:hAnsi="Times New Roman"/>
          <w:szCs w:val="22"/>
        </w:rPr>
        <w:t>ostatné osobné vyrovnania v sume 208 493 tis. eur. V priebehu roka bol tento limit rozpočtovými opatreniami zvýšený na 224 208 tis. eur. Zamestnancom aparátov ústredných orgá</w:t>
      </w:r>
      <w:r w:rsidR="00C35918">
        <w:rPr>
          <w:rFonts w:ascii="Times New Roman" w:hAnsi="Times New Roman"/>
          <w:szCs w:val="22"/>
        </w:rPr>
        <w:t xml:space="preserve">nov boli spolu vyplatené mzdy a </w:t>
      </w:r>
      <w:r w:rsidRPr="008A6AD1">
        <w:rPr>
          <w:rFonts w:ascii="Times New Roman" w:hAnsi="Times New Roman"/>
          <w:szCs w:val="22"/>
        </w:rPr>
        <w:t xml:space="preserve">platy v sume 258 271 tis. eur vrátane zdrojov Európskej únie, spolufinancovania zo štátneho rozpočtu a mimorozpočtových zdrojov. Výdavky na mzdy, platy, služobné príjmy a ostatné osobné vyrovnania zamestnancov aparátu ústredného orgánu medziročne vzrástli o 9 901 tis. eur predovšetkým v súvislosti s valorizáciou </w:t>
      </w:r>
      <w:r w:rsidR="00E0337D">
        <w:rPr>
          <w:rFonts w:ascii="Times New Roman" w:hAnsi="Times New Roman"/>
          <w:szCs w:val="22"/>
        </w:rPr>
        <w:t>platov zamestnancov na úrovni 4 </w:t>
      </w:r>
      <w:r w:rsidRPr="008A6AD1">
        <w:rPr>
          <w:rFonts w:ascii="Times New Roman" w:hAnsi="Times New Roman"/>
          <w:szCs w:val="22"/>
        </w:rPr>
        <w:t>% od 1. 1. 2017, zvýšením platov na úrovni 2 % funkčných platov v termíne od 1. septembra do 31. decembra 2017 v zmysle podpísaného Memor</w:t>
      </w:r>
      <w:r w:rsidR="00C35918">
        <w:rPr>
          <w:rFonts w:ascii="Times New Roman" w:hAnsi="Times New Roman"/>
          <w:szCs w:val="22"/>
        </w:rPr>
        <w:t xml:space="preserve">anda (6 291 tis. eur súhrnne) a </w:t>
      </w:r>
      <w:r w:rsidRPr="008A6AD1">
        <w:rPr>
          <w:rFonts w:ascii="Times New Roman" w:hAnsi="Times New Roman"/>
          <w:szCs w:val="22"/>
        </w:rPr>
        <w:t>zvýšením platov sudcov, prokurátorov a</w:t>
      </w:r>
      <w:r w:rsidR="00C35918">
        <w:rPr>
          <w:rFonts w:ascii="Times New Roman" w:hAnsi="Times New Roman"/>
          <w:szCs w:val="22"/>
        </w:rPr>
        <w:t xml:space="preserve"> </w:t>
      </w:r>
      <w:r w:rsidRPr="008A6AD1">
        <w:rPr>
          <w:rFonts w:ascii="Times New Roman" w:hAnsi="Times New Roman"/>
          <w:szCs w:val="22"/>
        </w:rPr>
        <w:t>ústavných sudcov (o 413 tis. eur) od 1. januára 2017. Záväzný limit miezd, platov, služobných príjmov a</w:t>
      </w:r>
      <w:r w:rsidR="00C35918">
        <w:rPr>
          <w:rFonts w:ascii="Times New Roman" w:hAnsi="Times New Roman"/>
          <w:szCs w:val="22"/>
        </w:rPr>
        <w:t xml:space="preserve"> </w:t>
      </w:r>
      <w:r w:rsidRPr="008A6AD1">
        <w:rPr>
          <w:rFonts w:ascii="Times New Roman" w:hAnsi="Times New Roman"/>
          <w:szCs w:val="22"/>
        </w:rPr>
        <w:t xml:space="preserve">ostatných osobných vyrovnaní aparátov ústredných orgánov bol </w:t>
      </w:r>
      <w:r w:rsidRPr="00C35918">
        <w:rPr>
          <w:rFonts w:ascii="Times New Roman" w:hAnsi="Times New Roman"/>
          <w:szCs w:val="22"/>
        </w:rPr>
        <w:t xml:space="preserve">dodržaný. </w:t>
      </w:r>
    </w:p>
    <w:p w:rsidR="005C44D8" w:rsidRPr="008A6AD1" w:rsidP="005C44D8">
      <w:pPr>
        <w:bidi w:val="0"/>
        <w:rPr>
          <w:rFonts w:ascii="Times New Roman" w:hAnsi="Times New Roman"/>
          <w:szCs w:val="22"/>
          <w:highlight w:val="yellow"/>
        </w:rPr>
      </w:pPr>
      <w:r w:rsidRPr="008A6AD1">
        <w:rPr>
          <w:rFonts w:ascii="Times New Roman" w:hAnsi="Times New Roman"/>
          <w:szCs w:val="22"/>
        </w:rPr>
        <w:t xml:space="preserve">Pre </w:t>
      </w:r>
      <w:r w:rsidRPr="008A6AD1">
        <w:rPr>
          <w:rFonts w:ascii="Times New Roman" w:hAnsi="Times New Roman"/>
          <w:b/>
          <w:szCs w:val="22"/>
        </w:rPr>
        <w:t>aparáty ústredných orgánov</w:t>
      </w:r>
      <w:r w:rsidRPr="008A6AD1">
        <w:rPr>
          <w:rFonts w:ascii="Times New Roman" w:hAnsi="Times New Roman"/>
          <w:szCs w:val="22"/>
        </w:rPr>
        <w:t xml:space="preserve"> bol na rok 2017 schválený záväzný </w:t>
      </w:r>
      <w:r w:rsidRPr="008A6AD1">
        <w:rPr>
          <w:rFonts w:ascii="Times New Roman" w:hAnsi="Times New Roman"/>
          <w:b/>
          <w:szCs w:val="22"/>
        </w:rPr>
        <w:t>limit počtu zamestnancov</w:t>
      </w:r>
      <w:r w:rsidRPr="008A6AD1">
        <w:rPr>
          <w:rFonts w:ascii="Times New Roman" w:hAnsi="Times New Roman"/>
          <w:szCs w:val="22"/>
        </w:rPr>
        <w:t xml:space="preserve"> 12 075 osôb, z toho boli schválené administratívne kapacity osobitne sledované v počte 624. Schválený limit počtu zamestnancov bol v prieb</w:t>
      </w:r>
      <w:r w:rsidR="0035704D">
        <w:rPr>
          <w:rFonts w:ascii="Times New Roman" w:hAnsi="Times New Roman"/>
          <w:szCs w:val="22"/>
        </w:rPr>
        <w:t xml:space="preserve">ehu roka zvýšený o 400 osôb na </w:t>
      </w:r>
      <w:r w:rsidRPr="008A6AD1">
        <w:rPr>
          <w:rFonts w:ascii="Times New Roman" w:hAnsi="Times New Roman"/>
          <w:szCs w:val="22"/>
        </w:rPr>
        <w:t>12 475 osôb. V skutočnosti bolo v</w:t>
      </w:r>
      <w:r w:rsidRPr="008A6AD1">
        <w:rPr>
          <w:rFonts w:ascii="Times New Roman" w:hAnsi="Times New Roman"/>
          <w:color w:val="C00000"/>
          <w:szCs w:val="22"/>
        </w:rPr>
        <w:t> </w:t>
      </w:r>
      <w:r w:rsidRPr="008A6AD1">
        <w:rPr>
          <w:rFonts w:ascii="Times New Roman" w:hAnsi="Times New Roman"/>
          <w:szCs w:val="22"/>
        </w:rPr>
        <w:t>aparátoch ústredných orgánov v roku 2017 zamestnaných 11 539 osôb, čo je v porovnaní s rokom 2016 o 78 zamestnancov viac. Medziročné zvýšenie ovplyvnil najmä vyšší počet administratívnych kapacít osobitne sledovaných. Administratívne kapacity osobitne sledované boli v aparátoch ústredných orgánov zvýšené o 429 na počet 1 053, ich skutočné plnenie dosiahlo stav 931 administratívnych kapacít osobitne sledovaných.</w:t>
      </w:r>
    </w:p>
    <w:p w:rsidR="005C44D8" w:rsidRPr="008A6AD1" w:rsidP="005C44D8">
      <w:pPr>
        <w:bidi w:val="0"/>
        <w:rPr>
          <w:rFonts w:ascii="Times New Roman" w:hAnsi="Times New Roman"/>
          <w:szCs w:val="22"/>
        </w:rPr>
      </w:pPr>
      <w:r w:rsidRPr="008A6AD1">
        <w:rPr>
          <w:rFonts w:ascii="Times New Roman" w:hAnsi="Times New Roman"/>
          <w:szCs w:val="22"/>
        </w:rPr>
        <w:t>Uznesením vlády SR č. 461/2016 bola v prílohe č. 2 na rok 2017 schválená systemizácia colníkov v štátnej službe, systemizácia policajtov v štátnej službe,</w:t>
      </w:r>
      <w:r w:rsidR="00C35918">
        <w:rPr>
          <w:rFonts w:ascii="Times New Roman" w:hAnsi="Times New Roman"/>
          <w:szCs w:val="22"/>
        </w:rPr>
        <w:t xml:space="preserve"> </w:t>
      </w:r>
      <w:r w:rsidRPr="008A6AD1">
        <w:rPr>
          <w:rFonts w:ascii="Times New Roman" w:hAnsi="Times New Roman"/>
          <w:szCs w:val="22"/>
        </w:rPr>
        <w:t>systemizácia príslušníkov Hasičského a</w:t>
      </w:r>
      <w:r w:rsidR="00C35918">
        <w:rPr>
          <w:rFonts w:ascii="Times New Roman" w:hAnsi="Times New Roman"/>
          <w:szCs w:val="22"/>
        </w:rPr>
        <w:t xml:space="preserve"> </w:t>
      </w:r>
      <w:r w:rsidRPr="008A6AD1">
        <w:rPr>
          <w:rFonts w:ascii="Times New Roman" w:hAnsi="Times New Roman"/>
          <w:szCs w:val="22"/>
        </w:rPr>
        <w:t>záchranného zboru a príslušníkov Horskej záchrannej služby v štátnej službe a systemizácia profesionálnych vojakov v štátnej službe. Záväzné ukazovatele systemizácie v jednotlivých kategóriách zamestnancov na zdroji 111 boli vo všetkých kapitolách dodržané.</w:t>
      </w:r>
    </w:p>
    <w:p w:rsidR="005C44D8" w:rsidRPr="00E7520C" w:rsidP="005C44D8">
      <w:pPr>
        <w:bidi w:val="0"/>
        <w:rPr>
          <w:rFonts w:ascii="Times New Roman" w:hAnsi="Times New Roman"/>
          <w:b/>
          <w:i/>
          <w:szCs w:val="22"/>
        </w:rPr>
      </w:pPr>
      <w:r w:rsidRPr="00E7520C">
        <w:rPr>
          <w:rFonts w:ascii="Times New Roman" w:hAnsi="Times New Roman"/>
          <w:b/>
          <w:i/>
          <w:szCs w:val="22"/>
        </w:rPr>
        <w:t>Prehľad o plnení limitu počtu zamestnancov, miezd, platov, služobných príjmov a</w:t>
      </w:r>
      <w:r w:rsidR="00C35918">
        <w:rPr>
          <w:rFonts w:ascii="Times New Roman" w:hAnsi="Times New Roman"/>
          <w:b/>
          <w:i/>
          <w:szCs w:val="22"/>
        </w:rPr>
        <w:t xml:space="preserve"> </w:t>
      </w:r>
      <w:r w:rsidRPr="00E7520C">
        <w:rPr>
          <w:rFonts w:ascii="Times New Roman" w:hAnsi="Times New Roman"/>
          <w:b/>
          <w:i/>
          <w:szCs w:val="22"/>
        </w:rPr>
        <w:t>ostatných osobných vyrovnaní v kapitolách štátneho rozpočtu na rok 2017 vrátane vyhodnotenia systemizácie je uvedený v </w:t>
      </w:r>
      <w:r w:rsidR="004115F2">
        <w:rPr>
          <w:rFonts w:ascii="Times New Roman" w:hAnsi="Times New Roman"/>
          <w:b/>
          <w:i/>
          <w:szCs w:val="22"/>
        </w:rPr>
        <w:t xml:space="preserve">tabuľkách 22, </w:t>
      </w:r>
      <w:r w:rsidRPr="00E0337D">
        <w:rPr>
          <w:rFonts w:ascii="Times New Roman" w:hAnsi="Times New Roman"/>
          <w:b/>
          <w:i/>
          <w:szCs w:val="22"/>
        </w:rPr>
        <w:t>24, 25, 26 tabuľkovej</w:t>
      </w:r>
      <w:r w:rsidRPr="00E7520C">
        <w:rPr>
          <w:rFonts w:ascii="Times New Roman" w:hAnsi="Times New Roman"/>
          <w:b/>
          <w:i/>
          <w:szCs w:val="22"/>
        </w:rPr>
        <w:t xml:space="preserve"> časti štátneho záverečného účtu. </w:t>
      </w:r>
    </w:p>
    <w:p w:rsidR="005C44D8" w:rsidRPr="00E7520C" w:rsidP="00E7520C">
      <w:pPr>
        <w:bidi w:val="0"/>
        <w:rPr>
          <w:rFonts w:ascii="Times New Roman" w:hAnsi="Times New Roman"/>
          <w:b/>
        </w:rPr>
      </w:pPr>
      <w:r w:rsidRPr="00E7520C">
        <w:rPr>
          <w:rFonts w:ascii="Times New Roman" w:hAnsi="Times New Roman"/>
          <w:b/>
        </w:rPr>
        <w:t>Poistné a</w:t>
      </w:r>
      <w:r w:rsidR="00E0337D">
        <w:rPr>
          <w:rFonts w:ascii="Times New Roman" w:hAnsi="Times New Roman"/>
          <w:b/>
        </w:rPr>
        <w:t xml:space="preserve"> </w:t>
      </w:r>
      <w:r w:rsidRPr="00E7520C">
        <w:rPr>
          <w:rFonts w:ascii="Times New Roman" w:hAnsi="Times New Roman"/>
          <w:b/>
        </w:rPr>
        <w:t>príspevok do poisťovní</w:t>
      </w:r>
    </w:p>
    <w:p w:rsidR="005C44D8" w:rsidRPr="008A6AD1" w:rsidP="005C44D8">
      <w:pPr>
        <w:bidi w:val="0"/>
        <w:rPr>
          <w:rFonts w:ascii="Times New Roman" w:hAnsi="Times New Roman"/>
          <w:szCs w:val="22"/>
        </w:rPr>
      </w:pPr>
      <w:r w:rsidRPr="008A6AD1">
        <w:rPr>
          <w:rFonts w:ascii="Times New Roman" w:hAnsi="Times New Roman"/>
          <w:szCs w:val="22"/>
        </w:rPr>
        <w:t>Kapitoly štátneho rozpočtu rozpísali v roku 2017 vý</w:t>
      </w:r>
      <w:r w:rsidR="00E0337D">
        <w:rPr>
          <w:rFonts w:ascii="Times New Roman" w:hAnsi="Times New Roman"/>
          <w:szCs w:val="22"/>
        </w:rPr>
        <w:t xml:space="preserve">davky na poistné a </w:t>
      </w:r>
      <w:r w:rsidRPr="008A6AD1">
        <w:rPr>
          <w:rFonts w:ascii="Times New Roman" w:hAnsi="Times New Roman"/>
          <w:szCs w:val="22"/>
        </w:rPr>
        <w:t>príspevok do poisťovní v sum</w:t>
      </w:r>
      <w:r w:rsidR="00E0337D">
        <w:rPr>
          <w:rFonts w:ascii="Times New Roman" w:hAnsi="Times New Roman"/>
          <w:szCs w:val="22"/>
        </w:rPr>
        <w:t>e 612 554 tis. eur</w:t>
      </w:r>
      <w:r w:rsidRPr="008A6AD1">
        <w:rPr>
          <w:rFonts w:ascii="Times New Roman" w:hAnsi="Times New Roman"/>
          <w:szCs w:val="22"/>
        </w:rPr>
        <w:t>. V priebehu roka bola tát</w:t>
      </w:r>
      <w:r w:rsidR="00DF1A1A">
        <w:rPr>
          <w:rFonts w:ascii="Times New Roman" w:hAnsi="Times New Roman"/>
          <w:szCs w:val="22"/>
        </w:rPr>
        <w:t>o suma upravená na 674 135 tis. </w:t>
      </w:r>
      <w:r w:rsidRPr="008A6AD1">
        <w:rPr>
          <w:rFonts w:ascii="Times New Roman" w:hAnsi="Times New Roman"/>
          <w:szCs w:val="22"/>
        </w:rPr>
        <w:t xml:space="preserve">eur v súhrne </w:t>
      </w:r>
      <w:r w:rsidR="00BF2946">
        <w:rPr>
          <w:rFonts w:ascii="Times New Roman" w:hAnsi="Times New Roman"/>
          <w:szCs w:val="22"/>
        </w:rPr>
        <w:br/>
      </w:r>
      <w:r w:rsidRPr="008A6AD1">
        <w:rPr>
          <w:rFonts w:ascii="Times New Roman" w:hAnsi="Times New Roman"/>
          <w:szCs w:val="22"/>
        </w:rPr>
        <w:t>za všetky zdroje</w:t>
      </w:r>
      <w:r w:rsidR="00C35918">
        <w:rPr>
          <w:rFonts w:ascii="Times New Roman" w:hAnsi="Times New Roman"/>
          <w:szCs w:val="22"/>
        </w:rPr>
        <w:t xml:space="preserve">. Skutočné výdavky na poistné a </w:t>
      </w:r>
      <w:r w:rsidRPr="008A6AD1">
        <w:rPr>
          <w:rFonts w:ascii="Times New Roman" w:hAnsi="Times New Roman"/>
          <w:szCs w:val="22"/>
        </w:rPr>
        <w:t>príspevok do poisťovní súhrnne za všetky zdroje medziročne vzr</w:t>
      </w:r>
      <w:r w:rsidR="0035704D">
        <w:rPr>
          <w:rFonts w:ascii="Times New Roman" w:hAnsi="Times New Roman"/>
          <w:szCs w:val="22"/>
        </w:rPr>
        <w:t>ástli o 43 505 tis. eur (6,9 %)</w:t>
      </w:r>
      <w:r w:rsidR="00DF1A1A">
        <w:rPr>
          <w:rFonts w:ascii="Times New Roman" w:hAnsi="Times New Roman"/>
          <w:szCs w:val="22"/>
        </w:rPr>
        <w:t xml:space="preserve"> a</w:t>
      </w:r>
      <w:r w:rsidR="00E0337D">
        <w:rPr>
          <w:rFonts w:ascii="Times New Roman" w:hAnsi="Times New Roman"/>
          <w:szCs w:val="22"/>
        </w:rPr>
        <w:t xml:space="preserve"> </w:t>
      </w:r>
      <w:r w:rsidR="00DF1A1A">
        <w:rPr>
          <w:rFonts w:ascii="Times New Roman" w:hAnsi="Times New Roman"/>
          <w:szCs w:val="22"/>
        </w:rPr>
        <w:t>dosiahli sumu 675 515 tis. </w:t>
      </w:r>
      <w:r w:rsidRPr="008A6AD1">
        <w:rPr>
          <w:rFonts w:ascii="Times New Roman" w:hAnsi="Times New Roman"/>
          <w:szCs w:val="22"/>
        </w:rPr>
        <w:t>eur. Vyššie čerpanie výdavkov na poistné nadväzuje na zvýšené čerpanie výdavkov na mzdy, platy, služobné pr</w:t>
      </w:r>
      <w:r w:rsidR="0003598A">
        <w:rPr>
          <w:rFonts w:ascii="Times New Roman" w:hAnsi="Times New Roman"/>
          <w:szCs w:val="22"/>
        </w:rPr>
        <w:t xml:space="preserve">íjmy a </w:t>
      </w:r>
      <w:r w:rsidR="00E0337D">
        <w:rPr>
          <w:rFonts w:ascii="Times New Roman" w:hAnsi="Times New Roman"/>
          <w:szCs w:val="22"/>
        </w:rPr>
        <w:t xml:space="preserve">ostatné osobné </w:t>
      </w:r>
      <w:r w:rsidR="0003598A">
        <w:rPr>
          <w:rFonts w:ascii="Times New Roman" w:hAnsi="Times New Roman"/>
          <w:szCs w:val="22"/>
        </w:rPr>
        <w:t>vyrov</w:t>
      </w:r>
      <w:r w:rsidR="00D836FD">
        <w:rPr>
          <w:rFonts w:ascii="Times New Roman" w:hAnsi="Times New Roman"/>
          <w:szCs w:val="22"/>
        </w:rPr>
        <w:t>n</w:t>
      </w:r>
      <w:r w:rsidR="0003598A">
        <w:rPr>
          <w:rFonts w:ascii="Times New Roman" w:hAnsi="Times New Roman"/>
          <w:szCs w:val="22"/>
        </w:rPr>
        <w:t>ania</w:t>
      </w:r>
      <w:r w:rsidR="00E0337D">
        <w:rPr>
          <w:rFonts w:ascii="Times New Roman" w:hAnsi="Times New Roman"/>
          <w:szCs w:val="22"/>
        </w:rPr>
        <w:t xml:space="preserve"> a </w:t>
      </w:r>
      <w:r w:rsidRPr="008A6AD1">
        <w:rPr>
          <w:rFonts w:ascii="Times New Roman" w:hAnsi="Times New Roman"/>
          <w:szCs w:val="22"/>
        </w:rPr>
        <w:t xml:space="preserve">súvisí predovšetkým s valorizáciou platov zamestnancov. Výdavky </w:t>
      </w:r>
      <w:r w:rsidR="00BF2946">
        <w:rPr>
          <w:rFonts w:ascii="Times New Roman" w:hAnsi="Times New Roman"/>
          <w:szCs w:val="22"/>
        </w:rPr>
        <w:br/>
      </w:r>
      <w:r w:rsidRPr="008A6AD1">
        <w:rPr>
          <w:rFonts w:ascii="Times New Roman" w:hAnsi="Times New Roman"/>
          <w:szCs w:val="22"/>
        </w:rPr>
        <w:t xml:space="preserve">na poistné a príspevok do poisťovní boli čerpané v tejto štruktúre: </w:t>
      </w:r>
    </w:p>
    <w:p w:rsidR="005C44D8" w:rsidRPr="008A6AD1" w:rsidP="005C44D8">
      <w:pPr>
        <w:bidi w:val="0"/>
        <w:rPr>
          <w:rFonts w:ascii="Times New Roman" w:hAnsi="Times New Roman"/>
          <w:szCs w:val="22"/>
        </w:rPr>
      </w:pPr>
      <w:r w:rsidRPr="008A6AD1">
        <w:rPr>
          <w:rFonts w:ascii="Times New Roman" w:hAnsi="Times New Roman"/>
          <w:b/>
          <w:i/>
          <w:szCs w:val="22"/>
        </w:rPr>
        <w:t>Výdavky na poistné do Sociálnej poisťovne</w:t>
      </w:r>
      <w:r w:rsidRPr="008A6AD1">
        <w:rPr>
          <w:rFonts w:ascii="Times New Roman" w:hAnsi="Times New Roman"/>
          <w:szCs w:val="22"/>
        </w:rPr>
        <w:t xml:space="preserve"> v sume 265 227 tis. eur</w:t>
      </w:r>
      <w:r w:rsidR="0035704D">
        <w:rPr>
          <w:rFonts w:ascii="Times New Roman" w:hAnsi="Times New Roman"/>
          <w:szCs w:val="22"/>
        </w:rPr>
        <w:t xml:space="preserve"> dosiahli medziročný nárast 8,0 </w:t>
      </w:r>
      <w:r w:rsidR="00E7520C">
        <w:rPr>
          <w:rFonts w:ascii="Times New Roman" w:hAnsi="Times New Roman"/>
          <w:szCs w:val="22"/>
        </w:rPr>
        <w:t>% (</w:t>
      </w:r>
      <w:r w:rsidRPr="008A6AD1">
        <w:rPr>
          <w:rFonts w:ascii="Times New Roman" w:hAnsi="Times New Roman"/>
          <w:szCs w:val="22"/>
        </w:rPr>
        <w:t>2016: 245 665 tis. eur)</w:t>
      </w:r>
      <w:r w:rsidR="00C35918">
        <w:rPr>
          <w:rFonts w:ascii="Times New Roman" w:hAnsi="Times New Roman"/>
          <w:szCs w:val="22"/>
        </w:rPr>
        <w:t>,</w:t>
      </w:r>
      <w:r w:rsidRPr="008A6AD1">
        <w:rPr>
          <w:rFonts w:ascii="Times New Roman" w:hAnsi="Times New Roman"/>
          <w:szCs w:val="22"/>
        </w:rPr>
        <w:t xml:space="preserve"> z toho najvyšší objem tvorilo po</w:t>
      </w:r>
      <w:r w:rsidR="00DF1A1A">
        <w:rPr>
          <w:rFonts w:ascii="Times New Roman" w:hAnsi="Times New Roman"/>
          <w:szCs w:val="22"/>
        </w:rPr>
        <w:t>istné na starobné poistenie 151 773 </w:t>
      </w:r>
      <w:r w:rsidRPr="008A6AD1">
        <w:rPr>
          <w:rFonts w:ascii="Times New Roman" w:hAnsi="Times New Roman"/>
          <w:szCs w:val="22"/>
        </w:rPr>
        <w:t>tis. eur, poistné do rezervného fondu solidarity predstavovalo 51 479 tis. eur a</w:t>
      </w:r>
      <w:r w:rsidR="00E0337D">
        <w:rPr>
          <w:rFonts w:ascii="Times New Roman" w:hAnsi="Times New Roman"/>
          <w:szCs w:val="22"/>
        </w:rPr>
        <w:t xml:space="preserve"> </w:t>
      </w:r>
      <w:r w:rsidRPr="008A6AD1">
        <w:rPr>
          <w:rFonts w:ascii="Times New Roman" w:hAnsi="Times New Roman"/>
          <w:szCs w:val="22"/>
        </w:rPr>
        <w:t xml:space="preserve">poistné </w:t>
      </w:r>
      <w:r w:rsidR="00BF2946">
        <w:rPr>
          <w:rFonts w:ascii="Times New Roman" w:hAnsi="Times New Roman"/>
          <w:szCs w:val="22"/>
        </w:rPr>
        <w:br/>
      </w:r>
      <w:r w:rsidRPr="008A6AD1">
        <w:rPr>
          <w:rFonts w:ascii="Times New Roman" w:hAnsi="Times New Roman"/>
          <w:szCs w:val="22"/>
        </w:rPr>
        <w:t xml:space="preserve">na invalidné poistenie sumu 30 084 tis. eur. </w:t>
      </w:r>
    </w:p>
    <w:p w:rsidR="005C44D8" w:rsidRPr="008A6AD1" w:rsidP="005C44D8">
      <w:pPr>
        <w:bidi w:val="0"/>
        <w:rPr>
          <w:rFonts w:ascii="Times New Roman" w:hAnsi="Times New Roman"/>
          <w:szCs w:val="22"/>
        </w:rPr>
      </w:pPr>
      <w:r w:rsidRPr="008A6AD1">
        <w:rPr>
          <w:rFonts w:ascii="Times New Roman" w:hAnsi="Times New Roman"/>
          <w:b/>
          <w:i/>
          <w:szCs w:val="22"/>
        </w:rPr>
        <w:t>Poistné na osobitné účty</w:t>
      </w:r>
      <w:r w:rsidRPr="008A6AD1">
        <w:rPr>
          <w:rFonts w:ascii="Times New Roman" w:hAnsi="Times New Roman"/>
          <w:szCs w:val="22"/>
        </w:rPr>
        <w:t xml:space="preserve"> v kapitolách štátneho rozpočtu, do pôsobnosti ktorých patrí riadenie ozbrojených, bezpečnostných a záchranných zložiek medziročne vzrástlo o 4,6 % a</w:t>
      </w:r>
      <w:r w:rsidR="00E0337D">
        <w:rPr>
          <w:rFonts w:ascii="Times New Roman" w:hAnsi="Times New Roman"/>
          <w:szCs w:val="22"/>
        </w:rPr>
        <w:t xml:space="preserve"> </w:t>
      </w:r>
      <w:r w:rsidRPr="008A6AD1">
        <w:rPr>
          <w:rFonts w:ascii="Times New Roman" w:hAnsi="Times New Roman"/>
          <w:szCs w:val="22"/>
        </w:rPr>
        <w:t>d</w:t>
      </w:r>
      <w:r w:rsidR="00DF1A1A">
        <w:rPr>
          <w:rFonts w:ascii="Times New Roman" w:hAnsi="Times New Roman"/>
          <w:szCs w:val="22"/>
        </w:rPr>
        <w:t>osiahlo sumu 200 318 tis. eur (</w:t>
      </w:r>
      <w:r w:rsidRPr="008A6AD1">
        <w:rPr>
          <w:rFonts w:ascii="Times New Roman" w:hAnsi="Times New Roman"/>
          <w:szCs w:val="22"/>
        </w:rPr>
        <w:t>2016: 191 546 tis. eur)</w:t>
      </w:r>
      <w:r w:rsidR="00C35918">
        <w:rPr>
          <w:rFonts w:ascii="Times New Roman" w:hAnsi="Times New Roman"/>
          <w:szCs w:val="22"/>
        </w:rPr>
        <w:t>,</w:t>
      </w:r>
      <w:r w:rsidRPr="008A6AD1">
        <w:rPr>
          <w:rFonts w:ascii="Times New Roman" w:hAnsi="Times New Roman"/>
          <w:szCs w:val="22"/>
        </w:rPr>
        <w:t xml:space="preserve"> z toho rozhodujúci podiel predstavovalo poistné </w:t>
      </w:r>
      <w:r w:rsidR="00BF2946">
        <w:rPr>
          <w:rFonts w:ascii="Times New Roman" w:hAnsi="Times New Roman"/>
          <w:szCs w:val="22"/>
        </w:rPr>
        <w:br/>
      </w:r>
      <w:r w:rsidRPr="008A6AD1">
        <w:rPr>
          <w:rFonts w:ascii="Times New Roman" w:hAnsi="Times New Roman"/>
          <w:szCs w:val="22"/>
        </w:rPr>
        <w:t xml:space="preserve">na výsluhový dôchodok v sume 155 506 tis. eur. Dôvodom nárastu poistného na osobitné účty je </w:t>
      </w:r>
      <w:r w:rsidR="00E0337D">
        <w:rPr>
          <w:rFonts w:ascii="Times New Roman" w:hAnsi="Times New Roman"/>
          <w:szCs w:val="22"/>
        </w:rPr>
        <w:t>najmä nárast výdavkov na mzdy a platy štátnych zamestnancov v</w:t>
      </w:r>
      <w:r w:rsidRPr="008A6AD1">
        <w:rPr>
          <w:rFonts w:ascii="Times New Roman" w:hAnsi="Times New Roman"/>
          <w:szCs w:val="22"/>
        </w:rPr>
        <w:t> služobnom pomere súvisiaci s ich valorizáciou, na ktorú poistné nadväzuje. Poistné na invalidný výsluhový dôchodok dosiahlo sumu 23 460 tis. eur a</w:t>
      </w:r>
      <w:r w:rsidR="00E0337D">
        <w:rPr>
          <w:rFonts w:ascii="Times New Roman" w:hAnsi="Times New Roman"/>
          <w:szCs w:val="22"/>
        </w:rPr>
        <w:t xml:space="preserve"> </w:t>
      </w:r>
      <w:r w:rsidRPr="008A6AD1">
        <w:rPr>
          <w:rFonts w:ascii="Times New Roman" w:hAnsi="Times New Roman"/>
          <w:szCs w:val="22"/>
        </w:rPr>
        <w:t xml:space="preserve">na nemocenské zabezpečenie 10 837 tis. eur. </w:t>
      </w:r>
    </w:p>
    <w:p w:rsidR="005C44D8" w:rsidRPr="008A6AD1" w:rsidP="005C44D8">
      <w:pPr>
        <w:bidi w:val="0"/>
        <w:rPr>
          <w:rFonts w:ascii="Times New Roman" w:hAnsi="Times New Roman"/>
          <w:szCs w:val="22"/>
        </w:rPr>
      </w:pPr>
      <w:r w:rsidRPr="008A6AD1">
        <w:rPr>
          <w:rFonts w:ascii="Times New Roman" w:hAnsi="Times New Roman"/>
          <w:b/>
          <w:i/>
          <w:szCs w:val="22"/>
        </w:rPr>
        <w:t>Poistné do zdravotných poisťovní</w:t>
      </w:r>
      <w:r w:rsidR="00E0337D">
        <w:rPr>
          <w:rFonts w:ascii="Times New Roman" w:hAnsi="Times New Roman"/>
          <w:szCs w:val="22"/>
        </w:rPr>
        <w:t xml:space="preserve"> medziročne vzrástlo o 7,7 % a dosiahlo sumu 196 494 tis. </w:t>
      </w:r>
      <w:r w:rsidRPr="008A6AD1">
        <w:rPr>
          <w:rFonts w:ascii="Times New Roman" w:hAnsi="Times New Roman"/>
          <w:szCs w:val="22"/>
        </w:rPr>
        <w:t>eur</w:t>
      </w:r>
      <w:r w:rsidR="0035704D">
        <w:rPr>
          <w:rFonts w:ascii="Times New Roman" w:hAnsi="Times New Roman"/>
          <w:szCs w:val="22"/>
        </w:rPr>
        <w:t xml:space="preserve"> (</w:t>
      </w:r>
      <w:r w:rsidRPr="008A6AD1">
        <w:rPr>
          <w:rFonts w:ascii="Times New Roman" w:hAnsi="Times New Roman"/>
          <w:szCs w:val="22"/>
        </w:rPr>
        <w:t>2016: 182 467 tis. eur); v tom do Všeobecnej zdravotnej poisťov</w:t>
      </w:r>
      <w:r w:rsidR="0035704D">
        <w:rPr>
          <w:rFonts w:ascii="Times New Roman" w:hAnsi="Times New Roman"/>
          <w:szCs w:val="22"/>
        </w:rPr>
        <w:t xml:space="preserve">ne bolo odvedených 153 423 tis. eur a </w:t>
      </w:r>
      <w:r w:rsidRPr="008A6AD1">
        <w:rPr>
          <w:rFonts w:ascii="Times New Roman" w:hAnsi="Times New Roman"/>
          <w:szCs w:val="22"/>
        </w:rPr>
        <w:t>do ostatných zdravotných poisťovní 43 071 tis. eur.</w:t>
      </w:r>
    </w:p>
    <w:p w:rsidR="005C44D8" w:rsidRPr="008A6AD1" w:rsidP="005C44D8">
      <w:pPr>
        <w:bidi w:val="0"/>
        <w:rPr>
          <w:rFonts w:ascii="Times New Roman" w:hAnsi="Times New Roman"/>
          <w:szCs w:val="22"/>
        </w:rPr>
      </w:pPr>
      <w:r w:rsidRPr="008A6AD1">
        <w:rPr>
          <w:rFonts w:ascii="Times New Roman" w:hAnsi="Times New Roman"/>
          <w:b/>
          <w:i/>
          <w:szCs w:val="22"/>
        </w:rPr>
        <w:t>Príspevok do doplnkových dôchodkových poisťovní</w:t>
      </w:r>
      <w:r w:rsidRPr="008A6AD1">
        <w:rPr>
          <w:rFonts w:ascii="Times New Roman" w:hAnsi="Times New Roman"/>
          <w:szCs w:val="22"/>
        </w:rPr>
        <w:t xml:space="preserve"> bol odve</w:t>
      </w:r>
      <w:r w:rsidR="0035704D">
        <w:rPr>
          <w:rFonts w:ascii="Times New Roman" w:hAnsi="Times New Roman"/>
          <w:szCs w:val="22"/>
        </w:rPr>
        <w:t>dený v sume 13</w:t>
      </w:r>
      <w:r w:rsidR="00A77A5A">
        <w:rPr>
          <w:rFonts w:ascii="Times New Roman" w:hAnsi="Times New Roman"/>
          <w:szCs w:val="22"/>
        </w:rPr>
        <w:t> </w:t>
      </w:r>
      <w:r w:rsidR="0035704D">
        <w:rPr>
          <w:rFonts w:ascii="Times New Roman" w:hAnsi="Times New Roman"/>
          <w:szCs w:val="22"/>
        </w:rPr>
        <w:t>319</w:t>
      </w:r>
      <w:r w:rsidR="00A77A5A">
        <w:rPr>
          <w:rFonts w:ascii="Times New Roman" w:hAnsi="Times New Roman"/>
          <w:szCs w:val="22"/>
        </w:rPr>
        <w:t> </w:t>
      </w:r>
      <w:r w:rsidR="0035704D">
        <w:rPr>
          <w:rFonts w:ascii="Times New Roman" w:hAnsi="Times New Roman"/>
          <w:szCs w:val="22"/>
        </w:rPr>
        <w:t>tis.</w:t>
      </w:r>
      <w:r w:rsidR="00A77A5A">
        <w:rPr>
          <w:rFonts w:ascii="Times New Roman" w:hAnsi="Times New Roman"/>
          <w:szCs w:val="22"/>
        </w:rPr>
        <w:t> </w:t>
      </w:r>
      <w:r w:rsidR="0035704D">
        <w:rPr>
          <w:rFonts w:ascii="Times New Roman" w:hAnsi="Times New Roman"/>
          <w:szCs w:val="22"/>
        </w:rPr>
        <w:t>eur (2016: </w:t>
      </w:r>
      <w:r w:rsidR="00A77A5A">
        <w:rPr>
          <w:rFonts w:ascii="Times New Roman" w:hAnsi="Times New Roman"/>
          <w:szCs w:val="22"/>
        </w:rPr>
        <w:t xml:space="preserve">12 135 tis. eur) a </w:t>
      </w:r>
      <w:r w:rsidRPr="008A6AD1">
        <w:rPr>
          <w:rFonts w:ascii="Times New Roman" w:hAnsi="Times New Roman"/>
          <w:szCs w:val="22"/>
        </w:rPr>
        <w:t xml:space="preserve">medziročne vzrástol o 9,8 %. </w:t>
      </w:r>
    </w:p>
    <w:p w:rsidR="005C44D8" w:rsidRPr="008A6AD1" w:rsidP="005C44D8">
      <w:pPr>
        <w:bidi w:val="0"/>
        <w:rPr>
          <w:rFonts w:ascii="Times New Roman" w:hAnsi="Times New Roman"/>
          <w:szCs w:val="22"/>
        </w:rPr>
      </w:pPr>
      <w:r w:rsidRPr="008A6AD1">
        <w:rPr>
          <w:rFonts w:ascii="Times New Roman" w:hAnsi="Times New Roman"/>
          <w:b/>
          <w:i/>
          <w:szCs w:val="22"/>
        </w:rPr>
        <w:t>Príspevky na starobné dôchodkové sporenie</w:t>
      </w:r>
      <w:r w:rsidRPr="008A6AD1">
        <w:rPr>
          <w:rFonts w:ascii="Times New Roman" w:hAnsi="Times New Roman"/>
          <w:szCs w:val="22"/>
        </w:rPr>
        <w:t xml:space="preserve"> boli odvedené v sume 1</w:t>
      </w:r>
      <w:r w:rsidR="0035704D">
        <w:rPr>
          <w:rFonts w:ascii="Times New Roman" w:hAnsi="Times New Roman"/>
          <w:szCs w:val="22"/>
        </w:rPr>
        <w:t>56 tis. eur (</w:t>
      </w:r>
      <w:r w:rsidRPr="008A6AD1">
        <w:rPr>
          <w:rFonts w:ascii="Times New Roman" w:hAnsi="Times New Roman"/>
          <w:szCs w:val="22"/>
        </w:rPr>
        <w:t>2016: 197 tis. eur) a</w:t>
      </w:r>
      <w:r w:rsidR="0035704D">
        <w:rPr>
          <w:rFonts w:ascii="Times New Roman" w:hAnsi="Times New Roman"/>
          <w:szCs w:val="22"/>
        </w:rPr>
        <w:t xml:space="preserve"> </w:t>
      </w:r>
      <w:r w:rsidRPr="008A6AD1">
        <w:rPr>
          <w:rFonts w:ascii="Times New Roman" w:hAnsi="Times New Roman"/>
          <w:szCs w:val="22"/>
        </w:rPr>
        <w:t xml:space="preserve">medziročne poklesli o 20,8 %. </w:t>
      </w:r>
    </w:p>
    <w:p w:rsidR="005C44D8" w:rsidRPr="00366890" w:rsidP="00E0337D">
      <w:pPr>
        <w:pStyle w:val="ListParagraph"/>
        <w:tabs>
          <w:tab w:val="left" w:pos="284"/>
        </w:tabs>
        <w:bidi w:val="0"/>
        <w:spacing w:after="120" w:line="336" w:lineRule="auto"/>
        <w:ind w:left="0"/>
        <w:jc w:val="both"/>
        <w:rPr>
          <w:rFonts w:ascii="Times New Roman" w:hAnsi="Times New Roman"/>
          <w:b/>
        </w:rPr>
      </w:pPr>
      <w:r w:rsidRPr="00366890">
        <w:rPr>
          <w:rFonts w:ascii="Times New Roman" w:hAnsi="Times New Roman"/>
          <w:b/>
        </w:rPr>
        <w:t>Tovary a služby</w:t>
      </w:r>
    </w:p>
    <w:p w:rsidR="005C44D8" w:rsidRPr="00A77A5A" w:rsidP="005C44D8">
      <w:pPr>
        <w:suppressAutoHyphens/>
        <w:bidi w:val="0"/>
        <w:rPr>
          <w:rFonts w:ascii="Times New Roman" w:hAnsi="Times New Roman"/>
          <w:b/>
          <w:szCs w:val="22"/>
        </w:rPr>
      </w:pPr>
      <w:r w:rsidRPr="000622D4">
        <w:rPr>
          <w:rFonts w:ascii="Times New Roman" w:hAnsi="Times New Roman"/>
          <w:szCs w:val="22"/>
        </w:rPr>
        <w:t xml:space="preserve">V štátnom rozpočte boli formou tovarov a služieb rozpočtované výdavky v sume </w:t>
      </w:r>
      <w:r>
        <w:rPr>
          <w:rFonts w:ascii="Times New Roman" w:hAnsi="Times New Roman"/>
          <w:szCs w:val="22"/>
        </w:rPr>
        <w:t>2 150 137 </w:t>
      </w:r>
      <w:r w:rsidRPr="000622D4">
        <w:rPr>
          <w:rFonts w:ascii="Times New Roman" w:hAnsi="Times New Roman"/>
          <w:szCs w:val="22"/>
        </w:rPr>
        <w:t>tis. eur. V skutočnom čerpaní 1</w:t>
      </w:r>
      <w:r>
        <w:rPr>
          <w:rFonts w:ascii="Times New Roman" w:hAnsi="Times New Roman"/>
          <w:szCs w:val="22"/>
        </w:rPr>
        <w:t> </w:t>
      </w:r>
      <w:r w:rsidRPr="000622D4">
        <w:rPr>
          <w:rFonts w:ascii="Times New Roman" w:hAnsi="Times New Roman"/>
          <w:szCs w:val="22"/>
        </w:rPr>
        <w:t>4</w:t>
      </w:r>
      <w:r>
        <w:rPr>
          <w:rFonts w:ascii="Times New Roman" w:hAnsi="Times New Roman"/>
          <w:szCs w:val="22"/>
        </w:rPr>
        <w:t>8</w:t>
      </w:r>
      <w:r w:rsidRPr="000622D4">
        <w:rPr>
          <w:rFonts w:ascii="Times New Roman" w:hAnsi="Times New Roman"/>
          <w:szCs w:val="22"/>
        </w:rPr>
        <w:t xml:space="preserve">3 704 tis. eur, ktoré vo vzťahu k schválenému rozpočtu predstavuje pokles o </w:t>
      </w:r>
      <w:r>
        <w:rPr>
          <w:rFonts w:ascii="Times New Roman" w:hAnsi="Times New Roman"/>
          <w:szCs w:val="22"/>
        </w:rPr>
        <w:t>3</w:t>
      </w:r>
      <w:r w:rsidRPr="000622D4">
        <w:rPr>
          <w:rFonts w:ascii="Times New Roman" w:hAnsi="Times New Roman"/>
          <w:szCs w:val="22"/>
        </w:rPr>
        <w:t>1,</w:t>
      </w:r>
      <w:r>
        <w:rPr>
          <w:rFonts w:ascii="Times New Roman" w:hAnsi="Times New Roman"/>
          <w:szCs w:val="22"/>
        </w:rPr>
        <w:t>0</w:t>
      </w:r>
      <w:r w:rsidRPr="000622D4">
        <w:rPr>
          <w:rFonts w:ascii="Times New Roman" w:hAnsi="Times New Roman"/>
          <w:szCs w:val="22"/>
        </w:rPr>
        <w:t xml:space="preserve"> %, sa odrazila najmä skutočnosť, že v rámci služieb sa rozpočtujú aj zálohové platby na projekty EÚ a prostriedky štátneho rozpočtu na spolufinancovanie projektov v súlade s koncepciou finančného riadenia štrukturálnych fondov a</w:t>
      </w:r>
      <w:r w:rsidR="00A77A5A">
        <w:rPr>
          <w:rFonts w:ascii="Times New Roman" w:hAnsi="Times New Roman"/>
          <w:szCs w:val="22"/>
        </w:rPr>
        <w:t xml:space="preserve"> </w:t>
      </w:r>
      <w:r w:rsidRPr="000622D4">
        <w:rPr>
          <w:rFonts w:ascii="Times New Roman" w:hAnsi="Times New Roman"/>
          <w:szCs w:val="22"/>
        </w:rPr>
        <w:t xml:space="preserve">Kohézneho fondu. Zúčtovanie poskytnutých zálohových platieb sa však vykonáva na príslušných položkách rozpočtovej klasifikácie podľa skutočne realizovaných výdavkov. Úprava rozpočtových výdavkov súvisí s celkovým očakávaným príjmom z prostriedkov EÚ v konkrétnom </w:t>
      </w:r>
      <w:r w:rsidRPr="00A77A5A">
        <w:rPr>
          <w:rFonts w:ascii="Times New Roman" w:hAnsi="Times New Roman"/>
          <w:szCs w:val="22"/>
        </w:rPr>
        <w:t>roku.</w:t>
      </w:r>
    </w:p>
    <w:p w:rsidR="005C44D8" w:rsidRPr="00366890" w:rsidP="005C44D8">
      <w:pPr>
        <w:suppressAutoHyphens/>
        <w:bidi w:val="0"/>
        <w:rPr>
          <w:rFonts w:ascii="Times New Roman" w:hAnsi="Times New Roman"/>
          <w:szCs w:val="22"/>
        </w:rPr>
      </w:pPr>
      <w:r w:rsidRPr="00366890">
        <w:rPr>
          <w:rFonts w:ascii="Times New Roman" w:hAnsi="Times New Roman"/>
          <w:szCs w:val="22"/>
        </w:rPr>
        <w:t xml:space="preserve">Z výdavkov vyčlenených na tovary a služby sa financovali nákupy štandardných tovarov a služieb, ktoré si vyžaduje prevádzka jednotlivých úradov (energie, cestovné, dopravné, údržba a opravy, prenájom hnuteľných a nehnuteľných vecí, poštové a telekomunikačné služby a pod). Ich štruktúra je obsiahnutá v nasledovnom prehľade: </w:t>
      </w:r>
    </w:p>
    <w:tbl>
      <w:tblPr>
        <w:tblStyle w:val="TableNormal"/>
        <w:tblW w:w="8834" w:type="dxa"/>
        <w:tblCellMar>
          <w:left w:w="70" w:type="dxa"/>
          <w:right w:w="70" w:type="dxa"/>
        </w:tblCellMar>
        <w:tblLook w:val="04A0"/>
      </w:tblPr>
      <w:tblGrid>
        <w:gridCol w:w="3465"/>
        <w:gridCol w:w="967"/>
        <w:gridCol w:w="1000"/>
        <w:gridCol w:w="935"/>
        <w:gridCol w:w="1025"/>
        <w:gridCol w:w="829"/>
        <w:gridCol w:w="613"/>
      </w:tblGrid>
      <w:tr>
        <w:tblPrEx>
          <w:tblW w:w="8834" w:type="dxa"/>
          <w:tblCellMar>
            <w:left w:w="70" w:type="dxa"/>
            <w:right w:w="70" w:type="dxa"/>
          </w:tblCellMar>
          <w:tblLook w:val="04A0"/>
        </w:tblPrEx>
        <w:trPr>
          <w:trHeight w:val="305"/>
        </w:trPr>
        <w:tc>
          <w:tcPr>
            <w:tcW w:w="8834" w:type="dxa"/>
            <w:gridSpan w:val="7"/>
            <w:tcBorders>
              <w:top w:val="nil"/>
              <w:left w:val="nil"/>
              <w:bottom w:val="nil"/>
              <w:right w:val="nil"/>
            </w:tcBorders>
            <w:shd w:val="clear" w:color="000000" w:fill="000000"/>
            <w:textDirection w:val="lrTb"/>
            <w:vAlign w:val="center"/>
            <w:hideMark/>
          </w:tcPr>
          <w:p w:rsidR="005C44D8" w:rsidRPr="004E60BF" w:rsidP="00BF2946">
            <w:pPr>
              <w:bidi w:val="0"/>
              <w:spacing w:after="0" w:line="240" w:lineRule="auto"/>
              <w:jc w:val="left"/>
              <w:rPr>
                <w:rFonts w:ascii="Times New Roman" w:hAnsi="Times New Roman"/>
                <w:b/>
                <w:bCs/>
                <w:color w:val="FFFFFF"/>
                <w:sz w:val="18"/>
                <w:szCs w:val="18"/>
                <w:lang w:eastAsia="sk-SK"/>
              </w:rPr>
            </w:pPr>
            <w:r w:rsidRPr="004E60BF">
              <w:rPr>
                <w:rFonts w:ascii="Times New Roman" w:hAnsi="Times New Roman"/>
                <w:b/>
                <w:bCs/>
                <w:color w:val="FFFFFF"/>
                <w:sz w:val="18"/>
                <w:szCs w:val="18"/>
                <w:lang w:eastAsia="sk-SK"/>
              </w:rPr>
              <w:t xml:space="preserve">Tovary a služby                                                                                                          </w:t>
            </w:r>
            <w:r>
              <w:rPr>
                <w:rFonts w:ascii="Times New Roman" w:hAnsi="Times New Roman"/>
                <w:b/>
                <w:bCs/>
                <w:color w:val="FFFFFF"/>
                <w:sz w:val="18"/>
                <w:szCs w:val="18"/>
                <w:lang w:eastAsia="sk-SK"/>
              </w:rPr>
              <w:t xml:space="preserve">                         </w:t>
            </w:r>
            <w:r w:rsidR="00BF2946">
              <w:rPr>
                <w:rFonts w:ascii="Times New Roman" w:hAnsi="Times New Roman"/>
                <w:b/>
                <w:bCs/>
                <w:color w:val="FFFFFF"/>
                <w:sz w:val="18"/>
                <w:szCs w:val="18"/>
                <w:lang w:eastAsia="sk-SK"/>
              </w:rPr>
              <w:t xml:space="preserve">    </w:t>
            </w:r>
            <w:r w:rsidRPr="004E60BF">
              <w:rPr>
                <w:rFonts w:ascii="Times New Roman" w:hAnsi="Times New Roman"/>
                <w:b/>
                <w:bCs/>
                <w:color w:val="FFFFFF"/>
                <w:sz w:val="18"/>
                <w:szCs w:val="18"/>
                <w:lang w:eastAsia="sk-SK"/>
              </w:rPr>
              <w:t xml:space="preserve">              v tis. eur</w:t>
            </w:r>
          </w:p>
        </w:tc>
      </w:tr>
      <w:tr>
        <w:tblPrEx>
          <w:tblW w:w="8834" w:type="dxa"/>
          <w:tblCellMar>
            <w:left w:w="70" w:type="dxa"/>
            <w:right w:w="70" w:type="dxa"/>
          </w:tblCellMar>
          <w:tblLook w:val="04A0"/>
        </w:tblPrEx>
        <w:trPr>
          <w:trHeight w:val="316"/>
        </w:trPr>
        <w:tc>
          <w:tcPr>
            <w:tcW w:w="3491" w:type="dxa"/>
            <w:vMerge w:val="restart"/>
            <w:tcBorders>
              <w:top w:val="nil"/>
              <w:left w:val="nil"/>
              <w:bottom w:val="nil"/>
              <w:right w:val="nil"/>
            </w:tcBorders>
            <w:shd w:val="clear" w:color="000000" w:fill="BFBFBF"/>
            <w:textDirection w:val="lrTb"/>
            <w:vAlign w:val="center"/>
            <w:hideMark/>
          </w:tcPr>
          <w:p w:rsidR="005C44D8" w:rsidRPr="004E60BF" w:rsidP="00314FE3">
            <w:pPr>
              <w:bidi w:val="0"/>
              <w:spacing w:after="0" w:line="240" w:lineRule="auto"/>
              <w:jc w:val="lef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 xml:space="preserve"> </w:t>
            </w:r>
          </w:p>
        </w:tc>
        <w:tc>
          <w:tcPr>
            <w:tcW w:w="1967" w:type="dxa"/>
            <w:gridSpan w:val="2"/>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Skutočnosť</w:t>
            </w:r>
          </w:p>
        </w:tc>
        <w:tc>
          <w:tcPr>
            <w:tcW w:w="935"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Rozpočet</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Skutočnosť</w:t>
            </w:r>
          </w:p>
        </w:tc>
        <w:tc>
          <w:tcPr>
            <w:tcW w:w="1440" w:type="dxa"/>
            <w:gridSpan w:val="2"/>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Rozdiel</w:t>
            </w:r>
          </w:p>
        </w:tc>
      </w:tr>
      <w:tr>
        <w:tblPrEx>
          <w:tblW w:w="8834" w:type="dxa"/>
          <w:tblCellMar>
            <w:left w:w="70" w:type="dxa"/>
            <w:right w:w="70" w:type="dxa"/>
          </w:tblCellMar>
          <w:tblLook w:val="04A0"/>
        </w:tblPrEx>
        <w:trPr>
          <w:trHeight w:val="316"/>
        </w:trPr>
        <w:tc>
          <w:tcPr>
            <w:tcW w:w="3491" w:type="dxa"/>
            <w:vMerge/>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b/>
                <w:bCs/>
                <w:color w:val="000000"/>
                <w:sz w:val="18"/>
                <w:szCs w:val="18"/>
                <w:lang w:eastAsia="sk-SK"/>
              </w:rPr>
            </w:pPr>
          </w:p>
        </w:tc>
        <w:tc>
          <w:tcPr>
            <w:tcW w:w="967"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2015</w:t>
            </w:r>
          </w:p>
        </w:tc>
        <w:tc>
          <w:tcPr>
            <w:tcW w:w="1000"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2016</w:t>
            </w:r>
          </w:p>
        </w:tc>
        <w:tc>
          <w:tcPr>
            <w:tcW w:w="935"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2017</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2017</w:t>
            </w:r>
          </w:p>
        </w:tc>
        <w:tc>
          <w:tcPr>
            <w:tcW w:w="82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v tis. eur</w:t>
            </w:r>
          </w:p>
        </w:tc>
        <w:tc>
          <w:tcPr>
            <w:tcW w:w="610"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v %</w:t>
            </w:r>
          </w:p>
        </w:tc>
      </w:tr>
      <w:tr>
        <w:tblPrEx>
          <w:tblW w:w="8834" w:type="dxa"/>
          <w:tblCellMar>
            <w:left w:w="70" w:type="dxa"/>
            <w:right w:w="70" w:type="dxa"/>
          </w:tblCellMar>
          <w:tblLook w:val="04A0"/>
        </w:tblPrEx>
        <w:trPr>
          <w:trHeight w:val="316"/>
        </w:trPr>
        <w:tc>
          <w:tcPr>
            <w:tcW w:w="3491" w:type="dxa"/>
            <w:tcBorders>
              <w:top w:val="nil"/>
              <w:left w:val="nil"/>
              <w:bottom w:val="single" w:sz="8" w:space="0" w:color="auto"/>
              <w:right w:val="nil"/>
            </w:tcBorders>
            <w:shd w:val="clear" w:color="000000" w:fill="BFBFBF"/>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 </w:t>
            </w:r>
          </w:p>
        </w:tc>
        <w:tc>
          <w:tcPr>
            <w:tcW w:w="967"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1</w:t>
            </w:r>
          </w:p>
        </w:tc>
        <w:tc>
          <w:tcPr>
            <w:tcW w:w="1000"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w:t>
            </w:r>
          </w:p>
        </w:tc>
        <w:tc>
          <w:tcPr>
            <w:tcW w:w="935"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3</w:t>
            </w:r>
          </w:p>
        </w:tc>
        <w:tc>
          <w:tcPr>
            <w:tcW w:w="999"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4</w:t>
            </w:r>
          </w:p>
        </w:tc>
        <w:tc>
          <w:tcPr>
            <w:tcW w:w="829"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5=4-3</w:t>
            </w:r>
          </w:p>
        </w:tc>
        <w:tc>
          <w:tcPr>
            <w:tcW w:w="610" w:type="dxa"/>
            <w:tcBorders>
              <w:top w:val="nil"/>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center"/>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6=4-3</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Služby</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728 269</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603 117</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1 260 781</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554 882</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-705 899</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-56,0</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Rutinná a štandardná údržba</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233 025</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233 491</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221 761</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287 430</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65 669</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29,6</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Materiál</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186 366</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176 356</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226 953</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202 716</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-24 237</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-10,7</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Energie, voda a komunikácie</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183 302</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176 436</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174 172</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175 935</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1 763</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1,0</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Nájomné za nájom nehnuteľných a hnuteľných vecí</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163 946</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163 352</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164 131</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164 733</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602</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0,4</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Dopravné</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61 810</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69 369</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70 444</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62 949</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-7 495</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-10,6</w:t>
            </w:r>
          </w:p>
        </w:tc>
      </w:tr>
      <w:tr>
        <w:tblPrEx>
          <w:tblW w:w="8834" w:type="dxa"/>
          <w:tblCellMar>
            <w:left w:w="70" w:type="dxa"/>
            <w:right w:w="70" w:type="dxa"/>
          </w:tblCellMar>
          <w:tblLook w:val="04A0"/>
        </w:tblPrEx>
        <w:trPr>
          <w:trHeight w:val="304"/>
        </w:trPr>
        <w:tc>
          <w:tcPr>
            <w:tcW w:w="3491" w:type="dxa"/>
            <w:tcBorders>
              <w:top w:val="nil"/>
              <w:left w:val="nil"/>
              <w:bottom w:val="nil"/>
              <w:right w:val="nil"/>
            </w:tcBorders>
            <w:textDirection w:val="lrTb"/>
            <w:vAlign w:val="center"/>
            <w:hideMark/>
          </w:tcPr>
          <w:p w:rsidR="005C44D8" w:rsidRPr="004E60BF" w:rsidP="00314FE3">
            <w:pPr>
              <w:bidi w:val="0"/>
              <w:spacing w:after="0" w:line="240" w:lineRule="auto"/>
              <w:jc w:val="left"/>
              <w:rPr>
                <w:rFonts w:ascii="Times New Roman" w:hAnsi="Times New Roman"/>
                <w:color w:val="000000"/>
                <w:sz w:val="18"/>
                <w:szCs w:val="18"/>
                <w:lang w:eastAsia="sk-SK"/>
              </w:rPr>
            </w:pPr>
            <w:r w:rsidRPr="004E60BF">
              <w:rPr>
                <w:rFonts w:ascii="Times New Roman" w:hAnsi="Times New Roman"/>
                <w:color w:val="000000"/>
                <w:sz w:val="18"/>
                <w:szCs w:val="18"/>
                <w:lang w:eastAsia="sk-SK"/>
              </w:rPr>
              <w:t>Cestovné náhrady</w:t>
            </w:r>
          </w:p>
        </w:tc>
        <w:tc>
          <w:tcPr>
            <w:tcW w:w="967"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33 449</w:t>
            </w:r>
          </w:p>
        </w:tc>
        <w:tc>
          <w:tcPr>
            <w:tcW w:w="100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37 233</w:t>
            </w:r>
          </w:p>
        </w:tc>
        <w:tc>
          <w:tcPr>
            <w:tcW w:w="935"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31 895</w:t>
            </w:r>
          </w:p>
        </w:tc>
        <w:tc>
          <w:tcPr>
            <w:tcW w:w="999" w:type="dxa"/>
            <w:tcBorders>
              <w:top w:val="nil"/>
              <w:left w:val="nil"/>
              <w:bottom w:val="nil"/>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35 059</w:t>
            </w:r>
          </w:p>
        </w:tc>
        <w:tc>
          <w:tcPr>
            <w:tcW w:w="829"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3 164</w:t>
            </w:r>
          </w:p>
        </w:tc>
        <w:tc>
          <w:tcPr>
            <w:tcW w:w="610" w:type="dxa"/>
            <w:tcBorders>
              <w:top w:val="nil"/>
              <w:left w:val="nil"/>
              <w:bottom w:val="nil"/>
              <w:right w:val="nil"/>
            </w:tcBorders>
            <w:noWrap/>
            <w:textDirection w:val="lrTb"/>
            <w:vAlign w:val="center"/>
            <w:hideMark/>
          </w:tcPr>
          <w:p w:rsidR="005C44D8" w:rsidRPr="004E60BF" w:rsidP="00314FE3">
            <w:pPr>
              <w:bidi w:val="0"/>
              <w:spacing w:after="0" w:line="240" w:lineRule="auto"/>
              <w:jc w:val="right"/>
              <w:rPr>
                <w:rFonts w:ascii="Times New Roman" w:hAnsi="Times New Roman"/>
                <w:color w:val="000000"/>
                <w:sz w:val="18"/>
                <w:szCs w:val="18"/>
                <w:lang w:eastAsia="sk-SK"/>
              </w:rPr>
            </w:pPr>
            <w:r w:rsidRPr="004E60BF">
              <w:rPr>
                <w:rFonts w:ascii="Times New Roman" w:hAnsi="Times New Roman"/>
                <w:color w:val="000000"/>
                <w:sz w:val="18"/>
                <w:szCs w:val="18"/>
                <w:lang w:eastAsia="sk-SK"/>
              </w:rPr>
              <w:t>9,9</w:t>
            </w:r>
          </w:p>
        </w:tc>
      </w:tr>
      <w:tr>
        <w:tblPrEx>
          <w:tblW w:w="8834" w:type="dxa"/>
          <w:tblCellMar>
            <w:left w:w="70" w:type="dxa"/>
            <w:right w:w="70" w:type="dxa"/>
          </w:tblCellMar>
          <w:tblLook w:val="04A0"/>
        </w:tblPrEx>
        <w:trPr>
          <w:trHeight w:val="304"/>
        </w:trPr>
        <w:tc>
          <w:tcPr>
            <w:tcW w:w="3491" w:type="dxa"/>
            <w:tcBorders>
              <w:top w:val="single" w:sz="8" w:space="0" w:color="auto"/>
              <w:left w:val="nil"/>
              <w:bottom w:val="single" w:sz="8" w:space="0" w:color="auto"/>
              <w:right w:val="nil"/>
            </w:tcBorders>
            <w:textDirection w:val="lrTb"/>
            <w:vAlign w:val="center"/>
            <w:hideMark/>
          </w:tcPr>
          <w:p w:rsidR="005C44D8" w:rsidRPr="004E60BF" w:rsidP="00314FE3">
            <w:pPr>
              <w:bidi w:val="0"/>
              <w:spacing w:after="0" w:line="240" w:lineRule="auto"/>
              <w:jc w:val="lef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Tovary a služby spolu</w:t>
            </w:r>
          </w:p>
        </w:tc>
        <w:tc>
          <w:tcPr>
            <w:tcW w:w="967" w:type="dxa"/>
            <w:tcBorders>
              <w:top w:val="single" w:sz="8" w:space="0" w:color="auto"/>
              <w:left w:val="nil"/>
              <w:bottom w:val="single" w:sz="8" w:space="0" w:color="auto"/>
              <w:right w:val="nil"/>
            </w:tcBorders>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1 590 167</w:t>
            </w:r>
          </w:p>
        </w:tc>
        <w:tc>
          <w:tcPr>
            <w:tcW w:w="1000" w:type="dxa"/>
            <w:tcBorders>
              <w:top w:val="single" w:sz="8" w:space="0" w:color="auto"/>
              <w:left w:val="nil"/>
              <w:bottom w:val="single" w:sz="8" w:space="0" w:color="auto"/>
              <w:right w:val="nil"/>
            </w:tcBorders>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1 459 354</w:t>
            </w:r>
          </w:p>
        </w:tc>
        <w:tc>
          <w:tcPr>
            <w:tcW w:w="935" w:type="dxa"/>
            <w:tcBorders>
              <w:top w:val="single" w:sz="8" w:space="0" w:color="auto"/>
              <w:left w:val="nil"/>
              <w:bottom w:val="single" w:sz="8" w:space="0" w:color="auto"/>
              <w:right w:val="nil"/>
            </w:tcBorders>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2 150 137</w:t>
            </w:r>
          </w:p>
        </w:tc>
        <w:tc>
          <w:tcPr>
            <w:tcW w:w="999" w:type="dxa"/>
            <w:tcBorders>
              <w:top w:val="single" w:sz="8" w:space="0" w:color="auto"/>
              <w:left w:val="nil"/>
              <w:bottom w:val="single" w:sz="8" w:space="0" w:color="auto"/>
              <w:right w:val="nil"/>
            </w:tcBorders>
            <w:shd w:val="clear" w:color="000000" w:fill="BFBFBF"/>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1 483 704</w:t>
            </w:r>
          </w:p>
        </w:tc>
        <w:tc>
          <w:tcPr>
            <w:tcW w:w="829" w:type="dxa"/>
            <w:tcBorders>
              <w:top w:val="single" w:sz="8" w:space="0" w:color="auto"/>
              <w:left w:val="nil"/>
              <w:bottom w:val="single" w:sz="8" w:space="0" w:color="auto"/>
              <w:right w:val="nil"/>
            </w:tcBorders>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-666 433</w:t>
            </w:r>
          </w:p>
        </w:tc>
        <w:tc>
          <w:tcPr>
            <w:tcW w:w="610" w:type="dxa"/>
            <w:tcBorders>
              <w:top w:val="single" w:sz="8" w:space="0" w:color="auto"/>
              <w:left w:val="nil"/>
              <w:bottom w:val="single" w:sz="8" w:space="0" w:color="auto"/>
              <w:right w:val="nil"/>
            </w:tcBorders>
            <w:noWrap/>
            <w:textDirection w:val="lrTb"/>
            <w:vAlign w:val="center"/>
            <w:hideMark/>
          </w:tcPr>
          <w:p w:rsidR="005C44D8" w:rsidRPr="004E60BF" w:rsidP="00314FE3">
            <w:pPr>
              <w:bidi w:val="0"/>
              <w:spacing w:after="0" w:line="240" w:lineRule="auto"/>
              <w:jc w:val="right"/>
              <w:rPr>
                <w:rFonts w:ascii="Times New Roman" w:hAnsi="Times New Roman"/>
                <w:b/>
                <w:bCs/>
                <w:color w:val="000000"/>
                <w:sz w:val="18"/>
                <w:szCs w:val="18"/>
                <w:lang w:eastAsia="sk-SK"/>
              </w:rPr>
            </w:pPr>
            <w:r w:rsidRPr="004E60BF">
              <w:rPr>
                <w:rFonts w:ascii="Times New Roman" w:hAnsi="Times New Roman"/>
                <w:b/>
                <w:bCs/>
                <w:color w:val="000000"/>
                <w:sz w:val="18"/>
                <w:szCs w:val="18"/>
                <w:lang w:eastAsia="sk-SK"/>
              </w:rPr>
              <w:t>-31,0</w:t>
            </w:r>
          </w:p>
        </w:tc>
      </w:tr>
    </w:tbl>
    <w:p w:rsidR="005C44D8" w:rsidRPr="00D13C65" w:rsidP="005C44D8">
      <w:pPr>
        <w:suppressAutoHyphens/>
        <w:bidi w:val="0"/>
        <w:jc w:val="right"/>
        <w:rPr>
          <w:rFonts w:ascii="Times New Roman" w:hAnsi="Times New Roman"/>
          <w:sz w:val="18"/>
          <w:szCs w:val="18"/>
        </w:rPr>
      </w:pPr>
      <w:r>
        <w:rPr>
          <w:rFonts w:ascii="Times New Roman" w:hAnsi="Times New Roman"/>
          <w:sz w:val="18"/>
          <w:szCs w:val="18"/>
        </w:rPr>
        <w:t xml:space="preserve">      </w:t>
      </w:r>
      <w:r w:rsidRPr="00D13C65">
        <w:rPr>
          <w:rFonts w:ascii="Times New Roman" w:hAnsi="Times New Roman"/>
          <w:sz w:val="18"/>
          <w:szCs w:val="18"/>
        </w:rPr>
        <w:t>Zdroj: MF SR</w:t>
      </w:r>
    </w:p>
    <w:p w:rsidR="0003598A" w:rsidP="00D836FD">
      <w:pPr>
        <w:bidi w:val="0"/>
        <w:rPr>
          <w:rFonts w:ascii="Times New Roman" w:hAnsi="Times New Roman"/>
          <w:szCs w:val="22"/>
        </w:rPr>
      </w:pPr>
      <w:r w:rsidRPr="00E518AD">
        <w:rPr>
          <w:rFonts w:ascii="Times New Roman" w:hAnsi="Times New Roman"/>
          <w:szCs w:val="22"/>
        </w:rPr>
        <w:t xml:space="preserve">Z celkových výdavkov za </w:t>
      </w:r>
      <w:r w:rsidRPr="00E518AD">
        <w:rPr>
          <w:rFonts w:ascii="Times New Roman" w:hAnsi="Times New Roman"/>
          <w:b/>
          <w:i/>
          <w:szCs w:val="22"/>
        </w:rPr>
        <w:t xml:space="preserve">služby </w:t>
      </w:r>
      <w:r w:rsidRPr="00E518AD">
        <w:rPr>
          <w:rFonts w:ascii="Times New Roman" w:hAnsi="Times New Roman"/>
          <w:szCs w:val="22"/>
        </w:rPr>
        <w:t>realizovaných vo výške</w:t>
      </w:r>
      <w:r w:rsidRPr="00E518AD">
        <w:rPr>
          <w:rFonts w:ascii="Times New Roman" w:hAnsi="Times New Roman"/>
        </w:rPr>
        <w:t xml:space="preserve"> </w:t>
      </w:r>
      <w:r>
        <w:rPr>
          <w:rFonts w:ascii="Times New Roman" w:hAnsi="Times New Roman"/>
        </w:rPr>
        <w:t>554 882 </w:t>
      </w:r>
      <w:r w:rsidRPr="00E518AD">
        <w:rPr>
          <w:rFonts w:ascii="Times New Roman" w:hAnsi="Times New Roman"/>
          <w:szCs w:val="22"/>
        </w:rPr>
        <w:t>tis. eur</w:t>
      </w:r>
      <w:r w:rsidRPr="00E518AD">
        <w:rPr>
          <w:rFonts w:ascii="Times New Roman" w:hAnsi="Times New Roman"/>
          <w:i/>
          <w:szCs w:val="22"/>
        </w:rPr>
        <w:t xml:space="preserve"> </w:t>
      </w:r>
      <w:r w:rsidRPr="00E518AD">
        <w:rPr>
          <w:rFonts w:ascii="Times New Roman" w:hAnsi="Times New Roman"/>
          <w:szCs w:val="22"/>
        </w:rPr>
        <w:t>boli najvyššie výdavky orientované</w:t>
      </w:r>
      <w:r>
        <w:rPr>
          <w:rFonts w:ascii="Times New Roman" w:hAnsi="Times New Roman"/>
          <w:szCs w:val="22"/>
        </w:rPr>
        <w:t xml:space="preserve"> </w:t>
      </w:r>
      <w:r w:rsidRPr="00E518AD">
        <w:rPr>
          <w:rFonts w:ascii="Times New Roman" w:hAnsi="Times New Roman"/>
          <w:szCs w:val="22"/>
        </w:rPr>
        <w:t xml:space="preserve">na </w:t>
      </w:r>
      <w:r w:rsidRPr="00E518AD">
        <w:rPr>
          <w:rFonts w:ascii="Times New Roman" w:hAnsi="Times New Roman"/>
          <w:i/>
          <w:szCs w:val="22"/>
        </w:rPr>
        <w:t>špeciálne služby</w:t>
      </w:r>
      <w:r w:rsidRPr="00E518AD">
        <w:rPr>
          <w:rFonts w:ascii="Times New Roman" w:hAnsi="Times New Roman"/>
          <w:szCs w:val="22"/>
        </w:rPr>
        <w:t>, vo výške</w:t>
      </w:r>
      <w:r w:rsidRPr="00E518AD">
        <w:rPr>
          <w:rFonts w:ascii="Times New Roman" w:hAnsi="Times New Roman"/>
          <w:i/>
          <w:szCs w:val="22"/>
        </w:rPr>
        <w:t xml:space="preserve"> </w:t>
      </w:r>
      <w:r>
        <w:rPr>
          <w:rFonts w:ascii="Times New Roman" w:hAnsi="Times New Roman"/>
          <w:szCs w:val="22"/>
        </w:rPr>
        <w:t>11</w:t>
      </w:r>
      <w:r w:rsidRPr="00E518AD">
        <w:rPr>
          <w:rFonts w:ascii="Times New Roman" w:hAnsi="Times New Roman"/>
          <w:szCs w:val="22"/>
        </w:rPr>
        <w:t>0</w:t>
      </w:r>
      <w:r>
        <w:rPr>
          <w:rFonts w:ascii="Times New Roman" w:hAnsi="Times New Roman"/>
          <w:szCs w:val="22"/>
        </w:rPr>
        <w:t> 467 </w:t>
      </w:r>
      <w:r w:rsidRPr="00E518AD">
        <w:rPr>
          <w:rFonts w:ascii="Times New Roman" w:hAnsi="Times New Roman"/>
          <w:szCs w:val="22"/>
        </w:rPr>
        <w:t>tis. eur, pričom najviac prostriedkov na tento účel vyčerpal</w:t>
      </w:r>
      <w:r>
        <w:rPr>
          <w:rFonts w:ascii="Times New Roman" w:hAnsi="Times New Roman"/>
          <w:szCs w:val="22"/>
        </w:rPr>
        <w:t>o</w:t>
      </w:r>
      <w:r w:rsidRPr="00E518AD">
        <w:rPr>
          <w:rFonts w:ascii="Times New Roman" w:hAnsi="Times New Roman"/>
          <w:szCs w:val="22"/>
        </w:rPr>
        <w:t xml:space="preserve"> Ministerstvo obrany SR </w:t>
      </w:r>
      <w:r>
        <w:rPr>
          <w:rFonts w:ascii="Times New Roman" w:hAnsi="Times New Roman"/>
          <w:szCs w:val="22"/>
        </w:rPr>
        <w:t>(56 2</w:t>
      </w:r>
      <w:r w:rsidRPr="00E518AD">
        <w:rPr>
          <w:rFonts w:ascii="Times New Roman" w:hAnsi="Times New Roman"/>
          <w:szCs w:val="22"/>
        </w:rPr>
        <w:t>8</w:t>
      </w:r>
      <w:r>
        <w:rPr>
          <w:rFonts w:ascii="Times New Roman" w:hAnsi="Times New Roman"/>
          <w:szCs w:val="22"/>
        </w:rPr>
        <w:t>6 </w:t>
      </w:r>
      <w:r w:rsidRPr="00E518AD">
        <w:rPr>
          <w:rFonts w:ascii="Times New Roman" w:hAnsi="Times New Roman"/>
          <w:szCs w:val="22"/>
        </w:rPr>
        <w:t>tis.</w:t>
      </w:r>
      <w:r>
        <w:rPr>
          <w:rFonts w:ascii="Times New Roman" w:hAnsi="Times New Roman"/>
          <w:szCs w:val="22"/>
        </w:rPr>
        <w:t> </w:t>
      </w:r>
      <w:r w:rsidRPr="00E518AD">
        <w:rPr>
          <w:rFonts w:ascii="Times New Roman" w:hAnsi="Times New Roman"/>
          <w:szCs w:val="22"/>
        </w:rPr>
        <w:t>eur</w:t>
      </w:r>
      <w:r>
        <w:rPr>
          <w:rFonts w:ascii="Times New Roman" w:hAnsi="Times New Roman"/>
          <w:szCs w:val="22"/>
        </w:rPr>
        <w:t>)</w:t>
      </w:r>
      <w:r w:rsidRPr="00E518AD">
        <w:rPr>
          <w:rFonts w:ascii="Times New Roman" w:hAnsi="Times New Roman"/>
          <w:szCs w:val="22"/>
        </w:rPr>
        <w:t xml:space="preserve"> najmä na zabezpečenie obrany štátu</w:t>
      </w:r>
      <w:r>
        <w:rPr>
          <w:rFonts w:ascii="Times New Roman" w:hAnsi="Times New Roman"/>
          <w:szCs w:val="22"/>
        </w:rPr>
        <w:t xml:space="preserve"> </w:t>
      </w:r>
      <w:r w:rsidRPr="00F414FD">
        <w:rPr>
          <w:rFonts w:ascii="Times New Roman" w:hAnsi="Times New Roman"/>
          <w:szCs w:val="22"/>
        </w:rPr>
        <w:t>a</w:t>
      </w:r>
      <w:r>
        <w:rPr>
          <w:rFonts w:ascii="Times New Roman" w:hAnsi="Times New Roman"/>
          <w:szCs w:val="22"/>
        </w:rPr>
        <w:t xml:space="preserve"> ďalšie výdavky </w:t>
      </w:r>
      <w:r w:rsidRPr="00F414FD">
        <w:rPr>
          <w:rFonts w:ascii="Times New Roman" w:hAnsi="Times New Roman"/>
          <w:szCs w:val="22"/>
        </w:rPr>
        <w:t>v súvislosti s realizáci</w:t>
      </w:r>
      <w:r>
        <w:rPr>
          <w:rFonts w:ascii="Times New Roman" w:hAnsi="Times New Roman"/>
          <w:szCs w:val="22"/>
        </w:rPr>
        <w:t>o</w:t>
      </w:r>
      <w:r w:rsidRPr="00F414FD">
        <w:rPr>
          <w:rFonts w:ascii="Times New Roman" w:hAnsi="Times New Roman"/>
          <w:szCs w:val="22"/>
        </w:rPr>
        <w:t>u modernizačných projektov rezortu obrany (viacúčelové vrtuľníky a lietadlá SPARTAN).</w:t>
      </w:r>
      <w:r>
        <w:rPr>
          <w:rFonts w:ascii="Times New Roman" w:hAnsi="Times New Roman"/>
          <w:szCs w:val="22"/>
        </w:rPr>
        <w:t xml:space="preserve"> </w:t>
      </w:r>
      <w:r w:rsidRPr="00E518AD">
        <w:rPr>
          <w:rFonts w:ascii="Times New Roman" w:hAnsi="Times New Roman"/>
          <w:szCs w:val="22"/>
        </w:rPr>
        <w:t>Významn</w:t>
      </w:r>
      <w:r>
        <w:rPr>
          <w:rFonts w:ascii="Times New Roman" w:hAnsi="Times New Roman"/>
          <w:szCs w:val="22"/>
        </w:rPr>
        <w:t>ými</w:t>
      </w:r>
      <w:r w:rsidRPr="00E518AD">
        <w:rPr>
          <w:rFonts w:ascii="Times New Roman" w:hAnsi="Times New Roman"/>
          <w:szCs w:val="22"/>
        </w:rPr>
        <w:t xml:space="preserve"> položk</w:t>
      </w:r>
      <w:r>
        <w:rPr>
          <w:rFonts w:ascii="Times New Roman" w:hAnsi="Times New Roman"/>
          <w:szCs w:val="22"/>
        </w:rPr>
        <w:t>ami</w:t>
      </w:r>
      <w:r w:rsidRPr="00E518AD">
        <w:rPr>
          <w:rFonts w:ascii="Times New Roman" w:hAnsi="Times New Roman"/>
          <w:szCs w:val="22"/>
        </w:rPr>
        <w:t xml:space="preserve"> tejto výdavkovej skupiny </w:t>
      </w:r>
      <w:r>
        <w:rPr>
          <w:rFonts w:ascii="Times New Roman" w:hAnsi="Times New Roman"/>
          <w:szCs w:val="22"/>
        </w:rPr>
        <w:t xml:space="preserve">boli ďalej </w:t>
      </w:r>
      <w:r w:rsidRPr="00E518AD">
        <w:rPr>
          <w:rFonts w:ascii="Times New Roman" w:hAnsi="Times New Roman"/>
          <w:i/>
          <w:szCs w:val="22"/>
        </w:rPr>
        <w:t>stravné</w:t>
      </w:r>
      <w:r w:rsidRPr="00E518AD">
        <w:rPr>
          <w:rFonts w:ascii="Times New Roman" w:hAnsi="Times New Roman"/>
          <w:szCs w:val="22"/>
        </w:rPr>
        <w:t xml:space="preserve"> za zamestnancov podľa platných predpisov 5</w:t>
      </w:r>
      <w:r>
        <w:rPr>
          <w:rFonts w:ascii="Times New Roman" w:hAnsi="Times New Roman"/>
          <w:szCs w:val="22"/>
        </w:rPr>
        <w:t>8 660 </w:t>
      </w:r>
      <w:r w:rsidRPr="00E518AD">
        <w:rPr>
          <w:rFonts w:ascii="Times New Roman" w:hAnsi="Times New Roman"/>
          <w:szCs w:val="22"/>
        </w:rPr>
        <w:t>tis. eur</w:t>
      </w:r>
      <w:r>
        <w:rPr>
          <w:rFonts w:ascii="Times New Roman" w:hAnsi="Times New Roman"/>
          <w:szCs w:val="22"/>
        </w:rPr>
        <w:t xml:space="preserve">, </w:t>
      </w:r>
      <w:r w:rsidRPr="00E518AD">
        <w:rPr>
          <w:rFonts w:ascii="Times New Roman" w:hAnsi="Times New Roman"/>
          <w:i/>
          <w:szCs w:val="22"/>
        </w:rPr>
        <w:t>všeobecné služby</w:t>
      </w:r>
      <w:r w:rsidRPr="00E518AD">
        <w:rPr>
          <w:rFonts w:ascii="Times New Roman" w:hAnsi="Times New Roman"/>
          <w:szCs w:val="22"/>
        </w:rPr>
        <w:t xml:space="preserve"> </w:t>
      </w:r>
      <w:r>
        <w:rPr>
          <w:rFonts w:ascii="Times New Roman" w:hAnsi="Times New Roman"/>
          <w:szCs w:val="22"/>
        </w:rPr>
        <w:t>57 217 </w:t>
      </w:r>
      <w:r w:rsidRPr="00E518AD">
        <w:rPr>
          <w:rFonts w:ascii="Times New Roman" w:hAnsi="Times New Roman"/>
          <w:szCs w:val="22"/>
        </w:rPr>
        <w:t>tis. eur</w:t>
      </w:r>
      <w:r>
        <w:rPr>
          <w:rFonts w:ascii="Times New Roman" w:hAnsi="Times New Roman"/>
          <w:szCs w:val="22"/>
        </w:rPr>
        <w:t xml:space="preserve"> a s</w:t>
      </w:r>
      <w:r w:rsidRPr="00F414FD">
        <w:rPr>
          <w:rFonts w:ascii="Times New Roman" w:hAnsi="Times New Roman"/>
          <w:i/>
          <w:szCs w:val="22"/>
        </w:rPr>
        <w:t xml:space="preserve">lužby v oblasti informačno-komunikačných technológií </w:t>
      </w:r>
      <w:r>
        <w:rPr>
          <w:rFonts w:ascii="Times New Roman" w:hAnsi="Times New Roman"/>
          <w:szCs w:val="22"/>
        </w:rPr>
        <w:t xml:space="preserve">48 745 tis. eur, najmä na zabezpečenie </w:t>
      </w:r>
      <w:r w:rsidRPr="002904E3">
        <w:rPr>
          <w:rFonts w:ascii="Times New Roman" w:hAnsi="Times New Roman"/>
          <w:szCs w:val="22"/>
        </w:rPr>
        <w:t>aplikačn</w:t>
      </w:r>
      <w:r>
        <w:rPr>
          <w:rFonts w:ascii="Times New Roman" w:hAnsi="Times New Roman"/>
          <w:szCs w:val="22"/>
        </w:rPr>
        <w:t xml:space="preserve">ej </w:t>
      </w:r>
      <w:r w:rsidRPr="002904E3">
        <w:rPr>
          <w:rFonts w:ascii="Times New Roman" w:hAnsi="Times New Roman"/>
          <w:szCs w:val="22"/>
        </w:rPr>
        <w:t>podpor</w:t>
      </w:r>
      <w:r>
        <w:rPr>
          <w:rFonts w:ascii="Times New Roman" w:hAnsi="Times New Roman"/>
          <w:szCs w:val="22"/>
        </w:rPr>
        <w:t>y</w:t>
      </w:r>
      <w:r w:rsidRPr="002904E3">
        <w:rPr>
          <w:rFonts w:ascii="Times New Roman" w:hAnsi="Times New Roman"/>
          <w:szCs w:val="22"/>
        </w:rPr>
        <w:t xml:space="preserve"> informačného systému, licenčné poplatky, štúdie uskutočniteľnosti</w:t>
      </w:r>
      <w:r>
        <w:rPr>
          <w:rFonts w:ascii="Times New Roman" w:hAnsi="Times New Roman"/>
          <w:szCs w:val="22"/>
        </w:rPr>
        <w:t xml:space="preserve">, </w:t>
      </w:r>
      <w:r w:rsidR="00BF491D">
        <w:rPr>
          <w:rFonts w:ascii="Times New Roman" w:hAnsi="Times New Roman"/>
          <w:szCs w:val="22"/>
        </w:rPr>
        <w:br/>
      </w:r>
      <w:r>
        <w:rPr>
          <w:rFonts w:ascii="Times New Roman" w:hAnsi="Times New Roman"/>
          <w:szCs w:val="22"/>
        </w:rPr>
        <w:t xml:space="preserve">na </w:t>
      </w:r>
      <w:r w:rsidRPr="002904E3">
        <w:rPr>
          <w:rFonts w:ascii="Times New Roman" w:hAnsi="Times New Roman"/>
          <w:szCs w:val="22"/>
        </w:rPr>
        <w:t>podporn</w:t>
      </w:r>
      <w:r>
        <w:rPr>
          <w:rFonts w:ascii="Times New Roman" w:hAnsi="Times New Roman"/>
          <w:szCs w:val="22"/>
        </w:rPr>
        <w:t>ú</w:t>
      </w:r>
      <w:r w:rsidRPr="002904E3">
        <w:rPr>
          <w:rFonts w:ascii="Times New Roman" w:hAnsi="Times New Roman"/>
          <w:szCs w:val="22"/>
        </w:rPr>
        <w:t xml:space="preserve"> infraštruktúr</w:t>
      </w:r>
      <w:r>
        <w:rPr>
          <w:rFonts w:ascii="Times New Roman" w:hAnsi="Times New Roman"/>
          <w:szCs w:val="22"/>
        </w:rPr>
        <w:t>u</w:t>
      </w:r>
      <w:r w:rsidRPr="002904E3">
        <w:rPr>
          <w:rFonts w:ascii="Times New Roman" w:hAnsi="Times New Roman"/>
          <w:szCs w:val="22"/>
        </w:rPr>
        <w:t xml:space="preserve"> pre </w:t>
      </w:r>
      <w:r>
        <w:rPr>
          <w:rFonts w:ascii="Times New Roman" w:hAnsi="Times New Roman"/>
          <w:szCs w:val="22"/>
        </w:rPr>
        <w:t>informačné systémy</w:t>
      </w:r>
      <w:r w:rsidRPr="002904E3">
        <w:rPr>
          <w:rFonts w:ascii="Times New Roman" w:hAnsi="Times New Roman"/>
          <w:szCs w:val="22"/>
        </w:rPr>
        <w:t xml:space="preserve"> riadenia verejných </w:t>
      </w:r>
      <w:r w:rsidRPr="00D836FD">
        <w:rPr>
          <w:rFonts w:ascii="Times New Roman" w:hAnsi="Times New Roman"/>
          <w:szCs w:val="22"/>
        </w:rPr>
        <w:t>financií.</w:t>
      </w:r>
      <w:r w:rsidRPr="00D836FD" w:rsidR="00D836FD">
        <w:rPr>
          <w:rFonts w:ascii="Times New Roman" w:hAnsi="Times New Roman"/>
          <w:szCs w:val="22"/>
        </w:rPr>
        <w:t xml:space="preserve"> </w:t>
      </w:r>
      <w:r w:rsidRPr="00D836FD" w:rsidR="00D836FD">
        <w:rPr>
          <w:rFonts w:ascii="Times New Roman" w:hAnsi="Times New Roman"/>
        </w:rPr>
        <w:t>Na celkovej výške výdavkov na štúdie, expertízy a</w:t>
      </w:r>
      <w:r w:rsidR="007A5E7F">
        <w:rPr>
          <w:rFonts w:ascii="Times New Roman" w:hAnsi="Times New Roman"/>
        </w:rPr>
        <w:t xml:space="preserve"> </w:t>
      </w:r>
      <w:r w:rsidRPr="00D836FD" w:rsidR="00D836FD">
        <w:rPr>
          <w:rFonts w:ascii="Times New Roman" w:hAnsi="Times New Roman"/>
        </w:rPr>
        <w:t xml:space="preserve">posudky (33 464 tis. eur) sa v najvyššej miere podieľala kapitola Ministerstva vnútra SR (23 217 tis. eur), ktorá ich použila najmä v súvislosti s objasňovaním trestných činov. Prídel do sociálneho fondu (21 041 tis. eur) realizovali všetky kapitoly štátneho rozpočtu v súlade so zákonom č.152/1994 Z. z. o sociálnom fonde a o doplnení zákona č. 286/1992 Zb. o daniach z príjmov v znení neskorších predpisov, kde je stanovená hranica minimálnej výšky tvorby sociálneho fondu, ktorá je pre </w:t>
      </w:r>
      <w:r w:rsidR="0033083E">
        <w:rPr>
          <w:rFonts w:ascii="Times New Roman" w:hAnsi="Times New Roman"/>
        </w:rPr>
        <w:t>každého zamestnávateľa záväzná.</w:t>
      </w:r>
      <w:r w:rsidRPr="00D836FD">
        <w:rPr>
          <w:rFonts w:ascii="Times New Roman" w:hAnsi="Times New Roman"/>
          <w:szCs w:val="22"/>
        </w:rPr>
        <w:t xml:space="preserve"> Na </w:t>
      </w:r>
      <w:r w:rsidRPr="00D836FD">
        <w:rPr>
          <w:rFonts w:ascii="Times New Roman" w:hAnsi="Times New Roman"/>
          <w:i/>
          <w:szCs w:val="22"/>
        </w:rPr>
        <w:t xml:space="preserve">nezrovnalosti a iné vratky za prostriedky EÚ zaradené do štátneho rozpočtu </w:t>
      </w:r>
      <w:r w:rsidRPr="00D836FD">
        <w:rPr>
          <w:rFonts w:ascii="Times New Roman" w:hAnsi="Times New Roman"/>
          <w:szCs w:val="22"/>
        </w:rPr>
        <w:t>sa použilo 17 676 tis. eur vo</w:t>
      </w:r>
      <w:r>
        <w:rPr>
          <w:rFonts w:ascii="Times New Roman" w:hAnsi="Times New Roman"/>
          <w:szCs w:val="22"/>
        </w:rPr>
        <w:t xml:space="preserve"> </w:t>
      </w:r>
      <w:r w:rsidRPr="00E518AD">
        <w:rPr>
          <w:rFonts w:ascii="Times New Roman" w:hAnsi="Times New Roman"/>
          <w:szCs w:val="22"/>
        </w:rPr>
        <w:t xml:space="preserve">väčšine prípadov išlo o vrátenie finančných prostriedkov pri zúčtovaní nevyčerpanej zálohy, alebo </w:t>
      </w:r>
      <w:r w:rsidR="00BF491D">
        <w:rPr>
          <w:rFonts w:ascii="Times New Roman" w:hAnsi="Times New Roman"/>
          <w:szCs w:val="22"/>
        </w:rPr>
        <w:br/>
      </w:r>
      <w:r w:rsidRPr="00E518AD">
        <w:rPr>
          <w:rFonts w:ascii="Times New Roman" w:hAnsi="Times New Roman"/>
          <w:szCs w:val="22"/>
        </w:rPr>
        <w:t>na základe zistení po vykonanej kontrole. Schválený rozpočet a</w:t>
      </w:r>
      <w:r>
        <w:rPr>
          <w:rFonts w:ascii="Times New Roman" w:hAnsi="Times New Roman"/>
          <w:szCs w:val="22"/>
        </w:rPr>
        <w:t xml:space="preserve"> </w:t>
      </w:r>
      <w:r w:rsidRPr="00E518AD">
        <w:rPr>
          <w:rFonts w:ascii="Times New Roman" w:hAnsi="Times New Roman"/>
          <w:szCs w:val="22"/>
        </w:rPr>
        <w:t>následné plnenie výdavkov v kategórii služby sú ovplyvnené očakávanými platbami prostriedkov z rozpočtu EÚ</w:t>
      </w:r>
      <w:r w:rsidR="00D836FD">
        <w:rPr>
          <w:rFonts w:ascii="Times New Roman" w:hAnsi="Times New Roman"/>
          <w:szCs w:val="22"/>
        </w:rPr>
        <w:t>.</w:t>
      </w:r>
    </w:p>
    <w:p w:rsidR="0003598A" w:rsidP="0003598A">
      <w:pPr>
        <w:suppressAutoHyphens/>
        <w:bidi w:val="0"/>
        <w:rPr>
          <w:rFonts w:ascii="Times New Roman" w:hAnsi="Times New Roman"/>
          <w:szCs w:val="22"/>
        </w:rPr>
      </w:pPr>
      <w:r w:rsidRPr="005B2FD3">
        <w:rPr>
          <w:rFonts w:ascii="Times New Roman" w:hAnsi="Times New Roman"/>
          <w:b/>
          <w:i/>
          <w:szCs w:val="22"/>
        </w:rPr>
        <w:t>Rutinná a štandardná údržba</w:t>
      </w:r>
      <w:r w:rsidRPr="005B2FD3">
        <w:rPr>
          <w:rFonts w:ascii="Times New Roman" w:hAnsi="Times New Roman"/>
          <w:szCs w:val="22"/>
        </w:rPr>
        <w:t xml:space="preserve"> zahŕňa výdavky na práce a služby, ktorými sa zabezpečuje bežné fungovanie majetku, napr. budov, prevádzkového zariadenia, kancelárskeho vybavenia, softvéru a pod. Objemovo najväčšie čerpanie si vyžiadala údržba </w:t>
      </w:r>
      <w:r w:rsidRPr="005B2FD3">
        <w:rPr>
          <w:rFonts w:ascii="Times New Roman" w:hAnsi="Times New Roman"/>
          <w:i/>
          <w:szCs w:val="22"/>
        </w:rPr>
        <w:t>softvéru</w:t>
      </w:r>
      <w:r w:rsidRPr="005B2FD3">
        <w:rPr>
          <w:rFonts w:ascii="Times New Roman" w:hAnsi="Times New Roman"/>
          <w:szCs w:val="22"/>
        </w:rPr>
        <w:t xml:space="preserve"> </w:t>
      </w:r>
      <w:r>
        <w:rPr>
          <w:rFonts w:ascii="Times New Roman" w:hAnsi="Times New Roman"/>
          <w:szCs w:val="22"/>
        </w:rPr>
        <w:t>10</w:t>
      </w:r>
      <w:r w:rsidRPr="005B2FD3">
        <w:rPr>
          <w:rFonts w:ascii="Times New Roman" w:hAnsi="Times New Roman"/>
          <w:szCs w:val="22"/>
        </w:rPr>
        <w:t xml:space="preserve">9 </w:t>
      </w:r>
      <w:r>
        <w:rPr>
          <w:rFonts w:ascii="Times New Roman" w:hAnsi="Times New Roman"/>
          <w:szCs w:val="22"/>
        </w:rPr>
        <w:t>730</w:t>
      </w:r>
      <w:r w:rsidRPr="005B2FD3">
        <w:rPr>
          <w:rFonts w:ascii="Times New Roman" w:hAnsi="Times New Roman"/>
          <w:szCs w:val="22"/>
        </w:rPr>
        <w:t xml:space="preserve"> tis. eur, predovšetkým v nadväznosti na informatizáciu spoločnosti, informačnú bezpečnosť, poradenskú činnosť, analýzy, zavádzanie a update systémov. Na financovanie údržby </w:t>
      </w:r>
      <w:r w:rsidRPr="005B2FD3">
        <w:rPr>
          <w:rFonts w:ascii="Times New Roman" w:hAnsi="Times New Roman"/>
          <w:i/>
          <w:szCs w:val="22"/>
        </w:rPr>
        <w:t>budov a objektov</w:t>
      </w:r>
      <w:r w:rsidRPr="005B2FD3">
        <w:rPr>
          <w:rFonts w:ascii="Times New Roman" w:hAnsi="Times New Roman"/>
          <w:szCs w:val="22"/>
        </w:rPr>
        <w:t xml:space="preserve"> sa použilo </w:t>
      </w:r>
      <w:r>
        <w:rPr>
          <w:rFonts w:ascii="Times New Roman" w:hAnsi="Times New Roman"/>
          <w:szCs w:val="22"/>
        </w:rPr>
        <w:t>79</w:t>
      </w:r>
      <w:r w:rsidRPr="005B2FD3">
        <w:rPr>
          <w:rFonts w:ascii="Times New Roman" w:hAnsi="Times New Roman"/>
          <w:szCs w:val="22"/>
        </w:rPr>
        <w:t xml:space="preserve"> </w:t>
      </w:r>
      <w:r>
        <w:rPr>
          <w:rFonts w:ascii="Times New Roman" w:hAnsi="Times New Roman"/>
          <w:szCs w:val="22"/>
        </w:rPr>
        <w:t>057</w:t>
      </w:r>
      <w:r w:rsidRPr="005B2FD3">
        <w:rPr>
          <w:rFonts w:ascii="Times New Roman" w:hAnsi="Times New Roman"/>
          <w:szCs w:val="22"/>
        </w:rPr>
        <w:t xml:space="preserve"> tis. eur, z toho najviac v kapitole </w:t>
      </w:r>
      <w:r>
        <w:rPr>
          <w:rFonts w:ascii="Times New Roman" w:hAnsi="Times New Roman"/>
          <w:szCs w:val="22"/>
        </w:rPr>
        <w:t xml:space="preserve">Ministerstva dopravy a výstavby </w:t>
      </w:r>
      <w:r w:rsidRPr="005B2FD3">
        <w:rPr>
          <w:rFonts w:ascii="Times New Roman" w:hAnsi="Times New Roman"/>
          <w:szCs w:val="22"/>
        </w:rPr>
        <w:t xml:space="preserve">SR </w:t>
      </w:r>
      <w:r>
        <w:rPr>
          <w:rFonts w:ascii="Times New Roman" w:hAnsi="Times New Roman"/>
          <w:szCs w:val="22"/>
        </w:rPr>
        <w:t>(46 077</w:t>
      </w:r>
      <w:r w:rsidRPr="005B2FD3">
        <w:rPr>
          <w:rFonts w:ascii="Times New Roman" w:hAnsi="Times New Roman"/>
          <w:szCs w:val="22"/>
        </w:rPr>
        <w:t xml:space="preserve"> tis. eur</w:t>
      </w:r>
      <w:r>
        <w:rPr>
          <w:rFonts w:ascii="Times New Roman" w:hAnsi="Times New Roman"/>
          <w:szCs w:val="22"/>
        </w:rPr>
        <w:t>) na</w:t>
      </w:r>
      <w:r w:rsidRPr="009F5821">
        <w:rPr>
          <w:rFonts w:ascii="Times New Roman" w:hAnsi="Times New Roman"/>
          <w:szCs w:val="22"/>
        </w:rPr>
        <w:t xml:space="preserve"> údržb</w:t>
      </w:r>
      <w:r>
        <w:rPr>
          <w:rFonts w:ascii="Times New Roman" w:hAnsi="Times New Roman"/>
          <w:szCs w:val="22"/>
        </w:rPr>
        <w:t>u</w:t>
      </w:r>
      <w:r w:rsidRPr="009F5821">
        <w:rPr>
          <w:rFonts w:ascii="Times New Roman" w:hAnsi="Times New Roman"/>
          <w:szCs w:val="22"/>
        </w:rPr>
        <w:t xml:space="preserve"> a oprav</w:t>
      </w:r>
      <w:r>
        <w:rPr>
          <w:rFonts w:ascii="Times New Roman" w:hAnsi="Times New Roman"/>
          <w:szCs w:val="22"/>
        </w:rPr>
        <w:t>u</w:t>
      </w:r>
      <w:r w:rsidRPr="009F5821">
        <w:rPr>
          <w:rFonts w:ascii="Times New Roman" w:hAnsi="Times New Roman"/>
          <w:szCs w:val="22"/>
        </w:rPr>
        <w:t xml:space="preserve"> ciest</w:t>
      </w:r>
      <w:r>
        <w:rPr>
          <w:rFonts w:ascii="Times New Roman" w:hAnsi="Times New Roman"/>
          <w:szCs w:val="22"/>
        </w:rPr>
        <w:t xml:space="preserve"> I. triedy a </w:t>
      </w:r>
      <w:r w:rsidRPr="005B2FD3">
        <w:rPr>
          <w:rFonts w:ascii="Times New Roman" w:hAnsi="Times New Roman"/>
          <w:szCs w:val="22"/>
        </w:rPr>
        <w:t>v kapitole</w:t>
      </w:r>
      <w:r>
        <w:rPr>
          <w:rFonts w:ascii="Times New Roman" w:hAnsi="Times New Roman"/>
          <w:szCs w:val="22"/>
        </w:rPr>
        <w:t xml:space="preserve"> Ministerstva vnútra</w:t>
      </w:r>
      <w:r w:rsidRPr="005B2FD3">
        <w:rPr>
          <w:rFonts w:ascii="Times New Roman" w:hAnsi="Times New Roman"/>
          <w:szCs w:val="22"/>
        </w:rPr>
        <w:t xml:space="preserve"> SR </w:t>
      </w:r>
      <w:r>
        <w:rPr>
          <w:rFonts w:ascii="Times New Roman" w:hAnsi="Times New Roman"/>
          <w:szCs w:val="22"/>
        </w:rPr>
        <w:t>(18 678 </w:t>
      </w:r>
      <w:r w:rsidRPr="005B2FD3">
        <w:rPr>
          <w:rFonts w:ascii="Times New Roman" w:hAnsi="Times New Roman"/>
          <w:szCs w:val="22"/>
        </w:rPr>
        <w:t>tis. eur</w:t>
      </w:r>
      <w:r>
        <w:rPr>
          <w:rFonts w:ascii="Times New Roman" w:hAnsi="Times New Roman"/>
          <w:szCs w:val="22"/>
        </w:rPr>
        <w:t xml:space="preserve">), ktoré ich použilo </w:t>
      </w:r>
      <w:r w:rsidRPr="00EB7D80">
        <w:rPr>
          <w:rFonts w:ascii="Times New Roman" w:hAnsi="Times New Roman"/>
          <w:szCs w:val="22"/>
        </w:rPr>
        <w:t xml:space="preserve">najmä </w:t>
      </w:r>
      <w:r w:rsidR="00BF491D">
        <w:rPr>
          <w:rFonts w:ascii="Times New Roman" w:hAnsi="Times New Roman"/>
          <w:szCs w:val="22"/>
        </w:rPr>
        <w:br/>
      </w:r>
      <w:r>
        <w:rPr>
          <w:rFonts w:ascii="Times New Roman" w:hAnsi="Times New Roman"/>
          <w:szCs w:val="22"/>
        </w:rPr>
        <w:t>na</w:t>
      </w:r>
      <w:r w:rsidRPr="00EB7D80">
        <w:rPr>
          <w:rFonts w:ascii="Times New Roman" w:hAnsi="Times New Roman"/>
          <w:szCs w:val="22"/>
        </w:rPr>
        <w:t xml:space="preserve"> opravu, údržbu a</w:t>
      </w:r>
      <w:r>
        <w:rPr>
          <w:rFonts w:ascii="Times New Roman" w:hAnsi="Times New Roman"/>
          <w:szCs w:val="22"/>
        </w:rPr>
        <w:t xml:space="preserve"> </w:t>
      </w:r>
      <w:r w:rsidRPr="00EB7D80">
        <w:rPr>
          <w:rFonts w:ascii="Times New Roman" w:hAnsi="Times New Roman"/>
          <w:szCs w:val="22"/>
        </w:rPr>
        <w:t>odstránen</w:t>
      </w:r>
      <w:r>
        <w:rPr>
          <w:rFonts w:ascii="Times New Roman" w:hAnsi="Times New Roman"/>
          <w:szCs w:val="22"/>
        </w:rPr>
        <w:t xml:space="preserve">ie </w:t>
      </w:r>
      <w:r w:rsidRPr="00EB7D80">
        <w:rPr>
          <w:rFonts w:ascii="Times New Roman" w:hAnsi="Times New Roman"/>
          <w:szCs w:val="22"/>
        </w:rPr>
        <w:t>havarijných stavov</w:t>
      </w:r>
      <w:r>
        <w:rPr>
          <w:rFonts w:ascii="Times New Roman" w:hAnsi="Times New Roman"/>
          <w:szCs w:val="22"/>
        </w:rPr>
        <w:t xml:space="preserve"> </w:t>
      </w:r>
      <w:r w:rsidRPr="00EB7D80">
        <w:rPr>
          <w:rFonts w:ascii="Times New Roman" w:hAnsi="Times New Roman"/>
          <w:szCs w:val="22"/>
        </w:rPr>
        <w:t>objektov Policajného zboru</w:t>
      </w:r>
      <w:r>
        <w:rPr>
          <w:rFonts w:ascii="Times New Roman" w:hAnsi="Times New Roman"/>
          <w:szCs w:val="22"/>
        </w:rPr>
        <w:t>, vlastných objektov</w:t>
      </w:r>
      <w:r w:rsidRPr="00EB7D80">
        <w:rPr>
          <w:rFonts w:ascii="Times New Roman" w:hAnsi="Times New Roman"/>
          <w:szCs w:val="22"/>
        </w:rPr>
        <w:t>, ako aj objektov škôl a školských zariadení</w:t>
      </w:r>
      <w:r w:rsidRPr="005B2FD3">
        <w:rPr>
          <w:rFonts w:ascii="Times New Roman" w:hAnsi="Times New Roman"/>
          <w:szCs w:val="22"/>
        </w:rPr>
        <w:t xml:space="preserve">. Výdavky spojené s údržbou </w:t>
      </w:r>
      <w:r w:rsidRPr="005B2FD3">
        <w:rPr>
          <w:rFonts w:ascii="Times New Roman" w:hAnsi="Times New Roman"/>
          <w:i/>
          <w:szCs w:val="22"/>
        </w:rPr>
        <w:t>špeciálnych strojov a</w:t>
      </w:r>
      <w:r>
        <w:rPr>
          <w:rFonts w:ascii="Times New Roman" w:hAnsi="Times New Roman"/>
          <w:i/>
          <w:szCs w:val="22"/>
        </w:rPr>
        <w:t> </w:t>
      </w:r>
      <w:r w:rsidRPr="005B2FD3">
        <w:rPr>
          <w:rFonts w:ascii="Times New Roman" w:hAnsi="Times New Roman"/>
          <w:i/>
          <w:szCs w:val="22"/>
        </w:rPr>
        <w:t>prístrojov</w:t>
      </w:r>
      <w:r>
        <w:rPr>
          <w:rFonts w:ascii="Times New Roman" w:hAnsi="Times New Roman"/>
          <w:i/>
          <w:szCs w:val="22"/>
        </w:rPr>
        <w:t xml:space="preserve"> </w:t>
      </w:r>
      <w:r>
        <w:rPr>
          <w:rFonts w:ascii="Times New Roman" w:hAnsi="Times New Roman"/>
          <w:szCs w:val="22"/>
        </w:rPr>
        <w:t>boli vynaložené vo výške</w:t>
      </w:r>
      <w:r w:rsidRPr="00EB7D80">
        <w:rPr>
          <w:rFonts w:ascii="Times New Roman" w:hAnsi="Times New Roman"/>
          <w:szCs w:val="22"/>
        </w:rPr>
        <w:t xml:space="preserve"> 54 </w:t>
      </w:r>
      <w:r>
        <w:rPr>
          <w:rFonts w:ascii="Times New Roman" w:hAnsi="Times New Roman"/>
          <w:szCs w:val="22"/>
        </w:rPr>
        <w:t>989 </w:t>
      </w:r>
      <w:r w:rsidRPr="005B2FD3">
        <w:rPr>
          <w:rFonts w:ascii="Times New Roman" w:hAnsi="Times New Roman"/>
          <w:szCs w:val="22"/>
        </w:rPr>
        <w:t>tis.</w:t>
      </w:r>
      <w:r>
        <w:rPr>
          <w:rFonts w:ascii="Times New Roman" w:hAnsi="Times New Roman"/>
          <w:szCs w:val="22"/>
        </w:rPr>
        <w:t> </w:t>
      </w:r>
      <w:r w:rsidRPr="005B2FD3">
        <w:rPr>
          <w:rFonts w:ascii="Times New Roman" w:hAnsi="Times New Roman"/>
          <w:szCs w:val="22"/>
        </w:rPr>
        <w:t xml:space="preserve">eur, z toho najvyššie výdavky malo Ministerstvo obrany SR </w:t>
      </w:r>
      <w:r>
        <w:rPr>
          <w:rFonts w:ascii="Times New Roman" w:hAnsi="Times New Roman"/>
          <w:szCs w:val="22"/>
        </w:rPr>
        <w:t>47</w:t>
      </w:r>
      <w:r w:rsidRPr="005B2FD3">
        <w:rPr>
          <w:rFonts w:ascii="Times New Roman" w:hAnsi="Times New Roman"/>
          <w:szCs w:val="22"/>
        </w:rPr>
        <w:t xml:space="preserve"> </w:t>
      </w:r>
      <w:r>
        <w:rPr>
          <w:rFonts w:ascii="Times New Roman" w:hAnsi="Times New Roman"/>
          <w:szCs w:val="22"/>
        </w:rPr>
        <w:t>0</w:t>
      </w:r>
      <w:r w:rsidRPr="005B2FD3">
        <w:rPr>
          <w:rFonts w:ascii="Times New Roman" w:hAnsi="Times New Roman"/>
          <w:szCs w:val="22"/>
        </w:rPr>
        <w:t>3</w:t>
      </w:r>
      <w:r>
        <w:rPr>
          <w:rFonts w:ascii="Times New Roman" w:hAnsi="Times New Roman"/>
          <w:szCs w:val="22"/>
        </w:rPr>
        <w:t>2</w:t>
      </w:r>
      <w:r w:rsidRPr="005B2FD3">
        <w:rPr>
          <w:rFonts w:ascii="Times New Roman" w:hAnsi="Times New Roman"/>
          <w:szCs w:val="22"/>
        </w:rPr>
        <w:t xml:space="preserve"> tis. eur</w:t>
      </w:r>
      <w:r>
        <w:rPr>
          <w:rFonts w:ascii="Times New Roman" w:hAnsi="Times New Roman"/>
          <w:szCs w:val="22"/>
        </w:rPr>
        <w:t xml:space="preserve"> </w:t>
      </w:r>
      <w:r w:rsidRPr="009F5821">
        <w:rPr>
          <w:rFonts w:ascii="Times New Roman" w:hAnsi="Times New Roman"/>
          <w:szCs w:val="22"/>
        </w:rPr>
        <w:t>na opravy leteckej techniky a zabezpečenie plnenia úloh obrany štátu</w:t>
      </w:r>
      <w:r>
        <w:rPr>
          <w:rFonts w:ascii="Times New Roman" w:hAnsi="Times New Roman"/>
          <w:szCs w:val="22"/>
        </w:rPr>
        <w:t xml:space="preserve">. </w:t>
      </w:r>
    </w:p>
    <w:p w:rsidR="0003598A" w:rsidP="0003598A">
      <w:pPr>
        <w:suppressAutoHyphens/>
        <w:bidi w:val="0"/>
        <w:rPr>
          <w:rFonts w:ascii="Times New Roman" w:hAnsi="Times New Roman"/>
          <w:szCs w:val="22"/>
        </w:rPr>
      </w:pPr>
      <w:r w:rsidRPr="00FA2B3D">
        <w:rPr>
          <w:rFonts w:ascii="Times New Roman" w:hAnsi="Times New Roman"/>
          <w:szCs w:val="22"/>
        </w:rPr>
        <w:t xml:space="preserve">V položke </w:t>
      </w:r>
      <w:r w:rsidRPr="00FA2B3D">
        <w:rPr>
          <w:rFonts w:ascii="Times New Roman" w:hAnsi="Times New Roman"/>
          <w:b/>
          <w:i/>
          <w:szCs w:val="22"/>
        </w:rPr>
        <w:t>materiál</w:t>
      </w:r>
      <w:r w:rsidRPr="00FA2B3D">
        <w:rPr>
          <w:rFonts w:ascii="Times New Roman" w:hAnsi="Times New Roman"/>
          <w:szCs w:val="22"/>
        </w:rPr>
        <w:t xml:space="preserve"> bolo </w:t>
      </w:r>
      <w:r>
        <w:rPr>
          <w:rFonts w:ascii="Times New Roman" w:hAnsi="Times New Roman"/>
          <w:szCs w:val="22"/>
        </w:rPr>
        <w:t xml:space="preserve">z </w:t>
      </w:r>
      <w:r w:rsidRPr="00FA2B3D">
        <w:rPr>
          <w:rFonts w:ascii="Times New Roman" w:hAnsi="Times New Roman"/>
          <w:szCs w:val="22"/>
        </w:rPr>
        <w:t>rozpočtových zdrojov</w:t>
      </w:r>
      <w:r>
        <w:rPr>
          <w:rFonts w:ascii="Times New Roman" w:hAnsi="Times New Roman"/>
          <w:szCs w:val="22"/>
        </w:rPr>
        <w:t xml:space="preserve"> </w:t>
      </w:r>
      <w:r w:rsidRPr="00FA2B3D">
        <w:rPr>
          <w:rFonts w:ascii="Times New Roman" w:hAnsi="Times New Roman"/>
          <w:szCs w:val="22"/>
        </w:rPr>
        <w:t xml:space="preserve">najviac použitých na </w:t>
      </w:r>
      <w:r w:rsidRPr="00FA2B3D">
        <w:rPr>
          <w:rFonts w:ascii="Times New Roman" w:hAnsi="Times New Roman"/>
          <w:i/>
          <w:szCs w:val="22"/>
        </w:rPr>
        <w:t xml:space="preserve">všeobecný materiál </w:t>
      </w:r>
      <w:r w:rsidRPr="00FA2B3D">
        <w:rPr>
          <w:rFonts w:ascii="Times New Roman" w:hAnsi="Times New Roman"/>
          <w:szCs w:val="22"/>
        </w:rPr>
        <w:t>vo výške 49 237 tis. eur</w:t>
      </w:r>
      <w:r>
        <w:rPr>
          <w:rFonts w:ascii="Times New Roman" w:hAnsi="Times New Roman"/>
          <w:szCs w:val="22"/>
        </w:rPr>
        <w:t>,</w:t>
      </w:r>
      <w:r w:rsidRPr="00FA2B3D">
        <w:rPr>
          <w:rFonts w:ascii="Times New Roman" w:hAnsi="Times New Roman"/>
          <w:szCs w:val="22"/>
        </w:rPr>
        <w:t xml:space="preserve"> z toho najmä </w:t>
      </w:r>
      <w:r>
        <w:rPr>
          <w:rFonts w:ascii="Times New Roman" w:hAnsi="Times New Roman"/>
          <w:szCs w:val="22"/>
        </w:rPr>
        <w:t xml:space="preserve">v </w:t>
      </w:r>
      <w:r w:rsidRPr="00FA2B3D">
        <w:rPr>
          <w:rFonts w:ascii="Times New Roman" w:hAnsi="Times New Roman"/>
          <w:szCs w:val="22"/>
        </w:rPr>
        <w:t>kapitol</w:t>
      </w:r>
      <w:r>
        <w:rPr>
          <w:rFonts w:ascii="Times New Roman" w:hAnsi="Times New Roman"/>
          <w:szCs w:val="22"/>
        </w:rPr>
        <w:t>e</w:t>
      </w:r>
      <w:r w:rsidRPr="00FA2B3D">
        <w:rPr>
          <w:rFonts w:ascii="Times New Roman" w:hAnsi="Times New Roman"/>
          <w:szCs w:val="22"/>
        </w:rPr>
        <w:t xml:space="preserve"> Ministerstva vnútra SR 22 882 tis. eur</w:t>
      </w:r>
      <w:r>
        <w:rPr>
          <w:rFonts w:ascii="Times New Roman" w:hAnsi="Times New Roman"/>
          <w:szCs w:val="22"/>
        </w:rPr>
        <w:t xml:space="preserve">. Tieto prostriedky </w:t>
      </w:r>
      <w:r w:rsidRPr="00FA2B3D">
        <w:rPr>
          <w:rFonts w:ascii="Times New Roman" w:hAnsi="Times New Roman"/>
          <w:szCs w:val="22"/>
        </w:rPr>
        <w:t>okrem bežných kancelárskych potrieb a spotrebného materiálu k výpočtovej technike</w:t>
      </w:r>
      <w:r>
        <w:rPr>
          <w:rFonts w:ascii="Times New Roman" w:hAnsi="Times New Roman"/>
          <w:szCs w:val="22"/>
        </w:rPr>
        <w:t xml:space="preserve"> boli použité</w:t>
      </w:r>
      <w:r w:rsidRPr="00FA2B3D">
        <w:rPr>
          <w:rFonts w:ascii="Times New Roman" w:hAnsi="Times New Roman"/>
          <w:szCs w:val="22"/>
        </w:rPr>
        <w:t xml:space="preserve"> napr. aj na nákup tabuliek EČ vozidiel, chemikálií pre expertíznu činnosť, očkovacích sér, materiálu pre zvieratá (najmä krmivo). </w:t>
      </w:r>
      <w:r>
        <w:rPr>
          <w:rFonts w:ascii="Times New Roman" w:hAnsi="Times New Roman"/>
          <w:szCs w:val="22"/>
        </w:rPr>
        <w:t xml:space="preserve">Na </w:t>
      </w:r>
      <w:r w:rsidRPr="00172C4D">
        <w:rPr>
          <w:rFonts w:ascii="Times New Roman" w:hAnsi="Times New Roman"/>
          <w:i/>
          <w:szCs w:val="22"/>
        </w:rPr>
        <w:t>potraviny</w:t>
      </w:r>
      <w:r>
        <w:rPr>
          <w:rFonts w:ascii="Times New Roman" w:hAnsi="Times New Roman"/>
          <w:szCs w:val="22"/>
        </w:rPr>
        <w:t xml:space="preserve"> sa vynaložilo 29 895 tis. eur, najmä v kapitole </w:t>
      </w:r>
      <w:r w:rsidRPr="000F6E4C">
        <w:rPr>
          <w:rFonts w:ascii="Times New Roman" w:hAnsi="Times New Roman"/>
          <w:szCs w:val="22"/>
        </w:rPr>
        <w:t>Ministerstva práce, sociálnych vecí a rodiny SR</w:t>
      </w:r>
      <w:r>
        <w:rPr>
          <w:rFonts w:ascii="Times New Roman" w:hAnsi="Times New Roman"/>
          <w:szCs w:val="22"/>
        </w:rPr>
        <w:t xml:space="preserve"> (</w:t>
      </w:r>
      <w:r w:rsidRPr="0003591D">
        <w:rPr>
          <w:rFonts w:ascii="Times New Roman" w:hAnsi="Times New Roman"/>
          <w:szCs w:val="22"/>
        </w:rPr>
        <w:t>14</w:t>
      </w:r>
      <w:r>
        <w:rPr>
          <w:rFonts w:ascii="Times New Roman" w:hAnsi="Times New Roman"/>
          <w:szCs w:val="22"/>
        </w:rPr>
        <w:t> </w:t>
      </w:r>
      <w:r w:rsidRPr="0003591D">
        <w:rPr>
          <w:rFonts w:ascii="Times New Roman" w:hAnsi="Times New Roman"/>
          <w:szCs w:val="22"/>
        </w:rPr>
        <w:t>591</w:t>
      </w:r>
      <w:r>
        <w:rPr>
          <w:rFonts w:ascii="Times New Roman" w:hAnsi="Times New Roman"/>
          <w:szCs w:val="22"/>
        </w:rPr>
        <w:t> </w:t>
      </w:r>
      <w:r w:rsidRPr="0003591D">
        <w:rPr>
          <w:rFonts w:ascii="Times New Roman" w:hAnsi="Times New Roman"/>
          <w:szCs w:val="22"/>
        </w:rPr>
        <w:t>tis.</w:t>
      </w:r>
      <w:r>
        <w:rPr>
          <w:rFonts w:ascii="Times New Roman" w:hAnsi="Times New Roman"/>
          <w:szCs w:val="22"/>
        </w:rPr>
        <w:t> </w:t>
      </w:r>
      <w:r w:rsidRPr="0003591D">
        <w:rPr>
          <w:rFonts w:ascii="Times New Roman" w:hAnsi="Times New Roman"/>
          <w:szCs w:val="22"/>
        </w:rPr>
        <w:t>eur</w:t>
      </w:r>
      <w:r>
        <w:rPr>
          <w:rFonts w:ascii="Times New Roman" w:hAnsi="Times New Roman"/>
          <w:szCs w:val="22"/>
        </w:rPr>
        <w:t xml:space="preserve">) na úhradu </w:t>
      </w:r>
      <w:r w:rsidRPr="0003591D">
        <w:rPr>
          <w:rFonts w:ascii="Times New Roman" w:hAnsi="Times New Roman"/>
          <w:szCs w:val="22"/>
        </w:rPr>
        <w:t>potravinových balíčkov pre najodkázanejšie osoby</w:t>
      </w:r>
      <w:r>
        <w:rPr>
          <w:rFonts w:ascii="Times New Roman" w:hAnsi="Times New Roman"/>
          <w:szCs w:val="22"/>
        </w:rPr>
        <w:t xml:space="preserve"> v súlade s O</w:t>
      </w:r>
      <w:r w:rsidRPr="0003591D">
        <w:rPr>
          <w:rFonts w:ascii="Times New Roman" w:hAnsi="Times New Roman"/>
          <w:szCs w:val="22"/>
        </w:rPr>
        <w:t>peračn</w:t>
      </w:r>
      <w:r>
        <w:rPr>
          <w:rFonts w:ascii="Times New Roman" w:hAnsi="Times New Roman"/>
          <w:szCs w:val="22"/>
        </w:rPr>
        <w:t xml:space="preserve">ým </w:t>
      </w:r>
      <w:r w:rsidRPr="0003591D">
        <w:rPr>
          <w:rFonts w:ascii="Times New Roman" w:hAnsi="Times New Roman"/>
          <w:szCs w:val="22"/>
        </w:rPr>
        <w:t>program</w:t>
      </w:r>
      <w:r>
        <w:rPr>
          <w:rFonts w:ascii="Times New Roman" w:hAnsi="Times New Roman"/>
          <w:szCs w:val="22"/>
        </w:rPr>
        <w:t xml:space="preserve">om </w:t>
      </w:r>
      <w:r w:rsidR="001D1312">
        <w:rPr>
          <w:rFonts w:ascii="Times New Roman" w:hAnsi="Times New Roman"/>
          <w:szCs w:val="22"/>
        </w:rPr>
        <w:t xml:space="preserve">európskej </w:t>
      </w:r>
      <w:r w:rsidRPr="001D1312" w:rsidR="001D1312">
        <w:rPr>
          <w:rFonts w:ascii="Times New Roman" w:hAnsi="Times New Roman"/>
          <w:szCs w:val="22"/>
        </w:rPr>
        <w:t>pomoci</w:t>
      </w:r>
      <w:r w:rsidRPr="001D1312">
        <w:rPr>
          <w:rFonts w:ascii="Times New Roman" w:hAnsi="Times New Roman"/>
          <w:szCs w:val="22"/>
        </w:rPr>
        <w:t xml:space="preserve"> </w:t>
      </w:r>
      <w:r w:rsidR="00BF491D">
        <w:rPr>
          <w:rFonts w:ascii="Times New Roman" w:hAnsi="Times New Roman"/>
          <w:szCs w:val="22"/>
        </w:rPr>
        <w:br/>
      </w:r>
      <w:r w:rsidRPr="001D1312">
        <w:rPr>
          <w:rFonts w:ascii="Times New Roman" w:hAnsi="Times New Roman"/>
          <w:szCs w:val="22"/>
        </w:rPr>
        <w:t>pre najodkázanejšie osoby (FEAD) a pre štátne detské domovy. Na nárast skutočného čerpania</w:t>
      </w:r>
      <w:r>
        <w:rPr>
          <w:rFonts w:ascii="Times New Roman" w:hAnsi="Times New Roman"/>
          <w:szCs w:val="22"/>
        </w:rPr>
        <w:t xml:space="preserve"> o 3 647 tis. eur mal vplyv </w:t>
      </w:r>
      <w:r w:rsidRPr="0003591D">
        <w:rPr>
          <w:rFonts w:ascii="Times New Roman" w:hAnsi="Times New Roman"/>
          <w:szCs w:val="22"/>
        </w:rPr>
        <w:t xml:space="preserve">presun prostriedkov EÚ a spolufinancovania z minulých rokov až </w:t>
      </w:r>
      <w:r w:rsidR="00BF491D">
        <w:rPr>
          <w:rFonts w:ascii="Times New Roman" w:hAnsi="Times New Roman"/>
          <w:szCs w:val="22"/>
        </w:rPr>
        <w:br/>
      </w:r>
      <w:r w:rsidRPr="0003591D">
        <w:rPr>
          <w:rFonts w:ascii="Times New Roman" w:hAnsi="Times New Roman"/>
          <w:szCs w:val="22"/>
        </w:rPr>
        <w:t>v rámci upraveného rozpočtu.</w:t>
      </w:r>
      <w:r>
        <w:rPr>
          <w:rFonts w:ascii="Times New Roman" w:hAnsi="Times New Roman"/>
          <w:szCs w:val="22"/>
        </w:rPr>
        <w:t xml:space="preserve"> Výdavky na potraviny v rezorte </w:t>
      </w:r>
      <w:r w:rsidRPr="00FA2B3D">
        <w:rPr>
          <w:rFonts w:ascii="Times New Roman" w:hAnsi="Times New Roman"/>
          <w:szCs w:val="22"/>
        </w:rPr>
        <w:t>Ministerstv</w:t>
      </w:r>
      <w:r>
        <w:rPr>
          <w:rFonts w:ascii="Times New Roman" w:hAnsi="Times New Roman"/>
          <w:szCs w:val="22"/>
        </w:rPr>
        <w:t>a</w:t>
      </w:r>
      <w:r w:rsidRPr="00FA2B3D">
        <w:rPr>
          <w:rFonts w:ascii="Times New Roman" w:hAnsi="Times New Roman"/>
          <w:szCs w:val="22"/>
        </w:rPr>
        <w:t xml:space="preserve"> spravodlivosti SR</w:t>
      </w:r>
      <w:r>
        <w:rPr>
          <w:rFonts w:ascii="Times New Roman" w:hAnsi="Times New Roman"/>
          <w:szCs w:val="22"/>
        </w:rPr>
        <w:t xml:space="preserve"> (</w:t>
      </w:r>
      <w:r w:rsidRPr="0003591D">
        <w:rPr>
          <w:rFonts w:ascii="Times New Roman" w:hAnsi="Times New Roman"/>
          <w:szCs w:val="22"/>
        </w:rPr>
        <w:t>9</w:t>
      </w:r>
      <w:r>
        <w:rPr>
          <w:rFonts w:ascii="Times New Roman" w:hAnsi="Times New Roman"/>
          <w:szCs w:val="22"/>
        </w:rPr>
        <w:t> 318 </w:t>
      </w:r>
      <w:r w:rsidRPr="0003591D">
        <w:rPr>
          <w:rFonts w:ascii="Times New Roman" w:hAnsi="Times New Roman"/>
          <w:szCs w:val="22"/>
        </w:rPr>
        <w:t>tis.</w:t>
      </w:r>
      <w:r>
        <w:rPr>
          <w:rFonts w:ascii="Times New Roman" w:hAnsi="Times New Roman"/>
          <w:szCs w:val="22"/>
        </w:rPr>
        <w:t> </w:t>
      </w:r>
      <w:r w:rsidRPr="0003591D">
        <w:rPr>
          <w:rFonts w:ascii="Times New Roman" w:hAnsi="Times New Roman"/>
          <w:szCs w:val="22"/>
        </w:rPr>
        <w:t>eur</w:t>
      </w:r>
      <w:r>
        <w:rPr>
          <w:rFonts w:ascii="Times New Roman" w:hAnsi="Times New Roman"/>
          <w:szCs w:val="22"/>
        </w:rPr>
        <w:t xml:space="preserve">) boli použité na stravu obvinených a odsúdených. Na ich nárast oproti rozpočtu </w:t>
      </w:r>
      <w:r w:rsidR="00BF491D">
        <w:rPr>
          <w:rFonts w:ascii="Times New Roman" w:hAnsi="Times New Roman"/>
          <w:szCs w:val="22"/>
        </w:rPr>
        <w:br/>
      </w:r>
      <w:r>
        <w:rPr>
          <w:rFonts w:ascii="Times New Roman" w:hAnsi="Times New Roman"/>
          <w:szCs w:val="22"/>
        </w:rPr>
        <w:t>o 437 tis. eur vplýval hlavne</w:t>
      </w:r>
      <w:r w:rsidRPr="00A63BD7">
        <w:rPr>
          <w:rFonts w:ascii="Times New Roman" w:hAnsi="Times New Roman"/>
          <w:szCs w:val="22"/>
        </w:rPr>
        <w:t xml:space="preserve"> nárast priemerného denného počtu stravovaných</w:t>
      </w:r>
      <w:r>
        <w:rPr>
          <w:rFonts w:ascii="Times New Roman" w:hAnsi="Times New Roman"/>
          <w:szCs w:val="22"/>
        </w:rPr>
        <w:t xml:space="preserve"> </w:t>
      </w:r>
      <w:r w:rsidRPr="0003591D">
        <w:rPr>
          <w:rFonts w:ascii="Times New Roman" w:hAnsi="Times New Roman"/>
          <w:szCs w:val="22"/>
        </w:rPr>
        <w:t>o 211 osôb.</w:t>
      </w:r>
      <w:r>
        <w:rPr>
          <w:rFonts w:ascii="Times New Roman" w:hAnsi="Times New Roman"/>
          <w:szCs w:val="22"/>
        </w:rPr>
        <w:t xml:space="preserve"> </w:t>
      </w:r>
      <w:r w:rsidRPr="00FA2B3D">
        <w:rPr>
          <w:rFonts w:ascii="Times New Roman" w:hAnsi="Times New Roman"/>
          <w:szCs w:val="22"/>
        </w:rPr>
        <w:t xml:space="preserve">Výdavky na </w:t>
      </w:r>
      <w:r w:rsidRPr="00FA2B3D">
        <w:rPr>
          <w:rFonts w:ascii="Times New Roman" w:hAnsi="Times New Roman"/>
          <w:i/>
          <w:szCs w:val="22"/>
        </w:rPr>
        <w:t>pracovné odevy, obuv a pracovné pomôcky</w:t>
      </w:r>
      <w:r w:rsidRPr="00FA2B3D">
        <w:rPr>
          <w:rFonts w:ascii="Times New Roman" w:hAnsi="Times New Roman"/>
          <w:szCs w:val="22"/>
        </w:rPr>
        <w:t xml:space="preserve"> </w:t>
      </w:r>
      <w:r>
        <w:rPr>
          <w:rFonts w:ascii="Times New Roman" w:hAnsi="Times New Roman"/>
          <w:szCs w:val="22"/>
        </w:rPr>
        <w:t>(</w:t>
      </w:r>
      <w:r w:rsidRPr="00FA2B3D">
        <w:rPr>
          <w:rFonts w:ascii="Times New Roman" w:hAnsi="Times New Roman"/>
          <w:szCs w:val="22"/>
        </w:rPr>
        <w:t>26 6</w:t>
      </w:r>
      <w:r>
        <w:rPr>
          <w:rFonts w:ascii="Times New Roman" w:hAnsi="Times New Roman"/>
          <w:szCs w:val="22"/>
        </w:rPr>
        <w:t>25</w:t>
      </w:r>
      <w:r w:rsidRPr="00FA2B3D">
        <w:rPr>
          <w:rFonts w:ascii="Times New Roman" w:hAnsi="Times New Roman"/>
          <w:szCs w:val="22"/>
        </w:rPr>
        <w:t> tis. eur</w:t>
      </w:r>
      <w:r>
        <w:rPr>
          <w:rFonts w:ascii="Times New Roman" w:hAnsi="Times New Roman"/>
          <w:szCs w:val="22"/>
        </w:rPr>
        <w:t>)</w:t>
      </w:r>
      <w:r w:rsidRPr="00FA2B3D">
        <w:rPr>
          <w:rFonts w:ascii="Times New Roman" w:hAnsi="Times New Roman"/>
          <w:szCs w:val="22"/>
        </w:rPr>
        <w:t xml:space="preserve"> boli realizované predovšetkým v rezortoch Ministerstva vnútra SR 1</w:t>
      </w:r>
      <w:r>
        <w:rPr>
          <w:rFonts w:ascii="Times New Roman" w:hAnsi="Times New Roman"/>
          <w:szCs w:val="22"/>
        </w:rPr>
        <w:t>3</w:t>
      </w:r>
      <w:r w:rsidRPr="00FA2B3D">
        <w:rPr>
          <w:rFonts w:ascii="Times New Roman" w:hAnsi="Times New Roman"/>
          <w:szCs w:val="22"/>
        </w:rPr>
        <w:t> </w:t>
      </w:r>
      <w:r>
        <w:rPr>
          <w:rFonts w:ascii="Times New Roman" w:hAnsi="Times New Roman"/>
          <w:szCs w:val="22"/>
        </w:rPr>
        <w:t>913</w:t>
      </w:r>
      <w:r w:rsidRPr="00FA2B3D">
        <w:rPr>
          <w:rFonts w:ascii="Times New Roman" w:hAnsi="Times New Roman"/>
          <w:szCs w:val="22"/>
        </w:rPr>
        <w:t xml:space="preserve"> tis. eur (modernizácia výstrojných súčiastok </w:t>
      </w:r>
      <w:r w:rsidR="00BF491D">
        <w:rPr>
          <w:rFonts w:ascii="Times New Roman" w:hAnsi="Times New Roman"/>
          <w:szCs w:val="22"/>
        </w:rPr>
        <w:br/>
      </w:r>
      <w:r w:rsidRPr="00FA2B3D">
        <w:rPr>
          <w:rFonts w:ascii="Times New Roman" w:hAnsi="Times New Roman"/>
          <w:szCs w:val="22"/>
        </w:rPr>
        <w:t>pre príslušníkov policajného zboru, hasičského a záchranného zbo</w:t>
      </w:r>
      <w:r>
        <w:rPr>
          <w:rFonts w:ascii="Times New Roman" w:hAnsi="Times New Roman"/>
          <w:szCs w:val="22"/>
        </w:rPr>
        <w:t>ru a</w:t>
      </w:r>
      <w:r w:rsidR="00B125E1">
        <w:rPr>
          <w:rFonts w:ascii="Times New Roman" w:hAnsi="Times New Roman"/>
          <w:szCs w:val="22"/>
        </w:rPr>
        <w:t xml:space="preserve"> </w:t>
      </w:r>
      <w:r>
        <w:rPr>
          <w:rFonts w:ascii="Times New Roman" w:hAnsi="Times New Roman"/>
          <w:szCs w:val="22"/>
        </w:rPr>
        <w:t xml:space="preserve">horskej záchrannej služby, </w:t>
      </w:r>
      <w:r w:rsidRPr="00FA2B3D">
        <w:rPr>
          <w:rFonts w:ascii="Times New Roman" w:hAnsi="Times New Roman"/>
          <w:szCs w:val="22"/>
        </w:rPr>
        <w:t>nákup pracovnej obuvi hasičského a</w:t>
      </w:r>
      <w:r>
        <w:rPr>
          <w:rFonts w:ascii="Times New Roman" w:hAnsi="Times New Roman"/>
          <w:szCs w:val="22"/>
        </w:rPr>
        <w:t xml:space="preserve"> </w:t>
      </w:r>
      <w:r w:rsidRPr="00FA2B3D">
        <w:rPr>
          <w:rFonts w:ascii="Times New Roman" w:hAnsi="Times New Roman"/>
          <w:szCs w:val="22"/>
        </w:rPr>
        <w:t xml:space="preserve">záchranného zboru) a Ministerstva obrany SR </w:t>
      </w:r>
      <w:r>
        <w:rPr>
          <w:rFonts w:ascii="Times New Roman" w:hAnsi="Times New Roman"/>
          <w:szCs w:val="22"/>
        </w:rPr>
        <w:t>7</w:t>
      </w:r>
      <w:r w:rsidRPr="00FA2B3D">
        <w:rPr>
          <w:rFonts w:ascii="Times New Roman" w:hAnsi="Times New Roman"/>
          <w:szCs w:val="22"/>
        </w:rPr>
        <w:t> </w:t>
      </w:r>
      <w:r>
        <w:rPr>
          <w:rFonts w:ascii="Times New Roman" w:hAnsi="Times New Roman"/>
          <w:szCs w:val="22"/>
        </w:rPr>
        <w:t>859</w:t>
      </w:r>
      <w:r w:rsidRPr="00FA2B3D">
        <w:rPr>
          <w:rFonts w:ascii="Times New Roman" w:hAnsi="Times New Roman"/>
          <w:szCs w:val="22"/>
        </w:rPr>
        <w:t> tis. eur (odevy, obuv, ochranné pracovné odevy pre profesionálnych vojakov ozbrojených síl</w:t>
      </w:r>
      <w:r>
        <w:rPr>
          <w:rFonts w:ascii="Times New Roman" w:hAnsi="Times New Roman"/>
          <w:szCs w:val="22"/>
        </w:rPr>
        <w:t xml:space="preserve"> </w:t>
      </w:r>
      <w:r w:rsidRPr="00FA2B3D">
        <w:rPr>
          <w:rFonts w:ascii="Times New Roman" w:hAnsi="Times New Roman"/>
          <w:szCs w:val="22"/>
        </w:rPr>
        <w:t xml:space="preserve">SR). Výdavky na </w:t>
      </w:r>
      <w:r w:rsidRPr="00FA2B3D">
        <w:rPr>
          <w:rFonts w:ascii="Times New Roman" w:hAnsi="Times New Roman"/>
          <w:i/>
          <w:szCs w:val="22"/>
        </w:rPr>
        <w:t>špeciálne stroje, prístroje, zariadenia, techniku a náradia</w:t>
      </w:r>
      <w:r w:rsidRPr="00FA2B3D">
        <w:rPr>
          <w:rFonts w:ascii="Times New Roman" w:hAnsi="Times New Roman"/>
          <w:szCs w:val="22"/>
        </w:rPr>
        <w:t xml:space="preserve"> boli vynaložené vo výške </w:t>
      </w:r>
      <w:r>
        <w:rPr>
          <w:rFonts w:ascii="Times New Roman" w:hAnsi="Times New Roman"/>
          <w:szCs w:val="22"/>
        </w:rPr>
        <w:t xml:space="preserve">23 415 tis. eur s </w:t>
      </w:r>
      <w:r w:rsidRPr="00FA2B3D">
        <w:rPr>
          <w:rFonts w:ascii="Times New Roman" w:hAnsi="Times New Roman"/>
          <w:szCs w:val="22"/>
        </w:rPr>
        <w:t>rozhodujúci</w:t>
      </w:r>
      <w:r>
        <w:rPr>
          <w:rFonts w:ascii="Times New Roman" w:hAnsi="Times New Roman"/>
          <w:szCs w:val="22"/>
        </w:rPr>
        <w:t>m</w:t>
      </w:r>
      <w:r w:rsidRPr="00FA2B3D">
        <w:rPr>
          <w:rFonts w:ascii="Times New Roman" w:hAnsi="Times New Roman"/>
          <w:szCs w:val="22"/>
        </w:rPr>
        <w:t xml:space="preserve"> podiel</w:t>
      </w:r>
      <w:r>
        <w:rPr>
          <w:rFonts w:ascii="Times New Roman" w:hAnsi="Times New Roman"/>
          <w:szCs w:val="22"/>
        </w:rPr>
        <w:t>om kapitoly</w:t>
      </w:r>
      <w:r w:rsidRPr="00FA2B3D">
        <w:rPr>
          <w:rFonts w:ascii="Times New Roman" w:hAnsi="Times New Roman"/>
          <w:szCs w:val="22"/>
        </w:rPr>
        <w:t xml:space="preserve"> Ministerstv</w:t>
      </w:r>
      <w:r>
        <w:rPr>
          <w:rFonts w:ascii="Times New Roman" w:hAnsi="Times New Roman"/>
          <w:szCs w:val="22"/>
        </w:rPr>
        <w:t>a</w:t>
      </w:r>
      <w:r w:rsidRPr="00FA2B3D">
        <w:rPr>
          <w:rFonts w:ascii="Times New Roman" w:hAnsi="Times New Roman"/>
          <w:szCs w:val="22"/>
        </w:rPr>
        <w:t xml:space="preserve"> </w:t>
      </w:r>
      <w:r>
        <w:rPr>
          <w:rFonts w:ascii="Times New Roman" w:hAnsi="Times New Roman"/>
          <w:szCs w:val="22"/>
        </w:rPr>
        <w:t>obrany</w:t>
      </w:r>
      <w:r w:rsidRPr="00FA2B3D">
        <w:rPr>
          <w:rFonts w:ascii="Times New Roman" w:hAnsi="Times New Roman"/>
          <w:szCs w:val="22"/>
        </w:rPr>
        <w:t xml:space="preserve"> SR </w:t>
      </w:r>
      <w:r>
        <w:rPr>
          <w:rFonts w:ascii="Times New Roman" w:hAnsi="Times New Roman"/>
          <w:szCs w:val="22"/>
        </w:rPr>
        <w:t>(</w:t>
      </w:r>
      <w:r w:rsidRPr="00FA2B3D">
        <w:rPr>
          <w:rFonts w:ascii="Times New Roman" w:hAnsi="Times New Roman"/>
          <w:szCs w:val="22"/>
        </w:rPr>
        <w:t>1</w:t>
      </w:r>
      <w:r>
        <w:rPr>
          <w:rFonts w:ascii="Times New Roman" w:hAnsi="Times New Roman"/>
          <w:szCs w:val="22"/>
        </w:rPr>
        <w:t>9</w:t>
      </w:r>
      <w:r w:rsidRPr="00FA2B3D">
        <w:rPr>
          <w:rFonts w:ascii="Times New Roman" w:hAnsi="Times New Roman"/>
          <w:szCs w:val="22"/>
        </w:rPr>
        <w:t> </w:t>
      </w:r>
      <w:r>
        <w:rPr>
          <w:rFonts w:ascii="Times New Roman" w:hAnsi="Times New Roman"/>
          <w:szCs w:val="22"/>
        </w:rPr>
        <w:t>974</w:t>
      </w:r>
      <w:r w:rsidRPr="00FA2B3D">
        <w:rPr>
          <w:rFonts w:ascii="Times New Roman" w:hAnsi="Times New Roman"/>
          <w:szCs w:val="22"/>
        </w:rPr>
        <w:t> tis. eur)</w:t>
      </w:r>
      <w:r>
        <w:rPr>
          <w:rFonts w:ascii="Times New Roman" w:hAnsi="Times New Roman"/>
          <w:szCs w:val="22"/>
        </w:rPr>
        <w:t xml:space="preserve"> hlavne na </w:t>
      </w:r>
      <w:r w:rsidRPr="008B34AE">
        <w:rPr>
          <w:rFonts w:ascii="Times New Roman" w:hAnsi="Times New Roman"/>
          <w:szCs w:val="22"/>
        </w:rPr>
        <w:t>realizáciu modernizačných projektov rezortu obrany</w:t>
      </w:r>
      <w:r>
        <w:rPr>
          <w:rFonts w:ascii="Times New Roman" w:hAnsi="Times New Roman"/>
          <w:szCs w:val="22"/>
        </w:rPr>
        <w:t xml:space="preserve"> </w:t>
      </w:r>
      <w:r w:rsidRPr="008B34AE">
        <w:rPr>
          <w:rFonts w:ascii="Times New Roman" w:hAnsi="Times New Roman"/>
          <w:szCs w:val="22"/>
        </w:rPr>
        <w:t>a modernizáci</w:t>
      </w:r>
      <w:r>
        <w:rPr>
          <w:rFonts w:ascii="Times New Roman" w:hAnsi="Times New Roman"/>
          <w:szCs w:val="22"/>
        </w:rPr>
        <w:t>u</w:t>
      </w:r>
      <w:r w:rsidRPr="008B34AE">
        <w:rPr>
          <w:rFonts w:ascii="Times New Roman" w:hAnsi="Times New Roman"/>
          <w:szCs w:val="22"/>
        </w:rPr>
        <w:t xml:space="preserve"> </w:t>
      </w:r>
      <w:r>
        <w:rPr>
          <w:rFonts w:ascii="Times New Roman" w:hAnsi="Times New Roman"/>
          <w:szCs w:val="22"/>
        </w:rPr>
        <w:t>bojových vozidiel pechoty. Na</w:t>
      </w:r>
      <w:r w:rsidRPr="00FA2B3D">
        <w:rPr>
          <w:rFonts w:ascii="Times New Roman" w:hAnsi="Times New Roman"/>
          <w:szCs w:val="22"/>
        </w:rPr>
        <w:t xml:space="preserve"> </w:t>
      </w:r>
      <w:r w:rsidRPr="00FA2B3D">
        <w:rPr>
          <w:rFonts w:ascii="Times New Roman" w:hAnsi="Times New Roman"/>
          <w:i/>
          <w:szCs w:val="22"/>
        </w:rPr>
        <w:t>špeciálny materiál</w:t>
      </w:r>
      <w:r>
        <w:rPr>
          <w:rFonts w:ascii="Times New Roman" w:hAnsi="Times New Roman"/>
          <w:szCs w:val="22"/>
        </w:rPr>
        <w:t xml:space="preserve"> sa vynaložilo 18 </w:t>
      </w:r>
      <w:r w:rsidRPr="00FA2B3D">
        <w:rPr>
          <w:rFonts w:ascii="Times New Roman" w:hAnsi="Times New Roman"/>
          <w:szCs w:val="22"/>
        </w:rPr>
        <w:t>3</w:t>
      </w:r>
      <w:r>
        <w:rPr>
          <w:rFonts w:ascii="Times New Roman" w:hAnsi="Times New Roman"/>
          <w:szCs w:val="22"/>
        </w:rPr>
        <w:t>09 </w:t>
      </w:r>
      <w:r w:rsidRPr="00FA2B3D">
        <w:rPr>
          <w:rFonts w:ascii="Times New Roman" w:hAnsi="Times New Roman"/>
          <w:szCs w:val="22"/>
        </w:rPr>
        <w:t>tis.</w:t>
      </w:r>
      <w:r>
        <w:rPr>
          <w:rFonts w:ascii="Times New Roman" w:hAnsi="Times New Roman"/>
          <w:szCs w:val="22"/>
        </w:rPr>
        <w:t> </w:t>
      </w:r>
      <w:r w:rsidRPr="00FA2B3D">
        <w:rPr>
          <w:rFonts w:ascii="Times New Roman" w:hAnsi="Times New Roman"/>
          <w:szCs w:val="22"/>
        </w:rPr>
        <w:t>eur</w:t>
      </w:r>
      <w:r>
        <w:rPr>
          <w:rFonts w:ascii="Times New Roman" w:hAnsi="Times New Roman"/>
          <w:szCs w:val="22"/>
        </w:rPr>
        <w:t>. R</w:t>
      </w:r>
      <w:r w:rsidRPr="00FA2B3D">
        <w:rPr>
          <w:rFonts w:ascii="Times New Roman" w:hAnsi="Times New Roman"/>
          <w:szCs w:val="22"/>
        </w:rPr>
        <w:t>ozhodujúci podiel</w:t>
      </w:r>
      <w:r>
        <w:rPr>
          <w:rFonts w:ascii="Times New Roman" w:hAnsi="Times New Roman"/>
          <w:szCs w:val="22"/>
        </w:rPr>
        <w:t xml:space="preserve"> malo</w:t>
      </w:r>
      <w:r w:rsidRPr="00FA2B3D">
        <w:rPr>
          <w:rFonts w:ascii="Times New Roman" w:hAnsi="Times New Roman"/>
          <w:szCs w:val="22"/>
        </w:rPr>
        <w:t xml:space="preserve"> Ministerstvo vnútra SR </w:t>
      </w:r>
      <w:r>
        <w:rPr>
          <w:rFonts w:ascii="Times New Roman" w:hAnsi="Times New Roman"/>
          <w:szCs w:val="22"/>
        </w:rPr>
        <w:t>(10</w:t>
      </w:r>
      <w:r w:rsidRPr="00FA2B3D">
        <w:rPr>
          <w:rFonts w:ascii="Times New Roman" w:hAnsi="Times New Roman"/>
          <w:szCs w:val="22"/>
        </w:rPr>
        <w:t> </w:t>
      </w:r>
      <w:r>
        <w:rPr>
          <w:rFonts w:ascii="Times New Roman" w:hAnsi="Times New Roman"/>
          <w:szCs w:val="22"/>
        </w:rPr>
        <w:t>126 tis. eur), pričom prostriedky boli použité najmä na</w:t>
      </w:r>
      <w:r w:rsidRPr="008B34AE">
        <w:rPr>
          <w:rFonts w:ascii="Times New Roman" w:hAnsi="Times New Roman"/>
          <w:szCs w:val="22"/>
        </w:rPr>
        <w:t xml:space="preserve"> platb</w:t>
      </w:r>
      <w:r>
        <w:rPr>
          <w:rFonts w:ascii="Times New Roman" w:hAnsi="Times New Roman"/>
          <w:szCs w:val="22"/>
        </w:rPr>
        <w:t>y</w:t>
      </w:r>
      <w:r w:rsidRPr="008B34AE">
        <w:rPr>
          <w:rFonts w:ascii="Times New Roman" w:hAnsi="Times New Roman"/>
          <w:szCs w:val="22"/>
        </w:rPr>
        <w:t xml:space="preserve"> za osobné doklady (napr. vodičské preukazy formátu EÚ, občianske preukazy formátu EÚ, cestovné pasy s biometriou, osvedčenia o evidencii vozidla, povolenia na pobyt), platb</w:t>
      </w:r>
      <w:r>
        <w:rPr>
          <w:rFonts w:ascii="Times New Roman" w:hAnsi="Times New Roman"/>
          <w:szCs w:val="22"/>
        </w:rPr>
        <w:t xml:space="preserve">y </w:t>
      </w:r>
      <w:r w:rsidRPr="008B34AE">
        <w:rPr>
          <w:rFonts w:ascii="Times New Roman" w:hAnsi="Times New Roman"/>
          <w:szCs w:val="22"/>
        </w:rPr>
        <w:t>za výzbrojný materiál a o</w:t>
      </w:r>
      <w:r>
        <w:rPr>
          <w:rFonts w:ascii="Times New Roman" w:hAnsi="Times New Roman"/>
          <w:szCs w:val="22"/>
        </w:rPr>
        <w:t xml:space="preserve">bmenu zbraní a nákup streliva. </w:t>
      </w:r>
      <w:r w:rsidRPr="00FA2B3D">
        <w:rPr>
          <w:rFonts w:ascii="Times New Roman" w:hAnsi="Times New Roman"/>
          <w:szCs w:val="22"/>
        </w:rPr>
        <w:t xml:space="preserve">Za </w:t>
      </w:r>
      <w:r w:rsidRPr="00FA2B3D">
        <w:rPr>
          <w:rFonts w:ascii="Times New Roman" w:hAnsi="Times New Roman"/>
          <w:i/>
          <w:szCs w:val="22"/>
        </w:rPr>
        <w:t>tlač, knihy, učebnice a učebné pomôcky</w:t>
      </w:r>
      <w:r w:rsidRPr="00FA2B3D">
        <w:rPr>
          <w:rFonts w:ascii="Times New Roman" w:hAnsi="Times New Roman"/>
          <w:szCs w:val="22"/>
        </w:rPr>
        <w:t xml:space="preserve"> sa vynaložilo </w:t>
      </w:r>
      <w:r>
        <w:rPr>
          <w:rFonts w:ascii="Times New Roman" w:hAnsi="Times New Roman"/>
          <w:szCs w:val="22"/>
        </w:rPr>
        <w:t>18 268</w:t>
      </w:r>
      <w:r w:rsidRPr="00FA2B3D">
        <w:rPr>
          <w:rFonts w:ascii="Times New Roman" w:hAnsi="Times New Roman"/>
          <w:szCs w:val="22"/>
        </w:rPr>
        <w:t xml:space="preserve"> tis. eur, rozhodujúci podiel malo Ministerstvo školstva, vedy, výskumu a športu SR </w:t>
      </w:r>
      <w:r>
        <w:rPr>
          <w:rFonts w:ascii="Times New Roman" w:hAnsi="Times New Roman"/>
          <w:szCs w:val="22"/>
        </w:rPr>
        <w:t>(14 963 </w:t>
      </w:r>
      <w:r w:rsidRPr="00FA2B3D">
        <w:rPr>
          <w:rFonts w:ascii="Times New Roman" w:hAnsi="Times New Roman"/>
          <w:szCs w:val="22"/>
        </w:rPr>
        <w:t>tis. </w:t>
      </w:r>
      <w:r>
        <w:rPr>
          <w:rFonts w:ascii="Times New Roman" w:hAnsi="Times New Roman"/>
          <w:szCs w:val="22"/>
        </w:rPr>
        <w:t xml:space="preserve">eur). </w:t>
      </w:r>
    </w:p>
    <w:p w:rsidR="0003598A" w:rsidRPr="00AC5A5B" w:rsidP="0003598A">
      <w:pPr>
        <w:suppressAutoHyphens/>
        <w:bidi w:val="0"/>
        <w:rPr>
          <w:rFonts w:ascii="Times New Roman" w:hAnsi="Times New Roman"/>
          <w:szCs w:val="22"/>
        </w:rPr>
      </w:pPr>
      <w:r w:rsidRPr="00715FD8">
        <w:rPr>
          <w:rFonts w:ascii="Times New Roman" w:hAnsi="Times New Roman"/>
          <w:szCs w:val="22"/>
        </w:rPr>
        <w:t xml:space="preserve">V položke </w:t>
      </w:r>
      <w:r w:rsidRPr="00715FD8">
        <w:rPr>
          <w:rFonts w:ascii="Times New Roman" w:hAnsi="Times New Roman"/>
          <w:b/>
          <w:i/>
          <w:szCs w:val="22"/>
        </w:rPr>
        <w:t>energie, voda a komunikácie</w:t>
      </w:r>
      <w:r w:rsidRPr="00715FD8">
        <w:rPr>
          <w:rFonts w:ascii="Times New Roman" w:hAnsi="Times New Roman"/>
          <w:szCs w:val="22"/>
        </w:rPr>
        <w:t xml:space="preserve"> sú skumulované výdavky na všetky druhy energií, poštové a telekomunikačné služby a taktiež na komunikačnú infraštruktúru. V rozhodujúcej miere sa </w:t>
      </w:r>
      <w:r w:rsidR="00BF491D">
        <w:rPr>
          <w:rFonts w:ascii="Times New Roman" w:hAnsi="Times New Roman"/>
          <w:szCs w:val="22"/>
        </w:rPr>
        <w:br/>
      </w:r>
      <w:r w:rsidRPr="00715FD8">
        <w:rPr>
          <w:rFonts w:ascii="Times New Roman" w:hAnsi="Times New Roman"/>
          <w:szCs w:val="22"/>
        </w:rPr>
        <w:t xml:space="preserve">na nich podieľajú úhrady </w:t>
      </w:r>
      <w:r w:rsidRPr="00715FD8">
        <w:rPr>
          <w:rFonts w:ascii="Times New Roman" w:hAnsi="Times New Roman"/>
          <w:i/>
          <w:szCs w:val="22"/>
        </w:rPr>
        <w:t>energií</w:t>
      </w:r>
      <w:r w:rsidRPr="00715FD8">
        <w:rPr>
          <w:rFonts w:ascii="Times New Roman" w:hAnsi="Times New Roman"/>
          <w:szCs w:val="22"/>
        </w:rPr>
        <w:t xml:space="preserve"> 7</w:t>
      </w:r>
      <w:r>
        <w:rPr>
          <w:rFonts w:ascii="Times New Roman" w:hAnsi="Times New Roman"/>
          <w:szCs w:val="22"/>
        </w:rPr>
        <w:t>8</w:t>
      </w:r>
      <w:r w:rsidRPr="00715FD8">
        <w:rPr>
          <w:rFonts w:ascii="Times New Roman" w:hAnsi="Times New Roman"/>
          <w:szCs w:val="22"/>
        </w:rPr>
        <w:t> </w:t>
      </w:r>
      <w:r>
        <w:rPr>
          <w:rFonts w:ascii="Times New Roman" w:hAnsi="Times New Roman"/>
          <w:szCs w:val="22"/>
        </w:rPr>
        <w:t>3</w:t>
      </w:r>
      <w:r w:rsidRPr="00715FD8">
        <w:rPr>
          <w:rFonts w:ascii="Times New Roman" w:hAnsi="Times New Roman"/>
          <w:szCs w:val="22"/>
        </w:rPr>
        <w:t>5</w:t>
      </w:r>
      <w:r>
        <w:rPr>
          <w:rFonts w:ascii="Times New Roman" w:hAnsi="Times New Roman"/>
          <w:szCs w:val="22"/>
        </w:rPr>
        <w:t>8</w:t>
      </w:r>
      <w:r w:rsidRPr="00715FD8">
        <w:rPr>
          <w:rFonts w:ascii="Times New Roman" w:hAnsi="Times New Roman"/>
          <w:szCs w:val="22"/>
        </w:rPr>
        <w:t> tis. eur (z toho najviac Ministerstvo vnútra SR 27 2</w:t>
      </w:r>
      <w:r>
        <w:rPr>
          <w:rFonts w:ascii="Times New Roman" w:hAnsi="Times New Roman"/>
          <w:szCs w:val="22"/>
        </w:rPr>
        <w:t>20</w:t>
      </w:r>
      <w:r w:rsidRPr="00715FD8">
        <w:rPr>
          <w:rFonts w:ascii="Times New Roman" w:hAnsi="Times New Roman"/>
          <w:szCs w:val="22"/>
        </w:rPr>
        <w:t> tis. eur a Ministerstvo obrany SR 18 8</w:t>
      </w:r>
      <w:r>
        <w:rPr>
          <w:rFonts w:ascii="Times New Roman" w:hAnsi="Times New Roman"/>
          <w:szCs w:val="22"/>
        </w:rPr>
        <w:t>19</w:t>
      </w:r>
      <w:r w:rsidRPr="00715FD8">
        <w:rPr>
          <w:rFonts w:ascii="Times New Roman" w:hAnsi="Times New Roman"/>
          <w:szCs w:val="22"/>
        </w:rPr>
        <w:t xml:space="preserve"> tis. eur). </w:t>
      </w:r>
      <w:r>
        <w:rPr>
          <w:rFonts w:ascii="Times New Roman" w:hAnsi="Times New Roman"/>
          <w:szCs w:val="22"/>
        </w:rPr>
        <w:t xml:space="preserve">Od roku 2017 sa výdavky na </w:t>
      </w:r>
      <w:r w:rsidRPr="00715FD8">
        <w:rPr>
          <w:rFonts w:ascii="Times New Roman" w:hAnsi="Times New Roman"/>
          <w:i/>
          <w:szCs w:val="22"/>
        </w:rPr>
        <w:t>poštové a telekomunikačné služby</w:t>
      </w:r>
      <w:r w:rsidRPr="001A707B">
        <w:rPr>
          <w:rFonts w:ascii="Times New Roman" w:hAnsi="Times New Roman"/>
          <w:szCs w:val="22"/>
        </w:rPr>
        <w:t xml:space="preserve"> </w:t>
      </w:r>
      <w:r>
        <w:rPr>
          <w:rFonts w:ascii="Times New Roman" w:hAnsi="Times New Roman"/>
          <w:szCs w:val="22"/>
        </w:rPr>
        <w:t xml:space="preserve">vykazujú v samostatne: </w:t>
      </w:r>
      <w:r w:rsidRPr="002D3859">
        <w:rPr>
          <w:rFonts w:ascii="Times New Roman" w:hAnsi="Times New Roman"/>
          <w:i/>
          <w:szCs w:val="22"/>
        </w:rPr>
        <w:t>poštové služby</w:t>
      </w:r>
      <w:r>
        <w:rPr>
          <w:rFonts w:ascii="Times New Roman" w:hAnsi="Times New Roman"/>
          <w:szCs w:val="22"/>
        </w:rPr>
        <w:t xml:space="preserve"> (25 112 tis. eur) a </w:t>
      </w:r>
      <w:r w:rsidRPr="00715FD8">
        <w:rPr>
          <w:rFonts w:ascii="Times New Roman" w:hAnsi="Times New Roman"/>
          <w:i/>
          <w:szCs w:val="22"/>
        </w:rPr>
        <w:t>telekomunikačné služby</w:t>
      </w:r>
      <w:r>
        <w:rPr>
          <w:rFonts w:ascii="Times New Roman" w:hAnsi="Times New Roman"/>
          <w:szCs w:val="22"/>
        </w:rPr>
        <w:t xml:space="preserve"> (14 251 tis. eur). Čerpanie výdavkov na poštové služby bolo nižš</w:t>
      </w:r>
      <w:r w:rsidR="00B125E1">
        <w:rPr>
          <w:rFonts w:ascii="Times New Roman" w:hAnsi="Times New Roman"/>
          <w:szCs w:val="22"/>
        </w:rPr>
        <w:t>ie oproti rozpočtu, čo súvisí s </w:t>
      </w:r>
      <w:r w:rsidRPr="001B6654">
        <w:rPr>
          <w:rFonts w:ascii="Times New Roman" w:hAnsi="Times New Roman"/>
          <w:szCs w:val="22"/>
        </w:rPr>
        <w:t>elekt</w:t>
      </w:r>
      <w:r>
        <w:rPr>
          <w:rFonts w:ascii="Times New Roman" w:hAnsi="Times New Roman"/>
          <w:szCs w:val="22"/>
        </w:rPr>
        <w:t>ronickou komunikáciou me</w:t>
      </w:r>
      <w:r w:rsidR="00F17E8A">
        <w:rPr>
          <w:rFonts w:ascii="Times New Roman" w:hAnsi="Times New Roman"/>
          <w:szCs w:val="22"/>
        </w:rPr>
        <w:t>dzi orgánmi verejnej moci podľa</w:t>
        <w:br/>
      </w:r>
      <w:r>
        <w:rPr>
          <w:rFonts w:ascii="Times New Roman" w:hAnsi="Times New Roman"/>
          <w:szCs w:val="22"/>
        </w:rPr>
        <w:t>zákona č</w:t>
      </w:r>
      <w:r w:rsidRPr="001B6654">
        <w:rPr>
          <w:rFonts w:ascii="Times New Roman" w:hAnsi="Times New Roman"/>
          <w:szCs w:val="22"/>
        </w:rPr>
        <w:t>. 305/2013 Z.</w:t>
      </w:r>
      <w:r>
        <w:rPr>
          <w:rFonts w:ascii="Times New Roman" w:hAnsi="Times New Roman"/>
          <w:szCs w:val="22"/>
        </w:rPr>
        <w:t> z</w:t>
      </w:r>
      <w:r w:rsidRPr="001B6654">
        <w:rPr>
          <w:rFonts w:ascii="Times New Roman" w:hAnsi="Times New Roman"/>
          <w:szCs w:val="22"/>
        </w:rPr>
        <w:t>. o</w:t>
      </w:r>
      <w:r>
        <w:rPr>
          <w:rFonts w:ascii="Times New Roman" w:hAnsi="Times New Roman"/>
          <w:szCs w:val="22"/>
        </w:rPr>
        <w:t> </w:t>
      </w:r>
      <w:r w:rsidRPr="001B6654">
        <w:rPr>
          <w:rFonts w:ascii="Times New Roman" w:hAnsi="Times New Roman"/>
          <w:szCs w:val="22"/>
        </w:rPr>
        <w:t xml:space="preserve">e-Governmente, </w:t>
      </w:r>
      <w:r>
        <w:rPr>
          <w:rFonts w:ascii="Times New Roman" w:hAnsi="Times New Roman"/>
          <w:szCs w:val="22"/>
        </w:rPr>
        <w:t>ako aj so s</w:t>
      </w:r>
      <w:r w:rsidRPr="001B6654">
        <w:rPr>
          <w:rFonts w:ascii="Times New Roman" w:hAnsi="Times New Roman"/>
          <w:szCs w:val="22"/>
        </w:rPr>
        <w:t>pracovaním záznamov, dokumentov elektronickou formou</w:t>
      </w:r>
      <w:r>
        <w:rPr>
          <w:rFonts w:ascii="Times New Roman" w:hAnsi="Times New Roman"/>
          <w:szCs w:val="22"/>
        </w:rPr>
        <w:t>.</w:t>
      </w:r>
      <w:r w:rsidRPr="001B6654">
        <w:rPr>
          <w:rFonts w:ascii="Times New Roman" w:hAnsi="Times New Roman"/>
          <w:szCs w:val="22"/>
        </w:rPr>
        <w:t xml:space="preserve"> </w:t>
      </w:r>
      <w:r>
        <w:rPr>
          <w:rFonts w:ascii="Times New Roman" w:hAnsi="Times New Roman"/>
          <w:szCs w:val="22"/>
        </w:rPr>
        <w:t xml:space="preserve">Elektronická </w:t>
      </w:r>
      <w:r w:rsidRPr="001B6654">
        <w:rPr>
          <w:rFonts w:ascii="Times New Roman" w:hAnsi="Times New Roman"/>
          <w:szCs w:val="22"/>
        </w:rPr>
        <w:t>evidenci</w:t>
      </w:r>
      <w:r>
        <w:rPr>
          <w:rFonts w:ascii="Times New Roman" w:hAnsi="Times New Roman"/>
          <w:szCs w:val="22"/>
        </w:rPr>
        <w:t>a</w:t>
      </w:r>
      <w:r w:rsidRPr="001B6654">
        <w:rPr>
          <w:rFonts w:ascii="Times New Roman" w:hAnsi="Times New Roman"/>
          <w:szCs w:val="22"/>
        </w:rPr>
        <w:t xml:space="preserve"> doručených záznamov, príprav</w:t>
      </w:r>
      <w:r>
        <w:rPr>
          <w:rFonts w:ascii="Times New Roman" w:hAnsi="Times New Roman"/>
          <w:szCs w:val="22"/>
        </w:rPr>
        <w:t>a</w:t>
      </w:r>
      <w:r w:rsidRPr="001B6654">
        <w:rPr>
          <w:rFonts w:ascii="Times New Roman" w:hAnsi="Times New Roman"/>
          <w:szCs w:val="22"/>
        </w:rPr>
        <w:t xml:space="preserve"> odoslaných záznamov, vnútorn</w:t>
      </w:r>
      <w:r>
        <w:rPr>
          <w:rFonts w:ascii="Times New Roman" w:hAnsi="Times New Roman"/>
          <w:szCs w:val="22"/>
        </w:rPr>
        <w:t>á korešpondencia v</w:t>
      </w:r>
      <w:r w:rsidRPr="001B6654">
        <w:rPr>
          <w:rFonts w:ascii="Times New Roman" w:hAnsi="Times New Roman"/>
          <w:szCs w:val="22"/>
        </w:rPr>
        <w:t xml:space="preserve"> rámci Ministerstva vnútra SR </w:t>
      </w:r>
      <w:r>
        <w:rPr>
          <w:rFonts w:ascii="Times New Roman" w:hAnsi="Times New Roman"/>
          <w:szCs w:val="22"/>
        </w:rPr>
        <w:t>znižuje zasielanie</w:t>
      </w:r>
      <w:r w:rsidRPr="001B6654">
        <w:rPr>
          <w:rFonts w:ascii="Times New Roman" w:hAnsi="Times New Roman"/>
          <w:szCs w:val="22"/>
        </w:rPr>
        <w:t xml:space="preserve"> </w:t>
      </w:r>
      <w:r>
        <w:rPr>
          <w:rFonts w:ascii="Times New Roman" w:hAnsi="Times New Roman"/>
          <w:szCs w:val="22"/>
        </w:rPr>
        <w:t xml:space="preserve">poštových zásielok </w:t>
      </w:r>
      <w:r w:rsidR="00BF491D">
        <w:rPr>
          <w:rFonts w:ascii="Times New Roman" w:hAnsi="Times New Roman"/>
          <w:szCs w:val="22"/>
        </w:rPr>
        <w:br/>
      </w:r>
      <w:r>
        <w:rPr>
          <w:rFonts w:ascii="Times New Roman" w:hAnsi="Times New Roman"/>
          <w:szCs w:val="22"/>
        </w:rPr>
        <w:t>cez Slovenskú</w:t>
      </w:r>
      <w:r w:rsidRPr="001B6654">
        <w:rPr>
          <w:rFonts w:ascii="Times New Roman" w:hAnsi="Times New Roman"/>
          <w:szCs w:val="22"/>
        </w:rPr>
        <w:t xml:space="preserve"> po</w:t>
      </w:r>
      <w:r>
        <w:rPr>
          <w:rFonts w:ascii="Times New Roman" w:hAnsi="Times New Roman"/>
          <w:szCs w:val="22"/>
        </w:rPr>
        <w:t>š</w:t>
      </w:r>
      <w:r w:rsidRPr="001B6654">
        <w:rPr>
          <w:rFonts w:ascii="Times New Roman" w:hAnsi="Times New Roman"/>
          <w:szCs w:val="22"/>
        </w:rPr>
        <w:t>tu,</w:t>
      </w:r>
      <w:r>
        <w:rPr>
          <w:rFonts w:ascii="Times New Roman" w:hAnsi="Times New Roman"/>
          <w:szCs w:val="22"/>
        </w:rPr>
        <w:t xml:space="preserve"> </w:t>
      </w:r>
      <w:r w:rsidRPr="001B6654">
        <w:rPr>
          <w:rFonts w:ascii="Times New Roman" w:hAnsi="Times New Roman"/>
          <w:szCs w:val="22"/>
        </w:rPr>
        <w:t>a.</w:t>
      </w:r>
      <w:r>
        <w:rPr>
          <w:rFonts w:ascii="Times New Roman" w:hAnsi="Times New Roman"/>
          <w:szCs w:val="22"/>
        </w:rPr>
        <w:t> </w:t>
      </w:r>
      <w:r w:rsidRPr="001B6654">
        <w:rPr>
          <w:rFonts w:ascii="Times New Roman" w:hAnsi="Times New Roman"/>
          <w:szCs w:val="22"/>
        </w:rPr>
        <w:t>s.</w:t>
      </w:r>
      <w:r>
        <w:rPr>
          <w:rFonts w:ascii="Times New Roman" w:hAnsi="Times New Roman"/>
          <w:szCs w:val="22"/>
        </w:rPr>
        <w:t xml:space="preserve"> </w:t>
      </w:r>
      <w:r w:rsidRPr="00956ED0">
        <w:rPr>
          <w:rFonts w:ascii="Times New Roman" w:hAnsi="Times New Roman"/>
          <w:szCs w:val="22"/>
        </w:rPr>
        <w:t xml:space="preserve">Z výdavkov na </w:t>
      </w:r>
      <w:r w:rsidRPr="00956ED0">
        <w:rPr>
          <w:rFonts w:ascii="Times New Roman" w:hAnsi="Times New Roman"/>
          <w:i/>
          <w:szCs w:val="22"/>
        </w:rPr>
        <w:t>komunikačnú infraštruktúru</w:t>
      </w:r>
      <w:r w:rsidRPr="00956ED0">
        <w:rPr>
          <w:rFonts w:ascii="Times New Roman" w:hAnsi="Times New Roman"/>
          <w:szCs w:val="22"/>
        </w:rPr>
        <w:t xml:space="preserve"> 47 194 tis. eur sa v prevažnej miere uhrádzali služby týkajúce sa diaľkových telekomunikačných okruhov, dátových sietí, pevných sietí, server hous</w:t>
      </w:r>
      <w:r>
        <w:rPr>
          <w:rFonts w:ascii="Times New Roman" w:hAnsi="Times New Roman"/>
          <w:szCs w:val="22"/>
        </w:rPr>
        <w:t>ingu, on-line podpory a</w:t>
      </w:r>
      <w:r w:rsidR="00B125E1">
        <w:rPr>
          <w:rFonts w:ascii="Times New Roman" w:hAnsi="Times New Roman"/>
          <w:szCs w:val="22"/>
        </w:rPr>
        <w:t> </w:t>
      </w:r>
      <w:r>
        <w:rPr>
          <w:rFonts w:ascii="Times New Roman" w:hAnsi="Times New Roman"/>
          <w:szCs w:val="22"/>
        </w:rPr>
        <w:t>pod</w:t>
      </w:r>
      <w:r w:rsidR="00B125E1">
        <w:rPr>
          <w:rFonts w:ascii="Times New Roman" w:hAnsi="Times New Roman"/>
          <w:szCs w:val="22"/>
        </w:rPr>
        <w:t>.</w:t>
      </w:r>
      <w:r w:rsidRPr="00AC5A5B">
        <w:rPr>
          <w:rFonts w:ascii="Times New Roman" w:hAnsi="Times New Roman"/>
          <w:szCs w:val="22"/>
        </w:rPr>
        <w:t xml:space="preserve"> </w:t>
      </w:r>
    </w:p>
    <w:p w:rsidR="0003598A" w:rsidRPr="00E518AD" w:rsidP="0003598A">
      <w:pPr>
        <w:suppressAutoHyphens/>
        <w:bidi w:val="0"/>
        <w:rPr>
          <w:rFonts w:ascii="Times New Roman" w:hAnsi="Times New Roman"/>
          <w:b/>
          <w:i/>
          <w:szCs w:val="22"/>
        </w:rPr>
      </w:pPr>
      <w:r w:rsidRPr="00E518AD">
        <w:rPr>
          <w:rFonts w:ascii="Times New Roman" w:hAnsi="Times New Roman"/>
          <w:szCs w:val="22"/>
        </w:rPr>
        <w:t>Z položky</w:t>
      </w:r>
      <w:r w:rsidRPr="00E518AD">
        <w:rPr>
          <w:rFonts w:ascii="Times New Roman" w:hAnsi="Times New Roman"/>
          <w:b/>
          <w:i/>
          <w:szCs w:val="22"/>
        </w:rPr>
        <w:t xml:space="preserve"> nájomné</w:t>
      </w:r>
      <w:r>
        <w:rPr>
          <w:rFonts w:ascii="Times New Roman" w:hAnsi="Times New Roman"/>
          <w:b/>
          <w:i/>
          <w:szCs w:val="22"/>
        </w:rPr>
        <w:t xml:space="preserve"> za nájom</w:t>
      </w:r>
      <w:r w:rsidRPr="00E518AD">
        <w:rPr>
          <w:rFonts w:ascii="Times New Roman" w:hAnsi="Times New Roman"/>
          <w:szCs w:val="22"/>
        </w:rPr>
        <w:t xml:space="preserve"> bolo na úhrady za </w:t>
      </w:r>
      <w:r w:rsidRPr="00E518AD">
        <w:rPr>
          <w:rFonts w:ascii="Times New Roman" w:hAnsi="Times New Roman"/>
          <w:i/>
          <w:szCs w:val="22"/>
        </w:rPr>
        <w:t>prenájom budov, objektov alebo ich častí</w:t>
      </w:r>
      <w:r w:rsidRPr="00E518AD">
        <w:rPr>
          <w:rFonts w:ascii="Times New Roman" w:hAnsi="Times New Roman"/>
          <w:szCs w:val="22"/>
        </w:rPr>
        <w:t xml:space="preserve"> vynaložených 160</w:t>
      </w:r>
      <w:r>
        <w:rPr>
          <w:rFonts w:ascii="Times New Roman" w:hAnsi="Times New Roman"/>
          <w:szCs w:val="22"/>
        </w:rPr>
        <w:t> 357 </w:t>
      </w:r>
      <w:r w:rsidRPr="00E518AD">
        <w:rPr>
          <w:rFonts w:ascii="Times New Roman" w:hAnsi="Times New Roman"/>
          <w:szCs w:val="22"/>
        </w:rPr>
        <w:t>tis.</w:t>
      </w:r>
      <w:r>
        <w:rPr>
          <w:rFonts w:ascii="Times New Roman" w:hAnsi="Times New Roman"/>
          <w:szCs w:val="22"/>
        </w:rPr>
        <w:t> </w:t>
      </w:r>
      <w:r w:rsidRPr="00E518AD">
        <w:rPr>
          <w:rFonts w:ascii="Times New Roman" w:hAnsi="Times New Roman"/>
          <w:szCs w:val="22"/>
        </w:rPr>
        <w:t xml:space="preserve">eur, na čom sa v rozhodujúcej miere podieľala kapitola </w:t>
      </w:r>
      <w:r>
        <w:rPr>
          <w:rFonts w:ascii="Times New Roman" w:hAnsi="Times New Roman"/>
          <w:szCs w:val="22"/>
        </w:rPr>
        <w:t xml:space="preserve">Ministerstva dopravy a výstavby </w:t>
      </w:r>
      <w:r w:rsidRPr="00E518AD">
        <w:rPr>
          <w:rFonts w:ascii="Times New Roman" w:hAnsi="Times New Roman"/>
          <w:szCs w:val="22"/>
        </w:rPr>
        <w:t>SR</w:t>
      </w:r>
      <w:r>
        <w:rPr>
          <w:rFonts w:ascii="Times New Roman" w:hAnsi="Times New Roman"/>
          <w:szCs w:val="22"/>
        </w:rPr>
        <w:t>, a to sumou 125 422 </w:t>
      </w:r>
      <w:r w:rsidRPr="00E518AD">
        <w:rPr>
          <w:rFonts w:ascii="Times New Roman" w:hAnsi="Times New Roman"/>
          <w:szCs w:val="22"/>
        </w:rPr>
        <w:t>tis.</w:t>
      </w:r>
      <w:r>
        <w:rPr>
          <w:rFonts w:ascii="Times New Roman" w:hAnsi="Times New Roman"/>
          <w:szCs w:val="22"/>
        </w:rPr>
        <w:t> </w:t>
      </w:r>
      <w:r w:rsidRPr="00E518AD">
        <w:rPr>
          <w:rFonts w:ascii="Times New Roman" w:hAnsi="Times New Roman"/>
          <w:szCs w:val="22"/>
        </w:rPr>
        <w:t>eur. Podstatná časť (124 1</w:t>
      </w:r>
      <w:r>
        <w:rPr>
          <w:rFonts w:ascii="Times New Roman" w:hAnsi="Times New Roman"/>
          <w:szCs w:val="22"/>
        </w:rPr>
        <w:t>84</w:t>
      </w:r>
      <w:r w:rsidRPr="00E518AD">
        <w:rPr>
          <w:rFonts w:ascii="Times New Roman" w:hAnsi="Times New Roman"/>
          <w:szCs w:val="22"/>
        </w:rPr>
        <w:t> tis. eur) bola použitá na platbu za dostupnosť pre 2. balík PPP - na úhradu nerozporovaných častí mesačných jednotkových platieb fakturovaných v súlade s koncesnou zmluvou.</w:t>
      </w:r>
      <w:r>
        <w:rPr>
          <w:rFonts w:ascii="Times New Roman" w:hAnsi="Times New Roman"/>
          <w:szCs w:val="22"/>
        </w:rPr>
        <w:t xml:space="preserve"> </w:t>
      </w:r>
    </w:p>
    <w:p w:rsidR="0003598A" w:rsidP="0003598A">
      <w:pPr>
        <w:suppressAutoHyphens/>
        <w:bidi w:val="0"/>
        <w:rPr>
          <w:rFonts w:ascii="Times New Roman" w:hAnsi="Times New Roman"/>
          <w:szCs w:val="22"/>
        </w:rPr>
      </w:pPr>
      <w:r w:rsidRPr="008B34AE">
        <w:rPr>
          <w:rFonts w:ascii="Times New Roman" w:hAnsi="Times New Roman"/>
          <w:szCs w:val="22"/>
        </w:rPr>
        <w:t xml:space="preserve">V </w:t>
      </w:r>
      <w:r w:rsidRPr="008B34AE">
        <w:rPr>
          <w:rFonts w:ascii="Times New Roman" w:hAnsi="Times New Roman"/>
          <w:b/>
          <w:i/>
          <w:szCs w:val="22"/>
        </w:rPr>
        <w:t xml:space="preserve">dopravnom </w:t>
      </w:r>
      <w:r w:rsidRPr="008B34AE">
        <w:rPr>
          <w:rFonts w:ascii="Times New Roman" w:hAnsi="Times New Roman"/>
          <w:szCs w:val="22"/>
        </w:rPr>
        <w:t>sú zah</w:t>
      </w:r>
      <w:r>
        <w:rPr>
          <w:rFonts w:ascii="Times New Roman" w:hAnsi="Times New Roman"/>
          <w:szCs w:val="22"/>
        </w:rPr>
        <w:t xml:space="preserve">rnuté výdavky na dopravu ľudí a </w:t>
      </w:r>
      <w:r w:rsidRPr="008B34AE">
        <w:rPr>
          <w:rFonts w:ascii="Times New Roman" w:hAnsi="Times New Roman"/>
          <w:szCs w:val="22"/>
        </w:rPr>
        <w:t>tovaru za prevádzkovým účelom, vrátane služobných a prenajatých dopravných prostriedkov, ďalej výdavky na servis, údržbu a opravy služobných dopravných prostriedkov. Za rok 201</w:t>
      </w:r>
      <w:r>
        <w:rPr>
          <w:rFonts w:ascii="Times New Roman" w:hAnsi="Times New Roman"/>
          <w:szCs w:val="22"/>
        </w:rPr>
        <w:t>7</w:t>
      </w:r>
      <w:r w:rsidRPr="008B34AE">
        <w:rPr>
          <w:rFonts w:ascii="Times New Roman" w:hAnsi="Times New Roman"/>
          <w:szCs w:val="22"/>
        </w:rPr>
        <w:t xml:space="preserve"> pripadlo najviac na platby za </w:t>
      </w:r>
      <w:r>
        <w:rPr>
          <w:rFonts w:ascii="Times New Roman" w:hAnsi="Times New Roman"/>
          <w:szCs w:val="22"/>
        </w:rPr>
        <w:t>p</w:t>
      </w:r>
      <w:r w:rsidRPr="005B2FD3">
        <w:rPr>
          <w:rFonts w:ascii="Times New Roman" w:hAnsi="Times New Roman"/>
          <w:i/>
          <w:szCs w:val="22"/>
        </w:rPr>
        <w:t>alivo, mazivá, oleje, špeciálne kvapaliny</w:t>
      </w:r>
      <w:r>
        <w:rPr>
          <w:rFonts w:ascii="Times New Roman" w:hAnsi="Times New Roman"/>
          <w:szCs w:val="22"/>
        </w:rPr>
        <w:t xml:space="preserve"> 27 363 </w:t>
      </w:r>
      <w:r w:rsidRPr="008B34AE">
        <w:rPr>
          <w:rFonts w:ascii="Times New Roman" w:hAnsi="Times New Roman"/>
          <w:szCs w:val="22"/>
        </w:rPr>
        <w:t>tis.</w:t>
      </w:r>
      <w:r>
        <w:rPr>
          <w:rFonts w:ascii="Times New Roman" w:hAnsi="Times New Roman"/>
          <w:szCs w:val="22"/>
        </w:rPr>
        <w:t> </w:t>
      </w:r>
      <w:r w:rsidRPr="008B34AE">
        <w:rPr>
          <w:rFonts w:ascii="Times New Roman" w:hAnsi="Times New Roman"/>
          <w:szCs w:val="22"/>
        </w:rPr>
        <w:t>eur a boli čerpané najmä v rozpočtovej kapitole Ministerstva vnútra SR 1</w:t>
      </w:r>
      <w:r>
        <w:rPr>
          <w:rFonts w:ascii="Times New Roman" w:hAnsi="Times New Roman"/>
          <w:szCs w:val="22"/>
        </w:rPr>
        <w:t>6</w:t>
      </w:r>
      <w:r w:rsidRPr="008B34AE">
        <w:rPr>
          <w:rFonts w:ascii="Times New Roman" w:hAnsi="Times New Roman"/>
          <w:szCs w:val="22"/>
        </w:rPr>
        <w:t> </w:t>
      </w:r>
      <w:r>
        <w:rPr>
          <w:rFonts w:ascii="Times New Roman" w:hAnsi="Times New Roman"/>
          <w:szCs w:val="22"/>
        </w:rPr>
        <w:t>423</w:t>
      </w:r>
      <w:r w:rsidRPr="008B34AE">
        <w:rPr>
          <w:rFonts w:ascii="Times New Roman" w:hAnsi="Times New Roman"/>
          <w:szCs w:val="22"/>
        </w:rPr>
        <w:t> tis. eur</w:t>
      </w:r>
      <w:r>
        <w:rPr>
          <w:rFonts w:ascii="Times New Roman" w:hAnsi="Times New Roman"/>
          <w:szCs w:val="22"/>
        </w:rPr>
        <w:t xml:space="preserve"> </w:t>
      </w:r>
      <w:r w:rsidRPr="005B2FD3">
        <w:rPr>
          <w:rFonts w:ascii="Times New Roman" w:hAnsi="Times New Roman"/>
          <w:szCs w:val="22"/>
        </w:rPr>
        <w:t>na nákup paliva pre služobné vozidlá Policajného zboru, špeciálnych automobilov hasičskej a záchrannej techniky a leteckého benzínu</w:t>
      </w:r>
      <w:r w:rsidRPr="008B34AE">
        <w:rPr>
          <w:rFonts w:ascii="Times New Roman" w:hAnsi="Times New Roman"/>
          <w:szCs w:val="22"/>
        </w:rPr>
        <w:t xml:space="preserve">. Na zabezpečenie </w:t>
      </w:r>
      <w:r w:rsidRPr="008B34AE">
        <w:rPr>
          <w:rFonts w:ascii="Times New Roman" w:hAnsi="Times New Roman"/>
          <w:i/>
          <w:szCs w:val="22"/>
        </w:rPr>
        <w:t>servisu, údržby a</w:t>
      </w:r>
      <w:r>
        <w:rPr>
          <w:rFonts w:ascii="Times New Roman" w:hAnsi="Times New Roman"/>
          <w:i/>
          <w:szCs w:val="22"/>
        </w:rPr>
        <w:t xml:space="preserve"> </w:t>
      </w:r>
      <w:r w:rsidRPr="008B34AE">
        <w:rPr>
          <w:rFonts w:ascii="Times New Roman" w:hAnsi="Times New Roman"/>
          <w:i/>
          <w:szCs w:val="22"/>
        </w:rPr>
        <w:t>opráv služobných dopravných prostriedkov</w:t>
      </w:r>
      <w:r w:rsidRPr="008B34AE">
        <w:rPr>
          <w:rFonts w:ascii="Times New Roman" w:hAnsi="Times New Roman"/>
          <w:szCs w:val="22"/>
        </w:rPr>
        <w:t xml:space="preserve"> boli vynaložené prostriedky </w:t>
      </w:r>
      <w:r>
        <w:rPr>
          <w:rFonts w:ascii="Times New Roman" w:hAnsi="Times New Roman"/>
          <w:szCs w:val="22"/>
        </w:rPr>
        <w:t xml:space="preserve">vo výške </w:t>
      </w:r>
      <w:r w:rsidRPr="008B34AE">
        <w:rPr>
          <w:rFonts w:ascii="Times New Roman" w:hAnsi="Times New Roman"/>
          <w:szCs w:val="22"/>
        </w:rPr>
        <w:t>2</w:t>
      </w:r>
      <w:r>
        <w:rPr>
          <w:rFonts w:ascii="Times New Roman" w:hAnsi="Times New Roman"/>
          <w:szCs w:val="22"/>
        </w:rPr>
        <w:t>6 245 </w:t>
      </w:r>
      <w:r w:rsidRPr="008B34AE">
        <w:rPr>
          <w:rFonts w:ascii="Times New Roman" w:hAnsi="Times New Roman"/>
          <w:szCs w:val="22"/>
        </w:rPr>
        <w:t>tis.</w:t>
      </w:r>
      <w:r>
        <w:rPr>
          <w:rFonts w:ascii="Times New Roman" w:hAnsi="Times New Roman"/>
          <w:szCs w:val="22"/>
        </w:rPr>
        <w:t> </w:t>
      </w:r>
      <w:r w:rsidRPr="008B34AE">
        <w:rPr>
          <w:rFonts w:ascii="Times New Roman" w:hAnsi="Times New Roman"/>
          <w:szCs w:val="22"/>
        </w:rPr>
        <w:t>eur</w:t>
      </w:r>
      <w:r>
        <w:rPr>
          <w:rFonts w:ascii="Times New Roman" w:hAnsi="Times New Roman"/>
          <w:szCs w:val="22"/>
        </w:rPr>
        <w:t xml:space="preserve">, </w:t>
      </w:r>
      <w:r w:rsidRPr="008B34AE">
        <w:rPr>
          <w:rFonts w:ascii="Times New Roman" w:hAnsi="Times New Roman"/>
          <w:szCs w:val="22"/>
        </w:rPr>
        <w:t xml:space="preserve">z toho rozhodujúci podiel v kapitole Ministerstve vnútra SR </w:t>
      </w:r>
      <w:r>
        <w:rPr>
          <w:rFonts w:ascii="Times New Roman" w:hAnsi="Times New Roman"/>
          <w:szCs w:val="22"/>
        </w:rPr>
        <w:t>(</w:t>
      </w:r>
      <w:r w:rsidRPr="008B34AE">
        <w:rPr>
          <w:rFonts w:ascii="Times New Roman" w:hAnsi="Times New Roman"/>
          <w:szCs w:val="22"/>
        </w:rPr>
        <w:t>1</w:t>
      </w:r>
      <w:r>
        <w:rPr>
          <w:rFonts w:ascii="Times New Roman" w:hAnsi="Times New Roman"/>
          <w:szCs w:val="22"/>
        </w:rPr>
        <w:t>8 682 </w:t>
      </w:r>
      <w:r w:rsidRPr="008B34AE">
        <w:rPr>
          <w:rFonts w:ascii="Times New Roman" w:hAnsi="Times New Roman"/>
          <w:szCs w:val="22"/>
        </w:rPr>
        <w:t>tis.</w:t>
      </w:r>
      <w:r>
        <w:rPr>
          <w:rFonts w:ascii="Times New Roman" w:hAnsi="Times New Roman"/>
          <w:szCs w:val="22"/>
        </w:rPr>
        <w:t> </w:t>
      </w:r>
      <w:r w:rsidRPr="008B34AE">
        <w:rPr>
          <w:rFonts w:ascii="Times New Roman" w:hAnsi="Times New Roman"/>
          <w:szCs w:val="22"/>
        </w:rPr>
        <w:t>eur)</w:t>
      </w:r>
      <w:r>
        <w:rPr>
          <w:rFonts w:ascii="Times New Roman" w:hAnsi="Times New Roman"/>
          <w:szCs w:val="22"/>
        </w:rPr>
        <w:t xml:space="preserve"> </w:t>
      </w:r>
      <w:r w:rsidRPr="005B2FD3">
        <w:rPr>
          <w:rFonts w:ascii="Times New Roman" w:hAnsi="Times New Roman"/>
          <w:szCs w:val="22"/>
        </w:rPr>
        <w:t>najmä na servis, údržb</w:t>
      </w:r>
      <w:r>
        <w:rPr>
          <w:rFonts w:ascii="Times New Roman" w:hAnsi="Times New Roman"/>
          <w:szCs w:val="22"/>
        </w:rPr>
        <w:t>u</w:t>
      </w:r>
      <w:r w:rsidRPr="005B2FD3">
        <w:rPr>
          <w:rFonts w:ascii="Times New Roman" w:hAnsi="Times New Roman"/>
          <w:szCs w:val="22"/>
        </w:rPr>
        <w:t xml:space="preserve"> a opravy služobných cestných vozidiel Policajného zboru, špeciálnych automobilov hasičskej a záchrannej techniky, ako aj opravy a údržbu leteckej techniky.</w:t>
      </w:r>
      <w:r w:rsidRPr="008B34AE">
        <w:rPr>
          <w:rFonts w:ascii="Times New Roman" w:hAnsi="Times New Roman"/>
          <w:szCs w:val="22"/>
        </w:rPr>
        <w:t xml:space="preserve"> </w:t>
      </w:r>
    </w:p>
    <w:p w:rsidR="005C44D8" w:rsidRPr="001A594D" w:rsidP="005C44D8">
      <w:pPr>
        <w:suppressAutoHyphens/>
        <w:bidi w:val="0"/>
        <w:rPr>
          <w:rFonts w:ascii="Times New Roman" w:hAnsi="Times New Roman"/>
          <w:szCs w:val="22"/>
        </w:rPr>
      </w:pPr>
      <w:r w:rsidRPr="00366890">
        <w:rPr>
          <w:rFonts w:ascii="Times New Roman" w:hAnsi="Times New Roman"/>
          <w:szCs w:val="22"/>
        </w:rPr>
        <w:t>Z </w:t>
      </w:r>
      <w:r w:rsidRPr="00366890">
        <w:rPr>
          <w:rFonts w:ascii="Times New Roman" w:hAnsi="Times New Roman"/>
          <w:b/>
          <w:i/>
          <w:szCs w:val="22"/>
        </w:rPr>
        <w:t>cestovných náhrad</w:t>
      </w:r>
      <w:r w:rsidRPr="00366890">
        <w:rPr>
          <w:rFonts w:ascii="Times New Roman" w:hAnsi="Times New Roman"/>
          <w:szCs w:val="22"/>
        </w:rPr>
        <w:t xml:space="preserve"> boli uhradené výdavky súvisiace s pracovnými cestami zamestnancov. Viac ako 64,7 % v tejto výdavkovej kategórii (22 674 tis. eur) bolo vynaložených na z</w:t>
      </w:r>
      <w:r w:rsidRPr="00366890">
        <w:rPr>
          <w:rFonts w:ascii="Times New Roman" w:hAnsi="Times New Roman"/>
          <w:i/>
          <w:szCs w:val="22"/>
        </w:rPr>
        <w:t>ahraničné náhrady</w:t>
      </w:r>
      <w:r w:rsidRPr="00366890">
        <w:rPr>
          <w:rFonts w:ascii="Times New Roman" w:hAnsi="Times New Roman"/>
          <w:szCs w:val="22"/>
        </w:rPr>
        <w:t xml:space="preserve">, z </w:t>
      </w:r>
      <w:r w:rsidRPr="00D13EB7">
        <w:rPr>
          <w:rFonts w:ascii="Times New Roman" w:hAnsi="Times New Roman"/>
          <w:szCs w:val="22"/>
        </w:rPr>
        <w:t>toho najvyšší objem pripadá na kapitolu M</w:t>
      </w:r>
      <w:r w:rsidR="001A594D">
        <w:rPr>
          <w:rFonts w:ascii="Times New Roman" w:hAnsi="Times New Roman"/>
          <w:szCs w:val="22"/>
        </w:rPr>
        <w:t xml:space="preserve">inisterstva zahraničných vecí a </w:t>
      </w:r>
      <w:r w:rsidRPr="00D13EB7">
        <w:rPr>
          <w:rFonts w:ascii="Times New Roman" w:hAnsi="Times New Roman"/>
          <w:szCs w:val="22"/>
        </w:rPr>
        <w:t xml:space="preserve">európskych záležitostí SR </w:t>
      </w:r>
      <w:r w:rsidR="001A594D">
        <w:rPr>
          <w:rFonts w:ascii="Times New Roman" w:hAnsi="Times New Roman"/>
          <w:szCs w:val="22"/>
        </w:rPr>
        <w:t>(</w:t>
      </w:r>
      <w:r w:rsidRPr="00D13EB7">
        <w:rPr>
          <w:rFonts w:ascii="Times New Roman" w:hAnsi="Times New Roman"/>
          <w:szCs w:val="22"/>
        </w:rPr>
        <w:t>7 065 tis. eur</w:t>
      </w:r>
      <w:r w:rsidR="001A594D">
        <w:rPr>
          <w:rFonts w:ascii="Times New Roman" w:hAnsi="Times New Roman"/>
          <w:szCs w:val="22"/>
        </w:rPr>
        <w:t>)</w:t>
      </w:r>
      <w:r w:rsidRPr="00D13EB7">
        <w:rPr>
          <w:rFonts w:ascii="Times New Roman" w:hAnsi="Times New Roman"/>
          <w:szCs w:val="22"/>
        </w:rPr>
        <w:t>, Minister</w:t>
      </w:r>
      <w:r w:rsidR="001A594D">
        <w:rPr>
          <w:rFonts w:ascii="Times New Roman" w:hAnsi="Times New Roman"/>
          <w:szCs w:val="22"/>
        </w:rPr>
        <w:t xml:space="preserve">stva obrany SR (4 628 tis. eur) a </w:t>
      </w:r>
      <w:r w:rsidRPr="00D13EB7">
        <w:rPr>
          <w:rFonts w:ascii="Times New Roman" w:hAnsi="Times New Roman"/>
          <w:szCs w:val="22"/>
        </w:rPr>
        <w:t xml:space="preserve">Ministerstva vnútra SR </w:t>
      </w:r>
      <w:r w:rsidR="001A594D">
        <w:rPr>
          <w:rFonts w:ascii="Times New Roman" w:hAnsi="Times New Roman"/>
          <w:szCs w:val="22"/>
        </w:rPr>
        <w:t>(</w:t>
      </w:r>
      <w:r w:rsidRPr="00D13EB7">
        <w:rPr>
          <w:rFonts w:ascii="Times New Roman" w:hAnsi="Times New Roman"/>
          <w:szCs w:val="22"/>
        </w:rPr>
        <w:t>3 287 tis. eur</w:t>
      </w:r>
      <w:r w:rsidR="001A594D">
        <w:rPr>
          <w:rFonts w:ascii="Times New Roman" w:hAnsi="Times New Roman"/>
          <w:szCs w:val="22"/>
        </w:rPr>
        <w:t>)</w:t>
      </w:r>
      <w:r w:rsidRPr="00D13EB7">
        <w:rPr>
          <w:rFonts w:ascii="Times New Roman" w:hAnsi="Times New Roman"/>
          <w:szCs w:val="22"/>
        </w:rPr>
        <w:t>. Išlo o zahraničné aktivity realizované najmä v rámci plánu spolupráce s NATO, plánu mierových misií, operácií na podporu mieru a boja proti terorizmu, plánu dvojstrannej spolupráce s ozbrojenými silami jednotlivých členských krajín NATO, plánu ostatných medzinárodných podujatí</w:t>
      </w:r>
      <w:r w:rsidR="00B125E1">
        <w:rPr>
          <w:rFonts w:ascii="Times New Roman" w:hAnsi="Times New Roman"/>
          <w:szCs w:val="22"/>
        </w:rPr>
        <w:t xml:space="preserve"> a spolupráce s</w:t>
      </w:r>
      <w:r w:rsidR="001A594D">
        <w:rPr>
          <w:rFonts w:ascii="Times New Roman" w:hAnsi="Times New Roman"/>
          <w:szCs w:val="22"/>
        </w:rPr>
        <w:t xml:space="preserve"> </w:t>
      </w:r>
      <w:r w:rsidRPr="00D13EB7">
        <w:rPr>
          <w:rFonts w:ascii="Times New Roman" w:hAnsi="Times New Roman"/>
          <w:szCs w:val="22"/>
        </w:rPr>
        <w:t>EÚ</w:t>
      </w:r>
      <w:r>
        <w:rPr>
          <w:rFonts w:ascii="Times New Roman" w:hAnsi="Times New Roman"/>
          <w:szCs w:val="22"/>
        </w:rPr>
        <w:t xml:space="preserve">. </w:t>
      </w:r>
      <w:r w:rsidRPr="00366890">
        <w:rPr>
          <w:rFonts w:ascii="Times New Roman" w:hAnsi="Times New Roman"/>
          <w:szCs w:val="22"/>
        </w:rPr>
        <w:t xml:space="preserve">Náhrady pri </w:t>
      </w:r>
      <w:r w:rsidRPr="00366890">
        <w:rPr>
          <w:rFonts w:ascii="Times New Roman" w:hAnsi="Times New Roman"/>
          <w:i/>
          <w:szCs w:val="22"/>
        </w:rPr>
        <w:t xml:space="preserve">tuzemských </w:t>
      </w:r>
      <w:r w:rsidRPr="00366890">
        <w:rPr>
          <w:rFonts w:ascii="Times New Roman" w:hAnsi="Times New Roman"/>
          <w:szCs w:val="22"/>
        </w:rPr>
        <w:t xml:space="preserve">pracovných cestách boli vyčerpané v objeme </w:t>
      </w:r>
      <w:r>
        <w:rPr>
          <w:rFonts w:ascii="Times New Roman" w:hAnsi="Times New Roman"/>
          <w:szCs w:val="22"/>
        </w:rPr>
        <w:t>10</w:t>
      </w:r>
      <w:r w:rsidRPr="00366890">
        <w:rPr>
          <w:rFonts w:ascii="Times New Roman" w:hAnsi="Times New Roman"/>
          <w:szCs w:val="22"/>
        </w:rPr>
        <w:t> </w:t>
      </w:r>
      <w:r>
        <w:rPr>
          <w:rFonts w:ascii="Times New Roman" w:hAnsi="Times New Roman"/>
          <w:szCs w:val="22"/>
        </w:rPr>
        <w:t xml:space="preserve">446 tis. eur </w:t>
      </w:r>
      <w:r w:rsidRPr="00366890">
        <w:rPr>
          <w:rFonts w:ascii="Times New Roman" w:hAnsi="Times New Roman"/>
          <w:szCs w:val="22"/>
        </w:rPr>
        <w:t>predovšetkým v kapitole Ministerstva obrany SR 3 </w:t>
      </w:r>
      <w:r>
        <w:rPr>
          <w:rFonts w:ascii="Times New Roman" w:hAnsi="Times New Roman"/>
          <w:szCs w:val="22"/>
        </w:rPr>
        <w:t>55</w:t>
      </w:r>
      <w:r w:rsidRPr="00366890">
        <w:rPr>
          <w:rFonts w:ascii="Times New Roman" w:hAnsi="Times New Roman"/>
          <w:szCs w:val="22"/>
        </w:rPr>
        <w:t>9 tis. eur a Ministerstva vnútra SR 2 </w:t>
      </w:r>
      <w:r>
        <w:rPr>
          <w:rFonts w:ascii="Times New Roman" w:hAnsi="Times New Roman"/>
          <w:szCs w:val="22"/>
        </w:rPr>
        <w:t>458 tis. eur</w:t>
      </w:r>
      <w:r w:rsidRPr="00366890">
        <w:rPr>
          <w:rFonts w:ascii="Times New Roman" w:hAnsi="Times New Roman"/>
          <w:szCs w:val="22"/>
        </w:rPr>
        <w:t xml:space="preserve">. </w:t>
      </w:r>
    </w:p>
    <w:p w:rsidR="00CF7B74" w:rsidRPr="005C44D8" w:rsidP="00413A90">
      <w:pPr>
        <w:pStyle w:val="ListParagraph"/>
        <w:tabs>
          <w:tab w:val="left" w:pos="284"/>
        </w:tabs>
        <w:suppressAutoHyphens/>
        <w:bidi w:val="0"/>
        <w:spacing w:before="120" w:after="120" w:line="360" w:lineRule="auto"/>
        <w:ind w:left="0"/>
        <w:jc w:val="both"/>
        <w:rPr>
          <w:rFonts w:ascii="Times New Roman" w:hAnsi="Times New Roman"/>
          <w:b/>
        </w:rPr>
      </w:pPr>
      <w:r w:rsidRPr="005C44D8">
        <w:rPr>
          <w:rFonts w:ascii="Times New Roman" w:hAnsi="Times New Roman"/>
          <w:b/>
        </w:rPr>
        <w:t>Bežné transfery</w:t>
      </w:r>
    </w:p>
    <w:p w:rsidR="00FD5465" w:rsidRPr="00A77769" w:rsidP="00FD5465">
      <w:pPr>
        <w:bidi w:val="0"/>
        <w:rPr>
          <w:rFonts w:ascii="Times New Roman" w:hAnsi="Times New Roman"/>
          <w:szCs w:val="22"/>
        </w:rPr>
      </w:pPr>
      <w:r w:rsidRPr="00D93696">
        <w:rPr>
          <w:rFonts w:ascii="Times New Roman" w:hAnsi="Times New Roman"/>
          <w:szCs w:val="22"/>
        </w:rPr>
        <w:t xml:space="preserve">Najväčšiu časť bežných výdavkov tvoria </w:t>
      </w:r>
      <w:r w:rsidRPr="005564D8">
        <w:rPr>
          <w:rFonts w:ascii="Times New Roman" w:hAnsi="Times New Roman"/>
          <w:i/>
          <w:szCs w:val="22"/>
        </w:rPr>
        <w:t>transfery</w:t>
      </w:r>
      <w:r w:rsidRPr="00D93696">
        <w:rPr>
          <w:rFonts w:ascii="Times New Roman" w:hAnsi="Times New Roman"/>
          <w:szCs w:val="22"/>
        </w:rPr>
        <w:t>. Tieto výdavky sú uskutočňované bez toho, aby za ne ich príjemcovia poskytovali nejaké protislužby alebo tovary. Transferová platba všeobecného charakteru určená pre rôzne alebo neurčené ciele sa považuje vždy za bežný transfer. Triedia sa podľa príjemcu alebo druhu poskytovanej platby. Transfer môže byť len finančný vo forme príspevkov, dotácií a iných finančných vzťahov.</w:t>
      </w:r>
      <w:r>
        <w:rPr>
          <w:rFonts w:ascii="Times New Roman" w:hAnsi="Times New Roman"/>
          <w:szCs w:val="22"/>
        </w:rPr>
        <w:t xml:space="preserve"> </w:t>
      </w:r>
    </w:p>
    <w:p w:rsidR="00FD5465" w:rsidRPr="00110264" w:rsidP="00FD5465">
      <w:pPr>
        <w:bidi w:val="0"/>
        <w:rPr>
          <w:rFonts w:ascii="Times New Roman" w:hAnsi="Times New Roman"/>
          <w:szCs w:val="22"/>
        </w:rPr>
      </w:pPr>
      <w:r w:rsidRPr="00A77769">
        <w:rPr>
          <w:rFonts w:ascii="Times New Roman" w:hAnsi="Times New Roman"/>
          <w:szCs w:val="22"/>
        </w:rPr>
        <w:t>Bežné transfery boli realizované zo zdroja štátneho rozpočtu vo výške 8 </w:t>
      </w:r>
      <w:r>
        <w:rPr>
          <w:rFonts w:ascii="Times New Roman" w:hAnsi="Times New Roman"/>
          <w:szCs w:val="22"/>
        </w:rPr>
        <w:t>799</w:t>
      </w:r>
      <w:r w:rsidRPr="00A77769">
        <w:rPr>
          <w:rFonts w:ascii="Times New Roman" w:hAnsi="Times New Roman"/>
          <w:szCs w:val="22"/>
        </w:rPr>
        <w:t> </w:t>
      </w:r>
      <w:r>
        <w:rPr>
          <w:rFonts w:ascii="Times New Roman" w:hAnsi="Times New Roman"/>
          <w:szCs w:val="22"/>
        </w:rPr>
        <w:t>365</w:t>
      </w:r>
      <w:r w:rsidRPr="00A77769">
        <w:rPr>
          <w:rFonts w:ascii="Times New Roman" w:hAnsi="Times New Roman"/>
          <w:szCs w:val="22"/>
        </w:rPr>
        <w:t xml:space="preserve"> tis. eur, z toho </w:t>
      </w:r>
      <w:r w:rsidR="00BF491D">
        <w:rPr>
          <w:rFonts w:ascii="Times New Roman" w:hAnsi="Times New Roman"/>
          <w:szCs w:val="22"/>
        </w:rPr>
        <w:br/>
      </w:r>
      <w:r w:rsidRPr="00A77769">
        <w:rPr>
          <w:rFonts w:ascii="Times New Roman" w:hAnsi="Times New Roman"/>
          <w:szCs w:val="22"/>
        </w:rPr>
        <w:t xml:space="preserve">na spolufinancovanie projektov EÚ vo výške </w:t>
      </w:r>
      <w:r>
        <w:rPr>
          <w:rFonts w:ascii="Times New Roman" w:hAnsi="Times New Roman"/>
          <w:szCs w:val="22"/>
        </w:rPr>
        <w:t>100 731</w:t>
      </w:r>
      <w:r w:rsidRPr="00A77769">
        <w:rPr>
          <w:rFonts w:ascii="Times New Roman" w:hAnsi="Times New Roman"/>
          <w:szCs w:val="22"/>
        </w:rPr>
        <w:t xml:space="preserve"> tis. eur a zo zdroja Európskej únie vo výške </w:t>
      </w:r>
      <w:r>
        <w:rPr>
          <w:rFonts w:ascii="Times New Roman" w:hAnsi="Times New Roman"/>
          <w:szCs w:val="22"/>
        </w:rPr>
        <w:t>7</w:t>
      </w:r>
      <w:r w:rsidRPr="00A77769">
        <w:rPr>
          <w:rFonts w:ascii="Times New Roman" w:hAnsi="Times New Roman"/>
          <w:szCs w:val="22"/>
        </w:rPr>
        <w:t>50</w:t>
      </w:r>
      <w:r>
        <w:rPr>
          <w:rFonts w:ascii="Times New Roman" w:hAnsi="Times New Roman"/>
          <w:szCs w:val="22"/>
        </w:rPr>
        <w:t> 166</w:t>
      </w:r>
      <w:r w:rsidRPr="00A77769">
        <w:rPr>
          <w:rFonts w:ascii="Times New Roman" w:hAnsi="Times New Roman"/>
          <w:szCs w:val="22"/>
        </w:rPr>
        <w:t> tis. eur</w:t>
      </w:r>
      <w:r>
        <w:rPr>
          <w:rFonts w:ascii="Times New Roman" w:hAnsi="Times New Roman"/>
          <w:szCs w:val="22"/>
        </w:rPr>
        <w:t xml:space="preserve"> a z ostatných zdrojov 2 665 tis. eur</w:t>
      </w:r>
      <w:r w:rsidRPr="00A77769">
        <w:rPr>
          <w:rFonts w:ascii="Times New Roman" w:hAnsi="Times New Roman"/>
          <w:szCs w:val="22"/>
        </w:rPr>
        <w:t xml:space="preserve">. Rozpočet v danej výdavkovej kategórii bol schválený vo </w:t>
      </w:r>
      <w:r w:rsidRPr="00D93696">
        <w:rPr>
          <w:rFonts w:ascii="Times New Roman" w:hAnsi="Times New Roman"/>
          <w:szCs w:val="22"/>
        </w:rPr>
        <w:t>výške 10 </w:t>
      </w:r>
      <w:r>
        <w:rPr>
          <w:rFonts w:ascii="Times New Roman" w:hAnsi="Times New Roman"/>
          <w:szCs w:val="22"/>
        </w:rPr>
        <w:t>1</w:t>
      </w:r>
      <w:r w:rsidRPr="00D93696">
        <w:rPr>
          <w:rFonts w:ascii="Times New Roman" w:hAnsi="Times New Roman"/>
          <w:szCs w:val="22"/>
        </w:rPr>
        <w:t>3</w:t>
      </w:r>
      <w:r>
        <w:rPr>
          <w:rFonts w:ascii="Times New Roman" w:hAnsi="Times New Roman"/>
          <w:szCs w:val="22"/>
        </w:rPr>
        <w:t>6 370</w:t>
      </w:r>
      <w:r w:rsidRPr="00D93696">
        <w:rPr>
          <w:rFonts w:ascii="Times New Roman" w:hAnsi="Times New Roman"/>
          <w:szCs w:val="22"/>
        </w:rPr>
        <w:t xml:space="preserve"> tis. eur, čo zodpovedalo 69,2 % podielu z celkových bežných výdavkov. Skutočné výdavky dosiahli 9 652 930 tis. eur, (2016: 9 485 727 tis. eur) a boli nižšie oproti rozpočtu o 483 440 tis. </w:t>
      </w:r>
      <w:r w:rsidRPr="00110264">
        <w:rPr>
          <w:rFonts w:ascii="Times New Roman" w:hAnsi="Times New Roman"/>
          <w:szCs w:val="22"/>
        </w:rPr>
        <w:t>eur.</w:t>
      </w:r>
    </w:p>
    <w:tbl>
      <w:tblPr>
        <w:tblStyle w:val="TableNormal"/>
        <w:tblW w:w="8840" w:type="dxa"/>
        <w:tblInd w:w="55" w:type="dxa"/>
        <w:tblCellMar>
          <w:left w:w="70" w:type="dxa"/>
          <w:right w:w="70" w:type="dxa"/>
        </w:tblCellMar>
        <w:tblLook w:val="04A0"/>
      </w:tblPr>
      <w:tblGrid>
        <w:gridCol w:w="3086"/>
        <w:gridCol w:w="277"/>
        <w:gridCol w:w="981"/>
        <w:gridCol w:w="980"/>
        <w:gridCol w:w="938"/>
        <w:gridCol w:w="1025"/>
        <w:gridCol w:w="849"/>
        <w:gridCol w:w="704"/>
      </w:tblGrid>
      <w:tr>
        <w:tblPrEx>
          <w:tblW w:w="8840" w:type="dxa"/>
          <w:tblInd w:w="55" w:type="dxa"/>
          <w:tblCellMar>
            <w:left w:w="70" w:type="dxa"/>
            <w:right w:w="70" w:type="dxa"/>
          </w:tblCellMar>
          <w:tblLook w:val="04A0"/>
        </w:tblPrEx>
        <w:trPr>
          <w:trHeight w:val="404"/>
        </w:trPr>
        <w:tc>
          <w:tcPr>
            <w:tcW w:w="8840" w:type="dxa"/>
            <w:gridSpan w:val="8"/>
            <w:tcBorders>
              <w:top w:val="nil"/>
              <w:left w:val="nil"/>
              <w:bottom w:val="nil"/>
              <w:right w:val="nil"/>
            </w:tcBorders>
            <w:shd w:val="clear" w:color="000000" w:fill="000000"/>
            <w:textDirection w:val="lrTb"/>
            <w:vAlign w:val="center"/>
            <w:hideMark/>
          </w:tcPr>
          <w:p w:rsidR="00FD5465" w:rsidRPr="00753935" w:rsidP="00CC5988">
            <w:pPr>
              <w:bidi w:val="0"/>
              <w:spacing w:after="0" w:line="240" w:lineRule="auto"/>
              <w:jc w:val="left"/>
              <w:rPr>
                <w:rFonts w:ascii="Times New Roman" w:hAnsi="Times New Roman"/>
                <w:b/>
                <w:bCs/>
                <w:sz w:val="18"/>
                <w:szCs w:val="18"/>
                <w:lang w:eastAsia="sk-SK"/>
              </w:rPr>
            </w:pPr>
            <w:r w:rsidRPr="00753935">
              <w:rPr>
                <w:rFonts w:ascii="Times New Roman" w:hAnsi="Times New Roman"/>
                <w:b/>
                <w:bCs/>
                <w:sz w:val="18"/>
                <w:szCs w:val="18"/>
                <w:lang w:eastAsia="sk-SK"/>
              </w:rPr>
              <w:t>Bežné transfery                                                                                                                                                       v tis. eur</w:t>
            </w:r>
          </w:p>
        </w:tc>
      </w:tr>
      <w:tr>
        <w:tblPrEx>
          <w:tblW w:w="8840" w:type="dxa"/>
          <w:tblInd w:w="55" w:type="dxa"/>
          <w:tblCellMar>
            <w:left w:w="70" w:type="dxa"/>
            <w:right w:w="70" w:type="dxa"/>
          </w:tblCellMar>
          <w:tblLook w:val="04A0"/>
        </w:tblPrEx>
        <w:trPr>
          <w:trHeight w:val="318"/>
        </w:trPr>
        <w:tc>
          <w:tcPr>
            <w:tcW w:w="3376" w:type="dxa"/>
            <w:gridSpan w:val="2"/>
            <w:vMerge w:val="restart"/>
            <w:tcBorders>
              <w:top w:val="nil"/>
              <w:left w:val="nil"/>
              <w:bottom w:val="nil"/>
              <w:right w:val="nil"/>
            </w:tcBorders>
            <w:shd w:val="clear" w:color="000000" w:fill="BFBFBF"/>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 xml:space="preserve"> </w:t>
            </w:r>
          </w:p>
        </w:tc>
        <w:tc>
          <w:tcPr>
            <w:tcW w:w="1961" w:type="dxa"/>
            <w:gridSpan w:val="2"/>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Skutočnosť</w:t>
            </w:r>
          </w:p>
        </w:tc>
        <w:tc>
          <w:tcPr>
            <w:tcW w:w="938"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Rozpočet</w:t>
            </w:r>
          </w:p>
        </w:tc>
        <w:tc>
          <w:tcPr>
            <w:tcW w:w="1012"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Skutočnosť</w:t>
            </w:r>
          </w:p>
        </w:tc>
        <w:tc>
          <w:tcPr>
            <w:tcW w:w="1550" w:type="dxa"/>
            <w:gridSpan w:val="2"/>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Rozdiel</w:t>
            </w:r>
          </w:p>
        </w:tc>
      </w:tr>
      <w:tr>
        <w:tblPrEx>
          <w:tblW w:w="8840" w:type="dxa"/>
          <w:tblInd w:w="55" w:type="dxa"/>
          <w:tblCellMar>
            <w:left w:w="70" w:type="dxa"/>
            <w:right w:w="70" w:type="dxa"/>
          </w:tblCellMar>
          <w:tblLook w:val="04A0"/>
        </w:tblPrEx>
        <w:trPr>
          <w:trHeight w:val="318"/>
        </w:trPr>
        <w:tc>
          <w:tcPr>
            <w:tcW w:w="3376" w:type="dxa"/>
            <w:gridSpan w:val="2"/>
            <w:vMerge/>
            <w:tcBorders>
              <w:top w:val="nil"/>
              <w:left w:val="nil"/>
              <w:bottom w:val="nil"/>
              <w:right w:val="nil"/>
            </w:tcBorders>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p>
        </w:tc>
        <w:tc>
          <w:tcPr>
            <w:tcW w:w="981"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Pr>
                <w:rFonts w:ascii="Times New Roman" w:hAnsi="Times New Roman"/>
                <w:b/>
                <w:sz w:val="18"/>
                <w:szCs w:val="18"/>
                <w:lang w:eastAsia="sk-SK"/>
              </w:rPr>
              <w:t>2015</w:t>
            </w:r>
          </w:p>
        </w:tc>
        <w:tc>
          <w:tcPr>
            <w:tcW w:w="980"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201</w:t>
            </w:r>
            <w:r>
              <w:rPr>
                <w:rFonts w:ascii="Times New Roman" w:hAnsi="Times New Roman"/>
                <w:b/>
                <w:sz w:val="18"/>
                <w:szCs w:val="18"/>
                <w:lang w:eastAsia="sk-SK"/>
              </w:rPr>
              <w:t>6</w:t>
            </w:r>
          </w:p>
        </w:tc>
        <w:tc>
          <w:tcPr>
            <w:tcW w:w="938"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201</w:t>
            </w:r>
            <w:r>
              <w:rPr>
                <w:rFonts w:ascii="Times New Roman" w:hAnsi="Times New Roman"/>
                <w:b/>
                <w:sz w:val="18"/>
                <w:szCs w:val="18"/>
                <w:lang w:eastAsia="sk-SK"/>
              </w:rPr>
              <w:t>7</w:t>
            </w:r>
          </w:p>
        </w:tc>
        <w:tc>
          <w:tcPr>
            <w:tcW w:w="1012"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201</w:t>
            </w:r>
            <w:r>
              <w:rPr>
                <w:rFonts w:ascii="Times New Roman" w:hAnsi="Times New Roman"/>
                <w:b/>
                <w:sz w:val="18"/>
                <w:szCs w:val="18"/>
                <w:lang w:eastAsia="sk-SK"/>
              </w:rPr>
              <w:t>7</w:t>
            </w:r>
          </w:p>
        </w:tc>
        <w:tc>
          <w:tcPr>
            <w:tcW w:w="849"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v tis. eur</w:t>
            </w:r>
          </w:p>
        </w:tc>
        <w:tc>
          <w:tcPr>
            <w:tcW w:w="700" w:type="dxa"/>
            <w:tcBorders>
              <w:top w:val="nil"/>
              <w:left w:val="nil"/>
              <w:bottom w:val="nil"/>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v %</w:t>
            </w:r>
          </w:p>
        </w:tc>
      </w:tr>
      <w:tr>
        <w:tblPrEx>
          <w:tblW w:w="8840" w:type="dxa"/>
          <w:tblInd w:w="55" w:type="dxa"/>
          <w:tblCellMar>
            <w:left w:w="70" w:type="dxa"/>
            <w:right w:w="70" w:type="dxa"/>
          </w:tblCellMar>
          <w:tblLook w:val="04A0"/>
        </w:tblPrEx>
        <w:trPr>
          <w:trHeight w:val="318"/>
        </w:trPr>
        <w:tc>
          <w:tcPr>
            <w:tcW w:w="3376" w:type="dxa"/>
            <w:gridSpan w:val="2"/>
            <w:tcBorders>
              <w:top w:val="nil"/>
              <w:left w:val="nil"/>
              <w:bottom w:val="single" w:sz="8" w:space="0" w:color="auto"/>
              <w:right w:val="nil"/>
            </w:tcBorders>
            <w:shd w:val="clear" w:color="000000" w:fill="BFBFBF"/>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 </w:t>
            </w:r>
          </w:p>
        </w:tc>
        <w:tc>
          <w:tcPr>
            <w:tcW w:w="981"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1</w:t>
            </w:r>
          </w:p>
        </w:tc>
        <w:tc>
          <w:tcPr>
            <w:tcW w:w="980"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2</w:t>
            </w:r>
          </w:p>
        </w:tc>
        <w:tc>
          <w:tcPr>
            <w:tcW w:w="938"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3</w:t>
            </w:r>
          </w:p>
        </w:tc>
        <w:tc>
          <w:tcPr>
            <w:tcW w:w="1012"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4</w:t>
            </w:r>
          </w:p>
        </w:tc>
        <w:tc>
          <w:tcPr>
            <w:tcW w:w="849"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5=4-3</w:t>
            </w:r>
          </w:p>
        </w:tc>
        <w:tc>
          <w:tcPr>
            <w:tcW w:w="700" w:type="dxa"/>
            <w:tcBorders>
              <w:top w:val="nil"/>
              <w:left w:val="nil"/>
              <w:bottom w:val="single" w:sz="8" w:space="0" w:color="auto"/>
              <w:right w:val="nil"/>
            </w:tcBorders>
            <w:shd w:val="clear" w:color="000000" w:fill="BFBFBF"/>
            <w:noWrap/>
            <w:textDirection w:val="lrTb"/>
            <w:vAlign w:val="center"/>
            <w:hideMark/>
          </w:tcPr>
          <w:p w:rsidR="00FD5465" w:rsidRPr="00753935" w:rsidP="00CC5988">
            <w:pPr>
              <w:bidi w:val="0"/>
              <w:spacing w:after="0" w:line="240" w:lineRule="auto"/>
              <w:contextualSpacing/>
              <w:jc w:val="center"/>
              <w:rPr>
                <w:rFonts w:ascii="Times New Roman" w:hAnsi="Times New Roman"/>
                <w:b/>
                <w:sz w:val="18"/>
                <w:szCs w:val="18"/>
                <w:lang w:eastAsia="sk-SK"/>
              </w:rPr>
            </w:pPr>
            <w:r w:rsidRPr="00753935">
              <w:rPr>
                <w:rFonts w:ascii="Times New Roman" w:hAnsi="Times New Roman"/>
                <w:b/>
                <w:sz w:val="18"/>
                <w:szCs w:val="18"/>
                <w:lang w:eastAsia="sk-SK"/>
              </w:rPr>
              <w:t>6=4-3</w:t>
            </w:r>
          </w:p>
        </w:tc>
      </w:tr>
      <w:tr>
        <w:tblPrEx>
          <w:tblW w:w="8840" w:type="dxa"/>
          <w:tblInd w:w="55" w:type="dxa"/>
          <w:tblCellMar>
            <w:left w:w="70" w:type="dxa"/>
            <w:right w:w="70" w:type="dxa"/>
          </w:tblCellMar>
          <w:tblLook w:val="04A0"/>
        </w:tblPrEx>
        <w:trPr>
          <w:trHeight w:val="306"/>
        </w:trPr>
        <w:tc>
          <w:tcPr>
            <w:tcW w:w="3097" w:type="dxa"/>
            <w:tcBorders>
              <w:top w:val="nil"/>
              <w:left w:val="nil"/>
              <w:bottom w:val="nil"/>
              <w:right w:val="nil"/>
            </w:tcBorders>
            <w:textDirection w:val="lrTb"/>
            <w:vAlign w:val="center"/>
            <w:hideMark/>
          </w:tcPr>
          <w:p w:rsidR="00FD5465" w:rsidRPr="00753935" w:rsidP="00CC5988">
            <w:pPr>
              <w:bidi w:val="0"/>
              <w:spacing w:after="0" w:line="240" w:lineRule="auto"/>
              <w:jc w:val="left"/>
              <w:rPr>
                <w:rFonts w:ascii="Times New Roman" w:hAnsi="Times New Roman"/>
                <w:sz w:val="18"/>
                <w:szCs w:val="18"/>
                <w:lang w:eastAsia="sk-SK"/>
              </w:rPr>
            </w:pPr>
            <w:r w:rsidRPr="00753935">
              <w:rPr>
                <w:rFonts w:ascii="Times New Roman" w:hAnsi="Times New Roman"/>
                <w:sz w:val="18"/>
                <w:szCs w:val="18"/>
                <w:lang w:eastAsia="sk-SK"/>
              </w:rPr>
              <w:t>Transfery v rámci verejnej správy</w:t>
            </w:r>
          </w:p>
        </w:tc>
        <w:tc>
          <w:tcPr>
            <w:tcW w:w="1260" w:type="dxa"/>
            <w:gridSpan w:val="2"/>
            <w:tcBorders>
              <w:top w:val="nil"/>
              <w:left w:val="nil"/>
              <w:bottom w:val="nil"/>
              <w:right w:val="nil"/>
            </w:tcBorders>
            <w:textDirection w:val="lrTb"/>
            <w:vAlign w:val="center"/>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4 405 975</w:t>
            </w:r>
          </w:p>
        </w:tc>
        <w:tc>
          <w:tcPr>
            <w:tcW w:w="980" w:type="dxa"/>
            <w:tcBorders>
              <w:top w:val="nil"/>
              <w:left w:val="nil"/>
              <w:bottom w:val="nil"/>
              <w:right w:val="nil"/>
            </w:tcBorders>
            <w:textDirection w:val="lrTb"/>
            <w:vAlign w:val="center"/>
            <w:hideMark/>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4 344</w:t>
            </w:r>
            <w:r>
              <w:rPr>
                <w:rFonts w:ascii="Times New Roman" w:hAnsi="Times New Roman"/>
                <w:sz w:val="18"/>
                <w:szCs w:val="18"/>
                <w:lang w:eastAsia="sk-SK"/>
              </w:rPr>
              <w:t> </w:t>
            </w:r>
            <w:r w:rsidRPr="00753935">
              <w:rPr>
                <w:rFonts w:ascii="Times New Roman" w:hAnsi="Times New Roman"/>
                <w:sz w:val="18"/>
                <w:szCs w:val="18"/>
                <w:lang w:eastAsia="sk-SK"/>
              </w:rPr>
              <w:t>120</w:t>
            </w:r>
          </w:p>
        </w:tc>
        <w:tc>
          <w:tcPr>
            <w:tcW w:w="938" w:type="dxa"/>
            <w:tcBorders>
              <w:top w:val="nil"/>
              <w:left w:val="nil"/>
              <w:bottom w:val="nil"/>
              <w:right w:val="nil"/>
            </w:tcBorders>
            <w:textDirection w:val="lrTb"/>
            <w:vAlign w:val="center"/>
          </w:tcPr>
          <w:p w:rsidR="00FD5465" w:rsidRPr="00753935" w:rsidP="00CC5988">
            <w:pPr>
              <w:bidi w:val="0"/>
              <w:spacing w:after="0" w:line="240" w:lineRule="auto"/>
              <w:jc w:val="right"/>
              <w:rPr>
                <w:rFonts w:ascii="Times New Roman" w:hAnsi="Times New Roman"/>
                <w:sz w:val="18"/>
                <w:szCs w:val="18"/>
                <w:lang w:eastAsia="sk-SK"/>
              </w:rPr>
            </w:pPr>
            <w:r>
              <w:rPr>
                <w:rFonts w:ascii="Times New Roman" w:hAnsi="Times New Roman"/>
                <w:sz w:val="18"/>
                <w:szCs w:val="18"/>
                <w:lang w:eastAsia="sk-SK"/>
              </w:rPr>
              <w:t xml:space="preserve">4 567 662 </w:t>
            </w:r>
          </w:p>
        </w:tc>
        <w:tc>
          <w:tcPr>
            <w:tcW w:w="1012" w:type="dxa"/>
            <w:tcBorders>
              <w:top w:val="nil"/>
              <w:left w:val="nil"/>
              <w:bottom w:val="nil"/>
              <w:right w:val="nil"/>
            </w:tcBorders>
            <w:shd w:val="clear" w:color="auto" w:fill="BFBFBF"/>
            <w:textDirection w:val="lrTb"/>
            <w:vAlign w:val="center"/>
          </w:tcPr>
          <w:p w:rsidR="00FD5465" w:rsidP="00CC5988">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4 600 132</w:t>
            </w:r>
          </w:p>
        </w:tc>
        <w:tc>
          <w:tcPr>
            <w:tcW w:w="849" w:type="dxa"/>
            <w:tcBorders>
              <w:top w:val="nil"/>
              <w:left w:val="nil"/>
              <w:bottom w:val="nil"/>
              <w:right w:val="nil"/>
            </w:tcBorders>
            <w:textDirection w:val="lrTb"/>
            <w:vAlign w:val="center"/>
          </w:tcPr>
          <w:p w:rsidR="00FD5465" w:rsidP="00CC5988">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32 470</w:t>
            </w:r>
          </w:p>
        </w:tc>
        <w:tc>
          <w:tcPr>
            <w:tcW w:w="700" w:type="dxa"/>
            <w:tcBorders>
              <w:top w:val="nil"/>
              <w:left w:val="nil"/>
              <w:bottom w:val="nil"/>
              <w:right w:val="nil"/>
            </w:tcBorders>
            <w:textDirection w:val="lrTb"/>
            <w:vAlign w:val="center"/>
          </w:tcPr>
          <w:p w:rsidR="00FD5465" w:rsidP="00CC5988">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0,7</w:t>
            </w:r>
          </w:p>
        </w:tc>
      </w:tr>
      <w:tr>
        <w:tblPrEx>
          <w:tblW w:w="8840" w:type="dxa"/>
          <w:tblInd w:w="55" w:type="dxa"/>
          <w:tblCellMar>
            <w:left w:w="70" w:type="dxa"/>
            <w:right w:w="70" w:type="dxa"/>
          </w:tblCellMar>
          <w:tblLook w:val="04A0"/>
        </w:tblPrEx>
        <w:trPr>
          <w:trHeight w:val="306"/>
        </w:trPr>
        <w:tc>
          <w:tcPr>
            <w:tcW w:w="3097" w:type="dxa"/>
            <w:tcBorders>
              <w:top w:val="nil"/>
              <w:left w:val="nil"/>
              <w:bottom w:val="none" w:sz="0" w:space="0" w:color="auto"/>
              <w:right w:val="nil"/>
            </w:tcBorders>
            <w:textDirection w:val="lrTb"/>
            <w:vAlign w:val="center"/>
            <w:hideMark/>
          </w:tcPr>
          <w:p w:rsidR="00FD5465" w:rsidRPr="00753935" w:rsidP="00B125E1">
            <w:pPr>
              <w:bidi w:val="0"/>
              <w:spacing w:after="0" w:line="240" w:lineRule="auto"/>
              <w:jc w:val="left"/>
              <w:rPr>
                <w:rFonts w:ascii="Times New Roman" w:hAnsi="Times New Roman"/>
                <w:sz w:val="18"/>
                <w:szCs w:val="18"/>
                <w:lang w:eastAsia="sk-SK"/>
              </w:rPr>
            </w:pPr>
            <w:r w:rsidR="00B125E1">
              <w:rPr>
                <w:rFonts w:ascii="Times New Roman" w:hAnsi="Times New Roman"/>
                <w:sz w:val="18"/>
                <w:szCs w:val="18"/>
                <w:lang w:eastAsia="sk-SK"/>
              </w:rPr>
              <w:t>Transfery jednotlivcom a nezisk</w:t>
            </w:r>
            <w:r w:rsidRPr="00753935">
              <w:rPr>
                <w:rFonts w:ascii="Times New Roman" w:hAnsi="Times New Roman"/>
                <w:sz w:val="18"/>
                <w:szCs w:val="18"/>
                <w:lang w:eastAsia="sk-SK"/>
              </w:rPr>
              <w:t>. právnickým osobám</w:t>
            </w:r>
          </w:p>
        </w:tc>
        <w:tc>
          <w:tcPr>
            <w:tcW w:w="1260" w:type="dxa"/>
            <w:gridSpan w:val="2"/>
            <w:tcBorders>
              <w:top w:val="nil"/>
              <w:left w:val="nil"/>
              <w:bottom w:val="none" w:sz="0" w:space="0" w:color="auto"/>
              <w:right w:val="nil"/>
            </w:tcBorders>
            <w:textDirection w:val="lrTb"/>
            <w:vAlign w:val="center"/>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3 691 591</w:t>
            </w:r>
          </w:p>
        </w:tc>
        <w:tc>
          <w:tcPr>
            <w:tcW w:w="980" w:type="dxa"/>
            <w:tcBorders>
              <w:top w:val="nil"/>
              <w:left w:val="nil"/>
              <w:bottom w:val="none" w:sz="0" w:space="0" w:color="auto"/>
              <w:right w:val="nil"/>
            </w:tcBorders>
            <w:textDirection w:val="lrTb"/>
            <w:vAlign w:val="center"/>
            <w:hideMark/>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3 809 873</w:t>
            </w:r>
          </w:p>
        </w:tc>
        <w:tc>
          <w:tcPr>
            <w:tcW w:w="938" w:type="dxa"/>
            <w:tcBorders>
              <w:top w:val="nil"/>
              <w:left w:val="nil"/>
              <w:bottom w:val="none" w:sz="0" w:space="0" w:color="auto"/>
              <w:right w:val="nil"/>
            </w:tcBorders>
            <w:textDirection w:val="lrTb"/>
            <w:vAlign w:val="center"/>
          </w:tcPr>
          <w:p w:rsidR="00FD5465" w:rsidRPr="00753935" w:rsidP="00CC5988">
            <w:pPr>
              <w:bidi w:val="0"/>
              <w:spacing w:after="0" w:line="240" w:lineRule="auto"/>
              <w:jc w:val="right"/>
              <w:rPr>
                <w:rFonts w:ascii="Times New Roman" w:hAnsi="Times New Roman"/>
                <w:sz w:val="18"/>
                <w:szCs w:val="18"/>
                <w:lang w:eastAsia="sk-SK"/>
              </w:rPr>
            </w:pPr>
            <w:r w:rsidRPr="00F74B90">
              <w:rPr>
                <w:rFonts w:ascii="Times New Roman" w:hAnsi="Times New Roman"/>
                <w:sz w:val="18"/>
                <w:szCs w:val="18"/>
                <w:lang w:eastAsia="sk-SK"/>
              </w:rPr>
              <w:t>3</w:t>
            </w:r>
            <w:r>
              <w:rPr>
                <w:rFonts w:ascii="Times New Roman" w:hAnsi="Times New Roman"/>
                <w:sz w:val="18"/>
                <w:szCs w:val="18"/>
                <w:lang w:eastAsia="sk-SK"/>
              </w:rPr>
              <w:t xml:space="preserve"> </w:t>
            </w:r>
            <w:r w:rsidRPr="00F74B90">
              <w:rPr>
                <w:rFonts w:ascii="Times New Roman" w:hAnsi="Times New Roman"/>
                <w:sz w:val="18"/>
                <w:szCs w:val="18"/>
                <w:lang w:eastAsia="sk-SK"/>
              </w:rPr>
              <w:t>777</w:t>
            </w:r>
            <w:r>
              <w:rPr>
                <w:rFonts w:ascii="Times New Roman" w:hAnsi="Times New Roman"/>
                <w:sz w:val="18"/>
                <w:szCs w:val="18"/>
                <w:lang w:eastAsia="sk-SK"/>
              </w:rPr>
              <w:t> </w:t>
            </w:r>
            <w:r w:rsidRPr="00F74B90">
              <w:rPr>
                <w:rFonts w:ascii="Times New Roman" w:hAnsi="Times New Roman"/>
                <w:sz w:val="18"/>
                <w:szCs w:val="18"/>
                <w:lang w:eastAsia="sk-SK"/>
              </w:rPr>
              <w:t>541</w:t>
            </w:r>
          </w:p>
        </w:tc>
        <w:tc>
          <w:tcPr>
            <w:tcW w:w="1012" w:type="dxa"/>
            <w:tcBorders>
              <w:top w:val="nil"/>
              <w:left w:val="nil"/>
              <w:bottom w:val="none" w:sz="0" w:space="0" w:color="auto"/>
              <w:right w:val="nil"/>
            </w:tcBorders>
            <w:shd w:val="clear" w:color="auto" w:fill="BFBFBF"/>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3 696 261</w:t>
            </w:r>
          </w:p>
        </w:tc>
        <w:tc>
          <w:tcPr>
            <w:tcW w:w="849" w:type="dxa"/>
            <w:tcBorders>
              <w:top w:val="nil"/>
              <w:left w:val="nil"/>
              <w:bottom w:val="none" w:sz="0" w:space="0" w:color="auto"/>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-81 280</w:t>
            </w:r>
          </w:p>
        </w:tc>
        <w:tc>
          <w:tcPr>
            <w:tcW w:w="700" w:type="dxa"/>
            <w:tcBorders>
              <w:top w:val="nil"/>
              <w:left w:val="nil"/>
              <w:bottom w:val="none" w:sz="0" w:space="0" w:color="auto"/>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-2,2</w:t>
            </w:r>
          </w:p>
        </w:tc>
      </w:tr>
      <w:tr>
        <w:tblPrEx>
          <w:tblW w:w="8840" w:type="dxa"/>
          <w:tblInd w:w="55" w:type="dxa"/>
          <w:tblCellMar>
            <w:left w:w="70" w:type="dxa"/>
            <w:right w:w="70" w:type="dxa"/>
          </w:tblCellMar>
          <w:tblLook w:val="04A0"/>
        </w:tblPrEx>
        <w:trPr>
          <w:trHeight w:val="306"/>
        </w:trPr>
        <w:tc>
          <w:tcPr>
            <w:tcW w:w="3097" w:type="dxa"/>
            <w:tcBorders>
              <w:top w:val="nil"/>
              <w:left w:val="nil"/>
              <w:bottom w:val="none" w:sz="0" w:space="0" w:color="auto"/>
              <w:right w:val="nil"/>
            </w:tcBorders>
            <w:textDirection w:val="lrTb"/>
            <w:vAlign w:val="center"/>
            <w:hideMark/>
          </w:tcPr>
          <w:p w:rsidR="00B125E1" w:rsidRPr="00753935" w:rsidP="00BD70C9">
            <w:pPr>
              <w:bidi w:val="0"/>
              <w:spacing w:after="0" w:line="240" w:lineRule="auto"/>
              <w:jc w:val="left"/>
              <w:rPr>
                <w:rFonts w:ascii="Times New Roman" w:hAnsi="Times New Roman"/>
                <w:sz w:val="18"/>
                <w:szCs w:val="18"/>
                <w:lang w:eastAsia="sk-SK"/>
              </w:rPr>
            </w:pPr>
            <w:r w:rsidRPr="00753935">
              <w:rPr>
                <w:rFonts w:ascii="Times New Roman" w:hAnsi="Times New Roman"/>
                <w:sz w:val="18"/>
                <w:szCs w:val="18"/>
                <w:lang w:eastAsia="sk-SK"/>
              </w:rPr>
              <w:t>Transfery do zahraničia</w:t>
            </w:r>
          </w:p>
        </w:tc>
        <w:tc>
          <w:tcPr>
            <w:tcW w:w="1260" w:type="dxa"/>
            <w:gridSpan w:val="2"/>
            <w:tcBorders>
              <w:top w:val="nil"/>
              <w:left w:val="nil"/>
              <w:bottom w:val="none" w:sz="0" w:space="0" w:color="auto"/>
              <w:right w:val="nil"/>
            </w:tcBorders>
            <w:textDirection w:val="lrTb"/>
            <w:vAlign w:val="center"/>
          </w:tcPr>
          <w:p w:rsidR="00B125E1" w:rsidRPr="00753935" w:rsidP="00BD70C9">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666 639</w:t>
            </w:r>
          </w:p>
        </w:tc>
        <w:tc>
          <w:tcPr>
            <w:tcW w:w="980" w:type="dxa"/>
            <w:tcBorders>
              <w:top w:val="nil"/>
              <w:left w:val="nil"/>
              <w:bottom w:val="none" w:sz="0" w:space="0" w:color="auto"/>
              <w:right w:val="nil"/>
            </w:tcBorders>
            <w:textDirection w:val="lrTb"/>
            <w:vAlign w:val="center"/>
            <w:hideMark/>
          </w:tcPr>
          <w:p w:rsidR="00B125E1" w:rsidRPr="00753935" w:rsidP="00BD70C9">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711 585</w:t>
            </w:r>
          </w:p>
        </w:tc>
        <w:tc>
          <w:tcPr>
            <w:tcW w:w="938" w:type="dxa"/>
            <w:tcBorders>
              <w:top w:val="nil"/>
              <w:left w:val="nil"/>
              <w:bottom w:val="none" w:sz="0" w:space="0" w:color="auto"/>
              <w:right w:val="nil"/>
            </w:tcBorders>
            <w:textDirection w:val="lrTb"/>
            <w:vAlign w:val="center"/>
          </w:tcPr>
          <w:p w:rsidR="00B125E1" w:rsidRPr="00F74B90" w:rsidP="00BD70C9">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750 735</w:t>
            </w:r>
          </w:p>
        </w:tc>
        <w:tc>
          <w:tcPr>
            <w:tcW w:w="1012" w:type="dxa"/>
            <w:tcBorders>
              <w:top w:val="nil"/>
              <w:left w:val="nil"/>
              <w:bottom w:val="none" w:sz="0" w:space="0" w:color="auto"/>
              <w:right w:val="nil"/>
            </w:tcBorders>
            <w:shd w:val="clear" w:color="auto" w:fill="BFBFBF"/>
            <w:textDirection w:val="lrTb"/>
            <w:vAlign w:val="center"/>
          </w:tcPr>
          <w:p w:rsidR="00B125E1" w:rsidRPr="00F477E9" w:rsidP="00BD70C9">
            <w:pPr>
              <w:bidi w:val="0"/>
              <w:spacing w:after="0" w:line="240" w:lineRule="auto"/>
              <w:jc w:val="right"/>
              <w:rPr>
                <w:rFonts w:ascii="Times New Roman" w:hAnsi="Times New Roman"/>
                <w:sz w:val="18"/>
                <w:szCs w:val="18"/>
                <w:lang w:eastAsia="sk-SK"/>
              </w:rPr>
            </w:pPr>
            <w:r w:rsidRPr="00F477E9">
              <w:rPr>
                <w:rFonts w:ascii="Times New Roman" w:hAnsi="Times New Roman"/>
                <w:sz w:val="18"/>
                <w:szCs w:val="18"/>
                <w:lang w:eastAsia="sk-SK"/>
              </w:rPr>
              <w:t>711 358</w:t>
            </w:r>
          </w:p>
        </w:tc>
        <w:tc>
          <w:tcPr>
            <w:tcW w:w="849" w:type="dxa"/>
            <w:tcBorders>
              <w:top w:val="nil"/>
              <w:left w:val="nil"/>
              <w:bottom w:val="none" w:sz="0" w:space="0" w:color="auto"/>
              <w:right w:val="nil"/>
            </w:tcBorders>
            <w:textDirection w:val="lrTb"/>
            <w:vAlign w:val="center"/>
          </w:tcPr>
          <w:p w:rsidR="00B125E1" w:rsidRPr="00F477E9" w:rsidP="00BD70C9">
            <w:pPr>
              <w:bidi w:val="0"/>
              <w:spacing w:after="0" w:line="240" w:lineRule="auto"/>
              <w:jc w:val="right"/>
              <w:rPr>
                <w:rFonts w:ascii="Times New Roman" w:hAnsi="Times New Roman"/>
                <w:sz w:val="18"/>
                <w:szCs w:val="18"/>
                <w:lang w:eastAsia="sk-SK"/>
              </w:rPr>
            </w:pPr>
            <w:r w:rsidRPr="00F477E9">
              <w:rPr>
                <w:rFonts w:ascii="Times New Roman" w:hAnsi="Times New Roman"/>
                <w:sz w:val="18"/>
                <w:szCs w:val="18"/>
                <w:lang w:eastAsia="sk-SK"/>
              </w:rPr>
              <w:t>-39 377</w:t>
            </w:r>
          </w:p>
        </w:tc>
        <w:tc>
          <w:tcPr>
            <w:tcW w:w="700" w:type="dxa"/>
            <w:tcBorders>
              <w:top w:val="nil"/>
              <w:left w:val="nil"/>
              <w:bottom w:val="none" w:sz="0" w:space="0" w:color="auto"/>
              <w:right w:val="nil"/>
            </w:tcBorders>
            <w:textDirection w:val="lrTb"/>
            <w:vAlign w:val="center"/>
          </w:tcPr>
          <w:p w:rsidR="00B125E1" w:rsidRPr="00F477E9" w:rsidP="00BD70C9">
            <w:pPr>
              <w:bidi w:val="0"/>
              <w:spacing w:after="0" w:line="240" w:lineRule="auto"/>
              <w:jc w:val="right"/>
              <w:rPr>
                <w:rFonts w:ascii="Times New Roman" w:hAnsi="Times New Roman"/>
                <w:sz w:val="18"/>
                <w:szCs w:val="18"/>
                <w:lang w:eastAsia="sk-SK"/>
              </w:rPr>
            </w:pPr>
            <w:r w:rsidRPr="00F477E9">
              <w:rPr>
                <w:rFonts w:ascii="Times New Roman" w:hAnsi="Times New Roman"/>
                <w:sz w:val="18"/>
                <w:szCs w:val="18"/>
                <w:lang w:eastAsia="sk-SK"/>
              </w:rPr>
              <w:t>-5,2</w:t>
            </w:r>
          </w:p>
        </w:tc>
      </w:tr>
      <w:tr>
        <w:tblPrEx>
          <w:tblW w:w="8840" w:type="dxa"/>
          <w:tblInd w:w="55" w:type="dxa"/>
          <w:tblCellMar>
            <w:left w:w="70" w:type="dxa"/>
            <w:right w:w="70" w:type="dxa"/>
          </w:tblCellMar>
          <w:tblLook w:val="04A0"/>
        </w:tblPrEx>
        <w:trPr>
          <w:trHeight w:val="306"/>
        </w:trPr>
        <w:tc>
          <w:tcPr>
            <w:tcW w:w="3097" w:type="dxa"/>
            <w:tcBorders>
              <w:top w:val="none" w:sz="0" w:space="0" w:color="auto"/>
              <w:left w:val="nil"/>
              <w:bottom w:val="nil"/>
              <w:right w:val="nil"/>
            </w:tcBorders>
            <w:textDirection w:val="lrTb"/>
            <w:vAlign w:val="center"/>
            <w:hideMark/>
          </w:tcPr>
          <w:p w:rsidR="00FD5465" w:rsidRPr="00753935" w:rsidP="00B125E1">
            <w:pPr>
              <w:bidi w:val="0"/>
              <w:spacing w:after="0" w:line="240" w:lineRule="auto"/>
              <w:jc w:val="left"/>
              <w:rPr>
                <w:rFonts w:ascii="Times New Roman" w:hAnsi="Times New Roman"/>
                <w:sz w:val="18"/>
                <w:szCs w:val="18"/>
                <w:lang w:eastAsia="sk-SK"/>
              </w:rPr>
            </w:pPr>
            <w:r w:rsidR="00B125E1">
              <w:rPr>
                <w:rFonts w:ascii="Times New Roman" w:hAnsi="Times New Roman"/>
                <w:sz w:val="18"/>
                <w:szCs w:val="18"/>
                <w:lang w:eastAsia="sk-SK"/>
              </w:rPr>
              <w:t>Transfery nefinančným subjektom</w:t>
            </w:r>
          </w:p>
        </w:tc>
        <w:tc>
          <w:tcPr>
            <w:tcW w:w="1260" w:type="dxa"/>
            <w:gridSpan w:val="2"/>
            <w:tcBorders>
              <w:top w:val="none" w:sz="0" w:space="0" w:color="auto"/>
              <w:left w:val="nil"/>
              <w:bottom w:val="nil"/>
              <w:right w:val="nil"/>
            </w:tcBorders>
            <w:textDirection w:val="lrTb"/>
            <w:vAlign w:val="center"/>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859 603</w:t>
            </w:r>
          </w:p>
        </w:tc>
        <w:tc>
          <w:tcPr>
            <w:tcW w:w="980" w:type="dxa"/>
            <w:tcBorders>
              <w:top w:val="none" w:sz="0" w:space="0" w:color="auto"/>
              <w:left w:val="nil"/>
              <w:bottom w:val="nil"/>
              <w:right w:val="nil"/>
            </w:tcBorders>
            <w:textDirection w:val="lrTb"/>
            <w:vAlign w:val="center"/>
            <w:hideMark/>
          </w:tcPr>
          <w:p w:rsidR="00FD5465" w:rsidRPr="00753935" w:rsidP="00CC598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618 022</w:t>
            </w:r>
          </w:p>
        </w:tc>
        <w:tc>
          <w:tcPr>
            <w:tcW w:w="938" w:type="dxa"/>
            <w:tcBorders>
              <w:top w:val="none" w:sz="0" w:space="0" w:color="auto"/>
              <w:left w:val="nil"/>
              <w:bottom w:val="nil"/>
              <w:right w:val="nil"/>
            </w:tcBorders>
            <w:textDirection w:val="lrTb"/>
            <w:vAlign w:val="center"/>
          </w:tcPr>
          <w:p w:rsidR="00FD5465" w:rsidRPr="00F74B90" w:rsidP="00CC5988">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1 037 722</w:t>
            </w:r>
          </w:p>
        </w:tc>
        <w:tc>
          <w:tcPr>
            <w:tcW w:w="1012" w:type="dxa"/>
            <w:tcBorders>
              <w:top w:val="none" w:sz="0" w:space="0" w:color="auto"/>
              <w:left w:val="nil"/>
              <w:bottom w:val="nil"/>
              <w:right w:val="nil"/>
            </w:tcBorders>
            <w:shd w:val="clear" w:color="auto" w:fill="BFBFBF"/>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643 405</w:t>
            </w:r>
          </w:p>
        </w:tc>
        <w:tc>
          <w:tcPr>
            <w:tcW w:w="849" w:type="dxa"/>
            <w:tcBorders>
              <w:top w:val="none" w:sz="0" w:space="0" w:color="auto"/>
              <w:left w:val="nil"/>
              <w:bottom w:val="nil"/>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-394 317</w:t>
            </w:r>
          </w:p>
        </w:tc>
        <w:tc>
          <w:tcPr>
            <w:tcW w:w="700" w:type="dxa"/>
            <w:tcBorders>
              <w:top w:val="none" w:sz="0" w:space="0" w:color="auto"/>
              <w:left w:val="nil"/>
              <w:bottom w:val="nil"/>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-38,0</w:t>
            </w:r>
          </w:p>
        </w:tc>
      </w:tr>
      <w:tr>
        <w:tblPrEx>
          <w:tblW w:w="8840" w:type="dxa"/>
          <w:tblInd w:w="55" w:type="dxa"/>
          <w:tblCellMar>
            <w:left w:w="70" w:type="dxa"/>
            <w:right w:w="70" w:type="dxa"/>
          </w:tblCellMar>
          <w:tblLook w:val="04A0"/>
        </w:tblPrEx>
        <w:trPr>
          <w:trHeight w:val="306"/>
        </w:trPr>
        <w:tc>
          <w:tcPr>
            <w:tcW w:w="3097" w:type="dxa"/>
            <w:tcBorders>
              <w:top w:val="nil"/>
              <w:left w:val="nil"/>
              <w:bottom w:val="none" w:sz="0" w:space="0" w:color="auto"/>
              <w:right w:val="nil"/>
            </w:tcBorders>
            <w:textDirection w:val="lrTb"/>
            <w:vAlign w:val="center"/>
            <w:hideMark/>
          </w:tcPr>
          <w:p w:rsidR="00FD5465" w:rsidRPr="00753935" w:rsidP="00CC5988">
            <w:pPr>
              <w:bidi w:val="0"/>
              <w:spacing w:after="0" w:line="240" w:lineRule="auto"/>
              <w:jc w:val="left"/>
              <w:rPr>
                <w:rFonts w:ascii="Times New Roman" w:hAnsi="Times New Roman"/>
                <w:sz w:val="18"/>
                <w:szCs w:val="18"/>
                <w:lang w:eastAsia="sk-SK"/>
              </w:rPr>
            </w:pPr>
            <w:r w:rsidRPr="00753935">
              <w:rPr>
                <w:rFonts w:ascii="Times New Roman" w:hAnsi="Times New Roman"/>
                <w:sz w:val="18"/>
                <w:szCs w:val="18"/>
                <w:lang w:eastAsia="sk-SK"/>
              </w:rPr>
              <w:t>Transfery do tuzemských finančných inštitúcií</w:t>
            </w:r>
          </w:p>
        </w:tc>
        <w:tc>
          <w:tcPr>
            <w:tcW w:w="1260" w:type="dxa"/>
            <w:gridSpan w:val="2"/>
            <w:tcBorders>
              <w:top w:val="nil"/>
              <w:left w:val="nil"/>
              <w:bottom w:val="none" w:sz="0" w:space="0" w:color="auto"/>
              <w:right w:val="nil"/>
            </w:tcBorders>
            <w:textDirection w:val="lrTb"/>
            <w:vAlign w:val="center"/>
          </w:tcPr>
          <w:p w:rsidR="00FD5465" w:rsidRPr="00753935" w:rsidP="005564D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2 023</w:t>
            </w:r>
          </w:p>
        </w:tc>
        <w:tc>
          <w:tcPr>
            <w:tcW w:w="980" w:type="dxa"/>
            <w:tcBorders>
              <w:top w:val="nil"/>
              <w:left w:val="nil"/>
              <w:bottom w:val="none" w:sz="0" w:space="0" w:color="auto"/>
              <w:right w:val="nil"/>
            </w:tcBorders>
            <w:textDirection w:val="lrTb"/>
            <w:vAlign w:val="center"/>
            <w:hideMark/>
          </w:tcPr>
          <w:p w:rsidR="00FD5465" w:rsidRPr="00753935" w:rsidP="005564D8">
            <w:pPr>
              <w:bidi w:val="0"/>
              <w:spacing w:after="0" w:line="240" w:lineRule="auto"/>
              <w:jc w:val="right"/>
              <w:rPr>
                <w:rFonts w:ascii="Times New Roman" w:hAnsi="Times New Roman"/>
                <w:sz w:val="18"/>
                <w:szCs w:val="18"/>
                <w:lang w:eastAsia="sk-SK"/>
              </w:rPr>
            </w:pPr>
            <w:r w:rsidRPr="00753935">
              <w:rPr>
                <w:rFonts w:ascii="Times New Roman" w:hAnsi="Times New Roman"/>
                <w:sz w:val="18"/>
                <w:szCs w:val="18"/>
                <w:lang w:eastAsia="sk-SK"/>
              </w:rPr>
              <w:t>2 127</w:t>
            </w:r>
          </w:p>
        </w:tc>
        <w:tc>
          <w:tcPr>
            <w:tcW w:w="938" w:type="dxa"/>
            <w:tcBorders>
              <w:top w:val="nil"/>
              <w:left w:val="nil"/>
              <w:bottom w:val="none" w:sz="0" w:space="0" w:color="auto"/>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2 710</w:t>
            </w:r>
          </w:p>
        </w:tc>
        <w:tc>
          <w:tcPr>
            <w:tcW w:w="1012" w:type="dxa"/>
            <w:tcBorders>
              <w:top w:val="nil"/>
              <w:left w:val="nil"/>
              <w:bottom w:val="none" w:sz="0" w:space="0" w:color="auto"/>
              <w:right w:val="nil"/>
            </w:tcBorders>
            <w:shd w:val="clear" w:color="auto" w:fill="BFBFBF"/>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1 774</w:t>
            </w:r>
          </w:p>
        </w:tc>
        <w:tc>
          <w:tcPr>
            <w:tcW w:w="849" w:type="dxa"/>
            <w:tcBorders>
              <w:top w:val="nil"/>
              <w:left w:val="nil"/>
              <w:bottom w:val="none" w:sz="0" w:space="0" w:color="auto"/>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-936</w:t>
            </w:r>
          </w:p>
        </w:tc>
        <w:tc>
          <w:tcPr>
            <w:tcW w:w="700" w:type="dxa"/>
            <w:tcBorders>
              <w:top w:val="nil"/>
              <w:left w:val="nil"/>
              <w:bottom w:val="none" w:sz="0" w:space="0" w:color="auto"/>
              <w:right w:val="nil"/>
            </w:tcBorders>
            <w:textDirection w:val="lrTb"/>
            <w:vAlign w:val="center"/>
          </w:tcPr>
          <w:p w:rsidR="00FD5465" w:rsidRPr="005564D8" w:rsidP="005564D8">
            <w:pPr>
              <w:bidi w:val="0"/>
              <w:spacing w:after="0" w:line="240" w:lineRule="auto"/>
              <w:jc w:val="right"/>
              <w:rPr>
                <w:rFonts w:ascii="Times New Roman" w:hAnsi="Times New Roman"/>
                <w:sz w:val="18"/>
                <w:szCs w:val="18"/>
                <w:lang w:eastAsia="sk-SK"/>
              </w:rPr>
            </w:pPr>
            <w:r w:rsidRPr="005564D8">
              <w:rPr>
                <w:rFonts w:ascii="Times New Roman" w:hAnsi="Times New Roman"/>
                <w:sz w:val="18"/>
                <w:szCs w:val="18"/>
                <w:lang w:eastAsia="sk-SK"/>
              </w:rPr>
              <w:t>-34,5</w:t>
            </w:r>
          </w:p>
        </w:tc>
      </w:tr>
      <w:tr>
        <w:tblPrEx>
          <w:tblW w:w="8840" w:type="dxa"/>
          <w:tblInd w:w="55" w:type="dxa"/>
          <w:tblCellMar>
            <w:left w:w="70" w:type="dxa"/>
            <w:right w:w="70" w:type="dxa"/>
          </w:tblCellMar>
          <w:tblLook w:val="04A0"/>
        </w:tblPrEx>
        <w:trPr>
          <w:trHeight w:val="306"/>
        </w:trPr>
        <w:tc>
          <w:tcPr>
            <w:tcW w:w="3376" w:type="dxa"/>
            <w:gridSpan w:val="2"/>
            <w:tcBorders>
              <w:top w:val="single" w:sz="4" w:space="0" w:color="auto"/>
              <w:left w:val="nil"/>
              <w:bottom w:val="single" w:sz="4" w:space="0" w:color="auto"/>
              <w:right w:val="none" w:sz="0" w:space="0" w:color="auto"/>
            </w:tcBorders>
            <w:textDirection w:val="lrTb"/>
            <w:vAlign w:val="center"/>
            <w:hideMark/>
          </w:tcPr>
          <w:p w:rsidR="00FD5465" w:rsidRPr="00F95968" w:rsidP="00CC5988">
            <w:pPr>
              <w:bidi w:val="0"/>
              <w:spacing w:after="0" w:line="240" w:lineRule="auto"/>
              <w:rPr>
                <w:rFonts w:ascii="Times New Roman" w:hAnsi="Times New Roman"/>
                <w:b/>
                <w:bCs/>
                <w:sz w:val="18"/>
                <w:szCs w:val="18"/>
                <w:lang w:eastAsia="sk-SK"/>
              </w:rPr>
            </w:pPr>
            <w:r w:rsidRPr="00F95968">
              <w:rPr>
                <w:rFonts w:ascii="Times New Roman" w:hAnsi="Times New Roman"/>
                <w:b/>
                <w:bCs/>
                <w:sz w:val="18"/>
                <w:szCs w:val="18"/>
                <w:lang w:eastAsia="sk-SK"/>
              </w:rPr>
              <w:t>Spolu</w:t>
            </w:r>
          </w:p>
        </w:tc>
        <w:tc>
          <w:tcPr>
            <w:tcW w:w="981" w:type="dxa"/>
            <w:tcBorders>
              <w:top w:val="single" w:sz="4" w:space="0" w:color="auto"/>
              <w:left w:val="none" w:sz="0" w:space="0" w:color="auto"/>
              <w:bottom w:val="single" w:sz="4" w:space="0" w:color="auto"/>
              <w:right w:val="none" w:sz="0" w:space="0" w:color="auto"/>
            </w:tcBorders>
            <w:noWrap/>
            <w:textDirection w:val="lrTb"/>
            <w:vAlign w:val="center"/>
            <w:hideMark/>
          </w:tcPr>
          <w:p w:rsidR="00FD5465" w:rsidRPr="00F95968" w:rsidP="00314FE3">
            <w:pPr>
              <w:bidi w:val="0"/>
              <w:spacing w:after="0" w:line="240" w:lineRule="auto"/>
              <w:jc w:val="right"/>
              <w:rPr>
                <w:rFonts w:ascii="Times New Roman" w:hAnsi="Times New Roman"/>
                <w:b/>
                <w:bCs/>
                <w:sz w:val="18"/>
                <w:szCs w:val="18"/>
                <w:lang w:eastAsia="sk-SK"/>
              </w:rPr>
            </w:pPr>
            <w:r w:rsidRPr="00F95968">
              <w:rPr>
                <w:rFonts w:ascii="Times New Roman" w:hAnsi="Times New Roman"/>
                <w:b/>
                <w:bCs/>
                <w:sz w:val="18"/>
                <w:szCs w:val="18"/>
                <w:lang w:eastAsia="sk-SK"/>
              </w:rPr>
              <w:t>9 625 831</w:t>
            </w:r>
          </w:p>
        </w:tc>
        <w:tc>
          <w:tcPr>
            <w:tcW w:w="980" w:type="dxa"/>
            <w:tcBorders>
              <w:top w:val="single" w:sz="4" w:space="0" w:color="auto"/>
              <w:left w:val="nil"/>
              <w:bottom w:val="single" w:sz="4" w:space="0" w:color="auto"/>
              <w:right w:val="none" w:sz="0" w:space="0" w:color="auto"/>
            </w:tcBorders>
            <w:noWrap/>
            <w:textDirection w:val="lrTb"/>
            <w:vAlign w:val="center"/>
            <w:hideMark/>
          </w:tcPr>
          <w:p w:rsidR="00FD5465" w:rsidRPr="00F95968" w:rsidP="00314FE3">
            <w:pPr>
              <w:bidi w:val="0"/>
              <w:spacing w:after="0" w:line="240" w:lineRule="auto"/>
              <w:jc w:val="right"/>
              <w:rPr>
                <w:rFonts w:ascii="Times New Roman" w:hAnsi="Times New Roman"/>
                <w:b/>
                <w:bCs/>
                <w:sz w:val="18"/>
                <w:szCs w:val="18"/>
                <w:lang w:eastAsia="sk-SK"/>
              </w:rPr>
            </w:pPr>
            <w:r w:rsidRPr="00F95968">
              <w:rPr>
                <w:rFonts w:ascii="Times New Roman" w:hAnsi="Times New Roman"/>
                <w:b/>
                <w:bCs/>
                <w:sz w:val="18"/>
                <w:szCs w:val="18"/>
                <w:lang w:eastAsia="sk-SK"/>
              </w:rPr>
              <w:t>9 485 727</w:t>
            </w:r>
          </w:p>
        </w:tc>
        <w:tc>
          <w:tcPr>
            <w:tcW w:w="938" w:type="dxa"/>
            <w:tcBorders>
              <w:top w:val="single" w:sz="4" w:space="0" w:color="auto"/>
              <w:left w:val="nil"/>
              <w:bottom w:val="single" w:sz="4" w:space="0" w:color="auto"/>
              <w:right w:val="nil"/>
            </w:tcBorders>
            <w:noWrap/>
            <w:textDirection w:val="lrTb"/>
            <w:vAlign w:val="center"/>
          </w:tcPr>
          <w:p w:rsidR="00FD5465" w:rsidRPr="00B211E7" w:rsidP="00314FE3">
            <w:pPr>
              <w:bidi w:val="0"/>
              <w:spacing w:after="0" w:line="240" w:lineRule="auto"/>
              <w:jc w:val="right"/>
              <w:rPr>
                <w:rFonts w:ascii="Times New Roman" w:hAnsi="Times New Roman"/>
                <w:b/>
                <w:bCs/>
                <w:sz w:val="18"/>
                <w:szCs w:val="18"/>
                <w:lang w:eastAsia="sk-SK"/>
              </w:rPr>
            </w:pPr>
            <w:r w:rsidRPr="00B211E7">
              <w:rPr>
                <w:rFonts w:ascii="Times New Roman" w:hAnsi="Times New Roman"/>
                <w:b/>
                <w:bCs/>
                <w:sz w:val="18"/>
                <w:szCs w:val="18"/>
                <w:lang w:eastAsia="sk-SK"/>
              </w:rPr>
              <w:t>10 136</w:t>
            </w:r>
            <w:r>
              <w:rPr>
                <w:rFonts w:ascii="Times New Roman" w:hAnsi="Times New Roman"/>
                <w:b/>
                <w:bCs/>
                <w:sz w:val="18"/>
                <w:szCs w:val="18"/>
                <w:lang w:eastAsia="sk-SK"/>
              </w:rPr>
              <w:t> </w:t>
            </w:r>
            <w:r w:rsidRPr="00B211E7">
              <w:rPr>
                <w:rFonts w:ascii="Times New Roman" w:hAnsi="Times New Roman"/>
                <w:b/>
                <w:bCs/>
                <w:sz w:val="18"/>
                <w:szCs w:val="18"/>
                <w:lang w:eastAsia="sk-SK"/>
              </w:rPr>
              <w:t>370</w:t>
            </w:r>
            <w:r>
              <w:rPr>
                <w:rFonts w:ascii="Times New Roman" w:hAnsi="Times New Roman"/>
                <w:b/>
                <w:bCs/>
                <w:sz w:val="18"/>
                <w:szCs w:val="18"/>
                <w:lang w:eastAsia="sk-SK"/>
              </w:rPr>
              <w:t xml:space="preserve">  </w:t>
            </w:r>
          </w:p>
        </w:tc>
        <w:tc>
          <w:tcPr>
            <w:tcW w:w="1012" w:type="dxa"/>
            <w:tcBorders>
              <w:top w:val="single" w:sz="4" w:space="0" w:color="auto"/>
              <w:left w:val="nil"/>
              <w:bottom w:val="single" w:sz="4" w:space="0" w:color="auto"/>
              <w:right w:val="nil"/>
            </w:tcBorders>
            <w:shd w:val="clear" w:color="auto" w:fill="BFBFBF"/>
            <w:noWrap/>
            <w:textDirection w:val="lrTb"/>
            <w:vAlign w:val="center"/>
          </w:tcPr>
          <w:p w:rsidR="00FD5465" w:rsidRPr="00B211E7" w:rsidP="00314FE3">
            <w:pPr>
              <w:bidi w:val="0"/>
              <w:spacing w:after="0" w:line="240" w:lineRule="auto"/>
              <w:jc w:val="right"/>
              <w:rPr>
                <w:rFonts w:ascii="Times New Roman" w:hAnsi="Times New Roman"/>
                <w:b/>
                <w:bCs/>
                <w:sz w:val="18"/>
                <w:szCs w:val="18"/>
                <w:lang w:eastAsia="sk-SK"/>
              </w:rPr>
            </w:pPr>
            <w:r w:rsidRPr="00B211E7">
              <w:rPr>
                <w:rFonts w:ascii="Times New Roman" w:hAnsi="Times New Roman"/>
                <w:b/>
                <w:bCs/>
                <w:sz w:val="18"/>
                <w:szCs w:val="18"/>
                <w:lang w:eastAsia="sk-SK"/>
              </w:rPr>
              <w:t>9 652 930</w:t>
            </w:r>
          </w:p>
        </w:tc>
        <w:tc>
          <w:tcPr>
            <w:tcW w:w="849" w:type="dxa"/>
            <w:tcBorders>
              <w:top w:val="single" w:sz="4" w:space="0" w:color="auto"/>
              <w:left w:val="nil"/>
              <w:bottom w:val="single" w:sz="4" w:space="0" w:color="auto"/>
              <w:right w:val="nil"/>
            </w:tcBorders>
            <w:textDirection w:val="lrTb"/>
            <w:vAlign w:val="center"/>
          </w:tcPr>
          <w:p w:rsidR="00FD5465" w:rsidRPr="00B211E7" w:rsidP="00314FE3">
            <w:pPr>
              <w:bidi w:val="0"/>
              <w:spacing w:after="0" w:line="240" w:lineRule="auto"/>
              <w:jc w:val="right"/>
              <w:rPr>
                <w:rFonts w:ascii="Times New Roman" w:hAnsi="Times New Roman"/>
                <w:b/>
                <w:bCs/>
                <w:sz w:val="18"/>
                <w:szCs w:val="18"/>
                <w:lang w:eastAsia="sk-SK"/>
              </w:rPr>
            </w:pPr>
            <w:r w:rsidRPr="00B211E7">
              <w:rPr>
                <w:rFonts w:ascii="Times New Roman" w:hAnsi="Times New Roman"/>
                <w:b/>
                <w:bCs/>
                <w:sz w:val="18"/>
                <w:szCs w:val="18"/>
                <w:lang w:eastAsia="sk-SK"/>
              </w:rPr>
              <w:t>-483 440</w:t>
            </w:r>
          </w:p>
        </w:tc>
        <w:tc>
          <w:tcPr>
            <w:tcW w:w="700" w:type="dxa"/>
            <w:tcBorders>
              <w:top w:val="single" w:sz="4" w:space="0" w:color="auto"/>
              <w:left w:val="nil"/>
              <w:bottom w:val="single" w:sz="4" w:space="0" w:color="auto"/>
              <w:right w:val="nil"/>
            </w:tcBorders>
            <w:textDirection w:val="lrTb"/>
            <w:vAlign w:val="center"/>
          </w:tcPr>
          <w:p w:rsidR="00FD5465" w:rsidRPr="00B211E7" w:rsidP="00F477E9">
            <w:pPr>
              <w:bidi w:val="0"/>
              <w:spacing w:after="0" w:line="240" w:lineRule="auto"/>
              <w:jc w:val="right"/>
              <w:rPr>
                <w:rFonts w:ascii="Times New Roman" w:hAnsi="Times New Roman"/>
                <w:b/>
                <w:bCs/>
                <w:sz w:val="18"/>
                <w:szCs w:val="18"/>
                <w:lang w:eastAsia="sk-SK"/>
              </w:rPr>
            </w:pPr>
            <w:r w:rsidRPr="00B211E7">
              <w:rPr>
                <w:rFonts w:ascii="Times New Roman" w:hAnsi="Times New Roman"/>
                <w:b/>
                <w:bCs/>
                <w:sz w:val="18"/>
                <w:szCs w:val="18"/>
                <w:lang w:eastAsia="sk-SK"/>
              </w:rPr>
              <w:t>-4,8</w:t>
            </w:r>
          </w:p>
        </w:tc>
      </w:tr>
    </w:tbl>
    <w:p w:rsidR="00FD5465" w:rsidRPr="00F95968" w:rsidP="00FD5465">
      <w:pPr>
        <w:bidi w:val="0"/>
        <w:jc w:val="right"/>
        <w:rPr>
          <w:rFonts w:ascii="Times New Roman" w:hAnsi="Times New Roman"/>
          <w:sz w:val="18"/>
          <w:szCs w:val="18"/>
        </w:rPr>
      </w:pPr>
      <w:r w:rsidRPr="00F95968">
        <w:rPr>
          <w:rFonts w:ascii="Times New Roman" w:hAnsi="Times New Roman"/>
          <w:sz w:val="18"/>
          <w:szCs w:val="18"/>
        </w:rPr>
        <w:t>Zdroj: MF SR</w:t>
      </w:r>
    </w:p>
    <w:p w:rsidR="00FD5465" w:rsidRPr="00F74B90" w:rsidP="00FD5465">
      <w:pPr>
        <w:bidi w:val="0"/>
        <w:rPr>
          <w:rFonts w:ascii="Times New Roman" w:hAnsi="Times New Roman"/>
          <w:b/>
          <w:szCs w:val="22"/>
        </w:rPr>
      </w:pPr>
      <w:r w:rsidRPr="00F74B90">
        <w:rPr>
          <w:rFonts w:ascii="Times New Roman" w:hAnsi="Times New Roman"/>
          <w:szCs w:val="22"/>
        </w:rPr>
        <w:t>V položke</w:t>
      </w:r>
      <w:r w:rsidRPr="00F74B90">
        <w:rPr>
          <w:rFonts w:ascii="Times New Roman" w:hAnsi="Times New Roman"/>
          <w:b/>
          <w:szCs w:val="22"/>
        </w:rPr>
        <w:t xml:space="preserve"> </w:t>
      </w:r>
      <w:r w:rsidRPr="00F74B90">
        <w:rPr>
          <w:rFonts w:ascii="Times New Roman" w:hAnsi="Times New Roman"/>
          <w:b/>
          <w:i/>
          <w:szCs w:val="22"/>
        </w:rPr>
        <w:t xml:space="preserve">transferov v rámci verejnej správy </w:t>
      </w:r>
      <w:r w:rsidRPr="00F74B90">
        <w:rPr>
          <w:rFonts w:ascii="Times New Roman" w:hAnsi="Times New Roman"/>
          <w:szCs w:val="22"/>
        </w:rPr>
        <w:t xml:space="preserve">boli vynaložené finančné prostriedky pre tieto okruhy príjemcov: </w:t>
      </w:r>
    </w:p>
    <w:p w:rsidR="00452A45" w:rsidRPr="00452A45" w:rsidP="00452A45">
      <w:pPr>
        <w:pStyle w:val="ListParagraph"/>
        <w:bidi w:val="0"/>
        <w:spacing w:after="120" w:line="336" w:lineRule="auto"/>
        <w:ind w:left="0"/>
        <w:contextualSpacing w:val="0"/>
        <w:jc w:val="both"/>
        <w:rPr>
          <w:rFonts w:ascii="Times New Roman" w:hAnsi="Times New Roman"/>
        </w:rPr>
      </w:pPr>
      <w:r w:rsidR="001D1312">
        <w:rPr>
          <w:rFonts w:ascii="Times New Roman" w:hAnsi="Times New Roman"/>
          <w:b/>
        </w:rPr>
        <w:t>N</w:t>
      </w:r>
      <w:r w:rsidRPr="00650EFD">
        <w:rPr>
          <w:rFonts w:ascii="Times New Roman" w:hAnsi="Times New Roman"/>
          <w:b/>
        </w:rPr>
        <w:t xml:space="preserve">a vyrovnanie mimorozpočtového účtu štátneho dlhu, </w:t>
      </w:r>
      <w:r w:rsidRPr="00650EFD">
        <w:rPr>
          <w:rFonts w:ascii="Times New Roman" w:hAnsi="Times New Roman"/>
        </w:rPr>
        <w:t>ktoré</w:t>
      </w:r>
      <w:r w:rsidRPr="00650EFD">
        <w:rPr>
          <w:rFonts w:ascii="Times New Roman" w:hAnsi="Times New Roman"/>
          <w:b/>
        </w:rPr>
        <w:t xml:space="preserve"> </w:t>
      </w:r>
      <w:r w:rsidRPr="00650EFD">
        <w:rPr>
          <w:rFonts w:ascii="Times New Roman" w:hAnsi="Times New Roman"/>
        </w:rPr>
        <w:t xml:space="preserve">boli uhradené v objeme 1 166 299 tis. eur </w:t>
      </w:r>
      <w:r>
        <w:rPr>
          <w:rFonts w:ascii="Times New Roman" w:hAnsi="Times New Roman"/>
        </w:rPr>
        <w:t xml:space="preserve">(1 174 727 tis. eur) </w:t>
      </w:r>
      <w:r w:rsidRPr="00650EFD">
        <w:rPr>
          <w:rFonts w:ascii="Times New Roman" w:hAnsi="Times New Roman"/>
        </w:rPr>
        <w:t>z kapitoly Všeobecná p</w:t>
      </w:r>
      <w:r w:rsidR="001D1312">
        <w:rPr>
          <w:rFonts w:ascii="Times New Roman" w:hAnsi="Times New Roman"/>
        </w:rPr>
        <w:t>okladničná správa. Ide o účet s </w:t>
      </w:r>
      <w:r w:rsidRPr="00650EFD">
        <w:rPr>
          <w:rFonts w:ascii="Times New Roman" w:hAnsi="Times New Roman"/>
        </w:rPr>
        <w:t>povoleným debetným zostatkom, prostredníctvom ktorého A</w:t>
      </w:r>
      <w:r>
        <w:rPr>
          <w:rFonts w:ascii="Times New Roman" w:hAnsi="Times New Roman"/>
        </w:rPr>
        <w:t>RDAL</w:t>
      </w:r>
      <w:r w:rsidRPr="00650EFD">
        <w:rPr>
          <w:rFonts w:ascii="Times New Roman" w:hAnsi="Times New Roman"/>
        </w:rPr>
        <w:t xml:space="preserve"> od roku 2012 realizuje transakcie súvisiace s uhrádzanými úrokmi a poplatkami, a na ktorý A</w:t>
      </w:r>
      <w:r>
        <w:rPr>
          <w:rFonts w:ascii="Times New Roman" w:hAnsi="Times New Roman"/>
        </w:rPr>
        <w:t>RDAL</w:t>
      </w:r>
      <w:r w:rsidRPr="00650EFD">
        <w:rPr>
          <w:rFonts w:ascii="Times New Roman" w:hAnsi="Times New Roman"/>
        </w:rPr>
        <w:t xml:space="preserve"> priebežne prevádza a smeruje prijaté úroky a poplatky súvisiace s finančnými operáciami vykonávanými v mene a </w:t>
      </w:r>
      <w:r w:rsidR="003A0FEE">
        <w:rPr>
          <w:rFonts w:ascii="Times New Roman" w:hAnsi="Times New Roman"/>
        </w:rPr>
        <w:br/>
      </w:r>
      <w:r w:rsidRPr="00650EFD">
        <w:rPr>
          <w:rFonts w:ascii="Times New Roman" w:hAnsi="Times New Roman"/>
        </w:rPr>
        <w:t xml:space="preserve">na účet Ministerstva financií SR. Vzniknuté saldo prijatých a uhrádzaných úrokov a poplatkov je mesačne vyrovnané z výdavkového rozpočtového účtu kapitoly VPS a ku koncu roka má nulový </w:t>
      </w:r>
      <w:r w:rsidRPr="00452A45">
        <w:rPr>
          <w:rFonts w:ascii="Times New Roman" w:hAnsi="Times New Roman"/>
        </w:rPr>
        <w:t xml:space="preserve">zostatok. </w:t>
      </w:r>
    </w:p>
    <w:p w:rsidR="00452A45" w:rsidP="00452A45">
      <w:pPr>
        <w:pStyle w:val="ListParagraph"/>
        <w:bidi w:val="0"/>
        <w:spacing w:after="120" w:line="336" w:lineRule="auto"/>
        <w:ind w:left="0"/>
        <w:contextualSpacing w:val="0"/>
        <w:jc w:val="both"/>
        <w:rPr>
          <w:rFonts w:ascii="Times New Roman" w:hAnsi="Times New Roman"/>
        </w:rPr>
      </w:pPr>
      <w:r w:rsidR="001D1312">
        <w:rPr>
          <w:rFonts w:ascii="Times New Roman" w:hAnsi="Times New Roman"/>
          <w:b/>
        </w:rPr>
        <w:t>V</w:t>
      </w:r>
      <w:r w:rsidRPr="008E7504">
        <w:rPr>
          <w:rFonts w:ascii="Times New Roman" w:hAnsi="Times New Roman"/>
          <w:b/>
        </w:rPr>
        <w:t>erejným vysokým školám</w:t>
      </w:r>
      <w:r w:rsidRPr="008E7504">
        <w:rPr>
          <w:rFonts w:ascii="Times New Roman" w:hAnsi="Times New Roman"/>
        </w:rPr>
        <w:t xml:space="preserve"> boli poskytnuté v sume 505 349 tis. eur (2016: 514 004 tis. eur)</w:t>
      </w:r>
      <w:r w:rsidR="001D1312">
        <w:rPr>
          <w:rFonts w:ascii="Times New Roman" w:hAnsi="Times New Roman"/>
        </w:rPr>
        <w:t xml:space="preserve">, a to </w:t>
      </w:r>
      <w:r w:rsidRPr="008E7504">
        <w:rPr>
          <w:rFonts w:ascii="Times New Roman" w:hAnsi="Times New Roman"/>
        </w:rPr>
        <w:t>realizované predovšetkým rezortom Ministerstva školstva, vedy, výskumu a</w:t>
      </w:r>
      <w:r w:rsidR="001D1312">
        <w:rPr>
          <w:rFonts w:ascii="Times New Roman" w:hAnsi="Times New Roman"/>
        </w:rPr>
        <w:t xml:space="preserve"> </w:t>
      </w:r>
      <w:r w:rsidRPr="008E7504">
        <w:rPr>
          <w:rFonts w:ascii="Times New Roman" w:hAnsi="Times New Roman"/>
        </w:rPr>
        <w:t xml:space="preserve">športu SR (503 405 tis. eur) </w:t>
      </w:r>
      <w:r>
        <w:rPr>
          <w:rFonts w:ascii="Times New Roman" w:hAnsi="Times New Roman"/>
        </w:rPr>
        <w:t xml:space="preserve">hlavne </w:t>
      </w:r>
      <w:r w:rsidRPr="007A1BD2">
        <w:rPr>
          <w:rFonts w:ascii="Times New Roman" w:hAnsi="Times New Roman"/>
        </w:rPr>
        <w:t>pr</w:t>
      </w:r>
      <w:r>
        <w:rPr>
          <w:rFonts w:ascii="Times New Roman" w:hAnsi="Times New Roman"/>
        </w:rPr>
        <w:t>ostredníctvom dotačných zmlúv v </w:t>
      </w:r>
      <w:r w:rsidRPr="007A1BD2">
        <w:rPr>
          <w:rFonts w:ascii="Times New Roman" w:hAnsi="Times New Roman"/>
        </w:rPr>
        <w:t xml:space="preserve">zmysle zákona č. 131/2002 Z. z. </w:t>
      </w:r>
      <w:r w:rsidR="003A0FEE">
        <w:rPr>
          <w:rFonts w:ascii="Times New Roman" w:hAnsi="Times New Roman"/>
        </w:rPr>
        <w:br/>
      </w:r>
      <w:r w:rsidRPr="007A1BD2">
        <w:rPr>
          <w:rFonts w:ascii="Times New Roman" w:hAnsi="Times New Roman"/>
        </w:rPr>
        <w:t xml:space="preserve">o verejných vysokých školách v sume 480 106 tis. eur. </w:t>
      </w:r>
      <w:r>
        <w:rPr>
          <w:rFonts w:ascii="Times New Roman" w:hAnsi="Times New Roman"/>
        </w:rPr>
        <w:t>Tieto d</w:t>
      </w:r>
      <w:r w:rsidRPr="007A1BD2">
        <w:rPr>
          <w:rFonts w:ascii="Times New Roman" w:hAnsi="Times New Roman"/>
        </w:rPr>
        <w:t xml:space="preserve">otácie sa poskytujú </w:t>
      </w:r>
      <w:r w:rsidR="003A0FEE">
        <w:rPr>
          <w:rFonts w:ascii="Times New Roman" w:hAnsi="Times New Roman"/>
        </w:rPr>
        <w:br/>
      </w:r>
      <w:r w:rsidRPr="007A1BD2">
        <w:rPr>
          <w:rFonts w:ascii="Times New Roman" w:hAnsi="Times New Roman"/>
        </w:rPr>
        <w:t>na uskutočňovanie akreditovaných študijných programov, na výskumnú, vývojovú alebo umeleckú činnosť, na rozvoj vysokej školy a na sociálnu podporu študentov – štipendiá, na zabezpečenie ubytovania študentov a na ich stravovanie.</w:t>
      </w:r>
      <w:r>
        <w:rPr>
          <w:rFonts w:ascii="Times New Roman" w:hAnsi="Times New Roman"/>
        </w:rPr>
        <w:t xml:space="preserve"> F</w:t>
      </w:r>
      <w:r w:rsidRPr="007A1BD2">
        <w:rPr>
          <w:rFonts w:ascii="Times New Roman" w:hAnsi="Times New Roman"/>
        </w:rPr>
        <w:t>inančné prostriedky v sume 19</w:t>
      </w:r>
      <w:r>
        <w:rPr>
          <w:rFonts w:ascii="Times New Roman" w:hAnsi="Times New Roman"/>
        </w:rPr>
        <w:t> </w:t>
      </w:r>
      <w:r w:rsidRPr="007A1BD2">
        <w:rPr>
          <w:rFonts w:ascii="Times New Roman" w:hAnsi="Times New Roman"/>
        </w:rPr>
        <w:t>144</w:t>
      </w:r>
      <w:r>
        <w:rPr>
          <w:rFonts w:ascii="Times New Roman" w:hAnsi="Times New Roman"/>
        </w:rPr>
        <w:t> </w:t>
      </w:r>
      <w:r w:rsidRPr="007A1BD2">
        <w:rPr>
          <w:rFonts w:ascii="Times New Roman" w:hAnsi="Times New Roman"/>
        </w:rPr>
        <w:t>tis.</w:t>
      </w:r>
      <w:r>
        <w:rPr>
          <w:rFonts w:ascii="Times New Roman" w:hAnsi="Times New Roman"/>
        </w:rPr>
        <w:t> </w:t>
      </w:r>
      <w:r w:rsidRPr="007A1BD2">
        <w:rPr>
          <w:rFonts w:ascii="Times New Roman" w:hAnsi="Times New Roman"/>
        </w:rPr>
        <w:t>eur</w:t>
      </w:r>
      <w:r>
        <w:rPr>
          <w:rFonts w:ascii="Times New Roman" w:hAnsi="Times New Roman"/>
        </w:rPr>
        <w:t xml:space="preserve"> boli poskytnuté Agentúrou na podporu</w:t>
      </w:r>
      <w:r w:rsidRPr="007A1BD2">
        <w:t xml:space="preserve"> </w:t>
      </w:r>
      <w:r w:rsidRPr="007A1BD2">
        <w:rPr>
          <w:rFonts w:ascii="Times New Roman" w:hAnsi="Times New Roman"/>
        </w:rPr>
        <w:t>výskumu a vývoja na národný program rozvoja vedy a</w:t>
      </w:r>
      <w:r>
        <w:rPr>
          <w:rFonts w:ascii="Times New Roman" w:hAnsi="Times New Roman"/>
        </w:rPr>
        <w:t> </w:t>
      </w:r>
      <w:r w:rsidRPr="007A1BD2">
        <w:rPr>
          <w:rFonts w:ascii="Times New Roman" w:hAnsi="Times New Roman"/>
        </w:rPr>
        <w:t>techniky</w:t>
      </w:r>
      <w:r>
        <w:rPr>
          <w:rFonts w:ascii="Times New Roman" w:hAnsi="Times New Roman"/>
        </w:rPr>
        <w:t xml:space="preserve"> a platobnou jednotkou</w:t>
      </w:r>
      <w:r w:rsidRPr="007A1BD2">
        <w:t xml:space="preserve"> </w:t>
      </w:r>
      <w:r w:rsidRPr="007A1BD2">
        <w:rPr>
          <w:rFonts w:ascii="Times New Roman" w:hAnsi="Times New Roman"/>
        </w:rPr>
        <w:t>Ministerstva školstva, vedy, výskumu a športu SR</w:t>
      </w:r>
      <w:r>
        <w:rPr>
          <w:rFonts w:ascii="Times New Roman" w:hAnsi="Times New Roman"/>
        </w:rPr>
        <w:t xml:space="preserve"> v </w:t>
      </w:r>
      <w:r w:rsidRPr="007A1BD2">
        <w:rPr>
          <w:rFonts w:ascii="Times New Roman" w:hAnsi="Times New Roman"/>
        </w:rPr>
        <w:t>sume</w:t>
      </w:r>
      <w:r>
        <w:rPr>
          <w:rFonts w:ascii="Times New Roman" w:hAnsi="Times New Roman"/>
        </w:rPr>
        <w:t xml:space="preserve"> </w:t>
      </w:r>
      <w:r w:rsidRPr="007A1BD2">
        <w:rPr>
          <w:rFonts w:ascii="Times New Roman" w:hAnsi="Times New Roman"/>
        </w:rPr>
        <w:t>4</w:t>
      </w:r>
      <w:r>
        <w:rPr>
          <w:rFonts w:ascii="Times New Roman" w:hAnsi="Times New Roman"/>
        </w:rPr>
        <w:t> </w:t>
      </w:r>
      <w:r w:rsidRPr="007A1BD2">
        <w:rPr>
          <w:rFonts w:ascii="Times New Roman" w:hAnsi="Times New Roman"/>
        </w:rPr>
        <w:t>154</w:t>
      </w:r>
      <w:r>
        <w:rPr>
          <w:rFonts w:ascii="Times New Roman" w:hAnsi="Times New Roman"/>
        </w:rPr>
        <w:t> </w:t>
      </w:r>
      <w:r w:rsidRPr="007A1BD2">
        <w:rPr>
          <w:rFonts w:ascii="Times New Roman" w:hAnsi="Times New Roman"/>
        </w:rPr>
        <w:t>tis.</w:t>
      </w:r>
      <w:r>
        <w:rPr>
          <w:rFonts w:ascii="Times New Roman" w:hAnsi="Times New Roman"/>
        </w:rPr>
        <w:t> </w:t>
      </w:r>
      <w:r w:rsidRPr="007A1BD2">
        <w:rPr>
          <w:rFonts w:ascii="Times New Roman" w:hAnsi="Times New Roman"/>
        </w:rPr>
        <w:t xml:space="preserve">eur </w:t>
      </w:r>
      <w:r w:rsidR="003A0FEE">
        <w:rPr>
          <w:rFonts w:ascii="Times New Roman" w:hAnsi="Times New Roman"/>
        </w:rPr>
        <w:br/>
      </w:r>
      <w:r w:rsidRPr="007A1BD2">
        <w:rPr>
          <w:rFonts w:ascii="Times New Roman" w:hAnsi="Times New Roman"/>
        </w:rPr>
        <w:t>na operačný program Výskum a</w:t>
      </w:r>
      <w:r>
        <w:rPr>
          <w:rFonts w:ascii="Times New Roman" w:hAnsi="Times New Roman"/>
        </w:rPr>
        <w:t> </w:t>
      </w:r>
      <w:r w:rsidRPr="007A1BD2">
        <w:rPr>
          <w:rFonts w:ascii="Times New Roman" w:hAnsi="Times New Roman"/>
        </w:rPr>
        <w:t>inovácie</w:t>
      </w:r>
      <w:r>
        <w:rPr>
          <w:rFonts w:ascii="Times New Roman" w:hAnsi="Times New Roman"/>
        </w:rPr>
        <w:t xml:space="preserve">. </w:t>
      </w:r>
    </w:p>
    <w:p w:rsidR="00F12BEE" w:rsidP="00F12BEE">
      <w:pPr>
        <w:pStyle w:val="ListParagraph"/>
        <w:bidi w:val="0"/>
        <w:spacing w:after="120" w:line="336" w:lineRule="auto"/>
        <w:ind w:left="0"/>
        <w:jc w:val="both"/>
        <w:rPr>
          <w:rFonts w:ascii="Times New Roman" w:hAnsi="Times New Roman"/>
        </w:rPr>
      </w:pPr>
      <w:r w:rsidRPr="005F3FBF" w:rsidR="00FD5465">
        <w:rPr>
          <w:rFonts w:ascii="Times New Roman" w:hAnsi="Times New Roman"/>
          <w:b/>
        </w:rPr>
        <w:t>Sociálnej poisťovni a zdravotným poisťovniam</w:t>
      </w:r>
      <w:r w:rsidRPr="005F3FBF" w:rsidR="00FD5465">
        <w:rPr>
          <w:rFonts w:ascii="Times New Roman" w:hAnsi="Times New Roman"/>
        </w:rPr>
        <w:t xml:space="preserve"> </w:t>
      </w:r>
      <w:r w:rsidR="001D1312">
        <w:rPr>
          <w:rFonts w:ascii="Times New Roman" w:hAnsi="Times New Roman"/>
        </w:rPr>
        <w:t xml:space="preserve">v sume </w:t>
      </w:r>
      <w:r w:rsidRPr="005F3FBF" w:rsidR="00FD5465">
        <w:rPr>
          <w:rFonts w:ascii="Times New Roman" w:hAnsi="Times New Roman"/>
        </w:rPr>
        <w:t>415 342 tis. eur (201</w:t>
      </w:r>
      <w:r w:rsidR="00FD5465">
        <w:rPr>
          <w:rFonts w:ascii="Times New Roman" w:hAnsi="Times New Roman"/>
        </w:rPr>
        <w:t>6</w:t>
      </w:r>
      <w:r w:rsidRPr="005F3FBF" w:rsidR="00FD5465">
        <w:rPr>
          <w:rFonts w:ascii="Times New Roman" w:hAnsi="Times New Roman"/>
        </w:rPr>
        <w:t>:</w:t>
      </w:r>
      <w:r w:rsidR="00413A90">
        <w:rPr>
          <w:rFonts w:ascii="Times New Roman" w:hAnsi="Times New Roman"/>
        </w:rPr>
        <w:t> </w:t>
      </w:r>
      <w:r w:rsidRPr="005F3FBF" w:rsidR="00FD5465">
        <w:rPr>
          <w:rFonts w:ascii="Times New Roman" w:hAnsi="Times New Roman"/>
        </w:rPr>
        <w:t>365 341 tis. eur)</w:t>
      </w:r>
      <w:r w:rsidR="001D1312">
        <w:rPr>
          <w:rFonts w:ascii="Times New Roman" w:hAnsi="Times New Roman"/>
        </w:rPr>
        <w:t xml:space="preserve"> a to najmä Sociálnej poisťovni vo výške </w:t>
      </w:r>
      <w:r w:rsidRPr="006E0A6B" w:rsidR="00FD5465">
        <w:rPr>
          <w:rFonts w:ascii="Times New Roman" w:hAnsi="Times New Roman"/>
        </w:rPr>
        <w:t>415 325 tis. eur v súvislosti s krytím deficitov základného fondu starobného poistenia</w:t>
      </w:r>
      <w:r w:rsidR="001D1312">
        <w:rPr>
          <w:rFonts w:ascii="Times New Roman" w:hAnsi="Times New Roman"/>
        </w:rPr>
        <w:t>. Medziročný</w:t>
      </w:r>
      <w:r>
        <w:rPr>
          <w:rFonts w:ascii="Times New Roman" w:hAnsi="Times New Roman"/>
        </w:rPr>
        <w:t xml:space="preserve"> nárast v </w:t>
      </w:r>
      <w:r w:rsidRPr="00F12BEE">
        <w:rPr>
          <w:rFonts w:ascii="Times New Roman" w:hAnsi="Times New Roman"/>
        </w:rPr>
        <w:t xml:space="preserve">použití prostriedkov (výdavkov na dôchodky) </w:t>
      </w:r>
      <w:r>
        <w:rPr>
          <w:rFonts w:ascii="Times New Roman" w:hAnsi="Times New Roman"/>
        </w:rPr>
        <w:t>bol najmä v </w:t>
      </w:r>
      <w:r w:rsidRPr="00F12BEE">
        <w:rPr>
          <w:rFonts w:ascii="Times New Roman" w:hAnsi="Times New Roman"/>
        </w:rPr>
        <w:t>dôsledku prijatej právnej normy, ktorou sa ustanovilo, že percento určujúce pevnú sumu zvýšenia dôchodkov bude minimálne vo výške 2</w:t>
      </w:r>
      <w:r w:rsidR="0080791D">
        <w:rPr>
          <w:rFonts w:ascii="Times New Roman" w:hAnsi="Times New Roman"/>
        </w:rPr>
        <w:t> </w:t>
      </w:r>
      <w:r w:rsidRPr="00F12BEE">
        <w:rPr>
          <w:rFonts w:ascii="Times New Roman" w:hAnsi="Times New Roman"/>
        </w:rPr>
        <w:t>%.</w:t>
      </w:r>
    </w:p>
    <w:p w:rsidR="00FD5465" w:rsidRPr="00B41B57" w:rsidP="00FD5465">
      <w:pPr>
        <w:pStyle w:val="ListParagraph"/>
        <w:bidi w:val="0"/>
        <w:spacing w:after="120" w:line="336" w:lineRule="auto"/>
        <w:ind w:left="0"/>
        <w:jc w:val="both"/>
        <w:rPr>
          <w:rFonts w:ascii="Times New Roman" w:hAnsi="Times New Roman"/>
        </w:rPr>
      </w:pPr>
      <w:r w:rsidRPr="00E218A3">
        <w:rPr>
          <w:rFonts w:ascii="Times New Roman" w:hAnsi="Times New Roman"/>
        </w:rPr>
        <w:t xml:space="preserve">Na transfery </w:t>
      </w:r>
      <w:r w:rsidRPr="00E218A3">
        <w:rPr>
          <w:rFonts w:ascii="Times New Roman" w:hAnsi="Times New Roman"/>
          <w:b/>
        </w:rPr>
        <w:t>obciam na úhradu nákladov</w:t>
      </w:r>
      <w:r w:rsidRPr="00E218A3">
        <w:rPr>
          <w:rFonts w:ascii="Times New Roman" w:hAnsi="Times New Roman"/>
        </w:rPr>
        <w:t xml:space="preserve"> </w:t>
      </w:r>
      <w:r w:rsidRPr="00E218A3">
        <w:rPr>
          <w:rFonts w:ascii="Times New Roman" w:hAnsi="Times New Roman"/>
          <w:b/>
        </w:rPr>
        <w:t xml:space="preserve">preneseného výkonu štátnej správy </w:t>
      </w:r>
      <w:r w:rsidRPr="00E218A3">
        <w:rPr>
          <w:rFonts w:ascii="Times New Roman" w:hAnsi="Times New Roman"/>
        </w:rPr>
        <w:t xml:space="preserve">sa vyčerpalo 851 764 tis. eur (2016: 805 781 tis. eur), finančné toky boli v rozhodujúcej miere poskytnuté kapitolou Ministerstva vnútra SR </w:t>
      </w:r>
      <w:r>
        <w:rPr>
          <w:rFonts w:ascii="Times New Roman" w:hAnsi="Times New Roman"/>
        </w:rPr>
        <w:t>845 299 </w:t>
      </w:r>
      <w:r w:rsidRPr="00E218A3">
        <w:rPr>
          <w:rFonts w:ascii="Times New Roman" w:hAnsi="Times New Roman"/>
        </w:rPr>
        <w:t>tis. eur, a to hlavne na</w:t>
      </w:r>
      <w:r>
        <w:rPr>
          <w:rFonts w:ascii="Times New Roman" w:hAnsi="Times New Roman"/>
        </w:rPr>
        <w:t xml:space="preserve"> </w:t>
      </w:r>
      <w:r w:rsidRPr="00B41B57">
        <w:rPr>
          <w:rFonts w:ascii="Times New Roman" w:hAnsi="Times New Roman"/>
        </w:rPr>
        <w:t>zabezpečenie výchovy a vzdelávania mládeže (8</w:t>
      </w:r>
      <w:r>
        <w:rPr>
          <w:rFonts w:ascii="Times New Roman" w:hAnsi="Times New Roman"/>
        </w:rPr>
        <w:t>29</w:t>
      </w:r>
      <w:r w:rsidRPr="00B41B57">
        <w:rPr>
          <w:rFonts w:ascii="Times New Roman" w:hAnsi="Times New Roman"/>
        </w:rPr>
        <w:t> 0</w:t>
      </w:r>
      <w:r>
        <w:rPr>
          <w:rFonts w:ascii="Times New Roman" w:hAnsi="Times New Roman"/>
        </w:rPr>
        <w:t>21</w:t>
      </w:r>
      <w:r w:rsidRPr="00B41B57">
        <w:rPr>
          <w:rFonts w:ascii="Times New Roman" w:hAnsi="Times New Roman"/>
        </w:rPr>
        <w:t> tis. eur) financovaním</w:t>
      </w:r>
      <w:r>
        <w:rPr>
          <w:rFonts w:ascii="Times New Roman" w:hAnsi="Times New Roman"/>
        </w:rPr>
        <w:t xml:space="preserve"> </w:t>
      </w:r>
      <w:r w:rsidRPr="00B41B57">
        <w:rPr>
          <w:rFonts w:ascii="Times New Roman" w:hAnsi="Times New Roman"/>
        </w:rPr>
        <w:t xml:space="preserve">normatívnych a nenormatívnych výdavkov škôl a školských zariadení (z toho najmä na príspevok na vzdelávacie poukazy, na asistentov učiteľa, príspevok na výchovu a vzdelávanie detí MŠ, na lyžiarske kurzy a školy v prírode) a </w:t>
      </w:r>
      <w:r w:rsidR="003A0FEE">
        <w:rPr>
          <w:rFonts w:ascii="Times New Roman" w:hAnsi="Times New Roman"/>
        </w:rPr>
        <w:br/>
      </w:r>
      <w:r w:rsidRPr="00B41B57">
        <w:rPr>
          <w:rFonts w:ascii="Times New Roman" w:hAnsi="Times New Roman"/>
        </w:rPr>
        <w:t>na valorizáciu platov pedagogických, odborných a nepedagogických zamestnancov</w:t>
      </w:r>
      <w:r w:rsidR="001D1312">
        <w:rPr>
          <w:rFonts w:ascii="Times New Roman" w:hAnsi="Times New Roman"/>
        </w:rPr>
        <w:t>.</w:t>
      </w:r>
      <w:r>
        <w:rPr>
          <w:rFonts w:ascii="Times New Roman" w:hAnsi="Times New Roman"/>
        </w:rPr>
        <w:t xml:space="preserve"> </w:t>
      </w:r>
      <w:r w:rsidRPr="00B41B57">
        <w:rPr>
          <w:rFonts w:ascii="Times New Roman" w:hAnsi="Times New Roman"/>
        </w:rPr>
        <w:t>Prostredníctvom Ministerstva vnútra SR bol financovaný prenesený výkon štátnej správy na matričnú činnosť (6</w:t>
      </w:r>
      <w:r>
        <w:rPr>
          <w:rFonts w:ascii="Times New Roman" w:hAnsi="Times New Roman"/>
        </w:rPr>
        <w:t> 541 </w:t>
      </w:r>
      <w:r w:rsidRPr="00B41B57">
        <w:rPr>
          <w:rFonts w:ascii="Times New Roman" w:hAnsi="Times New Roman"/>
        </w:rPr>
        <w:t>tis. eur), hlásenia, evidencia pobytu a register občanov a register adries (1 </w:t>
      </w:r>
      <w:r>
        <w:rPr>
          <w:rFonts w:ascii="Times New Roman" w:hAnsi="Times New Roman"/>
        </w:rPr>
        <w:t>7</w:t>
      </w:r>
      <w:r w:rsidRPr="00B41B57">
        <w:rPr>
          <w:rFonts w:ascii="Times New Roman" w:hAnsi="Times New Roman"/>
        </w:rPr>
        <w:t>9</w:t>
      </w:r>
      <w:r>
        <w:rPr>
          <w:rFonts w:ascii="Times New Roman" w:hAnsi="Times New Roman"/>
        </w:rPr>
        <w:t>1</w:t>
      </w:r>
      <w:r w:rsidRPr="00B41B57">
        <w:rPr>
          <w:rFonts w:ascii="Times New Roman" w:hAnsi="Times New Roman"/>
        </w:rPr>
        <w:t> tis. eur),</w:t>
      </w:r>
      <w:r>
        <w:rPr>
          <w:rFonts w:ascii="Times New Roman" w:hAnsi="Times New Roman"/>
        </w:rPr>
        <w:t xml:space="preserve"> register adries (641 tis. eur), </w:t>
      </w:r>
      <w:r w:rsidRPr="00B41B57">
        <w:rPr>
          <w:rFonts w:ascii="Times New Roman" w:hAnsi="Times New Roman"/>
        </w:rPr>
        <w:t>starostlivosť o životné prostredie (49</w:t>
      </w:r>
      <w:r>
        <w:rPr>
          <w:rFonts w:ascii="Times New Roman" w:hAnsi="Times New Roman"/>
        </w:rPr>
        <w:t xml:space="preserve">9 tis. eur), zabezpečenie miestnej štátnej správy (3 253 tis. eur), </w:t>
      </w:r>
      <w:r w:rsidRPr="00B41B57">
        <w:rPr>
          <w:rFonts w:ascii="Times New Roman" w:hAnsi="Times New Roman"/>
        </w:rPr>
        <w:t xml:space="preserve">voľby do samospráv obcí a vyšších územných celkov </w:t>
      </w:r>
      <w:r>
        <w:rPr>
          <w:rFonts w:ascii="Times New Roman" w:hAnsi="Times New Roman"/>
        </w:rPr>
        <w:t>(3 439 tis. eur).</w:t>
      </w:r>
    </w:p>
    <w:p w:rsidR="00FD5465" w:rsidP="00FD5465">
      <w:pPr>
        <w:pStyle w:val="ListParagraph"/>
        <w:bidi w:val="0"/>
        <w:spacing w:after="120" w:line="336" w:lineRule="auto"/>
        <w:ind w:left="0"/>
        <w:jc w:val="both"/>
        <w:rPr>
          <w:rFonts w:ascii="Times New Roman" w:hAnsi="Times New Roman"/>
        </w:rPr>
      </w:pPr>
      <w:r w:rsidRPr="00D85556">
        <w:rPr>
          <w:rFonts w:ascii="Times New Roman" w:hAnsi="Times New Roman"/>
        </w:rPr>
        <w:t xml:space="preserve">Ostatné transfery </w:t>
      </w:r>
      <w:r w:rsidRPr="00D85556">
        <w:rPr>
          <w:rFonts w:ascii="Times New Roman" w:hAnsi="Times New Roman"/>
          <w:b/>
        </w:rPr>
        <w:t xml:space="preserve">obciam okrem transferu na úhradu nákladov preneseného výkonu štátnej správy </w:t>
      </w:r>
      <w:r w:rsidRPr="00D85556">
        <w:rPr>
          <w:rFonts w:ascii="Times New Roman" w:hAnsi="Times New Roman"/>
        </w:rPr>
        <w:t>dosiahli 7</w:t>
      </w:r>
      <w:r w:rsidR="00900214">
        <w:rPr>
          <w:rFonts w:ascii="Times New Roman" w:hAnsi="Times New Roman"/>
        </w:rPr>
        <w:t>7</w:t>
      </w:r>
      <w:r w:rsidRPr="00D85556">
        <w:rPr>
          <w:rFonts w:ascii="Times New Roman" w:hAnsi="Times New Roman"/>
        </w:rPr>
        <w:t> </w:t>
      </w:r>
      <w:r>
        <w:rPr>
          <w:rFonts w:ascii="Times New Roman" w:hAnsi="Times New Roman"/>
        </w:rPr>
        <w:t>04</w:t>
      </w:r>
      <w:r w:rsidRPr="00D85556">
        <w:rPr>
          <w:rFonts w:ascii="Times New Roman" w:hAnsi="Times New Roman"/>
        </w:rPr>
        <w:t>3 tis. eur (2016: 76 773 tis. eur), na čom sa podieľala v rozhodujúcej miere kapitola Ministerstva práce, sociálnych vecí a</w:t>
      </w:r>
      <w:r w:rsidR="00377E5C">
        <w:rPr>
          <w:rFonts w:ascii="Times New Roman" w:hAnsi="Times New Roman"/>
        </w:rPr>
        <w:t xml:space="preserve"> </w:t>
      </w:r>
      <w:r w:rsidRPr="00D85556">
        <w:rPr>
          <w:rFonts w:ascii="Times New Roman" w:hAnsi="Times New Roman"/>
        </w:rPr>
        <w:t xml:space="preserve">rodiny </w:t>
      </w:r>
      <w:r w:rsidRPr="00D233BB">
        <w:rPr>
          <w:rFonts w:ascii="Times New Roman" w:hAnsi="Times New Roman"/>
        </w:rPr>
        <w:t>SR (66 227 tis. eur). Výdavk</w:t>
      </w:r>
      <w:r w:rsidRPr="00D85556">
        <w:rPr>
          <w:rFonts w:ascii="Times New Roman" w:hAnsi="Times New Roman"/>
        </w:rPr>
        <w:t>y boli smerované, tak ako v minulom období, predovšetkým na spo</w:t>
      </w:r>
      <w:r w:rsidRPr="00CE518C">
        <w:rPr>
          <w:rFonts w:ascii="Times New Roman" w:hAnsi="Times New Roman"/>
        </w:rPr>
        <w:t xml:space="preserve">lufinancovanie sociálnych služieb pre verejných poskytovateľov týchto služieb (41 </w:t>
      </w:r>
      <w:r>
        <w:rPr>
          <w:rFonts w:ascii="Times New Roman" w:hAnsi="Times New Roman"/>
        </w:rPr>
        <w:t>89</w:t>
      </w:r>
      <w:r w:rsidRPr="00CE518C">
        <w:rPr>
          <w:rFonts w:ascii="Times New Roman" w:hAnsi="Times New Roman"/>
        </w:rPr>
        <w:t>5 tis. eur),</w:t>
      </w:r>
      <w:r w:rsidRPr="00CE518C">
        <w:t xml:space="preserve"> </w:t>
      </w:r>
      <w:r w:rsidRPr="00561260">
        <w:rPr>
          <w:rFonts w:ascii="Times New Roman" w:hAnsi="Times New Roman"/>
        </w:rPr>
        <w:t>na národné projekty Operačného programu Ľudské zdroje</w:t>
      </w:r>
      <w:r>
        <w:rPr>
          <w:rFonts w:ascii="Times New Roman" w:hAnsi="Times New Roman"/>
        </w:rPr>
        <w:t xml:space="preserve"> (14 369 tis. eur), </w:t>
      </w:r>
      <w:r w:rsidRPr="00561260">
        <w:rPr>
          <w:rFonts w:ascii="Times New Roman" w:hAnsi="Times New Roman"/>
        </w:rPr>
        <w:t>na zabezpečenie výkonu osobitného príjemcu, podporu výchovy k stravovacím návykom a plnenie školských povinností detí ohrozených sociálnym vylúčením (</w:t>
      </w:r>
      <w:r>
        <w:rPr>
          <w:rFonts w:ascii="Times New Roman" w:hAnsi="Times New Roman"/>
        </w:rPr>
        <w:t>9 656 </w:t>
      </w:r>
      <w:r w:rsidRPr="00561260">
        <w:rPr>
          <w:rFonts w:ascii="Times New Roman" w:hAnsi="Times New Roman"/>
        </w:rPr>
        <w:t>tis. eur)</w:t>
      </w:r>
      <w:r w:rsidR="001D1312">
        <w:rPr>
          <w:rFonts w:ascii="Times New Roman" w:hAnsi="Times New Roman"/>
        </w:rPr>
        <w:t xml:space="preserve"> a ďalšie </w:t>
      </w:r>
      <w:r w:rsidRPr="00561260">
        <w:rPr>
          <w:rFonts w:ascii="Times New Roman" w:hAnsi="Times New Roman"/>
        </w:rPr>
        <w:t>dotáci</w:t>
      </w:r>
      <w:r>
        <w:rPr>
          <w:rFonts w:ascii="Times New Roman" w:hAnsi="Times New Roman"/>
        </w:rPr>
        <w:t>e</w:t>
      </w:r>
      <w:r w:rsidR="001D1312">
        <w:rPr>
          <w:rFonts w:ascii="Times New Roman" w:hAnsi="Times New Roman"/>
        </w:rPr>
        <w:t>.</w:t>
      </w:r>
      <w:r w:rsidRPr="00561260">
        <w:rPr>
          <w:rFonts w:ascii="Times New Roman" w:hAnsi="Times New Roman"/>
        </w:rPr>
        <w:t xml:space="preserve"> </w:t>
      </w:r>
    </w:p>
    <w:p w:rsidR="00FD5465" w:rsidP="00FD5465">
      <w:pPr>
        <w:pStyle w:val="ListParagraph"/>
        <w:bidi w:val="0"/>
        <w:spacing w:after="120" w:line="336" w:lineRule="auto"/>
        <w:ind w:left="0"/>
        <w:jc w:val="both"/>
        <w:rPr>
          <w:rFonts w:ascii="Times New Roman" w:hAnsi="Times New Roman"/>
        </w:rPr>
      </w:pPr>
      <w:r w:rsidR="001D1312">
        <w:rPr>
          <w:rFonts w:ascii="Times New Roman" w:hAnsi="Times New Roman"/>
          <w:b/>
        </w:rPr>
        <w:t>Vyšším</w:t>
      </w:r>
      <w:r w:rsidRPr="007474D9">
        <w:rPr>
          <w:rFonts w:ascii="Times New Roman" w:hAnsi="Times New Roman"/>
          <w:b/>
        </w:rPr>
        <w:t xml:space="preserve"> územný</w:t>
      </w:r>
      <w:r w:rsidR="001D1312">
        <w:rPr>
          <w:rFonts w:ascii="Times New Roman" w:hAnsi="Times New Roman"/>
          <w:b/>
        </w:rPr>
        <w:t>m</w:t>
      </w:r>
      <w:r w:rsidRPr="007474D9">
        <w:rPr>
          <w:rFonts w:ascii="Times New Roman" w:hAnsi="Times New Roman"/>
          <w:b/>
        </w:rPr>
        <w:t xml:space="preserve"> celko</w:t>
      </w:r>
      <w:r w:rsidR="001D1312">
        <w:rPr>
          <w:rFonts w:ascii="Times New Roman" w:hAnsi="Times New Roman"/>
          <w:b/>
        </w:rPr>
        <w:t>m</w:t>
      </w:r>
      <w:r w:rsidRPr="007474D9">
        <w:rPr>
          <w:rFonts w:ascii="Times New Roman" w:hAnsi="Times New Roman"/>
        </w:rPr>
        <w:t xml:space="preserve"> </w:t>
      </w:r>
      <w:r w:rsidRPr="007474D9">
        <w:rPr>
          <w:rFonts w:ascii="Times New Roman" w:hAnsi="Times New Roman"/>
          <w:b/>
        </w:rPr>
        <w:t xml:space="preserve">na úhradu nákladov preneseného výkonu štátnej </w:t>
      </w:r>
      <w:r w:rsidRPr="00B83FD4">
        <w:rPr>
          <w:rFonts w:ascii="Times New Roman" w:hAnsi="Times New Roman"/>
          <w:b/>
        </w:rPr>
        <w:t xml:space="preserve">správy, </w:t>
      </w:r>
      <w:r>
        <w:rPr>
          <w:rFonts w:ascii="Times New Roman" w:hAnsi="Times New Roman"/>
        </w:rPr>
        <w:t xml:space="preserve">čiže </w:t>
      </w:r>
      <w:r w:rsidR="003A0FEE">
        <w:rPr>
          <w:rFonts w:ascii="Times New Roman" w:hAnsi="Times New Roman"/>
        </w:rPr>
        <w:br/>
      </w:r>
      <w:r w:rsidRPr="00B83FD4">
        <w:rPr>
          <w:rFonts w:ascii="Times New Roman" w:hAnsi="Times New Roman"/>
        </w:rPr>
        <w:t>na</w:t>
      </w:r>
      <w:r>
        <w:rPr>
          <w:rFonts w:ascii="Times New Roman" w:hAnsi="Times New Roman"/>
        </w:rPr>
        <w:t xml:space="preserve"> </w:t>
      </w:r>
      <w:r w:rsidRPr="007474D9">
        <w:rPr>
          <w:rFonts w:ascii="Times New Roman" w:hAnsi="Times New Roman"/>
        </w:rPr>
        <w:t>finančné, personálne, materiálno- technické a priestorové zabezpečenie výchovno-vzdelávacieho procesu, prevádzky škôl a rie</w:t>
      </w:r>
      <w:r w:rsidR="009A5BA6">
        <w:rPr>
          <w:rFonts w:ascii="Times New Roman" w:hAnsi="Times New Roman"/>
        </w:rPr>
        <w:t>šenie havarijných situácií škôl</w:t>
      </w:r>
      <w:r w:rsidRPr="007474D9">
        <w:rPr>
          <w:rFonts w:ascii="Times New Roman" w:hAnsi="Times New Roman"/>
        </w:rPr>
        <w:t xml:space="preserve"> boli poskytnuté transfery vo výške 424</w:t>
      </w:r>
      <w:r>
        <w:rPr>
          <w:rFonts w:ascii="Times New Roman" w:hAnsi="Times New Roman"/>
        </w:rPr>
        <w:t> </w:t>
      </w:r>
      <w:r w:rsidRPr="007474D9">
        <w:rPr>
          <w:rFonts w:ascii="Times New Roman" w:hAnsi="Times New Roman"/>
        </w:rPr>
        <w:t>272 tis. eur (2016: 410</w:t>
      </w:r>
      <w:r>
        <w:rPr>
          <w:rFonts w:ascii="Times New Roman" w:hAnsi="Times New Roman"/>
        </w:rPr>
        <w:t> </w:t>
      </w:r>
      <w:r w:rsidRPr="007474D9">
        <w:rPr>
          <w:rFonts w:ascii="Times New Roman" w:hAnsi="Times New Roman"/>
        </w:rPr>
        <w:t>791 </w:t>
      </w:r>
      <w:r w:rsidR="009A5BA6">
        <w:rPr>
          <w:rFonts w:ascii="Times New Roman" w:hAnsi="Times New Roman"/>
          <w:sz w:val="24"/>
          <w:szCs w:val="24"/>
        </w:rPr>
        <w:t>tis. </w:t>
      </w:r>
      <w:r w:rsidRPr="007474D9">
        <w:rPr>
          <w:rFonts w:ascii="Times New Roman" w:hAnsi="Times New Roman"/>
          <w:sz w:val="24"/>
          <w:szCs w:val="24"/>
        </w:rPr>
        <w:t>eur</w:t>
      </w:r>
      <w:r w:rsidRPr="007474D9">
        <w:rPr>
          <w:rFonts w:ascii="Times New Roman" w:hAnsi="Times New Roman"/>
        </w:rPr>
        <w:t xml:space="preserve">) nasledovne: </w:t>
      </w:r>
      <w:r w:rsidRPr="002C0A4A">
        <w:rPr>
          <w:rFonts w:ascii="Times New Roman" w:hAnsi="Times New Roman"/>
        </w:rPr>
        <w:t>Bratislavský 42</w:t>
      </w:r>
      <w:r>
        <w:rPr>
          <w:rFonts w:ascii="Times New Roman" w:hAnsi="Times New Roman"/>
        </w:rPr>
        <w:t> </w:t>
      </w:r>
      <w:r w:rsidRPr="002C0A4A">
        <w:rPr>
          <w:rFonts w:ascii="Times New Roman" w:hAnsi="Times New Roman"/>
        </w:rPr>
        <w:t>673</w:t>
      </w:r>
      <w:r>
        <w:rPr>
          <w:rFonts w:ascii="Times New Roman" w:hAnsi="Times New Roman"/>
        </w:rPr>
        <w:t> </w:t>
      </w:r>
      <w:r w:rsidRPr="002C0A4A">
        <w:rPr>
          <w:rFonts w:ascii="Times New Roman" w:hAnsi="Times New Roman"/>
        </w:rPr>
        <w:t>tis.</w:t>
      </w:r>
      <w:r>
        <w:rPr>
          <w:rFonts w:ascii="Times New Roman" w:hAnsi="Times New Roman"/>
        </w:rPr>
        <w:t> </w:t>
      </w:r>
      <w:r w:rsidR="009A5BA6">
        <w:rPr>
          <w:rFonts w:ascii="Times New Roman" w:hAnsi="Times New Roman"/>
        </w:rPr>
        <w:t>eur, Trnavský 40 519 tis. </w:t>
      </w:r>
      <w:r w:rsidRPr="002C0A4A">
        <w:rPr>
          <w:rFonts w:ascii="Times New Roman" w:hAnsi="Times New Roman"/>
        </w:rPr>
        <w:t>eur, Trenčiansky 45 203 tis. eur, Nitriansky 51</w:t>
      </w:r>
      <w:r>
        <w:rPr>
          <w:rFonts w:ascii="Times New Roman" w:hAnsi="Times New Roman"/>
        </w:rPr>
        <w:t> </w:t>
      </w:r>
      <w:r w:rsidRPr="002C0A4A">
        <w:rPr>
          <w:rFonts w:ascii="Times New Roman" w:hAnsi="Times New Roman"/>
        </w:rPr>
        <w:t>755</w:t>
      </w:r>
      <w:r>
        <w:rPr>
          <w:rFonts w:ascii="Times New Roman" w:hAnsi="Times New Roman"/>
        </w:rPr>
        <w:t> </w:t>
      </w:r>
      <w:r w:rsidRPr="002C0A4A">
        <w:rPr>
          <w:rFonts w:ascii="Times New Roman" w:hAnsi="Times New Roman"/>
        </w:rPr>
        <w:t>tis.</w:t>
      </w:r>
      <w:r>
        <w:rPr>
          <w:rFonts w:ascii="Times New Roman" w:hAnsi="Times New Roman"/>
        </w:rPr>
        <w:t> </w:t>
      </w:r>
      <w:r w:rsidRPr="002C0A4A">
        <w:rPr>
          <w:rFonts w:ascii="Times New Roman" w:hAnsi="Times New Roman"/>
        </w:rPr>
        <w:t>eur, Žilinský 60 634 tis. eur, Banskobystrick</w:t>
      </w:r>
      <w:r w:rsidR="009A5BA6">
        <w:rPr>
          <w:rFonts w:ascii="Times New Roman" w:hAnsi="Times New Roman"/>
        </w:rPr>
        <w:t>ý 47 </w:t>
      </w:r>
      <w:r w:rsidR="007751CA">
        <w:rPr>
          <w:rFonts w:ascii="Times New Roman" w:hAnsi="Times New Roman"/>
        </w:rPr>
        <w:t>413 tis. eur, Prešovský 66 </w:t>
      </w:r>
      <w:r w:rsidRPr="002C0A4A">
        <w:rPr>
          <w:rFonts w:ascii="Times New Roman" w:hAnsi="Times New Roman"/>
        </w:rPr>
        <w:t>855 tis. eur a Košický 69</w:t>
      </w:r>
      <w:r>
        <w:rPr>
          <w:rFonts w:ascii="Times New Roman" w:hAnsi="Times New Roman"/>
        </w:rPr>
        <w:t> </w:t>
      </w:r>
      <w:r w:rsidRPr="002C0A4A">
        <w:rPr>
          <w:rFonts w:ascii="Times New Roman" w:hAnsi="Times New Roman"/>
        </w:rPr>
        <w:t>219</w:t>
      </w:r>
      <w:r>
        <w:rPr>
          <w:rFonts w:ascii="Times New Roman" w:hAnsi="Times New Roman"/>
        </w:rPr>
        <w:t> </w:t>
      </w:r>
      <w:r w:rsidRPr="002C0A4A">
        <w:rPr>
          <w:rFonts w:ascii="Times New Roman" w:hAnsi="Times New Roman"/>
        </w:rPr>
        <w:t>tis.</w:t>
      </w:r>
      <w:r>
        <w:rPr>
          <w:rFonts w:ascii="Times New Roman" w:hAnsi="Times New Roman"/>
        </w:rPr>
        <w:t> </w:t>
      </w:r>
      <w:r w:rsidRPr="002C0A4A">
        <w:rPr>
          <w:rFonts w:ascii="Times New Roman" w:hAnsi="Times New Roman"/>
        </w:rPr>
        <w:t>eur.</w:t>
      </w:r>
      <w:r>
        <w:rPr>
          <w:rFonts w:ascii="Times New Roman" w:hAnsi="Times New Roman"/>
        </w:rPr>
        <w:t xml:space="preserve"> Výdavky realizované z kapit</w:t>
      </w:r>
      <w:r w:rsidR="007751CA">
        <w:rPr>
          <w:rFonts w:ascii="Times New Roman" w:hAnsi="Times New Roman"/>
        </w:rPr>
        <w:t>oly Ministerstva vnútra SR (159 </w:t>
      </w:r>
      <w:r>
        <w:rPr>
          <w:rFonts w:ascii="Times New Roman" w:hAnsi="Times New Roman"/>
        </w:rPr>
        <w:t xml:space="preserve">tis. eur) boli použité </w:t>
      </w:r>
      <w:r w:rsidRPr="008D1647">
        <w:rPr>
          <w:rFonts w:ascii="Times New Roman" w:hAnsi="Times New Roman"/>
        </w:rPr>
        <w:t>na úhradu činnosti volebných kom</w:t>
      </w:r>
      <w:r>
        <w:rPr>
          <w:rFonts w:ascii="Times New Roman" w:hAnsi="Times New Roman"/>
        </w:rPr>
        <w:t>isií samosprávnych krajov</w:t>
      </w:r>
      <w:r w:rsidR="001D1312">
        <w:rPr>
          <w:rFonts w:ascii="Times New Roman" w:hAnsi="Times New Roman"/>
        </w:rPr>
        <w:t>.</w:t>
      </w:r>
    </w:p>
    <w:p w:rsidR="001D1312" w:rsidP="00FD5465">
      <w:pPr>
        <w:pStyle w:val="ListParagraph"/>
        <w:bidi w:val="0"/>
        <w:spacing w:after="0" w:line="336" w:lineRule="auto"/>
        <w:ind w:left="0"/>
        <w:contextualSpacing w:val="0"/>
        <w:jc w:val="both"/>
        <w:rPr>
          <w:rFonts w:ascii="Times New Roman" w:hAnsi="Times New Roman"/>
        </w:rPr>
      </w:pPr>
      <w:r w:rsidR="00FD5465">
        <w:rPr>
          <w:rFonts w:ascii="Times New Roman" w:hAnsi="Times New Roman"/>
        </w:rPr>
        <w:t>T</w:t>
      </w:r>
      <w:r w:rsidRPr="009C27B0" w:rsidR="00FD5465">
        <w:rPr>
          <w:rFonts w:ascii="Times New Roman" w:hAnsi="Times New Roman"/>
        </w:rPr>
        <w:t>ransferov</w:t>
      </w:r>
      <w:r w:rsidR="00FD5465">
        <w:rPr>
          <w:rFonts w:ascii="Times New Roman" w:hAnsi="Times New Roman"/>
        </w:rPr>
        <w:t>é</w:t>
      </w:r>
      <w:r w:rsidRPr="009C27B0" w:rsidR="00FD5465">
        <w:rPr>
          <w:rFonts w:ascii="Times New Roman" w:hAnsi="Times New Roman"/>
        </w:rPr>
        <w:t xml:space="preserve"> platb</w:t>
      </w:r>
      <w:r w:rsidR="00FD5465">
        <w:rPr>
          <w:rFonts w:ascii="Times New Roman" w:hAnsi="Times New Roman"/>
        </w:rPr>
        <w:t xml:space="preserve">y </w:t>
      </w:r>
      <w:r w:rsidRPr="009C27B0" w:rsidR="00FD5465">
        <w:rPr>
          <w:rFonts w:ascii="Times New Roman" w:hAnsi="Times New Roman"/>
          <w:b/>
        </w:rPr>
        <w:t>vyšším územným celkom okrem transferu na úhradu nákladov preneseného výkonu štátnej správy</w:t>
      </w:r>
      <w:r w:rsidR="00FD5465">
        <w:rPr>
          <w:rFonts w:ascii="Times New Roman" w:hAnsi="Times New Roman"/>
          <w:b/>
          <w:color w:val="FF0000"/>
        </w:rPr>
        <w:t xml:space="preserve"> </w:t>
      </w:r>
      <w:r w:rsidRPr="00C438A7" w:rsidR="00FD5465">
        <w:rPr>
          <w:rFonts w:ascii="Times New Roman" w:hAnsi="Times New Roman"/>
        </w:rPr>
        <w:t xml:space="preserve">boli realizované </w:t>
      </w:r>
      <w:r w:rsidRPr="0037168D" w:rsidR="00FD5465">
        <w:rPr>
          <w:rFonts w:ascii="Times New Roman" w:hAnsi="Times New Roman"/>
        </w:rPr>
        <w:t>v</w:t>
      </w:r>
      <w:r w:rsidR="00FD5465">
        <w:rPr>
          <w:rFonts w:ascii="Times New Roman" w:hAnsi="Times New Roman"/>
        </w:rPr>
        <w:t> </w:t>
      </w:r>
      <w:r w:rsidRPr="0037168D" w:rsidR="00FD5465">
        <w:rPr>
          <w:rFonts w:ascii="Times New Roman" w:hAnsi="Times New Roman"/>
        </w:rPr>
        <w:t>objeme</w:t>
      </w:r>
      <w:r w:rsidR="00FD5465">
        <w:rPr>
          <w:rFonts w:ascii="Times New Roman" w:hAnsi="Times New Roman"/>
        </w:rPr>
        <w:t xml:space="preserve"> 4 965 tis. eur</w:t>
      </w:r>
      <w:r>
        <w:rPr>
          <w:rFonts w:ascii="Times New Roman" w:hAnsi="Times New Roman"/>
        </w:rPr>
        <w:t xml:space="preserve">. </w:t>
      </w:r>
      <w:r w:rsidRPr="009C27B0" w:rsidR="00FD5465">
        <w:rPr>
          <w:rFonts w:ascii="Times New Roman" w:hAnsi="Times New Roman"/>
        </w:rPr>
        <w:t xml:space="preserve">Na </w:t>
      </w:r>
      <w:r w:rsidR="00FD5465">
        <w:rPr>
          <w:rFonts w:ascii="Times New Roman" w:hAnsi="Times New Roman"/>
        </w:rPr>
        <w:t xml:space="preserve">týchto </w:t>
      </w:r>
      <w:r w:rsidRPr="009C27B0" w:rsidR="00FD5465">
        <w:rPr>
          <w:rFonts w:ascii="Times New Roman" w:hAnsi="Times New Roman"/>
        </w:rPr>
        <w:t xml:space="preserve">transferových platbách </w:t>
      </w:r>
      <w:r w:rsidRPr="0037168D" w:rsidR="00FD5465">
        <w:rPr>
          <w:rFonts w:ascii="Times New Roman" w:hAnsi="Times New Roman"/>
        </w:rPr>
        <w:t>sa v rozhodujúcej miere podieľali výdavky poskytnuté na základe žiadostí o nenávratný finančný príspevok</w:t>
      </w:r>
      <w:r w:rsidR="00FD5465">
        <w:rPr>
          <w:rFonts w:ascii="Times New Roman" w:hAnsi="Times New Roman"/>
        </w:rPr>
        <w:t xml:space="preserve"> </w:t>
      </w:r>
      <w:r w:rsidRPr="0037168D" w:rsidR="00FD5465">
        <w:rPr>
          <w:rFonts w:ascii="Times New Roman" w:hAnsi="Times New Roman"/>
        </w:rPr>
        <w:t xml:space="preserve">z </w:t>
      </w:r>
      <w:r w:rsidRPr="00665942" w:rsidR="00FD5465">
        <w:rPr>
          <w:rFonts w:ascii="Times New Roman" w:hAnsi="Times New Roman"/>
        </w:rPr>
        <w:t>Integrovaného regionálneho operačného programu 2014-2020</w:t>
      </w:r>
      <w:r w:rsidR="00FD5465">
        <w:rPr>
          <w:rFonts w:ascii="Times New Roman" w:hAnsi="Times New Roman"/>
        </w:rPr>
        <w:t xml:space="preserve"> na t</w:t>
      </w:r>
      <w:r w:rsidRPr="00665942" w:rsidR="00FD5465">
        <w:rPr>
          <w:rFonts w:ascii="Times New Roman" w:hAnsi="Times New Roman"/>
        </w:rPr>
        <w:t>echnick</w:t>
      </w:r>
      <w:r w:rsidR="00FD5465">
        <w:rPr>
          <w:rFonts w:ascii="Times New Roman" w:hAnsi="Times New Roman"/>
        </w:rPr>
        <w:t>ú</w:t>
      </w:r>
      <w:r w:rsidRPr="00665942" w:rsidR="00FD5465">
        <w:rPr>
          <w:rFonts w:ascii="Times New Roman" w:hAnsi="Times New Roman"/>
        </w:rPr>
        <w:t xml:space="preserve"> pomoc </w:t>
      </w:r>
      <w:r w:rsidR="00FD5465">
        <w:rPr>
          <w:rFonts w:ascii="Times New Roman" w:hAnsi="Times New Roman"/>
        </w:rPr>
        <w:t>(</w:t>
      </w:r>
      <w:r w:rsidRPr="00665942" w:rsidR="00FD5465">
        <w:rPr>
          <w:rFonts w:ascii="Times New Roman" w:hAnsi="Times New Roman"/>
        </w:rPr>
        <w:t>2</w:t>
      </w:r>
      <w:r w:rsidR="00FD5465">
        <w:rPr>
          <w:rFonts w:ascii="Times New Roman" w:hAnsi="Times New Roman"/>
        </w:rPr>
        <w:t> </w:t>
      </w:r>
      <w:r w:rsidRPr="00665942" w:rsidR="00FD5465">
        <w:rPr>
          <w:rFonts w:ascii="Times New Roman" w:hAnsi="Times New Roman"/>
        </w:rPr>
        <w:t>090</w:t>
      </w:r>
      <w:r w:rsidR="00FD5465">
        <w:rPr>
          <w:rFonts w:ascii="Times New Roman" w:hAnsi="Times New Roman"/>
        </w:rPr>
        <w:t> tis. </w:t>
      </w:r>
      <w:r w:rsidRPr="00665942" w:rsidR="00FD5465">
        <w:rPr>
          <w:rFonts w:ascii="Times New Roman" w:hAnsi="Times New Roman"/>
        </w:rPr>
        <w:t>eur</w:t>
      </w:r>
      <w:r w:rsidR="00FD5465">
        <w:rPr>
          <w:rFonts w:ascii="Times New Roman" w:hAnsi="Times New Roman"/>
        </w:rPr>
        <w:t>)</w:t>
      </w:r>
      <w:r>
        <w:rPr>
          <w:rFonts w:ascii="Times New Roman" w:hAnsi="Times New Roman"/>
        </w:rPr>
        <w:t>.</w:t>
      </w:r>
    </w:p>
    <w:p w:rsidR="00FD5465" w:rsidRPr="00F477E9" w:rsidP="00FD5465">
      <w:pPr>
        <w:pStyle w:val="ListParagraph"/>
        <w:bidi w:val="0"/>
        <w:spacing w:after="0" w:line="336" w:lineRule="auto"/>
        <w:ind w:left="0"/>
        <w:contextualSpacing w:val="0"/>
        <w:jc w:val="both"/>
        <w:rPr>
          <w:rFonts w:ascii="Times New Roman" w:hAnsi="Times New Roman"/>
        </w:rPr>
      </w:pPr>
      <w:r>
        <w:rPr>
          <w:rFonts w:ascii="Times New Roman" w:hAnsi="Times New Roman"/>
        </w:rPr>
        <w:t>K</w:t>
      </w:r>
      <w:r w:rsidRPr="00734FD2">
        <w:rPr>
          <w:rFonts w:ascii="Times New Roman" w:hAnsi="Times New Roman"/>
        </w:rPr>
        <w:t xml:space="preserve">apitolou </w:t>
      </w:r>
      <w:r>
        <w:rPr>
          <w:rFonts w:ascii="Times New Roman" w:hAnsi="Times New Roman"/>
        </w:rPr>
        <w:t xml:space="preserve">Ministerstva dopravy a výstavby </w:t>
      </w:r>
      <w:r w:rsidRPr="00734FD2">
        <w:rPr>
          <w:rFonts w:ascii="Times New Roman" w:hAnsi="Times New Roman"/>
        </w:rPr>
        <w:t xml:space="preserve">SR </w:t>
      </w:r>
      <w:r>
        <w:rPr>
          <w:rFonts w:ascii="Times New Roman" w:hAnsi="Times New Roman"/>
        </w:rPr>
        <w:t xml:space="preserve">boli poskytnuté transfery </w:t>
      </w:r>
      <w:r w:rsidRPr="000811B0">
        <w:rPr>
          <w:rFonts w:ascii="Times New Roman" w:hAnsi="Times New Roman"/>
          <w:b/>
        </w:rPr>
        <w:t xml:space="preserve">Železniciam SR </w:t>
      </w:r>
      <w:r w:rsidRPr="00163AA9">
        <w:rPr>
          <w:rFonts w:ascii="Times New Roman" w:hAnsi="Times New Roman"/>
        </w:rPr>
        <w:t>(</w:t>
      </w:r>
      <w:r>
        <w:rPr>
          <w:rFonts w:ascii="Times New Roman" w:hAnsi="Times New Roman"/>
        </w:rPr>
        <w:t>348</w:t>
      </w:r>
      <w:r w:rsidRPr="00163AA9">
        <w:rPr>
          <w:rFonts w:ascii="Times New Roman" w:hAnsi="Times New Roman"/>
        </w:rPr>
        <w:t> </w:t>
      </w:r>
      <w:r>
        <w:rPr>
          <w:rFonts w:ascii="Times New Roman" w:hAnsi="Times New Roman"/>
        </w:rPr>
        <w:t>300</w:t>
      </w:r>
      <w:r w:rsidRPr="00163AA9">
        <w:rPr>
          <w:rFonts w:ascii="Times New Roman" w:hAnsi="Times New Roman"/>
        </w:rPr>
        <w:t> tis. eur), na zabezpečenie zmluvy o</w:t>
      </w:r>
      <w:r>
        <w:rPr>
          <w:rFonts w:ascii="Times New Roman" w:hAnsi="Times New Roman"/>
        </w:rPr>
        <w:t xml:space="preserve"> prevádzkovaní železničnej infraštruktúry, </w:t>
      </w:r>
      <w:r w:rsidR="003A0FEE">
        <w:rPr>
          <w:rFonts w:ascii="Times New Roman" w:hAnsi="Times New Roman"/>
        </w:rPr>
        <w:br/>
      </w:r>
      <w:r w:rsidRPr="00163AA9">
        <w:rPr>
          <w:rFonts w:ascii="Times New Roman" w:hAnsi="Times New Roman"/>
        </w:rPr>
        <w:t>na zabezpečenie kompenzácie finančných dopadov zo zníženia úhrad za prístup k železničnej infraštruktúre pre železničných nákladných dopravcov,</w:t>
      </w:r>
      <w:r>
        <w:rPr>
          <w:rFonts w:ascii="Times New Roman" w:hAnsi="Times New Roman"/>
        </w:rPr>
        <w:t xml:space="preserve"> na </w:t>
      </w:r>
      <w:r w:rsidRPr="00163AA9">
        <w:rPr>
          <w:rFonts w:ascii="Times New Roman" w:hAnsi="Times New Roman"/>
        </w:rPr>
        <w:t xml:space="preserve">vysporiadanie záväzku </w:t>
      </w:r>
      <w:r>
        <w:rPr>
          <w:rFonts w:ascii="Times New Roman" w:hAnsi="Times New Roman"/>
        </w:rPr>
        <w:t>voči Železničnej</w:t>
      </w:r>
      <w:r w:rsidRPr="00163AA9">
        <w:rPr>
          <w:rFonts w:ascii="Times New Roman" w:hAnsi="Times New Roman"/>
        </w:rPr>
        <w:t xml:space="preserve"> spoločnos</w:t>
      </w:r>
      <w:r>
        <w:rPr>
          <w:rFonts w:ascii="Times New Roman" w:hAnsi="Times New Roman"/>
        </w:rPr>
        <w:t>ti</w:t>
      </w:r>
      <w:r w:rsidRPr="00163AA9">
        <w:rPr>
          <w:rFonts w:ascii="Times New Roman" w:hAnsi="Times New Roman"/>
        </w:rPr>
        <w:t xml:space="preserve"> Slovensko, a. s. v zmysle Zmluvy o kompenzácii finančných dopadov za rok 2010 </w:t>
      </w:r>
      <w:r w:rsidR="003A0FEE">
        <w:rPr>
          <w:rFonts w:ascii="Times New Roman" w:hAnsi="Times New Roman"/>
        </w:rPr>
        <w:br/>
      </w:r>
      <w:r w:rsidRPr="00163AA9">
        <w:rPr>
          <w:rFonts w:ascii="Times New Roman" w:hAnsi="Times New Roman"/>
        </w:rPr>
        <w:t>pre nákladných železničných dopravcov vyplývajúcej zo zavedenia nových pravidiel regulácie úhrad za prístup k železničnej infraštruktúre</w:t>
      </w:r>
      <w:r>
        <w:rPr>
          <w:rFonts w:ascii="Times New Roman" w:hAnsi="Times New Roman"/>
        </w:rPr>
        <w:t xml:space="preserve">, </w:t>
      </w:r>
      <w:r w:rsidRPr="00163AA9">
        <w:rPr>
          <w:rFonts w:ascii="Times New Roman" w:hAnsi="Times New Roman"/>
        </w:rPr>
        <w:t>na plnenie cieľov medzirezortného podprogramu - Dopravná a telekomunikačná podpora</w:t>
      </w:r>
      <w:r>
        <w:rPr>
          <w:rFonts w:ascii="Times New Roman" w:hAnsi="Times New Roman"/>
        </w:rPr>
        <w:t xml:space="preserve">. </w:t>
      </w:r>
      <w:r w:rsidRPr="00163AA9">
        <w:rPr>
          <w:rFonts w:ascii="Times New Roman" w:hAnsi="Times New Roman"/>
        </w:rPr>
        <w:t xml:space="preserve">Ďalej boli poskytnuté bežné transfery </w:t>
      </w:r>
      <w:r w:rsidRPr="0087329E">
        <w:rPr>
          <w:rFonts w:ascii="Times New Roman" w:hAnsi="Times New Roman"/>
          <w:b/>
        </w:rPr>
        <w:t>Železni</w:t>
      </w:r>
      <w:r w:rsidRPr="0087329E" w:rsidR="0087329E">
        <w:rPr>
          <w:rFonts w:ascii="Times New Roman" w:hAnsi="Times New Roman"/>
          <w:b/>
        </w:rPr>
        <w:t>čnej</w:t>
      </w:r>
      <w:r w:rsidRPr="0087329E">
        <w:rPr>
          <w:rFonts w:ascii="Times New Roman" w:hAnsi="Times New Roman"/>
          <w:b/>
        </w:rPr>
        <w:t xml:space="preserve"> </w:t>
      </w:r>
      <w:r w:rsidRPr="0087329E" w:rsidR="0087329E">
        <w:rPr>
          <w:rFonts w:ascii="Times New Roman" w:hAnsi="Times New Roman"/>
          <w:b/>
        </w:rPr>
        <w:t>spoločnosti Slovensko, a.</w:t>
      </w:r>
      <w:r w:rsidR="005273BE">
        <w:rPr>
          <w:rFonts w:ascii="Times New Roman" w:hAnsi="Times New Roman"/>
          <w:b/>
        </w:rPr>
        <w:t xml:space="preserve"> </w:t>
      </w:r>
      <w:r w:rsidRPr="0087329E" w:rsidR="0087329E">
        <w:rPr>
          <w:rFonts w:ascii="Times New Roman" w:hAnsi="Times New Roman"/>
          <w:b/>
        </w:rPr>
        <w:t>s.</w:t>
      </w:r>
      <w:r w:rsidRPr="00163AA9">
        <w:rPr>
          <w:rFonts w:ascii="Times New Roman" w:hAnsi="Times New Roman"/>
        </w:rPr>
        <w:t xml:space="preserve">, na základe Zmluvy o dopravných </w:t>
      </w:r>
      <w:r w:rsidRPr="00F477E9">
        <w:rPr>
          <w:rFonts w:ascii="Times New Roman" w:hAnsi="Times New Roman"/>
        </w:rPr>
        <w:t xml:space="preserve">službách vo verejnom záujme </w:t>
      </w:r>
      <w:r w:rsidR="003A0FEE">
        <w:rPr>
          <w:rFonts w:ascii="Times New Roman" w:hAnsi="Times New Roman"/>
        </w:rPr>
        <w:br/>
      </w:r>
      <w:r w:rsidRPr="00F477E9">
        <w:rPr>
          <w:rFonts w:ascii="Times New Roman" w:hAnsi="Times New Roman"/>
        </w:rPr>
        <w:t xml:space="preserve">pri prevádzkovaní osobnej železničnej dopravy vo výške 253 929 tis. eur. Neinvestičné výdavky pre </w:t>
      </w:r>
      <w:r w:rsidRPr="00F477E9">
        <w:rPr>
          <w:rFonts w:ascii="Times New Roman" w:hAnsi="Times New Roman"/>
          <w:b/>
        </w:rPr>
        <w:t>Národnú diaľničnú spoločnosť,</w:t>
      </w:r>
      <w:r w:rsidR="00F52D5C">
        <w:rPr>
          <w:rFonts w:ascii="Times New Roman" w:hAnsi="Times New Roman"/>
          <w:b/>
        </w:rPr>
        <w:t xml:space="preserve"> </w:t>
      </w:r>
      <w:r w:rsidRPr="00F477E9">
        <w:rPr>
          <w:rFonts w:ascii="Times New Roman" w:hAnsi="Times New Roman"/>
          <w:b/>
        </w:rPr>
        <w:t>a.</w:t>
      </w:r>
      <w:r w:rsidR="00F52D5C">
        <w:rPr>
          <w:rFonts w:ascii="Times New Roman" w:hAnsi="Times New Roman"/>
          <w:b/>
        </w:rPr>
        <w:t xml:space="preserve"> </w:t>
      </w:r>
      <w:r w:rsidRPr="00F477E9">
        <w:rPr>
          <w:rFonts w:ascii="Times New Roman" w:hAnsi="Times New Roman"/>
          <w:b/>
        </w:rPr>
        <w:t>s.</w:t>
      </w:r>
      <w:r w:rsidR="005273BE">
        <w:rPr>
          <w:rFonts w:ascii="Times New Roman" w:hAnsi="Times New Roman"/>
        </w:rPr>
        <w:t>,</w:t>
      </w:r>
      <w:r w:rsidRPr="00F477E9">
        <w:rPr>
          <w:rFonts w:ascii="Times New Roman" w:hAnsi="Times New Roman"/>
          <w:b/>
        </w:rPr>
        <w:t> </w:t>
      </w:r>
      <w:r w:rsidRPr="00F477E9">
        <w:rPr>
          <w:rFonts w:ascii="Times New Roman" w:hAnsi="Times New Roman"/>
        </w:rPr>
        <w:t>boli poskytnuté na základ</w:t>
      </w:r>
      <w:r w:rsidR="00F52D5C">
        <w:rPr>
          <w:rFonts w:ascii="Times New Roman" w:hAnsi="Times New Roman"/>
        </w:rPr>
        <w:t>e Zmluvy o poskytnutí dotácií z </w:t>
      </w:r>
      <w:r w:rsidRPr="00F477E9">
        <w:rPr>
          <w:rFonts w:ascii="Times New Roman" w:hAnsi="Times New Roman"/>
        </w:rPr>
        <w:t xml:space="preserve">rozpočtovej kapitoly </w:t>
      </w:r>
      <w:r w:rsidR="005D5953">
        <w:rPr>
          <w:rFonts w:ascii="Times New Roman" w:hAnsi="Times New Roman"/>
        </w:rPr>
        <w:t xml:space="preserve">Ministerstva dopravy a výstavby </w:t>
      </w:r>
      <w:r w:rsidRPr="00734FD2" w:rsidR="005D5953">
        <w:rPr>
          <w:rFonts w:ascii="Times New Roman" w:hAnsi="Times New Roman"/>
        </w:rPr>
        <w:t xml:space="preserve">SR </w:t>
      </w:r>
      <w:r w:rsidRPr="00F477E9">
        <w:rPr>
          <w:rFonts w:ascii="Times New Roman" w:hAnsi="Times New Roman"/>
        </w:rPr>
        <w:t>vo výške 16 055 tis. eur na údržbu, prípravu a realizáciu diaľnic a rýchlostných ciest.</w:t>
      </w:r>
    </w:p>
    <w:p w:rsidR="00F17E8A" w:rsidP="00F17E8A">
      <w:pPr>
        <w:bidi w:val="0"/>
        <w:spacing w:before="120"/>
        <w:rPr>
          <w:rFonts w:ascii="Times New Roman" w:hAnsi="Times New Roman"/>
        </w:rPr>
      </w:pPr>
      <w:r w:rsidRPr="001B4817" w:rsidR="00FD5465">
        <w:rPr>
          <w:rFonts w:ascii="Times New Roman" w:hAnsi="Times New Roman"/>
          <w:b/>
        </w:rPr>
        <w:t>Príspevkovým organizáciám</w:t>
      </w:r>
      <w:r w:rsidRPr="001B4817" w:rsidR="00FD5465">
        <w:rPr>
          <w:rFonts w:ascii="Times New Roman" w:hAnsi="Times New Roman"/>
        </w:rPr>
        <w:t xml:space="preserve"> sa poukázali rozpočtové prostriedky vo výške </w:t>
      </w:r>
      <w:r w:rsidR="00FD5465">
        <w:rPr>
          <w:rFonts w:ascii="Times New Roman" w:hAnsi="Times New Roman"/>
        </w:rPr>
        <w:t>333 946 </w:t>
      </w:r>
      <w:r w:rsidRPr="001B4817" w:rsidR="00FD5465">
        <w:rPr>
          <w:rFonts w:ascii="Times New Roman" w:hAnsi="Times New Roman"/>
        </w:rPr>
        <w:t>tis. eur (201</w:t>
      </w:r>
      <w:r w:rsidR="00FD5465">
        <w:rPr>
          <w:rFonts w:ascii="Times New Roman" w:hAnsi="Times New Roman"/>
        </w:rPr>
        <w:t>6</w:t>
      </w:r>
      <w:r w:rsidRPr="001B4817" w:rsidR="00FD5465">
        <w:rPr>
          <w:rFonts w:ascii="Times New Roman" w:hAnsi="Times New Roman"/>
        </w:rPr>
        <w:t>: 275</w:t>
      </w:r>
      <w:r w:rsidR="00FD5465">
        <w:rPr>
          <w:rFonts w:ascii="Times New Roman" w:hAnsi="Times New Roman"/>
        </w:rPr>
        <w:t> </w:t>
      </w:r>
      <w:r w:rsidRPr="001B4817" w:rsidR="00FD5465">
        <w:rPr>
          <w:rFonts w:ascii="Times New Roman" w:hAnsi="Times New Roman"/>
        </w:rPr>
        <w:t xml:space="preserve">102 tis. eur), na čom sa </w:t>
      </w:r>
      <w:r w:rsidR="00A84E39">
        <w:rPr>
          <w:rFonts w:ascii="Times New Roman" w:hAnsi="Times New Roman"/>
        </w:rPr>
        <w:t xml:space="preserve">významne </w:t>
      </w:r>
      <w:r w:rsidRPr="001B4817" w:rsidR="00FD5465">
        <w:rPr>
          <w:rFonts w:ascii="Times New Roman" w:hAnsi="Times New Roman"/>
        </w:rPr>
        <w:t>podieľal</w:t>
      </w:r>
      <w:r w:rsidR="00A84E39">
        <w:rPr>
          <w:rFonts w:ascii="Times New Roman" w:hAnsi="Times New Roman"/>
        </w:rPr>
        <w:t>a</w:t>
      </w:r>
      <w:r w:rsidRPr="001B4817" w:rsidR="00FD5465">
        <w:rPr>
          <w:rFonts w:ascii="Times New Roman" w:hAnsi="Times New Roman"/>
        </w:rPr>
        <w:t xml:space="preserve"> kapitol</w:t>
      </w:r>
      <w:r w:rsidR="00A84E39">
        <w:rPr>
          <w:rFonts w:ascii="Times New Roman" w:hAnsi="Times New Roman"/>
        </w:rPr>
        <w:t>a</w:t>
      </w:r>
      <w:r w:rsidRPr="001B4817" w:rsidR="00FD5465">
        <w:rPr>
          <w:rFonts w:ascii="Times New Roman" w:hAnsi="Times New Roman"/>
        </w:rPr>
        <w:t xml:space="preserve"> Ministerstva kultúry SR (7</w:t>
      </w:r>
      <w:r w:rsidR="00FD5465">
        <w:rPr>
          <w:rFonts w:ascii="Times New Roman" w:hAnsi="Times New Roman"/>
        </w:rPr>
        <w:t>9</w:t>
      </w:r>
      <w:r w:rsidRPr="001B4817" w:rsidR="00FD5465">
        <w:rPr>
          <w:rFonts w:ascii="Times New Roman" w:hAnsi="Times New Roman"/>
        </w:rPr>
        <w:t> </w:t>
      </w:r>
      <w:r w:rsidR="00FD5465">
        <w:rPr>
          <w:rFonts w:ascii="Times New Roman" w:hAnsi="Times New Roman"/>
        </w:rPr>
        <w:t>689</w:t>
      </w:r>
      <w:r w:rsidR="00F477E9">
        <w:rPr>
          <w:rFonts w:ascii="Times New Roman" w:hAnsi="Times New Roman"/>
        </w:rPr>
        <w:t> tis. </w:t>
      </w:r>
      <w:r w:rsidRPr="001B4817" w:rsidR="00FD5465">
        <w:rPr>
          <w:rFonts w:ascii="Times New Roman" w:hAnsi="Times New Roman"/>
        </w:rPr>
        <w:t>eur)</w:t>
      </w:r>
      <w:r w:rsidR="00A84E39">
        <w:rPr>
          <w:rFonts w:ascii="Times New Roman" w:hAnsi="Times New Roman"/>
        </w:rPr>
        <w:t>, ktorá použila prostriedky najmä</w:t>
      </w:r>
      <w:r w:rsidR="00FD5465">
        <w:rPr>
          <w:rFonts w:ascii="Times New Roman" w:hAnsi="Times New Roman"/>
        </w:rPr>
        <w:t xml:space="preserve"> na činnosť </w:t>
      </w:r>
      <w:r w:rsidRPr="00B83FD4" w:rsidR="00FD5465">
        <w:rPr>
          <w:rFonts w:ascii="Times New Roman" w:hAnsi="Times New Roman"/>
        </w:rPr>
        <w:t xml:space="preserve">23 príspevkových organizácií </w:t>
      </w:r>
      <w:r w:rsidR="003A0FEE">
        <w:rPr>
          <w:rFonts w:ascii="Times New Roman" w:hAnsi="Times New Roman"/>
        </w:rPr>
        <w:br/>
      </w:r>
      <w:r w:rsidRPr="00B83FD4" w:rsidR="00FD5465">
        <w:rPr>
          <w:rFonts w:ascii="Times New Roman" w:hAnsi="Times New Roman"/>
        </w:rPr>
        <w:t>v</w:t>
      </w:r>
      <w:r w:rsidR="00A84E39">
        <w:rPr>
          <w:rFonts w:ascii="Times New Roman" w:hAnsi="Times New Roman"/>
        </w:rPr>
        <w:t>o svojej</w:t>
      </w:r>
      <w:r w:rsidRPr="00B83FD4" w:rsidR="00FD5465">
        <w:rPr>
          <w:rFonts w:ascii="Times New Roman" w:hAnsi="Times New Roman"/>
        </w:rPr>
        <w:t xml:space="preserve"> zriaďovateľskej pôsobnosti</w:t>
      </w:r>
      <w:r w:rsidR="00FD5465">
        <w:rPr>
          <w:rFonts w:ascii="Times New Roman" w:hAnsi="Times New Roman"/>
        </w:rPr>
        <w:t xml:space="preserve">, </w:t>
      </w:r>
      <w:r w:rsidR="00A84E39">
        <w:rPr>
          <w:rFonts w:ascii="Times New Roman" w:hAnsi="Times New Roman"/>
        </w:rPr>
        <w:t>konkrétne</w:t>
      </w:r>
      <w:r w:rsidRPr="00B83FD4" w:rsidR="00FD5465">
        <w:rPr>
          <w:rFonts w:ascii="Times New Roman" w:hAnsi="Times New Roman"/>
        </w:rPr>
        <w:t xml:space="preserve"> na podporu hlavnej činnosti v divadlách, v hudbe, koncertnej činnosti a umeleckých súboroch, výtvarnom umení, fotografiách, architektúre a dizajne, v múzeách a galériách, knižničnej činnosti, v osvetovej činnosti</w:t>
      </w:r>
      <w:r w:rsidR="00EC6E42">
        <w:rPr>
          <w:rFonts w:ascii="Times New Roman" w:hAnsi="Times New Roman"/>
        </w:rPr>
        <w:t xml:space="preserve"> a tradičnej ľudovej kultúre, v </w:t>
      </w:r>
      <w:r w:rsidRPr="00B83FD4" w:rsidR="00FD5465">
        <w:rPr>
          <w:rFonts w:ascii="Times New Roman" w:hAnsi="Times New Roman"/>
        </w:rPr>
        <w:t>literatúre a knižničnej kultúre a financovanie audiovizuálneho dedičstva, udržateľnosti projektov po skončení ich financovania z Operačného programu Informatizácia spoločnosti.</w:t>
      </w:r>
      <w:r w:rsidR="00FD5465">
        <w:rPr>
          <w:rFonts w:ascii="Times New Roman" w:hAnsi="Times New Roman"/>
        </w:rPr>
        <w:t xml:space="preserve"> Na zvýšenie výdavkov </w:t>
      </w:r>
      <w:r w:rsidRPr="001B4817" w:rsidR="00FD5465">
        <w:rPr>
          <w:rFonts w:ascii="Times New Roman" w:hAnsi="Times New Roman"/>
        </w:rPr>
        <w:t>kapitoly Ministerstva kultúry SR</w:t>
      </w:r>
      <w:r w:rsidR="00FD5465">
        <w:rPr>
          <w:rFonts w:ascii="Times New Roman" w:hAnsi="Times New Roman"/>
        </w:rPr>
        <w:t xml:space="preserve"> oproti rozpočtu</w:t>
      </w:r>
      <w:r w:rsidR="005756A0">
        <w:rPr>
          <w:rFonts w:ascii="Times New Roman" w:hAnsi="Times New Roman"/>
        </w:rPr>
        <w:t xml:space="preserve"> o 7 869 tis. eur</w:t>
      </w:r>
      <w:r w:rsidR="00FD5465">
        <w:rPr>
          <w:rFonts w:ascii="Times New Roman" w:hAnsi="Times New Roman"/>
        </w:rPr>
        <w:t xml:space="preserve"> malo vplyv hlavne financovanie </w:t>
      </w:r>
      <w:r w:rsidRPr="00300A72" w:rsidR="00FD5465">
        <w:rPr>
          <w:rFonts w:ascii="Times New Roman" w:hAnsi="Times New Roman"/>
        </w:rPr>
        <w:t>prioritných projektov</w:t>
      </w:r>
      <w:r w:rsidR="00FD5465">
        <w:rPr>
          <w:rFonts w:ascii="Times New Roman" w:hAnsi="Times New Roman"/>
        </w:rPr>
        <w:t xml:space="preserve"> </w:t>
      </w:r>
      <w:r w:rsidRPr="003D4D62" w:rsidR="00FD5465">
        <w:rPr>
          <w:rFonts w:ascii="Times New Roman" w:hAnsi="Times New Roman"/>
        </w:rPr>
        <w:t>zameraných na podporu kultúrnych aktivít príspevkových organizácií, kultúrnych aktivít v zahraničí, projekty informatizácie kultúry, akvizície zbierkových</w:t>
      </w:r>
      <w:r w:rsidR="00FD5465">
        <w:rPr>
          <w:rFonts w:ascii="Times New Roman" w:hAnsi="Times New Roman"/>
        </w:rPr>
        <w:t xml:space="preserve"> predmetov a knižničných fondov </w:t>
      </w:r>
      <w:r w:rsidRPr="001B4817" w:rsidR="00FD5465">
        <w:rPr>
          <w:rFonts w:ascii="Times New Roman" w:hAnsi="Times New Roman"/>
        </w:rPr>
        <w:t>(</w:t>
      </w:r>
      <w:r w:rsidR="00FD5465">
        <w:rPr>
          <w:rFonts w:ascii="Times New Roman" w:hAnsi="Times New Roman"/>
        </w:rPr>
        <w:t>3 500</w:t>
      </w:r>
      <w:r w:rsidRPr="001B4817" w:rsidR="00FD5465">
        <w:rPr>
          <w:rFonts w:ascii="Times New Roman" w:hAnsi="Times New Roman"/>
        </w:rPr>
        <w:t> tis. eur),</w:t>
      </w:r>
      <w:r w:rsidR="00FD5465">
        <w:rPr>
          <w:rFonts w:ascii="Times New Roman" w:hAnsi="Times New Roman"/>
        </w:rPr>
        <w:t xml:space="preserve"> </w:t>
      </w:r>
      <w:r w:rsidRPr="003D4D62" w:rsidR="00FD5465">
        <w:rPr>
          <w:rFonts w:ascii="Times New Roman" w:hAnsi="Times New Roman"/>
        </w:rPr>
        <w:t>valorizácia miezd, platov, služobných príjmov a osobných vyrovnaní vrátane zákonných odvodov</w:t>
      </w:r>
      <w:r w:rsidR="00FD5465">
        <w:rPr>
          <w:rFonts w:ascii="Times New Roman" w:hAnsi="Times New Roman"/>
        </w:rPr>
        <w:t xml:space="preserve"> (1 178 tis. eur), delimitácia </w:t>
      </w:r>
      <w:r w:rsidRPr="00943644" w:rsidR="00FD5465">
        <w:rPr>
          <w:rFonts w:ascii="Times New Roman" w:hAnsi="Times New Roman"/>
        </w:rPr>
        <w:t>pr</w:t>
      </w:r>
      <w:r w:rsidR="00F52D5C">
        <w:rPr>
          <w:rFonts w:ascii="Times New Roman" w:hAnsi="Times New Roman"/>
        </w:rPr>
        <w:t>íspevkovej organizácie Ifjú Szí</w:t>
      </w:r>
      <w:r w:rsidRPr="00943644" w:rsidR="00FD5465">
        <w:rPr>
          <w:rFonts w:ascii="Times New Roman" w:hAnsi="Times New Roman"/>
        </w:rPr>
        <w:t xml:space="preserve">vek </w:t>
      </w:r>
      <w:r w:rsidR="00FD5465">
        <w:rPr>
          <w:rFonts w:ascii="Times New Roman" w:hAnsi="Times New Roman"/>
        </w:rPr>
        <w:t>(</w:t>
      </w:r>
      <w:r w:rsidRPr="00943644" w:rsidR="00FD5465">
        <w:rPr>
          <w:rFonts w:ascii="Times New Roman" w:hAnsi="Times New Roman"/>
        </w:rPr>
        <w:t>651</w:t>
      </w:r>
      <w:r w:rsidR="00FD5465">
        <w:rPr>
          <w:rFonts w:ascii="Times New Roman" w:hAnsi="Times New Roman"/>
        </w:rPr>
        <w:t> </w:t>
      </w:r>
      <w:r w:rsidRPr="00943644" w:rsidR="00FD5465">
        <w:rPr>
          <w:rFonts w:ascii="Times New Roman" w:hAnsi="Times New Roman"/>
        </w:rPr>
        <w:t>tis.</w:t>
      </w:r>
      <w:r w:rsidR="00FD5465">
        <w:rPr>
          <w:rFonts w:ascii="Times New Roman" w:hAnsi="Times New Roman"/>
        </w:rPr>
        <w:t> </w:t>
      </w:r>
      <w:r w:rsidRPr="00943644" w:rsidR="00FD5465">
        <w:rPr>
          <w:rFonts w:ascii="Times New Roman" w:hAnsi="Times New Roman"/>
        </w:rPr>
        <w:t>eur</w:t>
      </w:r>
      <w:r w:rsidR="00FD5465">
        <w:rPr>
          <w:rFonts w:ascii="Times New Roman" w:hAnsi="Times New Roman"/>
        </w:rPr>
        <w:t>)</w:t>
      </w:r>
      <w:r w:rsidRPr="00943644" w:rsidR="00FD5465">
        <w:rPr>
          <w:rFonts w:ascii="Times New Roman" w:hAnsi="Times New Roman"/>
        </w:rPr>
        <w:t>,</w:t>
      </w:r>
      <w:r w:rsidR="00FD5465">
        <w:rPr>
          <w:rFonts w:ascii="Times New Roman" w:hAnsi="Times New Roman"/>
        </w:rPr>
        <w:t xml:space="preserve"> </w:t>
      </w:r>
      <w:r w:rsidRPr="001B4817" w:rsidR="00FD5465">
        <w:rPr>
          <w:rFonts w:ascii="Times New Roman" w:hAnsi="Times New Roman"/>
        </w:rPr>
        <w:t>vynaložen</w:t>
      </w:r>
      <w:r w:rsidR="00FD5465">
        <w:rPr>
          <w:rFonts w:ascii="Times New Roman" w:hAnsi="Times New Roman"/>
        </w:rPr>
        <w:t>ie</w:t>
      </w:r>
      <w:r w:rsidRPr="001B4817" w:rsidR="00FD5465">
        <w:rPr>
          <w:rFonts w:ascii="Times New Roman" w:hAnsi="Times New Roman"/>
        </w:rPr>
        <w:t xml:space="preserve"> výdavkov na </w:t>
      </w:r>
      <w:r w:rsidRPr="00943644" w:rsidR="00FD5465">
        <w:rPr>
          <w:rFonts w:ascii="Times New Roman" w:hAnsi="Times New Roman"/>
        </w:rPr>
        <w:t>zabezpečenie B</w:t>
      </w:r>
      <w:r w:rsidR="00EC6E42">
        <w:rPr>
          <w:rFonts w:ascii="Times New Roman" w:hAnsi="Times New Roman"/>
        </w:rPr>
        <w:t>ratislavských hudobných slávností</w:t>
      </w:r>
      <w:r w:rsidRPr="00943644" w:rsidR="00FD5465">
        <w:rPr>
          <w:rFonts w:ascii="Times New Roman" w:hAnsi="Times New Roman"/>
        </w:rPr>
        <w:t xml:space="preserve"> pre Slovenskú filharmóniu </w:t>
      </w:r>
      <w:r w:rsidR="00FD5465">
        <w:rPr>
          <w:rFonts w:ascii="Times New Roman" w:hAnsi="Times New Roman"/>
        </w:rPr>
        <w:t>(</w:t>
      </w:r>
      <w:r w:rsidRPr="00943644" w:rsidR="00FD5465">
        <w:rPr>
          <w:rFonts w:ascii="Times New Roman" w:hAnsi="Times New Roman"/>
        </w:rPr>
        <w:t>200</w:t>
      </w:r>
      <w:r w:rsidR="00FD5465">
        <w:rPr>
          <w:rFonts w:ascii="Times New Roman" w:hAnsi="Times New Roman"/>
        </w:rPr>
        <w:t> </w:t>
      </w:r>
      <w:r w:rsidRPr="00943644" w:rsidR="00FD5465">
        <w:rPr>
          <w:rFonts w:ascii="Times New Roman" w:hAnsi="Times New Roman"/>
        </w:rPr>
        <w:t>tis.</w:t>
      </w:r>
      <w:r w:rsidR="00FD5465">
        <w:rPr>
          <w:rFonts w:ascii="Times New Roman" w:hAnsi="Times New Roman"/>
        </w:rPr>
        <w:t> </w:t>
      </w:r>
      <w:r w:rsidRPr="00943644" w:rsidR="00FD5465">
        <w:rPr>
          <w:rFonts w:ascii="Times New Roman" w:hAnsi="Times New Roman"/>
        </w:rPr>
        <w:t>eur</w:t>
      </w:r>
      <w:r>
        <w:rPr>
          <w:rFonts w:ascii="Times New Roman" w:hAnsi="Times New Roman"/>
        </w:rPr>
        <w:t>).</w:t>
      </w:r>
    </w:p>
    <w:p w:rsidR="00FD5465" w:rsidP="00F17E8A">
      <w:pPr>
        <w:bidi w:val="0"/>
        <w:spacing w:before="120"/>
        <w:rPr>
          <w:rFonts w:ascii="Times New Roman" w:hAnsi="Times New Roman"/>
        </w:rPr>
      </w:pPr>
      <w:r>
        <w:rPr>
          <w:rFonts w:ascii="Times New Roman" w:hAnsi="Times New Roman"/>
        </w:rPr>
        <w:t xml:space="preserve">Ďalej sa na čerpaní transferov príspevkovým organizáciám významne podieľala kapitola </w:t>
      </w:r>
      <w:r w:rsidRPr="00F477E9">
        <w:rPr>
          <w:rFonts w:ascii="Times New Roman" w:hAnsi="Times New Roman"/>
          <w:b/>
        </w:rPr>
        <w:t>Ministerstva životného prostredia SR</w:t>
      </w:r>
      <w:r w:rsidRPr="001B4817">
        <w:rPr>
          <w:rFonts w:ascii="Times New Roman" w:hAnsi="Times New Roman"/>
        </w:rPr>
        <w:t xml:space="preserve"> (</w:t>
      </w:r>
      <w:r>
        <w:rPr>
          <w:rFonts w:ascii="Times New Roman" w:hAnsi="Times New Roman"/>
        </w:rPr>
        <w:t>57</w:t>
      </w:r>
      <w:r w:rsidRPr="001B4817">
        <w:rPr>
          <w:rFonts w:ascii="Times New Roman" w:hAnsi="Times New Roman"/>
        </w:rPr>
        <w:t> 85</w:t>
      </w:r>
      <w:r>
        <w:rPr>
          <w:rFonts w:ascii="Times New Roman" w:hAnsi="Times New Roman"/>
        </w:rPr>
        <w:t>1</w:t>
      </w:r>
      <w:r w:rsidRPr="001B4817">
        <w:rPr>
          <w:rFonts w:ascii="Times New Roman" w:hAnsi="Times New Roman"/>
        </w:rPr>
        <w:t> tis.</w:t>
      </w:r>
      <w:r>
        <w:rPr>
          <w:rFonts w:ascii="Times New Roman" w:hAnsi="Times New Roman"/>
        </w:rPr>
        <w:t> </w:t>
      </w:r>
      <w:r w:rsidRPr="001B4817">
        <w:rPr>
          <w:rFonts w:ascii="Times New Roman" w:hAnsi="Times New Roman"/>
        </w:rPr>
        <w:t>eur)</w:t>
      </w:r>
      <w:r>
        <w:rPr>
          <w:rFonts w:ascii="Times New Roman" w:hAnsi="Times New Roman"/>
        </w:rPr>
        <w:t xml:space="preserve">, a to </w:t>
      </w:r>
      <w:r w:rsidRPr="001B4817">
        <w:rPr>
          <w:rFonts w:ascii="Times New Roman" w:hAnsi="Times New Roman"/>
        </w:rPr>
        <w:t xml:space="preserve">na </w:t>
      </w:r>
      <w:r w:rsidRPr="00E9698F">
        <w:rPr>
          <w:rFonts w:ascii="Times New Roman" w:hAnsi="Times New Roman"/>
        </w:rPr>
        <w:t>činnosť</w:t>
      </w:r>
      <w:r>
        <w:rPr>
          <w:rFonts w:ascii="Times New Roman" w:hAnsi="Times New Roman"/>
        </w:rPr>
        <w:t xml:space="preserve"> ôsmych </w:t>
      </w:r>
      <w:r w:rsidRPr="00E9698F">
        <w:rPr>
          <w:rFonts w:ascii="Times New Roman" w:hAnsi="Times New Roman"/>
        </w:rPr>
        <w:t>príspevkových organizácií v</w:t>
      </w:r>
      <w:r>
        <w:rPr>
          <w:rFonts w:ascii="Times New Roman" w:hAnsi="Times New Roman"/>
        </w:rPr>
        <w:t xml:space="preserve"> jej </w:t>
      </w:r>
      <w:r w:rsidRPr="00E9698F">
        <w:rPr>
          <w:rFonts w:ascii="Times New Roman" w:hAnsi="Times New Roman"/>
        </w:rPr>
        <w:t>pôsobnosti</w:t>
      </w:r>
      <w:r>
        <w:rPr>
          <w:rFonts w:ascii="Times New Roman" w:hAnsi="Times New Roman"/>
        </w:rPr>
        <w:t xml:space="preserve">. </w:t>
      </w:r>
      <w:r w:rsidRPr="00E9698F">
        <w:rPr>
          <w:rFonts w:ascii="Times New Roman" w:hAnsi="Times New Roman"/>
        </w:rPr>
        <w:t>Tieto prostriedky boli vyčerpané predovšetkým na mzdy, platy, služobné príjmy a</w:t>
      </w:r>
      <w:r>
        <w:rPr>
          <w:rFonts w:ascii="Times New Roman" w:hAnsi="Times New Roman"/>
        </w:rPr>
        <w:t> ostatné osobné vyrovnania</w:t>
      </w:r>
      <w:r w:rsidRPr="00E9698F">
        <w:rPr>
          <w:rFonts w:ascii="Times New Roman" w:hAnsi="Times New Roman"/>
        </w:rPr>
        <w:t>, poistné a príspevky do poisťovní, ako aj na tovary a služby v zmysle plánov hlavných úloh na rok 2017, ktoré boli schválené pre jednotlivé príspevkové organizácie</w:t>
      </w:r>
      <w:r>
        <w:rPr>
          <w:rFonts w:ascii="Times New Roman" w:hAnsi="Times New Roman"/>
        </w:rPr>
        <w:t>. Z</w:t>
      </w:r>
      <w:r w:rsidRPr="00665667">
        <w:rPr>
          <w:rFonts w:ascii="Times New Roman" w:hAnsi="Times New Roman"/>
        </w:rPr>
        <w:t>výšenie výdavkov oproti schválenému rozpočtu na rok 2017</w:t>
      </w:r>
      <w:r>
        <w:rPr>
          <w:rFonts w:ascii="Times New Roman" w:hAnsi="Times New Roman"/>
        </w:rPr>
        <w:t xml:space="preserve"> (</w:t>
      </w:r>
      <w:r w:rsidR="005756A0">
        <w:rPr>
          <w:rFonts w:ascii="Times New Roman" w:hAnsi="Times New Roman"/>
        </w:rPr>
        <w:t>o </w:t>
      </w:r>
      <w:r>
        <w:rPr>
          <w:rFonts w:ascii="Times New Roman" w:hAnsi="Times New Roman"/>
        </w:rPr>
        <w:t>31 864 tis. eur)</w:t>
      </w:r>
      <w:r w:rsidRPr="00665667">
        <w:rPr>
          <w:rFonts w:ascii="Times New Roman" w:hAnsi="Times New Roman"/>
        </w:rPr>
        <w:t xml:space="preserve"> súviselo najmä </w:t>
      </w:r>
      <w:r>
        <w:rPr>
          <w:rFonts w:ascii="Times New Roman" w:hAnsi="Times New Roman"/>
        </w:rPr>
        <w:t>s p</w:t>
      </w:r>
      <w:r w:rsidRPr="00665667">
        <w:rPr>
          <w:rFonts w:ascii="Times New Roman" w:hAnsi="Times New Roman"/>
        </w:rPr>
        <w:t>oskytovaním finančných prostriedkov podľa harmonogramu žiadostí v rámci jednotlivých projektov</w:t>
      </w:r>
      <w:r>
        <w:rPr>
          <w:rFonts w:ascii="Times New Roman" w:hAnsi="Times New Roman"/>
        </w:rPr>
        <w:t xml:space="preserve"> a</w:t>
      </w:r>
      <w:r w:rsidR="00EC6E42">
        <w:rPr>
          <w:rFonts w:ascii="Times New Roman" w:hAnsi="Times New Roman"/>
        </w:rPr>
        <w:t xml:space="preserve"> s </w:t>
      </w:r>
      <w:r w:rsidRPr="00665667">
        <w:rPr>
          <w:rFonts w:ascii="Times New Roman" w:hAnsi="Times New Roman"/>
        </w:rPr>
        <w:t>prideľovaním finančných prostriedkov na udržateľnosť p</w:t>
      </w:r>
      <w:r>
        <w:rPr>
          <w:rFonts w:ascii="Times New Roman" w:hAnsi="Times New Roman"/>
        </w:rPr>
        <w:t xml:space="preserve">rojektov a na valorizáciu miezd. Transfery príspevkovým </w:t>
      </w:r>
      <w:r w:rsidR="00F477E9">
        <w:rPr>
          <w:rFonts w:ascii="Times New Roman" w:hAnsi="Times New Roman"/>
        </w:rPr>
        <w:t xml:space="preserve">organizáciám boli poskytnuté </w:t>
      </w:r>
      <w:r w:rsidRPr="00F477E9" w:rsidR="00F477E9">
        <w:rPr>
          <w:rFonts w:ascii="Times New Roman" w:hAnsi="Times New Roman"/>
        </w:rPr>
        <w:t>vo</w:t>
      </w:r>
      <w:r w:rsidR="00F477E9">
        <w:rPr>
          <w:rFonts w:ascii="Times New Roman" w:hAnsi="Times New Roman"/>
        </w:rPr>
        <w:t> </w:t>
      </w:r>
      <w:r w:rsidRPr="00F477E9">
        <w:rPr>
          <w:rFonts w:ascii="Times New Roman" w:hAnsi="Times New Roman"/>
        </w:rPr>
        <w:t>významnej</w:t>
      </w:r>
      <w:r>
        <w:rPr>
          <w:rFonts w:ascii="Times New Roman" w:hAnsi="Times New Roman"/>
        </w:rPr>
        <w:t xml:space="preserve"> výške aj v rezorte </w:t>
      </w:r>
      <w:r w:rsidRPr="00F477E9">
        <w:rPr>
          <w:rFonts w:ascii="Times New Roman" w:hAnsi="Times New Roman"/>
          <w:b/>
        </w:rPr>
        <w:t>Ministerstva školstva, vedy, výskumu a</w:t>
      </w:r>
      <w:r w:rsidRPr="00F477E9" w:rsidR="00457F6F">
        <w:rPr>
          <w:rFonts w:ascii="Times New Roman" w:hAnsi="Times New Roman"/>
          <w:b/>
        </w:rPr>
        <w:t xml:space="preserve"> </w:t>
      </w:r>
      <w:r w:rsidRPr="00F477E9">
        <w:rPr>
          <w:rFonts w:ascii="Times New Roman" w:hAnsi="Times New Roman"/>
          <w:b/>
        </w:rPr>
        <w:t>športu SR</w:t>
      </w:r>
      <w:r w:rsidRPr="008E7504">
        <w:rPr>
          <w:rFonts w:ascii="Times New Roman" w:hAnsi="Times New Roman"/>
        </w:rPr>
        <w:t xml:space="preserve"> (</w:t>
      </w:r>
      <w:r>
        <w:rPr>
          <w:rFonts w:ascii="Times New Roman" w:hAnsi="Times New Roman"/>
        </w:rPr>
        <w:t>44 </w:t>
      </w:r>
      <w:r w:rsidRPr="008E7504">
        <w:rPr>
          <w:rFonts w:ascii="Times New Roman" w:hAnsi="Times New Roman"/>
        </w:rPr>
        <w:t>0</w:t>
      </w:r>
      <w:r>
        <w:rPr>
          <w:rFonts w:ascii="Times New Roman" w:hAnsi="Times New Roman"/>
        </w:rPr>
        <w:t>22 </w:t>
      </w:r>
      <w:r w:rsidRPr="008E7504">
        <w:rPr>
          <w:rFonts w:ascii="Times New Roman" w:hAnsi="Times New Roman"/>
        </w:rPr>
        <w:t>tis.</w:t>
      </w:r>
      <w:r>
        <w:rPr>
          <w:rFonts w:ascii="Times New Roman" w:hAnsi="Times New Roman"/>
        </w:rPr>
        <w:t> </w:t>
      </w:r>
      <w:r w:rsidRPr="008E7504">
        <w:rPr>
          <w:rFonts w:ascii="Times New Roman" w:hAnsi="Times New Roman"/>
        </w:rPr>
        <w:t>eur)</w:t>
      </w:r>
      <w:r>
        <w:rPr>
          <w:rFonts w:ascii="Times New Roman" w:hAnsi="Times New Roman"/>
        </w:rPr>
        <w:t xml:space="preserve">. Tieto boli použité </w:t>
      </w:r>
      <w:r w:rsidR="003A0FEE">
        <w:rPr>
          <w:rFonts w:ascii="Times New Roman" w:hAnsi="Times New Roman"/>
        </w:rPr>
        <w:br/>
      </w:r>
      <w:r w:rsidRPr="00DB4E0D">
        <w:rPr>
          <w:rFonts w:ascii="Times New Roman" w:hAnsi="Times New Roman"/>
        </w:rPr>
        <w:t xml:space="preserve">na činnosť príspevkových organizácií v zriaďovateľskej pôsobnosti </w:t>
      </w:r>
      <w:r>
        <w:rPr>
          <w:rFonts w:ascii="Times New Roman" w:hAnsi="Times New Roman"/>
        </w:rPr>
        <w:t xml:space="preserve">na základe uzavretých kontraktov </w:t>
      </w:r>
      <w:r w:rsidRPr="00F86D89">
        <w:rPr>
          <w:rFonts w:ascii="Times New Roman" w:hAnsi="Times New Roman"/>
        </w:rPr>
        <w:t>na mzdy, odvody a</w:t>
      </w:r>
      <w:r>
        <w:rPr>
          <w:rFonts w:ascii="Times New Roman" w:hAnsi="Times New Roman"/>
        </w:rPr>
        <w:t> </w:t>
      </w:r>
      <w:r w:rsidRPr="00F86D89">
        <w:rPr>
          <w:rFonts w:ascii="Times New Roman" w:hAnsi="Times New Roman"/>
        </w:rPr>
        <w:t>prevádzku</w:t>
      </w:r>
      <w:r>
        <w:rPr>
          <w:rFonts w:ascii="Times New Roman" w:hAnsi="Times New Roman"/>
        </w:rPr>
        <w:t xml:space="preserve"> (15 187 tis. eur), prostredníctvom Agentúry </w:t>
      </w:r>
      <w:r w:rsidRPr="00F86D89">
        <w:rPr>
          <w:rFonts w:ascii="Times New Roman" w:hAnsi="Times New Roman"/>
        </w:rPr>
        <w:t xml:space="preserve">na </w:t>
      </w:r>
      <w:r w:rsidR="00A84E39">
        <w:rPr>
          <w:rFonts w:ascii="Times New Roman" w:hAnsi="Times New Roman"/>
        </w:rPr>
        <w:t>projekty štátnym príspevkovým organizáciám (2 309 tis. eur) a</w:t>
      </w:r>
      <w:r w:rsidR="003D05E7">
        <w:rPr>
          <w:rFonts w:ascii="Times New Roman" w:hAnsi="Times New Roman"/>
        </w:rPr>
        <w:t xml:space="preserve"> </w:t>
      </w:r>
      <w:r w:rsidR="00A84E39">
        <w:rPr>
          <w:rFonts w:ascii="Times New Roman" w:hAnsi="Times New Roman"/>
        </w:rPr>
        <w:t>príspevkovým organizáciám S</w:t>
      </w:r>
      <w:r w:rsidR="00BE213D">
        <w:rPr>
          <w:rFonts w:ascii="Times New Roman" w:hAnsi="Times New Roman"/>
        </w:rPr>
        <w:t xml:space="preserve">lovenskej akadémie vied </w:t>
      </w:r>
      <w:r w:rsidR="00A84E39">
        <w:rPr>
          <w:rFonts w:ascii="Times New Roman" w:hAnsi="Times New Roman"/>
        </w:rPr>
        <w:t xml:space="preserve">(7 737 tis. eur) </w:t>
      </w:r>
      <w:r>
        <w:rPr>
          <w:rFonts w:ascii="Times New Roman" w:hAnsi="Times New Roman"/>
        </w:rPr>
        <w:t xml:space="preserve">a platobnou jednotkou na </w:t>
      </w:r>
      <w:r w:rsidRPr="00DB4E0D">
        <w:rPr>
          <w:rFonts w:ascii="Times New Roman" w:hAnsi="Times New Roman"/>
        </w:rPr>
        <w:t xml:space="preserve">projekty </w:t>
      </w:r>
      <w:r>
        <w:rPr>
          <w:rFonts w:ascii="Times New Roman" w:hAnsi="Times New Roman"/>
        </w:rPr>
        <w:t>napríklad</w:t>
      </w:r>
      <w:r w:rsidRPr="00F86D89">
        <w:rPr>
          <w:rFonts w:ascii="Times New Roman" w:hAnsi="Times New Roman"/>
        </w:rPr>
        <w:t xml:space="preserve"> NISPEZ IV - informačný systém výskumu a</w:t>
      </w:r>
      <w:r>
        <w:rPr>
          <w:rFonts w:ascii="Times New Roman" w:hAnsi="Times New Roman"/>
        </w:rPr>
        <w:t> </w:t>
      </w:r>
      <w:r w:rsidRPr="00F86D89">
        <w:rPr>
          <w:rFonts w:ascii="Times New Roman" w:hAnsi="Times New Roman"/>
        </w:rPr>
        <w:t xml:space="preserve">vývoja </w:t>
      </w:r>
      <w:r>
        <w:rPr>
          <w:rFonts w:ascii="Times New Roman" w:hAnsi="Times New Roman"/>
        </w:rPr>
        <w:t>zabezpečujúci</w:t>
      </w:r>
      <w:r w:rsidRPr="00F86D89">
        <w:rPr>
          <w:rFonts w:ascii="Times New Roman" w:hAnsi="Times New Roman"/>
        </w:rPr>
        <w:t xml:space="preserve"> prístupy do databáz pre potreby výskumných inštitúcií</w:t>
      </w:r>
      <w:r>
        <w:rPr>
          <w:rFonts w:ascii="Times New Roman" w:hAnsi="Times New Roman"/>
        </w:rPr>
        <w:t xml:space="preserve">, </w:t>
      </w:r>
      <w:r w:rsidRPr="001B4B6F">
        <w:rPr>
          <w:rFonts w:ascii="Times New Roman" w:hAnsi="Times New Roman"/>
        </w:rPr>
        <w:t>IT Akadémia</w:t>
      </w:r>
      <w:r>
        <w:rPr>
          <w:rFonts w:ascii="Times New Roman" w:hAnsi="Times New Roman"/>
        </w:rPr>
        <w:t xml:space="preserve"> - </w:t>
      </w:r>
      <w:r w:rsidRPr="001B4B6F">
        <w:rPr>
          <w:rFonts w:ascii="Times New Roman" w:hAnsi="Times New Roman"/>
        </w:rPr>
        <w:t>vzdelávanie pre 21. storočie</w:t>
      </w:r>
      <w:r>
        <w:rPr>
          <w:rFonts w:ascii="Times New Roman" w:hAnsi="Times New Roman"/>
        </w:rPr>
        <w:t xml:space="preserve"> (17 982 tis</w:t>
      </w:r>
      <w:r w:rsidR="00DF1A1A">
        <w:rPr>
          <w:rFonts w:ascii="Times New Roman" w:hAnsi="Times New Roman"/>
        </w:rPr>
        <w:t>.</w:t>
      </w:r>
      <w:r>
        <w:rPr>
          <w:rFonts w:ascii="Times New Roman" w:hAnsi="Times New Roman"/>
        </w:rPr>
        <w:t xml:space="preserve"> eur). </w:t>
      </w:r>
    </w:p>
    <w:p w:rsidR="00F17E8A" w:rsidP="00F17E8A">
      <w:pPr>
        <w:pStyle w:val="ListParagraph"/>
        <w:bidi w:val="0"/>
        <w:spacing w:after="120" w:line="336" w:lineRule="auto"/>
        <w:ind w:left="0"/>
        <w:jc w:val="both"/>
      </w:pPr>
      <w:r w:rsidRPr="003E3755" w:rsidR="00FD5465">
        <w:rPr>
          <w:rFonts w:ascii="Times New Roman" w:hAnsi="Times New Roman"/>
        </w:rPr>
        <w:t xml:space="preserve">Na transfery </w:t>
      </w:r>
      <w:r w:rsidRPr="003E3755" w:rsidR="00FD5465">
        <w:rPr>
          <w:rFonts w:ascii="Times New Roman" w:hAnsi="Times New Roman"/>
          <w:b/>
        </w:rPr>
        <w:t>štátnym účelovým fondom</w:t>
      </w:r>
      <w:r w:rsidRPr="003E3755" w:rsidR="00FD5465">
        <w:rPr>
          <w:rFonts w:ascii="Times New Roman" w:hAnsi="Times New Roman"/>
        </w:rPr>
        <w:t xml:space="preserve"> sa vyčerpalo </w:t>
      </w:r>
      <w:r w:rsidR="00FD5465">
        <w:rPr>
          <w:rFonts w:ascii="Times New Roman" w:hAnsi="Times New Roman"/>
        </w:rPr>
        <w:t>120 47</w:t>
      </w:r>
      <w:r w:rsidRPr="003E3755" w:rsidR="00FD5465">
        <w:rPr>
          <w:rFonts w:ascii="Times New Roman" w:hAnsi="Times New Roman"/>
        </w:rPr>
        <w:t>8</w:t>
      </w:r>
      <w:r w:rsidR="00FD5465">
        <w:rPr>
          <w:rFonts w:ascii="Times New Roman" w:hAnsi="Times New Roman"/>
        </w:rPr>
        <w:t> </w:t>
      </w:r>
      <w:r w:rsidRPr="003E3755" w:rsidR="00FD5465">
        <w:rPr>
          <w:rFonts w:ascii="Times New Roman" w:hAnsi="Times New Roman"/>
        </w:rPr>
        <w:t>tis. eur (201</w:t>
      </w:r>
      <w:r w:rsidR="00FD5465">
        <w:rPr>
          <w:rFonts w:ascii="Times New Roman" w:hAnsi="Times New Roman"/>
        </w:rPr>
        <w:t>6</w:t>
      </w:r>
      <w:r w:rsidRPr="003E3755" w:rsidR="00FD5465">
        <w:rPr>
          <w:rFonts w:ascii="Times New Roman" w:hAnsi="Times New Roman"/>
        </w:rPr>
        <w:t xml:space="preserve">: 86 809 tis. eur). Ministerstvo hospodárstva </w:t>
      </w:r>
      <w:r w:rsidR="0034534B">
        <w:rPr>
          <w:rFonts w:ascii="Times New Roman" w:hAnsi="Times New Roman"/>
        </w:rPr>
        <w:t xml:space="preserve">SR </w:t>
      </w:r>
      <w:r w:rsidRPr="003E3755" w:rsidR="00FD5465">
        <w:rPr>
          <w:rFonts w:ascii="Times New Roman" w:hAnsi="Times New Roman"/>
        </w:rPr>
        <w:t xml:space="preserve">poukázalo pre Národný jadrový fond sumu </w:t>
      </w:r>
      <w:r w:rsidR="00FD5465">
        <w:rPr>
          <w:rFonts w:ascii="Times New Roman" w:hAnsi="Times New Roman"/>
        </w:rPr>
        <w:t>57 315 </w:t>
      </w:r>
      <w:r w:rsidRPr="003E3755" w:rsidR="00FD5465">
        <w:rPr>
          <w:rFonts w:ascii="Times New Roman" w:hAnsi="Times New Roman"/>
        </w:rPr>
        <w:t xml:space="preserve">tis. eur z odvodov od prevádzkovateľov prenosových a distribučných sústav a sumu </w:t>
      </w:r>
      <w:r w:rsidR="00FD5465">
        <w:rPr>
          <w:rFonts w:ascii="Times New Roman" w:hAnsi="Times New Roman"/>
        </w:rPr>
        <w:t>3</w:t>
      </w:r>
      <w:r w:rsidR="00D16B93">
        <w:rPr>
          <w:rFonts w:ascii="Times New Roman" w:hAnsi="Times New Roman"/>
        </w:rPr>
        <w:t>53</w:t>
      </w:r>
      <w:r w:rsidRPr="003E3755" w:rsidR="00FD5465">
        <w:rPr>
          <w:rFonts w:ascii="Times New Roman" w:hAnsi="Times New Roman"/>
        </w:rPr>
        <w:t xml:space="preserve"> tis. eur na úhradu výdavkov na nakladanie s jadrovými materiálmi a rádioaktívnymi odpadmi, ktorých pôvodca nie je známy.</w:t>
      </w:r>
      <w:r w:rsidR="00FD5465">
        <w:rPr>
          <w:rFonts w:ascii="Times New Roman" w:hAnsi="Times New Roman"/>
        </w:rPr>
        <w:t xml:space="preserve"> Ďalšie transfery boli poskytnuté Štátnemu fondu rozvoja bývania v celkovej výške 59 812 tis. eur, a</w:t>
      </w:r>
      <w:r w:rsidR="0015313D">
        <w:rPr>
          <w:rFonts w:ascii="Times New Roman" w:hAnsi="Times New Roman"/>
        </w:rPr>
        <w:t xml:space="preserve"> </w:t>
      </w:r>
      <w:r w:rsidR="00FD5465">
        <w:rPr>
          <w:rFonts w:ascii="Times New Roman" w:hAnsi="Times New Roman"/>
        </w:rPr>
        <w:t xml:space="preserve">to </w:t>
      </w:r>
      <w:r w:rsidRPr="003E3755" w:rsidR="00FD5465">
        <w:rPr>
          <w:rFonts w:ascii="Times New Roman" w:hAnsi="Times New Roman"/>
        </w:rPr>
        <w:t>Ministerstvo</w:t>
      </w:r>
      <w:r w:rsidR="00FD5465">
        <w:rPr>
          <w:rFonts w:ascii="Times New Roman" w:hAnsi="Times New Roman"/>
        </w:rPr>
        <w:t xml:space="preserve">m </w:t>
      </w:r>
      <w:r w:rsidRPr="003E3755" w:rsidR="00FD5465">
        <w:rPr>
          <w:rFonts w:ascii="Times New Roman" w:hAnsi="Times New Roman"/>
        </w:rPr>
        <w:t>pôdohospodárstva a rozvoja vidieka SR</w:t>
      </w:r>
      <w:r w:rsidR="00FD5465">
        <w:rPr>
          <w:rFonts w:ascii="Times New Roman" w:hAnsi="Times New Roman"/>
        </w:rPr>
        <w:t xml:space="preserve"> (34 812 tis. eur) </w:t>
      </w:r>
      <w:r w:rsidRPr="003E3755" w:rsidR="00FD5465">
        <w:rPr>
          <w:rFonts w:ascii="Times New Roman" w:hAnsi="Times New Roman"/>
        </w:rPr>
        <w:t>v rámci Integrovaného regionálneho operačného programu 2014-2020 ako intervencia projektu „Z</w:t>
      </w:r>
      <w:r w:rsidR="00FD5465">
        <w:rPr>
          <w:rFonts w:ascii="Times New Roman" w:hAnsi="Times New Roman"/>
        </w:rPr>
        <w:t>lepše</w:t>
      </w:r>
      <w:r w:rsidRPr="003E3755" w:rsidR="00FD5465">
        <w:rPr>
          <w:rFonts w:ascii="Times New Roman" w:hAnsi="Times New Roman"/>
        </w:rPr>
        <w:t>nie</w:t>
      </w:r>
      <w:r w:rsidR="00FD5465">
        <w:rPr>
          <w:rFonts w:ascii="Times New Roman" w:hAnsi="Times New Roman"/>
        </w:rPr>
        <w:t xml:space="preserve"> kvality života v</w:t>
      </w:r>
      <w:r w:rsidR="000567A7">
        <w:rPr>
          <w:rFonts w:ascii="Times New Roman" w:hAnsi="Times New Roman"/>
        </w:rPr>
        <w:t> </w:t>
      </w:r>
      <w:r w:rsidR="00FD5465">
        <w:rPr>
          <w:rFonts w:ascii="Times New Roman" w:hAnsi="Times New Roman"/>
        </w:rPr>
        <w:t>regiónoch</w:t>
      </w:r>
      <w:r w:rsidR="000567A7">
        <w:rPr>
          <w:rFonts w:ascii="Times New Roman" w:hAnsi="Times New Roman"/>
        </w:rPr>
        <w:t xml:space="preserve"> </w:t>
      </w:r>
      <w:r w:rsidR="00FD5465">
        <w:rPr>
          <w:rFonts w:ascii="Times New Roman" w:hAnsi="Times New Roman"/>
        </w:rPr>
        <w:t>s dôrazom na životné prostredie</w:t>
      </w:r>
      <w:r w:rsidRPr="003E3755" w:rsidR="00FD5465">
        <w:rPr>
          <w:rFonts w:ascii="Times New Roman" w:hAnsi="Times New Roman"/>
        </w:rPr>
        <w:t>“</w:t>
      </w:r>
      <w:r w:rsidR="0034534B">
        <w:rPr>
          <w:rFonts w:ascii="Times New Roman" w:hAnsi="Times New Roman"/>
        </w:rPr>
        <w:t xml:space="preserve"> a </w:t>
      </w:r>
      <w:r w:rsidR="00FD5465">
        <w:rPr>
          <w:rFonts w:ascii="Times New Roman" w:hAnsi="Times New Roman"/>
        </w:rPr>
        <w:t xml:space="preserve">Ministerstvom dopravy </w:t>
      </w:r>
      <w:r w:rsidR="0034534B">
        <w:rPr>
          <w:rFonts w:ascii="Times New Roman" w:hAnsi="Times New Roman"/>
        </w:rPr>
        <w:t xml:space="preserve">a </w:t>
      </w:r>
      <w:r w:rsidR="00062F31">
        <w:rPr>
          <w:rFonts w:ascii="Times New Roman" w:hAnsi="Times New Roman"/>
        </w:rPr>
        <w:t>výstavby SR (25 000 tis. eur)</w:t>
      </w:r>
      <w:r w:rsidR="00FD5465">
        <w:rPr>
          <w:rFonts w:ascii="Times New Roman" w:hAnsi="Times New Roman"/>
        </w:rPr>
        <w:t xml:space="preserve"> na financovanie obstarania nájomných bytov pre obce. Nárast oproti rozpočtu bol v podstatnej miere ovplyvnený tým, že </w:t>
      </w:r>
      <w:r w:rsidRPr="00DC781B" w:rsidR="00FD5465">
        <w:rPr>
          <w:rFonts w:ascii="Times New Roman" w:hAnsi="Times New Roman"/>
        </w:rPr>
        <w:t xml:space="preserve">finančné prostriedky </w:t>
      </w:r>
      <w:r w:rsidRPr="003E3755" w:rsidR="00FD5465">
        <w:rPr>
          <w:rFonts w:ascii="Times New Roman" w:hAnsi="Times New Roman"/>
        </w:rPr>
        <w:t>Ministerstv</w:t>
      </w:r>
      <w:r w:rsidR="00FD5465">
        <w:rPr>
          <w:rFonts w:ascii="Times New Roman" w:hAnsi="Times New Roman"/>
        </w:rPr>
        <w:t>a</w:t>
      </w:r>
      <w:r w:rsidRPr="003E3755" w:rsidR="00FD5465">
        <w:rPr>
          <w:rFonts w:ascii="Times New Roman" w:hAnsi="Times New Roman"/>
        </w:rPr>
        <w:t xml:space="preserve"> pôdohospodárstva a rozvoja vidieka SR</w:t>
      </w:r>
      <w:r w:rsidR="00FD5465">
        <w:rPr>
          <w:rFonts w:ascii="Times New Roman" w:hAnsi="Times New Roman"/>
        </w:rPr>
        <w:t xml:space="preserve"> </w:t>
      </w:r>
      <w:r w:rsidRPr="00DC781B" w:rsidR="00FD5465">
        <w:rPr>
          <w:rFonts w:ascii="Times New Roman" w:hAnsi="Times New Roman"/>
        </w:rPr>
        <w:t xml:space="preserve">neboli rozpočtované v schválenom rozpočte, nakoľko sa počítalo s prevodom zostatku nevyčerpaných finančných prostriedkov z roku 2016 a ich následným použitím. </w:t>
      </w:r>
    </w:p>
    <w:p w:rsidR="001D1312" w:rsidRPr="00F17E8A" w:rsidP="00F17E8A">
      <w:pPr>
        <w:pStyle w:val="ListParagraph"/>
        <w:bidi w:val="0"/>
        <w:spacing w:after="120" w:line="336" w:lineRule="auto"/>
        <w:ind w:left="0"/>
        <w:jc w:val="both"/>
      </w:pPr>
      <w:r w:rsidRPr="00740B77">
        <w:rPr>
          <w:rFonts w:ascii="Times New Roman" w:hAnsi="Times New Roman"/>
          <w:b/>
        </w:rPr>
        <w:t>Ostatným subjektom verejnej správy</w:t>
      </w:r>
      <w:r w:rsidRPr="00740B77">
        <w:rPr>
          <w:rFonts w:ascii="Times New Roman" w:hAnsi="Times New Roman"/>
        </w:rPr>
        <w:t xml:space="preserve"> boli poskytnuté rozpočtové prostriedky v celkovej výške </w:t>
      </w:r>
      <w:r>
        <w:rPr>
          <w:rFonts w:ascii="Times New Roman" w:hAnsi="Times New Roman"/>
        </w:rPr>
        <w:t>53 524 </w:t>
      </w:r>
      <w:r w:rsidRPr="00740B77">
        <w:rPr>
          <w:rFonts w:ascii="Times New Roman" w:hAnsi="Times New Roman"/>
        </w:rPr>
        <w:t>tis. eur (201</w:t>
      </w:r>
      <w:r>
        <w:rPr>
          <w:rFonts w:ascii="Times New Roman" w:hAnsi="Times New Roman"/>
        </w:rPr>
        <w:t>6</w:t>
      </w:r>
      <w:r w:rsidRPr="00740B77">
        <w:rPr>
          <w:rFonts w:ascii="Times New Roman" w:hAnsi="Times New Roman"/>
        </w:rPr>
        <w:t>: 262</w:t>
      </w:r>
      <w:r>
        <w:rPr>
          <w:rFonts w:ascii="Times New Roman" w:hAnsi="Times New Roman"/>
        </w:rPr>
        <w:t> </w:t>
      </w:r>
      <w:r w:rsidRPr="00740B77">
        <w:rPr>
          <w:rFonts w:ascii="Times New Roman" w:hAnsi="Times New Roman"/>
        </w:rPr>
        <w:t>712 tis. eur)</w:t>
      </w:r>
      <w:r w:rsidR="00E918D2">
        <w:rPr>
          <w:rFonts w:ascii="Times New Roman" w:hAnsi="Times New Roman"/>
        </w:rPr>
        <w:t xml:space="preserve">, z toho </w:t>
      </w:r>
      <w:r w:rsidRPr="00740B77">
        <w:rPr>
          <w:rFonts w:ascii="Times New Roman" w:hAnsi="Times New Roman"/>
        </w:rPr>
        <w:t xml:space="preserve">TASR </w:t>
      </w:r>
      <w:r>
        <w:rPr>
          <w:rFonts w:ascii="Times New Roman" w:hAnsi="Times New Roman"/>
        </w:rPr>
        <w:t>(</w:t>
      </w:r>
      <w:r w:rsidRPr="00740B77">
        <w:rPr>
          <w:rFonts w:ascii="Times New Roman" w:hAnsi="Times New Roman"/>
        </w:rPr>
        <w:t>2</w:t>
      </w:r>
      <w:r>
        <w:rPr>
          <w:rFonts w:ascii="Times New Roman" w:hAnsi="Times New Roman"/>
        </w:rPr>
        <w:t> </w:t>
      </w:r>
      <w:r w:rsidRPr="00740B77">
        <w:rPr>
          <w:rFonts w:ascii="Times New Roman" w:hAnsi="Times New Roman"/>
        </w:rPr>
        <w:t>300</w:t>
      </w:r>
      <w:r>
        <w:rPr>
          <w:rFonts w:ascii="Times New Roman" w:hAnsi="Times New Roman"/>
        </w:rPr>
        <w:t> </w:t>
      </w:r>
      <w:r w:rsidRPr="00740B77">
        <w:rPr>
          <w:rFonts w:ascii="Times New Roman" w:hAnsi="Times New Roman"/>
        </w:rPr>
        <w:t>tis.</w:t>
      </w:r>
      <w:r>
        <w:rPr>
          <w:rFonts w:ascii="Times New Roman" w:hAnsi="Times New Roman"/>
        </w:rPr>
        <w:t> </w:t>
      </w:r>
      <w:r w:rsidRPr="00740B77">
        <w:rPr>
          <w:rFonts w:ascii="Times New Roman" w:hAnsi="Times New Roman"/>
        </w:rPr>
        <w:t>eur</w:t>
      </w:r>
      <w:r>
        <w:rPr>
          <w:rFonts w:ascii="Times New Roman" w:hAnsi="Times New Roman"/>
        </w:rPr>
        <w:t>)</w:t>
      </w:r>
      <w:r w:rsidRPr="00740B77">
        <w:rPr>
          <w:rFonts w:ascii="Times New Roman" w:hAnsi="Times New Roman"/>
        </w:rPr>
        <w:t xml:space="preserve">, RTVS </w:t>
      </w:r>
      <w:r>
        <w:rPr>
          <w:rFonts w:ascii="Times New Roman" w:hAnsi="Times New Roman"/>
        </w:rPr>
        <w:t>(</w:t>
      </w:r>
      <w:r w:rsidRPr="00740B77">
        <w:rPr>
          <w:rFonts w:ascii="Times New Roman" w:hAnsi="Times New Roman"/>
        </w:rPr>
        <w:t>23</w:t>
      </w:r>
      <w:r>
        <w:rPr>
          <w:rFonts w:ascii="Times New Roman" w:hAnsi="Times New Roman"/>
        </w:rPr>
        <w:t> </w:t>
      </w:r>
      <w:r w:rsidRPr="00740B77">
        <w:rPr>
          <w:rFonts w:ascii="Times New Roman" w:hAnsi="Times New Roman"/>
        </w:rPr>
        <w:t>269</w:t>
      </w:r>
      <w:r>
        <w:rPr>
          <w:rFonts w:ascii="Times New Roman" w:hAnsi="Times New Roman"/>
        </w:rPr>
        <w:t> </w:t>
      </w:r>
      <w:r w:rsidRPr="00740B77">
        <w:rPr>
          <w:rFonts w:ascii="Times New Roman" w:hAnsi="Times New Roman"/>
        </w:rPr>
        <w:t>tis.</w:t>
      </w:r>
      <w:r>
        <w:rPr>
          <w:rFonts w:ascii="Times New Roman" w:hAnsi="Times New Roman"/>
        </w:rPr>
        <w:t> </w:t>
      </w:r>
      <w:r w:rsidRPr="00740B77">
        <w:rPr>
          <w:rFonts w:ascii="Times New Roman" w:hAnsi="Times New Roman"/>
        </w:rPr>
        <w:t>eur</w:t>
      </w:r>
      <w:r>
        <w:rPr>
          <w:rFonts w:ascii="Times New Roman" w:hAnsi="Times New Roman"/>
        </w:rPr>
        <w:t>)</w:t>
      </w:r>
      <w:r w:rsidRPr="00740B77">
        <w:rPr>
          <w:rFonts w:ascii="Times New Roman" w:hAnsi="Times New Roman"/>
        </w:rPr>
        <w:t>, Audiovizuáln</w:t>
      </w:r>
      <w:r w:rsidR="00E918D2">
        <w:rPr>
          <w:rFonts w:ascii="Times New Roman" w:hAnsi="Times New Roman"/>
        </w:rPr>
        <w:t>emu</w:t>
      </w:r>
      <w:r w:rsidRPr="00740B77">
        <w:rPr>
          <w:rFonts w:ascii="Times New Roman" w:hAnsi="Times New Roman"/>
        </w:rPr>
        <w:t xml:space="preserve"> fond</w:t>
      </w:r>
      <w:r w:rsidR="00E918D2">
        <w:rPr>
          <w:rFonts w:ascii="Times New Roman" w:hAnsi="Times New Roman"/>
        </w:rPr>
        <w:t>u</w:t>
      </w:r>
      <w:r w:rsidRPr="00740B77">
        <w:rPr>
          <w:rFonts w:ascii="Times New Roman" w:hAnsi="Times New Roman"/>
        </w:rPr>
        <w:t xml:space="preserve"> </w:t>
      </w:r>
      <w:r>
        <w:rPr>
          <w:rFonts w:ascii="Times New Roman" w:hAnsi="Times New Roman"/>
        </w:rPr>
        <w:t>(</w:t>
      </w:r>
      <w:r w:rsidRPr="00740B77">
        <w:rPr>
          <w:rFonts w:ascii="Times New Roman" w:hAnsi="Times New Roman"/>
        </w:rPr>
        <w:t>5</w:t>
      </w:r>
      <w:r>
        <w:rPr>
          <w:rFonts w:ascii="Times New Roman" w:hAnsi="Times New Roman"/>
        </w:rPr>
        <w:t> </w:t>
      </w:r>
      <w:r w:rsidRPr="00740B77">
        <w:rPr>
          <w:rFonts w:ascii="Times New Roman" w:hAnsi="Times New Roman"/>
        </w:rPr>
        <w:t>468</w:t>
      </w:r>
      <w:r>
        <w:rPr>
          <w:rFonts w:ascii="Times New Roman" w:hAnsi="Times New Roman"/>
        </w:rPr>
        <w:t> </w:t>
      </w:r>
      <w:r w:rsidRPr="00740B77">
        <w:rPr>
          <w:rFonts w:ascii="Times New Roman" w:hAnsi="Times New Roman"/>
        </w:rPr>
        <w:t>tis.</w:t>
      </w:r>
      <w:r>
        <w:rPr>
          <w:rFonts w:ascii="Times New Roman" w:hAnsi="Times New Roman"/>
        </w:rPr>
        <w:t> </w:t>
      </w:r>
      <w:r w:rsidRPr="00740B77">
        <w:rPr>
          <w:rFonts w:ascii="Times New Roman" w:hAnsi="Times New Roman"/>
        </w:rPr>
        <w:t>eur</w:t>
      </w:r>
      <w:r>
        <w:rPr>
          <w:rFonts w:ascii="Times New Roman" w:hAnsi="Times New Roman"/>
        </w:rPr>
        <w:t xml:space="preserve">). Na úspore výdavkov smerovaným ostatným subjektom verejnej správy oproti schválenému rozpočtu malo hlavný </w:t>
      </w:r>
      <w:r w:rsidRPr="00BF3E36">
        <w:rPr>
          <w:rFonts w:ascii="Times New Roman" w:hAnsi="Times New Roman"/>
        </w:rPr>
        <w:t>vplyv nečerpanie transferu na tejto podpoložke</w:t>
      </w:r>
      <w:r>
        <w:rPr>
          <w:rFonts w:ascii="Times New Roman" w:hAnsi="Times New Roman"/>
        </w:rPr>
        <w:t xml:space="preserve"> </w:t>
      </w:r>
      <w:r w:rsidRPr="00740B77">
        <w:rPr>
          <w:rFonts w:ascii="Times New Roman" w:hAnsi="Times New Roman"/>
        </w:rPr>
        <w:t xml:space="preserve">kapitolou </w:t>
      </w:r>
      <w:r>
        <w:rPr>
          <w:rFonts w:ascii="Times New Roman" w:hAnsi="Times New Roman"/>
        </w:rPr>
        <w:t xml:space="preserve">Ministerstva dopravy a výstavby </w:t>
      </w:r>
      <w:r w:rsidRPr="00740B77">
        <w:rPr>
          <w:rFonts w:ascii="Times New Roman" w:hAnsi="Times New Roman"/>
        </w:rPr>
        <w:t>SR (209 559 tis. eur</w:t>
      </w:r>
      <w:r>
        <w:rPr>
          <w:rFonts w:ascii="Times New Roman" w:hAnsi="Times New Roman"/>
        </w:rPr>
        <w:t xml:space="preserve">). </w:t>
      </w:r>
    </w:p>
    <w:p w:rsidR="00EB7A00" w:rsidP="00F17E8A">
      <w:pPr>
        <w:bidi w:val="0"/>
        <w:spacing w:after="0"/>
        <w:rPr>
          <w:rFonts w:ascii="Times New Roman" w:hAnsi="Times New Roman"/>
          <w:szCs w:val="22"/>
        </w:rPr>
      </w:pPr>
      <w:r w:rsidRPr="00DC781B" w:rsidR="00FD5465">
        <w:rPr>
          <w:rFonts w:ascii="Times New Roman" w:hAnsi="Times New Roman"/>
          <w:szCs w:val="22"/>
        </w:rPr>
        <w:t>Pre položku</w:t>
      </w:r>
      <w:r w:rsidRPr="00DC781B" w:rsidR="00FD5465">
        <w:rPr>
          <w:rFonts w:ascii="Times New Roman" w:hAnsi="Times New Roman"/>
          <w:b/>
          <w:i/>
          <w:szCs w:val="22"/>
        </w:rPr>
        <w:t xml:space="preserve"> transfery jednotlivcom a neziskovým právnickým osobám</w:t>
      </w:r>
      <w:r w:rsidRPr="00DC781B" w:rsidR="00FD5465">
        <w:rPr>
          <w:rFonts w:ascii="Times New Roman" w:hAnsi="Times New Roman"/>
          <w:b/>
          <w:szCs w:val="22"/>
        </w:rPr>
        <w:t xml:space="preserve"> </w:t>
      </w:r>
      <w:r w:rsidR="00FD5465">
        <w:rPr>
          <w:rFonts w:ascii="Times New Roman" w:hAnsi="Times New Roman"/>
          <w:szCs w:val="22"/>
        </w:rPr>
        <w:t>bolo rozpočtovaných 3</w:t>
      </w:r>
      <w:r w:rsidRPr="00DC781B" w:rsidR="00FD5465">
        <w:rPr>
          <w:rFonts w:ascii="Times New Roman" w:hAnsi="Times New Roman"/>
          <w:szCs w:val="22"/>
        </w:rPr>
        <w:t> </w:t>
      </w:r>
      <w:r w:rsidR="00FD5465">
        <w:rPr>
          <w:rFonts w:ascii="Times New Roman" w:hAnsi="Times New Roman"/>
          <w:szCs w:val="22"/>
        </w:rPr>
        <w:t>777</w:t>
      </w:r>
      <w:r w:rsidRPr="00DC781B" w:rsidR="00FD5465">
        <w:rPr>
          <w:rFonts w:ascii="Times New Roman" w:hAnsi="Times New Roman"/>
          <w:szCs w:val="22"/>
        </w:rPr>
        <w:t> </w:t>
      </w:r>
      <w:r w:rsidR="00FD5465">
        <w:rPr>
          <w:rFonts w:ascii="Times New Roman" w:hAnsi="Times New Roman"/>
          <w:szCs w:val="22"/>
        </w:rPr>
        <w:t>54</w:t>
      </w:r>
      <w:r w:rsidRPr="00DC781B" w:rsidR="00FD5465">
        <w:rPr>
          <w:rFonts w:ascii="Times New Roman" w:hAnsi="Times New Roman"/>
          <w:szCs w:val="22"/>
        </w:rPr>
        <w:t>1 tis. eur, a to napr. na platby vo forme príspevkov, dávok, dôchodkov, odstupného, členského, štipendií. Ich skutočné čerpanie sa na celkovej výške bežných transferov podieľalo 2</w:t>
      </w:r>
      <w:r w:rsidR="00FD5465">
        <w:rPr>
          <w:rFonts w:ascii="Times New Roman" w:hAnsi="Times New Roman"/>
          <w:szCs w:val="22"/>
        </w:rPr>
        <w:t>5</w:t>
      </w:r>
      <w:r w:rsidRPr="00DC781B" w:rsidR="00FD5465">
        <w:rPr>
          <w:rFonts w:ascii="Times New Roman" w:hAnsi="Times New Roman"/>
          <w:szCs w:val="22"/>
        </w:rPr>
        <w:t>,</w:t>
      </w:r>
      <w:r w:rsidR="00FD5465">
        <w:rPr>
          <w:rFonts w:ascii="Times New Roman" w:hAnsi="Times New Roman"/>
          <w:szCs w:val="22"/>
        </w:rPr>
        <w:t>8</w:t>
      </w:r>
      <w:r w:rsidRPr="00DC781B" w:rsidR="00FD5465">
        <w:rPr>
          <w:rFonts w:ascii="Times New Roman" w:hAnsi="Times New Roman"/>
          <w:szCs w:val="22"/>
        </w:rPr>
        <w:t xml:space="preserve"> %, čo v absolútnom vyjadrení </w:t>
      </w:r>
      <w:r w:rsidRPr="003D4D62" w:rsidR="00FD5465">
        <w:rPr>
          <w:rFonts w:ascii="Times New Roman" w:hAnsi="Times New Roman"/>
          <w:szCs w:val="22"/>
        </w:rPr>
        <w:t>predstavovalo</w:t>
      </w:r>
      <w:r w:rsidRPr="00DC781B" w:rsidR="00FD5465">
        <w:rPr>
          <w:rFonts w:ascii="Times New Roman" w:hAnsi="Times New Roman"/>
          <w:szCs w:val="22"/>
        </w:rPr>
        <w:t xml:space="preserve"> 3 </w:t>
      </w:r>
      <w:r w:rsidR="00FD5465">
        <w:rPr>
          <w:rFonts w:ascii="Times New Roman" w:hAnsi="Times New Roman"/>
          <w:szCs w:val="22"/>
        </w:rPr>
        <w:t>6</w:t>
      </w:r>
      <w:r w:rsidRPr="00DC781B" w:rsidR="00FD5465">
        <w:rPr>
          <w:rFonts w:ascii="Times New Roman" w:hAnsi="Times New Roman"/>
          <w:szCs w:val="22"/>
        </w:rPr>
        <w:t>9</w:t>
      </w:r>
      <w:r w:rsidR="00FD5465">
        <w:rPr>
          <w:rFonts w:ascii="Times New Roman" w:hAnsi="Times New Roman"/>
          <w:szCs w:val="22"/>
        </w:rPr>
        <w:t>6</w:t>
      </w:r>
      <w:r w:rsidRPr="00DC781B" w:rsidR="00FD5465">
        <w:rPr>
          <w:rFonts w:ascii="Times New Roman" w:hAnsi="Times New Roman"/>
          <w:szCs w:val="22"/>
        </w:rPr>
        <w:t> </w:t>
      </w:r>
      <w:r w:rsidR="00FD5465">
        <w:rPr>
          <w:rFonts w:ascii="Times New Roman" w:hAnsi="Times New Roman"/>
          <w:szCs w:val="22"/>
        </w:rPr>
        <w:t>261</w:t>
      </w:r>
      <w:r w:rsidRPr="00DC781B" w:rsidR="00FD5465">
        <w:rPr>
          <w:rFonts w:ascii="Times New Roman" w:hAnsi="Times New Roman"/>
          <w:szCs w:val="22"/>
        </w:rPr>
        <w:t> tis. eur (201</w:t>
      </w:r>
      <w:r w:rsidR="00FD5465">
        <w:rPr>
          <w:rFonts w:ascii="Times New Roman" w:hAnsi="Times New Roman"/>
          <w:szCs w:val="22"/>
        </w:rPr>
        <w:t>6</w:t>
      </w:r>
      <w:r w:rsidRPr="00DC781B" w:rsidR="00FD5465">
        <w:rPr>
          <w:rFonts w:ascii="Times New Roman" w:hAnsi="Times New Roman"/>
          <w:szCs w:val="22"/>
        </w:rPr>
        <w:t>: 3 809</w:t>
      </w:r>
      <w:r w:rsidR="00FD5465">
        <w:rPr>
          <w:rFonts w:ascii="Times New Roman" w:hAnsi="Times New Roman"/>
          <w:szCs w:val="22"/>
        </w:rPr>
        <w:t> </w:t>
      </w:r>
      <w:r w:rsidRPr="00DC781B" w:rsidR="00FD5465">
        <w:rPr>
          <w:rFonts w:ascii="Times New Roman" w:hAnsi="Times New Roman"/>
          <w:szCs w:val="22"/>
        </w:rPr>
        <w:t xml:space="preserve">874 tis. eur). </w:t>
      </w:r>
      <w:r w:rsidR="003113A1">
        <w:rPr>
          <w:rFonts w:ascii="Times New Roman" w:hAnsi="Times New Roman"/>
          <w:szCs w:val="22"/>
        </w:rPr>
        <w:br/>
      </w:r>
      <w:r w:rsidRPr="00DC781B" w:rsidR="00FD5465">
        <w:rPr>
          <w:rFonts w:ascii="Times New Roman" w:hAnsi="Times New Roman"/>
          <w:szCs w:val="22"/>
        </w:rPr>
        <w:t xml:space="preserve">Predmetné transfery boli </w:t>
      </w:r>
      <w:r w:rsidR="00E918D2">
        <w:rPr>
          <w:rFonts w:ascii="Times New Roman" w:hAnsi="Times New Roman"/>
          <w:szCs w:val="22"/>
        </w:rPr>
        <w:t>poskytnuté</w:t>
      </w:r>
      <w:r w:rsidRPr="00DC781B" w:rsidR="00FD5465">
        <w:rPr>
          <w:rFonts w:ascii="Times New Roman" w:hAnsi="Times New Roman"/>
          <w:szCs w:val="22"/>
        </w:rPr>
        <w:t xml:space="preserve"> na tieto účely: </w:t>
      </w:r>
    </w:p>
    <w:tbl>
      <w:tblPr>
        <w:tblStyle w:val="TableNormal"/>
        <w:tblW w:w="8804" w:type="dxa"/>
        <w:tblInd w:w="55" w:type="dxa"/>
        <w:tblLayout w:type="fixed"/>
        <w:tblCellMar>
          <w:left w:w="70" w:type="dxa"/>
          <w:right w:w="70" w:type="dxa"/>
        </w:tblCellMar>
        <w:tblLook w:val="04A0"/>
      </w:tblPr>
      <w:tblGrid>
        <w:gridCol w:w="3136"/>
        <w:gridCol w:w="1114"/>
        <w:gridCol w:w="868"/>
        <w:gridCol w:w="993"/>
        <w:gridCol w:w="1134"/>
        <w:gridCol w:w="850"/>
        <w:gridCol w:w="709"/>
      </w:tblGrid>
      <w:tr>
        <w:tblPrEx>
          <w:tblW w:w="8804" w:type="dxa"/>
          <w:tblInd w:w="55" w:type="dxa"/>
          <w:tblLayout w:type="fixed"/>
          <w:tblCellMar>
            <w:left w:w="70" w:type="dxa"/>
            <w:right w:w="70" w:type="dxa"/>
          </w:tblCellMar>
          <w:tblLook w:val="04A0"/>
        </w:tblPrEx>
        <w:trPr>
          <w:trHeight w:val="330"/>
        </w:trPr>
        <w:tc>
          <w:tcPr>
            <w:tcW w:w="8804" w:type="dxa"/>
            <w:gridSpan w:val="7"/>
            <w:tcBorders>
              <w:top w:val="nil"/>
              <w:left w:val="nil"/>
              <w:bottom w:val="nil"/>
              <w:right w:val="nil"/>
            </w:tcBorders>
            <w:shd w:val="clear" w:color="000000" w:fill="000000"/>
            <w:textDirection w:val="lrTb"/>
            <w:vAlign w:val="center"/>
            <w:hideMark/>
          </w:tcPr>
          <w:p w:rsidR="00FD5465" w:rsidRPr="00DC781B" w:rsidP="00CC5988">
            <w:pPr>
              <w:bidi w:val="0"/>
              <w:spacing w:after="0" w:line="240" w:lineRule="auto"/>
              <w:jc w:val="left"/>
              <w:rPr>
                <w:rFonts w:ascii="Times New Roman" w:hAnsi="Times New Roman"/>
                <w:b/>
                <w:bCs/>
                <w:sz w:val="18"/>
                <w:szCs w:val="18"/>
                <w:lang w:eastAsia="sk-SK"/>
              </w:rPr>
            </w:pPr>
            <w:r w:rsidRPr="00DC781B">
              <w:rPr>
                <w:rFonts w:ascii="Times New Roman" w:hAnsi="Times New Roman"/>
                <w:b/>
                <w:bCs/>
                <w:sz w:val="18"/>
                <w:szCs w:val="18"/>
                <w:lang w:eastAsia="sk-SK"/>
              </w:rPr>
              <w:t xml:space="preserve">Transfery jednotlivcom a neziskovým právnickým osobám                                                                           v tis. eur </w:t>
            </w:r>
          </w:p>
        </w:tc>
      </w:tr>
      <w:tr>
        <w:tblPrEx>
          <w:tblW w:w="8804" w:type="dxa"/>
          <w:tblInd w:w="55" w:type="dxa"/>
          <w:tblLayout w:type="fixed"/>
          <w:tblCellMar>
            <w:left w:w="70" w:type="dxa"/>
            <w:right w:w="70" w:type="dxa"/>
          </w:tblCellMar>
          <w:tblLook w:val="04A0"/>
        </w:tblPrEx>
        <w:trPr>
          <w:trHeight w:val="312"/>
        </w:trPr>
        <w:tc>
          <w:tcPr>
            <w:tcW w:w="3136" w:type="dxa"/>
            <w:vMerge w:val="restart"/>
            <w:tcBorders>
              <w:top w:val="nil"/>
              <w:left w:val="nil"/>
              <w:bottom w:val="nil"/>
              <w:right w:val="nil"/>
            </w:tcBorders>
            <w:shd w:val="clear" w:color="000000" w:fill="BFBFBF"/>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 xml:space="preserve"> </w:t>
            </w:r>
          </w:p>
        </w:tc>
        <w:tc>
          <w:tcPr>
            <w:tcW w:w="1982" w:type="dxa"/>
            <w:gridSpan w:val="2"/>
            <w:tcBorders>
              <w:top w:val="nil"/>
              <w:left w:val="nil"/>
              <w:bottom w:val="nil"/>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Skutočnosť</w:t>
            </w:r>
          </w:p>
        </w:tc>
        <w:tc>
          <w:tcPr>
            <w:tcW w:w="993" w:type="dxa"/>
            <w:tcBorders>
              <w:top w:val="nil"/>
              <w:left w:val="nil"/>
              <w:bottom w:val="nil"/>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Rozpočet</w:t>
            </w:r>
          </w:p>
        </w:tc>
        <w:tc>
          <w:tcPr>
            <w:tcW w:w="1134" w:type="dxa"/>
            <w:tcBorders>
              <w:top w:val="nil"/>
              <w:left w:val="nil"/>
              <w:bottom w:val="nil"/>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Skutočnosť</w:t>
            </w:r>
          </w:p>
        </w:tc>
        <w:tc>
          <w:tcPr>
            <w:tcW w:w="1559" w:type="dxa"/>
            <w:gridSpan w:val="2"/>
            <w:tcBorders>
              <w:top w:val="nil"/>
              <w:left w:val="nil"/>
              <w:bottom w:val="nil"/>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Rozdiel</w:t>
            </w:r>
          </w:p>
        </w:tc>
      </w:tr>
      <w:tr>
        <w:tblPrEx>
          <w:tblW w:w="8804" w:type="dxa"/>
          <w:tblInd w:w="55" w:type="dxa"/>
          <w:tblLayout w:type="fixed"/>
          <w:tblCellMar>
            <w:left w:w="70" w:type="dxa"/>
            <w:right w:w="70" w:type="dxa"/>
          </w:tblCellMar>
          <w:tblLook w:val="04A0"/>
        </w:tblPrEx>
        <w:trPr>
          <w:trHeight w:val="312"/>
        </w:trPr>
        <w:tc>
          <w:tcPr>
            <w:tcW w:w="3136" w:type="dxa"/>
            <w:vMerge/>
            <w:tcBorders>
              <w:top w:val="nil"/>
              <w:left w:val="nil"/>
              <w:bottom w:val="nil"/>
              <w:right w:val="nil"/>
            </w:tcBorders>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p>
        </w:tc>
        <w:tc>
          <w:tcPr>
            <w:tcW w:w="1114"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2015</w:t>
            </w:r>
          </w:p>
        </w:tc>
        <w:tc>
          <w:tcPr>
            <w:tcW w:w="868"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2016</w:t>
            </w:r>
          </w:p>
        </w:tc>
        <w:tc>
          <w:tcPr>
            <w:tcW w:w="993"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201</w:t>
            </w:r>
            <w:r>
              <w:rPr>
                <w:rFonts w:ascii="Times New Roman" w:hAnsi="Times New Roman"/>
                <w:b/>
                <w:sz w:val="18"/>
                <w:szCs w:val="18"/>
                <w:lang w:eastAsia="sk-SK"/>
              </w:rPr>
              <w:t>7</w:t>
            </w:r>
          </w:p>
        </w:tc>
        <w:tc>
          <w:tcPr>
            <w:tcW w:w="1134"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2</w:t>
            </w:r>
            <w:r>
              <w:rPr>
                <w:rFonts w:ascii="Times New Roman" w:hAnsi="Times New Roman"/>
                <w:b/>
                <w:sz w:val="18"/>
                <w:szCs w:val="18"/>
                <w:lang w:eastAsia="sk-SK"/>
              </w:rPr>
              <w:t>017</w:t>
            </w:r>
          </w:p>
        </w:tc>
        <w:tc>
          <w:tcPr>
            <w:tcW w:w="850"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v tis. eur</w:t>
            </w:r>
          </w:p>
        </w:tc>
        <w:tc>
          <w:tcPr>
            <w:tcW w:w="709" w:type="dxa"/>
            <w:tcBorders>
              <w:top w:val="nil"/>
              <w:left w:val="nil"/>
              <w:bottom w:val="nil"/>
              <w:right w:val="nil"/>
            </w:tcBorders>
            <w:shd w:val="clear" w:color="000000" w:fill="BFBFBF"/>
            <w:noWrap/>
            <w:textDirection w:val="lrTb"/>
            <w:vAlign w:val="center"/>
            <w:hideMark/>
          </w:tcPr>
          <w:p w:rsidR="00FD5465" w:rsidRPr="008253E8" w:rsidP="00CC5988">
            <w:pPr>
              <w:bidi w:val="0"/>
              <w:spacing w:after="0" w:line="240" w:lineRule="auto"/>
              <w:contextualSpacing/>
              <w:jc w:val="center"/>
              <w:rPr>
                <w:rFonts w:ascii="Times New Roman" w:hAnsi="Times New Roman"/>
                <w:b/>
                <w:sz w:val="18"/>
                <w:szCs w:val="18"/>
                <w:lang w:eastAsia="sk-SK"/>
              </w:rPr>
            </w:pPr>
            <w:r w:rsidRPr="008253E8">
              <w:rPr>
                <w:rFonts w:ascii="Times New Roman" w:hAnsi="Times New Roman"/>
                <w:b/>
                <w:sz w:val="18"/>
                <w:szCs w:val="18"/>
                <w:lang w:eastAsia="sk-SK"/>
              </w:rPr>
              <w:t>v %</w:t>
            </w:r>
          </w:p>
        </w:tc>
      </w:tr>
      <w:tr>
        <w:tblPrEx>
          <w:tblW w:w="8804" w:type="dxa"/>
          <w:tblInd w:w="55" w:type="dxa"/>
          <w:tblLayout w:type="fixed"/>
          <w:tblCellMar>
            <w:left w:w="70" w:type="dxa"/>
            <w:right w:w="70" w:type="dxa"/>
          </w:tblCellMar>
          <w:tblLook w:val="04A0"/>
        </w:tblPrEx>
        <w:trPr>
          <w:trHeight w:val="312"/>
        </w:trPr>
        <w:tc>
          <w:tcPr>
            <w:tcW w:w="3136" w:type="dxa"/>
            <w:tcBorders>
              <w:top w:val="nil"/>
              <w:left w:val="nil"/>
              <w:bottom w:val="single" w:sz="8" w:space="0" w:color="auto"/>
              <w:right w:val="nil"/>
            </w:tcBorders>
            <w:shd w:val="clear" w:color="000000" w:fill="BFBFBF"/>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 </w:t>
            </w:r>
          </w:p>
        </w:tc>
        <w:tc>
          <w:tcPr>
            <w:tcW w:w="1114"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2</w:t>
            </w:r>
          </w:p>
        </w:tc>
        <w:tc>
          <w:tcPr>
            <w:tcW w:w="868"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4</w:t>
            </w:r>
          </w:p>
        </w:tc>
        <w:tc>
          <w:tcPr>
            <w:tcW w:w="993"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3</w:t>
            </w:r>
          </w:p>
        </w:tc>
        <w:tc>
          <w:tcPr>
            <w:tcW w:w="1134"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4</w:t>
            </w:r>
          </w:p>
        </w:tc>
        <w:tc>
          <w:tcPr>
            <w:tcW w:w="850"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5=4-3</w:t>
            </w:r>
          </w:p>
        </w:tc>
        <w:tc>
          <w:tcPr>
            <w:tcW w:w="709" w:type="dxa"/>
            <w:tcBorders>
              <w:top w:val="nil"/>
              <w:left w:val="nil"/>
              <w:bottom w:val="single" w:sz="8" w:space="0" w:color="auto"/>
              <w:right w:val="nil"/>
            </w:tcBorders>
            <w:shd w:val="clear" w:color="000000" w:fill="BFBFBF"/>
            <w:noWrap/>
            <w:textDirection w:val="lrTb"/>
            <w:vAlign w:val="center"/>
            <w:hideMark/>
          </w:tcPr>
          <w:p w:rsidR="00FD5465" w:rsidRPr="00DC781B" w:rsidP="00CC5988">
            <w:pPr>
              <w:bidi w:val="0"/>
              <w:spacing w:after="0" w:line="240" w:lineRule="auto"/>
              <w:contextualSpacing/>
              <w:jc w:val="center"/>
              <w:rPr>
                <w:rFonts w:ascii="Times New Roman" w:hAnsi="Times New Roman"/>
                <w:b/>
                <w:sz w:val="18"/>
                <w:szCs w:val="18"/>
                <w:lang w:eastAsia="sk-SK"/>
              </w:rPr>
            </w:pPr>
            <w:r w:rsidRPr="00DC781B">
              <w:rPr>
                <w:rFonts w:ascii="Times New Roman" w:hAnsi="Times New Roman"/>
                <w:b/>
                <w:sz w:val="18"/>
                <w:szCs w:val="18"/>
                <w:lang w:eastAsia="sk-SK"/>
              </w:rPr>
              <w:t>6=4-3</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E918D2" w:rsidRPr="00DC781B" w:rsidP="00D3426C">
            <w:pPr>
              <w:bidi w:val="0"/>
              <w:spacing w:after="0" w:line="240" w:lineRule="auto"/>
              <w:rPr>
                <w:rFonts w:ascii="Times New Roman" w:hAnsi="Times New Roman"/>
                <w:sz w:val="18"/>
                <w:szCs w:val="18"/>
              </w:rPr>
            </w:pPr>
            <w:r w:rsidRPr="00DC781B">
              <w:rPr>
                <w:rFonts w:ascii="Times New Roman" w:hAnsi="Times New Roman"/>
                <w:sz w:val="18"/>
                <w:szCs w:val="18"/>
              </w:rPr>
              <w:t>Transfery na platené poistné za skupiny osôb ustanovené zákonom</w:t>
            </w:r>
            <w:r>
              <w:rPr>
                <w:rStyle w:val="FootnoteReference"/>
                <w:rFonts w:ascii="Times New Roman" w:hAnsi="Times New Roman"/>
                <w:sz w:val="18"/>
                <w:szCs w:val="18"/>
                <w:rtl w:val="0"/>
              </w:rPr>
              <w:footnoteReference w:id="18"/>
            </w:r>
          </w:p>
        </w:tc>
        <w:tc>
          <w:tcPr>
            <w:tcW w:w="1114" w:type="dxa"/>
            <w:tcBorders>
              <w:top w:val="nil"/>
              <w:left w:val="nil"/>
              <w:bottom w:val="nil"/>
              <w:right w:val="nil"/>
            </w:tcBorders>
            <w:textDirection w:val="lrTb"/>
            <w:vAlign w:val="center"/>
            <w:hideMark/>
          </w:tcPr>
          <w:p w:rsidR="00E918D2" w:rsidRPr="008253E8" w:rsidP="00E918D2">
            <w:pPr>
              <w:bidi w:val="0"/>
              <w:spacing w:after="0" w:line="240" w:lineRule="auto"/>
              <w:jc w:val="right"/>
              <w:rPr>
                <w:rFonts w:ascii="Times New Roman" w:hAnsi="Times New Roman"/>
                <w:sz w:val="18"/>
                <w:szCs w:val="18"/>
              </w:rPr>
            </w:pPr>
            <w:r w:rsidRPr="008253E8">
              <w:rPr>
                <w:rFonts w:ascii="Times New Roman" w:hAnsi="Times New Roman"/>
                <w:sz w:val="18"/>
                <w:szCs w:val="18"/>
              </w:rPr>
              <w:t>1 579 384</w:t>
            </w:r>
          </w:p>
        </w:tc>
        <w:tc>
          <w:tcPr>
            <w:tcW w:w="868" w:type="dxa"/>
            <w:tcBorders>
              <w:top w:val="nil"/>
              <w:left w:val="nil"/>
              <w:bottom w:val="nil"/>
              <w:right w:val="nil"/>
            </w:tcBorders>
            <w:textDirection w:val="lrTb"/>
            <w:vAlign w:val="center"/>
            <w:hideMark/>
          </w:tcPr>
          <w:p w:rsidR="00E918D2" w:rsidRPr="008253E8" w:rsidP="00E918D2">
            <w:pPr>
              <w:bidi w:val="0"/>
              <w:spacing w:after="0" w:line="240" w:lineRule="auto"/>
              <w:jc w:val="right"/>
              <w:rPr>
                <w:rFonts w:ascii="Times New Roman" w:hAnsi="Times New Roman"/>
                <w:sz w:val="18"/>
                <w:szCs w:val="18"/>
              </w:rPr>
            </w:pPr>
            <w:r w:rsidRPr="008253E8">
              <w:rPr>
                <w:rFonts w:ascii="Times New Roman" w:hAnsi="Times New Roman"/>
                <w:sz w:val="18"/>
                <w:szCs w:val="18"/>
              </w:rPr>
              <w:t>1 623 596</w:t>
            </w:r>
          </w:p>
        </w:tc>
        <w:tc>
          <w:tcPr>
            <w:tcW w:w="993" w:type="dxa"/>
            <w:tcBorders>
              <w:top w:val="nil"/>
              <w:left w:val="nil"/>
              <w:bottom w:val="nil"/>
              <w:right w:val="nil"/>
            </w:tcBorders>
            <w:textDirection w:val="lrTb"/>
            <w:vAlign w:val="center"/>
            <w:hideMark/>
          </w:tcPr>
          <w:p w:rsidR="00E918D2"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1 430 507</w:t>
            </w:r>
          </w:p>
        </w:tc>
        <w:tc>
          <w:tcPr>
            <w:tcW w:w="1134" w:type="dxa"/>
            <w:tcBorders>
              <w:top w:val="nil"/>
              <w:left w:val="nil"/>
              <w:bottom w:val="nil"/>
              <w:right w:val="nil"/>
            </w:tcBorders>
            <w:shd w:val="clear" w:color="000000" w:fill="BFBFBF"/>
            <w:textDirection w:val="lrTb"/>
            <w:vAlign w:val="center"/>
            <w:hideMark/>
          </w:tcPr>
          <w:p w:rsidR="00E918D2"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1 543 050</w:t>
            </w:r>
          </w:p>
        </w:tc>
        <w:tc>
          <w:tcPr>
            <w:tcW w:w="850" w:type="dxa"/>
            <w:tcBorders>
              <w:top w:val="nil"/>
              <w:left w:val="nil"/>
              <w:bottom w:val="nil"/>
              <w:right w:val="nil"/>
            </w:tcBorders>
            <w:textDirection w:val="lrTb"/>
            <w:vAlign w:val="center"/>
            <w:hideMark/>
          </w:tcPr>
          <w:p w:rsidR="00E918D2"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112 543</w:t>
            </w:r>
          </w:p>
        </w:tc>
        <w:tc>
          <w:tcPr>
            <w:tcW w:w="709" w:type="dxa"/>
            <w:tcBorders>
              <w:top w:val="nil"/>
              <w:left w:val="nil"/>
              <w:bottom w:val="nil"/>
              <w:right w:val="nil"/>
            </w:tcBorders>
            <w:textDirection w:val="lrTb"/>
            <w:vAlign w:val="center"/>
            <w:hideMark/>
          </w:tcPr>
          <w:p w:rsidR="00E918D2"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7,9</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Sociálne dávky</w:t>
            </w:r>
          </w:p>
        </w:tc>
        <w:tc>
          <w:tcPr>
            <w:tcW w:w="1114" w:type="dxa"/>
            <w:tcBorders>
              <w:top w:val="nil"/>
              <w:left w:val="nil"/>
              <w:bottom w:val="nil"/>
              <w:right w:val="nil"/>
            </w:tcBorders>
            <w:textDirection w:val="lrTb"/>
            <w:vAlign w:val="center"/>
            <w:hideMark/>
          </w:tcPr>
          <w:p w:rsidR="00FD5465" w:rsidRPr="008253E8" w:rsidP="00CC5988">
            <w:pPr>
              <w:bidi w:val="0"/>
              <w:spacing w:after="0" w:line="240" w:lineRule="auto"/>
              <w:jc w:val="right"/>
              <w:rPr>
                <w:rFonts w:ascii="Times New Roman" w:hAnsi="Times New Roman"/>
                <w:sz w:val="18"/>
                <w:szCs w:val="18"/>
              </w:rPr>
            </w:pPr>
            <w:r w:rsidRPr="008253E8">
              <w:rPr>
                <w:rFonts w:ascii="Times New Roman" w:hAnsi="Times New Roman"/>
                <w:sz w:val="18"/>
                <w:szCs w:val="18"/>
              </w:rPr>
              <w:t>1 334 336</w:t>
            </w:r>
          </w:p>
        </w:tc>
        <w:tc>
          <w:tcPr>
            <w:tcW w:w="868" w:type="dxa"/>
            <w:tcBorders>
              <w:top w:val="nil"/>
              <w:left w:val="nil"/>
              <w:bottom w:val="nil"/>
              <w:right w:val="nil"/>
            </w:tcBorders>
            <w:textDirection w:val="lrTb"/>
            <w:vAlign w:val="center"/>
            <w:hideMark/>
          </w:tcPr>
          <w:p w:rsidR="00FD5465" w:rsidRPr="008253E8" w:rsidP="00CC5988">
            <w:pPr>
              <w:bidi w:val="0"/>
              <w:spacing w:after="0" w:line="240" w:lineRule="auto"/>
              <w:jc w:val="right"/>
              <w:rPr>
                <w:rFonts w:ascii="Times New Roman" w:hAnsi="Times New Roman"/>
                <w:sz w:val="18"/>
                <w:szCs w:val="18"/>
              </w:rPr>
            </w:pPr>
            <w:r w:rsidRPr="008253E8">
              <w:rPr>
                <w:rFonts w:ascii="Times New Roman" w:hAnsi="Times New Roman"/>
                <w:sz w:val="18"/>
                <w:szCs w:val="18"/>
              </w:rPr>
              <w:t>1 319 098</w:t>
            </w:r>
          </w:p>
        </w:tc>
        <w:tc>
          <w:tcPr>
            <w:tcW w:w="993" w:type="dxa"/>
            <w:tcBorders>
              <w:top w:val="nil"/>
              <w:left w:val="nil"/>
              <w:bottom w:val="nil"/>
              <w:right w:val="nil"/>
            </w:tcBorders>
            <w:textDirection w:val="lrTb"/>
            <w:vAlign w:val="center"/>
            <w:hideMark/>
          </w:tcPr>
          <w:p w:rsidR="00FD5465" w:rsidRPr="001545D9" w:rsidP="00CC5988">
            <w:pPr>
              <w:bidi w:val="0"/>
              <w:spacing w:after="0" w:line="240" w:lineRule="auto"/>
              <w:jc w:val="right"/>
              <w:rPr>
                <w:rFonts w:ascii="Times New Roman" w:hAnsi="Times New Roman"/>
                <w:sz w:val="18"/>
                <w:szCs w:val="18"/>
              </w:rPr>
            </w:pPr>
            <w:r w:rsidRPr="001545D9">
              <w:rPr>
                <w:rFonts w:ascii="Times New Roman" w:hAnsi="Times New Roman"/>
                <w:sz w:val="18"/>
                <w:szCs w:val="18"/>
              </w:rPr>
              <w:t>1 374 388</w:t>
            </w:r>
          </w:p>
        </w:tc>
        <w:tc>
          <w:tcPr>
            <w:tcW w:w="1134" w:type="dxa"/>
            <w:tcBorders>
              <w:top w:val="nil"/>
              <w:left w:val="nil"/>
              <w:bottom w:val="nil"/>
              <w:right w:val="nil"/>
            </w:tcBorders>
            <w:shd w:val="clear" w:color="000000" w:fill="BFBFBF"/>
            <w:textDirection w:val="lrTb"/>
            <w:vAlign w:val="center"/>
            <w:hideMark/>
          </w:tcPr>
          <w:p w:rsidR="00FD5465" w:rsidRPr="001545D9" w:rsidP="003864B8">
            <w:pPr>
              <w:bidi w:val="0"/>
              <w:spacing w:after="0" w:line="240" w:lineRule="auto"/>
              <w:jc w:val="right"/>
              <w:rPr>
                <w:rFonts w:ascii="Times New Roman" w:hAnsi="Times New Roman"/>
                <w:sz w:val="18"/>
                <w:szCs w:val="18"/>
              </w:rPr>
            </w:pPr>
            <w:r w:rsidRPr="001545D9">
              <w:rPr>
                <w:rFonts w:ascii="Times New Roman" w:hAnsi="Times New Roman"/>
                <w:sz w:val="18"/>
                <w:szCs w:val="18"/>
              </w:rPr>
              <w:t>1 316 77</w:t>
            </w:r>
            <w:r w:rsidRPr="001545D9" w:rsidR="003864B8">
              <w:rPr>
                <w:rFonts w:ascii="Times New Roman" w:hAnsi="Times New Roman"/>
                <w:sz w:val="18"/>
                <w:szCs w:val="18"/>
              </w:rPr>
              <w:t>4</w:t>
            </w:r>
          </w:p>
        </w:tc>
        <w:tc>
          <w:tcPr>
            <w:tcW w:w="850" w:type="dxa"/>
            <w:tcBorders>
              <w:top w:val="nil"/>
              <w:left w:val="nil"/>
              <w:bottom w:val="nil"/>
              <w:right w:val="nil"/>
            </w:tcBorders>
            <w:textDirection w:val="lrTb"/>
            <w:vAlign w:val="center"/>
            <w:hideMark/>
          </w:tcPr>
          <w:p w:rsidR="00FD5465" w:rsidRPr="001545D9" w:rsidP="003864B8">
            <w:pPr>
              <w:bidi w:val="0"/>
              <w:spacing w:after="0" w:line="240" w:lineRule="auto"/>
              <w:jc w:val="right"/>
              <w:rPr>
                <w:rFonts w:ascii="Times New Roman" w:hAnsi="Times New Roman"/>
                <w:sz w:val="18"/>
                <w:szCs w:val="18"/>
              </w:rPr>
            </w:pPr>
            <w:r w:rsidRPr="001545D9">
              <w:rPr>
                <w:rFonts w:ascii="Times New Roman" w:hAnsi="Times New Roman"/>
                <w:sz w:val="18"/>
                <w:szCs w:val="18"/>
              </w:rPr>
              <w:t>-57 61</w:t>
            </w:r>
            <w:r w:rsidRPr="001545D9" w:rsidR="003864B8">
              <w:rPr>
                <w:rFonts w:ascii="Times New Roman" w:hAnsi="Times New Roman"/>
                <w:sz w:val="18"/>
                <w:szCs w:val="18"/>
              </w:rPr>
              <w:t>4</w:t>
            </w:r>
          </w:p>
        </w:tc>
        <w:tc>
          <w:tcPr>
            <w:tcW w:w="709" w:type="dxa"/>
            <w:tcBorders>
              <w:top w:val="nil"/>
              <w:left w:val="nil"/>
              <w:bottom w:val="nil"/>
              <w:right w:val="nil"/>
            </w:tcBorders>
            <w:textDirection w:val="lrTb"/>
            <w:vAlign w:val="center"/>
            <w:hideMark/>
          </w:tcPr>
          <w:p w:rsidR="00FD5465" w:rsidRPr="001545D9" w:rsidP="00CC5988">
            <w:pPr>
              <w:bidi w:val="0"/>
              <w:spacing w:after="0" w:line="240" w:lineRule="auto"/>
              <w:jc w:val="right"/>
              <w:rPr>
                <w:rFonts w:ascii="Times New Roman" w:hAnsi="Times New Roman"/>
                <w:sz w:val="18"/>
                <w:szCs w:val="18"/>
              </w:rPr>
            </w:pPr>
            <w:r w:rsidRPr="001545D9">
              <w:rPr>
                <w:rFonts w:ascii="Times New Roman" w:hAnsi="Times New Roman"/>
                <w:sz w:val="18"/>
                <w:szCs w:val="18"/>
              </w:rPr>
              <w:t>-4,2</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Transfery OZ, nadáciám, neziskovým organizáciám, polit. stranám a hnutiam, odborovým organizáciám, cirkev. a súkrom.školám, cirkvám, náboženským spoločnostiam...</w:t>
            </w:r>
          </w:p>
        </w:tc>
        <w:tc>
          <w:tcPr>
            <w:tcW w:w="1114"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352 183</w:t>
            </w:r>
          </w:p>
        </w:tc>
        <w:tc>
          <w:tcPr>
            <w:tcW w:w="868"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331 797</w:t>
            </w:r>
          </w:p>
        </w:tc>
        <w:tc>
          <w:tcPr>
            <w:tcW w:w="993"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334 555</w:t>
            </w:r>
          </w:p>
        </w:tc>
        <w:tc>
          <w:tcPr>
            <w:tcW w:w="1134" w:type="dxa"/>
            <w:tcBorders>
              <w:top w:val="nil"/>
              <w:left w:val="nil"/>
              <w:bottom w:val="nil"/>
              <w:right w:val="nil"/>
            </w:tcBorders>
            <w:shd w:val="clear" w:color="000000" w:fill="BFBFBF"/>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372 296</w:t>
            </w:r>
          </w:p>
        </w:tc>
        <w:tc>
          <w:tcPr>
            <w:tcW w:w="850"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37 741</w:t>
            </w:r>
          </w:p>
        </w:tc>
        <w:tc>
          <w:tcPr>
            <w:tcW w:w="709"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11,3</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Príspevok na osobitný účet</w:t>
            </w:r>
          </w:p>
        </w:tc>
        <w:tc>
          <w:tcPr>
            <w:tcW w:w="1114"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96 074</w:t>
            </w:r>
          </w:p>
        </w:tc>
        <w:tc>
          <w:tcPr>
            <w:tcW w:w="868"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94 158</w:t>
            </w:r>
          </w:p>
        </w:tc>
        <w:tc>
          <w:tcPr>
            <w:tcW w:w="993"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97 922</w:t>
            </w:r>
          </w:p>
        </w:tc>
        <w:tc>
          <w:tcPr>
            <w:tcW w:w="1134" w:type="dxa"/>
            <w:tcBorders>
              <w:top w:val="nil"/>
              <w:left w:val="nil"/>
              <w:bottom w:val="nil"/>
              <w:right w:val="nil"/>
            </w:tcBorders>
            <w:shd w:val="clear" w:color="000000" w:fill="BFBFBF"/>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93 713</w:t>
            </w:r>
          </w:p>
        </w:tc>
        <w:tc>
          <w:tcPr>
            <w:tcW w:w="850"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-4 209</w:t>
            </w:r>
          </w:p>
        </w:tc>
        <w:tc>
          <w:tcPr>
            <w:tcW w:w="709"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-4,3</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Jednotlivcom</w:t>
            </w:r>
          </w:p>
        </w:tc>
        <w:tc>
          <w:tcPr>
            <w:tcW w:w="1114"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88 186</w:t>
            </w:r>
          </w:p>
        </w:tc>
        <w:tc>
          <w:tcPr>
            <w:tcW w:w="868"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114 898</w:t>
            </w:r>
          </w:p>
        </w:tc>
        <w:tc>
          <w:tcPr>
            <w:tcW w:w="993"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74 309</w:t>
            </w:r>
          </w:p>
        </w:tc>
        <w:tc>
          <w:tcPr>
            <w:tcW w:w="1134" w:type="dxa"/>
            <w:tcBorders>
              <w:top w:val="nil"/>
              <w:left w:val="nil"/>
              <w:bottom w:val="nil"/>
              <w:right w:val="nil"/>
            </w:tcBorders>
            <w:shd w:val="clear" w:color="000000" w:fill="BFBFBF"/>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71 607</w:t>
            </w:r>
          </w:p>
        </w:tc>
        <w:tc>
          <w:tcPr>
            <w:tcW w:w="850"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-2 702</w:t>
            </w:r>
          </w:p>
        </w:tc>
        <w:tc>
          <w:tcPr>
            <w:tcW w:w="709"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-3,6</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nil"/>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Na aktívne opatrenia trhu práce</w:t>
            </w:r>
          </w:p>
        </w:tc>
        <w:tc>
          <w:tcPr>
            <w:tcW w:w="1114"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134 371</w:t>
            </w:r>
          </w:p>
        </w:tc>
        <w:tc>
          <w:tcPr>
            <w:tcW w:w="868" w:type="dxa"/>
            <w:tcBorders>
              <w:top w:val="nil"/>
              <w:left w:val="nil"/>
              <w:bottom w:val="nil"/>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171 594</w:t>
            </w:r>
          </w:p>
        </w:tc>
        <w:tc>
          <w:tcPr>
            <w:tcW w:w="993"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194 303</w:t>
            </w:r>
          </w:p>
        </w:tc>
        <w:tc>
          <w:tcPr>
            <w:tcW w:w="1134" w:type="dxa"/>
            <w:tcBorders>
              <w:top w:val="nil"/>
              <w:left w:val="nil"/>
              <w:bottom w:val="nil"/>
              <w:right w:val="nil"/>
            </w:tcBorders>
            <w:shd w:val="clear" w:color="000000" w:fill="BFBFBF"/>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165 085</w:t>
            </w:r>
          </w:p>
        </w:tc>
        <w:tc>
          <w:tcPr>
            <w:tcW w:w="850"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-29 218</w:t>
            </w:r>
          </w:p>
        </w:tc>
        <w:tc>
          <w:tcPr>
            <w:tcW w:w="709" w:type="dxa"/>
            <w:tcBorders>
              <w:top w:val="nil"/>
              <w:left w:val="nil"/>
              <w:bottom w:val="nil"/>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-15,0</w:t>
            </w:r>
          </w:p>
        </w:tc>
      </w:tr>
      <w:tr>
        <w:tblPrEx>
          <w:tblW w:w="8804" w:type="dxa"/>
          <w:tblInd w:w="55" w:type="dxa"/>
          <w:tblLayout w:type="fixed"/>
          <w:tblCellMar>
            <w:left w:w="70" w:type="dxa"/>
            <w:right w:w="70" w:type="dxa"/>
          </w:tblCellMar>
          <w:tblLook w:val="04A0"/>
        </w:tblPrEx>
        <w:trPr>
          <w:trHeight w:val="300"/>
        </w:trPr>
        <w:tc>
          <w:tcPr>
            <w:tcW w:w="3136" w:type="dxa"/>
            <w:tcBorders>
              <w:top w:val="nil"/>
              <w:left w:val="nil"/>
              <w:bottom w:val="single" w:sz="4" w:space="0" w:color="auto"/>
              <w:right w:val="nil"/>
            </w:tcBorders>
            <w:textDirection w:val="lrTb"/>
            <w:vAlign w:val="center"/>
            <w:hideMark/>
          </w:tcPr>
          <w:p w:rsidR="00FD5465" w:rsidRPr="00DC781B" w:rsidP="00CC5988">
            <w:pPr>
              <w:bidi w:val="0"/>
              <w:spacing w:after="0" w:line="240" w:lineRule="auto"/>
              <w:rPr>
                <w:rFonts w:ascii="Times New Roman" w:hAnsi="Times New Roman"/>
                <w:sz w:val="18"/>
                <w:szCs w:val="18"/>
              </w:rPr>
            </w:pPr>
            <w:r w:rsidRPr="00DC781B">
              <w:rPr>
                <w:rFonts w:ascii="Times New Roman" w:hAnsi="Times New Roman"/>
                <w:sz w:val="18"/>
                <w:szCs w:val="18"/>
              </w:rPr>
              <w:t>Ostatné transfery</w:t>
            </w:r>
          </w:p>
        </w:tc>
        <w:tc>
          <w:tcPr>
            <w:tcW w:w="1114" w:type="dxa"/>
            <w:tcBorders>
              <w:top w:val="nil"/>
              <w:left w:val="nil"/>
              <w:bottom w:val="single" w:sz="4" w:space="0" w:color="auto"/>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107 057</w:t>
            </w:r>
          </w:p>
        </w:tc>
        <w:tc>
          <w:tcPr>
            <w:tcW w:w="868" w:type="dxa"/>
            <w:tcBorders>
              <w:top w:val="nil"/>
              <w:left w:val="nil"/>
              <w:bottom w:val="single" w:sz="4" w:space="0" w:color="auto"/>
              <w:right w:val="nil"/>
            </w:tcBorders>
            <w:textDirection w:val="lrTb"/>
            <w:vAlign w:val="center"/>
            <w:hideMark/>
          </w:tcPr>
          <w:p w:rsidR="00FD5465" w:rsidRPr="008253E8" w:rsidP="00110264">
            <w:pPr>
              <w:bidi w:val="0"/>
              <w:spacing w:after="0" w:line="240" w:lineRule="auto"/>
              <w:jc w:val="right"/>
              <w:rPr>
                <w:rFonts w:ascii="Times New Roman" w:hAnsi="Times New Roman"/>
                <w:sz w:val="18"/>
                <w:szCs w:val="18"/>
              </w:rPr>
            </w:pPr>
            <w:r w:rsidRPr="008253E8">
              <w:rPr>
                <w:rFonts w:ascii="Times New Roman" w:hAnsi="Times New Roman"/>
                <w:sz w:val="18"/>
                <w:szCs w:val="18"/>
              </w:rPr>
              <w:t>154 733</w:t>
            </w:r>
          </w:p>
        </w:tc>
        <w:tc>
          <w:tcPr>
            <w:tcW w:w="993" w:type="dxa"/>
            <w:tcBorders>
              <w:top w:val="nil"/>
              <w:left w:val="nil"/>
              <w:bottom w:val="single" w:sz="4" w:space="0" w:color="auto"/>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271 557</w:t>
            </w:r>
          </w:p>
        </w:tc>
        <w:tc>
          <w:tcPr>
            <w:tcW w:w="1134" w:type="dxa"/>
            <w:tcBorders>
              <w:top w:val="nil"/>
              <w:left w:val="nil"/>
              <w:bottom w:val="single" w:sz="4" w:space="0" w:color="auto"/>
              <w:right w:val="nil"/>
            </w:tcBorders>
            <w:shd w:val="clear" w:color="000000" w:fill="BFBFBF"/>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133 73</w:t>
            </w:r>
            <w:r w:rsidRPr="001545D9" w:rsidR="003864B8">
              <w:rPr>
                <w:rFonts w:ascii="Times New Roman" w:hAnsi="Times New Roman"/>
                <w:sz w:val="18"/>
                <w:szCs w:val="18"/>
              </w:rPr>
              <w:t>6</w:t>
            </w:r>
          </w:p>
        </w:tc>
        <w:tc>
          <w:tcPr>
            <w:tcW w:w="850" w:type="dxa"/>
            <w:tcBorders>
              <w:top w:val="nil"/>
              <w:left w:val="nil"/>
              <w:bottom w:val="single" w:sz="4" w:space="0" w:color="auto"/>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-137 82</w:t>
            </w:r>
            <w:r w:rsidRPr="001545D9" w:rsidR="00025F86">
              <w:rPr>
                <w:rFonts w:ascii="Times New Roman" w:hAnsi="Times New Roman"/>
                <w:sz w:val="18"/>
                <w:szCs w:val="18"/>
              </w:rPr>
              <w:t>1</w:t>
            </w:r>
          </w:p>
        </w:tc>
        <w:tc>
          <w:tcPr>
            <w:tcW w:w="709" w:type="dxa"/>
            <w:tcBorders>
              <w:top w:val="nil"/>
              <w:left w:val="nil"/>
              <w:bottom w:val="single" w:sz="4" w:space="0" w:color="auto"/>
              <w:right w:val="nil"/>
            </w:tcBorders>
            <w:textDirection w:val="lrTb"/>
            <w:vAlign w:val="center"/>
            <w:hideMark/>
          </w:tcPr>
          <w:p w:rsidR="00FD5465" w:rsidRPr="001545D9" w:rsidP="001545D9">
            <w:pPr>
              <w:bidi w:val="0"/>
              <w:spacing w:after="0" w:line="240" w:lineRule="auto"/>
              <w:jc w:val="right"/>
              <w:rPr>
                <w:rFonts w:ascii="Times New Roman" w:hAnsi="Times New Roman"/>
                <w:sz w:val="18"/>
                <w:szCs w:val="18"/>
              </w:rPr>
            </w:pPr>
            <w:r w:rsidRPr="001545D9">
              <w:rPr>
                <w:rFonts w:ascii="Times New Roman" w:hAnsi="Times New Roman"/>
                <w:sz w:val="18"/>
                <w:szCs w:val="18"/>
              </w:rPr>
              <w:t>-50,8</w:t>
            </w:r>
          </w:p>
        </w:tc>
      </w:tr>
      <w:tr>
        <w:tblPrEx>
          <w:tblW w:w="8804" w:type="dxa"/>
          <w:tblInd w:w="55" w:type="dxa"/>
          <w:tblLayout w:type="fixed"/>
          <w:tblCellMar>
            <w:left w:w="70" w:type="dxa"/>
            <w:right w:w="70" w:type="dxa"/>
          </w:tblCellMar>
          <w:tblLook w:val="04A0"/>
        </w:tblPrEx>
        <w:trPr>
          <w:trHeight w:val="300"/>
        </w:trPr>
        <w:tc>
          <w:tcPr>
            <w:tcW w:w="3136" w:type="dxa"/>
            <w:tcBorders>
              <w:top w:val="single" w:sz="4" w:space="0" w:color="auto"/>
              <w:left w:val="nil"/>
              <w:bottom w:val="single" w:sz="8" w:space="0" w:color="auto"/>
              <w:right w:val="nil"/>
            </w:tcBorders>
            <w:textDirection w:val="lrTb"/>
            <w:vAlign w:val="center"/>
            <w:hideMark/>
          </w:tcPr>
          <w:p w:rsidR="00FD5465" w:rsidRPr="00DC781B" w:rsidP="00B60C54">
            <w:pPr>
              <w:bidi w:val="0"/>
              <w:spacing w:after="0" w:line="240" w:lineRule="auto"/>
              <w:jc w:val="left"/>
              <w:rPr>
                <w:rFonts w:ascii="Times New Roman" w:hAnsi="Times New Roman"/>
                <w:b/>
                <w:bCs/>
                <w:sz w:val="18"/>
                <w:szCs w:val="18"/>
                <w:lang w:eastAsia="sk-SK"/>
              </w:rPr>
            </w:pPr>
            <w:r w:rsidRPr="00DC781B">
              <w:rPr>
                <w:rFonts w:ascii="Times New Roman" w:hAnsi="Times New Roman"/>
                <w:b/>
                <w:bCs/>
                <w:sz w:val="18"/>
                <w:szCs w:val="18"/>
                <w:lang w:eastAsia="sk-SK"/>
              </w:rPr>
              <w:t>Spolu</w:t>
            </w:r>
          </w:p>
        </w:tc>
        <w:tc>
          <w:tcPr>
            <w:tcW w:w="1114" w:type="dxa"/>
            <w:tcBorders>
              <w:top w:val="single" w:sz="4" w:space="0" w:color="auto"/>
              <w:left w:val="nil"/>
              <w:bottom w:val="single" w:sz="8" w:space="0" w:color="auto"/>
              <w:right w:val="nil"/>
            </w:tcBorders>
            <w:textDirection w:val="lrTb"/>
            <w:vAlign w:val="center"/>
            <w:hideMark/>
          </w:tcPr>
          <w:p w:rsidR="00FD5465" w:rsidRPr="008253E8" w:rsidP="00B60C54">
            <w:pPr>
              <w:bidi w:val="0"/>
              <w:spacing w:after="0" w:line="240" w:lineRule="auto"/>
              <w:jc w:val="right"/>
              <w:rPr>
                <w:rFonts w:ascii="Times New Roman" w:hAnsi="Times New Roman"/>
                <w:b/>
                <w:bCs/>
                <w:sz w:val="18"/>
                <w:szCs w:val="18"/>
                <w:lang w:eastAsia="sk-SK"/>
              </w:rPr>
            </w:pPr>
            <w:r w:rsidRPr="008253E8">
              <w:rPr>
                <w:rFonts w:ascii="Times New Roman" w:hAnsi="Times New Roman"/>
                <w:b/>
                <w:bCs/>
                <w:sz w:val="18"/>
                <w:szCs w:val="18"/>
                <w:lang w:eastAsia="sk-SK"/>
              </w:rPr>
              <w:t>3 691 591</w:t>
            </w:r>
          </w:p>
        </w:tc>
        <w:tc>
          <w:tcPr>
            <w:tcW w:w="868" w:type="dxa"/>
            <w:tcBorders>
              <w:top w:val="single" w:sz="4" w:space="0" w:color="auto"/>
              <w:left w:val="nil"/>
              <w:bottom w:val="single" w:sz="8" w:space="0" w:color="auto"/>
              <w:right w:val="nil"/>
            </w:tcBorders>
            <w:textDirection w:val="lrTb"/>
            <w:vAlign w:val="center"/>
            <w:hideMark/>
          </w:tcPr>
          <w:p w:rsidR="00FD5465" w:rsidRPr="008253E8" w:rsidP="00B60C54">
            <w:pPr>
              <w:bidi w:val="0"/>
              <w:spacing w:after="0" w:line="240" w:lineRule="auto"/>
              <w:jc w:val="right"/>
              <w:rPr>
                <w:rFonts w:ascii="Times New Roman" w:hAnsi="Times New Roman"/>
                <w:b/>
                <w:bCs/>
                <w:sz w:val="18"/>
                <w:szCs w:val="18"/>
                <w:lang w:eastAsia="sk-SK"/>
              </w:rPr>
            </w:pPr>
            <w:r w:rsidRPr="008253E8">
              <w:rPr>
                <w:rFonts w:ascii="Times New Roman" w:hAnsi="Times New Roman"/>
                <w:b/>
                <w:bCs/>
                <w:sz w:val="18"/>
                <w:szCs w:val="18"/>
                <w:lang w:eastAsia="sk-SK"/>
              </w:rPr>
              <w:t>3 809 874</w:t>
            </w:r>
          </w:p>
        </w:tc>
        <w:tc>
          <w:tcPr>
            <w:tcW w:w="993" w:type="dxa"/>
            <w:tcBorders>
              <w:top w:val="single" w:sz="4" w:space="0" w:color="auto"/>
              <w:left w:val="nil"/>
              <w:bottom w:val="single" w:sz="8" w:space="0" w:color="auto"/>
              <w:right w:val="nil"/>
            </w:tcBorders>
            <w:textDirection w:val="lrTb"/>
            <w:vAlign w:val="bottom"/>
            <w:hideMark/>
          </w:tcPr>
          <w:p w:rsidR="00FD5465" w:rsidP="00B60C54">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3 777 541</w:t>
            </w:r>
          </w:p>
        </w:tc>
        <w:tc>
          <w:tcPr>
            <w:tcW w:w="1134" w:type="dxa"/>
            <w:tcBorders>
              <w:top w:val="single" w:sz="4" w:space="0" w:color="auto"/>
              <w:left w:val="nil"/>
              <w:bottom w:val="single" w:sz="8" w:space="0" w:color="auto"/>
              <w:right w:val="nil"/>
            </w:tcBorders>
            <w:shd w:val="clear" w:color="000000" w:fill="BFBFBF"/>
            <w:textDirection w:val="lrTb"/>
            <w:vAlign w:val="center"/>
            <w:hideMark/>
          </w:tcPr>
          <w:p w:rsidR="00FD5465" w:rsidP="00B60C54">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3 696 2</w:t>
            </w:r>
            <w:r w:rsidR="003864B8">
              <w:rPr>
                <w:rFonts w:ascii="Times New Roman" w:hAnsi="Times New Roman"/>
                <w:b/>
                <w:bCs/>
                <w:color w:val="000000"/>
                <w:sz w:val="18"/>
                <w:szCs w:val="18"/>
              </w:rPr>
              <w:t>61</w:t>
            </w:r>
          </w:p>
        </w:tc>
        <w:tc>
          <w:tcPr>
            <w:tcW w:w="850" w:type="dxa"/>
            <w:tcBorders>
              <w:top w:val="single" w:sz="4" w:space="0" w:color="auto"/>
              <w:left w:val="nil"/>
              <w:bottom w:val="single" w:sz="8" w:space="0" w:color="auto"/>
              <w:right w:val="nil"/>
            </w:tcBorders>
            <w:textDirection w:val="lrTb"/>
            <w:vAlign w:val="center"/>
            <w:hideMark/>
          </w:tcPr>
          <w:p w:rsidR="00FD5465" w:rsidP="00B60C54">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-81 282</w:t>
            </w:r>
          </w:p>
        </w:tc>
        <w:tc>
          <w:tcPr>
            <w:tcW w:w="709" w:type="dxa"/>
            <w:tcBorders>
              <w:top w:val="single" w:sz="4" w:space="0" w:color="auto"/>
              <w:left w:val="nil"/>
              <w:bottom w:val="single" w:sz="8" w:space="0" w:color="auto"/>
              <w:right w:val="nil"/>
            </w:tcBorders>
            <w:textDirection w:val="lrTb"/>
            <w:vAlign w:val="center"/>
            <w:hideMark/>
          </w:tcPr>
          <w:p w:rsidR="00FD5465" w:rsidP="00B60C54">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-2,2</w:t>
            </w:r>
          </w:p>
        </w:tc>
      </w:tr>
    </w:tbl>
    <w:p w:rsidR="00FD5465" w:rsidRPr="00DC781B" w:rsidP="00FD5465">
      <w:pPr>
        <w:bidi w:val="0"/>
        <w:jc w:val="right"/>
        <w:rPr>
          <w:rFonts w:ascii="Times New Roman" w:hAnsi="Times New Roman"/>
          <w:sz w:val="18"/>
          <w:szCs w:val="18"/>
        </w:rPr>
      </w:pPr>
      <w:r w:rsidRPr="00DC781B">
        <w:rPr>
          <w:rFonts w:ascii="Times New Roman" w:hAnsi="Times New Roman"/>
          <w:sz w:val="18"/>
          <w:szCs w:val="18"/>
        </w:rPr>
        <w:t>Zdroj: MF SR</w:t>
      </w:r>
    </w:p>
    <w:p w:rsidR="00FD5465" w:rsidP="00FD5465">
      <w:pPr>
        <w:bidi w:val="0"/>
        <w:rPr>
          <w:rFonts w:ascii="Times New Roman" w:hAnsi="Times New Roman"/>
        </w:rPr>
      </w:pPr>
      <w:r w:rsidR="00E918D2">
        <w:rPr>
          <w:rFonts w:ascii="Times New Roman" w:hAnsi="Times New Roman"/>
          <w:b/>
          <w:bCs/>
          <w:iCs/>
        </w:rPr>
        <w:t>T</w:t>
      </w:r>
      <w:r w:rsidRPr="00413A90" w:rsidR="0016445C">
        <w:rPr>
          <w:rFonts w:ascii="Times New Roman" w:hAnsi="Times New Roman"/>
          <w:b/>
          <w:bCs/>
          <w:iCs/>
        </w:rPr>
        <w:t>ransfery na platené poistné za skupiny osôb ustanovené zákonom</w:t>
      </w:r>
      <w:r w:rsidR="0016445C">
        <w:rPr>
          <w:rFonts w:ascii="Times New Roman" w:hAnsi="Times New Roman"/>
          <w:b/>
          <w:bCs/>
        </w:rPr>
        <w:t xml:space="preserve"> </w:t>
      </w:r>
      <w:r w:rsidR="0016445C">
        <w:rPr>
          <w:rFonts w:ascii="Times New Roman" w:hAnsi="Times New Roman"/>
        </w:rPr>
        <w:t xml:space="preserve">1 543 050 tis. eur (2016: 1 623 596 tis. eur), </w:t>
      </w:r>
      <w:r w:rsidR="00E918D2">
        <w:rPr>
          <w:rFonts w:ascii="Times New Roman" w:hAnsi="Times New Roman"/>
        </w:rPr>
        <w:t xml:space="preserve">z toho </w:t>
      </w:r>
      <w:r w:rsidR="0016445C">
        <w:rPr>
          <w:rFonts w:ascii="Times New Roman" w:hAnsi="Times New Roman"/>
        </w:rPr>
        <w:t xml:space="preserve">poskytované </w:t>
      </w:r>
      <w:r w:rsidR="00E918D2">
        <w:rPr>
          <w:rFonts w:ascii="Times New Roman" w:hAnsi="Times New Roman"/>
        </w:rPr>
        <w:t xml:space="preserve">Ministerstvom zdravotníctva SR </w:t>
      </w:r>
      <w:r w:rsidR="0016445C">
        <w:rPr>
          <w:rFonts w:ascii="Times New Roman" w:hAnsi="Times New Roman"/>
        </w:rPr>
        <w:t>1 300 135 tis. eur, na úhradu zdravotnej starostlivosti za poistencov štátu, pričom výška skutočne zaplatených preddavkov na poistné platené štátom vychádza z priemeru skutočného počtu poistencov štátu (celkový poč</w:t>
      </w:r>
      <w:r w:rsidR="00D1034F">
        <w:rPr>
          <w:rFonts w:ascii="Times New Roman" w:hAnsi="Times New Roman"/>
        </w:rPr>
        <w:t>et týchto poistencov za rok 2017</w:t>
      </w:r>
      <w:r w:rsidR="0016445C">
        <w:rPr>
          <w:rFonts w:ascii="Times New Roman" w:hAnsi="Times New Roman"/>
        </w:rPr>
        <w:t xml:space="preserve"> bol v priemere 2 917 535 osôb) a</w:t>
      </w:r>
      <w:r w:rsidR="00E918D2">
        <w:rPr>
          <w:rFonts w:ascii="Times New Roman" w:hAnsi="Times New Roman"/>
        </w:rPr>
        <w:t xml:space="preserve"> poskytované </w:t>
      </w:r>
      <w:r w:rsidR="0016445C">
        <w:rPr>
          <w:rFonts w:ascii="Times New Roman" w:hAnsi="Times New Roman"/>
        </w:rPr>
        <w:t xml:space="preserve">Ministerstvom práce, sociálnych vecí a rodiny SR (242 915 tis. eur) na úhradu štátom plateného poistného na starobné poistenie a povinné príspevky na starobné dôchodkové sporenie, poistné </w:t>
      </w:r>
      <w:r w:rsidR="003A0FEE">
        <w:rPr>
          <w:rFonts w:ascii="Times New Roman" w:hAnsi="Times New Roman"/>
        </w:rPr>
        <w:br/>
      </w:r>
      <w:r w:rsidR="0016445C">
        <w:rPr>
          <w:rFonts w:ascii="Times New Roman" w:hAnsi="Times New Roman"/>
        </w:rPr>
        <w:t>na invalidné poistenie a poistné do rezervného fondu solidarity.</w:t>
      </w:r>
    </w:p>
    <w:p w:rsidR="00B7758B" w:rsidRPr="00B7758B" w:rsidP="00B7758B">
      <w:pPr>
        <w:bidi w:val="0"/>
        <w:rPr>
          <w:rFonts w:ascii="Times New Roman" w:hAnsi="Times New Roman"/>
        </w:rPr>
      </w:pPr>
      <w:r w:rsidR="00E918D2">
        <w:rPr>
          <w:rFonts w:ascii="Times New Roman" w:hAnsi="Times New Roman"/>
          <w:b/>
        </w:rPr>
        <w:t>S</w:t>
      </w:r>
      <w:r w:rsidRPr="00413A90" w:rsidR="00FD5465">
        <w:rPr>
          <w:rFonts w:ascii="Times New Roman" w:hAnsi="Times New Roman"/>
          <w:b/>
        </w:rPr>
        <w:t>ociálne dávky</w:t>
      </w:r>
      <w:r w:rsidRPr="00B73C7B" w:rsidR="00FD5465">
        <w:rPr>
          <w:rFonts w:ascii="Times New Roman" w:hAnsi="Times New Roman"/>
        </w:rPr>
        <w:t xml:space="preserve"> (1 31</w:t>
      </w:r>
      <w:r w:rsidR="00FD5465">
        <w:rPr>
          <w:rFonts w:ascii="Times New Roman" w:hAnsi="Times New Roman"/>
        </w:rPr>
        <w:t>6</w:t>
      </w:r>
      <w:r w:rsidRPr="00B73C7B" w:rsidR="00FD5465">
        <w:rPr>
          <w:rFonts w:ascii="Times New Roman" w:hAnsi="Times New Roman"/>
        </w:rPr>
        <w:t> </w:t>
      </w:r>
      <w:r w:rsidR="00FD5465">
        <w:rPr>
          <w:rFonts w:ascii="Times New Roman" w:hAnsi="Times New Roman"/>
        </w:rPr>
        <w:t>77</w:t>
      </w:r>
      <w:r w:rsidR="003864B8">
        <w:rPr>
          <w:rFonts w:ascii="Times New Roman" w:hAnsi="Times New Roman"/>
        </w:rPr>
        <w:t>4</w:t>
      </w:r>
      <w:r w:rsidR="00E918D2">
        <w:rPr>
          <w:rFonts w:ascii="Times New Roman" w:hAnsi="Times New Roman"/>
        </w:rPr>
        <w:t xml:space="preserve"> tis. eur), </w:t>
      </w:r>
      <w:r w:rsidRPr="00B73C7B" w:rsidR="00FD5465">
        <w:rPr>
          <w:rFonts w:ascii="Times New Roman" w:hAnsi="Times New Roman"/>
        </w:rPr>
        <w:t xml:space="preserve">ktoré </w:t>
      </w:r>
      <w:r w:rsidR="00E918D2">
        <w:rPr>
          <w:rFonts w:ascii="Times New Roman" w:hAnsi="Times New Roman"/>
        </w:rPr>
        <w:t xml:space="preserve">dosiahli úsporu oproti rozpočtu </w:t>
      </w:r>
      <w:r w:rsidRPr="00B73C7B" w:rsidR="00FD5465">
        <w:rPr>
          <w:rFonts w:ascii="Times New Roman" w:hAnsi="Times New Roman"/>
        </w:rPr>
        <w:t>vo výške o</w:t>
      </w:r>
      <w:r w:rsidR="00FD5465">
        <w:rPr>
          <w:rFonts w:ascii="Times New Roman" w:hAnsi="Times New Roman"/>
        </w:rPr>
        <w:t> 57 </w:t>
      </w:r>
      <w:r w:rsidRPr="00B73C7B" w:rsidR="00FD5465">
        <w:rPr>
          <w:rFonts w:ascii="Times New Roman" w:hAnsi="Times New Roman"/>
        </w:rPr>
        <w:t>61</w:t>
      </w:r>
      <w:r w:rsidR="003864B8">
        <w:rPr>
          <w:rFonts w:ascii="Times New Roman" w:hAnsi="Times New Roman"/>
        </w:rPr>
        <w:t>4</w:t>
      </w:r>
      <w:r w:rsidR="00FD5465">
        <w:rPr>
          <w:rFonts w:ascii="Times New Roman" w:hAnsi="Times New Roman"/>
        </w:rPr>
        <w:t> </w:t>
      </w:r>
      <w:r w:rsidRPr="00B73C7B" w:rsidR="00FD5465">
        <w:rPr>
          <w:rFonts w:ascii="Times New Roman" w:hAnsi="Times New Roman"/>
        </w:rPr>
        <w:t>tis.</w:t>
      </w:r>
      <w:r w:rsidR="00FD5465">
        <w:rPr>
          <w:rFonts w:ascii="Times New Roman" w:hAnsi="Times New Roman"/>
        </w:rPr>
        <w:t> </w:t>
      </w:r>
      <w:r w:rsidR="00E918D2">
        <w:rPr>
          <w:rFonts w:ascii="Times New Roman" w:hAnsi="Times New Roman"/>
        </w:rPr>
        <w:t>eur</w:t>
      </w:r>
      <w:r w:rsidRPr="00B73C7B" w:rsidR="00FD5465">
        <w:rPr>
          <w:rFonts w:ascii="Times New Roman" w:hAnsi="Times New Roman"/>
        </w:rPr>
        <w:t xml:space="preserve">. Na tejto úspore sa podieľali najmä </w:t>
      </w:r>
      <w:r w:rsidRPr="00E918D2" w:rsidR="00FD5465">
        <w:rPr>
          <w:rFonts w:ascii="Times New Roman" w:hAnsi="Times New Roman"/>
          <w:i/>
        </w:rPr>
        <w:t>Dávka v hmotnej núdzi a Kompenzácia sociálnych dôsledkov ťažkého zdravotného postihnutia</w:t>
      </w:r>
      <w:r w:rsidR="00FD5465">
        <w:rPr>
          <w:rFonts w:ascii="Times New Roman" w:hAnsi="Times New Roman"/>
        </w:rPr>
        <w:t>. M</w:t>
      </w:r>
      <w:r w:rsidRPr="00B73C7B" w:rsidR="00FD5465">
        <w:rPr>
          <w:rFonts w:ascii="Times New Roman" w:hAnsi="Times New Roman"/>
        </w:rPr>
        <w:t>edziročný pokles výdavkov</w:t>
      </w:r>
      <w:r w:rsidR="00FD5465">
        <w:rPr>
          <w:rFonts w:ascii="Times New Roman" w:hAnsi="Times New Roman"/>
        </w:rPr>
        <w:t xml:space="preserve"> o</w:t>
      </w:r>
      <w:r w:rsidR="00E918D2">
        <w:rPr>
          <w:rFonts w:ascii="Times New Roman" w:hAnsi="Times New Roman"/>
        </w:rPr>
        <w:t> </w:t>
      </w:r>
      <w:r w:rsidR="00FD5465">
        <w:rPr>
          <w:rFonts w:ascii="Times New Roman" w:hAnsi="Times New Roman"/>
        </w:rPr>
        <w:t>28 880 </w:t>
      </w:r>
      <w:r w:rsidRPr="00B73C7B" w:rsidR="00FD5465">
        <w:rPr>
          <w:rFonts w:ascii="Times New Roman" w:hAnsi="Times New Roman"/>
        </w:rPr>
        <w:t xml:space="preserve">tis. eur </w:t>
      </w:r>
      <w:r w:rsidR="00FD5465">
        <w:rPr>
          <w:rFonts w:ascii="Times New Roman" w:hAnsi="Times New Roman"/>
        </w:rPr>
        <w:t>na d</w:t>
      </w:r>
      <w:r w:rsidRPr="00B73C7B" w:rsidR="00FD5465">
        <w:rPr>
          <w:rFonts w:ascii="Times New Roman" w:hAnsi="Times New Roman"/>
        </w:rPr>
        <w:t>ávk</w:t>
      </w:r>
      <w:r w:rsidR="00FD5465">
        <w:rPr>
          <w:rFonts w:ascii="Times New Roman" w:hAnsi="Times New Roman"/>
        </w:rPr>
        <w:t>e</w:t>
      </w:r>
      <w:r w:rsidRPr="00B73C7B" w:rsidR="00FD5465">
        <w:rPr>
          <w:rFonts w:ascii="Times New Roman" w:hAnsi="Times New Roman"/>
        </w:rPr>
        <w:t xml:space="preserve"> v hmotnej núdzi</w:t>
      </w:r>
      <w:r w:rsidR="00FD5465">
        <w:rPr>
          <w:rFonts w:ascii="Times New Roman" w:hAnsi="Times New Roman"/>
        </w:rPr>
        <w:t xml:space="preserve">, </w:t>
      </w:r>
      <w:r w:rsidR="00E918D2">
        <w:rPr>
          <w:rFonts w:ascii="Times New Roman" w:hAnsi="Times New Roman"/>
        </w:rPr>
        <w:t>vyplácanej na základe zákona č. </w:t>
      </w:r>
      <w:r w:rsidR="00FD5465">
        <w:rPr>
          <w:rFonts w:ascii="Times New Roman" w:hAnsi="Times New Roman"/>
        </w:rPr>
        <w:t>417/2013 Z.</w:t>
      </w:r>
      <w:r w:rsidR="00A7152F">
        <w:rPr>
          <w:rFonts w:ascii="Times New Roman" w:hAnsi="Times New Roman"/>
        </w:rPr>
        <w:t xml:space="preserve"> </w:t>
      </w:r>
      <w:r w:rsidR="00FD5465">
        <w:rPr>
          <w:rFonts w:ascii="Times New Roman" w:hAnsi="Times New Roman"/>
        </w:rPr>
        <w:t xml:space="preserve">z. o pomoci v hmotnej núdzi bol ovplyvnený </w:t>
      </w:r>
      <w:r w:rsidRPr="00B73C7B" w:rsidR="00FD5465">
        <w:rPr>
          <w:rFonts w:ascii="Times New Roman" w:hAnsi="Times New Roman"/>
        </w:rPr>
        <w:t xml:space="preserve">vývojom počtu poberateľov dávky, ktorých pokles súvisí najmä s odmietnutím aktivácie cez aktivačné centrá, každoročnou valorizáciou dôchodkových dávok, ale aj odchodom zo systému z dôvodu vykonávania pracovnej činnosti. Najväčší objem výdavkov v rámci kompenzácie sociálnych dôsledkov ťažkého zdravotného postihnutia predstavuje čerpanie prostriedkov na peňažný príspevok na opatrovanie </w:t>
      </w:r>
      <w:r w:rsidR="00FD5465">
        <w:rPr>
          <w:rFonts w:ascii="Times New Roman" w:hAnsi="Times New Roman"/>
        </w:rPr>
        <w:t xml:space="preserve">(243 811 tis. eur). </w:t>
      </w:r>
      <w:r w:rsidRPr="00B73C7B" w:rsidR="00FD5465">
        <w:rPr>
          <w:rFonts w:ascii="Times New Roman" w:hAnsi="Times New Roman"/>
        </w:rPr>
        <w:t xml:space="preserve">Výdavky v porovnaní s rokom 2016 </w:t>
      </w:r>
      <w:r w:rsidR="00457F6F">
        <w:rPr>
          <w:rFonts w:ascii="Times New Roman" w:hAnsi="Times New Roman"/>
        </w:rPr>
        <w:t>vzrástli z </w:t>
      </w:r>
      <w:r w:rsidRPr="00B73C7B" w:rsidR="00FD5465">
        <w:rPr>
          <w:rFonts w:ascii="Times New Roman" w:hAnsi="Times New Roman"/>
        </w:rPr>
        <w:t>dôvodu zákon</w:t>
      </w:r>
      <w:r w:rsidR="00FD5465">
        <w:rPr>
          <w:rFonts w:ascii="Times New Roman" w:hAnsi="Times New Roman"/>
        </w:rPr>
        <w:t>ného</w:t>
      </w:r>
      <w:r w:rsidRPr="00B73C7B" w:rsidR="00FD5465">
        <w:rPr>
          <w:rFonts w:ascii="Times New Roman" w:hAnsi="Times New Roman"/>
        </w:rPr>
        <w:t xml:space="preserve"> zvýšenia súm peňa</w:t>
      </w:r>
      <w:r w:rsidR="00FD5465">
        <w:rPr>
          <w:rFonts w:ascii="Times New Roman" w:hAnsi="Times New Roman"/>
        </w:rPr>
        <w:t>žného príspevku na opatrovanie, n</w:t>
      </w:r>
      <w:r w:rsidRPr="00B73C7B" w:rsidR="00FD5465">
        <w:rPr>
          <w:rFonts w:ascii="Times New Roman" w:hAnsi="Times New Roman"/>
        </w:rPr>
        <w:t xml:space="preserve">edosiahli </w:t>
      </w:r>
      <w:r w:rsidR="00FD5465">
        <w:rPr>
          <w:rFonts w:ascii="Times New Roman" w:hAnsi="Times New Roman"/>
        </w:rPr>
        <w:t xml:space="preserve">však výšku schváleného rozpočtu </w:t>
      </w:r>
      <w:r w:rsidRPr="00B73C7B" w:rsidR="00FD5465">
        <w:rPr>
          <w:rFonts w:ascii="Times New Roman" w:hAnsi="Times New Roman"/>
        </w:rPr>
        <w:t>hlavne</w:t>
      </w:r>
      <w:r w:rsidR="00FD5465">
        <w:rPr>
          <w:rFonts w:ascii="Times New Roman" w:hAnsi="Times New Roman"/>
        </w:rPr>
        <w:t xml:space="preserve"> </w:t>
      </w:r>
      <w:r w:rsidRPr="00B73C7B" w:rsidR="00FD5465">
        <w:rPr>
          <w:rFonts w:ascii="Times New Roman" w:hAnsi="Times New Roman"/>
        </w:rPr>
        <w:t>z</w:t>
      </w:r>
      <w:r w:rsidR="00FD5465">
        <w:rPr>
          <w:rFonts w:ascii="Times New Roman" w:hAnsi="Times New Roman"/>
        </w:rPr>
        <w:t> </w:t>
      </w:r>
      <w:r w:rsidRPr="00B73C7B" w:rsidR="00FD5465">
        <w:rPr>
          <w:rFonts w:ascii="Times New Roman" w:hAnsi="Times New Roman"/>
        </w:rPr>
        <w:t>dôvodu</w:t>
      </w:r>
      <w:r w:rsidR="00FD5465">
        <w:rPr>
          <w:rFonts w:ascii="Times New Roman" w:hAnsi="Times New Roman"/>
        </w:rPr>
        <w:t xml:space="preserve"> </w:t>
      </w:r>
      <w:r w:rsidRPr="00B73C7B" w:rsidR="00FD5465">
        <w:rPr>
          <w:rFonts w:ascii="Times New Roman" w:hAnsi="Times New Roman"/>
        </w:rPr>
        <w:t xml:space="preserve">prirodzeného úbytku opatrovaných. </w:t>
      </w:r>
      <w:r w:rsidRPr="00B7758B">
        <w:rPr>
          <w:rFonts w:ascii="Times New Roman" w:hAnsi="Times New Roman"/>
        </w:rPr>
        <w:t xml:space="preserve">V skupine transferov tvoriacich sociálne dávky sa významne podieľali výdavky na </w:t>
      </w:r>
      <w:r w:rsidRPr="00E918D2">
        <w:rPr>
          <w:rFonts w:ascii="Times New Roman" w:hAnsi="Times New Roman"/>
          <w:i/>
        </w:rPr>
        <w:t>rodičovský príspevok</w:t>
      </w:r>
      <w:r w:rsidRPr="00B7758B">
        <w:rPr>
          <w:rFonts w:ascii="Times New Roman" w:hAnsi="Times New Roman"/>
        </w:rPr>
        <w:t xml:space="preserve"> realizované kapitolou Ministe</w:t>
      </w:r>
      <w:r>
        <w:rPr>
          <w:rFonts w:ascii="Times New Roman" w:hAnsi="Times New Roman"/>
        </w:rPr>
        <w:t xml:space="preserve">rstvom práce, sociálnych vecí a </w:t>
      </w:r>
      <w:r w:rsidRPr="00B7758B">
        <w:rPr>
          <w:rFonts w:ascii="Times New Roman" w:hAnsi="Times New Roman"/>
        </w:rPr>
        <w:t xml:space="preserve">rodiny SR (361 299 tis. eur), ktoré boli v porovnaní s rokom 2016 vyššie o 8 855 tis. eur. Dôvodom bola úprava sumy rodičovského príspevku s účinnosťou od 1. mája 2017 a to, že rodičia sa majú právo rozhodnúť, či budú poberať rodičovský príspevok, alebo dajú dieťa napr. do jasličiek a budú poberať príspevok na starostlivosť o dieťa, čo sa prejaví v čerpaní výdavkov </w:t>
      </w:r>
      <w:r w:rsidR="003864B8">
        <w:rPr>
          <w:rFonts w:ascii="Times New Roman" w:hAnsi="Times New Roman"/>
        </w:rPr>
        <w:t xml:space="preserve">ostatných sociálnych dávok. </w:t>
      </w:r>
      <w:r w:rsidRPr="00B7758B">
        <w:rPr>
          <w:rFonts w:ascii="Times New Roman" w:hAnsi="Times New Roman"/>
        </w:rPr>
        <w:t xml:space="preserve">Ďalšou významnou položkou sociálnych dávok je </w:t>
      </w:r>
      <w:r w:rsidRPr="00E918D2">
        <w:rPr>
          <w:rFonts w:ascii="Times New Roman" w:hAnsi="Times New Roman"/>
          <w:i/>
        </w:rPr>
        <w:t>prídavok na dieťa</w:t>
      </w:r>
      <w:r w:rsidRPr="00B7758B">
        <w:rPr>
          <w:rFonts w:ascii="Times New Roman" w:hAnsi="Times New Roman"/>
        </w:rPr>
        <w:t xml:space="preserve"> čerpan</w:t>
      </w:r>
      <w:r w:rsidR="00E918D2">
        <w:rPr>
          <w:rFonts w:ascii="Times New Roman" w:hAnsi="Times New Roman"/>
        </w:rPr>
        <w:t>ý</w:t>
      </w:r>
      <w:r w:rsidRPr="00B7758B">
        <w:rPr>
          <w:rFonts w:ascii="Times New Roman" w:hAnsi="Times New Roman"/>
        </w:rPr>
        <w:t xml:space="preserve"> kapitolou Ministerstv</w:t>
      </w:r>
      <w:r w:rsidR="00AE0F15">
        <w:rPr>
          <w:rFonts w:ascii="Times New Roman" w:hAnsi="Times New Roman"/>
        </w:rPr>
        <w:t>a</w:t>
      </w:r>
      <w:r w:rsidRPr="00B7758B">
        <w:rPr>
          <w:rFonts w:ascii="Times New Roman" w:hAnsi="Times New Roman"/>
        </w:rPr>
        <w:t xml:space="preserve"> práce, sociálnych vecí a rodiny SR (311 062 tis. eur), ktor</w:t>
      </w:r>
      <w:r w:rsidR="00E918D2">
        <w:rPr>
          <w:rFonts w:ascii="Times New Roman" w:hAnsi="Times New Roman"/>
        </w:rPr>
        <w:t>ý</w:t>
      </w:r>
      <w:r w:rsidRPr="00B7758B">
        <w:rPr>
          <w:rFonts w:ascii="Times New Roman" w:hAnsi="Times New Roman"/>
        </w:rPr>
        <w:t xml:space="preserve"> bola vyplaten</w:t>
      </w:r>
      <w:r w:rsidR="00E918D2">
        <w:rPr>
          <w:rFonts w:ascii="Times New Roman" w:hAnsi="Times New Roman"/>
        </w:rPr>
        <w:t>ý</w:t>
      </w:r>
      <w:r w:rsidRPr="00B7758B">
        <w:rPr>
          <w:rFonts w:ascii="Times New Roman" w:hAnsi="Times New Roman"/>
        </w:rPr>
        <w:t xml:space="preserve"> </w:t>
      </w:r>
      <w:r w:rsidR="003A0FEE">
        <w:rPr>
          <w:rFonts w:ascii="Times New Roman" w:hAnsi="Times New Roman"/>
        </w:rPr>
        <w:br/>
      </w:r>
      <w:r w:rsidRPr="00B7758B">
        <w:rPr>
          <w:rFonts w:ascii="Times New Roman" w:hAnsi="Times New Roman"/>
        </w:rPr>
        <w:t xml:space="preserve">v sume o 3 656 tis. eur nižšej ako bolo rozpočtované, nakoľko medziročne poklesol priemerný mesačný počet detí o 3 790. Výdavky </w:t>
      </w:r>
      <w:r w:rsidRPr="00E918D2">
        <w:rPr>
          <w:rFonts w:ascii="Times New Roman" w:hAnsi="Times New Roman"/>
          <w:i/>
        </w:rPr>
        <w:t>na ostatné dávky poskytované štátom</w:t>
      </w:r>
      <w:r w:rsidRPr="00B7758B">
        <w:rPr>
          <w:rFonts w:ascii="Times New Roman" w:hAnsi="Times New Roman"/>
        </w:rPr>
        <w:t xml:space="preserve"> boli čerpané v sume 16</w:t>
      </w:r>
      <w:r w:rsidR="00AE0F15">
        <w:rPr>
          <w:rFonts w:ascii="Times New Roman" w:hAnsi="Times New Roman"/>
        </w:rPr>
        <w:t>6</w:t>
      </w:r>
      <w:r>
        <w:rPr>
          <w:rFonts w:ascii="Times New Roman" w:hAnsi="Times New Roman"/>
        </w:rPr>
        <w:t> </w:t>
      </w:r>
      <w:r w:rsidRPr="00B7758B">
        <w:rPr>
          <w:rFonts w:ascii="Times New Roman" w:hAnsi="Times New Roman"/>
        </w:rPr>
        <w:t>4</w:t>
      </w:r>
      <w:r w:rsidR="00AE0F15">
        <w:rPr>
          <w:rFonts w:ascii="Times New Roman" w:hAnsi="Times New Roman"/>
        </w:rPr>
        <w:t>70</w:t>
      </w:r>
      <w:r>
        <w:rPr>
          <w:rFonts w:ascii="Times New Roman" w:hAnsi="Times New Roman"/>
        </w:rPr>
        <w:t> </w:t>
      </w:r>
      <w:r w:rsidRPr="00B7758B">
        <w:rPr>
          <w:rFonts w:ascii="Times New Roman" w:hAnsi="Times New Roman"/>
        </w:rPr>
        <w:t>tis. eur,</w:t>
      </w:r>
      <w:r w:rsidR="00AE0F15">
        <w:rPr>
          <w:rFonts w:ascii="Times New Roman" w:hAnsi="Times New Roman"/>
        </w:rPr>
        <w:t xml:space="preserve"> pričom najvýznamnejšie boli na kapitole </w:t>
      </w:r>
      <w:r w:rsidRPr="00B7758B" w:rsidR="00AE0F15">
        <w:rPr>
          <w:rFonts w:ascii="Times New Roman" w:hAnsi="Times New Roman"/>
        </w:rPr>
        <w:t>Ministerstv</w:t>
      </w:r>
      <w:r w:rsidR="00AE0F15">
        <w:rPr>
          <w:rFonts w:ascii="Times New Roman" w:hAnsi="Times New Roman"/>
        </w:rPr>
        <w:t>a</w:t>
      </w:r>
      <w:r w:rsidRPr="00B7758B" w:rsidR="00AE0F15">
        <w:rPr>
          <w:rFonts w:ascii="Times New Roman" w:hAnsi="Times New Roman"/>
        </w:rPr>
        <w:t xml:space="preserve"> práce, sociálnych vecí a rodiny SR</w:t>
      </w:r>
      <w:r w:rsidR="00AE0F15">
        <w:rPr>
          <w:rFonts w:ascii="Times New Roman" w:hAnsi="Times New Roman"/>
        </w:rPr>
        <w:t xml:space="preserve"> (164 634 tis. eur), </w:t>
      </w:r>
      <w:r w:rsidRPr="00B7758B">
        <w:rPr>
          <w:rFonts w:ascii="Times New Roman" w:hAnsi="Times New Roman"/>
        </w:rPr>
        <w:t xml:space="preserve">z toho na nesystémové dávky sociálneho poistenia 84 563 tis. eur a </w:t>
      </w:r>
      <w:r w:rsidR="003A0FEE">
        <w:rPr>
          <w:rFonts w:ascii="Times New Roman" w:hAnsi="Times New Roman"/>
        </w:rPr>
        <w:br/>
      </w:r>
      <w:r w:rsidRPr="00B7758B">
        <w:rPr>
          <w:rFonts w:ascii="Times New Roman" w:hAnsi="Times New Roman"/>
        </w:rPr>
        <w:t xml:space="preserve">na vianočný príspevok dôchodcom 80 071 tis. eur. </w:t>
      </w:r>
    </w:p>
    <w:p w:rsidR="00E918D2" w:rsidP="00FD5465">
      <w:pPr>
        <w:bidi w:val="0"/>
        <w:rPr>
          <w:rFonts w:ascii="Times New Roman" w:hAnsi="Times New Roman"/>
        </w:rPr>
      </w:pPr>
      <w:r w:rsidRPr="00B7758B" w:rsidR="00B7758B">
        <w:rPr>
          <w:rFonts w:ascii="Times New Roman" w:hAnsi="Times New Roman"/>
          <w:b/>
          <w:i/>
        </w:rPr>
        <w:t>Transfery obč. združeniam, nadáciám, neziskovým organizáciám, polit. stranám a hnutiam, odborovým organizáciám, cirkevným a súkromným školám, cirkvám, náboženským spoločnostiam a cirkevnej charite</w:t>
      </w:r>
      <w:r w:rsidRPr="00B7758B" w:rsidR="00B7758B">
        <w:rPr>
          <w:rFonts w:ascii="Times New Roman" w:hAnsi="Times New Roman"/>
        </w:rPr>
        <w:t xml:space="preserve"> boli poskytnuté vo výške 372 296 tis. eur, čo je o 37 741 tis. eur viac ako bolo rozpočtované. Z celkovej výšky transferov poskytnutých </w:t>
      </w:r>
      <w:r w:rsidRPr="00B7758B" w:rsidR="00B7758B">
        <w:rPr>
          <w:rFonts w:ascii="Times New Roman" w:hAnsi="Times New Roman"/>
          <w:b/>
        </w:rPr>
        <w:t>občianskemu združeniu, nadácii a neinvestičnému fondu</w:t>
      </w:r>
      <w:r w:rsidRPr="00B7758B" w:rsidR="00B7758B">
        <w:rPr>
          <w:rFonts w:ascii="Times New Roman" w:hAnsi="Times New Roman"/>
        </w:rPr>
        <w:t xml:space="preserve"> vo výške 92 420 tis. eur bolo vyčerpaných najviac v kapitole </w:t>
      </w:r>
      <w:r w:rsidRPr="00B7758B" w:rsidR="00B7758B">
        <w:rPr>
          <w:rFonts w:ascii="Times New Roman" w:hAnsi="Times New Roman"/>
          <w:szCs w:val="22"/>
        </w:rPr>
        <w:t>Ministerstva školstva, vedy, výskumu a športu SR</w:t>
      </w:r>
      <w:r w:rsidRPr="00B7758B" w:rsidR="00B7758B">
        <w:rPr>
          <w:rFonts w:ascii="Times New Roman" w:hAnsi="Times New Roman"/>
        </w:rPr>
        <w:t xml:space="preserve"> (54 430 tis. eur)</w:t>
      </w:r>
      <w:r w:rsidR="00AE0F15">
        <w:rPr>
          <w:rFonts w:ascii="Times New Roman" w:hAnsi="Times New Roman"/>
        </w:rPr>
        <w:t>. T</w:t>
      </w:r>
      <w:r w:rsidRPr="00B7758B" w:rsidR="00B7758B">
        <w:rPr>
          <w:rFonts w:ascii="Times New Roman" w:hAnsi="Times New Roman"/>
        </w:rPr>
        <w:t xml:space="preserve">ieto boli použité najmä Slovenským futbalovým zväzom (21 099 tis. eur), Slovenským zväzom ľadového hokeja (10 868 tis. eur), na účasť na multišportových podujatiach (Svetová deaflympiáda, Svetové hry neolympijských športov), na zabezpečenie činnosti Slovenského olympijského výboru a Slovenského paralympijského výboru, na zabezpečenie účasti reprezentácie SR na vrcholových športových podujatiach konaných v zahraničí, na ocenenie športovcov za výsledky dosiahnuté </w:t>
      </w:r>
      <w:r w:rsidR="003A0FEE">
        <w:rPr>
          <w:rFonts w:ascii="Times New Roman" w:hAnsi="Times New Roman"/>
        </w:rPr>
        <w:br/>
      </w:r>
      <w:r w:rsidRPr="00B7758B" w:rsidR="00B7758B">
        <w:rPr>
          <w:rFonts w:ascii="Times New Roman" w:hAnsi="Times New Roman"/>
        </w:rPr>
        <w:t>v roku 2016 a trénerov mládeže</w:t>
      </w:r>
      <w:r w:rsidR="00AE0F15">
        <w:rPr>
          <w:rFonts w:ascii="Times New Roman" w:hAnsi="Times New Roman"/>
        </w:rPr>
        <w:t>. N</w:t>
      </w:r>
      <w:r w:rsidRPr="00B7758B" w:rsidR="00B7758B">
        <w:rPr>
          <w:rFonts w:ascii="Times New Roman" w:hAnsi="Times New Roman"/>
        </w:rPr>
        <w:t xml:space="preserve">árast výdavkov bol spôsobený najmä v súvislosti </w:t>
      </w:r>
      <w:r w:rsidR="003A0FEE">
        <w:rPr>
          <w:rFonts w:ascii="Times New Roman" w:hAnsi="Times New Roman"/>
        </w:rPr>
        <w:br/>
      </w:r>
      <w:r w:rsidRPr="00B7758B" w:rsidR="00B7758B">
        <w:rPr>
          <w:rFonts w:ascii="Times New Roman" w:hAnsi="Times New Roman"/>
        </w:rPr>
        <w:t xml:space="preserve">so zabezpečením financovania športovej prípravy športovcov TOP tímu, organizovania významných športových podujatí na Slovensku (1 190 tis. eur) a na účasť výprav SR na Zimných olympijských hrách a Zimných paralympijských hrách 2018 v Pjongčangu (1 510 tis. eur), nakoľko tieto prostriedky boli pôvodne rozpočtované ako kapitálové výdavky. Ministerstvom práce, sociálnych vecí a rodiny SR (15 152 tis. eur) boli </w:t>
      </w:r>
      <w:r w:rsidR="00AE0F15">
        <w:rPr>
          <w:rFonts w:ascii="Times New Roman" w:hAnsi="Times New Roman"/>
        </w:rPr>
        <w:t xml:space="preserve">uvedené transfery </w:t>
      </w:r>
      <w:r w:rsidRPr="00B7758B" w:rsidR="00B7758B">
        <w:rPr>
          <w:rFonts w:ascii="Times New Roman" w:hAnsi="Times New Roman"/>
        </w:rPr>
        <w:t xml:space="preserve">poskytnuté </w:t>
      </w:r>
      <w:r w:rsidR="003A0FEE">
        <w:rPr>
          <w:rFonts w:ascii="Times New Roman" w:hAnsi="Times New Roman"/>
        </w:rPr>
        <w:br/>
      </w:r>
      <w:r w:rsidRPr="00B7758B" w:rsidR="00B7758B">
        <w:rPr>
          <w:rFonts w:ascii="Times New Roman" w:hAnsi="Times New Roman"/>
        </w:rPr>
        <w:t xml:space="preserve">na spolufinancovanie sociálnych služieb a formou dotácií podľa zákona 544/2010 Z. z. a </w:t>
      </w:r>
      <w:r w:rsidR="003A0FEE">
        <w:rPr>
          <w:rFonts w:ascii="Times New Roman" w:hAnsi="Times New Roman"/>
        </w:rPr>
        <w:br/>
      </w:r>
      <w:r w:rsidRPr="00B7758B" w:rsidR="00B7758B">
        <w:rPr>
          <w:rFonts w:ascii="Times New Roman" w:hAnsi="Times New Roman"/>
        </w:rPr>
        <w:t xml:space="preserve">na ústavnú starostlivosť v neštátnych zariadeniach a na prevenciu a sanáciu (Starostlivosť </w:t>
      </w:r>
      <w:r w:rsidR="003A0FEE">
        <w:rPr>
          <w:rFonts w:ascii="Times New Roman" w:hAnsi="Times New Roman"/>
        </w:rPr>
        <w:br/>
      </w:r>
      <w:r w:rsidRPr="00B7758B" w:rsidR="00B7758B">
        <w:rPr>
          <w:rFonts w:ascii="Times New Roman" w:hAnsi="Times New Roman"/>
        </w:rPr>
        <w:t xml:space="preserve">o ohrozené deti) a dotáciu na stravu a školské potreby pre dieťa v hmotnej núdzi (Pomoc v hmotnej núdzi). </w:t>
      </w:r>
    </w:p>
    <w:p w:rsidR="005E3BB0" w:rsidP="00FD5465">
      <w:pPr>
        <w:bidi w:val="0"/>
        <w:rPr>
          <w:rFonts w:ascii="Times New Roman" w:hAnsi="Times New Roman"/>
        </w:rPr>
      </w:pPr>
      <w:r w:rsidRPr="00B7758B" w:rsidR="00B7758B">
        <w:rPr>
          <w:rFonts w:ascii="Times New Roman" w:hAnsi="Times New Roman"/>
        </w:rPr>
        <w:t xml:space="preserve">Transfery </w:t>
      </w:r>
      <w:r w:rsidRPr="00B7758B" w:rsidR="00B7758B">
        <w:rPr>
          <w:rFonts w:ascii="Times New Roman" w:hAnsi="Times New Roman"/>
          <w:b/>
        </w:rPr>
        <w:t>cirkevnej škole</w:t>
      </w:r>
      <w:r w:rsidRPr="00B7758B" w:rsidR="00B7758B">
        <w:rPr>
          <w:rFonts w:ascii="Times New Roman" w:hAnsi="Times New Roman"/>
        </w:rPr>
        <w:t xml:space="preserve"> (88 347 tis. eur) a </w:t>
      </w:r>
      <w:r w:rsidRPr="00B7758B" w:rsidR="00B7758B">
        <w:rPr>
          <w:rFonts w:ascii="Times New Roman" w:hAnsi="Times New Roman"/>
          <w:b/>
        </w:rPr>
        <w:t>súkromnej škole</w:t>
      </w:r>
      <w:r w:rsidRPr="00B7758B" w:rsidR="00B7758B">
        <w:rPr>
          <w:rFonts w:ascii="Times New Roman" w:hAnsi="Times New Roman"/>
        </w:rPr>
        <w:t xml:space="preserve"> (74 725 tis. eur) boli poskytnuté takmer výlučne Ministerstvom vnútra SR na zabezpečenie </w:t>
      </w:r>
      <w:r w:rsidR="00E918D2">
        <w:rPr>
          <w:rFonts w:ascii="Times New Roman" w:hAnsi="Times New Roman"/>
        </w:rPr>
        <w:t>výchovy a vzdelávania mládeže v </w:t>
      </w:r>
      <w:r w:rsidRPr="00B7758B" w:rsidR="00B7758B">
        <w:rPr>
          <w:rFonts w:ascii="Times New Roman" w:hAnsi="Times New Roman"/>
        </w:rPr>
        <w:t xml:space="preserve">základných a stredných školách, na zabezpečenie prevádzky škôl, na financovanie normatívnych výdavkov a na úhradu nenormatívnych výdavkov škôl a školských zariadení (najmä príspevok </w:t>
      </w:r>
      <w:r w:rsidR="003A0FEE">
        <w:rPr>
          <w:rFonts w:ascii="Times New Roman" w:hAnsi="Times New Roman"/>
        </w:rPr>
        <w:br/>
      </w:r>
      <w:r w:rsidRPr="00B7758B" w:rsidR="00B7758B">
        <w:rPr>
          <w:rFonts w:ascii="Times New Roman" w:hAnsi="Times New Roman"/>
        </w:rPr>
        <w:t xml:space="preserve">na vzdelávacie poukazy, príspevok na asistentov učiteľa, na lyžiarske kurzy a školy v prírode, </w:t>
      </w:r>
      <w:r w:rsidR="003A0FEE">
        <w:rPr>
          <w:rFonts w:ascii="Times New Roman" w:hAnsi="Times New Roman"/>
        </w:rPr>
        <w:br/>
      </w:r>
      <w:r w:rsidRPr="00B7758B" w:rsidR="00B7758B">
        <w:rPr>
          <w:rFonts w:ascii="Times New Roman" w:hAnsi="Times New Roman"/>
        </w:rPr>
        <w:t xml:space="preserve">na dopravné, príspevok na výchovu a vzdelávanie detí materských škôl). </w:t>
      </w:r>
    </w:p>
    <w:p w:rsidR="005E3BB0" w:rsidP="00FD5465">
      <w:pPr>
        <w:bidi w:val="0"/>
        <w:rPr>
          <w:rFonts w:ascii="Times New Roman" w:hAnsi="Times New Roman"/>
        </w:rPr>
      </w:pPr>
      <w:r w:rsidRPr="00B7758B" w:rsidR="00B7758B">
        <w:rPr>
          <w:rFonts w:ascii="Times New Roman" w:hAnsi="Times New Roman"/>
        </w:rPr>
        <w:t xml:space="preserve">Z transferu </w:t>
      </w:r>
      <w:r w:rsidRPr="00B7758B" w:rsidR="00B7758B">
        <w:rPr>
          <w:rFonts w:ascii="Times New Roman" w:hAnsi="Times New Roman"/>
          <w:b/>
        </w:rPr>
        <w:t>neziskovej organizácii poskytujúcej všeobecne prospešné služby</w:t>
      </w:r>
      <w:r w:rsidRPr="00B7758B" w:rsidR="00B7758B">
        <w:rPr>
          <w:rFonts w:ascii="Times New Roman" w:hAnsi="Times New Roman"/>
        </w:rPr>
        <w:t xml:space="preserve"> boli poskytnuté žiadateľom (občianske združenia, cirkevné organizácie, obce, organizácie cestovného ruchu) prostriedky v celkovej výške 60 785 tis. eur, v prevažnej miere Ministerstvom práce, sociálnych vecí a rodiny SR (</w:t>
      </w:r>
      <w:r w:rsidR="00AE0F15">
        <w:rPr>
          <w:rFonts w:ascii="Times New Roman" w:hAnsi="Times New Roman"/>
        </w:rPr>
        <w:t>49 762 </w:t>
      </w:r>
      <w:r w:rsidRPr="00B7758B" w:rsidR="00B7758B">
        <w:rPr>
          <w:rFonts w:ascii="Times New Roman" w:hAnsi="Times New Roman"/>
        </w:rPr>
        <w:t>tis. eur)</w:t>
      </w:r>
      <w:r w:rsidR="00AE0F15">
        <w:rPr>
          <w:rFonts w:ascii="Times New Roman" w:hAnsi="Times New Roman"/>
        </w:rPr>
        <w:t>, a to</w:t>
      </w:r>
      <w:r w:rsidRPr="00B7758B" w:rsidR="00B7758B">
        <w:rPr>
          <w:rFonts w:ascii="Times New Roman" w:hAnsi="Times New Roman"/>
        </w:rPr>
        <w:t xml:space="preserve"> na spolufinancovanie sociálnych služieb a formou dotácií podľa zákona 544/2010 Z. z. a na ústavnú starostlivosť v neštátnych zariadeniach a na prevenciu a sanáciu </w:t>
      </w:r>
      <w:r>
        <w:rPr>
          <w:rFonts w:ascii="Times New Roman" w:hAnsi="Times New Roman"/>
        </w:rPr>
        <w:t>(Starostlivosť o ohrozené deti).</w:t>
      </w:r>
      <w:r w:rsidRPr="00B7758B" w:rsidR="00B7758B">
        <w:rPr>
          <w:rFonts w:ascii="Times New Roman" w:hAnsi="Times New Roman"/>
        </w:rPr>
        <w:t xml:space="preserve"> </w:t>
      </w:r>
      <w:r w:rsidRPr="00B7758B" w:rsidR="00B7758B">
        <w:rPr>
          <w:rFonts w:ascii="Times New Roman" w:hAnsi="Times New Roman"/>
          <w:szCs w:val="22"/>
        </w:rPr>
        <w:t xml:space="preserve">Z celkovej výšky transferu </w:t>
      </w:r>
      <w:r w:rsidRPr="00B7758B" w:rsidR="00B7758B">
        <w:rPr>
          <w:rFonts w:ascii="Times New Roman" w:hAnsi="Times New Roman"/>
          <w:b/>
          <w:szCs w:val="22"/>
        </w:rPr>
        <w:t>cirkvi, náboženskej spoločnosti a cirkevnej charite</w:t>
      </w:r>
      <w:r w:rsidRPr="00B7758B" w:rsidR="00B7758B">
        <w:rPr>
          <w:rFonts w:ascii="Times New Roman" w:hAnsi="Times New Roman"/>
          <w:szCs w:val="22"/>
        </w:rPr>
        <w:t xml:space="preserve"> (54 651 tis. eur) bol</w:t>
      </w:r>
      <w:r w:rsidR="00D01292">
        <w:rPr>
          <w:rFonts w:ascii="Times New Roman" w:hAnsi="Times New Roman"/>
          <w:szCs w:val="22"/>
        </w:rPr>
        <w:t>i</w:t>
      </w:r>
      <w:r w:rsidRPr="00B7758B" w:rsidR="00B7758B">
        <w:rPr>
          <w:rFonts w:ascii="Times New Roman" w:hAnsi="Times New Roman"/>
          <w:szCs w:val="22"/>
        </w:rPr>
        <w:t xml:space="preserve"> v najväčšej miere poukázané </w:t>
      </w:r>
      <w:r w:rsidR="00D01292">
        <w:rPr>
          <w:rFonts w:ascii="Times New Roman" w:hAnsi="Times New Roman"/>
          <w:szCs w:val="22"/>
        </w:rPr>
        <w:t xml:space="preserve">prostriedky prostredníctvom kapitoly </w:t>
      </w:r>
      <w:r w:rsidRPr="00B7758B" w:rsidR="00B7758B">
        <w:rPr>
          <w:rFonts w:ascii="Times New Roman" w:hAnsi="Times New Roman"/>
          <w:szCs w:val="22"/>
        </w:rPr>
        <w:t>Ministerstv</w:t>
      </w:r>
      <w:r w:rsidR="00D01292">
        <w:rPr>
          <w:rFonts w:ascii="Times New Roman" w:hAnsi="Times New Roman"/>
          <w:szCs w:val="22"/>
        </w:rPr>
        <w:t>a</w:t>
      </w:r>
      <w:r w:rsidRPr="00B7758B" w:rsidR="00B7758B">
        <w:rPr>
          <w:rFonts w:ascii="Times New Roman" w:hAnsi="Times New Roman"/>
          <w:szCs w:val="22"/>
        </w:rPr>
        <w:t xml:space="preserve"> kultúry SR (43 798 tis. eur) na platy duchovných a zákonné odvody a prevádzku cirkví a náboženských spoločností a </w:t>
      </w:r>
      <w:r w:rsidRPr="00B7758B" w:rsidR="00B7758B">
        <w:rPr>
          <w:rFonts w:ascii="Times New Roman" w:hAnsi="Times New Roman"/>
        </w:rPr>
        <w:t xml:space="preserve">Ministerstvom práce, sociálnych vecí a rodiny SR (10 481 tis. eur). </w:t>
      </w:r>
    </w:p>
    <w:p w:rsidR="00FD5465" w:rsidP="00FD5465">
      <w:pPr>
        <w:bidi w:val="0"/>
        <w:rPr>
          <w:rFonts w:ascii="Times New Roman" w:hAnsi="Times New Roman"/>
        </w:rPr>
      </w:pPr>
      <w:r w:rsidR="005E3BB0">
        <w:rPr>
          <w:rFonts w:ascii="Times New Roman" w:hAnsi="Times New Roman"/>
        </w:rPr>
        <w:t xml:space="preserve">Výdavky na </w:t>
      </w:r>
      <w:r w:rsidRPr="005E3BB0" w:rsidR="005E3BB0">
        <w:rPr>
          <w:rFonts w:ascii="Times New Roman" w:hAnsi="Times New Roman"/>
          <w:b/>
          <w:i/>
        </w:rPr>
        <w:t>a</w:t>
      </w:r>
      <w:r w:rsidRPr="00415165" w:rsidR="005E3BB0">
        <w:rPr>
          <w:rFonts w:ascii="Times New Roman" w:hAnsi="Times New Roman"/>
          <w:b/>
          <w:i/>
        </w:rPr>
        <w:t>ktívne opatrenia trhu práce</w:t>
      </w:r>
      <w:r w:rsidR="005E3BB0">
        <w:rPr>
          <w:rFonts w:ascii="Times New Roman" w:hAnsi="Times New Roman"/>
        </w:rPr>
        <w:t xml:space="preserve"> boli čerpané v sume </w:t>
      </w:r>
      <w:r w:rsidRPr="00415165">
        <w:rPr>
          <w:rFonts w:ascii="Times New Roman" w:hAnsi="Times New Roman"/>
        </w:rPr>
        <w:t xml:space="preserve">165 085 tis. eur, z toho zo štátneho rozpočtu 34 674 tis. eur a prostriedky EÚ a spolufinancovania OP Ľudské zdroje a Iniciatívy na podporu zamestnávania mladých v sume 130 411 tis. eur. Ide výlučne o výdavky úradov práce, sociálnych vecí a rodiny poskytované formou príspevkov v súlade so </w:t>
      </w:r>
      <w:r w:rsidR="00457F6F">
        <w:rPr>
          <w:rFonts w:ascii="Times New Roman" w:hAnsi="Times New Roman"/>
        </w:rPr>
        <w:t>zákonom o </w:t>
      </w:r>
      <w:r w:rsidRPr="00415165">
        <w:rPr>
          <w:rFonts w:ascii="Times New Roman" w:hAnsi="Times New Roman"/>
        </w:rPr>
        <w:t>službách zamestnanosti.</w:t>
      </w:r>
      <w:r>
        <w:rPr>
          <w:rFonts w:ascii="Times New Roman" w:hAnsi="Times New Roman"/>
        </w:rPr>
        <w:t xml:space="preserve"> </w:t>
      </w:r>
      <w:r w:rsidR="00457F6F">
        <w:rPr>
          <w:rFonts w:ascii="Times New Roman" w:hAnsi="Times New Roman"/>
        </w:rPr>
        <w:t xml:space="preserve">Nižšie čerpanie </w:t>
      </w:r>
      <w:r w:rsidRPr="00415165">
        <w:rPr>
          <w:rFonts w:ascii="Times New Roman" w:hAnsi="Times New Roman"/>
        </w:rPr>
        <w:t>voči schválenému rozpočtu vyplýva zo spôsobu rozpočtovania výdavkov</w:t>
      </w:r>
      <w:r>
        <w:rPr>
          <w:rFonts w:ascii="Times New Roman" w:hAnsi="Times New Roman"/>
        </w:rPr>
        <w:t xml:space="preserve"> a n</w:t>
      </w:r>
      <w:r w:rsidRPr="00415165">
        <w:rPr>
          <w:rFonts w:ascii="Times New Roman" w:hAnsi="Times New Roman"/>
        </w:rPr>
        <w:t>evyčerpané prostriedky EU a s</w:t>
      </w:r>
      <w:r w:rsidR="00457F6F">
        <w:rPr>
          <w:rFonts w:ascii="Times New Roman" w:hAnsi="Times New Roman"/>
        </w:rPr>
        <w:t>polufinancovania boli viazané v </w:t>
      </w:r>
      <w:r w:rsidRPr="00415165">
        <w:rPr>
          <w:rFonts w:ascii="Times New Roman" w:hAnsi="Times New Roman"/>
        </w:rPr>
        <w:t>prospech roku 2018.</w:t>
      </w:r>
      <w:r>
        <w:rPr>
          <w:rFonts w:ascii="Times New Roman" w:hAnsi="Times New Roman"/>
        </w:rPr>
        <w:t xml:space="preserve"> </w:t>
      </w:r>
    </w:p>
    <w:p w:rsidR="005E3BB0" w:rsidP="00B7758B">
      <w:pPr>
        <w:bidi w:val="0"/>
        <w:rPr>
          <w:rFonts w:ascii="Times New Roman" w:hAnsi="Times New Roman"/>
        </w:rPr>
      </w:pPr>
      <w:r w:rsidRPr="00B7758B" w:rsidR="00B7758B">
        <w:rPr>
          <w:rFonts w:ascii="Times New Roman" w:hAnsi="Times New Roman"/>
        </w:rPr>
        <w:t xml:space="preserve">Na celkovú výšku </w:t>
      </w:r>
      <w:r w:rsidRPr="00B7758B" w:rsidR="00B7758B">
        <w:rPr>
          <w:rFonts w:ascii="Times New Roman" w:hAnsi="Times New Roman"/>
          <w:b/>
          <w:i/>
        </w:rPr>
        <w:t>ostatných transferov</w:t>
      </w:r>
      <w:r w:rsidRPr="00B7758B" w:rsidR="00B7758B">
        <w:rPr>
          <w:rFonts w:ascii="Times New Roman" w:hAnsi="Times New Roman"/>
        </w:rPr>
        <w:t xml:space="preserve"> (133 735 tis. eur) mali podstatný vplyv </w:t>
      </w:r>
      <w:r w:rsidRPr="00B7758B" w:rsidR="00B7758B">
        <w:rPr>
          <w:rFonts w:ascii="Times New Roman" w:hAnsi="Times New Roman"/>
          <w:b/>
        </w:rPr>
        <w:t xml:space="preserve">transfery </w:t>
      </w:r>
      <w:r w:rsidR="004D1484">
        <w:rPr>
          <w:rFonts w:ascii="Times New Roman" w:hAnsi="Times New Roman"/>
          <w:b/>
        </w:rPr>
        <w:br/>
      </w:r>
      <w:r w:rsidRPr="00B7758B" w:rsidR="00B7758B">
        <w:rPr>
          <w:rFonts w:ascii="Times New Roman" w:hAnsi="Times New Roman"/>
          <w:b/>
        </w:rPr>
        <w:t>na</w:t>
      </w:r>
      <w:r w:rsidRPr="00B7758B" w:rsidR="00B7758B">
        <w:rPr>
          <w:rFonts w:ascii="Times New Roman" w:hAnsi="Times New Roman"/>
        </w:rPr>
        <w:t xml:space="preserve"> </w:t>
      </w:r>
      <w:r w:rsidRPr="00B7758B" w:rsidR="00B7758B">
        <w:rPr>
          <w:rFonts w:ascii="Times New Roman" w:hAnsi="Times New Roman"/>
          <w:b/>
        </w:rPr>
        <w:t>peňažné náležitosti v ozbrojených silách</w:t>
      </w:r>
      <w:r w:rsidRPr="00B7758B" w:rsidR="00B7758B">
        <w:rPr>
          <w:rFonts w:ascii="Times New Roman" w:hAnsi="Times New Roman"/>
        </w:rPr>
        <w:t xml:space="preserve"> (48 599 tis. eur) čerpané najmä Ministerstvom obrany SR (39 232 tis. eur) na aktivačný príspevok, stabilizačný príspevok a osobitný stabilizačný príspevok profesionálnym vojakom a Ministerstvom vnútra SR (8 473 tis. eur) na príspevok </w:t>
      </w:r>
      <w:r w:rsidR="004D1484">
        <w:rPr>
          <w:rFonts w:ascii="Times New Roman" w:hAnsi="Times New Roman"/>
        </w:rPr>
        <w:br/>
      </w:r>
      <w:r w:rsidRPr="00B7758B" w:rsidR="00B7758B">
        <w:rPr>
          <w:rFonts w:ascii="Times New Roman" w:hAnsi="Times New Roman"/>
        </w:rPr>
        <w:t>na bývanie policajtov</w:t>
      </w:r>
      <w:r>
        <w:rPr>
          <w:rFonts w:ascii="Times New Roman" w:hAnsi="Times New Roman"/>
        </w:rPr>
        <w:t>.</w:t>
      </w:r>
      <w:r>
        <w:rPr>
          <w:rStyle w:val="FootnoteReference"/>
          <w:rFonts w:ascii="Times New Roman" w:hAnsi="Times New Roman"/>
          <w:rtl w:val="0"/>
        </w:rPr>
        <w:footnoteReference w:id="19"/>
      </w:r>
      <w:r w:rsidRPr="00B7758B" w:rsidR="00B7758B">
        <w:rPr>
          <w:rFonts w:ascii="Times New Roman" w:hAnsi="Times New Roman"/>
        </w:rPr>
        <w:t xml:space="preserve"> Na výšku ostatných transferov vplývalo aj </w:t>
      </w:r>
      <w:r w:rsidRPr="00B7758B" w:rsidR="00B7758B">
        <w:rPr>
          <w:rFonts w:ascii="Times New Roman" w:hAnsi="Times New Roman"/>
          <w:b/>
        </w:rPr>
        <w:t>odchodné</w:t>
      </w:r>
      <w:r w:rsidRPr="00B7758B" w:rsidR="00B7758B">
        <w:rPr>
          <w:rFonts w:ascii="Times New Roman" w:hAnsi="Times New Roman"/>
        </w:rPr>
        <w:t xml:space="preserve"> (21 391 tis. eur) realizované v prevažnej miere Ministerstvom vnútra SR (16 634 tis. eur) za účelom vyplatenia odchodného zamestnancom resp. príslušníkom policajného zboru pri prvom skončení pracovného alebo služobného pomeru po nadobudnutí nároku na starobný resp. výsluhový dôchodok podľa príslušných predpisov. Transfer </w:t>
      </w:r>
      <w:r w:rsidRPr="00B7758B" w:rsidR="00B7758B">
        <w:rPr>
          <w:rFonts w:ascii="Times New Roman" w:hAnsi="Times New Roman"/>
          <w:b/>
        </w:rPr>
        <w:t>na príspevok na osobitný účet</w:t>
      </w:r>
      <w:r w:rsidRPr="00B7758B" w:rsidR="00B7758B">
        <w:rPr>
          <w:rFonts w:ascii="Times New Roman" w:hAnsi="Times New Roman"/>
        </w:rPr>
        <w:t xml:space="preserve"> (93 713 tis. eur) je príspevok </w:t>
      </w:r>
      <w:r w:rsidR="004D1484">
        <w:rPr>
          <w:rFonts w:ascii="Times New Roman" w:hAnsi="Times New Roman"/>
        </w:rPr>
        <w:br/>
      </w:r>
      <w:r w:rsidRPr="00B7758B" w:rsidR="00B7758B">
        <w:rPr>
          <w:rFonts w:ascii="Times New Roman" w:hAnsi="Times New Roman"/>
        </w:rPr>
        <w:t xml:space="preserve">na úhradu rozdielov medzi príjmami a výdavkami osobitného účtu v zmysle § 94 ods. 4 zákona č. 328/2002 Z. z. o sociálnom zabezpečení policajtov a vojakov v znení neskorších predpisov vyplácaný Ministerstvom obrany SR (89 136 tis. eur), Ministerstvom spravodlivosti </w:t>
      </w:r>
      <w:r w:rsidR="00B7758B">
        <w:rPr>
          <w:rFonts w:ascii="Times New Roman" w:hAnsi="Times New Roman"/>
        </w:rPr>
        <w:t>SR</w:t>
      </w:r>
      <w:r w:rsidR="0034534B">
        <w:rPr>
          <w:rFonts w:ascii="Times New Roman" w:hAnsi="Times New Roman"/>
        </w:rPr>
        <w:t xml:space="preserve"> (4 150 tis. eur) a </w:t>
      </w:r>
      <w:r w:rsidRPr="00B7758B" w:rsidR="00B7758B">
        <w:rPr>
          <w:rFonts w:ascii="Times New Roman" w:hAnsi="Times New Roman"/>
        </w:rPr>
        <w:t xml:space="preserve">Ministerstvom vnútra </w:t>
      </w:r>
      <w:r w:rsidR="0034534B">
        <w:rPr>
          <w:rFonts w:ascii="Times New Roman" w:hAnsi="Times New Roman"/>
        </w:rPr>
        <w:t xml:space="preserve">SR </w:t>
      </w:r>
      <w:r w:rsidRPr="00B7758B" w:rsidR="00B7758B">
        <w:rPr>
          <w:rFonts w:ascii="Times New Roman" w:hAnsi="Times New Roman"/>
        </w:rPr>
        <w:t xml:space="preserve">428 tis. eur. </w:t>
      </w:r>
    </w:p>
    <w:p w:rsidR="00B7758B" w:rsidP="00B7758B">
      <w:pPr>
        <w:bidi w:val="0"/>
        <w:rPr>
          <w:rFonts w:ascii="Times New Roman" w:hAnsi="Times New Roman"/>
          <w:szCs w:val="22"/>
        </w:rPr>
      </w:pPr>
      <w:r w:rsidR="005E3BB0">
        <w:rPr>
          <w:rFonts w:ascii="Times New Roman" w:hAnsi="Times New Roman"/>
          <w:b/>
        </w:rPr>
        <w:t>T</w:t>
      </w:r>
      <w:r w:rsidRPr="00B7758B">
        <w:rPr>
          <w:rFonts w:ascii="Times New Roman" w:hAnsi="Times New Roman"/>
          <w:b/>
        </w:rPr>
        <w:t>ransfer</w:t>
      </w:r>
      <w:r w:rsidR="005E3BB0">
        <w:rPr>
          <w:rFonts w:ascii="Times New Roman" w:hAnsi="Times New Roman"/>
          <w:b/>
        </w:rPr>
        <w:t>y</w:t>
      </w:r>
      <w:r w:rsidRPr="00B7758B">
        <w:rPr>
          <w:rFonts w:ascii="Times New Roman" w:hAnsi="Times New Roman"/>
          <w:b/>
        </w:rPr>
        <w:t xml:space="preserve"> jednotlivcom</w:t>
      </w:r>
      <w:r w:rsidRPr="00B7758B">
        <w:rPr>
          <w:rFonts w:ascii="Times New Roman" w:hAnsi="Times New Roman"/>
        </w:rPr>
        <w:t xml:space="preserve"> </w:t>
      </w:r>
      <w:r w:rsidR="005E3BB0">
        <w:rPr>
          <w:rFonts w:ascii="Times New Roman" w:hAnsi="Times New Roman"/>
        </w:rPr>
        <w:t xml:space="preserve">dosiahli sumu </w:t>
      </w:r>
      <w:r w:rsidRPr="00B7758B">
        <w:rPr>
          <w:rFonts w:ascii="Times New Roman" w:hAnsi="Times New Roman"/>
        </w:rPr>
        <w:t>71 607 tis. eur</w:t>
      </w:r>
      <w:r w:rsidR="005E3BB0">
        <w:rPr>
          <w:rFonts w:ascii="Times New Roman" w:hAnsi="Times New Roman"/>
        </w:rPr>
        <w:t xml:space="preserve">, pričom ide najmä o </w:t>
      </w:r>
      <w:r w:rsidR="005E3BB0">
        <w:rPr>
          <w:rFonts w:ascii="Times New Roman" w:hAnsi="Times New Roman"/>
          <w:szCs w:val="22"/>
        </w:rPr>
        <w:t>štátnu prémiu k </w:t>
      </w:r>
      <w:r w:rsidRPr="00B7758B" w:rsidR="005E3BB0">
        <w:rPr>
          <w:rFonts w:ascii="Times New Roman" w:hAnsi="Times New Roman"/>
          <w:szCs w:val="22"/>
        </w:rPr>
        <w:t>stavebnému sporeniu a</w:t>
      </w:r>
      <w:r w:rsidR="005E3BB0">
        <w:rPr>
          <w:rFonts w:ascii="Times New Roman" w:hAnsi="Times New Roman"/>
          <w:szCs w:val="22"/>
        </w:rPr>
        <w:t xml:space="preserve"> </w:t>
      </w:r>
      <w:r w:rsidRPr="00B7758B" w:rsidR="005E3BB0">
        <w:rPr>
          <w:rFonts w:ascii="Times New Roman" w:hAnsi="Times New Roman"/>
          <w:szCs w:val="22"/>
        </w:rPr>
        <w:t>štátny príspevok k hypotekárnym úverom</w:t>
      </w:r>
      <w:r w:rsidR="005E3BB0">
        <w:rPr>
          <w:rFonts w:ascii="Times New Roman" w:hAnsi="Times New Roman"/>
          <w:szCs w:val="22"/>
        </w:rPr>
        <w:t xml:space="preserve"> (</w:t>
      </w:r>
      <w:r w:rsidRPr="00B7758B" w:rsidR="005E3BB0">
        <w:rPr>
          <w:rFonts w:ascii="Times New Roman" w:hAnsi="Times New Roman"/>
          <w:szCs w:val="22"/>
        </w:rPr>
        <w:t>58 274 tis. eur</w:t>
      </w:r>
      <w:r w:rsidR="005E3BB0">
        <w:rPr>
          <w:rFonts w:ascii="Times New Roman" w:hAnsi="Times New Roman"/>
          <w:szCs w:val="22"/>
        </w:rPr>
        <w:t>).</w:t>
      </w:r>
      <w:r w:rsidRPr="00B7758B" w:rsidR="005E3BB0">
        <w:rPr>
          <w:rFonts w:ascii="Times New Roman" w:hAnsi="Times New Roman"/>
        </w:rPr>
        <w:t xml:space="preserve"> </w:t>
      </w:r>
    </w:p>
    <w:p w:rsidR="00FD5465" w:rsidRPr="005056AE" w:rsidP="00F17E8A">
      <w:pPr>
        <w:bidi w:val="0"/>
        <w:spacing w:after="200"/>
        <w:rPr>
          <w:rFonts w:ascii="Times New Roman" w:hAnsi="Times New Roman"/>
        </w:rPr>
      </w:pPr>
      <w:r w:rsidRPr="005056AE">
        <w:rPr>
          <w:rFonts w:ascii="Times New Roman" w:hAnsi="Times New Roman"/>
          <w:b/>
          <w:i/>
        </w:rPr>
        <w:t>Transfery nefinančným subjektom a transfery príspevkovým organizáciám nezaradeným vo verejnej správe SR</w:t>
      </w:r>
      <w:r w:rsidRPr="005056AE">
        <w:rPr>
          <w:rFonts w:ascii="Times New Roman" w:hAnsi="Times New Roman"/>
        </w:rPr>
        <w:t xml:space="preserve"> boli rozpočtované vo výške 1</w:t>
      </w:r>
      <w:r>
        <w:rPr>
          <w:rFonts w:ascii="Times New Roman" w:hAnsi="Times New Roman"/>
        </w:rPr>
        <w:t> 03</w:t>
      </w:r>
      <w:r w:rsidRPr="005056AE">
        <w:rPr>
          <w:rFonts w:ascii="Times New Roman" w:hAnsi="Times New Roman"/>
        </w:rPr>
        <w:t>7</w:t>
      </w:r>
      <w:r>
        <w:rPr>
          <w:rFonts w:ascii="Times New Roman" w:hAnsi="Times New Roman"/>
        </w:rPr>
        <w:t> 72</w:t>
      </w:r>
      <w:r w:rsidRPr="005056AE">
        <w:rPr>
          <w:rFonts w:ascii="Times New Roman" w:hAnsi="Times New Roman"/>
        </w:rPr>
        <w:t>2</w:t>
      </w:r>
      <w:r>
        <w:rPr>
          <w:rFonts w:ascii="Times New Roman" w:hAnsi="Times New Roman"/>
        </w:rPr>
        <w:t> </w:t>
      </w:r>
      <w:r w:rsidRPr="005056AE">
        <w:rPr>
          <w:rFonts w:ascii="Times New Roman" w:hAnsi="Times New Roman"/>
        </w:rPr>
        <w:t>tis.</w:t>
      </w:r>
      <w:r>
        <w:rPr>
          <w:rFonts w:ascii="Times New Roman" w:hAnsi="Times New Roman"/>
        </w:rPr>
        <w:t> </w:t>
      </w:r>
      <w:r w:rsidRPr="005056AE">
        <w:rPr>
          <w:rFonts w:ascii="Times New Roman" w:hAnsi="Times New Roman"/>
        </w:rPr>
        <w:t>eur a ich realizované čerpanie dosiahlo úroveň 6</w:t>
      </w:r>
      <w:r>
        <w:rPr>
          <w:rFonts w:ascii="Times New Roman" w:hAnsi="Times New Roman"/>
        </w:rPr>
        <w:t>43 405 </w:t>
      </w:r>
      <w:r w:rsidRPr="005056AE">
        <w:rPr>
          <w:rFonts w:ascii="Times New Roman" w:hAnsi="Times New Roman"/>
        </w:rPr>
        <w:t>tis. eur, pričom použitie poskytuje nasledovný prehľad:</w:t>
      </w:r>
    </w:p>
    <w:tbl>
      <w:tblPr>
        <w:tblStyle w:val="TableNormal"/>
        <w:tblW w:w="5000" w:type="pct"/>
        <w:tblCellMar>
          <w:left w:w="70" w:type="dxa"/>
          <w:right w:w="70" w:type="dxa"/>
        </w:tblCellMar>
        <w:tblLook w:val="04A0"/>
      </w:tblPr>
      <w:tblGrid>
        <w:gridCol w:w="3927"/>
        <w:gridCol w:w="877"/>
        <w:gridCol w:w="741"/>
        <w:gridCol w:w="877"/>
        <w:gridCol w:w="1048"/>
        <w:gridCol w:w="821"/>
        <w:gridCol w:w="637"/>
      </w:tblGrid>
      <w:tr>
        <w:tblPrEx>
          <w:tblW w:w="5000" w:type="pct"/>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textDirection w:val="lrTb"/>
            <w:vAlign w:val="center"/>
            <w:hideMark/>
          </w:tcPr>
          <w:p w:rsidR="00FD5465" w:rsidRPr="00415165" w:rsidP="00822C6A">
            <w:pPr>
              <w:bidi w:val="0"/>
              <w:spacing w:after="0" w:line="240" w:lineRule="auto"/>
              <w:jc w:val="left"/>
              <w:rPr>
                <w:rFonts w:ascii="Times New Roman" w:hAnsi="Times New Roman"/>
                <w:b/>
                <w:bCs/>
                <w:sz w:val="18"/>
                <w:szCs w:val="18"/>
              </w:rPr>
            </w:pPr>
            <w:r w:rsidRPr="00415165">
              <w:rPr>
                <w:rFonts w:ascii="Times New Roman" w:hAnsi="Times New Roman"/>
                <w:b/>
                <w:bCs/>
                <w:sz w:val="18"/>
                <w:szCs w:val="18"/>
                <w:lang w:eastAsia="sk-SK"/>
              </w:rPr>
              <w:t>Transfery nef. subjektom a transfery príspevkovým organizáciám nezaradeným vo v</w:t>
            </w:r>
            <w:r w:rsidR="00457F6F">
              <w:rPr>
                <w:rFonts w:ascii="Times New Roman" w:hAnsi="Times New Roman"/>
                <w:b/>
                <w:bCs/>
                <w:sz w:val="18"/>
                <w:szCs w:val="18"/>
                <w:lang w:eastAsia="sk-SK"/>
              </w:rPr>
              <w:t>erejnej správe SR    v tis. eur</w:t>
            </w:r>
            <w:r w:rsidRPr="00415165">
              <w:rPr>
                <w:rFonts w:ascii="Times New Roman" w:hAnsi="Times New Roman"/>
                <w:b/>
                <w:bCs/>
                <w:sz w:val="18"/>
                <w:szCs w:val="18"/>
                <w:lang w:eastAsia="sk-SK"/>
              </w:rPr>
              <w:t xml:space="preserve">                                              </w:t>
            </w:r>
          </w:p>
        </w:tc>
      </w:tr>
      <w:tr>
        <w:tblPrEx>
          <w:tblW w:w="5000" w:type="pct"/>
          <w:tblCellMar>
            <w:left w:w="70" w:type="dxa"/>
            <w:right w:w="70" w:type="dxa"/>
          </w:tblCellMar>
          <w:tblLook w:val="04A0"/>
        </w:tblPrEx>
        <w:trPr>
          <w:trHeight w:val="312"/>
        </w:trPr>
        <w:tc>
          <w:tcPr>
            <w:tcW w:w="2199" w:type="pct"/>
            <w:vMerge w:val="restart"/>
            <w:tcBorders>
              <w:top w:val="nil"/>
              <w:left w:val="nil"/>
              <w:bottom w:val="nil"/>
              <w:right w:val="nil"/>
            </w:tcBorders>
            <w:shd w:val="clear" w:color="000000" w:fill="BFBFBF"/>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 xml:space="preserve"> </w:t>
            </w:r>
          </w:p>
        </w:tc>
        <w:tc>
          <w:tcPr>
            <w:tcW w:w="906" w:type="pct"/>
            <w:gridSpan w:val="2"/>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Skutočnosť</w:t>
            </w:r>
          </w:p>
        </w:tc>
        <w:tc>
          <w:tcPr>
            <w:tcW w:w="491"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Rozpočet</w:t>
            </w:r>
          </w:p>
        </w:tc>
        <w:tc>
          <w:tcPr>
            <w:tcW w:w="587"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Skutočnosť</w:t>
            </w:r>
          </w:p>
        </w:tc>
        <w:tc>
          <w:tcPr>
            <w:tcW w:w="817" w:type="pct"/>
            <w:gridSpan w:val="2"/>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Rozdiel</w:t>
            </w:r>
          </w:p>
        </w:tc>
      </w:tr>
      <w:tr>
        <w:tblPrEx>
          <w:tblW w:w="5000" w:type="pct"/>
          <w:tblCellMar>
            <w:left w:w="70" w:type="dxa"/>
            <w:right w:w="70" w:type="dxa"/>
          </w:tblCellMar>
          <w:tblLook w:val="04A0"/>
        </w:tblPrEx>
        <w:trPr>
          <w:trHeight w:val="312"/>
        </w:trPr>
        <w:tc>
          <w:tcPr>
            <w:tcW w:w="2199" w:type="pct"/>
            <w:vMerge/>
            <w:tcBorders>
              <w:top w:val="nil"/>
              <w:left w:val="nil"/>
              <w:bottom w:val="nil"/>
              <w:right w:val="nil"/>
            </w:tcBorders>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p>
        </w:tc>
        <w:tc>
          <w:tcPr>
            <w:tcW w:w="491"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jc w:val="center"/>
              <w:rPr>
                <w:rFonts w:ascii="Times New Roman" w:hAnsi="Times New Roman"/>
                <w:b/>
                <w:bCs/>
                <w:color w:val="000000"/>
                <w:sz w:val="18"/>
                <w:szCs w:val="18"/>
              </w:rPr>
            </w:pPr>
            <w:r w:rsidRPr="004117F4">
              <w:rPr>
                <w:rFonts w:ascii="Times New Roman" w:hAnsi="Times New Roman"/>
                <w:b/>
                <w:bCs/>
                <w:color w:val="000000"/>
                <w:sz w:val="18"/>
                <w:szCs w:val="18"/>
              </w:rPr>
              <w:t>2015</w:t>
            </w:r>
          </w:p>
        </w:tc>
        <w:tc>
          <w:tcPr>
            <w:tcW w:w="415"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jc w:val="center"/>
              <w:rPr>
                <w:rFonts w:ascii="Times New Roman" w:hAnsi="Times New Roman"/>
                <w:b/>
                <w:bCs/>
                <w:color w:val="000000"/>
                <w:sz w:val="18"/>
                <w:szCs w:val="18"/>
              </w:rPr>
            </w:pPr>
            <w:r w:rsidRPr="004117F4">
              <w:rPr>
                <w:rFonts w:ascii="Times New Roman" w:hAnsi="Times New Roman"/>
                <w:b/>
                <w:bCs/>
                <w:color w:val="000000"/>
                <w:sz w:val="18"/>
                <w:szCs w:val="18"/>
              </w:rPr>
              <w:t>2016</w:t>
            </w:r>
          </w:p>
        </w:tc>
        <w:tc>
          <w:tcPr>
            <w:tcW w:w="491"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line="240" w:lineRule="auto"/>
              <w:jc w:val="center"/>
              <w:rPr>
                <w:rFonts w:ascii="Times New Roman" w:hAnsi="Times New Roman"/>
                <w:b/>
                <w:bCs/>
                <w:color w:val="000000"/>
                <w:sz w:val="18"/>
                <w:szCs w:val="18"/>
              </w:rPr>
            </w:pPr>
            <w:r w:rsidRPr="004117F4">
              <w:rPr>
                <w:rFonts w:ascii="Times New Roman" w:hAnsi="Times New Roman"/>
                <w:b/>
                <w:bCs/>
                <w:color w:val="000000"/>
                <w:sz w:val="18"/>
                <w:szCs w:val="18"/>
              </w:rPr>
              <w:t>2017</w:t>
            </w:r>
          </w:p>
        </w:tc>
        <w:tc>
          <w:tcPr>
            <w:tcW w:w="587"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2017</w:t>
            </w:r>
          </w:p>
        </w:tc>
        <w:tc>
          <w:tcPr>
            <w:tcW w:w="460"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v tis. eur</w:t>
            </w:r>
          </w:p>
        </w:tc>
        <w:tc>
          <w:tcPr>
            <w:tcW w:w="357" w:type="pct"/>
            <w:tcBorders>
              <w:top w:val="nil"/>
              <w:left w:val="nil"/>
              <w:bottom w:val="nil"/>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12"/>
        </w:trPr>
        <w:tc>
          <w:tcPr>
            <w:tcW w:w="2199" w:type="pct"/>
            <w:tcBorders>
              <w:top w:val="nil"/>
              <w:left w:val="nil"/>
              <w:bottom w:val="single" w:sz="8" w:space="0" w:color="auto"/>
              <w:right w:val="nil"/>
            </w:tcBorders>
            <w:shd w:val="clear" w:color="000000" w:fill="BFBFBF"/>
            <w:textDirection w:val="lrTb"/>
            <w:vAlign w:val="center"/>
            <w:hideMark/>
          </w:tcPr>
          <w:p w:rsidR="00FD5465" w:rsidRPr="004117F4" w:rsidP="00CC5988">
            <w:pPr>
              <w:bidi w:val="0"/>
              <w:spacing w:after="0" w:line="240" w:lineRule="auto"/>
              <w:contextualSpacing/>
              <w:jc w:val="center"/>
              <w:rPr>
                <w:rFonts w:ascii="Times New Roman" w:hAnsi="Times New Roman"/>
                <w:b/>
                <w:sz w:val="18"/>
                <w:szCs w:val="18"/>
                <w:lang w:eastAsia="sk-SK"/>
              </w:rPr>
            </w:pPr>
            <w:r w:rsidRPr="004117F4">
              <w:rPr>
                <w:rFonts w:ascii="Times New Roman" w:hAnsi="Times New Roman"/>
                <w:b/>
                <w:sz w:val="18"/>
                <w:szCs w:val="18"/>
                <w:lang w:eastAsia="sk-SK"/>
              </w:rPr>
              <w:t> </w:t>
            </w:r>
          </w:p>
        </w:tc>
        <w:tc>
          <w:tcPr>
            <w:tcW w:w="491"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1</w:t>
            </w:r>
          </w:p>
        </w:tc>
        <w:tc>
          <w:tcPr>
            <w:tcW w:w="415"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2</w:t>
            </w:r>
          </w:p>
        </w:tc>
        <w:tc>
          <w:tcPr>
            <w:tcW w:w="491"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3</w:t>
            </w:r>
          </w:p>
        </w:tc>
        <w:tc>
          <w:tcPr>
            <w:tcW w:w="587"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4</w:t>
            </w:r>
          </w:p>
        </w:tc>
        <w:tc>
          <w:tcPr>
            <w:tcW w:w="460"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5=4-3</w:t>
            </w:r>
          </w:p>
        </w:tc>
        <w:tc>
          <w:tcPr>
            <w:tcW w:w="357" w:type="pct"/>
            <w:tcBorders>
              <w:top w:val="nil"/>
              <w:left w:val="nil"/>
              <w:bottom w:val="single" w:sz="8" w:space="0" w:color="auto"/>
              <w:right w:val="nil"/>
            </w:tcBorders>
            <w:shd w:val="clear" w:color="000000" w:fill="BFBFBF"/>
            <w:noWrap/>
            <w:textDirection w:val="lrTb"/>
            <w:vAlign w:val="center"/>
            <w:hideMark/>
          </w:tcPr>
          <w:p w:rsidR="00FD5465" w:rsidRPr="004117F4" w:rsidP="00CC5988">
            <w:pPr>
              <w:bidi w:val="0"/>
              <w:spacing w:after="0"/>
              <w:jc w:val="center"/>
              <w:rPr>
                <w:rFonts w:ascii="Times New Roman" w:hAnsi="Times New Roman"/>
                <w:b/>
                <w:bCs/>
                <w:color w:val="000000"/>
                <w:sz w:val="18"/>
                <w:szCs w:val="18"/>
              </w:rPr>
            </w:pPr>
            <w:r w:rsidRPr="004117F4">
              <w:rPr>
                <w:rFonts w:ascii="Times New Roman" w:hAnsi="Times New Roman"/>
                <w:b/>
                <w:bCs/>
                <w:color w:val="000000"/>
                <w:sz w:val="18"/>
                <w:szCs w:val="18"/>
              </w:rPr>
              <w:t>6=4-3</w:t>
            </w:r>
          </w:p>
        </w:tc>
      </w:tr>
      <w:tr>
        <w:tblPrEx>
          <w:tblW w:w="5000" w:type="pct"/>
          <w:tblCellMar>
            <w:left w:w="70" w:type="dxa"/>
            <w:right w:w="70" w:type="dxa"/>
          </w:tblCellMar>
          <w:tblLook w:val="04A0"/>
        </w:tblPrEx>
        <w:trPr>
          <w:trHeight w:val="300"/>
        </w:trPr>
        <w:tc>
          <w:tcPr>
            <w:tcW w:w="2199" w:type="pct"/>
            <w:tcBorders>
              <w:top w:val="nil"/>
              <w:left w:val="nil"/>
              <w:bottom w:val="nil"/>
              <w:right w:val="nil"/>
            </w:tcBorders>
            <w:textDirection w:val="lrTb"/>
            <w:vAlign w:val="center"/>
            <w:hideMark/>
          </w:tcPr>
          <w:p w:rsidR="00FD5465" w:rsidRPr="00415165" w:rsidP="00CC5988">
            <w:pPr>
              <w:bidi w:val="0"/>
              <w:spacing w:after="0" w:line="240" w:lineRule="auto"/>
              <w:jc w:val="left"/>
              <w:rPr>
                <w:rFonts w:ascii="Times New Roman" w:hAnsi="Times New Roman"/>
                <w:sz w:val="18"/>
                <w:szCs w:val="18"/>
                <w:lang w:eastAsia="sk-SK"/>
              </w:rPr>
            </w:pPr>
            <w:r w:rsidRPr="00415165">
              <w:rPr>
                <w:rFonts w:ascii="Times New Roman" w:hAnsi="Times New Roman"/>
                <w:sz w:val="18"/>
                <w:szCs w:val="18"/>
                <w:lang w:eastAsia="sk-SK"/>
              </w:rPr>
              <w:t>Ostatnej právnickej osobe</w:t>
            </w:r>
          </w:p>
        </w:tc>
        <w:tc>
          <w:tcPr>
            <w:tcW w:w="491" w:type="pct"/>
            <w:tcBorders>
              <w:top w:val="nil"/>
              <w:left w:val="nil"/>
              <w:bottom w:val="nil"/>
              <w:right w:val="nil"/>
            </w:tcBorders>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471 279</w:t>
            </w:r>
          </w:p>
        </w:tc>
        <w:tc>
          <w:tcPr>
            <w:tcW w:w="415" w:type="pct"/>
            <w:tcBorders>
              <w:top w:val="nil"/>
              <w:left w:val="nil"/>
              <w:bottom w:val="nil"/>
              <w:right w:val="nil"/>
            </w:tcBorders>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479 633</w:t>
            </w:r>
          </w:p>
        </w:tc>
        <w:tc>
          <w:tcPr>
            <w:tcW w:w="491" w:type="pct"/>
            <w:tcBorders>
              <w:top w:val="nil"/>
              <w:left w:val="nil"/>
              <w:bottom w:val="nil"/>
              <w:right w:val="nil"/>
            </w:tcBorders>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998 74</w:t>
            </w:r>
            <w:r w:rsidR="00212F27">
              <w:rPr>
                <w:rFonts w:ascii="Times New Roman" w:hAnsi="Times New Roman"/>
                <w:color w:val="000000"/>
                <w:sz w:val="18"/>
                <w:szCs w:val="18"/>
              </w:rPr>
              <w:t>5</w:t>
            </w:r>
          </w:p>
        </w:tc>
        <w:tc>
          <w:tcPr>
            <w:tcW w:w="587" w:type="pct"/>
            <w:tcBorders>
              <w:top w:val="nil"/>
              <w:left w:val="nil"/>
              <w:bottom w:val="nil"/>
              <w:right w:val="nil"/>
            </w:tcBorders>
            <w:shd w:val="clear" w:color="000000" w:fill="BFBFBF"/>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476 207</w:t>
            </w:r>
          </w:p>
        </w:tc>
        <w:tc>
          <w:tcPr>
            <w:tcW w:w="460" w:type="pct"/>
            <w:tcBorders>
              <w:top w:val="nil"/>
              <w:left w:val="nil"/>
              <w:bottom w:val="nil"/>
              <w:right w:val="nil"/>
            </w:tcBorders>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-522 538</w:t>
            </w:r>
          </w:p>
        </w:tc>
        <w:tc>
          <w:tcPr>
            <w:tcW w:w="357" w:type="pct"/>
            <w:tcBorders>
              <w:top w:val="nil"/>
              <w:left w:val="nil"/>
              <w:bottom w:val="nil"/>
              <w:right w:val="nil"/>
            </w:tcBorders>
            <w:textDirection w:val="lrTb"/>
            <w:vAlign w:val="center"/>
            <w:hideMark/>
          </w:tcPr>
          <w:p w:rsidR="00FD5465"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-52,3</w:t>
            </w:r>
          </w:p>
        </w:tc>
      </w:tr>
      <w:tr>
        <w:tblPrEx>
          <w:tblW w:w="5000" w:type="pct"/>
          <w:tblCellMar>
            <w:left w:w="70" w:type="dxa"/>
            <w:right w:w="70" w:type="dxa"/>
          </w:tblCellMar>
          <w:tblLook w:val="04A0"/>
        </w:tblPrEx>
        <w:trPr>
          <w:trHeight w:val="300"/>
        </w:trPr>
        <w:tc>
          <w:tcPr>
            <w:tcW w:w="2199" w:type="pct"/>
            <w:tcBorders>
              <w:top w:val="nil"/>
              <w:left w:val="nil"/>
              <w:bottom w:val="nil"/>
              <w:right w:val="nil"/>
            </w:tcBorders>
            <w:textDirection w:val="lrTb"/>
            <w:vAlign w:val="center"/>
            <w:hideMark/>
          </w:tcPr>
          <w:p w:rsidR="00B0080B" w:rsidRPr="00415165" w:rsidP="00384272">
            <w:pPr>
              <w:bidi w:val="0"/>
              <w:spacing w:after="0" w:line="240" w:lineRule="auto"/>
              <w:jc w:val="left"/>
              <w:rPr>
                <w:rFonts w:ascii="Times New Roman" w:hAnsi="Times New Roman"/>
                <w:sz w:val="18"/>
                <w:szCs w:val="18"/>
                <w:lang w:eastAsia="sk-SK"/>
              </w:rPr>
            </w:pPr>
            <w:r w:rsidRPr="00415165">
              <w:rPr>
                <w:rFonts w:ascii="Times New Roman" w:hAnsi="Times New Roman"/>
                <w:sz w:val="18"/>
                <w:szCs w:val="18"/>
                <w:lang w:eastAsia="sk-SK"/>
              </w:rPr>
              <w:t>Fyzickej osobe podnikateľovi</w:t>
            </w:r>
          </w:p>
        </w:tc>
        <w:tc>
          <w:tcPr>
            <w:tcW w:w="491" w:type="pct"/>
            <w:tcBorders>
              <w:top w:val="nil"/>
              <w:left w:val="nil"/>
              <w:bottom w:val="nil"/>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85 975</w:t>
            </w:r>
          </w:p>
        </w:tc>
        <w:tc>
          <w:tcPr>
            <w:tcW w:w="415" w:type="pct"/>
            <w:tcBorders>
              <w:top w:val="nil"/>
              <w:left w:val="nil"/>
              <w:bottom w:val="nil"/>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90 528</w:t>
            </w:r>
          </w:p>
        </w:tc>
        <w:tc>
          <w:tcPr>
            <w:tcW w:w="491" w:type="pct"/>
            <w:tcBorders>
              <w:top w:val="nil"/>
              <w:left w:val="nil"/>
              <w:bottom w:val="nil"/>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5 075</w:t>
            </w:r>
          </w:p>
        </w:tc>
        <w:tc>
          <w:tcPr>
            <w:tcW w:w="587" w:type="pct"/>
            <w:tcBorders>
              <w:top w:val="nil"/>
              <w:left w:val="nil"/>
              <w:bottom w:val="nil"/>
              <w:right w:val="nil"/>
            </w:tcBorders>
            <w:shd w:val="clear" w:color="000000" w:fill="BFBFBF"/>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90 998</w:t>
            </w:r>
          </w:p>
        </w:tc>
        <w:tc>
          <w:tcPr>
            <w:tcW w:w="460" w:type="pct"/>
            <w:tcBorders>
              <w:top w:val="nil"/>
              <w:left w:val="nil"/>
              <w:bottom w:val="nil"/>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85 923</w:t>
            </w:r>
          </w:p>
        </w:tc>
        <w:tc>
          <w:tcPr>
            <w:tcW w:w="357" w:type="pct"/>
            <w:tcBorders>
              <w:top w:val="nil"/>
              <w:left w:val="nil"/>
              <w:bottom w:val="nil"/>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1693,1</w:t>
            </w:r>
          </w:p>
        </w:tc>
      </w:tr>
      <w:tr>
        <w:tblPrEx>
          <w:tblW w:w="5000" w:type="pct"/>
          <w:tblCellMar>
            <w:left w:w="70" w:type="dxa"/>
            <w:right w:w="70" w:type="dxa"/>
          </w:tblCellMar>
          <w:tblLook w:val="04A0"/>
        </w:tblPrEx>
        <w:trPr>
          <w:trHeight w:val="300"/>
        </w:trPr>
        <w:tc>
          <w:tcPr>
            <w:tcW w:w="2199" w:type="pct"/>
            <w:tcBorders>
              <w:top w:val="nil"/>
              <w:left w:val="nil"/>
              <w:bottom w:val="nil"/>
              <w:right w:val="nil"/>
            </w:tcBorders>
            <w:textDirection w:val="lrTb"/>
            <w:vAlign w:val="center"/>
          </w:tcPr>
          <w:p w:rsidR="00B0080B" w:rsidRPr="00415165" w:rsidP="00B0080B">
            <w:pPr>
              <w:bidi w:val="0"/>
              <w:spacing w:after="0" w:line="240" w:lineRule="auto"/>
              <w:jc w:val="left"/>
              <w:rPr>
                <w:rFonts w:ascii="Times New Roman" w:hAnsi="Times New Roman"/>
                <w:sz w:val="18"/>
                <w:szCs w:val="18"/>
                <w:lang w:eastAsia="sk-SK"/>
              </w:rPr>
            </w:pPr>
            <w:r w:rsidRPr="00415165">
              <w:rPr>
                <w:rFonts w:ascii="Times New Roman" w:hAnsi="Times New Roman"/>
                <w:sz w:val="18"/>
                <w:szCs w:val="18"/>
                <w:lang w:eastAsia="sk-SK"/>
              </w:rPr>
              <w:t>Právnickej osobe založenej štátom, obcou alebo vyšším územným celkom</w:t>
            </w:r>
          </w:p>
        </w:tc>
        <w:tc>
          <w:tcPr>
            <w:tcW w:w="491" w:type="pct"/>
            <w:tcBorders>
              <w:top w:val="nil"/>
              <w:left w:val="nil"/>
              <w:bottom w:val="nil"/>
              <w:right w:val="nil"/>
            </w:tcBorders>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293 303</w:t>
            </w:r>
          </w:p>
        </w:tc>
        <w:tc>
          <w:tcPr>
            <w:tcW w:w="415" w:type="pct"/>
            <w:tcBorders>
              <w:top w:val="nil"/>
              <w:left w:val="nil"/>
              <w:bottom w:val="nil"/>
              <w:right w:val="nil"/>
            </w:tcBorders>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46 935</w:t>
            </w:r>
          </w:p>
        </w:tc>
        <w:tc>
          <w:tcPr>
            <w:tcW w:w="491" w:type="pct"/>
            <w:tcBorders>
              <w:top w:val="nil"/>
              <w:left w:val="nil"/>
              <w:bottom w:val="nil"/>
              <w:right w:val="nil"/>
            </w:tcBorders>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31 447</w:t>
            </w:r>
          </w:p>
        </w:tc>
        <w:tc>
          <w:tcPr>
            <w:tcW w:w="587" w:type="pct"/>
            <w:tcBorders>
              <w:top w:val="nil"/>
              <w:left w:val="nil"/>
              <w:bottom w:val="nil"/>
              <w:right w:val="nil"/>
            </w:tcBorders>
            <w:shd w:val="clear" w:color="000000" w:fill="BFBFBF"/>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75 915</w:t>
            </w:r>
          </w:p>
        </w:tc>
        <w:tc>
          <w:tcPr>
            <w:tcW w:w="460" w:type="pct"/>
            <w:tcBorders>
              <w:top w:val="nil"/>
              <w:left w:val="nil"/>
              <w:bottom w:val="nil"/>
              <w:right w:val="nil"/>
            </w:tcBorders>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44 468</w:t>
            </w:r>
          </w:p>
        </w:tc>
        <w:tc>
          <w:tcPr>
            <w:tcW w:w="357" w:type="pct"/>
            <w:tcBorders>
              <w:top w:val="nil"/>
              <w:left w:val="nil"/>
              <w:bottom w:val="nil"/>
              <w:right w:val="nil"/>
            </w:tcBorders>
            <w:textDirection w:val="lrTb"/>
            <w:vAlign w:val="center"/>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141,4</w:t>
            </w:r>
          </w:p>
        </w:tc>
      </w:tr>
      <w:tr>
        <w:tblPrEx>
          <w:tblW w:w="5000" w:type="pct"/>
          <w:tblCellMar>
            <w:left w:w="70" w:type="dxa"/>
            <w:right w:w="70" w:type="dxa"/>
          </w:tblCellMar>
          <w:tblLook w:val="04A0"/>
        </w:tblPrEx>
        <w:trPr>
          <w:trHeight w:val="300"/>
        </w:trPr>
        <w:tc>
          <w:tcPr>
            <w:tcW w:w="2199" w:type="pct"/>
            <w:tcBorders>
              <w:top w:val="nil"/>
              <w:left w:val="nil"/>
              <w:bottom w:val="single" w:sz="4" w:space="0" w:color="auto"/>
              <w:right w:val="nil"/>
            </w:tcBorders>
            <w:textDirection w:val="lrTb"/>
            <w:vAlign w:val="center"/>
            <w:hideMark/>
          </w:tcPr>
          <w:p w:rsidR="00B0080B" w:rsidRPr="00415165" w:rsidP="00B0080B">
            <w:pPr>
              <w:bidi w:val="0"/>
              <w:spacing w:after="0" w:line="240" w:lineRule="auto"/>
              <w:jc w:val="left"/>
              <w:rPr>
                <w:rFonts w:ascii="Times New Roman" w:hAnsi="Times New Roman"/>
                <w:sz w:val="18"/>
                <w:szCs w:val="18"/>
                <w:lang w:eastAsia="sk-SK"/>
              </w:rPr>
            </w:pPr>
            <w:r w:rsidRPr="00415165">
              <w:rPr>
                <w:rFonts w:ascii="Times New Roman" w:hAnsi="Times New Roman"/>
                <w:sz w:val="18"/>
                <w:szCs w:val="18"/>
                <w:lang w:eastAsia="sk-SK"/>
              </w:rPr>
              <w:t>Príspevkovej organizácii nezaradenej do VS</w:t>
            </w:r>
          </w:p>
        </w:tc>
        <w:tc>
          <w:tcPr>
            <w:tcW w:w="491" w:type="pct"/>
            <w:tcBorders>
              <w:top w:val="nil"/>
              <w:left w:val="nil"/>
              <w:bottom w:val="single" w:sz="4" w:space="0" w:color="auto"/>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9 046</w:t>
            </w:r>
          </w:p>
        </w:tc>
        <w:tc>
          <w:tcPr>
            <w:tcW w:w="415" w:type="pct"/>
            <w:tcBorders>
              <w:top w:val="nil"/>
              <w:left w:val="nil"/>
              <w:bottom w:val="single" w:sz="4" w:space="0" w:color="auto"/>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926</w:t>
            </w:r>
          </w:p>
        </w:tc>
        <w:tc>
          <w:tcPr>
            <w:tcW w:w="491" w:type="pct"/>
            <w:tcBorders>
              <w:top w:val="nil"/>
              <w:left w:val="nil"/>
              <w:bottom w:val="single" w:sz="4" w:space="0" w:color="auto"/>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2 455</w:t>
            </w:r>
          </w:p>
        </w:tc>
        <w:tc>
          <w:tcPr>
            <w:tcW w:w="587" w:type="pct"/>
            <w:tcBorders>
              <w:top w:val="nil"/>
              <w:left w:val="nil"/>
              <w:bottom w:val="single" w:sz="4" w:space="0" w:color="auto"/>
              <w:right w:val="nil"/>
            </w:tcBorders>
            <w:shd w:val="clear" w:color="000000" w:fill="BFBFBF"/>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285</w:t>
            </w:r>
          </w:p>
        </w:tc>
        <w:tc>
          <w:tcPr>
            <w:tcW w:w="460" w:type="pct"/>
            <w:tcBorders>
              <w:top w:val="nil"/>
              <w:left w:val="nil"/>
              <w:bottom w:val="single" w:sz="4" w:space="0" w:color="auto"/>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-2 170</w:t>
            </w:r>
          </w:p>
        </w:tc>
        <w:tc>
          <w:tcPr>
            <w:tcW w:w="357" w:type="pct"/>
            <w:tcBorders>
              <w:top w:val="nil"/>
              <w:left w:val="nil"/>
              <w:bottom w:val="single" w:sz="4" w:space="0" w:color="auto"/>
              <w:right w:val="nil"/>
            </w:tcBorders>
            <w:textDirection w:val="lrTb"/>
            <w:vAlign w:val="center"/>
            <w:hideMark/>
          </w:tcPr>
          <w:p w:rsidR="00B0080B" w:rsidP="0088651E">
            <w:pPr>
              <w:bidi w:val="0"/>
              <w:spacing w:after="0"/>
              <w:jc w:val="right"/>
              <w:rPr>
                <w:rFonts w:ascii="Times New Roman" w:hAnsi="Times New Roman"/>
                <w:color w:val="000000"/>
                <w:sz w:val="18"/>
                <w:szCs w:val="18"/>
              </w:rPr>
            </w:pPr>
            <w:r>
              <w:rPr>
                <w:rFonts w:ascii="Times New Roman" w:hAnsi="Times New Roman"/>
                <w:color w:val="000000"/>
                <w:sz w:val="18"/>
                <w:szCs w:val="18"/>
              </w:rPr>
              <w:t>-88,4</w:t>
            </w:r>
          </w:p>
        </w:tc>
      </w:tr>
      <w:tr>
        <w:tblPrEx>
          <w:tblW w:w="5000" w:type="pct"/>
          <w:tblCellMar>
            <w:left w:w="70" w:type="dxa"/>
            <w:right w:w="70" w:type="dxa"/>
          </w:tblCellMar>
          <w:tblLook w:val="04A0"/>
        </w:tblPrEx>
        <w:trPr>
          <w:trHeight w:val="300"/>
        </w:trPr>
        <w:tc>
          <w:tcPr>
            <w:tcW w:w="2199" w:type="pct"/>
            <w:tcBorders>
              <w:top w:val="single" w:sz="4" w:space="0" w:color="auto"/>
              <w:left w:val="nil"/>
              <w:bottom w:val="single" w:sz="8" w:space="0" w:color="auto"/>
              <w:right w:val="nil"/>
            </w:tcBorders>
            <w:textDirection w:val="lrTb"/>
            <w:vAlign w:val="center"/>
            <w:hideMark/>
          </w:tcPr>
          <w:p w:rsidR="00B0080B" w:rsidRPr="00415165" w:rsidP="00B0080B">
            <w:pPr>
              <w:bidi w:val="0"/>
              <w:spacing w:after="0" w:line="240" w:lineRule="auto"/>
              <w:jc w:val="left"/>
              <w:rPr>
                <w:rFonts w:ascii="Times New Roman" w:hAnsi="Times New Roman"/>
                <w:b/>
                <w:sz w:val="18"/>
                <w:szCs w:val="18"/>
                <w:lang w:eastAsia="sk-SK"/>
              </w:rPr>
            </w:pPr>
            <w:r w:rsidRPr="00415165">
              <w:rPr>
                <w:rFonts w:ascii="Times New Roman" w:hAnsi="Times New Roman"/>
                <w:b/>
                <w:sz w:val="18"/>
                <w:szCs w:val="18"/>
                <w:lang w:eastAsia="sk-SK"/>
              </w:rPr>
              <w:t>Spolu</w:t>
            </w:r>
          </w:p>
        </w:tc>
        <w:tc>
          <w:tcPr>
            <w:tcW w:w="491" w:type="pct"/>
            <w:tcBorders>
              <w:top w:val="single" w:sz="4" w:space="0" w:color="auto"/>
              <w:left w:val="nil"/>
              <w:bottom w:val="single" w:sz="8" w:space="0" w:color="auto"/>
              <w:right w:val="nil"/>
            </w:tcBorders>
            <w:noWrap/>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859 603</w:t>
            </w:r>
          </w:p>
        </w:tc>
        <w:tc>
          <w:tcPr>
            <w:tcW w:w="415" w:type="pct"/>
            <w:tcBorders>
              <w:top w:val="single" w:sz="4" w:space="0" w:color="auto"/>
              <w:left w:val="nil"/>
              <w:bottom w:val="single" w:sz="8" w:space="0" w:color="auto"/>
              <w:right w:val="nil"/>
            </w:tcBorders>
            <w:noWrap/>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618 022</w:t>
            </w:r>
          </w:p>
        </w:tc>
        <w:tc>
          <w:tcPr>
            <w:tcW w:w="491" w:type="pct"/>
            <w:tcBorders>
              <w:top w:val="single" w:sz="4" w:space="0" w:color="auto"/>
              <w:left w:val="nil"/>
              <w:bottom w:val="single" w:sz="8" w:space="0" w:color="auto"/>
              <w:right w:val="nil"/>
            </w:tcBorders>
            <w:noWrap/>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1 037 722</w:t>
            </w:r>
          </w:p>
        </w:tc>
        <w:tc>
          <w:tcPr>
            <w:tcW w:w="587" w:type="pct"/>
            <w:tcBorders>
              <w:top w:val="single" w:sz="4" w:space="0" w:color="auto"/>
              <w:left w:val="nil"/>
              <w:bottom w:val="single" w:sz="8" w:space="0" w:color="auto"/>
              <w:right w:val="nil"/>
            </w:tcBorders>
            <w:shd w:val="clear" w:color="000000" w:fill="BFBFBF"/>
            <w:noWrap/>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643 405</w:t>
            </w:r>
          </w:p>
        </w:tc>
        <w:tc>
          <w:tcPr>
            <w:tcW w:w="460" w:type="pct"/>
            <w:tcBorders>
              <w:top w:val="single" w:sz="4" w:space="0" w:color="auto"/>
              <w:left w:val="nil"/>
              <w:bottom w:val="single" w:sz="8" w:space="0" w:color="auto"/>
              <w:right w:val="nil"/>
            </w:tcBorders>
            <w:noWrap/>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-394 317</w:t>
            </w:r>
          </w:p>
        </w:tc>
        <w:tc>
          <w:tcPr>
            <w:tcW w:w="357" w:type="pct"/>
            <w:tcBorders>
              <w:top w:val="single" w:sz="4" w:space="0" w:color="auto"/>
              <w:left w:val="nil"/>
              <w:bottom w:val="single" w:sz="8" w:space="0" w:color="auto"/>
              <w:right w:val="nil"/>
            </w:tcBorders>
            <w:textDirection w:val="lrTb"/>
            <w:vAlign w:val="center"/>
            <w:hideMark/>
          </w:tcPr>
          <w:p w:rsidR="00B0080B" w:rsidP="0088651E">
            <w:pPr>
              <w:bidi w:val="0"/>
              <w:spacing w:after="0"/>
              <w:jc w:val="right"/>
              <w:rPr>
                <w:rFonts w:ascii="Times New Roman" w:hAnsi="Times New Roman"/>
                <w:b/>
                <w:bCs/>
                <w:color w:val="000000"/>
                <w:sz w:val="18"/>
                <w:szCs w:val="18"/>
              </w:rPr>
            </w:pPr>
            <w:r>
              <w:rPr>
                <w:rFonts w:ascii="Times New Roman" w:hAnsi="Times New Roman"/>
                <w:b/>
                <w:bCs/>
                <w:color w:val="000000"/>
                <w:sz w:val="18"/>
                <w:szCs w:val="18"/>
              </w:rPr>
              <w:t>-48,1</w:t>
            </w:r>
          </w:p>
        </w:tc>
      </w:tr>
    </w:tbl>
    <w:p w:rsidR="00FD5465" w:rsidRPr="008F7D2F" w:rsidP="00FD5465">
      <w:pPr>
        <w:bidi w:val="0"/>
        <w:jc w:val="right"/>
        <w:rPr>
          <w:rFonts w:ascii="Times New Roman" w:hAnsi="Times New Roman"/>
          <w:sz w:val="18"/>
          <w:szCs w:val="18"/>
        </w:rPr>
      </w:pPr>
      <w:r w:rsidRPr="008F7D2F">
        <w:rPr>
          <w:rFonts w:ascii="Times New Roman" w:hAnsi="Times New Roman"/>
          <w:sz w:val="18"/>
          <w:szCs w:val="18"/>
        </w:rPr>
        <w:t>Zdroj: MF SR</w:t>
      </w:r>
    </w:p>
    <w:p w:rsidR="003847C4" w:rsidP="003847C4">
      <w:pPr>
        <w:bidi w:val="0"/>
        <w:rPr>
          <w:rFonts w:ascii="Times New Roman" w:hAnsi="Times New Roman"/>
          <w:szCs w:val="22"/>
        </w:rPr>
      </w:pPr>
      <w:r>
        <w:rPr>
          <w:rFonts w:ascii="Times New Roman" w:hAnsi="Times New Roman"/>
        </w:rPr>
        <w:t xml:space="preserve">Najvyšší podiel tvorili </w:t>
      </w:r>
      <w:r>
        <w:rPr>
          <w:rFonts w:ascii="Times New Roman" w:hAnsi="Times New Roman"/>
          <w:b/>
          <w:bCs/>
        </w:rPr>
        <w:t>transfery ostatným právnickým osobám</w:t>
      </w:r>
      <w:r>
        <w:rPr>
          <w:rFonts w:ascii="Times New Roman" w:hAnsi="Times New Roman"/>
        </w:rPr>
        <w:t>, ktoré boli v rozhodujúcej miere hradené rezortom Ministerstva pôdohospodárstva a rozvoja vidieka SR (458 742 tis. eur). V rámci uvedenej sumy predstavovala podpora vyplatená v rámci priamych platieb z Európskeho poľnohospodárskeho a záručného fondu sumu 333 550 tis. eur, projektové podpory poskytnuté v rámci Programu rozvoja vidieka SR 2014-2020 sumu 107 103 tis. eur, podpora vyplatená v rámci trhovo-orientovaných výdavkov z Európskeho poľnohospodárskeho a záručného fondu sumu 15 172 tis.</w:t>
      </w:r>
      <w:r w:rsidR="00D01292">
        <w:rPr>
          <w:rFonts w:ascii="Times New Roman" w:hAnsi="Times New Roman"/>
        </w:rPr>
        <w:t> </w:t>
      </w:r>
      <w:r>
        <w:rPr>
          <w:rFonts w:ascii="Times New Roman" w:hAnsi="Times New Roman"/>
        </w:rPr>
        <w:t xml:space="preserve">eur. </w:t>
      </w:r>
      <w:r w:rsidR="00D01292">
        <w:rPr>
          <w:rFonts w:ascii="Times New Roman" w:hAnsi="Times New Roman"/>
        </w:rPr>
        <w:t xml:space="preserve">Nižšie čerpanie </w:t>
      </w:r>
      <w:r w:rsidR="005E3BB0">
        <w:rPr>
          <w:rFonts w:ascii="Times New Roman" w:hAnsi="Times New Roman"/>
        </w:rPr>
        <w:t>rozpočtu bolo</w:t>
      </w:r>
      <w:r>
        <w:rPr>
          <w:rFonts w:ascii="Times New Roman" w:hAnsi="Times New Roman"/>
        </w:rPr>
        <w:t xml:space="preserve"> spôsobené povolenými vnútornými úpravami rozpočtu medzi jednotlivými ekonomickými klasifikáciami (vo výzvach boli úspešné iné subjekty ako pôvodne zadefinovaná ostatná právnická osoba – napr. fyzické osoby) </w:t>
      </w:r>
      <w:r w:rsidR="00D01292">
        <w:rPr>
          <w:rFonts w:ascii="Times New Roman" w:hAnsi="Times New Roman"/>
        </w:rPr>
        <w:t xml:space="preserve">ale najmä </w:t>
      </w:r>
      <w:r>
        <w:rPr>
          <w:rFonts w:ascii="Times New Roman" w:hAnsi="Times New Roman"/>
        </w:rPr>
        <w:t xml:space="preserve">viazaním </w:t>
      </w:r>
      <w:r w:rsidR="00D01292">
        <w:rPr>
          <w:rFonts w:ascii="Times New Roman" w:hAnsi="Times New Roman"/>
        </w:rPr>
        <w:t xml:space="preserve">rozpočtových prostriedkov v sume </w:t>
      </w:r>
      <w:r>
        <w:rPr>
          <w:rFonts w:ascii="Times New Roman" w:hAnsi="Times New Roman"/>
        </w:rPr>
        <w:t xml:space="preserve">414 629 tis. eur do roku 2018 v súlade s § 8 zákona </w:t>
      </w:r>
      <w:r w:rsidR="004D1484">
        <w:rPr>
          <w:rFonts w:ascii="Times New Roman" w:hAnsi="Times New Roman"/>
        </w:rPr>
        <w:br/>
      </w:r>
      <w:r>
        <w:rPr>
          <w:rFonts w:ascii="Times New Roman" w:hAnsi="Times New Roman"/>
        </w:rPr>
        <w:t>o rozpočtových pravidlách, nakoľko i</w:t>
      </w:r>
      <w:r w:rsidR="00BE213D">
        <w:rPr>
          <w:rFonts w:ascii="Times New Roman" w:hAnsi="Times New Roman"/>
        </w:rPr>
        <w:t>de o prostriedky Európskej únie a príslušného spolufinancovania EÚ.</w:t>
      </w:r>
    </w:p>
    <w:p w:rsidR="00EC6E42" w:rsidP="00EC6E42">
      <w:pPr>
        <w:bidi w:val="0"/>
        <w:rPr>
          <w:rFonts w:ascii="Times New Roman" w:hAnsi="Times New Roman"/>
          <w:szCs w:val="22"/>
        </w:rPr>
      </w:pPr>
      <w:r w:rsidRPr="00743B51">
        <w:rPr>
          <w:rFonts w:ascii="Times New Roman" w:hAnsi="Times New Roman"/>
          <w:b/>
          <w:szCs w:val="22"/>
        </w:rPr>
        <w:t xml:space="preserve">Transfery fyzickej osobe podnikateľovi </w:t>
      </w:r>
      <w:r w:rsidRPr="00A50E29">
        <w:rPr>
          <w:rFonts w:ascii="Times New Roman" w:hAnsi="Times New Roman"/>
          <w:szCs w:val="22"/>
        </w:rPr>
        <w:t>(90 </w:t>
      </w:r>
      <w:r>
        <w:rPr>
          <w:rFonts w:ascii="Times New Roman" w:hAnsi="Times New Roman"/>
          <w:szCs w:val="22"/>
        </w:rPr>
        <w:t>998</w:t>
      </w:r>
      <w:r w:rsidRPr="00A50E29">
        <w:rPr>
          <w:rFonts w:ascii="Times New Roman" w:hAnsi="Times New Roman"/>
          <w:szCs w:val="22"/>
        </w:rPr>
        <w:t> tis</w:t>
      </w:r>
      <w:r>
        <w:rPr>
          <w:rFonts w:ascii="Times New Roman" w:hAnsi="Times New Roman"/>
          <w:szCs w:val="22"/>
        </w:rPr>
        <w:t>.</w:t>
      </w:r>
      <w:r w:rsidRPr="00A50E29">
        <w:rPr>
          <w:rFonts w:ascii="Times New Roman" w:hAnsi="Times New Roman"/>
          <w:szCs w:val="22"/>
        </w:rPr>
        <w:t> eur)</w:t>
      </w:r>
      <w:r>
        <w:rPr>
          <w:rFonts w:ascii="Times New Roman" w:hAnsi="Times New Roman"/>
          <w:b/>
          <w:szCs w:val="22"/>
        </w:rPr>
        <w:t xml:space="preserve"> </w:t>
      </w:r>
      <w:r w:rsidRPr="00743B51">
        <w:rPr>
          <w:rFonts w:ascii="Times New Roman" w:hAnsi="Times New Roman"/>
          <w:szCs w:val="22"/>
        </w:rPr>
        <w:t xml:space="preserve">boli </w:t>
      </w:r>
      <w:r w:rsidRPr="00D22DB7">
        <w:rPr>
          <w:rFonts w:ascii="Times New Roman" w:hAnsi="Times New Roman"/>
          <w:szCs w:val="22"/>
        </w:rPr>
        <w:t>poskytnuté v rozhodujúcej miere M</w:t>
      </w:r>
      <w:r>
        <w:rPr>
          <w:rFonts w:ascii="Times New Roman" w:hAnsi="Times New Roman"/>
          <w:szCs w:val="22"/>
        </w:rPr>
        <w:t xml:space="preserve">inisterstvom pôdohospodárstva a </w:t>
      </w:r>
      <w:r w:rsidRPr="00D22DB7">
        <w:rPr>
          <w:rFonts w:ascii="Times New Roman" w:hAnsi="Times New Roman"/>
          <w:szCs w:val="22"/>
        </w:rPr>
        <w:t>rozvoja vidieka SR v sume 90 </w:t>
      </w:r>
      <w:r>
        <w:rPr>
          <w:rFonts w:ascii="Times New Roman" w:hAnsi="Times New Roman"/>
          <w:szCs w:val="22"/>
        </w:rPr>
        <w:t>6</w:t>
      </w:r>
      <w:r w:rsidRPr="00D22DB7">
        <w:rPr>
          <w:rFonts w:ascii="Times New Roman" w:hAnsi="Times New Roman"/>
          <w:szCs w:val="22"/>
        </w:rPr>
        <w:t>5</w:t>
      </w:r>
      <w:r>
        <w:rPr>
          <w:rFonts w:ascii="Times New Roman" w:hAnsi="Times New Roman"/>
          <w:szCs w:val="22"/>
        </w:rPr>
        <w:t>7</w:t>
      </w:r>
      <w:r w:rsidRPr="00D22DB7">
        <w:rPr>
          <w:rFonts w:ascii="Times New Roman" w:hAnsi="Times New Roman"/>
          <w:szCs w:val="22"/>
        </w:rPr>
        <w:t> tis. eur</w:t>
      </w:r>
      <w:r>
        <w:rPr>
          <w:rFonts w:ascii="Times New Roman" w:hAnsi="Times New Roman"/>
          <w:szCs w:val="22"/>
        </w:rPr>
        <w:t xml:space="preserve">. </w:t>
      </w:r>
      <w:r w:rsidRPr="00D22DB7">
        <w:rPr>
          <w:rFonts w:ascii="Times New Roman" w:hAnsi="Times New Roman"/>
          <w:szCs w:val="22"/>
        </w:rPr>
        <w:t>V uvedenej sum</w:t>
      </w:r>
      <w:r w:rsidR="005E3BB0">
        <w:rPr>
          <w:rFonts w:ascii="Times New Roman" w:hAnsi="Times New Roman"/>
          <w:szCs w:val="22"/>
        </w:rPr>
        <w:t>e</w:t>
      </w:r>
      <w:r w:rsidRPr="00D22DB7">
        <w:rPr>
          <w:rFonts w:ascii="Times New Roman" w:hAnsi="Times New Roman"/>
          <w:szCs w:val="22"/>
        </w:rPr>
        <w:t xml:space="preserve"> </w:t>
      </w:r>
      <w:r>
        <w:rPr>
          <w:rFonts w:ascii="Times New Roman" w:hAnsi="Times New Roman"/>
          <w:szCs w:val="22"/>
        </w:rPr>
        <w:t xml:space="preserve">bola </w:t>
      </w:r>
      <w:r w:rsidRPr="00D22DB7">
        <w:rPr>
          <w:rFonts w:ascii="Times New Roman" w:hAnsi="Times New Roman"/>
          <w:szCs w:val="22"/>
        </w:rPr>
        <w:t>vyplatená</w:t>
      </w:r>
      <w:r>
        <w:rPr>
          <w:rFonts w:ascii="Times New Roman" w:hAnsi="Times New Roman"/>
          <w:szCs w:val="22"/>
        </w:rPr>
        <w:t xml:space="preserve"> </w:t>
      </w:r>
      <w:r w:rsidRPr="00D22DB7">
        <w:rPr>
          <w:rFonts w:ascii="Times New Roman" w:hAnsi="Times New Roman"/>
          <w:szCs w:val="22"/>
        </w:rPr>
        <w:t xml:space="preserve">podpora v rámci </w:t>
      </w:r>
      <w:r w:rsidRPr="00D22DB7" w:rsidR="00B220A6">
        <w:rPr>
          <w:rFonts w:ascii="Times New Roman" w:hAnsi="Times New Roman"/>
          <w:szCs w:val="22"/>
        </w:rPr>
        <w:t>priamych platieb</w:t>
      </w:r>
      <w:r w:rsidR="00B220A6">
        <w:rPr>
          <w:rFonts w:ascii="Times New Roman" w:hAnsi="Times New Roman"/>
          <w:szCs w:val="22"/>
        </w:rPr>
        <w:t xml:space="preserve"> </w:t>
      </w:r>
      <w:r w:rsidRPr="00D22DB7">
        <w:rPr>
          <w:rFonts w:ascii="Times New Roman" w:hAnsi="Times New Roman"/>
          <w:szCs w:val="22"/>
        </w:rPr>
        <w:t xml:space="preserve">z Európskeho poľnohospodárskeho a záručného fondu </w:t>
      </w:r>
      <w:r>
        <w:rPr>
          <w:rFonts w:ascii="Times New Roman" w:hAnsi="Times New Roman"/>
          <w:szCs w:val="22"/>
        </w:rPr>
        <w:t>(</w:t>
      </w:r>
      <w:r w:rsidRPr="00D22DB7">
        <w:rPr>
          <w:rFonts w:ascii="Times New Roman" w:hAnsi="Times New Roman"/>
          <w:szCs w:val="22"/>
        </w:rPr>
        <w:t>74</w:t>
      </w:r>
      <w:r>
        <w:rPr>
          <w:rFonts w:ascii="Times New Roman" w:hAnsi="Times New Roman"/>
          <w:szCs w:val="22"/>
        </w:rPr>
        <w:t> </w:t>
      </w:r>
      <w:r w:rsidRPr="00D22DB7">
        <w:rPr>
          <w:rFonts w:ascii="Times New Roman" w:hAnsi="Times New Roman"/>
          <w:szCs w:val="22"/>
        </w:rPr>
        <w:t>38</w:t>
      </w:r>
      <w:r>
        <w:rPr>
          <w:rFonts w:ascii="Times New Roman" w:hAnsi="Times New Roman"/>
          <w:szCs w:val="22"/>
        </w:rPr>
        <w:t>2 tis.</w:t>
      </w:r>
      <w:r w:rsidRPr="00D22DB7">
        <w:rPr>
          <w:rFonts w:ascii="Times New Roman" w:hAnsi="Times New Roman"/>
          <w:szCs w:val="22"/>
        </w:rPr>
        <w:t xml:space="preserve"> eur</w:t>
      </w:r>
      <w:r>
        <w:rPr>
          <w:rFonts w:ascii="Times New Roman" w:hAnsi="Times New Roman"/>
          <w:szCs w:val="22"/>
        </w:rPr>
        <w:t>)</w:t>
      </w:r>
      <w:r w:rsidR="00B220A6">
        <w:rPr>
          <w:rFonts w:ascii="Times New Roman" w:hAnsi="Times New Roman"/>
          <w:szCs w:val="22"/>
        </w:rPr>
        <w:t xml:space="preserve"> a</w:t>
      </w:r>
      <w:r w:rsidRPr="00D22DB7">
        <w:rPr>
          <w:rFonts w:ascii="Times New Roman" w:hAnsi="Times New Roman"/>
          <w:szCs w:val="22"/>
        </w:rPr>
        <w:t xml:space="preserve"> projektové podpory poskytnuté v rámci Programu rozvoja vidieka SR 2014-2020 </w:t>
      </w:r>
      <w:r>
        <w:rPr>
          <w:rFonts w:ascii="Times New Roman" w:hAnsi="Times New Roman"/>
          <w:szCs w:val="22"/>
        </w:rPr>
        <w:t>(</w:t>
      </w:r>
      <w:r w:rsidRPr="00D22DB7">
        <w:rPr>
          <w:rFonts w:ascii="Times New Roman" w:hAnsi="Times New Roman"/>
          <w:szCs w:val="22"/>
        </w:rPr>
        <w:t>15</w:t>
      </w:r>
      <w:r>
        <w:rPr>
          <w:rFonts w:ascii="Times New Roman" w:hAnsi="Times New Roman"/>
          <w:szCs w:val="22"/>
        </w:rPr>
        <w:t> </w:t>
      </w:r>
      <w:r w:rsidRPr="00D22DB7">
        <w:rPr>
          <w:rFonts w:ascii="Times New Roman" w:hAnsi="Times New Roman"/>
          <w:szCs w:val="22"/>
        </w:rPr>
        <w:t>19</w:t>
      </w:r>
      <w:r>
        <w:rPr>
          <w:rFonts w:ascii="Times New Roman" w:hAnsi="Times New Roman"/>
          <w:szCs w:val="22"/>
        </w:rPr>
        <w:t>6 tis. </w:t>
      </w:r>
      <w:r w:rsidRPr="00D22DB7">
        <w:rPr>
          <w:rFonts w:ascii="Times New Roman" w:hAnsi="Times New Roman"/>
          <w:szCs w:val="22"/>
        </w:rPr>
        <w:t>eur</w:t>
      </w:r>
      <w:r>
        <w:rPr>
          <w:rFonts w:ascii="Times New Roman" w:hAnsi="Times New Roman"/>
          <w:szCs w:val="22"/>
        </w:rPr>
        <w:t>)</w:t>
      </w:r>
      <w:r w:rsidRPr="00D22DB7">
        <w:rPr>
          <w:rFonts w:ascii="Times New Roman" w:hAnsi="Times New Roman"/>
          <w:szCs w:val="22"/>
        </w:rPr>
        <w:t>.</w:t>
      </w:r>
      <w:r>
        <w:rPr>
          <w:rFonts w:ascii="Times New Roman" w:hAnsi="Times New Roman"/>
          <w:szCs w:val="22"/>
        </w:rPr>
        <w:t xml:space="preserve"> </w:t>
      </w:r>
    </w:p>
    <w:p w:rsidR="00F17E8A" w:rsidP="00FD5465">
      <w:pPr>
        <w:bidi w:val="0"/>
        <w:rPr>
          <w:rFonts w:ascii="Times New Roman" w:hAnsi="Times New Roman"/>
          <w:szCs w:val="22"/>
        </w:rPr>
      </w:pPr>
      <w:r w:rsidRPr="00D22DB7" w:rsidR="00FD5465">
        <w:rPr>
          <w:rFonts w:ascii="Times New Roman" w:hAnsi="Times New Roman"/>
          <w:szCs w:val="22"/>
        </w:rPr>
        <w:t>Na</w:t>
      </w:r>
      <w:r w:rsidR="00FD5465">
        <w:rPr>
          <w:rFonts w:ascii="Times New Roman" w:hAnsi="Times New Roman"/>
          <w:szCs w:val="22"/>
        </w:rPr>
        <w:t>jvyššie výdavky v</w:t>
      </w:r>
      <w:r w:rsidRPr="00D22DB7" w:rsidR="00FD5465">
        <w:rPr>
          <w:rFonts w:ascii="Times New Roman" w:hAnsi="Times New Roman"/>
          <w:szCs w:val="22"/>
        </w:rPr>
        <w:t xml:space="preserve"> transferoch</w:t>
      </w:r>
      <w:r w:rsidRPr="00D22DB7" w:rsidR="00FD5465">
        <w:rPr>
          <w:rFonts w:ascii="Times New Roman" w:hAnsi="Times New Roman"/>
          <w:b/>
          <w:szCs w:val="22"/>
        </w:rPr>
        <w:t xml:space="preserve"> právnickým osobám založeným štátom, obcou alebo vyšším územným celkom </w:t>
      </w:r>
      <w:r w:rsidRPr="00D22DB7" w:rsidR="00FD5465">
        <w:rPr>
          <w:rFonts w:ascii="Times New Roman" w:hAnsi="Times New Roman"/>
          <w:szCs w:val="22"/>
        </w:rPr>
        <w:t>(75 914 tis. eur</w:t>
      </w:r>
      <w:r w:rsidR="00FD5465">
        <w:rPr>
          <w:rFonts w:ascii="Times New Roman" w:hAnsi="Times New Roman"/>
          <w:szCs w:val="22"/>
        </w:rPr>
        <w:t>) čerpala</w:t>
      </w:r>
      <w:r w:rsidRPr="00D22DB7" w:rsidR="00FD5465">
        <w:rPr>
          <w:rFonts w:ascii="Times New Roman" w:hAnsi="Times New Roman"/>
          <w:szCs w:val="22"/>
        </w:rPr>
        <w:t xml:space="preserve"> kapitola Ministerstva</w:t>
      </w:r>
      <w:r w:rsidR="00FD5465">
        <w:rPr>
          <w:rFonts w:ascii="Times New Roman" w:hAnsi="Times New Roman"/>
          <w:szCs w:val="22"/>
        </w:rPr>
        <w:t xml:space="preserve"> životného prostredia </w:t>
      </w:r>
      <w:r w:rsidR="00457F6F">
        <w:rPr>
          <w:rFonts w:ascii="Times New Roman" w:hAnsi="Times New Roman"/>
          <w:szCs w:val="22"/>
        </w:rPr>
        <w:t xml:space="preserve">SR </w:t>
      </w:r>
      <w:r w:rsidR="00FD5465">
        <w:rPr>
          <w:rFonts w:ascii="Times New Roman" w:hAnsi="Times New Roman"/>
          <w:szCs w:val="22"/>
        </w:rPr>
        <w:t>(37 218 </w:t>
      </w:r>
      <w:r w:rsidRPr="00D22DB7" w:rsidR="00FD5465">
        <w:rPr>
          <w:rFonts w:ascii="Times New Roman" w:hAnsi="Times New Roman"/>
          <w:szCs w:val="22"/>
        </w:rPr>
        <w:t>tis.</w:t>
      </w:r>
      <w:r w:rsidR="00FD5465">
        <w:rPr>
          <w:rFonts w:ascii="Times New Roman" w:hAnsi="Times New Roman"/>
          <w:szCs w:val="22"/>
        </w:rPr>
        <w:t> </w:t>
      </w:r>
      <w:r w:rsidRPr="00D22DB7" w:rsidR="00FD5465">
        <w:rPr>
          <w:rFonts w:ascii="Times New Roman" w:hAnsi="Times New Roman"/>
          <w:szCs w:val="22"/>
        </w:rPr>
        <w:t>eur</w:t>
      </w:r>
      <w:r w:rsidR="00FD5465">
        <w:rPr>
          <w:rFonts w:ascii="Times New Roman" w:hAnsi="Times New Roman"/>
          <w:szCs w:val="22"/>
        </w:rPr>
        <w:t xml:space="preserve">), hlavne </w:t>
      </w:r>
      <w:r w:rsidRPr="00D8316A" w:rsidR="00FD5465">
        <w:rPr>
          <w:rFonts w:ascii="Times New Roman" w:hAnsi="Times New Roman"/>
          <w:szCs w:val="22"/>
        </w:rPr>
        <w:t>Slovenskému vodohospodárskemu podniku, š. p. Banská Štiavnica na</w:t>
      </w:r>
      <w:r w:rsidR="00FD5465">
        <w:rPr>
          <w:rFonts w:ascii="Times New Roman" w:hAnsi="Times New Roman"/>
          <w:szCs w:val="22"/>
        </w:rPr>
        <w:t xml:space="preserve"> neregulované platby, na </w:t>
      </w:r>
      <w:r w:rsidRPr="00D8316A" w:rsidR="00FD5465">
        <w:rPr>
          <w:rFonts w:ascii="Times New Roman" w:hAnsi="Times New Roman"/>
          <w:szCs w:val="22"/>
        </w:rPr>
        <w:t>povodňové zabezpečovacie práce</w:t>
      </w:r>
      <w:r w:rsidR="00FD5465">
        <w:rPr>
          <w:rFonts w:ascii="Times New Roman" w:hAnsi="Times New Roman"/>
          <w:szCs w:val="22"/>
        </w:rPr>
        <w:t xml:space="preserve">, na </w:t>
      </w:r>
      <w:r w:rsidRPr="00D8316A" w:rsidR="00FD5465">
        <w:rPr>
          <w:rFonts w:ascii="Times New Roman" w:hAnsi="Times New Roman"/>
          <w:szCs w:val="22"/>
        </w:rPr>
        <w:t>protipovodňové opatrenia na rieke Nitra</w:t>
      </w:r>
      <w:r>
        <w:rPr>
          <w:rFonts w:ascii="Times New Roman" w:hAnsi="Times New Roman"/>
          <w:szCs w:val="22"/>
        </w:rPr>
        <w:t>.</w:t>
      </w:r>
    </w:p>
    <w:p w:rsidR="00F17E8A" w:rsidP="00F17E8A">
      <w:pPr>
        <w:bidi w:val="0"/>
        <w:rPr>
          <w:rFonts w:ascii="Times New Roman" w:hAnsi="Times New Roman"/>
        </w:rPr>
      </w:pPr>
      <w:r>
        <w:rPr>
          <w:rFonts w:ascii="Times New Roman" w:hAnsi="Times New Roman"/>
        </w:rPr>
        <w:br w:type="page"/>
      </w:r>
    </w:p>
    <w:p w:rsidR="00FD5465" w:rsidP="00FD5465">
      <w:pPr>
        <w:bidi w:val="0"/>
        <w:rPr>
          <w:rFonts w:ascii="Times New Roman" w:hAnsi="Times New Roman"/>
          <w:szCs w:val="22"/>
        </w:rPr>
      </w:pPr>
      <w:r w:rsidRPr="00D22DB7">
        <w:rPr>
          <w:rFonts w:ascii="Times New Roman" w:hAnsi="Times New Roman"/>
          <w:szCs w:val="22"/>
        </w:rPr>
        <w:t>Ministerstv</w:t>
      </w:r>
      <w:r>
        <w:rPr>
          <w:rFonts w:ascii="Times New Roman" w:hAnsi="Times New Roman"/>
          <w:szCs w:val="22"/>
        </w:rPr>
        <w:t>o</w:t>
      </w:r>
      <w:r w:rsidRPr="00D22DB7">
        <w:rPr>
          <w:rFonts w:ascii="Times New Roman" w:hAnsi="Times New Roman"/>
          <w:szCs w:val="22"/>
        </w:rPr>
        <w:t xml:space="preserve"> hospodárstva</w:t>
      </w:r>
      <w:r>
        <w:rPr>
          <w:rFonts w:ascii="Times New Roman" w:hAnsi="Times New Roman"/>
          <w:szCs w:val="22"/>
        </w:rPr>
        <w:t xml:space="preserve"> </w:t>
      </w:r>
      <w:r w:rsidRPr="00D22DB7">
        <w:rPr>
          <w:rFonts w:ascii="Times New Roman" w:hAnsi="Times New Roman"/>
          <w:szCs w:val="22"/>
        </w:rPr>
        <w:t>SR</w:t>
      </w:r>
      <w:r>
        <w:rPr>
          <w:rFonts w:ascii="Times New Roman" w:hAnsi="Times New Roman"/>
          <w:szCs w:val="22"/>
        </w:rPr>
        <w:t xml:space="preserve"> čerpalo prostriedky (19 460 </w:t>
      </w:r>
      <w:r w:rsidRPr="00D22DB7">
        <w:rPr>
          <w:rFonts w:ascii="Times New Roman" w:hAnsi="Times New Roman"/>
          <w:szCs w:val="22"/>
        </w:rPr>
        <w:t>tis.</w:t>
      </w:r>
      <w:r>
        <w:rPr>
          <w:rFonts w:ascii="Times New Roman" w:hAnsi="Times New Roman"/>
          <w:szCs w:val="22"/>
        </w:rPr>
        <w:t> </w:t>
      </w:r>
      <w:r w:rsidRPr="00D22DB7">
        <w:rPr>
          <w:rFonts w:ascii="Times New Roman" w:hAnsi="Times New Roman"/>
          <w:szCs w:val="22"/>
        </w:rPr>
        <w:t>eur</w:t>
      </w:r>
      <w:r>
        <w:rPr>
          <w:rFonts w:ascii="Times New Roman" w:hAnsi="Times New Roman"/>
          <w:szCs w:val="22"/>
        </w:rPr>
        <w:t xml:space="preserve">) v prospech spoločnosti </w:t>
      </w:r>
      <w:r w:rsidRPr="00A50E29">
        <w:rPr>
          <w:rFonts w:ascii="Times New Roman" w:hAnsi="Times New Roman"/>
          <w:szCs w:val="22"/>
        </w:rPr>
        <w:t>SZRB ASSET MANAGEMENT, a.s. Bratislava. Účelom platby boli finančné nástroje (návratná forma pomoci za zvýhodnených podmienok oproti štandardným trhovým podmienkam).</w:t>
      </w:r>
      <w:r w:rsidR="00D01292">
        <w:rPr>
          <w:rFonts w:ascii="Times New Roman" w:hAnsi="Times New Roman"/>
          <w:szCs w:val="22"/>
        </w:rPr>
        <w:t xml:space="preserve"> </w:t>
      </w:r>
    </w:p>
    <w:p w:rsidR="00FD5465" w:rsidRPr="00270D30" w:rsidP="00FD5465">
      <w:pPr>
        <w:bidi w:val="0"/>
        <w:rPr>
          <w:rFonts w:ascii="Times New Roman" w:hAnsi="Times New Roman"/>
          <w:szCs w:val="22"/>
        </w:rPr>
      </w:pPr>
      <w:r w:rsidR="00B220A6">
        <w:rPr>
          <w:rFonts w:ascii="Times New Roman" w:hAnsi="Times New Roman"/>
          <w:b/>
          <w:i/>
          <w:szCs w:val="22"/>
        </w:rPr>
        <w:t>T</w:t>
      </w:r>
      <w:r w:rsidRPr="00270D30">
        <w:rPr>
          <w:rFonts w:ascii="Times New Roman" w:hAnsi="Times New Roman"/>
          <w:b/>
          <w:i/>
          <w:szCs w:val="22"/>
        </w:rPr>
        <w:t>ransfery do tuzemských finančných inštitúcií</w:t>
      </w:r>
      <w:r w:rsidRPr="00270D30">
        <w:rPr>
          <w:rFonts w:ascii="Times New Roman" w:hAnsi="Times New Roman"/>
          <w:b/>
          <w:szCs w:val="22"/>
        </w:rPr>
        <w:t xml:space="preserve"> </w:t>
      </w:r>
      <w:r w:rsidRPr="00B220A6" w:rsidR="00B220A6">
        <w:rPr>
          <w:rFonts w:ascii="Times New Roman" w:hAnsi="Times New Roman"/>
          <w:szCs w:val="22"/>
        </w:rPr>
        <w:t xml:space="preserve">boli </w:t>
      </w:r>
      <w:r>
        <w:rPr>
          <w:rFonts w:ascii="Times New Roman" w:hAnsi="Times New Roman"/>
          <w:szCs w:val="22"/>
        </w:rPr>
        <w:t xml:space="preserve">použité </w:t>
      </w:r>
      <w:r w:rsidRPr="00270D30">
        <w:rPr>
          <w:rFonts w:ascii="Times New Roman" w:hAnsi="Times New Roman"/>
          <w:szCs w:val="22"/>
        </w:rPr>
        <w:t>na činnosť Kancelárie Rady pre rozpočtovú zodpovednosť 1 0</w:t>
      </w:r>
      <w:r>
        <w:rPr>
          <w:rFonts w:ascii="Times New Roman" w:hAnsi="Times New Roman"/>
          <w:szCs w:val="22"/>
        </w:rPr>
        <w:t>57</w:t>
      </w:r>
      <w:r w:rsidRPr="00270D30">
        <w:rPr>
          <w:rFonts w:ascii="Times New Roman" w:hAnsi="Times New Roman"/>
          <w:szCs w:val="22"/>
        </w:rPr>
        <w:t> tis. eur</w:t>
      </w:r>
      <w:r>
        <w:rPr>
          <w:rFonts w:ascii="Times New Roman" w:hAnsi="Times New Roman"/>
          <w:szCs w:val="22"/>
        </w:rPr>
        <w:t xml:space="preserve"> a </w:t>
      </w:r>
      <w:r w:rsidRPr="00270D30">
        <w:rPr>
          <w:rFonts w:ascii="Times New Roman" w:hAnsi="Times New Roman"/>
          <w:szCs w:val="22"/>
        </w:rPr>
        <w:t xml:space="preserve">na úhradu majetkovej ujmy </w:t>
      </w:r>
      <w:r>
        <w:rPr>
          <w:rFonts w:ascii="Times New Roman" w:hAnsi="Times New Roman"/>
          <w:szCs w:val="22"/>
        </w:rPr>
        <w:t>717</w:t>
      </w:r>
      <w:r w:rsidRPr="00270D30">
        <w:rPr>
          <w:rFonts w:ascii="Times New Roman" w:hAnsi="Times New Roman"/>
          <w:szCs w:val="22"/>
        </w:rPr>
        <w:t xml:space="preserve"> tis. eur.</w:t>
      </w:r>
    </w:p>
    <w:p w:rsidR="00FD5465" w:rsidRPr="00BB626D" w:rsidP="00FD5465">
      <w:pPr>
        <w:bidi w:val="0"/>
        <w:rPr>
          <w:rFonts w:ascii="Times New Roman" w:hAnsi="Times New Roman"/>
          <w:szCs w:val="22"/>
        </w:rPr>
      </w:pPr>
      <w:r w:rsidRPr="00BB626D">
        <w:rPr>
          <w:rFonts w:ascii="Times New Roman" w:hAnsi="Times New Roman"/>
          <w:szCs w:val="22"/>
        </w:rPr>
        <w:t xml:space="preserve">Do výdavkovej položky </w:t>
      </w:r>
      <w:r w:rsidRPr="00BB626D">
        <w:rPr>
          <w:rFonts w:ascii="Times New Roman" w:hAnsi="Times New Roman"/>
          <w:b/>
          <w:i/>
          <w:szCs w:val="22"/>
        </w:rPr>
        <w:t>transfery do zahraničia</w:t>
      </w:r>
      <w:r w:rsidRPr="00BB626D">
        <w:rPr>
          <w:rFonts w:ascii="Times New Roman" w:hAnsi="Times New Roman"/>
          <w:b/>
          <w:szCs w:val="22"/>
        </w:rPr>
        <w:t xml:space="preserve"> </w:t>
      </w:r>
      <w:r w:rsidRPr="00BB626D">
        <w:rPr>
          <w:rFonts w:ascii="Times New Roman" w:hAnsi="Times New Roman"/>
          <w:szCs w:val="22"/>
        </w:rPr>
        <w:t>sa zahŕňajú</w:t>
      </w:r>
      <w:r w:rsidRPr="00BB626D">
        <w:rPr>
          <w:rFonts w:ascii="Times New Roman" w:hAnsi="Times New Roman"/>
          <w:b/>
          <w:szCs w:val="22"/>
        </w:rPr>
        <w:t xml:space="preserve"> </w:t>
      </w:r>
      <w:r w:rsidRPr="00BB626D">
        <w:rPr>
          <w:rFonts w:ascii="Times New Roman" w:hAnsi="Times New Roman"/>
          <w:szCs w:val="22"/>
        </w:rPr>
        <w:t>platby iným vládam</w:t>
      </w:r>
      <w:r w:rsidRPr="00BB626D">
        <w:rPr>
          <w:rFonts w:ascii="Times New Roman" w:hAnsi="Times New Roman"/>
          <w:b/>
          <w:szCs w:val="22"/>
        </w:rPr>
        <w:t xml:space="preserve">, </w:t>
      </w:r>
      <w:r w:rsidRPr="00BB626D">
        <w:rPr>
          <w:rFonts w:ascii="Times New Roman" w:hAnsi="Times New Roman"/>
          <w:szCs w:val="22"/>
        </w:rPr>
        <w:t xml:space="preserve">medzinárodným organizáciám, neziskovým právnickým osobám a iným subjektom do zahraničia. V schválenom rozpočte boli na ne vyčlenené zdroje </w:t>
      </w:r>
      <w:r>
        <w:rPr>
          <w:rFonts w:ascii="Times New Roman" w:hAnsi="Times New Roman"/>
          <w:szCs w:val="22"/>
        </w:rPr>
        <w:t>750 735 </w:t>
      </w:r>
      <w:r w:rsidRPr="00BB626D">
        <w:rPr>
          <w:rFonts w:ascii="Times New Roman" w:hAnsi="Times New Roman"/>
          <w:szCs w:val="22"/>
        </w:rPr>
        <w:t>tis. eur, skutočne realizované výdavky predstavovali 711 </w:t>
      </w:r>
      <w:r>
        <w:rPr>
          <w:rFonts w:ascii="Times New Roman" w:hAnsi="Times New Roman"/>
          <w:szCs w:val="22"/>
        </w:rPr>
        <w:t>3</w:t>
      </w:r>
      <w:r w:rsidRPr="00BB626D">
        <w:rPr>
          <w:rFonts w:ascii="Times New Roman" w:hAnsi="Times New Roman"/>
          <w:szCs w:val="22"/>
        </w:rPr>
        <w:t>58 tis. eur (201</w:t>
      </w:r>
      <w:r>
        <w:rPr>
          <w:rFonts w:ascii="Times New Roman" w:hAnsi="Times New Roman"/>
          <w:szCs w:val="22"/>
        </w:rPr>
        <w:t>6</w:t>
      </w:r>
      <w:r w:rsidRPr="00BB626D">
        <w:rPr>
          <w:rFonts w:ascii="Times New Roman" w:hAnsi="Times New Roman"/>
          <w:szCs w:val="22"/>
        </w:rPr>
        <w:t>:</w:t>
      </w:r>
      <w:r>
        <w:rPr>
          <w:rFonts w:ascii="Times New Roman" w:hAnsi="Times New Roman"/>
          <w:szCs w:val="22"/>
        </w:rPr>
        <w:t> </w:t>
      </w:r>
      <w:r w:rsidRPr="00BB626D">
        <w:rPr>
          <w:rFonts w:ascii="Times New Roman" w:hAnsi="Times New Roman"/>
          <w:szCs w:val="22"/>
        </w:rPr>
        <w:t>711</w:t>
      </w:r>
      <w:r>
        <w:rPr>
          <w:rFonts w:ascii="Times New Roman" w:hAnsi="Times New Roman"/>
          <w:szCs w:val="22"/>
        </w:rPr>
        <w:t> </w:t>
      </w:r>
      <w:r w:rsidRPr="00BB626D">
        <w:rPr>
          <w:rFonts w:ascii="Times New Roman" w:hAnsi="Times New Roman"/>
          <w:szCs w:val="22"/>
        </w:rPr>
        <w:t>585 tis.</w:t>
      </w:r>
      <w:r>
        <w:rPr>
          <w:rFonts w:ascii="Times New Roman" w:hAnsi="Times New Roman"/>
          <w:szCs w:val="22"/>
        </w:rPr>
        <w:t> </w:t>
      </w:r>
      <w:r w:rsidRPr="00BB626D">
        <w:rPr>
          <w:rFonts w:ascii="Times New Roman" w:hAnsi="Times New Roman"/>
          <w:szCs w:val="22"/>
        </w:rPr>
        <w:t xml:space="preserve">eur). Rozhodujúcou položkou boli </w:t>
      </w:r>
      <w:r w:rsidRPr="00BB626D">
        <w:rPr>
          <w:rFonts w:ascii="Times New Roman" w:hAnsi="Times New Roman"/>
          <w:b/>
          <w:szCs w:val="22"/>
        </w:rPr>
        <w:t>odvody Slovenskej republiky do rozpočtu Európskej únie</w:t>
      </w:r>
      <w:r w:rsidRPr="008F7D2F">
        <w:rPr>
          <w:rFonts w:ascii="Times New Roman" w:hAnsi="Times New Roman"/>
          <w:szCs w:val="22"/>
        </w:rPr>
        <w:t xml:space="preserve"> </w:t>
      </w:r>
      <w:r w:rsidR="00B220A6">
        <w:rPr>
          <w:rFonts w:ascii="Times New Roman" w:hAnsi="Times New Roman"/>
          <w:szCs w:val="22"/>
        </w:rPr>
        <w:t>(634 172 tis. eur</w:t>
      </w:r>
      <w:r>
        <w:rPr>
          <w:rFonts w:ascii="Times New Roman" w:hAnsi="Times New Roman"/>
          <w:szCs w:val="22"/>
        </w:rPr>
        <w:t xml:space="preserve">), </w:t>
      </w:r>
      <w:r w:rsidRPr="001A73AD">
        <w:rPr>
          <w:rFonts w:ascii="Times New Roman" w:hAnsi="Times New Roman"/>
          <w:szCs w:val="22"/>
        </w:rPr>
        <w:t xml:space="preserve">ktoré sú následné použité </w:t>
      </w:r>
      <w:r w:rsidR="00E331A1">
        <w:rPr>
          <w:rFonts w:ascii="Times New Roman" w:hAnsi="Times New Roman"/>
          <w:szCs w:val="22"/>
        </w:rPr>
        <w:br/>
      </w:r>
      <w:r w:rsidRPr="001A73AD">
        <w:rPr>
          <w:rFonts w:ascii="Times New Roman" w:hAnsi="Times New Roman"/>
          <w:szCs w:val="22"/>
        </w:rPr>
        <w:t>na financovanie rôznych programov a politík EÚ.</w:t>
      </w:r>
      <w:r>
        <w:rPr>
          <w:rFonts w:ascii="Times New Roman" w:hAnsi="Times New Roman"/>
          <w:szCs w:val="22"/>
        </w:rPr>
        <w:t xml:space="preserve"> V</w:t>
      </w:r>
      <w:r w:rsidRPr="001A73AD">
        <w:rPr>
          <w:rFonts w:ascii="Times New Roman" w:hAnsi="Times New Roman"/>
          <w:szCs w:val="22"/>
        </w:rPr>
        <w:t>ýška odvodov SR do rozpočtu EÚ závisí najmä od výšky rozpočtu EÚ pre daný rok (SR momentálne prispieva približne 0,6</w:t>
      </w:r>
      <w:r w:rsidR="0080791D">
        <w:rPr>
          <w:rFonts w:ascii="Times New Roman" w:hAnsi="Times New Roman"/>
          <w:szCs w:val="22"/>
        </w:rPr>
        <w:t> </w:t>
      </w:r>
      <w:r w:rsidRPr="001A73AD">
        <w:rPr>
          <w:rFonts w:ascii="Times New Roman" w:hAnsi="Times New Roman"/>
          <w:szCs w:val="22"/>
        </w:rPr>
        <w:t xml:space="preserve">% zo všetkých </w:t>
      </w:r>
      <w:r>
        <w:rPr>
          <w:rFonts w:ascii="Times New Roman" w:hAnsi="Times New Roman"/>
          <w:szCs w:val="22"/>
        </w:rPr>
        <w:t>členských štátov</w:t>
      </w:r>
      <w:r w:rsidRPr="001A73AD">
        <w:rPr>
          <w:rFonts w:ascii="Times New Roman" w:hAnsi="Times New Roman"/>
          <w:szCs w:val="22"/>
        </w:rPr>
        <w:t xml:space="preserve"> EÚ). V roku 2017 sa ukázalo, že pôvodne odhadovaná suma príspevkov jednotlivých štátov sa môže znížiť (kombináciou vyšších iných príjmov EÚ a nižších výdavkov EÚ). Európska komisia preto v priebehu roku predložila viacero noviel</w:t>
      </w:r>
      <w:r w:rsidR="00B220A6">
        <w:rPr>
          <w:rFonts w:ascii="Times New Roman" w:hAnsi="Times New Roman"/>
          <w:szCs w:val="22"/>
        </w:rPr>
        <w:t xml:space="preserve"> rozpočtu</w:t>
      </w:r>
      <w:r w:rsidRPr="001A73AD">
        <w:rPr>
          <w:rFonts w:ascii="Times New Roman" w:hAnsi="Times New Roman"/>
          <w:szCs w:val="22"/>
        </w:rPr>
        <w:t xml:space="preserve">, ktoré </w:t>
      </w:r>
      <w:r w:rsidR="00E331A1">
        <w:rPr>
          <w:rFonts w:ascii="Times New Roman" w:hAnsi="Times New Roman"/>
          <w:szCs w:val="22"/>
        </w:rPr>
        <w:br/>
      </w:r>
      <w:r w:rsidRPr="001A73AD">
        <w:rPr>
          <w:rFonts w:ascii="Times New Roman" w:hAnsi="Times New Roman"/>
          <w:szCs w:val="22"/>
        </w:rPr>
        <w:t xml:space="preserve">po schválení Radou EÚ a Európskym parlamentom mali za následok zníženie odvodov </w:t>
      </w:r>
      <w:r>
        <w:rPr>
          <w:rFonts w:ascii="Times New Roman" w:hAnsi="Times New Roman"/>
          <w:szCs w:val="22"/>
        </w:rPr>
        <w:t>členských štátov</w:t>
      </w:r>
      <w:r w:rsidR="0015313D">
        <w:rPr>
          <w:rFonts w:ascii="Times New Roman" w:hAnsi="Times New Roman"/>
          <w:szCs w:val="22"/>
        </w:rPr>
        <w:t>,</w:t>
      </w:r>
      <w:r w:rsidRPr="001A73AD">
        <w:rPr>
          <w:rFonts w:ascii="Times New Roman" w:hAnsi="Times New Roman"/>
          <w:szCs w:val="22"/>
        </w:rPr>
        <w:t xml:space="preserve"> a to aj vrátane SR. Celkovo išlo o úsporu na odvodoch SR vo výške</w:t>
      </w:r>
      <w:r>
        <w:rPr>
          <w:rFonts w:ascii="Times New Roman" w:hAnsi="Times New Roman"/>
          <w:szCs w:val="22"/>
        </w:rPr>
        <w:t xml:space="preserve"> 38 872 tis. eur. </w:t>
      </w:r>
    </w:p>
    <w:p w:rsidR="00FD5465" w:rsidP="00FD5465">
      <w:pPr>
        <w:bidi w:val="0"/>
        <w:rPr>
          <w:rFonts w:ascii="Times New Roman" w:hAnsi="Times New Roman"/>
          <w:szCs w:val="22"/>
        </w:rPr>
      </w:pPr>
      <w:r w:rsidRPr="0031373C">
        <w:rPr>
          <w:rFonts w:ascii="Times New Roman" w:hAnsi="Times New Roman"/>
          <w:b/>
          <w:szCs w:val="22"/>
        </w:rPr>
        <w:t>Medzinárodným organizáciám</w:t>
      </w:r>
      <w:r w:rsidRPr="0031373C">
        <w:rPr>
          <w:rFonts w:ascii="Times New Roman" w:hAnsi="Times New Roman"/>
          <w:szCs w:val="22"/>
        </w:rPr>
        <w:t xml:space="preserve"> sa poukázalo 74 </w:t>
      </w:r>
      <w:r>
        <w:rPr>
          <w:rFonts w:ascii="Times New Roman" w:hAnsi="Times New Roman"/>
          <w:szCs w:val="22"/>
        </w:rPr>
        <w:t>088</w:t>
      </w:r>
      <w:r w:rsidRPr="0031373C">
        <w:rPr>
          <w:rFonts w:ascii="Times New Roman" w:hAnsi="Times New Roman"/>
          <w:szCs w:val="22"/>
        </w:rPr>
        <w:t xml:space="preserve"> tis. eur, na čom sa podieľali najmä kapitoly Ministerstva zahraničných vecí a európskych záležitostí SR </w:t>
      </w:r>
      <w:r>
        <w:rPr>
          <w:rFonts w:ascii="Times New Roman" w:hAnsi="Times New Roman"/>
          <w:szCs w:val="22"/>
        </w:rPr>
        <w:t>28 177 </w:t>
      </w:r>
      <w:r w:rsidRPr="0031373C">
        <w:rPr>
          <w:rFonts w:ascii="Times New Roman" w:hAnsi="Times New Roman"/>
          <w:szCs w:val="22"/>
        </w:rPr>
        <w:t>tis.</w:t>
      </w:r>
      <w:r>
        <w:rPr>
          <w:rFonts w:ascii="Times New Roman" w:hAnsi="Times New Roman"/>
          <w:szCs w:val="22"/>
        </w:rPr>
        <w:t> </w:t>
      </w:r>
      <w:r w:rsidRPr="0031373C">
        <w:rPr>
          <w:rFonts w:ascii="Times New Roman" w:hAnsi="Times New Roman"/>
          <w:szCs w:val="22"/>
        </w:rPr>
        <w:t>eur, Všeobecnej pokladničnej správy 16</w:t>
      </w:r>
      <w:r>
        <w:rPr>
          <w:rFonts w:ascii="Times New Roman" w:hAnsi="Times New Roman"/>
          <w:szCs w:val="22"/>
        </w:rPr>
        <w:t> </w:t>
      </w:r>
      <w:r w:rsidRPr="0031373C">
        <w:rPr>
          <w:rFonts w:ascii="Times New Roman" w:hAnsi="Times New Roman"/>
          <w:szCs w:val="22"/>
        </w:rPr>
        <w:t>7</w:t>
      </w:r>
      <w:r>
        <w:rPr>
          <w:rFonts w:ascii="Times New Roman" w:hAnsi="Times New Roman"/>
          <w:szCs w:val="22"/>
        </w:rPr>
        <w:t>78 </w:t>
      </w:r>
      <w:r w:rsidRPr="0031373C">
        <w:rPr>
          <w:rFonts w:ascii="Times New Roman" w:hAnsi="Times New Roman"/>
          <w:szCs w:val="22"/>
        </w:rPr>
        <w:t>tis.</w:t>
      </w:r>
      <w:r>
        <w:rPr>
          <w:rFonts w:ascii="Times New Roman" w:hAnsi="Times New Roman"/>
          <w:szCs w:val="22"/>
        </w:rPr>
        <w:t> </w:t>
      </w:r>
      <w:r w:rsidRPr="0031373C">
        <w:rPr>
          <w:rFonts w:ascii="Times New Roman" w:hAnsi="Times New Roman"/>
          <w:szCs w:val="22"/>
        </w:rPr>
        <w:t>eur, Ministerstva školstva</w:t>
      </w:r>
      <w:r>
        <w:rPr>
          <w:rFonts w:ascii="Times New Roman" w:hAnsi="Times New Roman"/>
          <w:szCs w:val="22"/>
        </w:rPr>
        <w:t>, vedy, výskumu a športu SR 10 46</w:t>
      </w:r>
      <w:r w:rsidRPr="0031373C">
        <w:rPr>
          <w:rFonts w:ascii="Times New Roman" w:hAnsi="Times New Roman"/>
          <w:szCs w:val="22"/>
        </w:rPr>
        <w:t>0 tis.</w:t>
      </w:r>
      <w:r>
        <w:rPr>
          <w:rFonts w:ascii="Times New Roman" w:hAnsi="Times New Roman"/>
          <w:szCs w:val="22"/>
        </w:rPr>
        <w:t> </w:t>
      </w:r>
      <w:r w:rsidRPr="0031373C">
        <w:rPr>
          <w:rFonts w:ascii="Times New Roman" w:hAnsi="Times New Roman"/>
          <w:szCs w:val="22"/>
        </w:rPr>
        <w:t>eur</w:t>
      </w:r>
      <w:r>
        <w:rPr>
          <w:rFonts w:ascii="Times New Roman" w:hAnsi="Times New Roman"/>
          <w:szCs w:val="22"/>
        </w:rPr>
        <w:t>. N</w:t>
      </w:r>
      <w:r w:rsidRPr="0031373C">
        <w:rPr>
          <w:rFonts w:ascii="Times New Roman" w:hAnsi="Times New Roman"/>
          <w:szCs w:val="22"/>
        </w:rPr>
        <w:t xml:space="preserve">a ostatné transferové platby do zahraničia sa vynaložilo </w:t>
      </w:r>
      <w:r>
        <w:rPr>
          <w:rFonts w:ascii="Times New Roman" w:hAnsi="Times New Roman"/>
          <w:szCs w:val="22"/>
        </w:rPr>
        <w:t>18 674 </w:t>
      </w:r>
      <w:r w:rsidRPr="0031373C">
        <w:rPr>
          <w:rFonts w:ascii="Times New Roman" w:hAnsi="Times New Roman"/>
          <w:szCs w:val="22"/>
        </w:rPr>
        <w:t xml:space="preserve">tis. eur. Platby boli určené na príspevky jednotlivým medzinárodným organizáciám napríklad </w:t>
      </w:r>
      <w:r w:rsidRPr="00BF08FD">
        <w:rPr>
          <w:rFonts w:ascii="Times New Roman" w:hAnsi="Times New Roman"/>
          <w:szCs w:val="22"/>
        </w:rPr>
        <w:t>Mierové operácie OSN (</w:t>
      </w:r>
      <w:r>
        <w:rPr>
          <w:rFonts w:ascii="Times New Roman" w:hAnsi="Times New Roman"/>
          <w:szCs w:val="22"/>
        </w:rPr>
        <w:t>5 536 </w:t>
      </w:r>
      <w:r w:rsidRPr="00BF08FD">
        <w:rPr>
          <w:rFonts w:ascii="Times New Roman" w:hAnsi="Times New Roman"/>
          <w:szCs w:val="22"/>
        </w:rPr>
        <w:t>tis.</w:t>
      </w:r>
      <w:r>
        <w:rPr>
          <w:rFonts w:ascii="Times New Roman" w:hAnsi="Times New Roman"/>
          <w:szCs w:val="22"/>
        </w:rPr>
        <w:t> </w:t>
      </w:r>
      <w:r w:rsidRPr="00BF08FD">
        <w:rPr>
          <w:rFonts w:ascii="Times New Roman" w:hAnsi="Times New Roman"/>
          <w:szCs w:val="22"/>
        </w:rPr>
        <w:t>eur), Nástroj EÚ pre utečencov v</w:t>
      </w:r>
      <w:r>
        <w:rPr>
          <w:rFonts w:ascii="Times New Roman" w:hAnsi="Times New Roman"/>
          <w:szCs w:val="22"/>
        </w:rPr>
        <w:t> </w:t>
      </w:r>
      <w:r w:rsidRPr="00BF08FD">
        <w:rPr>
          <w:rFonts w:ascii="Times New Roman" w:hAnsi="Times New Roman"/>
          <w:szCs w:val="22"/>
        </w:rPr>
        <w:t>Turecku</w:t>
      </w:r>
      <w:r w:rsidR="00457F6F">
        <w:rPr>
          <w:rFonts w:ascii="Times New Roman" w:hAnsi="Times New Roman"/>
          <w:szCs w:val="22"/>
        </w:rPr>
        <w:t xml:space="preserve"> (4 620 tis. eur), </w:t>
      </w:r>
      <w:r w:rsidRPr="00BF08FD">
        <w:rPr>
          <w:rFonts w:ascii="Times New Roman" w:hAnsi="Times New Roman"/>
          <w:szCs w:val="22"/>
        </w:rPr>
        <w:t>OSN riadny rozpočet (3 </w:t>
      </w:r>
      <w:r>
        <w:rPr>
          <w:rFonts w:ascii="Times New Roman" w:hAnsi="Times New Roman"/>
          <w:szCs w:val="22"/>
        </w:rPr>
        <w:t>747</w:t>
      </w:r>
      <w:r w:rsidRPr="00BF08FD">
        <w:rPr>
          <w:rFonts w:ascii="Times New Roman" w:hAnsi="Times New Roman"/>
          <w:szCs w:val="22"/>
        </w:rPr>
        <w:t xml:space="preserve"> tis. eur), </w:t>
      </w:r>
      <w:r>
        <w:rPr>
          <w:rFonts w:ascii="Times New Roman" w:hAnsi="Times New Roman"/>
          <w:szCs w:val="22"/>
        </w:rPr>
        <w:t xml:space="preserve">OECD </w:t>
      </w:r>
      <w:r w:rsidRPr="00BF08FD">
        <w:rPr>
          <w:rFonts w:ascii="Times New Roman" w:hAnsi="Times New Roman"/>
          <w:szCs w:val="22"/>
        </w:rPr>
        <w:t>(</w:t>
      </w:r>
      <w:r>
        <w:rPr>
          <w:rFonts w:ascii="Times New Roman" w:hAnsi="Times New Roman"/>
          <w:szCs w:val="22"/>
        </w:rPr>
        <w:t>3</w:t>
      </w:r>
      <w:r w:rsidRPr="00BF08FD">
        <w:rPr>
          <w:rFonts w:ascii="Times New Roman" w:hAnsi="Times New Roman"/>
          <w:szCs w:val="22"/>
        </w:rPr>
        <w:t> </w:t>
      </w:r>
      <w:r>
        <w:rPr>
          <w:rFonts w:ascii="Times New Roman" w:hAnsi="Times New Roman"/>
          <w:szCs w:val="22"/>
        </w:rPr>
        <w:t>140</w:t>
      </w:r>
      <w:r w:rsidRPr="00BF08FD">
        <w:rPr>
          <w:rFonts w:ascii="Times New Roman" w:hAnsi="Times New Roman"/>
          <w:szCs w:val="22"/>
        </w:rPr>
        <w:t> tis. eur), V4-Medzinárodný Vyšehradský Fond (2</w:t>
      </w:r>
      <w:r>
        <w:rPr>
          <w:rFonts w:ascii="Times New Roman" w:hAnsi="Times New Roman"/>
          <w:szCs w:val="22"/>
        </w:rPr>
        <w:t> </w:t>
      </w:r>
      <w:r w:rsidRPr="00BF08FD">
        <w:rPr>
          <w:rFonts w:ascii="Times New Roman" w:hAnsi="Times New Roman"/>
          <w:szCs w:val="22"/>
        </w:rPr>
        <w:t>000</w:t>
      </w:r>
      <w:r>
        <w:rPr>
          <w:rFonts w:ascii="Times New Roman" w:hAnsi="Times New Roman"/>
          <w:szCs w:val="22"/>
        </w:rPr>
        <w:t> </w:t>
      </w:r>
      <w:r w:rsidRPr="00BF08FD">
        <w:rPr>
          <w:rFonts w:ascii="Times New Roman" w:hAnsi="Times New Roman"/>
          <w:szCs w:val="22"/>
        </w:rPr>
        <w:t>tis.</w:t>
      </w:r>
      <w:r>
        <w:rPr>
          <w:rFonts w:ascii="Times New Roman" w:hAnsi="Times New Roman"/>
          <w:szCs w:val="22"/>
        </w:rPr>
        <w:t> </w:t>
      </w:r>
      <w:r w:rsidRPr="00BF08FD">
        <w:rPr>
          <w:rFonts w:ascii="Times New Roman" w:hAnsi="Times New Roman"/>
          <w:szCs w:val="22"/>
        </w:rPr>
        <w:t>eur)</w:t>
      </w:r>
      <w:r>
        <w:rPr>
          <w:rFonts w:ascii="Times New Roman" w:hAnsi="Times New Roman"/>
          <w:szCs w:val="22"/>
        </w:rPr>
        <w:t xml:space="preserve">, </w:t>
      </w:r>
      <w:r w:rsidRPr="00BF08FD">
        <w:rPr>
          <w:rFonts w:ascii="Times New Roman" w:hAnsi="Times New Roman"/>
          <w:szCs w:val="22"/>
        </w:rPr>
        <w:t>EU pre Afriku - Núdzový zverenecký fond Európskej únie pre stabilitu a riešenie príčin nelegálnej migrácie a vysídlených osôb v Afrike (</w:t>
      </w:r>
      <w:r>
        <w:rPr>
          <w:rFonts w:ascii="Times New Roman" w:hAnsi="Times New Roman"/>
          <w:szCs w:val="22"/>
        </w:rPr>
        <w:t>1</w:t>
      </w:r>
      <w:r w:rsidRPr="00BF08FD">
        <w:rPr>
          <w:rFonts w:ascii="Times New Roman" w:hAnsi="Times New Roman"/>
          <w:szCs w:val="22"/>
        </w:rPr>
        <w:t> </w:t>
      </w:r>
      <w:r>
        <w:rPr>
          <w:rFonts w:ascii="Times New Roman" w:hAnsi="Times New Roman"/>
          <w:szCs w:val="22"/>
        </w:rPr>
        <w:t>25</w:t>
      </w:r>
      <w:r w:rsidRPr="00BF08FD">
        <w:rPr>
          <w:rFonts w:ascii="Times New Roman" w:hAnsi="Times New Roman"/>
          <w:szCs w:val="22"/>
        </w:rPr>
        <w:t>0 tis. eur), Rada Európy (</w:t>
      </w:r>
      <w:r>
        <w:rPr>
          <w:rFonts w:ascii="Times New Roman" w:hAnsi="Times New Roman"/>
          <w:szCs w:val="22"/>
        </w:rPr>
        <w:t>1 330</w:t>
      </w:r>
      <w:r w:rsidRPr="00BF08FD">
        <w:rPr>
          <w:rFonts w:ascii="Times New Roman" w:hAnsi="Times New Roman"/>
          <w:szCs w:val="22"/>
        </w:rPr>
        <w:t xml:space="preserve"> tis. eur), </w:t>
      </w:r>
      <w:r>
        <w:rPr>
          <w:rFonts w:ascii="Times New Roman" w:hAnsi="Times New Roman"/>
          <w:szCs w:val="22"/>
        </w:rPr>
        <w:t>NATO (1 788 tis. eur)</w:t>
      </w:r>
      <w:r w:rsidR="00077EAC">
        <w:rPr>
          <w:rFonts w:ascii="Times New Roman" w:hAnsi="Times New Roman"/>
          <w:szCs w:val="22"/>
        </w:rPr>
        <w:t xml:space="preserve">, </w:t>
      </w:r>
      <w:r w:rsidRPr="00BF08FD">
        <w:rPr>
          <w:rFonts w:ascii="Times New Roman" w:hAnsi="Times New Roman"/>
          <w:szCs w:val="22"/>
        </w:rPr>
        <w:t>na úhradu príspevku Slovenskej republiky do Európskeho rozvojového fondu, príspevok do Fondu technickej pomoci SR a Medzinárodnej investičnej banky (1</w:t>
      </w:r>
      <w:r>
        <w:rPr>
          <w:rFonts w:ascii="Times New Roman" w:hAnsi="Times New Roman"/>
          <w:szCs w:val="22"/>
        </w:rPr>
        <w:t>2</w:t>
      </w:r>
      <w:r w:rsidR="00A7152F">
        <w:rPr>
          <w:rFonts w:ascii="Times New Roman" w:hAnsi="Times New Roman"/>
          <w:szCs w:val="22"/>
        </w:rPr>
        <w:t> </w:t>
      </w:r>
      <w:r>
        <w:rPr>
          <w:rFonts w:ascii="Times New Roman" w:hAnsi="Times New Roman"/>
          <w:szCs w:val="22"/>
        </w:rPr>
        <w:t>6</w:t>
      </w:r>
      <w:r w:rsidRPr="00BF08FD">
        <w:rPr>
          <w:rFonts w:ascii="Times New Roman" w:hAnsi="Times New Roman"/>
          <w:szCs w:val="22"/>
        </w:rPr>
        <w:t>0</w:t>
      </w:r>
      <w:r>
        <w:rPr>
          <w:rFonts w:ascii="Times New Roman" w:hAnsi="Times New Roman"/>
          <w:szCs w:val="22"/>
        </w:rPr>
        <w:t>3</w:t>
      </w:r>
      <w:r w:rsidRPr="00BF08FD">
        <w:rPr>
          <w:rFonts w:ascii="Times New Roman" w:hAnsi="Times New Roman"/>
          <w:szCs w:val="22"/>
        </w:rPr>
        <w:t> tis. eur) a</w:t>
      </w:r>
      <w:r w:rsidR="00A7152F">
        <w:rPr>
          <w:rFonts w:ascii="Times New Roman" w:hAnsi="Times New Roman"/>
          <w:szCs w:val="22"/>
        </w:rPr>
        <w:t xml:space="preserve"> </w:t>
      </w:r>
      <w:r w:rsidRPr="00BF08FD">
        <w:rPr>
          <w:rFonts w:ascii="Times New Roman" w:hAnsi="Times New Roman"/>
          <w:szCs w:val="22"/>
        </w:rPr>
        <w:t xml:space="preserve">príspevok do Rozvojovej banky </w:t>
      </w:r>
      <w:r>
        <w:rPr>
          <w:rFonts w:ascii="Times New Roman" w:hAnsi="Times New Roman"/>
          <w:szCs w:val="22"/>
        </w:rPr>
        <w:t>pre obnovu a</w:t>
      </w:r>
      <w:r w:rsidR="00A7152F">
        <w:rPr>
          <w:rFonts w:ascii="Times New Roman" w:hAnsi="Times New Roman"/>
          <w:szCs w:val="22"/>
        </w:rPr>
        <w:t xml:space="preserve"> </w:t>
      </w:r>
      <w:r>
        <w:rPr>
          <w:rFonts w:ascii="Times New Roman" w:hAnsi="Times New Roman"/>
          <w:szCs w:val="22"/>
        </w:rPr>
        <w:t xml:space="preserve">rozvoj </w:t>
      </w:r>
      <w:r w:rsidRPr="00BF08FD">
        <w:rPr>
          <w:rFonts w:ascii="Times New Roman" w:hAnsi="Times New Roman"/>
          <w:szCs w:val="22"/>
        </w:rPr>
        <w:t>(</w:t>
      </w:r>
      <w:r>
        <w:rPr>
          <w:rFonts w:ascii="Times New Roman" w:hAnsi="Times New Roman"/>
          <w:szCs w:val="22"/>
        </w:rPr>
        <w:t>444 </w:t>
      </w:r>
      <w:r w:rsidRPr="00BF08FD">
        <w:rPr>
          <w:rFonts w:ascii="Times New Roman" w:hAnsi="Times New Roman"/>
          <w:szCs w:val="22"/>
        </w:rPr>
        <w:t>tis.</w:t>
      </w:r>
      <w:r>
        <w:rPr>
          <w:rFonts w:ascii="Times New Roman" w:hAnsi="Times New Roman"/>
          <w:szCs w:val="22"/>
        </w:rPr>
        <w:t> </w:t>
      </w:r>
      <w:r w:rsidRPr="00BF08FD">
        <w:rPr>
          <w:rFonts w:ascii="Times New Roman" w:hAnsi="Times New Roman"/>
          <w:szCs w:val="22"/>
        </w:rPr>
        <w:t xml:space="preserve">eur). </w:t>
      </w:r>
      <w:r w:rsidRPr="0031373C">
        <w:rPr>
          <w:rFonts w:ascii="Times New Roman" w:hAnsi="Times New Roman"/>
          <w:szCs w:val="22"/>
        </w:rPr>
        <w:t>Najvýznamnejšie sumy transferov do zahraničia realizované Ministerstvom školstva, vedy, výskumu a športu SR</w:t>
      </w:r>
      <w:r>
        <w:rPr>
          <w:rFonts w:ascii="Times New Roman" w:hAnsi="Times New Roman"/>
          <w:szCs w:val="22"/>
        </w:rPr>
        <w:t xml:space="preserve"> </w:t>
      </w:r>
      <w:r w:rsidRPr="0031373C">
        <w:rPr>
          <w:rFonts w:ascii="Times New Roman" w:hAnsi="Times New Roman"/>
          <w:szCs w:val="22"/>
        </w:rPr>
        <w:t>boli poskytnuté ako pravidelné príspevky na členstvo v medzinárodných organizáciách, a to CERN (5 </w:t>
      </w:r>
      <w:r>
        <w:rPr>
          <w:rFonts w:ascii="Times New Roman" w:hAnsi="Times New Roman"/>
          <w:szCs w:val="22"/>
        </w:rPr>
        <w:t>488</w:t>
      </w:r>
      <w:r w:rsidRPr="0031373C">
        <w:rPr>
          <w:rFonts w:ascii="Times New Roman" w:hAnsi="Times New Roman"/>
          <w:szCs w:val="22"/>
        </w:rPr>
        <w:t xml:space="preserve"> tis. eur), JOINT INSTITUTE, </w:t>
      </w:r>
      <w:r>
        <w:rPr>
          <w:rFonts w:ascii="Times New Roman" w:hAnsi="Times New Roman"/>
          <w:szCs w:val="22"/>
        </w:rPr>
        <w:t xml:space="preserve">(1 978 tis. eur), </w:t>
      </w:r>
      <w:r w:rsidRPr="0031373C">
        <w:rPr>
          <w:rFonts w:ascii="Times New Roman" w:hAnsi="Times New Roman"/>
          <w:szCs w:val="22"/>
        </w:rPr>
        <w:t xml:space="preserve">EUROPEAN </w:t>
      </w:r>
      <w:r>
        <w:rPr>
          <w:rFonts w:ascii="Times New Roman" w:hAnsi="Times New Roman"/>
          <w:szCs w:val="22"/>
        </w:rPr>
        <w:t>SPACE AGENCY (1 347 tis. eur)</w:t>
      </w:r>
      <w:r w:rsidRPr="0031373C">
        <w:rPr>
          <w:rFonts w:ascii="Times New Roman" w:hAnsi="Times New Roman"/>
          <w:szCs w:val="22"/>
        </w:rPr>
        <w:t>, EUROPEAN XFEL</w:t>
      </w:r>
      <w:r>
        <w:rPr>
          <w:rFonts w:ascii="Times New Roman" w:hAnsi="Times New Roman"/>
          <w:szCs w:val="22"/>
        </w:rPr>
        <w:t xml:space="preserve"> GMBH (1 279 tis. eur).</w:t>
      </w:r>
    </w:p>
    <w:p w:rsidR="00FD5465" w:rsidRPr="0031373C" w:rsidP="00BD37EA">
      <w:pPr>
        <w:pStyle w:val="ListParagraph"/>
        <w:tabs>
          <w:tab w:val="left" w:pos="284"/>
        </w:tabs>
        <w:bidi w:val="0"/>
        <w:spacing w:after="120" w:line="336" w:lineRule="auto"/>
        <w:ind w:left="0"/>
        <w:jc w:val="both"/>
        <w:rPr>
          <w:rFonts w:ascii="Times New Roman" w:hAnsi="Times New Roman"/>
          <w:b/>
        </w:rPr>
      </w:pPr>
      <w:r w:rsidRPr="0031373C">
        <w:rPr>
          <w:rFonts w:ascii="Times New Roman" w:hAnsi="Times New Roman"/>
          <w:b/>
        </w:rPr>
        <w:t>Splácanie úrokov a ostatné platby súvisiace s úvermi, pôžičkami, návratnými finančnými výpomocami a finančným prenájmom</w:t>
      </w:r>
      <w:r w:rsidRPr="0031373C">
        <w:rPr>
          <w:rFonts w:ascii="Times New Roman" w:hAnsi="Times New Roman"/>
        </w:rPr>
        <w:t xml:space="preserve"> </w:t>
      </w:r>
    </w:p>
    <w:p w:rsidR="00FD5465" w:rsidRPr="0031373C" w:rsidP="00FD5465">
      <w:pPr>
        <w:bidi w:val="0"/>
        <w:rPr>
          <w:rFonts w:ascii="Times New Roman" w:hAnsi="Times New Roman"/>
          <w:szCs w:val="22"/>
        </w:rPr>
      </w:pPr>
      <w:r w:rsidRPr="0031373C">
        <w:rPr>
          <w:rFonts w:ascii="Times New Roman" w:hAnsi="Times New Roman"/>
          <w:szCs w:val="22"/>
        </w:rPr>
        <w:t>Schválený rozpočet v tejto kategórii bol vyčerpaný v plnom rozsahu 270 tis. eur (201</w:t>
      </w:r>
      <w:r>
        <w:rPr>
          <w:rFonts w:ascii="Times New Roman" w:hAnsi="Times New Roman"/>
          <w:szCs w:val="22"/>
        </w:rPr>
        <w:t>6</w:t>
      </w:r>
      <w:r w:rsidRPr="0031373C">
        <w:rPr>
          <w:rFonts w:ascii="Times New Roman" w:hAnsi="Times New Roman"/>
          <w:szCs w:val="22"/>
        </w:rPr>
        <w:t xml:space="preserve">: </w:t>
      </w:r>
      <w:r w:rsidRPr="00B7758B">
        <w:rPr>
          <w:rFonts w:ascii="Times New Roman" w:hAnsi="Times New Roman"/>
        </w:rPr>
        <w:t>270</w:t>
      </w:r>
      <w:r w:rsidR="00B7758B">
        <w:rPr>
          <w:rFonts w:ascii="Times New Roman" w:hAnsi="Times New Roman"/>
        </w:rPr>
        <w:t> </w:t>
      </w:r>
      <w:r w:rsidRPr="00B7758B">
        <w:rPr>
          <w:rFonts w:ascii="Times New Roman" w:hAnsi="Times New Roman"/>
        </w:rPr>
        <w:t>tis</w:t>
      </w:r>
      <w:r w:rsidR="00B7758B">
        <w:rPr>
          <w:rFonts w:ascii="Times New Roman" w:hAnsi="Times New Roman"/>
          <w:szCs w:val="22"/>
        </w:rPr>
        <w:t>. </w:t>
      </w:r>
      <w:r w:rsidRPr="0031373C">
        <w:rPr>
          <w:rFonts w:ascii="Times New Roman" w:hAnsi="Times New Roman"/>
          <w:szCs w:val="22"/>
        </w:rPr>
        <w:t>eur) na manipulačné poplatky v kapitole Všeobecná pokladničná správa.</w:t>
      </w:r>
      <w:r>
        <w:rPr>
          <w:rStyle w:val="FootnoteReference"/>
          <w:rFonts w:ascii="Times New Roman" w:hAnsi="Times New Roman"/>
          <w:szCs w:val="22"/>
          <w:rtl w:val="0"/>
        </w:rPr>
        <w:footnoteReference w:id="20"/>
      </w:r>
    </w:p>
    <w:p w:rsidR="00EB7A00">
      <w:pPr>
        <w:bidi w:val="0"/>
        <w:spacing w:after="200" w:line="276" w:lineRule="auto"/>
        <w:jc w:val="left"/>
        <w:rPr>
          <w:rFonts w:ascii="Times New Roman" w:hAnsi="Times New Roman"/>
          <w:szCs w:val="22"/>
        </w:rPr>
      </w:pPr>
      <w:r>
        <w:rPr>
          <w:rFonts w:ascii="Times New Roman" w:hAnsi="Times New Roman"/>
          <w:szCs w:val="22"/>
        </w:rPr>
        <w:br w:type="page"/>
      </w:r>
    </w:p>
    <w:p w:rsidR="00EB7A00" w:rsidP="00FD5465">
      <w:pPr>
        <w:bidi w:val="0"/>
        <w:rPr>
          <w:rFonts w:ascii="Times New Roman" w:hAnsi="Times New Roman"/>
          <w:szCs w:val="22"/>
        </w:rPr>
      </w:pPr>
      <w:r w:rsidRPr="0031373C" w:rsidR="00FD5465">
        <w:rPr>
          <w:rFonts w:ascii="Times New Roman" w:hAnsi="Times New Roman"/>
          <w:szCs w:val="22"/>
        </w:rPr>
        <w:t xml:space="preserve">Na </w:t>
      </w:r>
      <w:r w:rsidRPr="0031373C" w:rsidR="00FD5465">
        <w:rPr>
          <w:rFonts w:ascii="Times New Roman" w:hAnsi="Times New Roman"/>
          <w:b/>
          <w:szCs w:val="22"/>
        </w:rPr>
        <w:t xml:space="preserve">celkové výdavky spojené so správou štátneho dlhu </w:t>
      </w:r>
      <w:r w:rsidRPr="0031373C" w:rsidR="00FD5465">
        <w:rPr>
          <w:rFonts w:ascii="Times New Roman" w:hAnsi="Times New Roman"/>
          <w:szCs w:val="22"/>
        </w:rPr>
        <w:t>vrátane vyššie uvedených manipulačných poplatkov boli v</w:t>
      </w:r>
      <w:r w:rsidR="000B08E0">
        <w:rPr>
          <w:rFonts w:ascii="Times New Roman" w:hAnsi="Times New Roman"/>
          <w:szCs w:val="22"/>
        </w:rPr>
        <w:t> rozpočte vyčlenené zdroje 1 310</w:t>
      </w:r>
      <w:r w:rsidRPr="0031373C" w:rsidR="00FD5465">
        <w:rPr>
          <w:rFonts w:ascii="Times New Roman" w:hAnsi="Times New Roman"/>
          <w:szCs w:val="22"/>
        </w:rPr>
        <w:t> </w:t>
      </w:r>
      <w:r w:rsidR="000B08E0">
        <w:rPr>
          <w:rFonts w:ascii="Times New Roman" w:hAnsi="Times New Roman"/>
          <w:szCs w:val="22"/>
        </w:rPr>
        <w:t>049</w:t>
      </w:r>
      <w:r w:rsidRPr="0031373C" w:rsidR="00FD5465">
        <w:rPr>
          <w:rFonts w:ascii="Times New Roman" w:hAnsi="Times New Roman"/>
          <w:szCs w:val="22"/>
        </w:rPr>
        <w:t xml:space="preserve"> tis. eur, skutočne realizované výdavky dosiahli 1 </w:t>
      </w:r>
      <w:r w:rsidR="000B08E0">
        <w:rPr>
          <w:rFonts w:ascii="Times New Roman" w:hAnsi="Times New Roman"/>
          <w:szCs w:val="22"/>
        </w:rPr>
        <w:t>166</w:t>
      </w:r>
      <w:r w:rsidRPr="0031373C" w:rsidR="00FD5465">
        <w:rPr>
          <w:rFonts w:ascii="Times New Roman" w:hAnsi="Times New Roman"/>
          <w:szCs w:val="22"/>
        </w:rPr>
        <w:t xml:space="preserve"> </w:t>
      </w:r>
      <w:r w:rsidR="000B08E0">
        <w:rPr>
          <w:rFonts w:ascii="Times New Roman" w:hAnsi="Times New Roman"/>
          <w:szCs w:val="22"/>
        </w:rPr>
        <w:t>569</w:t>
      </w:r>
      <w:r w:rsidRPr="0031373C" w:rsidR="00FD5465">
        <w:rPr>
          <w:rFonts w:ascii="Times New Roman" w:hAnsi="Times New Roman"/>
          <w:szCs w:val="22"/>
        </w:rPr>
        <w:t xml:space="preserve"> tis. eur. </w:t>
      </w:r>
    </w:p>
    <w:tbl>
      <w:tblPr>
        <w:tblStyle w:val="TableNormal"/>
        <w:tblW w:w="8770" w:type="dxa"/>
        <w:tblInd w:w="55" w:type="dxa"/>
        <w:tblCellMar>
          <w:left w:w="70" w:type="dxa"/>
          <w:right w:w="70" w:type="dxa"/>
        </w:tblCellMar>
        <w:tblLook w:val="04A0"/>
      </w:tblPr>
      <w:tblGrid>
        <w:gridCol w:w="2850"/>
        <w:gridCol w:w="1190"/>
        <w:gridCol w:w="992"/>
        <w:gridCol w:w="992"/>
        <w:gridCol w:w="1134"/>
        <w:gridCol w:w="992"/>
        <w:gridCol w:w="620"/>
      </w:tblGrid>
      <w:tr>
        <w:tblPrEx>
          <w:tblW w:w="8770" w:type="dxa"/>
          <w:tblInd w:w="55" w:type="dxa"/>
          <w:tblCellMar>
            <w:left w:w="70" w:type="dxa"/>
            <w:right w:w="70" w:type="dxa"/>
          </w:tblCellMar>
          <w:tblLook w:val="04A0"/>
        </w:tblPrEx>
        <w:trPr>
          <w:trHeight w:val="330"/>
        </w:trPr>
        <w:tc>
          <w:tcPr>
            <w:tcW w:w="8770" w:type="dxa"/>
            <w:gridSpan w:val="7"/>
            <w:tcBorders>
              <w:top w:val="single" w:sz="8" w:space="0" w:color="FFFFFF"/>
              <w:left w:val="single" w:sz="8" w:space="0" w:color="auto"/>
              <w:bottom w:val="nil"/>
              <w:right w:val="single" w:sz="8" w:space="0" w:color="000000"/>
            </w:tcBorders>
            <w:shd w:val="clear" w:color="000000" w:fill="000000"/>
            <w:noWrap/>
            <w:textDirection w:val="lrTb"/>
            <w:vAlign w:val="center"/>
            <w:hideMark/>
          </w:tcPr>
          <w:p w:rsidR="00FD5465" w:rsidRPr="002A44A4" w:rsidP="00CC5988">
            <w:pPr>
              <w:bidi w:val="0"/>
              <w:spacing w:after="0" w:line="240" w:lineRule="auto"/>
              <w:jc w:val="left"/>
              <w:rPr>
                <w:rFonts w:ascii="Times New Roman" w:hAnsi="Times New Roman"/>
                <w:b/>
                <w:bCs/>
                <w:sz w:val="18"/>
                <w:szCs w:val="18"/>
                <w:lang w:eastAsia="sk-SK"/>
              </w:rPr>
            </w:pPr>
            <w:r w:rsidRPr="002A44A4">
              <w:rPr>
                <w:rFonts w:ascii="Times New Roman" w:hAnsi="Times New Roman"/>
                <w:szCs w:val="22"/>
              </w:rPr>
              <w:br w:type="page"/>
            </w:r>
            <w:r w:rsidRPr="002A44A4">
              <w:rPr>
                <w:rFonts w:ascii="Times New Roman" w:hAnsi="Times New Roman"/>
                <w:b/>
                <w:bCs/>
                <w:sz w:val="18"/>
                <w:szCs w:val="18"/>
                <w:lang w:eastAsia="sk-SK"/>
              </w:rPr>
              <w:t>Výdavky štátneho dlhu                                                                                                                                        v tis. eur</w:t>
            </w:r>
          </w:p>
        </w:tc>
      </w:tr>
      <w:tr>
        <w:tblPrEx>
          <w:tblW w:w="8770" w:type="dxa"/>
          <w:tblInd w:w="55" w:type="dxa"/>
          <w:tblCellMar>
            <w:left w:w="70" w:type="dxa"/>
            <w:right w:w="70" w:type="dxa"/>
          </w:tblCellMar>
          <w:tblLook w:val="04A0"/>
        </w:tblPrEx>
        <w:trPr>
          <w:trHeight w:val="312"/>
        </w:trPr>
        <w:tc>
          <w:tcPr>
            <w:tcW w:w="2850"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 </w:t>
            </w:r>
          </w:p>
        </w:tc>
        <w:tc>
          <w:tcPr>
            <w:tcW w:w="2182" w:type="dxa"/>
            <w:gridSpan w:val="2"/>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Skutočnosť</w:t>
            </w:r>
          </w:p>
        </w:tc>
        <w:tc>
          <w:tcPr>
            <w:tcW w:w="992"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Rozpočet</w:t>
            </w:r>
          </w:p>
        </w:tc>
        <w:tc>
          <w:tcPr>
            <w:tcW w:w="1134"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Skutočnosť</w:t>
            </w:r>
          </w:p>
        </w:tc>
        <w:tc>
          <w:tcPr>
            <w:tcW w:w="1612" w:type="dxa"/>
            <w:gridSpan w:val="2"/>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Rozdiel</w:t>
            </w:r>
          </w:p>
        </w:tc>
      </w:tr>
      <w:tr>
        <w:tblPrEx>
          <w:tblW w:w="8770" w:type="dxa"/>
          <w:tblInd w:w="55" w:type="dxa"/>
          <w:tblCellMar>
            <w:left w:w="70" w:type="dxa"/>
            <w:right w:w="70" w:type="dxa"/>
          </w:tblCellMar>
          <w:tblLook w:val="04A0"/>
        </w:tblPrEx>
        <w:trPr>
          <w:trHeight w:val="312"/>
        </w:trPr>
        <w:tc>
          <w:tcPr>
            <w:tcW w:w="2850"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 </w:t>
            </w:r>
          </w:p>
        </w:tc>
        <w:tc>
          <w:tcPr>
            <w:tcW w:w="1190"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2015</w:t>
            </w:r>
          </w:p>
        </w:tc>
        <w:tc>
          <w:tcPr>
            <w:tcW w:w="992"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2016</w:t>
            </w:r>
          </w:p>
        </w:tc>
        <w:tc>
          <w:tcPr>
            <w:tcW w:w="992" w:type="dxa"/>
            <w:tcBorders>
              <w:top w:val="nil"/>
              <w:left w:val="nil"/>
              <w:bottom w:val="nil"/>
              <w:right w:val="nil"/>
            </w:tcBorders>
            <w:shd w:val="clear" w:color="000000" w:fill="BFBFBF"/>
            <w:textDirection w:val="lrTb"/>
            <w:vAlign w:val="center"/>
            <w:hideMark/>
          </w:tcPr>
          <w:p w:rsidR="00FD5465" w:rsidRPr="002A44A4" w:rsidP="00FA5525">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201</w:t>
            </w:r>
            <w:r w:rsidR="00FA5525">
              <w:rPr>
                <w:rFonts w:ascii="Times New Roman" w:hAnsi="Times New Roman"/>
                <w:b/>
                <w:bCs/>
                <w:sz w:val="18"/>
                <w:szCs w:val="18"/>
                <w:lang w:eastAsia="sk-SK"/>
              </w:rPr>
              <w:t>7</w:t>
            </w:r>
          </w:p>
        </w:tc>
        <w:tc>
          <w:tcPr>
            <w:tcW w:w="1134"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2</w:t>
            </w:r>
            <w:r w:rsidR="00FA5525">
              <w:rPr>
                <w:rFonts w:ascii="Times New Roman" w:hAnsi="Times New Roman"/>
                <w:b/>
                <w:bCs/>
                <w:sz w:val="18"/>
                <w:szCs w:val="18"/>
                <w:lang w:eastAsia="sk-SK"/>
              </w:rPr>
              <w:t>017</w:t>
            </w:r>
          </w:p>
        </w:tc>
        <w:tc>
          <w:tcPr>
            <w:tcW w:w="992"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 xml:space="preserve"> v tis. eur</w:t>
            </w:r>
          </w:p>
        </w:tc>
        <w:tc>
          <w:tcPr>
            <w:tcW w:w="620"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v %</w:t>
            </w:r>
          </w:p>
        </w:tc>
      </w:tr>
      <w:tr>
        <w:tblPrEx>
          <w:tblW w:w="8770" w:type="dxa"/>
          <w:tblInd w:w="55" w:type="dxa"/>
          <w:tblCellMar>
            <w:left w:w="70" w:type="dxa"/>
            <w:right w:w="70" w:type="dxa"/>
          </w:tblCellMar>
          <w:tblLook w:val="04A0"/>
        </w:tblPrEx>
        <w:trPr>
          <w:trHeight w:val="312"/>
        </w:trPr>
        <w:tc>
          <w:tcPr>
            <w:tcW w:w="2850"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 </w:t>
            </w:r>
          </w:p>
        </w:tc>
        <w:tc>
          <w:tcPr>
            <w:tcW w:w="1190"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2</w:t>
            </w:r>
          </w:p>
        </w:tc>
        <w:tc>
          <w:tcPr>
            <w:tcW w:w="992"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4</w:t>
            </w:r>
          </w:p>
        </w:tc>
        <w:tc>
          <w:tcPr>
            <w:tcW w:w="992"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3</w:t>
            </w:r>
          </w:p>
        </w:tc>
        <w:tc>
          <w:tcPr>
            <w:tcW w:w="1134"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4</w:t>
            </w:r>
          </w:p>
        </w:tc>
        <w:tc>
          <w:tcPr>
            <w:tcW w:w="992"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5=4-3</w:t>
            </w:r>
          </w:p>
        </w:tc>
        <w:tc>
          <w:tcPr>
            <w:tcW w:w="620"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center"/>
              <w:rPr>
                <w:rFonts w:ascii="Times New Roman" w:hAnsi="Times New Roman"/>
                <w:b/>
                <w:bCs/>
                <w:sz w:val="18"/>
                <w:szCs w:val="18"/>
                <w:lang w:eastAsia="sk-SK"/>
              </w:rPr>
            </w:pPr>
            <w:r w:rsidRPr="002A44A4">
              <w:rPr>
                <w:rFonts w:ascii="Times New Roman" w:hAnsi="Times New Roman"/>
                <w:b/>
                <w:bCs/>
                <w:sz w:val="18"/>
                <w:szCs w:val="18"/>
                <w:lang w:eastAsia="sk-SK"/>
              </w:rPr>
              <w:t>6=4-3</w:t>
            </w:r>
          </w:p>
        </w:tc>
      </w:tr>
      <w:tr>
        <w:tblPrEx>
          <w:tblW w:w="8770" w:type="dxa"/>
          <w:tblInd w:w="55" w:type="dxa"/>
          <w:tblCellMar>
            <w:left w:w="70" w:type="dxa"/>
            <w:right w:w="70" w:type="dxa"/>
          </w:tblCellMar>
          <w:tblLook w:val="04A0"/>
        </w:tblPrEx>
        <w:trPr>
          <w:trHeight w:val="300"/>
        </w:trPr>
        <w:tc>
          <w:tcPr>
            <w:tcW w:w="2850" w:type="dxa"/>
            <w:tcBorders>
              <w:top w:val="nil"/>
              <w:left w:val="nil"/>
              <w:bottom w:val="nil"/>
              <w:right w:val="nil"/>
            </w:tcBorders>
            <w:noWrap/>
            <w:textDirection w:val="lrTb"/>
            <w:vAlign w:val="center"/>
            <w:hideMark/>
          </w:tcPr>
          <w:p w:rsidR="00FD5465" w:rsidRPr="002A44A4" w:rsidP="00CC5988">
            <w:pPr>
              <w:bidi w:val="0"/>
              <w:spacing w:after="0" w:line="240" w:lineRule="auto"/>
              <w:rPr>
                <w:rFonts w:ascii="Times New Roman" w:hAnsi="Times New Roman"/>
                <w:sz w:val="18"/>
                <w:szCs w:val="18"/>
                <w:lang w:eastAsia="sk-SK"/>
              </w:rPr>
            </w:pPr>
            <w:r w:rsidRPr="002A44A4">
              <w:rPr>
                <w:rFonts w:ascii="Times New Roman" w:hAnsi="Times New Roman"/>
                <w:sz w:val="18"/>
                <w:szCs w:val="18"/>
                <w:lang w:eastAsia="sk-SK"/>
              </w:rPr>
              <w:t>dlhová služba - transfer</w:t>
            </w:r>
          </w:p>
        </w:tc>
        <w:tc>
          <w:tcPr>
            <w:tcW w:w="1190" w:type="dxa"/>
            <w:tcBorders>
              <w:top w:val="nil"/>
              <w:left w:val="nil"/>
              <w:bottom w:val="nil"/>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1 159 664</w:t>
            </w:r>
          </w:p>
        </w:tc>
        <w:tc>
          <w:tcPr>
            <w:tcW w:w="992" w:type="dxa"/>
            <w:tcBorders>
              <w:top w:val="nil"/>
              <w:left w:val="nil"/>
              <w:bottom w:val="nil"/>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1 174 727</w:t>
            </w:r>
          </w:p>
        </w:tc>
        <w:tc>
          <w:tcPr>
            <w:tcW w:w="992" w:type="dxa"/>
            <w:tcBorders>
              <w:top w:val="nil"/>
              <w:left w:val="nil"/>
              <w:bottom w:val="nil"/>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1</w:t>
            </w:r>
            <w:r>
              <w:rPr>
                <w:rFonts w:ascii="Times New Roman" w:hAnsi="Times New Roman"/>
                <w:sz w:val="18"/>
                <w:szCs w:val="18"/>
                <w:lang w:eastAsia="sk-SK"/>
              </w:rPr>
              <w:t xml:space="preserve"> </w:t>
            </w:r>
            <w:r w:rsidRPr="002A44A4">
              <w:rPr>
                <w:rFonts w:ascii="Times New Roman" w:hAnsi="Times New Roman"/>
                <w:sz w:val="18"/>
                <w:szCs w:val="18"/>
                <w:lang w:eastAsia="sk-SK"/>
              </w:rPr>
              <w:t>309</w:t>
            </w:r>
            <w:r>
              <w:rPr>
                <w:rFonts w:ascii="Times New Roman" w:hAnsi="Times New Roman"/>
                <w:sz w:val="18"/>
                <w:szCs w:val="18"/>
                <w:lang w:eastAsia="sk-SK"/>
              </w:rPr>
              <w:t xml:space="preserve"> </w:t>
            </w:r>
            <w:r w:rsidRPr="002A44A4">
              <w:rPr>
                <w:rFonts w:ascii="Times New Roman" w:hAnsi="Times New Roman"/>
                <w:sz w:val="18"/>
                <w:szCs w:val="18"/>
                <w:lang w:eastAsia="sk-SK"/>
              </w:rPr>
              <w:t>779</w:t>
            </w:r>
          </w:p>
        </w:tc>
        <w:tc>
          <w:tcPr>
            <w:tcW w:w="1134" w:type="dxa"/>
            <w:tcBorders>
              <w:top w:val="nil"/>
              <w:left w:val="nil"/>
              <w:bottom w:val="nil"/>
              <w:right w:val="nil"/>
            </w:tcBorders>
            <w:shd w:val="clear" w:color="000000" w:fill="BFBFBF"/>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1 1</w:t>
            </w:r>
            <w:r>
              <w:rPr>
                <w:rFonts w:ascii="Times New Roman" w:hAnsi="Times New Roman"/>
                <w:sz w:val="18"/>
                <w:szCs w:val="18"/>
                <w:lang w:eastAsia="sk-SK"/>
              </w:rPr>
              <w:t>66</w:t>
            </w:r>
            <w:r w:rsidRPr="002A44A4">
              <w:rPr>
                <w:rFonts w:ascii="Times New Roman" w:hAnsi="Times New Roman"/>
                <w:sz w:val="18"/>
                <w:szCs w:val="18"/>
                <w:lang w:eastAsia="sk-SK"/>
              </w:rPr>
              <w:t xml:space="preserve"> 2</w:t>
            </w:r>
            <w:r>
              <w:rPr>
                <w:rFonts w:ascii="Times New Roman" w:hAnsi="Times New Roman"/>
                <w:sz w:val="18"/>
                <w:szCs w:val="18"/>
                <w:lang w:eastAsia="sk-SK"/>
              </w:rPr>
              <w:t>99</w:t>
            </w:r>
          </w:p>
        </w:tc>
        <w:tc>
          <w:tcPr>
            <w:tcW w:w="992" w:type="dxa"/>
            <w:tcBorders>
              <w:top w:val="nil"/>
              <w:left w:val="nil"/>
              <w:bottom w:val="nil"/>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w:t>
            </w:r>
            <w:r>
              <w:rPr>
                <w:rFonts w:ascii="Times New Roman" w:hAnsi="Times New Roman"/>
                <w:sz w:val="18"/>
                <w:szCs w:val="18"/>
                <w:lang w:eastAsia="sk-SK"/>
              </w:rPr>
              <w:t>143</w:t>
            </w:r>
            <w:r w:rsidRPr="002A44A4">
              <w:rPr>
                <w:rFonts w:ascii="Times New Roman" w:hAnsi="Times New Roman"/>
                <w:sz w:val="18"/>
                <w:szCs w:val="18"/>
                <w:lang w:eastAsia="sk-SK"/>
              </w:rPr>
              <w:t xml:space="preserve"> </w:t>
            </w:r>
            <w:r>
              <w:rPr>
                <w:rFonts w:ascii="Times New Roman" w:hAnsi="Times New Roman"/>
                <w:sz w:val="18"/>
                <w:szCs w:val="18"/>
                <w:lang w:eastAsia="sk-SK"/>
              </w:rPr>
              <w:t>48</w:t>
            </w:r>
            <w:r w:rsidRPr="002A44A4">
              <w:rPr>
                <w:rFonts w:ascii="Times New Roman" w:hAnsi="Times New Roman"/>
                <w:sz w:val="18"/>
                <w:szCs w:val="18"/>
                <w:lang w:eastAsia="sk-SK"/>
              </w:rPr>
              <w:t>0</w:t>
            </w:r>
          </w:p>
        </w:tc>
        <w:tc>
          <w:tcPr>
            <w:tcW w:w="620" w:type="dxa"/>
            <w:tcBorders>
              <w:top w:val="nil"/>
              <w:left w:val="nil"/>
              <w:bottom w:val="nil"/>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w:t>
            </w:r>
            <w:r>
              <w:rPr>
                <w:rFonts w:ascii="Times New Roman" w:hAnsi="Times New Roman"/>
                <w:sz w:val="18"/>
                <w:szCs w:val="18"/>
                <w:lang w:eastAsia="sk-SK"/>
              </w:rPr>
              <w:t>1</w:t>
            </w:r>
            <w:r w:rsidRPr="002A44A4">
              <w:rPr>
                <w:rFonts w:ascii="Times New Roman" w:hAnsi="Times New Roman"/>
                <w:sz w:val="18"/>
                <w:szCs w:val="18"/>
                <w:lang w:eastAsia="sk-SK"/>
              </w:rPr>
              <w:t>1,</w:t>
            </w:r>
            <w:r>
              <w:rPr>
                <w:rFonts w:ascii="Times New Roman" w:hAnsi="Times New Roman"/>
                <w:sz w:val="18"/>
                <w:szCs w:val="18"/>
                <w:lang w:eastAsia="sk-SK"/>
              </w:rPr>
              <w:t>0</w:t>
            </w:r>
          </w:p>
        </w:tc>
      </w:tr>
      <w:tr>
        <w:tblPrEx>
          <w:tblW w:w="8770" w:type="dxa"/>
          <w:tblInd w:w="55" w:type="dxa"/>
          <w:tblCellMar>
            <w:left w:w="70" w:type="dxa"/>
            <w:right w:w="70" w:type="dxa"/>
          </w:tblCellMar>
          <w:tblLook w:val="04A0"/>
        </w:tblPrEx>
        <w:trPr>
          <w:trHeight w:val="300"/>
        </w:trPr>
        <w:tc>
          <w:tcPr>
            <w:tcW w:w="2850" w:type="dxa"/>
            <w:tcBorders>
              <w:top w:val="nil"/>
              <w:left w:val="nil"/>
              <w:bottom w:val="single" w:sz="8" w:space="0" w:color="auto"/>
              <w:right w:val="nil"/>
            </w:tcBorders>
            <w:noWrap/>
            <w:textDirection w:val="lrTb"/>
            <w:vAlign w:val="center"/>
            <w:hideMark/>
          </w:tcPr>
          <w:p w:rsidR="00FD5465" w:rsidRPr="002A44A4" w:rsidP="00CC5988">
            <w:pPr>
              <w:bidi w:val="0"/>
              <w:spacing w:after="0" w:line="240" w:lineRule="auto"/>
              <w:rPr>
                <w:rFonts w:ascii="Times New Roman" w:hAnsi="Times New Roman"/>
                <w:sz w:val="18"/>
                <w:szCs w:val="18"/>
                <w:lang w:eastAsia="sk-SK"/>
              </w:rPr>
            </w:pPr>
            <w:r w:rsidRPr="002A44A4">
              <w:rPr>
                <w:rFonts w:ascii="Times New Roman" w:hAnsi="Times New Roman"/>
                <w:sz w:val="18"/>
                <w:szCs w:val="18"/>
                <w:lang w:eastAsia="sk-SK"/>
              </w:rPr>
              <w:t>manipulačné poplatky</w:t>
            </w:r>
          </w:p>
        </w:tc>
        <w:tc>
          <w:tcPr>
            <w:tcW w:w="1190"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270</w:t>
            </w:r>
          </w:p>
        </w:tc>
        <w:tc>
          <w:tcPr>
            <w:tcW w:w="992"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270</w:t>
            </w:r>
          </w:p>
        </w:tc>
        <w:tc>
          <w:tcPr>
            <w:tcW w:w="992"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270</w:t>
            </w:r>
          </w:p>
        </w:tc>
        <w:tc>
          <w:tcPr>
            <w:tcW w:w="1134" w:type="dxa"/>
            <w:tcBorders>
              <w:top w:val="nil"/>
              <w:left w:val="nil"/>
              <w:bottom w:val="single" w:sz="8" w:space="0" w:color="auto"/>
              <w:right w:val="nil"/>
            </w:tcBorders>
            <w:shd w:val="clear" w:color="000000" w:fill="BFBFBF"/>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270</w:t>
            </w:r>
          </w:p>
        </w:tc>
        <w:tc>
          <w:tcPr>
            <w:tcW w:w="992"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0</w:t>
            </w:r>
          </w:p>
        </w:tc>
        <w:tc>
          <w:tcPr>
            <w:tcW w:w="620"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sz w:val="18"/>
                <w:szCs w:val="18"/>
                <w:lang w:eastAsia="sk-SK"/>
              </w:rPr>
            </w:pPr>
            <w:r w:rsidRPr="002A44A4">
              <w:rPr>
                <w:rFonts w:ascii="Times New Roman" w:hAnsi="Times New Roman"/>
                <w:sz w:val="18"/>
                <w:szCs w:val="18"/>
                <w:lang w:eastAsia="sk-SK"/>
              </w:rPr>
              <w:t>0</w:t>
            </w:r>
            <w:r>
              <w:rPr>
                <w:rFonts w:ascii="Times New Roman" w:hAnsi="Times New Roman"/>
                <w:sz w:val="18"/>
                <w:szCs w:val="18"/>
                <w:lang w:eastAsia="sk-SK"/>
              </w:rPr>
              <w:t>,0</w:t>
            </w:r>
          </w:p>
        </w:tc>
      </w:tr>
      <w:tr>
        <w:tblPrEx>
          <w:tblW w:w="8770" w:type="dxa"/>
          <w:tblInd w:w="55" w:type="dxa"/>
          <w:tblCellMar>
            <w:left w:w="70" w:type="dxa"/>
            <w:right w:w="70" w:type="dxa"/>
          </w:tblCellMar>
          <w:tblLook w:val="04A0"/>
        </w:tblPrEx>
        <w:trPr>
          <w:trHeight w:val="300"/>
        </w:trPr>
        <w:tc>
          <w:tcPr>
            <w:tcW w:w="2850" w:type="dxa"/>
            <w:tcBorders>
              <w:top w:val="nil"/>
              <w:left w:val="nil"/>
              <w:bottom w:val="single" w:sz="8" w:space="0" w:color="auto"/>
              <w:right w:val="nil"/>
            </w:tcBorders>
            <w:shd w:val="clear" w:color="000000" w:fill="FFFFFF"/>
            <w:textDirection w:val="lrTb"/>
            <w:vAlign w:val="center"/>
            <w:hideMark/>
          </w:tcPr>
          <w:p w:rsidR="00FD5465" w:rsidRPr="002A44A4" w:rsidP="00CC5988">
            <w:pPr>
              <w:bidi w:val="0"/>
              <w:spacing w:after="0" w:line="240" w:lineRule="auto"/>
              <w:jc w:val="left"/>
              <w:rPr>
                <w:rFonts w:ascii="Times New Roman" w:hAnsi="Times New Roman"/>
                <w:b/>
                <w:bCs/>
                <w:sz w:val="18"/>
                <w:szCs w:val="18"/>
                <w:lang w:eastAsia="sk-SK"/>
              </w:rPr>
            </w:pPr>
            <w:r w:rsidRPr="002A44A4">
              <w:rPr>
                <w:rFonts w:ascii="Times New Roman" w:hAnsi="Times New Roman"/>
                <w:b/>
                <w:bCs/>
                <w:sz w:val="18"/>
                <w:szCs w:val="18"/>
                <w:lang w:eastAsia="sk-SK"/>
              </w:rPr>
              <w:t>Celkom štátny dlh</w:t>
            </w:r>
          </w:p>
        </w:tc>
        <w:tc>
          <w:tcPr>
            <w:tcW w:w="1190" w:type="dxa"/>
            <w:tcBorders>
              <w:top w:val="nil"/>
              <w:left w:val="nil"/>
              <w:bottom w:val="single" w:sz="8" w:space="0" w:color="auto"/>
              <w:right w:val="nil"/>
            </w:tcBorders>
            <w:shd w:val="clear" w:color="000000" w:fill="FFFFFF"/>
            <w:textDirection w:val="lrTb"/>
            <w:vAlign w:val="center"/>
            <w:hideMark/>
          </w:tcPr>
          <w:p w:rsidR="00FD5465" w:rsidRPr="002A44A4" w:rsidP="00CC5988">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1 159 934</w:t>
            </w:r>
          </w:p>
        </w:tc>
        <w:tc>
          <w:tcPr>
            <w:tcW w:w="992" w:type="dxa"/>
            <w:tcBorders>
              <w:top w:val="nil"/>
              <w:left w:val="nil"/>
              <w:bottom w:val="single" w:sz="8" w:space="0" w:color="auto"/>
              <w:right w:val="nil"/>
            </w:tcBorders>
            <w:textDirection w:val="lrTb"/>
            <w:vAlign w:val="center"/>
            <w:hideMark/>
          </w:tcPr>
          <w:p w:rsidR="00FD5465" w:rsidRPr="002A44A4" w:rsidP="00CC5988">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1 174 997</w:t>
            </w:r>
          </w:p>
        </w:tc>
        <w:tc>
          <w:tcPr>
            <w:tcW w:w="992" w:type="dxa"/>
            <w:tcBorders>
              <w:top w:val="nil"/>
              <w:left w:val="nil"/>
              <w:bottom w:val="single" w:sz="8" w:space="0" w:color="auto"/>
              <w:right w:val="nil"/>
            </w:tcBorders>
            <w:textDirection w:val="lrTb"/>
            <w:vAlign w:val="center"/>
            <w:hideMark/>
          </w:tcPr>
          <w:p w:rsidR="00FD5465" w:rsidRPr="002A44A4" w:rsidP="000B08E0">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 xml:space="preserve">1 </w:t>
            </w:r>
            <w:r w:rsidR="000B08E0">
              <w:rPr>
                <w:rFonts w:ascii="Times New Roman" w:hAnsi="Times New Roman"/>
                <w:b/>
                <w:bCs/>
                <w:sz w:val="18"/>
                <w:szCs w:val="18"/>
                <w:lang w:eastAsia="sk-SK"/>
              </w:rPr>
              <w:t>310</w:t>
            </w:r>
            <w:r w:rsidRPr="002A44A4">
              <w:rPr>
                <w:rFonts w:ascii="Times New Roman" w:hAnsi="Times New Roman"/>
                <w:b/>
                <w:bCs/>
                <w:sz w:val="18"/>
                <w:szCs w:val="18"/>
                <w:lang w:eastAsia="sk-SK"/>
              </w:rPr>
              <w:t xml:space="preserve"> </w:t>
            </w:r>
            <w:r w:rsidR="000B08E0">
              <w:rPr>
                <w:rFonts w:ascii="Times New Roman" w:hAnsi="Times New Roman"/>
                <w:b/>
                <w:bCs/>
                <w:sz w:val="18"/>
                <w:szCs w:val="18"/>
                <w:lang w:eastAsia="sk-SK"/>
              </w:rPr>
              <w:t>049</w:t>
            </w:r>
          </w:p>
        </w:tc>
        <w:tc>
          <w:tcPr>
            <w:tcW w:w="1134" w:type="dxa"/>
            <w:tcBorders>
              <w:top w:val="nil"/>
              <w:left w:val="nil"/>
              <w:bottom w:val="single" w:sz="8" w:space="0" w:color="auto"/>
              <w:right w:val="nil"/>
            </w:tcBorders>
            <w:shd w:val="clear" w:color="000000" w:fill="BFBFBF"/>
            <w:textDirection w:val="lrTb"/>
            <w:vAlign w:val="center"/>
            <w:hideMark/>
          </w:tcPr>
          <w:p w:rsidR="00FD5465" w:rsidRPr="002A44A4" w:rsidP="000B08E0">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 xml:space="preserve">1 </w:t>
            </w:r>
            <w:r w:rsidR="000B08E0">
              <w:rPr>
                <w:rFonts w:ascii="Times New Roman" w:hAnsi="Times New Roman"/>
                <w:b/>
                <w:bCs/>
                <w:sz w:val="18"/>
                <w:szCs w:val="18"/>
                <w:lang w:eastAsia="sk-SK"/>
              </w:rPr>
              <w:t>166</w:t>
            </w:r>
            <w:r w:rsidRPr="002A44A4">
              <w:rPr>
                <w:rFonts w:ascii="Times New Roman" w:hAnsi="Times New Roman"/>
                <w:b/>
                <w:bCs/>
                <w:sz w:val="18"/>
                <w:szCs w:val="18"/>
                <w:lang w:eastAsia="sk-SK"/>
              </w:rPr>
              <w:t xml:space="preserve"> </w:t>
            </w:r>
            <w:r w:rsidR="000B08E0">
              <w:rPr>
                <w:rFonts w:ascii="Times New Roman" w:hAnsi="Times New Roman"/>
                <w:b/>
                <w:bCs/>
                <w:sz w:val="18"/>
                <w:szCs w:val="18"/>
                <w:lang w:eastAsia="sk-SK"/>
              </w:rPr>
              <w:t>569</w:t>
            </w:r>
          </w:p>
        </w:tc>
        <w:tc>
          <w:tcPr>
            <w:tcW w:w="992" w:type="dxa"/>
            <w:tcBorders>
              <w:top w:val="nil"/>
              <w:left w:val="nil"/>
              <w:bottom w:val="single" w:sz="8" w:space="0" w:color="auto"/>
              <w:right w:val="nil"/>
            </w:tcBorders>
            <w:textDirection w:val="lrTb"/>
            <w:vAlign w:val="center"/>
            <w:hideMark/>
          </w:tcPr>
          <w:p w:rsidR="00FD5465" w:rsidRPr="002A44A4" w:rsidP="00356016">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-1</w:t>
            </w:r>
            <w:r w:rsidR="00356016">
              <w:rPr>
                <w:rFonts w:ascii="Times New Roman" w:hAnsi="Times New Roman"/>
                <w:b/>
                <w:bCs/>
                <w:sz w:val="18"/>
                <w:szCs w:val="18"/>
                <w:lang w:eastAsia="sk-SK"/>
              </w:rPr>
              <w:t>43</w:t>
            </w:r>
            <w:r w:rsidRPr="002A44A4">
              <w:rPr>
                <w:rFonts w:ascii="Times New Roman" w:hAnsi="Times New Roman"/>
                <w:b/>
                <w:bCs/>
                <w:sz w:val="18"/>
                <w:szCs w:val="18"/>
                <w:lang w:eastAsia="sk-SK"/>
              </w:rPr>
              <w:t xml:space="preserve"> </w:t>
            </w:r>
            <w:r w:rsidR="00356016">
              <w:rPr>
                <w:rFonts w:ascii="Times New Roman" w:hAnsi="Times New Roman"/>
                <w:b/>
                <w:bCs/>
                <w:sz w:val="18"/>
                <w:szCs w:val="18"/>
                <w:lang w:eastAsia="sk-SK"/>
              </w:rPr>
              <w:t>480</w:t>
            </w:r>
          </w:p>
        </w:tc>
        <w:tc>
          <w:tcPr>
            <w:tcW w:w="620" w:type="dxa"/>
            <w:tcBorders>
              <w:top w:val="nil"/>
              <w:left w:val="nil"/>
              <w:bottom w:val="single" w:sz="8" w:space="0" w:color="auto"/>
              <w:right w:val="nil"/>
            </w:tcBorders>
            <w:shd w:val="clear" w:color="000000" w:fill="FFFFFF"/>
            <w:textDirection w:val="lrTb"/>
            <w:vAlign w:val="center"/>
            <w:hideMark/>
          </w:tcPr>
          <w:p w:rsidR="00FD5465" w:rsidRPr="002A44A4" w:rsidP="00356016">
            <w:pPr>
              <w:bidi w:val="0"/>
              <w:spacing w:after="0" w:line="240" w:lineRule="auto"/>
              <w:jc w:val="right"/>
              <w:rPr>
                <w:rFonts w:ascii="Times New Roman" w:hAnsi="Times New Roman"/>
                <w:b/>
                <w:bCs/>
                <w:sz w:val="18"/>
                <w:szCs w:val="18"/>
                <w:lang w:eastAsia="sk-SK"/>
              </w:rPr>
            </w:pPr>
            <w:r w:rsidRPr="002A44A4">
              <w:rPr>
                <w:rFonts w:ascii="Times New Roman" w:hAnsi="Times New Roman"/>
                <w:b/>
                <w:bCs/>
                <w:sz w:val="18"/>
                <w:szCs w:val="18"/>
                <w:lang w:eastAsia="sk-SK"/>
              </w:rPr>
              <w:t>-1</w:t>
            </w:r>
            <w:r w:rsidR="00356016">
              <w:rPr>
                <w:rFonts w:ascii="Times New Roman" w:hAnsi="Times New Roman"/>
                <w:b/>
                <w:bCs/>
                <w:sz w:val="18"/>
                <w:szCs w:val="18"/>
                <w:lang w:eastAsia="sk-SK"/>
              </w:rPr>
              <w:t>1,0</w:t>
            </w:r>
          </w:p>
        </w:tc>
      </w:tr>
    </w:tbl>
    <w:p w:rsidR="00FD5465" w:rsidRPr="002A44A4" w:rsidP="00FD5465">
      <w:pPr>
        <w:tabs>
          <w:tab w:val="left" w:pos="284"/>
        </w:tabs>
        <w:bidi w:val="0"/>
        <w:jc w:val="right"/>
        <w:rPr>
          <w:rFonts w:ascii="Times New Roman" w:hAnsi="Times New Roman"/>
          <w:sz w:val="18"/>
          <w:szCs w:val="18"/>
        </w:rPr>
      </w:pPr>
      <w:r w:rsidRPr="002A44A4">
        <w:rPr>
          <w:rFonts w:ascii="Times New Roman" w:hAnsi="Times New Roman"/>
          <w:sz w:val="18"/>
          <w:szCs w:val="18"/>
        </w:rPr>
        <w:t>Zdroj: MF SR</w:t>
      </w:r>
    </w:p>
    <w:p w:rsidR="00FD5465" w:rsidRPr="002A44A4" w:rsidP="00576554">
      <w:pPr>
        <w:pStyle w:val="ListParagraph"/>
        <w:tabs>
          <w:tab w:val="left" w:pos="284"/>
        </w:tabs>
        <w:bidi w:val="0"/>
        <w:spacing w:after="120" w:line="336" w:lineRule="auto"/>
        <w:ind w:left="0"/>
        <w:jc w:val="both"/>
        <w:rPr>
          <w:rFonts w:ascii="Times New Roman" w:hAnsi="Times New Roman"/>
          <w:b/>
        </w:rPr>
      </w:pPr>
      <w:r w:rsidRPr="002A44A4">
        <w:rPr>
          <w:rFonts w:ascii="Times New Roman" w:hAnsi="Times New Roman"/>
          <w:b/>
        </w:rPr>
        <w:t xml:space="preserve">Mimorozpočtové prostriedky </w:t>
      </w:r>
    </w:p>
    <w:p w:rsidR="00FD5465" w:rsidRPr="002F1080" w:rsidP="00FD5465">
      <w:pPr>
        <w:bidi w:val="0"/>
        <w:rPr>
          <w:rFonts w:ascii="Times New Roman" w:hAnsi="Times New Roman"/>
        </w:rPr>
      </w:pPr>
      <w:r w:rsidRPr="002F1080">
        <w:rPr>
          <w:rFonts w:ascii="Times New Roman" w:hAnsi="Times New Roman"/>
        </w:rPr>
        <w:t xml:space="preserve">V zmysle zákona č. 291/2002 Z. z. o Štátnej pokladnici a o zmene a doplnení v znení neskorších predpisov pre efektívne fungovanie obsluhy Štátneho dlhu </w:t>
      </w:r>
      <w:r w:rsidR="00B60C54">
        <w:rPr>
          <w:rFonts w:ascii="Times New Roman" w:hAnsi="Times New Roman"/>
        </w:rPr>
        <w:t xml:space="preserve">je zriadený </w:t>
      </w:r>
      <w:r w:rsidRPr="002F1080">
        <w:rPr>
          <w:rFonts w:ascii="Times New Roman" w:hAnsi="Times New Roman"/>
        </w:rPr>
        <w:t xml:space="preserve">samostatný mimorozpočtový účet (tzv. saldo účet Štátneho dlhu). Uvedený </w:t>
      </w:r>
      <w:r w:rsidR="00B60C54">
        <w:rPr>
          <w:rFonts w:ascii="Times New Roman" w:hAnsi="Times New Roman"/>
        </w:rPr>
        <w:t>saldo</w:t>
      </w:r>
      <w:r w:rsidRPr="002F1080">
        <w:rPr>
          <w:rFonts w:ascii="Times New Roman" w:hAnsi="Times New Roman"/>
        </w:rPr>
        <w:t xml:space="preserve"> účet slúži pre príjmové aj výdavkové transakcie vykonávané ARDAL v mene MF SR. Stav účtu sa vyrovnáva transferom z výdavkového rozpočtového účtu Štátneho dlhu mesačne a ku koncu roka </w:t>
      </w:r>
      <w:r>
        <w:rPr>
          <w:rFonts w:ascii="Times New Roman" w:hAnsi="Times New Roman"/>
        </w:rPr>
        <w:t>má</w:t>
      </w:r>
      <w:r w:rsidRPr="002F1080">
        <w:rPr>
          <w:rFonts w:ascii="Times New Roman" w:hAnsi="Times New Roman"/>
        </w:rPr>
        <w:t xml:space="preserve"> nulový zostatok.</w:t>
      </w:r>
    </w:p>
    <w:p w:rsidR="00FD5465" w:rsidRPr="006611AB" w:rsidP="00FD5465">
      <w:pPr>
        <w:bidi w:val="0"/>
        <w:rPr>
          <w:rFonts w:ascii="Times New Roman" w:hAnsi="Times New Roman"/>
        </w:rPr>
      </w:pPr>
      <w:r w:rsidRPr="006611AB">
        <w:rPr>
          <w:rFonts w:ascii="Times New Roman" w:hAnsi="Times New Roman"/>
        </w:rPr>
        <w:t xml:space="preserve">Príjmové operácie saldo účtu Štátneho dlhu tvoria </w:t>
      </w:r>
      <w:r w:rsidR="00A7152F">
        <w:rPr>
          <w:rFonts w:ascii="Times New Roman" w:hAnsi="Times New Roman"/>
        </w:rPr>
        <w:t>príjmy Štátneho dlhu (ARDAL) zo </w:t>
      </w:r>
      <w:r w:rsidRPr="006611AB">
        <w:rPr>
          <w:rFonts w:ascii="Times New Roman" w:hAnsi="Times New Roman"/>
        </w:rPr>
        <w:t xml:space="preserve">zhodnocovania dočasne voľných finančných prostriedkov na peňažnom trhu formou medzibankových depozít, repo-obchodov a iných finančných nástrojov. Ostatné príjmy sú transfery zo štátneho rozpočtu. </w:t>
      </w:r>
    </w:p>
    <w:p w:rsidR="00FD5465" w:rsidRPr="006E50E2" w:rsidP="00FD5465">
      <w:pPr>
        <w:shd w:val="clear" w:color="auto" w:fill="FFFFFF"/>
        <w:bidi w:val="0"/>
        <w:rPr>
          <w:rFonts w:ascii="Times New Roman" w:hAnsi="Times New Roman"/>
        </w:rPr>
      </w:pPr>
      <w:r w:rsidRPr="006E50E2">
        <w:rPr>
          <w:rFonts w:ascii="Times New Roman" w:hAnsi="Times New Roman"/>
        </w:rPr>
        <w:t xml:space="preserve">Výdavkové operácie pozostávajú hlavne z výplaty výnosov </w:t>
      </w:r>
      <w:r>
        <w:rPr>
          <w:rFonts w:ascii="Times New Roman" w:hAnsi="Times New Roman"/>
        </w:rPr>
        <w:t xml:space="preserve">z kupónov </w:t>
      </w:r>
      <w:r w:rsidRPr="006E50E2">
        <w:rPr>
          <w:rFonts w:ascii="Times New Roman" w:hAnsi="Times New Roman"/>
        </w:rPr>
        <w:t xml:space="preserve">majiteľom štátnych dlhopisov vydaných na domácom aj zahraničnom finančnom trhu, </w:t>
      </w:r>
      <w:r w:rsidR="00B7758B">
        <w:rPr>
          <w:rFonts w:ascii="Times New Roman" w:hAnsi="Times New Roman"/>
        </w:rPr>
        <w:t xml:space="preserve">úhrada </w:t>
      </w:r>
      <w:r w:rsidR="00576554">
        <w:rPr>
          <w:rFonts w:ascii="Times New Roman" w:hAnsi="Times New Roman"/>
        </w:rPr>
        <w:t>alikvotného úrokového výnosu</w:t>
      </w:r>
      <w:r w:rsidR="00B7758B">
        <w:rPr>
          <w:rFonts w:ascii="Times New Roman" w:hAnsi="Times New Roman"/>
        </w:rPr>
        <w:t xml:space="preserve"> a </w:t>
      </w:r>
      <w:r>
        <w:rPr>
          <w:rFonts w:ascii="Times New Roman" w:hAnsi="Times New Roman"/>
        </w:rPr>
        <w:t xml:space="preserve">prémií pri spätnom nákupe štátnych cenných papierov, úhrada diskontu splatných štátnych cenných papierov, </w:t>
      </w:r>
      <w:r w:rsidRPr="006E50E2">
        <w:rPr>
          <w:rFonts w:ascii="Times New Roman" w:hAnsi="Times New Roman"/>
        </w:rPr>
        <w:t>splácanie úrokov v rámci refinančného systému Ministerstva financií SR Štátnej pokladnici, náklady spojené s finančnými operáciami súvisiace s peňažnými</w:t>
      </w:r>
      <w:r>
        <w:rPr>
          <w:rFonts w:ascii="Times New Roman" w:hAnsi="Times New Roman"/>
        </w:rPr>
        <w:t xml:space="preserve"> transakciami, splátky úrokov z </w:t>
      </w:r>
      <w:r w:rsidRPr="006E50E2">
        <w:rPr>
          <w:rFonts w:ascii="Times New Roman" w:hAnsi="Times New Roman"/>
        </w:rPr>
        <w:t>úverov a poplatky spojené so správou Štátneho dlhu.</w:t>
      </w:r>
    </w:p>
    <w:p w:rsidR="00FD5465" w:rsidRPr="00110264" w:rsidP="00FD5465">
      <w:pPr>
        <w:bidi w:val="0"/>
        <w:rPr>
          <w:rFonts w:ascii="Times New Roman" w:hAnsi="Times New Roman"/>
          <w:szCs w:val="22"/>
        </w:rPr>
      </w:pPr>
      <w:r w:rsidRPr="006E50E2">
        <w:rPr>
          <w:rFonts w:ascii="Times New Roman" w:hAnsi="Times New Roman"/>
        </w:rPr>
        <w:t xml:space="preserve">Čerpanie výdavkov v priebehu roka </w:t>
      </w:r>
      <w:r w:rsidRPr="00341DEC">
        <w:rPr>
          <w:rFonts w:ascii="Times New Roman" w:hAnsi="Times New Roman"/>
        </w:rPr>
        <w:t>prebiehalo podľa</w:t>
      </w:r>
      <w:r w:rsidRPr="006E50E2">
        <w:rPr>
          <w:rFonts w:ascii="Times New Roman" w:hAnsi="Times New Roman"/>
        </w:rPr>
        <w:t xml:space="preserve"> splátkových kalendárov a</w:t>
      </w:r>
      <w:r w:rsidR="00110264">
        <w:rPr>
          <w:rFonts w:ascii="Times New Roman" w:hAnsi="Times New Roman"/>
        </w:rPr>
        <w:t xml:space="preserve"> </w:t>
      </w:r>
      <w:r w:rsidRPr="006E50E2">
        <w:rPr>
          <w:rFonts w:ascii="Times New Roman" w:hAnsi="Times New Roman"/>
        </w:rPr>
        <w:t>medzinárodných zmlúv, ktorými je Slovenská republika viazaná</w:t>
      </w:r>
      <w:r w:rsidRPr="00110264" w:rsidR="005F6874">
        <w:rPr>
          <w:rFonts w:ascii="Times New Roman" w:hAnsi="Times New Roman"/>
        </w:rPr>
        <w:t>.</w:t>
      </w:r>
    </w:p>
    <w:tbl>
      <w:tblPr>
        <w:tblStyle w:val="TableNormal"/>
        <w:tblW w:w="0" w:type="auto"/>
        <w:tblInd w:w="55" w:type="dxa"/>
        <w:tblCellMar>
          <w:left w:w="70" w:type="dxa"/>
          <w:right w:w="70" w:type="dxa"/>
        </w:tblCellMar>
        <w:tblLook w:val="04A0"/>
      </w:tblPr>
      <w:tblGrid>
        <w:gridCol w:w="4410"/>
        <w:gridCol w:w="1418"/>
        <w:gridCol w:w="1628"/>
        <w:gridCol w:w="1275"/>
      </w:tblGrid>
      <w:tr>
        <w:tblPrEx>
          <w:tblW w:w="0" w:type="auto"/>
          <w:tblInd w:w="55" w:type="dxa"/>
          <w:tblCellMar>
            <w:left w:w="70" w:type="dxa"/>
            <w:right w:w="70" w:type="dxa"/>
          </w:tblCellMar>
          <w:tblLook w:val="04A0"/>
        </w:tblPrEx>
        <w:trPr>
          <w:trHeight w:val="330"/>
        </w:trPr>
        <w:tc>
          <w:tcPr>
            <w:tcW w:w="8731" w:type="dxa"/>
            <w:gridSpan w:val="4"/>
            <w:tcBorders>
              <w:top w:val="nil"/>
              <w:left w:val="nil"/>
              <w:bottom w:val="none" w:sz="0" w:space="0" w:color="auto"/>
              <w:right w:val="nil"/>
            </w:tcBorders>
            <w:shd w:val="clear" w:color="000000" w:fill="000000"/>
            <w:textDirection w:val="lrTb"/>
            <w:vAlign w:val="center"/>
            <w:hideMark/>
          </w:tcPr>
          <w:p w:rsidR="00FD5465" w:rsidRPr="005F6874" w:rsidP="00CC5988">
            <w:pPr>
              <w:bidi w:val="0"/>
              <w:spacing w:after="0" w:line="240" w:lineRule="auto"/>
              <w:jc w:val="left"/>
              <w:rPr>
                <w:rFonts w:ascii="Times New Roman" w:hAnsi="Times New Roman"/>
                <w:b/>
                <w:sz w:val="18"/>
                <w:szCs w:val="18"/>
              </w:rPr>
            </w:pPr>
            <w:r w:rsidRPr="005F6874">
              <w:rPr>
                <w:rFonts w:ascii="Times New Roman" w:hAnsi="Times New Roman"/>
                <w:b/>
                <w:bCs/>
                <w:sz w:val="18"/>
                <w:szCs w:val="18"/>
                <w:lang w:eastAsia="sk-SK"/>
              </w:rPr>
              <w:t>Prehľad príjmov a výdavkov na saldo účte Štátneho dlhu                                                                              v tis. eur</w:t>
            </w:r>
          </w:p>
        </w:tc>
      </w:tr>
      <w:tr>
        <w:tblPrEx>
          <w:tblW w:w="0" w:type="auto"/>
          <w:tblInd w:w="55" w:type="dxa"/>
          <w:tblCellMar>
            <w:left w:w="70" w:type="dxa"/>
            <w:right w:w="70" w:type="dxa"/>
          </w:tblCellMar>
          <w:tblLook w:val="04A0"/>
        </w:tblPrEx>
        <w:trPr>
          <w:trHeight w:val="312"/>
        </w:trPr>
        <w:tc>
          <w:tcPr>
            <w:tcW w:w="4410" w:type="dxa"/>
            <w:vMerge w:val="restart"/>
            <w:tcBorders>
              <w:top w:val="nil"/>
              <w:left w:val="nil"/>
              <w:bottom w:val="none" w:sz="0" w:space="0" w:color="auto"/>
              <w:right w:val="nil"/>
            </w:tcBorders>
            <w:shd w:val="clear" w:color="000000" w:fill="BFBFBF"/>
            <w:noWrap/>
            <w:textDirection w:val="lrTb"/>
            <w:vAlign w:val="center"/>
            <w:hideMark/>
          </w:tcPr>
          <w:p w:rsidR="00FD5465" w:rsidRPr="005F6874" w:rsidP="001A246E">
            <w:pPr>
              <w:bidi w:val="0"/>
              <w:spacing w:after="0" w:line="240" w:lineRule="auto"/>
              <w:contextualSpacing/>
              <w:jc w:val="center"/>
              <w:rPr>
                <w:rFonts w:ascii="Times New Roman" w:hAnsi="Times New Roman"/>
                <w:b/>
                <w:sz w:val="18"/>
                <w:szCs w:val="18"/>
                <w:lang w:eastAsia="sk-SK"/>
              </w:rPr>
            </w:pPr>
          </w:p>
        </w:tc>
        <w:tc>
          <w:tcPr>
            <w:tcW w:w="4321" w:type="dxa"/>
            <w:gridSpan w:val="3"/>
            <w:tcBorders>
              <w:top w:val="nil"/>
              <w:left w:val="nil"/>
              <w:bottom w:val="none" w:sz="0" w:space="0" w:color="auto"/>
              <w:right w:val="nil"/>
            </w:tcBorders>
            <w:shd w:val="clear" w:color="000000" w:fill="BFBFBF"/>
            <w:textDirection w:val="lrTb"/>
            <w:vAlign w:val="center"/>
            <w:hideMark/>
          </w:tcPr>
          <w:p w:rsidR="00FD5465" w:rsidRPr="005F6874" w:rsidP="001A246E">
            <w:pPr>
              <w:bidi w:val="0"/>
              <w:spacing w:after="0" w:line="240" w:lineRule="auto"/>
              <w:contextualSpacing/>
              <w:jc w:val="center"/>
              <w:rPr>
                <w:rFonts w:ascii="Times New Roman" w:hAnsi="Times New Roman"/>
                <w:b/>
                <w:sz w:val="18"/>
                <w:szCs w:val="18"/>
                <w:lang w:eastAsia="sk-SK"/>
              </w:rPr>
            </w:pPr>
            <w:r w:rsidRPr="005F6874">
              <w:rPr>
                <w:rFonts w:ascii="Times New Roman" w:hAnsi="Times New Roman"/>
                <w:b/>
                <w:sz w:val="18"/>
                <w:szCs w:val="18"/>
                <w:lang w:eastAsia="sk-SK"/>
              </w:rPr>
              <w:t>Skutočnosť</w:t>
            </w:r>
          </w:p>
        </w:tc>
      </w:tr>
      <w:tr>
        <w:tblPrEx>
          <w:tblW w:w="0" w:type="auto"/>
          <w:tblInd w:w="55" w:type="dxa"/>
          <w:tblCellMar>
            <w:left w:w="70" w:type="dxa"/>
            <w:right w:w="70" w:type="dxa"/>
          </w:tblCellMar>
          <w:tblLook w:val="04A0"/>
        </w:tblPrEx>
        <w:trPr>
          <w:trHeight w:val="312"/>
        </w:trPr>
        <w:tc>
          <w:tcPr>
            <w:tcW w:w="4410" w:type="dxa"/>
            <w:vMerge/>
            <w:tcBorders>
              <w:top w:val="nil"/>
              <w:left w:val="nil"/>
              <w:bottom w:val="single" w:sz="4" w:space="0" w:color="auto"/>
              <w:right w:val="nil"/>
            </w:tcBorders>
            <w:textDirection w:val="lrTb"/>
            <w:vAlign w:val="center"/>
            <w:hideMark/>
          </w:tcPr>
          <w:p w:rsidR="00FD5465" w:rsidRPr="005F6874" w:rsidP="001A246E">
            <w:pPr>
              <w:bidi w:val="0"/>
              <w:spacing w:after="0" w:line="240" w:lineRule="auto"/>
              <w:contextualSpacing/>
              <w:jc w:val="right"/>
              <w:rPr>
                <w:rFonts w:ascii="Times New Roman" w:hAnsi="Times New Roman"/>
                <w:b/>
                <w:sz w:val="18"/>
                <w:szCs w:val="18"/>
                <w:lang w:eastAsia="sk-SK"/>
              </w:rPr>
            </w:pPr>
          </w:p>
        </w:tc>
        <w:tc>
          <w:tcPr>
            <w:tcW w:w="1418" w:type="dxa"/>
            <w:tcBorders>
              <w:top w:val="nil"/>
              <w:left w:val="nil"/>
              <w:bottom w:val="single" w:sz="4" w:space="0" w:color="auto"/>
              <w:right w:val="nil"/>
            </w:tcBorders>
            <w:shd w:val="clear" w:color="000000" w:fill="BFBFBF"/>
            <w:textDirection w:val="lrTb"/>
            <w:vAlign w:val="center"/>
            <w:hideMark/>
          </w:tcPr>
          <w:p w:rsidR="00FD5465" w:rsidRPr="005F6874" w:rsidP="001A246E">
            <w:pPr>
              <w:bidi w:val="0"/>
              <w:spacing w:after="0" w:line="240" w:lineRule="auto"/>
              <w:contextualSpacing/>
              <w:jc w:val="right"/>
              <w:rPr>
                <w:rFonts w:ascii="Times New Roman" w:hAnsi="Times New Roman"/>
                <w:b/>
                <w:sz w:val="18"/>
                <w:szCs w:val="18"/>
                <w:lang w:eastAsia="sk-SK"/>
              </w:rPr>
            </w:pPr>
            <w:r w:rsidRPr="005F6874">
              <w:rPr>
                <w:rFonts w:ascii="Times New Roman" w:hAnsi="Times New Roman"/>
                <w:b/>
                <w:sz w:val="18"/>
                <w:szCs w:val="18"/>
                <w:lang w:eastAsia="sk-SK"/>
              </w:rPr>
              <w:t>2015</w:t>
            </w:r>
          </w:p>
        </w:tc>
        <w:tc>
          <w:tcPr>
            <w:tcW w:w="1628" w:type="dxa"/>
            <w:tcBorders>
              <w:top w:val="nil"/>
              <w:left w:val="nil"/>
              <w:bottom w:val="single" w:sz="4" w:space="0" w:color="auto"/>
              <w:right w:val="nil"/>
            </w:tcBorders>
            <w:shd w:val="clear" w:color="000000" w:fill="BFBFBF"/>
            <w:textDirection w:val="lrTb"/>
            <w:vAlign w:val="center"/>
            <w:hideMark/>
          </w:tcPr>
          <w:p w:rsidR="00FD5465" w:rsidRPr="005F6874" w:rsidP="001A246E">
            <w:pPr>
              <w:bidi w:val="0"/>
              <w:spacing w:after="0" w:line="240" w:lineRule="auto"/>
              <w:contextualSpacing/>
              <w:jc w:val="right"/>
              <w:rPr>
                <w:rFonts w:ascii="Times New Roman" w:hAnsi="Times New Roman"/>
                <w:b/>
                <w:sz w:val="18"/>
                <w:szCs w:val="18"/>
                <w:lang w:eastAsia="sk-SK"/>
              </w:rPr>
            </w:pPr>
            <w:r w:rsidRPr="005F6874">
              <w:rPr>
                <w:rFonts w:ascii="Times New Roman" w:hAnsi="Times New Roman"/>
                <w:b/>
                <w:sz w:val="18"/>
                <w:szCs w:val="18"/>
                <w:lang w:eastAsia="sk-SK"/>
              </w:rPr>
              <w:t>2016</w:t>
            </w:r>
          </w:p>
        </w:tc>
        <w:tc>
          <w:tcPr>
            <w:tcW w:w="1275" w:type="dxa"/>
            <w:tcBorders>
              <w:top w:val="nil"/>
              <w:left w:val="nil"/>
              <w:bottom w:val="single" w:sz="4" w:space="0" w:color="auto"/>
              <w:right w:val="nil"/>
            </w:tcBorders>
            <w:shd w:val="clear" w:color="000000" w:fill="BFBFBF"/>
            <w:textDirection w:val="lrTb"/>
            <w:vAlign w:val="center"/>
            <w:hideMark/>
          </w:tcPr>
          <w:p w:rsidR="00FD5465" w:rsidRPr="005F6874" w:rsidP="001A246E">
            <w:pPr>
              <w:bidi w:val="0"/>
              <w:spacing w:after="0" w:line="240" w:lineRule="auto"/>
              <w:contextualSpacing/>
              <w:jc w:val="right"/>
              <w:rPr>
                <w:rFonts w:ascii="Times New Roman" w:hAnsi="Times New Roman"/>
                <w:b/>
                <w:sz w:val="18"/>
                <w:szCs w:val="18"/>
                <w:lang w:eastAsia="sk-SK"/>
              </w:rPr>
            </w:pPr>
            <w:r w:rsidRPr="005F6874">
              <w:rPr>
                <w:rFonts w:ascii="Times New Roman" w:hAnsi="Times New Roman"/>
                <w:b/>
                <w:sz w:val="18"/>
                <w:szCs w:val="18"/>
                <w:lang w:eastAsia="sk-SK"/>
              </w:rPr>
              <w:t>2017</w:t>
            </w:r>
          </w:p>
        </w:tc>
      </w:tr>
      <w:tr>
        <w:tblPrEx>
          <w:tblW w:w="0" w:type="auto"/>
          <w:tblInd w:w="55" w:type="dxa"/>
          <w:tblCellMar>
            <w:left w:w="70" w:type="dxa"/>
            <w:right w:w="70" w:type="dxa"/>
          </w:tblCellMar>
          <w:tblLook w:val="04A0"/>
        </w:tblPrEx>
        <w:trPr>
          <w:trHeight w:val="300"/>
        </w:trPr>
        <w:tc>
          <w:tcPr>
            <w:tcW w:w="4410" w:type="dxa"/>
            <w:tcBorders>
              <w:top w:val="single" w:sz="4" w:space="0" w:color="auto"/>
              <w:left w:val="nil"/>
              <w:bottom w:val="nil"/>
              <w:right w:val="nil"/>
            </w:tcBorders>
            <w:noWrap/>
            <w:textDirection w:val="lrTb"/>
            <w:vAlign w:val="center"/>
            <w:hideMark/>
          </w:tcPr>
          <w:p w:rsidR="00FD5465" w:rsidRPr="005F6874" w:rsidP="00CC5988">
            <w:pPr>
              <w:bidi w:val="0"/>
              <w:spacing w:after="0" w:line="240" w:lineRule="auto"/>
              <w:jc w:val="left"/>
              <w:rPr>
                <w:rFonts w:ascii="Times New Roman" w:hAnsi="Times New Roman"/>
                <w:b/>
                <w:sz w:val="18"/>
                <w:szCs w:val="18"/>
                <w:lang w:eastAsia="sk-SK"/>
              </w:rPr>
            </w:pPr>
            <w:r w:rsidRPr="005F6874">
              <w:rPr>
                <w:rFonts w:ascii="Times New Roman" w:hAnsi="Times New Roman"/>
                <w:b/>
                <w:sz w:val="18"/>
                <w:szCs w:val="18"/>
                <w:lang w:eastAsia="sk-SK"/>
              </w:rPr>
              <w:t>Príjmy</w:t>
            </w:r>
          </w:p>
        </w:tc>
        <w:tc>
          <w:tcPr>
            <w:tcW w:w="1418" w:type="dxa"/>
            <w:tcBorders>
              <w:top w:val="single" w:sz="4" w:space="0" w:color="auto"/>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421 486</w:t>
            </w:r>
          </w:p>
        </w:tc>
        <w:tc>
          <w:tcPr>
            <w:tcW w:w="1628" w:type="dxa"/>
            <w:tcBorders>
              <w:top w:val="single" w:sz="4" w:space="0" w:color="auto"/>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382 116</w:t>
            </w:r>
          </w:p>
        </w:tc>
        <w:tc>
          <w:tcPr>
            <w:tcW w:w="1275" w:type="dxa"/>
            <w:tcBorders>
              <w:top w:val="single" w:sz="4" w:space="0" w:color="auto"/>
              <w:left w:val="nil"/>
              <w:bottom w:val="nil"/>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rPr>
              <w:t>294 253</w:t>
            </w:r>
          </w:p>
        </w:tc>
      </w:tr>
      <w:tr>
        <w:tblPrEx>
          <w:tblW w:w="0" w:type="auto"/>
          <w:tblInd w:w="55" w:type="dxa"/>
          <w:tblCellMar>
            <w:left w:w="70" w:type="dxa"/>
            <w:right w:w="70" w:type="dxa"/>
          </w:tblCellMar>
          <w:tblLook w:val="04A0"/>
        </w:tblPrEx>
        <w:trPr>
          <w:trHeight w:val="300"/>
        </w:trPr>
        <w:tc>
          <w:tcPr>
            <w:tcW w:w="4410" w:type="dxa"/>
            <w:tcBorders>
              <w:top w:val="nil"/>
              <w:left w:val="nil"/>
              <w:bottom w:val="nil"/>
              <w:right w:val="nil"/>
            </w:tcBorders>
            <w:noWrap/>
            <w:textDirection w:val="lrTb"/>
            <w:vAlign w:val="center"/>
            <w:hideMark/>
          </w:tcPr>
          <w:p w:rsidR="00FD5465" w:rsidRPr="005F6874" w:rsidP="00CC5988">
            <w:pPr>
              <w:bidi w:val="0"/>
              <w:spacing w:after="0" w:line="240" w:lineRule="auto"/>
              <w:jc w:val="left"/>
              <w:rPr>
                <w:rFonts w:ascii="Times New Roman" w:hAnsi="Times New Roman"/>
                <w:b/>
                <w:sz w:val="18"/>
                <w:szCs w:val="18"/>
                <w:lang w:eastAsia="sk-SK"/>
              </w:rPr>
            </w:pPr>
            <w:r w:rsidRPr="005F6874">
              <w:rPr>
                <w:rFonts w:ascii="Times New Roman" w:hAnsi="Times New Roman"/>
                <w:b/>
                <w:sz w:val="18"/>
                <w:szCs w:val="18"/>
                <w:lang w:eastAsia="sk-SK"/>
              </w:rPr>
              <w:t>Výdavky spolu</w:t>
            </w:r>
          </w:p>
        </w:tc>
        <w:tc>
          <w:tcPr>
            <w:tcW w:w="1418" w:type="dxa"/>
            <w:tcBorders>
              <w:top w:val="nil"/>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1 581 150</w:t>
            </w:r>
          </w:p>
        </w:tc>
        <w:tc>
          <w:tcPr>
            <w:tcW w:w="1628" w:type="dxa"/>
            <w:tcBorders>
              <w:top w:val="nil"/>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1 556 843</w:t>
            </w:r>
          </w:p>
        </w:tc>
        <w:tc>
          <w:tcPr>
            <w:tcW w:w="1275" w:type="dxa"/>
            <w:tcBorders>
              <w:top w:val="nil"/>
              <w:left w:val="nil"/>
              <w:bottom w:val="nil"/>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rPr>
              <w:t>1 460 552</w:t>
            </w:r>
          </w:p>
        </w:tc>
      </w:tr>
      <w:tr>
        <w:tblPrEx>
          <w:tblW w:w="0" w:type="auto"/>
          <w:tblInd w:w="55" w:type="dxa"/>
          <w:tblCellMar>
            <w:left w:w="70" w:type="dxa"/>
            <w:right w:w="70" w:type="dxa"/>
          </w:tblCellMar>
          <w:tblLook w:val="04A0"/>
        </w:tblPrEx>
        <w:trPr>
          <w:trHeight w:val="300"/>
        </w:trPr>
        <w:tc>
          <w:tcPr>
            <w:tcW w:w="4410" w:type="dxa"/>
            <w:tcBorders>
              <w:top w:val="nil"/>
              <w:left w:val="nil"/>
              <w:bottom w:val="nil"/>
              <w:right w:val="nil"/>
            </w:tcBorders>
            <w:noWrap/>
            <w:textDirection w:val="lrTb"/>
            <w:vAlign w:val="center"/>
            <w:hideMark/>
          </w:tcPr>
          <w:p w:rsidR="00FD5465" w:rsidRPr="005F6874" w:rsidP="00CC5988">
            <w:pPr>
              <w:bidi w:val="0"/>
              <w:spacing w:after="0" w:line="240" w:lineRule="auto"/>
              <w:jc w:val="left"/>
              <w:rPr>
                <w:rFonts w:ascii="Times New Roman" w:hAnsi="Times New Roman"/>
                <w:sz w:val="18"/>
                <w:szCs w:val="18"/>
                <w:lang w:eastAsia="sk-SK"/>
              </w:rPr>
            </w:pPr>
            <w:r w:rsidRPr="005F6874">
              <w:rPr>
                <w:rFonts w:ascii="Times New Roman" w:hAnsi="Times New Roman"/>
                <w:sz w:val="18"/>
                <w:szCs w:val="18"/>
                <w:lang w:eastAsia="sk-SK"/>
              </w:rPr>
              <w:t xml:space="preserve">v tom: </w:t>
            </w:r>
          </w:p>
        </w:tc>
        <w:tc>
          <w:tcPr>
            <w:tcW w:w="1418" w:type="dxa"/>
            <w:tcBorders>
              <w:top w:val="nil"/>
              <w:left w:val="nil"/>
              <w:bottom w:val="nil"/>
              <w:right w:val="nil"/>
            </w:tcBorders>
            <w:noWrap/>
            <w:textDirection w:val="lrTb"/>
            <w:vAlign w:val="center"/>
            <w:hideMark/>
          </w:tcPr>
          <w:p w:rsidR="00FD5465" w:rsidRPr="005F6874" w:rsidP="00CC5988">
            <w:pPr>
              <w:bidi w:val="0"/>
              <w:spacing w:after="0" w:line="240" w:lineRule="auto"/>
              <w:jc w:val="right"/>
              <w:rPr>
                <w:rFonts w:ascii="Times New Roman" w:hAnsi="Times New Roman"/>
                <w:sz w:val="18"/>
                <w:szCs w:val="18"/>
                <w:lang w:eastAsia="sk-SK"/>
              </w:rPr>
            </w:pPr>
          </w:p>
        </w:tc>
        <w:tc>
          <w:tcPr>
            <w:tcW w:w="1628" w:type="dxa"/>
            <w:tcBorders>
              <w:top w:val="nil"/>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sz w:val="18"/>
                <w:szCs w:val="18"/>
                <w:lang w:eastAsia="sk-SK"/>
              </w:rPr>
            </w:pPr>
          </w:p>
        </w:tc>
        <w:tc>
          <w:tcPr>
            <w:tcW w:w="1275" w:type="dxa"/>
            <w:tcBorders>
              <w:top w:val="nil"/>
              <w:left w:val="nil"/>
              <w:bottom w:val="nil"/>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sz w:val="18"/>
                <w:szCs w:val="18"/>
                <w:lang w:eastAsia="sk-SK"/>
              </w:rPr>
            </w:pPr>
          </w:p>
        </w:tc>
      </w:tr>
      <w:tr>
        <w:tblPrEx>
          <w:tblW w:w="0" w:type="auto"/>
          <w:tblInd w:w="55" w:type="dxa"/>
          <w:tblCellMar>
            <w:left w:w="70" w:type="dxa"/>
            <w:right w:w="70" w:type="dxa"/>
          </w:tblCellMar>
          <w:tblLook w:val="04A0"/>
        </w:tblPrEx>
        <w:trPr>
          <w:trHeight w:val="300"/>
        </w:trPr>
        <w:tc>
          <w:tcPr>
            <w:tcW w:w="4410" w:type="dxa"/>
            <w:tcBorders>
              <w:top w:val="nil"/>
              <w:left w:val="nil"/>
              <w:bottom w:val="nil"/>
              <w:right w:val="nil"/>
            </w:tcBorders>
            <w:noWrap/>
            <w:textDirection w:val="lrTb"/>
            <w:vAlign w:val="center"/>
          </w:tcPr>
          <w:p w:rsidR="00FD5465" w:rsidRPr="005F6874" w:rsidP="00CC5988">
            <w:pPr>
              <w:bidi w:val="0"/>
              <w:spacing w:after="0" w:line="240" w:lineRule="auto"/>
              <w:jc w:val="left"/>
              <w:rPr>
                <w:rFonts w:ascii="Times New Roman" w:hAnsi="Times New Roman"/>
                <w:i/>
                <w:sz w:val="18"/>
                <w:szCs w:val="18"/>
                <w:lang w:eastAsia="sk-SK"/>
              </w:rPr>
            </w:pPr>
            <w:r w:rsidRPr="005F6874">
              <w:rPr>
                <w:rFonts w:ascii="Times New Roman" w:hAnsi="Times New Roman"/>
                <w:i/>
                <w:sz w:val="18"/>
                <w:szCs w:val="18"/>
                <w:lang w:eastAsia="sk-SK"/>
              </w:rPr>
              <w:t xml:space="preserve">   úroky zo štátnych dlhopisov + obchodov +úverov</w:t>
            </w:r>
          </w:p>
        </w:tc>
        <w:tc>
          <w:tcPr>
            <w:tcW w:w="1418" w:type="dxa"/>
            <w:tcBorders>
              <w:top w:val="nil"/>
              <w:left w:val="nil"/>
              <w:bottom w:val="nil"/>
              <w:right w:val="nil"/>
            </w:tcBorders>
            <w:noWrap/>
            <w:textDirection w:val="lrTb"/>
            <w:vAlign w:val="center"/>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1 442 417</w:t>
            </w:r>
          </w:p>
        </w:tc>
        <w:tc>
          <w:tcPr>
            <w:tcW w:w="1628" w:type="dxa"/>
            <w:tcBorders>
              <w:top w:val="nil"/>
              <w:left w:val="nil"/>
              <w:bottom w:val="nil"/>
              <w:right w:val="nil"/>
            </w:tcBorders>
            <w:textDirection w:val="lrTb"/>
            <w:vAlign w:val="center"/>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1 437 878</w:t>
            </w:r>
          </w:p>
        </w:tc>
        <w:tc>
          <w:tcPr>
            <w:tcW w:w="1275" w:type="dxa"/>
            <w:tcBorders>
              <w:top w:val="nil"/>
              <w:left w:val="nil"/>
              <w:bottom w:val="nil"/>
              <w:right w:val="nil"/>
            </w:tcBorders>
            <w:shd w:val="clear" w:color="000000" w:fill="BFBFBF"/>
            <w:textDirection w:val="lrTb"/>
            <w:vAlign w:val="center"/>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rPr>
              <w:t>1 342 029</w:t>
            </w:r>
          </w:p>
        </w:tc>
      </w:tr>
      <w:tr>
        <w:tblPrEx>
          <w:tblW w:w="0" w:type="auto"/>
          <w:tblInd w:w="55" w:type="dxa"/>
          <w:tblCellMar>
            <w:left w:w="70" w:type="dxa"/>
            <w:right w:w="70" w:type="dxa"/>
          </w:tblCellMar>
          <w:tblLook w:val="04A0"/>
        </w:tblPrEx>
        <w:trPr>
          <w:trHeight w:val="300"/>
        </w:trPr>
        <w:tc>
          <w:tcPr>
            <w:tcW w:w="4410" w:type="dxa"/>
            <w:tcBorders>
              <w:top w:val="nil"/>
              <w:left w:val="nil"/>
              <w:bottom w:val="nil"/>
              <w:right w:val="nil"/>
            </w:tcBorders>
            <w:noWrap/>
            <w:textDirection w:val="lrTb"/>
            <w:vAlign w:val="center"/>
            <w:hideMark/>
          </w:tcPr>
          <w:p w:rsidR="00FD5465" w:rsidRPr="005F6874" w:rsidP="00CC5988">
            <w:pPr>
              <w:bidi w:val="0"/>
              <w:spacing w:after="0" w:line="240" w:lineRule="auto"/>
              <w:jc w:val="left"/>
              <w:rPr>
                <w:rFonts w:ascii="Times New Roman" w:hAnsi="Times New Roman"/>
                <w:i/>
                <w:sz w:val="18"/>
                <w:szCs w:val="18"/>
                <w:lang w:eastAsia="sk-SK"/>
              </w:rPr>
            </w:pPr>
            <w:r w:rsidRPr="005F6874">
              <w:rPr>
                <w:rFonts w:ascii="Times New Roman" w:hAnsi="Times New Roman"/>
                <w:i/>
                <w:sz w:val="18"/>
                <w:szCs w:val="18"/>
                <w:lang w:eastAsia="sk-SK"/>
              </w:rPr>
              <w:t xml:space="preserve">   úroky z refinančného systému - ŠP</w:t>
            </w:r>
          </w:p>
        </w:tc>
        <w:tc>
          <w:tcPr>
            <w:tcW w:w="1418" w:type="dxa"/>
            <w:tcBorders>
              <w:top w:val="nil"/>
              <w:left w:val="nil"/>
              <w:bottom w:val="nil"/>
              <w:right w:val="nil"/>
            </w:tcBorders>
            <w:noWrap/>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46 916</w:t>
            </w:r>
          </w:p>
        </w:tc>
        <w:tc>
          <w:tcPr>
            <w:tcW w:w="1628" w:type="dxa"/>
            <w:tcBorders>
              <w:top w:val="nil"/>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48 459</w:t>
            </w:r>
          </w:p>
        </w:tc>
        <w:tc>
          <w:tcPr>
            <w:tcW w:w="1275" w:type="dxa"/>
            <w:tcBorders>
              <w:top w:val="nil"/>
              <w:left w:val="nil"/>
              <w:bottom w:val="nil"/>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sidR="005F6874">
              <w:rPr>
                <w:rFonts w:ascii="Times New Roman" w:hAnsi="Times New Roman"/>
                <w:i/>
                <w:sz w:val="18"/>
                <w:szCs w:val="18"/>
                <w:lang w:eastAsia="sk-SK"/>
              </w:rPr>
              <w:t>48 2</w:t>
            </w:r>
            <w:r w:rsidRPr="005F6874">
              <w:rPr>
                <w:rFonts w:ascii="Times New Roman" w:hAnsi="Times New Roman"/>
                <w:i/>
                <w:sz w:val="18"/>
                <w:szCs w:val="18"/>
                <w:lang w:eastAsia="sk-SK"/>
              </w:rPr>
              <w:t>59</w:t>
            </w:r>
          </w:p>
        </w:tc>
      </w:tr>
      <w:tr>
        <w:tblPrEx>
          <w:tblW w:w="0" w:type="auto"/>
          <w:tblInd w:w="55" w:type="dxa"/>
          <w:tblCellMar>
            <w:left w:w="70" w:type="dxa"/>
            <w:right w:w="70" w:type="dxa"/>
          </w:tblCellMar>
          <w:tblLook w:val="04A0"/>
        </w:tblPrEx>
        <w:trPr>
          <w:trHeight w:val="300"/>
        </w:trPr>
        <w:tc>
          <w:tcPr>
            <w:tcW w:w="4410" w:type="dxa"/>
            <w:tcBorders>
              <w:top w:val="nil"/>
              <w:left w:val="nil"/>
              <w:bottom w:val="nil"/>
              <w:right w:val="nil"/>
            </w:tcBorders>
            <w:noWrap/>
            <w:textDirection w:val="lrTb"/>
            <w:vAlign w:val="center"/>
            <w:hideMark/>
          </w:tcPr>
          <w:p w:rsidR="00FD5465" w:rsidRPr="005F6874" w:rsidP="00CC5988">
            <w:pPr>
              <w:bidi w:val="0"/>
              <w:spacing w:after="0" w:line="240" w:lineRule="auto"/>
              <w:jc w:val="left"/>
              <w:rPr>
                <w:rFonts w:ascii="Times New Roman" w:hAnsi="Times New Roman"/>
                <w:i/>
                <w:sz w:val="18"/>
                <w:szCs w:val="18"/>
                <w:lang w:eastAsia="sk-SK"/>
              </w:rPr>
            </w:pPr>
            <w:r w:rsidRPr="005F6874">
              <w:rPr>
                <w:rFonts w:ascii="Times New Roman" w:hAnsi="Times New Roman"/>
                <w:i/>
                <w:sz w:val="18"/>
                <w:szCs w:val="18"/>
                <w:lang w:eastAsia="sk-SK"/>
              </w:rPr>
              <w:t xml:space="preserve">   disážio (diskont CP)</w:t>
            </w:r>
          </w:p>
        </w:tc>
        <w:tc>
          <w:tcPr>
            <w:tcW w:w="1418" w:type="dxa"/>
            <w:tcBorders>
              <w:top w:val="nil"/>
              <w:left w:val="nil"/>
              <w:bottom w:val="nil"/>
              <w:right w:val="nil"/>
            </w:tcBorders>
            <w:noWrap/>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87 349</w:t>
            </w:r>
          </w:p>
        </w:tc>
        <w:tc>
          <w:tcPr>
            <w:tcW w:w="1628" w:type="dxa"/>
            <w:tcBorders>
              <w:top w:val="nil"/>
              <w:left w:val="nil"/>
              <w:bottom w:val="nil"/>
              <w:right w:val="nil"/>
            </w:tcBorders>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65 028</w:t>
            </w:r>
          </w:p>
        </w:tc>
        <w:tc>
          <w:tcPr>
            <w:tcW w:w="1275" w:type="dxa"/>
            <w:tcBorders>
              <w:top w:val="nil"/>
              <w:left w:val="nil"/>
              <w:bottom w:val="nil"/>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rPr>
              <w:t>61 413</w:t>
            </w:r>
          </w:p>
        </w:tc>
      </w:tr>
      <w:tr>
        <w:tblPrEx>
          <w:tblW w:w="0" w:type="auto"/>
          <w:tblInd w:w="55" w:type="dxa"/>
          <w:tblCellMar>
            <w:left w:w="70" w:type="dxa"/>
            <w:right w:w="70" w:type="dxa"/>
          </w:tblCellMar>
          <w:tblLook w:val="04A0"/>
        </w:tblPrEx>
        <w:trPr>
          <w:trHeight w:val="300"/>
        </w:trPr>
        <w:tc>
          <w:tcPr>
            <w:tcW w:w="4410" w:type="dxa"/>
            <w:tcBorders>
              <w:top w:val="nil"/>
              <w:left w:val="nil"/>
              <w:bottom w:val="single" w:sz="4" w:space="0" w:color="auto"/>
              <w:right w:val="nil"/>
            </w:tcBorders>
            <w:noWrap/>
            <w:textDirection w:val="lrTb"/>
            <w:vAlign w:val="center"/>
            <w:hideMark/>
          </w:tcPr>
          <w:p w:rsidR="00FD5465" w:rsidRPr="005F6874" w:rsidP="00CC5988">
            <w:pPr>
              <w:bidi w:val="0"/>
              <w:spacing w:after="0" w:line="240" w:lineRule="auto"/>
              <w:jc w:val="left"/>
              <w:rPr>
                <w:rFonts w:ascii="Times New Roman" w:hAnsi="Times New Roman"/>
                <w:i/>
                <w:sz w:val="18"/>
                <w:szCs w:val="18"/>
                <w:lang w:eastAsia="sk-SK"/>
              </w:rPr>
            </w:pPr>
            <w:r w:rsidRPr="005F6874">
              <w:rPr>
                <w:rFonts w:ascii="Times New Roman" w:hAnsi="Times New Roman"/>
                <w:i/>
                <w:sz w:val="18"/>
                <w:szCs w:val="18"/>
                <w:lang w:eastAsia="sk-SK"/>
              </w:rPr>
              <w:t xml:space="preserve">   poplatky </w:t>
            </w:r>
          </w:p>
        </w:tc>
        <w:tc>
          <w:tcPr>
            <w:tcW w:w="1418" w:type="dxa"/>
            <w:tcBorders>
              <w:top w:val="nil"/>
              <w:left w:val="nil"/>
              <w:bottom w:val="single" w:sz="4" w:space="0" w:color="auto"/>
              <w:right w:val="nil"/>
            </w:tcBorders>
            <w:noWrap/>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4 468</w:t>
            </w:r>
          </w:p>
        </w:tc>
        <w:tc>
          <w:tcPr>
            <w:tcW w:w="1628" w:type="dxa"/>
            <w:tcBorders>
              <w:top w:val="nil"/>
              <w:left w:val="nil"/>
              <w:bottom w:val="single" w:sz="4" w:space="0" w:color="auto"/>
              <w:right w:val="nil"/>
            </w:tcBorders>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lang w:eastAsia="sk-SK"/>
              </w:rPr>
              <w:t>5 478</w:t>
            </w:r>
          </w:p>
        </w:tc>
        <w:tc>
          <w:tcPr>
            <w:tcW w:w="1275" w:type="dxa"/>
            <w:tcBorders>
              <w:top w:val="nil"/>
              <w:left w:val="nil"/>
              <w:bottom w:val="single" w:sz="4" w:space="0" w:color="auto"/>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i/>
                <w:sz w:val="18"/>
                <w:szCs w:val="18"/>
                <w:lang w:eastAsia="sk-SK"/>
              </w:rPr>
            </w:pPr>
            <w:r w:rsidRPr="005F6874">
              <w:rPr>
                <w:rFonts w:ascii="Times New Roman" w:hAnsi="Times New Roman"/>
                <w:i/>
                <w:sz w:val="18"/>
                <w:szCs w:val="18"/>
              </w:rPr>
              <w:t>8 851</w:t>
            </w:r>
          </w:p>
        </w:tc>
      </w:tr>
      <w:tr>
        <w:tblPrEx>
          <w:tblW w:w="0" w:type="auto"/>
          <w:tblInd w:w="55" w:type="dxa"/>
          <w:tblCellMar>
            <w:left w:w="70" w:type="dxa"/>
            <w:right w:w="70" w:type="dxa"/>
          </w:tblCellMar>
          <w:tblLook w:val="04A0"/>
        </w:tblPrEx>
        <w:trPr>
          <w:trHeight w:val="300"/>
        </w:trPr>
        <w:tc>
          <w:tcPr>
            <w:tcW w:w="4410" w:type="dxa"/>
            <w:tcBorders>
              <w:top w:val="single" w:sz="4" w:space="0" w:color="auto"/>
              <w:left w:val="nil"/>
              <w:bottom w:val="single" w:sz="8" w:space="0" w:color="auto"/>
              <w:right w:val="nil"/>
            </w:tcBorders>
            <w:noWrap/>
            <w:textDirection w:val="lrTb"/>
            <w:vAlign w:val="center"/>
            <w:hideMark/>
          </w:tcPr>
          <w:p w:rsidR="00FD5465" w:rsidRPr="005F6874" w:rsidP="00CC5988">
            <w:pPr>
              <w:bidi w:val="0"/>
              <w:spacing w:after="0" w:line="240" w:lineRule="auto"/>
              <w:jc w:val="left"/>
              <w:rPr>
                <w:rFonts w:ascii="Times New Roman" w:hAnsi="Times New Roman"/>
                <w:b/>
                <w:sz w:val="18"/>
                <w:szCs w:val="18"/>
                <w:lang w:eastAsia="sk-SK"/>
              </w:rPr>
            </w:pPr>
            <w:r w:rsidRPr="005F6874">
              <w:rPr>
                <w:rFonts w:ascii="Times New Roman" w:hAnsi="Times New Roman"/>
                <w:b/>
                <w:sz w:val="18"/>
                <w:szCs w:val="18"/>
                <w:lang w:eastAsia="sk-SK"/>
              </w:rPr>
              <w:t>Spolu saldo</w:t>
            </w:r>
          </w:p>
        </w:tc>
        <w:tc>
          <w:tcPr>
            <w:tcW w:w="1418" w:type="dxa"/>
            <w:tcBorders>
              <w:top w:val="single" w:sz="4" w:space="0" w:color="auto"/>
              <w:left w:val="nil"/>
              <w:bottom w:val="single" w:sz="8" w:space="0" w:color="auto"/>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1 159 664</w:t>
            </w:r>
          </w:p>
        </w:tc>
        <w:tc>
          <w:tcPr>
            <w:tcW w:w="1628" w:type="dxa"/>
            <w:tcBorders>
              <w:top w:val="single" w:sz="4" w:space="0" w:color="auto"/>
              <w:left w:val="nil"/>
              <w:bottom w:val="single" w:sz="8" w:space="0" w:color="auto"/>
              <w:right w:val="nil"/>
            </w:tcBorders>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lang w:eastAsia="sk-SK"/>
              </w:rPr>
              <w:t>1 174 727</w:t>
            </w:r>
          </w:p>
        </w:tc>
        <w:tc>
          <w:tcPr>
            <w:tcW w:w="1275" w:type="dxa"/>
            <w:tcBorders>
              <w:top w:val="single" w:sz="4" w:space="0" w:color="auto"/>
              <w:left w:val="nil"/>
              <w:bottom w:val="single" w:sz="8" w:space="0" w:color="auto"/>
              <w:right w:val="nil"/>
            </w:tcBorders>
            <w:shd w:val="clear" w:color="000000" w:fill="BFBFBF"/>
            <w:textDirection w:val="lrTb"/>
            <w:vAlign w:val="center"/>
            <w:hideMark/>
          </w:tcPr>
          <w:p w:rsidR="00FD5465" w:rsidRPr="005F6874" w:rsidP="00CC5988">
            <w:pPr>
              <w:bidi w:val="0"/>
              <w:spacing w:after="0" w:line="240" w:lineRule="auto"/>
              <w:jc w:val="right"/>
              <w:rPr>
                <w:rFonts w:ascii="Times New Roman" w:hAnsi="Times New Roman"/>
                <w:b/>
                <w:sz w:val="18"/>
                <w:szCs w:val="18"/>
                <w:lang w:eastAsia="sk-SK"/>
              </w:rPr>
            </w:pPr>
            <w:r w:rsidRPr="005F6874">
              <w:rPr>
                <w:rFonts w:ascii="Times New Roman" w:hAnsi="Times New Roman"/>
                <w:b/>
                <w:sz w:val="18"/>
                <w:szCs w:val="18"/>
              </w:rPr>
              <w:t>1 166 299</w:t>
            </w:r>
          </w:p>
        </w:tc>
      </w:tr>
    </w:tbl>
    <w:p w:rsidR="00FD5465" w:rsidRPr="002A44A4" w:rsidP="00FD5465">
      <w:pPr>
        <w:bidi w:val="0"/>
        <w:jc w:val="right"/>
        <w:rPr>
          <w:rFonts w:ascii="Times New Roman" w:hAnsi="Times New Roman"/>
          <w:sz w:val="18"/>
          <w:szCs w:val="18"/>
        </w:rPr>
      </w:pPr>
      <w:r w:rsidRPr="002A44A4">
        <w:rPr>
          <w:rFonts w:ascii="Times New Roman" w:hAnsi="Times New Roman"/>
          <w:sz w:val="18"/>
          <w:szCs w:val="18"/>
        </w:rPr>
        <w:t>Zdroj: MF SR</w:t>
      </w:r>
    </w:p>
    <w:p w:rsidR="00FD5465" w:rsidRPr="00341DEC" w:rsidP="00FD5465">
      <w:pPr>
        <w:shd w:val="clear" w:color="auto" w:fill="FFFFFF"/>
        <w:bidi w:val="0"/>
        <w:rPr>
          <w:rFonts w:ascii="Times New Roman" w:hAnsi="Times New Roman"/>
        </w:rPr>
      </w:pPr>
      <w:r w:rsidRPr="003A5A4B">
        <w:rPr>
          <w:rFonts w:ascii="Times New Roman" w:hAnsi="Times New Roman"/>
          <w:shd w:val="clear" w:color="auto" w:fill="FFFFFF"/>
        </w:rPr>
        <w:t>V hotovostnom rozpočte štátneho dlhu v roku 2017 sa podarilo ušetriť 143 480 tis. eur. Pozitívnym vplyvom bolo zotrvávanie úrokových sadzieb na nízkych úrovniach. Významn</w:t>
      </w:r>
      <w:r>
        <w:rPr>
          <w:rFonts w:ascii="Times New Roman" w:hAnsi="Times New Roman"/>
          <w:shd w:val="clear" w:color="auto" w:fill="FFFFFF"/>
        </w:rPr>
        <w:t>ým faktorom boli aj</w:t>
      </w:r>
      <w:r w:rsidRPr="003A5A4B">
        <w:rPr>
          <w:rFonts w:ascii="Times New Roman" w:hAnsi="Times New Roman"/>
          <w:shd w:val="clear" w:color="auto" w:fill="FFFFFF"/>
        </w:rPr>
        <w:t xml:space="preserve"> nákupy slovenských štátnych dlhopisov zo strany ECB (NBS) v rámci kvantitatívne</w:t>
      </w:r>
      <w:r w:rsidR="00A7152F">
        <w:rPr>
          <w:rFonts w:ascii="Times New Roman" w:hAnsi="Times New Roman"/>
          <w:shd w:val="clear" w:color="auto" w:fill="FFFFFF"/>
        </w:rPr>
        <w:t>ho uvoľňovania (program PSPP – T</w:t>
      </w:r>
      <w:r w:rsidRPr="003A5A4B">
        <w:rPr>
          <w:rFonts w:ascii="Times New Roman" w:hAnsi="Times New Roman"/>
          <w:shd w:val="clear" w:color="auto" w:fill="FFFFFF"/>
        </w:rPr>
        <w:t>he </w:t>
      </w:r>
      <w:r w:rsidR="00A7152F">
        <w:rPr>
          <w:rFonts w:ascii="Times New Roman" w:hAnsi="Times New Roman"/>
          <w:shd w:val="clear" w:color="auto" w:fill="FFFFFF"/>
        </w:rPr>
        <w:t>P</w:t>
      </w:r>
      <w:r w:rsidRPr="003A5A4B">
        <w:rPr>
          <w:rFonts w:ascii="Times New Roman" w:hAnsi="Times New Roman"/>
          <w:shd w:val="clear" w:color="auto" w:fill="FFFFFF"/>
        </w:rPr>
        <w:t xml:space="preserve">ublic </w:t>
      </w:r>
      <w:r w:rsidR="00A7152F">
        <w:rPr>
          <w:rFonts w:ascii="Times New Roman" w:hAnsi="Times New Roman"/>
          <w:shd w:val="clear" w:color="auto" w:fill="FFFFFF"/>
        </w:rPr>
        <w:t>Sector P</w:t>
      </w:r>
      <w:r w:rsidRPr="003A5A4B">
        <w:rPr>
          <w:rFonts w:ascii="Times New Roman" w:hAnsi="Times New Roman"/>
          <w:shd w:val="clear" w:color="auto" w:fill="FFFFFF"/>
        </w:rPr>
        <w:t xml:space="preserve">urchase </w:t>
      </w:r>
      <w:r w:rsidR="00A7152F">
        <w:rPr>
          <w:rFonts w:ascii="Times New Roman" w:hAnsi="Times New Roman"/>
          <w:shd w:val="clear" w:color="auto" w:fill="FFFFFF"/>
        </w:rPr>
        <w:t>P</w:t>
      </w:r>
      <w:r w:rsidRPr="003A5A4B">
        <w:rPr>
          <w:rFonts w:ascii="Times New Roman" w:hAnsi="Times New Roman"/>
          <w:shd w:val="clear" w:color="auto" w:fill="FFFFFF"/>
        </w:rPr>
        <w:t>rogramme) a špekulácie o jeho možnom postupnom ukončovaní. Pokles úrokových sadzieb v situácii, kedy sa predávajú dlhopisy s vysokými úrokovými sadzbami kupónov v porovnaní s výnosom do splatnosti, spôsobil vysoké prijaté prémie a teda zodpovedajúce úspory na nákladoch dlhu. Vývoj úrokových sadzieb na finančných trhoch a aktívna správa portfólia sa prejavili v poklese priemernej váženej ú</w:t>
      </w:r>
      <w:r w:rsidR="001A246E">
        <w:rPr>
          <w:rFonts w:ascii="Times New Roman" w:hAnsi="Times New Roman"/>
          <w:shd w:val="clear" w:color="auto" w:fill="FFFFFF"/>
        </w:rPr>
        <w:t>rokovej sadzby záväzkov štátu z </w:t>
      </w:r>
      <w:r w:rsidRPr="003A5A4B">
        <w:rPr>
          <w:rFonts w:ascii="Times New Roman" w:hAnsi="Times New Roman"/>
          <w:shd w:val="clear" w:color="auto" w:fill="FFFFFF"/>
        </w:rPr>
        <w:t>úrovne 2,58 % p. a. v roku 2016 na úroveň 2,31 % p. a. na konci roka 2017. Na správu Štátneho</w:t>
      </w:r>
      <w:r w:rsidRPr="00AD13E4">
        <w:rPr>
          <w:rFonts w:ascii="Times New Roman" w:hAnsi="Times New Roman"/>
        </w:rPr>
        <w:t xml:space="preserve"> </w:t>
      </w:r>
      <w:r w:rsidR="00B7758B">
        <w:rPr>
          <w:rFonts w:ascii="Times New Roman" w:hAnsi="Times New Roman"/>
        </w:rPr>
        <w:t xml:space="preserve">dlhu </w:t>
      </w:r>
      <w:r w:rsidRPr="003A5A4B">
        <w:rPr>
          <w:rFonts w:ascii="Times New Roman" w:hAnsi="Times New Roman"/>
        </w:rPr>
        <w:t>výrazne vplýval aj vývoj štátneho rozpočtu v priebehu roka. Zákonom bol schválený hotovostný deficit na rok 2017 v hodnote 1 993 219 tis. eur, v skutočnosti dosiahol k </w:t>
      </w:r>
      <w:smartTag w:uri="urn:schemas-microsoft-com:office:smarttags" w:element="date">
        <w:smartTagPr>
          <w:attr w:name="Day" w:val="31"/>
          <w:attr w:name="Month" w:val="12"/>
          <w:attr w:name="Year" w:val="2017"/>
          <w:attr w:name="ls" w:val="trans"/>
        </w:smartTagPr>
        <w:r w:rsidRPr="003A5A4B">
          <w:rPr>
            <w:rFonts w:ascii="Times New Roman" w:hAnsi="Times New Roman"/>
          </w:rPr>
          <w:t>31.12.2017</w:t>
        </w:r>
      </w:smartTag>
      <w:r w:rsidRPr="003A5A4B">
        <w:rPr>
          <w:rFonts w:ascii="Times New Roman" w:hAnsi="Times New Roman"/>
        </w:rPr>
        <w:t xml:space="preserve"> hodnotu 1 220 132 tis. eur, t. j. 61,2 % schváleného rozpočtového deficitu pre rok 2017. Priaznivý vplyv na vývoj výdavkov</w:t>
      </w:r>
      <w:r w:rsidR="00B7758B">
        <w:rPr>
          <w:rFonts w:ascii="Times New Roman" w:hAnsi="Times New Roman"/>
        </w:rPr>
        <w:t xml:space="preserve"> </w:t>
      </w:r>
      <w:r w:rsidRPr="003A5A4B">
        <w:rPr>
          <w:rFonts w:ascii="Times New Roman" w:hAnsi="Times New Roman"/>
        </w:rPr>
        <w:t>mal aj fungujúci systém Štátnej pokladnice, ktorý zabezpečil okrem centralizácie finančných zdrojov verejného sektora aj zlepšenú pozíciu štátu voči medzibankovému trhu.</w:t>
      </w:r>
    </w:p>
    <w:p w:rsidR="00285DB8" w:rsidRPr="00A056F5" w:rsidP="003E2C97">
      <w:pPr>
        <w:pStyle w:val="Heading4"/>
        <w:numPr>
          <w:ilvl w:val="0"/>
          <w:numId w:val="0"/>
        </w:numPr>
        <w:bidi w:val="0"/>
        <w:ind w:left="864" w:firstLine="0"/>
      </w:pPr>
      <w:bookmarkStart w:id="55" w:name="_Toc512599674"/>
      <w:r w:rsidR="003E2C97">
        <w:t xml:space="preserve">3.2.1.2  </w:t>
      </w:r>
      <w:r w:rsidRPr="00A056F5" w:rsidR="00F3566B">
        <w:rPr>
          <w:rFonts w:hint="default"/>
        </w:rPr>
        <w:t>Kapitá</w:t>
      </w:r>
      <w:r w:rsidRPr="00A056F5" w:rsidR="00F3566B">
        <w:rPr>
          <w:rFonts w:hint="default"/>
        </w:rPr>
        <w:t>lové</w:t>
      </w:r>
      <w:r w:rsidRPr="00A056F5" w:rsidR="00F3566B">
        <w:rPr>
          <w:rFonts w:hint="default"/>
        </w:rPr>
        <w:t xml:space="preserve"> vý</w:t>
      </w:r>
      <w:r w:rsidRPr="00A056F5" w:rsidR="00F3566B">
        <w:rPr>
          <w:rFonts w:hint="default"/>
        </w:rPr>
        <w:t>davky</w:t>
      </w:r>
      <w:bookmarkEnd w:id="55"/>
    </w:p>
    <w:p w:rsidR="00A63BF5" w:rsidP="00A63BF5">
      <w:pPr>
        <w:bidi w:val="0"/>
        <w:rPr>
          <w:rFonts w:ascii="Times New Roman" w:hAnsi="Times New Roman"/>
          <w:szCs w:val="22"/>
        </w:rPr>
      </w:pPr>
      <w:r w:rsidRPr="00A339AF">
        <w:rPr>
          <w:rFonts w:ascii="Times New Roman" w:hAnsi="Times New Roman"/>
          <w:szCs w:val="22"/>
        </w:rPr>
        <w:t xml:space="preserve">Kapitálové výdavky zahrňujú </w:t>
      </w:r>
      <w:r w:rsidRPr="00B941AE">
        <w:rPr>
          <w:rFonts w:ascii="Times New Roman" w:hAnsi="Times New Roman"/>
          <w:i/>
          <w:szCs w:val="22"/>
        </w:rPr>
        <w:t>výdavky</w:t>
      </w:r>
      <w:r w:rsidRPr="00A339AF">
        <w:rPr>
          <w:rFonts w:ascii="Times New Roman" w:hAnsi="Times New Roman"/>
          <w:szCs w:val="22"/>
        </w:rPr>
        <w:t xml:space="preserve"> na obstaranie hmotného a</w:t>
      </w:r>
      <w:r w:rsidRPr="00A339AF" w:rsidR="001B6AA7">
        <w:rPr>
          <w:rFonts w:ascii="Times New Roman" w:hAnsi="Times New Roman"/>
          <w:szCs w:val="22"/>
        </w:rPr>
        <w:t xml:space="preserve"> </w:t>
      </w:r>
      <w:r w:rsidRPr="00A339AF">
        <w:rPr>
          <w:rFonts w:ascii="Times New Roman" w:hAnsi="Times New Roman"/>
          <w:szCs w:val="22"/>
        </w:rPr>
        <w:t>nehmotného majetku, vrátane výdavkov súvisiacich s obstaraním tohto majetku (napr. montážne práce, dopravné)</w:t>
      </w:r>
      <w:r w:rsidR="00B941AE">
        <w:rPr>
          <w:rFonts w:ascii="Times New Roman" w:hAnsi="Times New Roman"/>
          <w:szCs w:val="22"/>
        </w:rPr>
        <w:t xml:space="preserve"> a </w:t>
      </w:r>
      <w:r w:rsidR="00B941AE">
        <w:rPr>
          <w:rFonts w:ascii="Times New Roman" w:hAnsi="Times New Roman"/>
          <w:i/>
          <w:szCs w:val="22"/>
        </w:rPr>
        <w:t>transfery,</w:t>
      </w:r>
      <w:r w:rsidR="00B941AE">
        <w:rPr>
          <w:rFonts w:ascii="Times New Roman" w:hAnsi="Times New Roman"/>
          <w:szCs w:val="22"/>
        </w:rPr>
        <w:t xml:space="preserve"> teda platby vykonané s cieľom umožniť príjemcovi nadobudnúť kapitálové aktíva alebo kompenzovať ich poškodenie alebo zničenie. </w:t>
      </w:r>
      <w:r w:rsidRPr="00A339AF">
        <w:rPr>
          <w:rFonts w:ascii="Times New Roman" w:hAnsi="Times New Roman"/>
          <w:szCs w:val="22"/>
        </w:rPr>
        <w:t>Rozpočet kapitálových výdavkov na rok 201</w:t>
      </w:r>
      <w:r w:rsidRPr="00A339AF" w:rsidR="00A339AF">
        <w:rPr>
          <w:rFonts w:ascii="Times New Roman" w:hAnsi="Times New Roman"/>
          <w:szCs w:val="22"/>
        </w:rPr>
        <w:t>7</w:t>
      </w:r>
      <w:r w:rsidRPr="00A339AF">
        <w:rPr>
          <w:rFonts w:ascii="Times New Roman" w:hAnsi="Times New Roman"/>
          <w:szCs w:val="22"/>
        </w:rPr>
        <w:t xml:space="preserve"> predstavoval sumu </w:t>
      </w:r>
      <w:r w:rsidR="00A339AF">
        <w:rPr>
          <w:rFonts w:ascii="Times New Roman" w:hAnsi="Times New Roman"/>
          <w:szCs w:val="22"/>
        </w:rPr>
        <w:t>2</w:t>
      </w:r>
      <w:r w:rsidRPr="00A339AF" w:rsidR="00B538EC">
        <w:rPr>
          <w:rFonts w:ascii="Times New Roman" w:hAnsi="Times New Roman"/>
          <w:szCs w:val="22"/>
        </w:rPr>
        <w:t> </w:t>
      </w:r>
      <w:r w:rsidR="00A339AF">
        <w:rPr>
          <w:rFonts w:ascii="Times New Roman" w:hAnsi="Times New Roman"/>
          <w:szCs w:val="22"/>
        </w:rPr>
        <w:t>739</w:t>
      </w:r>
      <w:r w:rsidRPr="00A339AF" w:rsidR="00B538EC">
        <w:rPr>
          <w:rFonts w:ascii="Times New Roman" w:hAnsi="Times New Roman"/>
          <w:szCs w:val="22"/>
        </w:rPr>
        <w:t> </w:t>
      </w:r>
      <w:r w:rsidR="0047719C">
        <w:rPr>
          <w:rFonts w:ascii="Times New Roman" w:hAnsi="Times New Roman"/>
          <w:szCs w:val="22"/>
        </w:rPr>
        <w:t>019</w:t>
      </w:r>
      <w:r w:rsidRPr="00A339AF" w:rsidR="00B538EC">
        <w:rPr>
          <w:rFonts w:ascii="Times New Roman" w:hAnsi="Times New Roman"/>
          <w:szCs w:val="22"/>
        </w:rPr>
        <w:t> </w:t>
      </w:r>
      <w:r w:rsidRPr="00A339AF">
        <w:rPr>
          <w:rFonts w:ascii="Times New Roman" w:hAnsi="Times New Roman"/>
          <w:szCs w:val="22"/>
        </w:rPr>
        <w:t>tis.</w:t>
      </w:r>
      <w:r w:rsidRPr="00A339AF" w:rsidR="00B538EC">
        <w:rPr>
          <w:rFonts w:ascii="Times New Roman" w:hAnsi="Times New Roman"/>
          <w:szCs w:val="22"/>
        </w:rPr>
        <w:t> </w:t>
      </w:r>
      <w:r w:rsidRPr="00A339AF">
        <w:rPr>
          <w:rFonts w:ascii="Times New Roman" w:hAnsi="Times New Roman"/>
          <w:szCs w:val="22"/>
        </w:rPr>
        <w:t xml:space="preserve">eur, ktorá sa rozpočtovými opatreniami </w:t>
      </w:r>
      <w:r w:rsidR="0047719C">
        <w:rPr>
          <w:rFonts w:ascii="Times New Roman" w:hAnsi="Times New Roman"/>
          <w:szCs w:val="22"/>
        </w:rPr>
        <w:t xml:space="preserve">znížila </w:t>
      </w:r>
      <w:r w:rsidRPr="00A339AF">
        <w:rPr>
          <w:rFonts w:ascii="Times New Roman" w:hAnsi="Times New Roman"/>
          <w:szCs w:val="22"/>
        </w:rPr>
        <w:t xml:space="preserve">na </w:t>
      </w:r>
      <w:r w:rsidR="0047719C">
        <w:rPr>
          <w:rFonts w:ascii="Times New Roman" w:hAnsi="Times New Roman"/>
          <w:szCs w:val="22"/>
        </w:rPr>
        <w:t>1</w:t>
      </w:r>
      <w:r w:rsidRPr="00A339AF">
        <w:rPr>
          <w:rFonts w:ascii="Times New Roman" w:hAnsi="Times New Roman"/>
          <w:szCs w:val="22"/>
        </w:rPr>
        <w:t> </w:t>
      </w:r>
      <w:r w:rsidR="0047719C">
        <w:rPr>
          <w:rFonts w:ascii="Times New Roman" w:hAnsi="Times New Roman"/>
          <w:szCs w:val="22"/>
        </w:rPr>
        <w:t>5</w:t>
      </w:r>
      <w:r w:rsidRPr="00A339AF" w:rsidR="00B538EC">
        <w:rPr>
          <w:rFonts w:ascii="Times New Roman" w:hAnsi="Times New Roman"/>
          <w:szCs w:val="22"/>
        </w:rPr>
        <w:t>55</w:t>
      </w:r>
      <w:r w:rsidR="00B941AE">
        <w:rPr>
          <w:rFonts w:ascii="Times New Roman" w:hAnsi="Times New Roman"/>
          <w:szCs w:val="22"/>
        </w:rPr>
        <w:t> </w:t>
      </w:r>
      <w:r w:rsidR="0047719C">
        <w:rPr>
          <w:rFonts w:ascii="Times New Roman" w:hAnsi="Times New Roman"/>
          <w:szCs w:val="22"/>
        </w:rPr>
        <w:t>713</w:t>
      </w:r>
      <w:r w:rsidR="00B941AE">
        <w:rPr>
          <w:rFonts w:ascii="Times New Roman" w:hAnsi="Times New Roman"/>
          <w:szCs w:val="22"/>
        </w:rPr>
        <w:t> tis. </w:t>
      </w:r>
      <w:r w:rsidRPr="00A339AF">
        <w:rPr>
          <w:rFonts w:ascii="Times New Roman" w:hAnsi="Times New Roman"/>
          <w:szCs w:val="22"/>
        </w:rPr>
        <w:t xml:space="preserve">eur. V skutočnosti sa čerpalo </w:t>
      </w:r>
      <w:r w:rsidRPr="00A339AF" w:rsidR="00B538EC">
        <w:rPr>
          <w:rFonts w:ascii="Times New Roman" w:hAnsi="Times New Roman"/>
          <w:szCs w:val="22"/>
        </w:rPr>
        <w:t>1</w:t>
      </w:r>
      <w:r w:rsidRPr="00A339AF">
        <w:rPr>
          <w:rFonts w:ascii="Times New Roman" w:hAnsi="Times New Roman"/>
          <w:szCs w:val="22"/>
        </w:rPr>
        <w:t> </w:t>
      </w:r>
      <w:r w:rsidR="0047719C">
        <w:rPr>
          <w:rFonts w:ascii="Times New Roman" w:hAnsi="Times New Roman"/>
          <w:szCs w:val="22"/>
        </w:rPr>
        <w:t>552</w:t>
      </w:r>
      <w:r w:rsidRPr="00A339AF" w:rsidR="00B538EC">
        <w:rPr>
          <w:rFonts w:ascii="Times New Roman" w:hAnsi="Times New Roman"/>
          <w:szCs w:val="22"/>
        </w:rPr>
        <w:t> </w:t>
      </w:r>
      <w:r w:rsidR="0047719C">
        <w:rPr>
          <w:rFonts w:ascii="Times New Roman" w:hAnsi="Times New Roman"/>
          <w:szCs w:val="22"/>
        </w:rPr>
        <w:t>793</w:t>
      </w:r>
      <w:r w:rsidRPr="00A339AF" w:rsidR="00B538EC">
        <w:rPr>
          <w:rFonts w:ascii="Times New Roman" w:hAnsi="Times New Roman"/>
          <w:szCs w:val="22"/>
        </w:rPr>
        <w:t> </w:t>
      </w:r>
      <w:r w:rsidRPr="00A339AF">
        <w:rPr>
          <w:rFonts w:ascii="Times New Roman" w:hAnsi="Times New Roman"/>
          <w:szCs w:val="22"/>
        </w:rPr>
        <w:t>tis.</w:t>
      </w:r>
      <w:r w:rsidRPr="00A339AF" w:rsidR="001F6987">
        <w:rPr>
          <w:rFonts w:ascii="Times New Roman" w:hAnsi="Times New Roman"/>
          <w:szCs w:val="22"/>
        </w:rPr>
        <w:t> </w:t>
      </w:r>
      <w:r w:rsidRPr="00A339AF">
        <w:rPr>
          <w:rFonts w:ascii="Times New Roman" w:hAnsi="Times New Roman"/>
          <w:szCs w:val="22"/>
        </w:rPr>
        <w:t>eur (201</w:t>
      </w:r>
      <w:r w:rsidR="0047719C">
        <w:rPr>
          <w:rFonts w:ascii="Times New Roman" w:hAnsi="Times New Roman"/>
          <w:szCs w:val="22"/>
        </w:rPr>
        <w:t>6</w:t>
      </w:r>
      <w:r w:rsidRPr="00A339AF" w:rsidR="001B6AA7">
        <w:rPr>
          <w:rFonts w:ascii="Times New Roman" w:hAnsi="Times New Roman"/>
          <w:szCs w:val="22"/>
        </w:rPr>
        <w:t>: </w:t>
      </w:r>
      <w:r w:rsidR="0047719C">
        <w:rPr>
          <w:rFonts w:ascii="Times New Roman" w:hAnsi="Times New Roman"/>
          <w:szCs w:val="22"/>
        </w:rPr>
        <w:t>1</w:t>
      </w:r>
      <w:r w:rsidRPr="00A339AF" w:rsidR="00B538EC">
        <w:rPr>
          <w:rFonts w:ascii="Times New Roman" w:hAnsi="Times New Roman"/>
          <w:szCs w:val="22"/>
        </w:rPr>
        <w:t> </w:t>
      </w:r>
      <w:r w:rsidR="0047719C">
        <w:rPr>
          <w:rFonts w:ascii="Times New Roman" w:hAnsi="Times New Roman"/>
          <w:szCs w:val="22"/>
        </w:rPr>
        <w:t>902</w:t>
      </w:r>
      <w:r w:rsidRPr="00A339AF" w:rsidR="00B538EC">
        <w:rPr>
          <w:rFonts w:ascii="Times New Roman" w:hAnsi="Times New Roman"/>
          <w:szCs w:val="22"/>
        </w:rPr>
        <w:t> </w:t>
      </w:r>
      <w:r w:rsidR="0047719C">
        <w:rPr>
          <w:rFonts w:ascii="Times New Roman" w:hAnsi="Times New Roman"/>
          <w:szCs w:val="22"/>
        </w:rPr>
        <w:t>256</w:t>
      </w:r>
      <w:r w:rsidRPr="00A339AF" w:rsidR="00B538EC">
        <w:rPr>
          <w:rFonts w:ascii="Times New Roman" w:hAnsi="Times New Roman"/>
          <w:szCs w:val="22"/>
        </w:rPr>
        <w:t> </w:t>
      </w:r>
      <w:r w:rsidRPr="00A339AF">
        <w:rPr>
          <w:rFonts w:ascii="Times New Roman" w:hAnsi="Times New Roman"/>
          <w:szCs w:val="22"/>
        </w:rPr>
        <w:t>tis.</w:t>
      </w:r>
      <w:r w:rsidRPr="00A339AF" w:rsidR="00B538EC">
        <w:rPr>
          <w:rFonts w:ascii="Times New Roman" w:hAnsi="Times New Roman"/>
          <w:szCs w:val="22"/>
        </w:rPr>
        <w:t> </w:t>
      </w:r>
      <w:r w:rsidRPr="00A339AF">
        <w:rPr>
          <w:rFonts w:ascii="Times New Roman" w:hAnsi="Times New Roman"/>
          <w:szCs w:val="22"/>
        </w:rPr>
        <w:t xml:space="preserve">eur). Podstatné zmeny v upravenom rozpočte vznikli v dôsledku realizácie </w:t>
      </w:r>
      <w:r w:rsidRPr="00A339AF" w:rsidR="00652926">
        <w:rPr>
          <w:rFonts w:ascii="Times New Roman" w:hAnsi="Times New Roman"/>
          <w:szCs w:val="22"/>
        </w:rPr>
        <w:t>§</w:t>
      </w:r>
      <w:r w:rsidRPr="00A339AF">
        <w:rPr>
          <w:rFonts w:ascii="Times New Roman" w:hAnsi="Times New Roman"/>
          <w:szCs w:val="22"/>
        </w:rPr>
        <w:t xml:space="preserve"> 8 zákona o rozpočtových pravidlách</w:t>
      </w:r>
      <w:r w:rsidRPr="00A339AF" w:rsidR="00652926">
        <w:rPr>
          <w:rFonts w:ascii="Times New Roman" w:hAnsi="Times New Roman"/>
          <w:szCs w:val="22"/>
        </w:rPr>
        <w:t>.</w:t>
      </w:r>
      <w:r w:rsidRPr="00A339AF">
        <w:rPr>
          <w:rFonts w:ascii="Times New Roman" w:hAnsi="Times New Roman"/>
          <w:szCs w:val="22"/>
        </w:rPr>
        <w:t xml:space="preserve"> V zmysle uvedeného paragrafu môže Ministerstvo financií SR na konci bežného rozpočtového roka viazať výdavky (znížiť upravený rozpočet) o nevyčerpané prostriedky, ktoré budú v nasleduj</w:t>
      </w:r>
      <w:r w:rsidRPr="00A339AF" w:rsidR="009F0FB2">
        <w:rPr>
          <w:rFonts w:ascii="Times New Roman" w:hAnsi="Times New Roman"/>
          <w:szCs w:val="22"/>
        </w:rPr>
        <w:t xml:space="preserve">úcom rozpočtovom roku použité a </w:t>
      </w:r>
      <w:r w:rsidRPr="00A339AF">
        <w:rPr>
          <w:rFonts w:ascii="Times New Roman" w:hAnsi="Times New Roman"/>
          <w:szCs w:val="22"/>
        </w:rPr>
        <w:t xml:space="preserve">týmto spôsobom navýšia upravený rozpočet nasledujúceho rozpočtového roka. </w:t>
      </w:r>
      <w:r w:rsidRPr="005E6C1C">
        <w:rPr>
          <w:rFonts w:ascii="Times New Roman" w:hAnsi="Times New Roman"/>
          <w:szCs w:val="22"/>
        </w:rPr>
        <w:t xml:space="preserve">O sumu viazaných prostriedkov Ministerstvo financií SR </w:t>
      </w:r>
      <w:r w:rsidRPr="00E331A1" w:rsidR="00292D0F">
        <w:rPr>
          <w:rFonts w:ascii="Times New Roman" w:hAnsi="Times New Roman"/>
          <w:szCs w:val="22"/>
        </w:rPr>
        <w:t xml:space="preserve">môže </w:t>
      </w:r>
      <w:r w:rsidRPr="005E6C1C">
        <w:rPr>
          <w:rFonts w:ascii="Times New Roman" w:hAnsi="Times New Roman"/>
          <w:szCs w:val="22"/>
        </w:rPr>
        <w:t>povol</w:t>
      </w:r>
      <w:r w:rsidRPr="00E26FE9" w:rsidR="00292D0F">
        <w:rPr>
          <w:rFonts w:ascii="Times New Roman" w:hAnsi="Times New Roman"/>
          <w:szCs w:val="22"/>
        </w:rPr>
        <w:t>iť</w:t>
      </w:r>
      <w:r w:rsidRPr="005E6C1C">
        <w:rPr>
          <w:rFonts w:ascii="Times New Roman" w:hAnsi="Times New Roman"/>
          <w:szCs w:val="22"/>
        </w:rPr>
        <w:t xml:space="preserve"> prekročenie limitu výdavkov v nasledujúcom rozpočtovom roku.</w:t>
      </w:r>
      <w:r w:rsidRPr="00A339AF">
        <w:rPr>
          <w:rFonts w:ascii="Times New Roman" w:hAnsi="Times New Roman"/>
          <w:szCs w:val="22"/>
        </w:rPr>
        <w:t xml:space="preserve"> </w:t>
      </w:r>
    </w:p>
    <w:p w:rsidR="004948B4" w:rsidP="00A63BF5">
      <w:pPr>
        <w:bidi w:val="0"/>
        <w:rPr>
          <w:rFonts w:ascii="Times New Roman" w:hAnsi="Times New Roman"/>
        </w:rPr>
      </w:pPr>
      <w:r>
        <w:rPr>
          <w:rFonts w:ascii="Times New Roman" w:hAnsi="Times New Roman"/>
        </w:rPr>
        <w:t>V</w:t>
      </w:r>
      <w:r w:rsidRPr="0053000D" w:rsidR="002711DD">
        <w:rPr>
          <w:rFonts w:ascii="Times New Roman" w:hAnsi="Times New Roman"/>
        </w:rPr>
        <w:t xml:space="preserve"> roku 2017 </w:t>
      </w:r>
      <w:r>
        <w:rPr>
          <w:rFonts w:ascii="Times New Roman" w:hAnsi="Times New Roman"/>
        </w:rPr>
        <w:t xml:space="preserve">sa spolu </w:t>
      </w:r>
      <w:r w:rsidRPr="0053000D" w:rsidR="002711DD">
        <w:rPr>
          <w:rFonts w:ascii="Times New Roman" w:hAnsi="Times New Roman"/>
        </w:rPr>
        <w:t>použili kapitálové výdavky rozpočtované pred rokom 2017 v</w:t>
      </w:r>
      <w:r w:rsidR="002711DD">
        <w:rPr>
          <w:rFonts w:ascii="Times New Roman" w:hAnsi="Times New Roman"/>
        </w:rPr>
        <w:t> </w:t>
      </w:r>
      <w:r w:rsidRPr="0053000D" w:rsidR="002711DD">
        <w:rPr>
          <w:rFonts w:ascii="Times New Roman" w:hAnsi="Times New Roman"/>
        </w:rPr>
        <w:t>sume</w:t>
      </w:r>
      <w:r w:rsidR="002711DD">
        <w:rPr>
          <w:rFonts w:ascii="Times New Roman" w:hAnsi="Times New Roman"/>
        </w:rPr>
        <w:t xml:space="preserve"> 346 </w:t>
      </w:r>
      <w:r w:rsidRPr="0053000D" w:rsidR="002711DD">
        <w:rPr>
          <w:rFonts w:ascii="Times New Roman" w:hAnsi="Times New Roman"/>
        </w:rPr>
        <w:t>11</w:t>
      </w:r>
      <w:r w:rsidR="002711DD">
        <w:rPr>
          <w:rFonts w:ascii="Times New Roman" w:hAnsi="Times New Roman"/>
        </w:rPr>
        <w:t>6 tis. eur</w:t>
      </w:r>
      <w:r w:rsidRPr="0053000D" w:rsidR="002711DD">
        <w:rPr>
          <w:rFonts w:ascii="Times New Roman" w:hAnsi="Times New Roman"/>
        </w:rPr>
        <w:t>.</w:t>
      </w:r>
      <w:r>
        <w:rPr>
          <w:rFonts w:ascii="Times New Roman" w:hAnsi="Times New Roman"/>
        </w:rPr>
        <w:t xml:space="preserve"> </w:t>
      </w:r>
      <w:r w:rsidRPr="0053000D">
        <w:rPr>
          <w:rFonts w:ascii="Times New Roman" w:hAnsi="Times New Roman"/>
        </w:rPr>
        <w:t>V roku 2017 sa zaviazali kapitálové výdavky rozpočtované v rokoch 2016 a 2017 v</w:t>
      </w:r>
      <w:r>
        <w:rPr>
          <w:rFonts w:ascii="Times New Roman" w:hAnsi="Times New Roman"/>
        </w:rPr>
        <w:t> </w:t>
      </w:r>
      <w:r w:rsidRPr="0053000D">
        <w:rPr>
          <w:rFonts w:ascii="Times New Roman" w:hAnsi="Times New Roman"/>
        </w:rPr>
        <w:t>sume</w:t>
      </w:r>
      <w:r>
        <w:rPr>
          <w:rFonts w:ascii="Times New Roman" w:hAnsi="Times New Roman"/>
        </w:rPr>
        <w:t xml:space="preserve"> </w:t>
      </w:r>
      <w:r w:rsidRPr="0053000D">
        <w:rPr>
          <w:rFonts w:ascii="Times New Roman" w:hAnsi="Times New Roman"/>
        </w:rPr>
        <w:t>1</w:t>
      </w:r>
      <w:r>
        <w:rPr>
          <w:rFonts w:ascii="Times New Roman" w:hAnsi="Times New Roman"/>
        </w:rPr>
        <w:t> </w:t>
      </w:r>
      <w:r w:rsidRPr="0053000D">
        <w:rPr>
          <w:rFonts w:ascii="Times New Roman" w:hAnsi="Times New Roman"/>
        </w:rPr>
        <w:t>090</w:t>
      </w:r>
      <w:r>
        <w:rPr>
          <w:rFonts w:ascii="Times New Roman" w:hAnsi="Times New Roman"/>
        </w:rPr>
        <w:t> </w:t>
      </w:r>
      <w:r w:rsidRPr="0053000D">
        <w:rPr>
          <w:rFonts w:ascii="Times New Roman" w:hAnsi="Times New Roman"/>
        </w:rPr>
        <w:t>603</w:t>
      </w:r>
      <w:r>
        <w:rPr>
          <w:rFonts w:ascii="Times New Roman" w:hAnsi="Times New Roman"/>
        </w:rPr>
        <w:t xml:space="preserve"> tis. eur. </w:t>
      </w:r>
      <w:r w:rsidRPr="0053000D">
        <w:rPr>
          <w:rFonts w:ascii="Times New Roman" w:hAnsi="Times New Roman"/>
        </w:rPr>
        <w:t>Saldo kapitálových výdavkov rozpočtovaných pred rokom 2017 a použitých v roku 2017 a výdavkov zaviazaných v roku 2017 podľa § 8 zákona č. 523/2004 Z.</w:t>
      </w:r>
      <w:r>
        <w:rPr>
          <w:rFonts w:ascii="Times New Roman" w:hAnsi="Times New Roman"/>
        </w:rPr>
        <w:t xml:space="preserve"> </w:t>
      </w:r>
      <w:r w:rsidRPr="0053000D">
        <w:rPr>
          <w:rFonts w:ascii="Times New Roman" w:hAnsi="Times New Roman"/>
        </w:rPr>
        <w:t>z. predstavuje</w:t>
      </w:r>
      <w:r>
        <w:rPr>
          <w:rFonts w:ascii="Times New Roman" w:hAnsi="Times New Roman"/>
        </w:rPr>
        <w:t xml:space="preserve"> hodnotu </w:t>
      </w:r>
      <w:r w:rsidRPr="0053000D">
        <w:rPr>
          <w:rFonts w:ascii="Times New Roman" w:hAnsi="Times New Roman"/>
        </w:rPr>
        <w:t>-744</w:t>
      </w:r>
      <w:r>
        <w:rPr>
          <w:rFonts w:ascii="Times New Roman" w:hAnsi="Times New Roman"/>
        </w:rPr>
        <w:t> </w:t>
      </w:r>
      <w:r w:rsidRPr="0053000D">
        <w:rPr>
          <w:rFonts w:ascii="Times New Roman" w:hAnsi="Times New Roman"/>
        </w:rPr>
        <w:t>487</w:t>
      </w:r>
      <w:r>
        <w:rPr>
          <w:rFonts w:ascii="Times New Roman" w:hAnsi="Times New Roman"/>
        </w:rPr>
        <w:t> tis. eur</w:t>
      </w:r>
      <w:r w:rsidRPr="0053000D">
        <w:rPr>
          <w:rFonts w:ascii="Times New Roman" w:hAnsi="Times New Roman"/>
        </w:rPr>
        <w:t>.</w:t>
      </w:r>
    </w:p>
    <w:p w:rsidR="00EB7A00">
      <w:pPr>
        <w:bidi w:val="0"/>
        <w:spacing w:after="200" w:line="276" w:lineRule="auto"/>
        <w:jc w:val="left"/>
        <w:rPr>
          <w:rFonts w:ascii="Times New Roman" w:hAnsi="Times New Roman"/>
          <w:szCs w:val="22"/>
        </w:rPr>
      </w:pPr>
      <w:r>
        <w:rPr>
          <w:rFonts w:ascii="Times New Roman" w:hAnsi="Times New Roman"/>
          <w:szCs w:val="22"/>
        </w:rPr>
        <w:br w:type="page"/>
      </w:r>
    </w:p>
    <w:p w:rsidR="00A63BF5" w:rsidP="00A63BF5">
      <w:pPr>
        <w:bidi w:val="0"/>
        <w:rPr>
          <w:rFonts w:ascii="Times New Roman" w:hAnsi="Times New Roman"/>
          <w:szCs w:val="22"/>
        </w:rPr>
      </w:pPr>
      <w:r w:rsidRPr="00C16FD0">
        <w:rPr>
          <w:rFonts w:ascii="Times New Roman" w:hAnsi="Times New Roman"/>
          <w:szCs w:val="22"/>
        </w:rPr>
        <w:t>Prehľad o kapitálových výdavkoch poskytuje nasledovná tabuľka:</w:t>
      </w:r>
    </w:p>
    <w:tbl>
      <w:tblPr>
        <w:tblStyle w:val="TableNormal"/>
        <w:tblW w:w="8995" w:type="dxa"/>
        <w:tblInd w:w="-72" w:type="dxa"/>
        <w:tblLayout w:type="fixed"/>
        <w:tblCellMar>
          <w:left w:w="70" w:type="dxa"/>
          <w:right w:w="70" w:type="dxa"/>
        </w:tblCellMar>
        <w:tblLook w:val="04A0"/>
      </w:tblPr>
      <w:tblGrid>
        <w:gridCol w:w="3415"/>
        <w:gridCol w:w="923"/>
        <w:gridCol w:w="923"/>
        <w:gridCol w:w="923"/>
        <w:gridCol w:w="1019"/>
        <w:gridCol w:w="961"/>
        <w:gridCol w:w="831"/>
      </w:tblGrid>
      <w:tr>
        <w:tblPrEx>
          <w:tblW w:w="8995" w:type="dxa"/>
          <w:tblInd w:w="-72" w:type="dxa"/>
          <w:tblLayout w:type="fixed"/>
          <w:tblCellMar>
            <w:left w:w="70" w:type="dxa"/>
            <w:right w:w="70" w:type="dxa"/>
          </w:tblCellMar>
          <w:tblLook w:val="04A0"/>
        </w:tblPrEx>
        <w:trPr>
          <w:trHeight w:val="299"/>
        </w:trPr>
        <w:tc>
          <w:tcPr>
            <w:tcW w:w="8995" w:type="dxa"/>
            <w:gridSpan w:val="7"/>
            <w:tcBorders>
              <w:top w:val="nil"/>
              <w:left w:val="single" w:sz="8" w:space="0" w:color="auto"/>
              <w:bottom w:val="nil"/>
              <w:right w:val="nil"/>
            </w:tcBorders>
            <w:shd w:val="clear" w:color="000000" w:fill="000000"/>
            <w:textDirection w:val="lrTb"/>
            <w:vAlign w:val="center"/>
            <w:hideMark/>
          </w:tcPr>
          <w:p w:rsidR="009D60C1" w:rsidRPr="009D60C1" w:rsidP="009D60C1">
            <w:pPr>
              <w:bidi w:val="0"/>
              <w:spacing w:after="0" w:line="240" w:lineRule="auto"/>
              <w:rPr>
                <w:rFonts w:ascii="Times New Roman" w:hAnsi="Times New Roman"/>
                <w:b/>
                <w:bCs/>
                <w:color w:val="FFFFFF"/>
                <w:sz w:val="18"/>
                <w:szCs w:val="18"/>
                <w:lang w:eastAsia="sk-SK"/>
              </w:rPr>
            </w:pPr>
            <w:r w:rsidRPr="009D60C1">
              <w:rPr>
                <w:rFonts w:ascii="Times New Roman" w:hAnsi="Times New Roman"/>
                <w:b/>
                <w:bCs/>
                <w:color w:val="FFFFFF"/>
                <w:sz w:val="18"/>
                <w:szCs w:val="18"/>
                <w:lang w:eastAsia="sk-SK"/>
              </w:rPr>
              <w:t xml:space="preserve">Kapitálové výdavky v základnej ekonomickej štruktúre                                                           </w:t>
            </w:r>
            <w:r w:rsidR="00E331A1">
              <w:rPr>
                <w:rFonts w:ascii="Times New Roman" w:hAnsi="Times New Roman"/>
                <w:b/>
                <w:bCs/>
                <w:color w:val="FFFFFF"/>
                <w:sz w:val="18"/>
                <w:szCs w:val="18"/>
                <w:lang w:eastAsia="sk-SK"/>
              </w:rPr>
              <w:t xml:space="preserve">                          </w:t>
            </w:r>
            <w:r w:rsidRPr="009D60C1">
              <w:rPr>
                <w:rFonts w:ascii="Times New Roman" w:hAnsi="Times New Roman"/>
                <w:b/>
                <w:bCs/>
                <w:color w:val="FFFFFF"/>
                <w:sz w:val="18"/>
                <w:szCs w:val="18"/>
                <w:lang w:eastAsia="sk-SK"/>
              </w:rPr>
              <w:t xml:space="preserve">  v tis. eur</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Arial Narrow" w:hAnsi="Arial Narrow"/>
                <w:b/>
                <w:bCs/>
                <w:color w:val="000000"/>
                <w:sz w:val="18"/>
                <w:szCs w:val="18"/>
                <w:lang w:eastAsia="sk-SK"/>
              </w:rPr>
            </w:pPr>
            <w:r w:rsidRPr="009D60C1">
              <w:rPr>
                <w:rFonts w:ascii="Arial Narrow" w:hAnsi="Arial Narrow"/>
                <w:b/>
                <w:bCs/>
                <w:color w:val="000000"/>
                <w:sz w:val="18"/>
                <w:szCs w:val="18"/>
                <w:lang w:eastAsia="sk-SK"/>
              </w:rPr>
              <w:t> </w:t>
            </w:r>
          </w:p>
        </w:tc>
        <w:tc>
          <w:tcPr>
            <w:tcW w:w="1846" w:type="dxa"/>
            <w:gridSpan w:val="2"/>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Skutočnosť</w:t>
            </w:r>
          </w:p>
        </w:tc>
        <w:tc>
          <w:tcPr>
            <w:tcW w:w="923"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Rozpočet</w:t>
            </w:r>
          </w:p>
        </w:tc>
        <w:tc>
          <w:tcPr>
            <w:tcW w:w="1019" w:type="dxa"/>
            <w:tcBorders>
              <w:top w:val="nil"/>
              <w:left w:val="nil"/>
              <w:bottom w:val="nil"/>
              <w:right w:val="nil"/>
            </w:tcBorders>
            <w:shd w:val="clear" w:color="000000" w:fill="BFBFBF"/>
            <w:textDirection w:val="lrTb"/>
            <w:vAlign w:val="center"/>
            <w:hideMark/>
          </w:tcPr>
          <w:p w:rsidR="009D60C1" w:rsidRPr="009D60C1" w:rsidP="00E331A1">
            <w:pPr>
              <w:bidi w:val="0"/>
              <w:spacing w:after="0" w:line="240" w:lineRule="auto"/>
              <w:ind w:right="-97"/>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Skutočnosť</w:t>
            </w:r>
          </w:p>
        </w:tc>
        <w:tc>
          <w:tcPr>
            <w:tcW w:w="1792" w:type="dxa"/>
            <w:gridSpan w:val="2"/>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Rozdiel</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Arial Narrow" w:hAnsi="Arial Narrow"/>
                <w:b/>
                <w:bCs/>
                <w:color w:val="000000"/>
                <w:sz w:val="18"/>
                <w:szCs w:val="18"/>
                <w:lang w:eastAsia="sk-SK"/>
              </w:rPr>
            </w:pPr>
            <w:r w:rsidRPr="009D60C1">
              <w:rPr>
                <w:rFonts w:ascii="Arial Narrow" w:hAnsi="Arial Narrow"/>
                <w:b/>
                <w:bCs/>
                <w:color w:val="000000"/>
                <w:sz w:val="18"/>
                <w:szCs w:val="18"/>
                <w:lang w:eastAsia="sk-SK"/>
              </w:rPr>
              <w:t> </w:t>
            </w:r>
          </w:p>
        </w:tc>
        <w:tc>
          <w:tcPr>
            <w:tcW w:w="923"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2015</w:t>
            </w:r>
          </w:p>
        </w:tc>
        <w:tc>
          <w:tcPr>
            <w:tcW w:w="923"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2016</w:t>
            </w:r>
          </w:p>
        </w:tc>
        <w:tc>
          <w:tcPr>
            <w:tcW w:w="923"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2017</w:t>
            </w:r>
          </w:p>
        </w:tc>
        <w:tc>
          <w:tcPr>
            <w:tcW w:w="1019"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2017</w:t>
            </w:r>
          </w:p>
        </w:tc>
        <w:tc>
          <w:tcPr>
            <w:tcW w:w="961"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 xml:space="preserve"> v tis. eur</w:t>
            </w:r>
          </w:p>
        </w:tc>
        <w:tc>
          <w:tcPr>
            <w:tcW w:w="830" w:type="dxa"/>
            <w:tcBorders>
              <w:top w:val="nil"/>
              <w:left w:val="nil"/>
              <w:bottom w:val="nil"/>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v %</w:t>
            </w:r>
          </w:p>
        </w:tc>
      </w:tr>
      <w:tr>
        <w:tblPrEx>
          <w:tblW w:w="8995" w:type="dxa"/>
          <w:tblInd w:w="-72" w:type="dxa"/>
          <w:tblLayout w:type="fixed"/>
          <w:tblCellMar>
            <w:left w:w="70" w:type="dxa"/>
            <w:right w:w="70" w:type="dxa"/>
          </w:tblCellMar>
          <w:tblLook w:val="04A0"/>
        </w:tblPrEx>
        <w:trPr>
          <w:trHeight w:val="314"/>
        </w:trPr>
        <w:tc>
          <w:tcPr>
            <w:tcW w:w="3415"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Arial Narrow" w:hAnsi="Arial Narrow"/>
                <w:b/>
                <w:bCs/>
                <w:color w:val="000000"/>
                <w:sz w:val="18"/>
                <w:szCs w:val="18"/>
                <w:lang w:eastAsia="sk-SK"/>
              </w:rPr>
            </w:pPr>
            <w:r w:rsidRPr="009D60C1">
              <w:rPr>
                <w:rFonts w:ascii="Arial Narrow" w:hAnsi="Arial Narrow"/>
                <w:b/>
                <w:bCs/>
                <w:color w:val="000000"/>
                <w:sz w:val="18"/>
                <w:szCs w:val="18"/>
                <w:lang w:eastAsia="sk-SK"/>
              </w:rPr>
              <w:t> </w:t>
            </w:r>
          </w:p>
        </w:tc>
        <w:tc>
          <w:tcPr>
            <w:tcW w:w="923" w:type="dxa"/>
            <w:tcBorders>
              <w:top w:val="nil"/>
              <w:left w:val="nil"/>
              <w:bottom w:val="single" w:sz="8" w:space="0" w:color="auto"/>
              <w:right w:val="nil"/>
            </w:tcBorders>
            <w:shd w:val="clear" w:color="000000" w:fill="BFBFBF"/>
            <w:textDirection w:val="lrTb"/>
            <w:vAlign w:val="center"/>
            <w:hideMark/>
          </w:tcPr>
          <w:p w:rsidR="009D60C1" w:rsidRPr="009D60C1" w:rsidP="00E331A1">
            <w:pPr>
              <w:bidi w:val="0"/>
              <w:spacing w:after="0" w:line="240" w:lineRule="auto"/>
              <w:ind w:left="-82"/>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w:t>
            </w:r>
          </w:p>
        </w:tc>
        <w:tc>
          <w:tcPr>
            <w:tcW w:w="923"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w:t>
            </w:r>
          </w:p>
        </w:tc>
        <w:tc>
          <w:tcPr>
            <w:tcW w:w="923"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3</w:t>
            </w:r>
          </w:p>
        </w:tc>
        <w:tc>
          <w:tcPr>
            <w:tcW w:w="1019"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4</w:t>
            </w:r>
          </w:p>
        </w:tc>
        <w:tc>
          <w:tcPr>
            <w:tcW w:w="961"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5=4-3</w:t>
            </w:r>
          </w:p>
        </w:tc>
        <w:tc>
          <w:tcPr>
            <w:tcW w:w="830" w:type="dxa"/>
            <w:tcBorders>
              <w:top w:val="nil"/>
              <w:left w:val="nil"/>
              <w:bottom w:val="single" w:sz="8" w:space="0" w:color="auto"/>
              <w:right w:val="nil"/>
            </w:tcBorders>
            <w:shd w:val="clear" w:color="000000" w:fill="BFBFBF"/>
            <w:textDirection w:val="lrTb"/>
            <w:vAlign w:val="center"/>
            <w:hideMark/>
          </w:tcPr>
          <w:p w:rsidR="009D60C1" w:rsidRPr="009D60C1" w:rsidP="009D60C1">
            <w:pPr>
              <w:bidi w:val="0"/>
              <w:spacing w:after="0" w:line="240" w:lineRule="auto"/>
              <w:jc w:val="center"/>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6=4-3</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9D60C1" w:rsidRPr="009D60C1" w:rsidP="009D60C1">
            <w:pPr>
              <w:bidi w:val="0"/>
              <w:spacing w:after="0" w:line="240" w:lineRule="auto"/>
              <w:jc w:val="lef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Obstarávanie kapitálových aktív</w:t>
            </w:r>
          </w:p>
        </w:tc>
        <w:tc>
          <w:tcPr>
            <w:tcW w:w="923" w:type="dxa"/>
            <w:tcBorders>
              <w:top w:val="nil"/>
              <w:left w:val="nil"/>
              <w:bottom w:val="nil"/>
              <w:right w:val="nil"/>
            </w:tcBorders>
            <w:shd w:val="clear" w:color="000000" w:fill="FFFFFF"/>
            <w:noWrap/>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1 289 260</w:t>
            </w:r>
          </w:p>
        </w:tc>
        <w:tc>
          <w:tcPr>
            <w:tcW w:w="923" w:type="dxa"/>
            <w:tcBorders>
              <w:top w:val="nil"/>
              <w:left w:val="nil"/>
              <w:bottom w:val="nil"/>
              <w:right w:val="nil"/>
            </w:tcBorders>
            <w:noWrap/>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692 400</w:t>
            </w:r>
          </w:p>
        </w:tc>
        <w:tc>
          <w:tcPr>
            <w:tcW w:w="923" w:type="dxa"/>
            <w:tcBorders>
              <w:top w:val="nil"/>
              <w:left w:val="nil"/>
              <w:bottom w:val="nil"/>
              <w:right w:val="nil"/>
            </w:tcBorders>
            <w:shd w:val="clear" w:color="000000" w:fill="FFFFFF"/>
            <w:noWrap/>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899 937</w:t>
            </w:r>
          </w:p>
        </w:tc>
        <w:tc>
          <w:tcPr>
            <w:tcW w:w="1019" w:type="dxa"/>
            <w:tcBorders>
              <w:top w:val="nil"/>
              <w:left w:val="nil"/>
              <w:bottom w:val="nil"/>
              <w:right w:val="nil"/>
            </w:tcBorders>
            <w:shd w:val="clear" w:color="000000" w:fill="BFBFBF"/>
            <w:noWrap/>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605 62</w:t>
            </w:r>
            <w:r w:rsidR="00436F81">
              <w:rPr>
                <w:rFonts w:ascii="Times New Roman" w:hAnsi="Times New Roman"/>
                <w:b/>
                <w:bCs/>
                <w:color w:val="000000"/>
                <w:sz w:val="18"/>
                <w:szCs w:val="18"/>
                <w:lang w:eastAsia="sk-SK"/>
              </w:rPr>
              <w:t>9</w:t>
            </w:r>
          </w:p>
        </w:tc>
        <w:tc>
          <w:tcPr>
            <w:tcW w:w="961" w:type="dxa"/>
            <w:tcBorders>
              <w:top w:val="nil"/>
              <w:left w:val="nil"/>
              <w:bottom w:val="nil"/>
              <w:right w:val="nil"/>
            </w:tcBorders>
            <w:shd w:val="clear" w:color="000000" w:fill="FFFFFF"/>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-294 30</w:t>
            </w:r>
            <w:r w:rsidR="00436F81">
              <w:rPr>
                <w:rFonts w:ascii="Times New Roman" w:hAnsi="Times New Roman"/>
                <w:b/>
                <w:bCs/>
                <w:color w:val="000000"/>
                <w:sz w:val="18"/>
                <w:szCs w:val="18"/>
                <w:lang w:eastAsia="sk-SK"/>
              </w:rPr>
              <w:t>8</w:t>
            </w:r>
          </w:p>
        </w:tc>
        <w:tc>
          <w:tcPr>
            <w:tcW w:w="830" w:type="dxa"/>
            <w:tcBorders>
              <w:top w:val="nil"/>
              <w:left w:val="nil"/>
              <w:bottom w:val="nil"/>
              <w:right w:val="nil"/>
            </w:tcBorders>
            <w:shd w:val="clear" w:color="000000" w:fill="FFFFFF"/>
            <w:textDirection w:val="lrTb"/>
            <w:vAlign w:val="center"/>
            <w:hideMark/>
          </w:tcPr>
          <w:p w:rsidR="009D60C1"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-32,70</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realizácia stavieb a ich technického zhodnotenia</w:t>
            </w:r>
          </w:p>
        </w:tc>
        <w:tc>
          <w:tcPr>
            <w:tcW w:w="923"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415 862</w:t>
            </w:r>
          </w:p>
        </w:tc>
        <w:tc>
          <w:tcPr>
            <w:tcW w:w="923" w:type="dxa"/>
            <w:tcBorders>
              <w:top w:val="nil"/>
              <w:left w:val="nil"/>
              <w:bottom w:val="nil"/>
              <w:right w:val="nil"/>
            </w:tcBorders>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164 432</w:t>
            </w:r>
          </w:p>
        </w:tc>
        <w:tc>
          <w:tcPr>
            <w:tcW w:w="923" w:type="dxa"/>
            <w:tcBorders>
              <w:top w:val="nil"/>
              <w:left w:val="nil"/>
              <w:bottom w:val="nil"/>
              <w:right w:val="nil"/>
            </w:tcBorders>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309 140</w:t>
            </w:r>
          </w:p>
        </w:tc>
        <w:tc>
          <w:tcPr>
            <w:tcW w:w="1019" w:type="dxa"/>
            <w:tcBorders>
              <w:top w:val="nil"/>
              <w:left w:val="nil"/>
              <w:bottom w:val="nil"/>
              <w:right w:val="nil"/>
            </w:tcBorders>
            <w:shd w:val="clear" w:color="000000" w:fill="BFBFB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263 801</w:t>
            </w:r>
          </w:p>
        </w:tc>
        <w:tc>
          <w:tcPr>
            <w:tcW w:w="961"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-45 339</w:t>
            </w:r>
          </w:p>
        </w:tc>
        <w:tc>
          <w:tcPr>
            <w:tcW w:w="830"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-14,67</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nákup strojov, prístrojov, zariadení, techniky</w:t>
            </w:r>
          </w:p>
        </w:tc>
        <w:tc>
          <w:tcPr>
            <w:tcW w:w="923"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286 033</w:t>
            </w:r>
          </w:p>
        </w:tc>
        <w:tc>
          <w:tcPr>
            <w:tcW w:w="923" w:type="dxa"/>
            <w:tcBorders>
              <w:top w:val="nil"/>
              <w:left w:val="nil"/>
              <w:bottom w:val="nil"/>
              <w:right w:val="nil"/>
            </w:tcBorders>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139 930</w:t>
            </w:r>
          </w:p>
        </w:tc>
        <w:tc>
          <w:tcPr>
            <w:tcW w:w="923"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208 758</w:t>
            </w:r>
          </w:p>
        </w:tc>
        <w:tc>
          <w:tcPr>
            <w:tcW w:w="1019" w:type="dxa"/>
            <w:tcBorders>
              <w:top w:val="nil"/>
              <w:left w:val="nil"/>
              <w:bottom w:val="nil"/>
              <w:right w:val="nil"/>
            </w:tcBorders>
            <w:shd w:val="clear" w:color="000000" w:fill="BFBFB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93 353</w:t>
            </w:r>
          </w:p>
        </w:tc>
        <w:tc>
          <w:tcPr>
            <w:tcW w:w="961"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-115 405</w:t>
            </w:r>
          </w:p>
        </w:tc>
        <w:tc>
          <w:tcPr>
            <w:tcW w:w="830" w:type="dxa"/>
            <w:tcBorders>
              <w:top w:val="nil"/>
              <w:left w:val="nil"/>
              <w:bottom w:val="nil"/>
              <w:right w:val="nil"/>
            </w:tcBorders>
            <w:shd w:val="clear" w:color="000000" w:fill="FFFFFF"/>
            <w:noWrap/>
            <w:textDirection w:val="lrTb"/>
            <w:vAlign w:val="center"/>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-55,28</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tcPr>
          <w:p w:rsidR="0088651E" w:rsidP="0088651E">
            <w:pPr>
              <w:bidi w:val="0"/>
              <w:spacing w:after="0" w:line="240" w:lineRule="auto"/>
              <w:jc w:val="left"/>
              <w:rPr>
                <w:rFonts w:ascii="Times New Roman" w:hAnsi="Times New Roman"/>
                <w:color w:val="000000"/>
                <w:sz w:val="18"/>
                <w:szCs w:val="18"/>
                <w:lang w:eastAsia="sk-SK"/>
              </w:rPr>
            </w:pPr>
            <w:r>
              <w:rPr>
                <w:rFonts w:ascii="Times New Roman" w:hAnsi="Times New Roman"/>
                <w:color w:val="000000"/>
                <w:sz w:val="18"/>
                <w:szCs w:val="18"/>
                <w:lang w:eastAsia="sk-SK"/>
              </w:rPr>
              <w:t>nákup dopr. prostriedkov</w:t>
            </w:r>
          </w:p>
        </w:tc>
        <w:tc>
          <w:tcPr>
            <w:tcW w:w="923" w:type="dxa"/>
            <w:tcBorders>
              <w:top w:val="nil"/>
              <w:left w:val="nil"/>
              <w:bottom w:val="nil"/>
              <w:right w:val="nil"/>
            </w:tcBorders>
            <w:shd w:val="clear" w:color="000000" w:fill="FFFFFF"/>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236 566</w:t>
            </w:r>
          </w:p>
        </w:tc>
        <w:tc>
          <w:tcPr>
            <w:tcW w:w="923" w:type="dxa"/>
            <w:tcBorders>
              <w:top w:val="nil"/>
              <w:left w:val="nil"/>
              <w:bottom w:val="nil"/>
              <w:right w:val="nil"/>
            </w:tcBorders>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178 983</w:t>
            </w:r>
          </w:p>
        </w:tc>
        <w:tc>
          <w:tcPr>
            <w:tcW w:w="923" w:type="dxa"/>
            <w:tcBorders>
              <w:top w:val="nil"/>
              <w:left w:val="nil"/>
              <w:bottom w:val="nil"/>
              <w:right w:val="nil"/>
            </w:tcBorders>
            <w:shd w:val="clear" w:color="000000" w:fill="FFFFFF"/>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78 631</w:t>
            </w:r>
          </w:p>
        </w:tc>
        <w:tc>
          <w:tcPr>
            <w:tcW w:w="1019" w:type="dxa"/>
            <w:tcBorders>
              <w:top w:val="nil"/>
              <w:left w:val="nil"/>
              <w:bottom w:val="nil"/>
              <w:right w:val="nil"/>
            </w:tcBorders>
            <w:shd w:val="clear" w:color="000000" w:fill="BFBFBF"/>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83 439</w:t>
            </w:r>
          </w:p>
        </w:tc>
        <w:tc>
          <w:tcPr>
            <w:tcW w:w="961" w:type="dxa"/>
            <w:tcBorders>
              <w:top w:val="nil"/>
              <w:left w:val="nil"/>
              <w:bottom w:val="nil"/>
              <w:right w:val="nil"/>
            </w:tcBorders>
            <w:shd w:val="clear" w:color="000000" w:fill="FFFFFF"/>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4 808</w:t>
            </w:r>
          </w:p>
        </w:tc>
        <w:tc>
          <w:tcPr>
            <w:tcW w:w="830" w:type="dxa"/>
            <w:tcBorders>
              <w:top w:val="nil"/>
              <w:left w:val="nil"/>
              <w:bottom w:val="nil"/>
              <w:right w:val="nil"/>
            </w:tcBorders>
            <w:shd w:val="clear" w:color="000000" w:fill="FFFFFF"/>
            <w:noWrap/>
            <w:textDirection w:val="lrTb"/>
            <w:vAlign w:val="center"/>
          </w:tcPr>
          <w:p w:rsidR="0088651E" w:rsidP="00936B80">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6,11</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nákup pozemkov a nehmotných aktív</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272 243</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111 123</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14 095</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41 532</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27 437</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194,66</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nákup budov, objektov a ich častí</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4 539</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4 630</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2 670</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10 58</w:t>
            </w:r>
            <w:r>
              <w:rPr>
                <w:rFonts w:ascii="Times New Roman" w:hAnsi="Times New Roman"/>
                <w:color w:val="000000"/>
                <w:sz w:val="18"/>
                <w:szCs w:val="18"/>
                <w:lang w:eastAsia="sk-SK"/>
              </w:rPr>
              <w:t>7</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7 91</w:t>
            </w:r>
            <w:r>
              <w:rPr>
                <w:rFonts w:ascii="Times New Roman" w:hAnsi="Times New Roman"/>
                <w:color w:val="000000"/>
                <w:sz w:val="18"/>
                <w:szCs w:val="18"/>
                <w:lang w:eastAsia="sk-SK"/>
              </w:rPr>
              <w:t>7</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296,</w:t>
            </w:r>
            <w:r>
              <w:rPr>
                <w:rFonts w:ascii="Times New Roman" w:hAnsi="Times New Roman"/>
                <w:color w:val="000000"/>
                <w:sz w:val="18"/>
                <w:szCs w:val="18"/>
                <w:lang w:eastAsia="sk-SK"/>
              </w:rPr>
              <w:t>52</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ost. kapitálové výdavky (dokumentácia, rekonštrukcia a modernizácia strojov a ost.)</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74 017</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93 302</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286 643</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112 917</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-173 726</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-60,61</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Kapitálové transfery</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3 378 828</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1 209 856</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1 839 082</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947 164</w:t>
            </w:r>
          </w:p>
        </w:tc>
        <w:tc>
          <w:tcPr>
            <w:tcW w:w="961" w:type="dxa"/>
            <w:tcBorders>
              <w:top w:val="nil"/>
              <w:left w:val="nil"/>
              <w:bottom w:val="nil"/>
              <w:right w:val="nil"/>
            </w:tcBorders>
            <w:shd w:val="clear" w:color="000000" w:fill="FFFFFF"/>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-891 918</w:t>
            </w:r>
          </w:p>
        </w:tc>
        <w:tc>
          <w:tcPr>
            <w:tcW w:w="830" w:type="dxa"/>
            <w:tcBorders>
              <w:top w:val="nil"/>
              <w:left w:val="nil"/>
              <w:bottom w:val="nil"/>
              <w:right w:val="nil"/>
            </w:tcBorders>
            <w:shd w:val="clear" w:color="000000" w:fill="FFFFFF"/>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-48,50</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v rámci verejnej správy</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2 321 559</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810 993</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1 040 889</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734 040</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-306 849</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-29,48</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nefin. subjektom a PO, nezaradeným vo verejnej správe</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987 438</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350 655</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718 973</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177 324</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-541 649</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-75,34</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transfery finančným inštitúciám</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35 000</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31 080</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0</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0</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0</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004117F4">
              <w:rPr>
                <w:rFonts w:ascii="Times New Roman" w:hAnsi="Times New Roman"/>
                <w:color w:val="000000"/>
                <w:sz w:val="18"/>
                <w:szCs w:val="18"/>
                <w:lang w:eastAsia="sk-SK"/>
              </w:rPr>
              <w:t>-</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nil"/>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jednotlivcom a neziskovým právnickým osobám</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31 684</w:t>
            </w:r>
          </w:p>
        </w:tc>
        <w:tc>
          <w:tcPr>
            <w:tcW w:w="923" w:type="dxa"/>
            <w:tcBorders>
              <w:top w:val="nil"/>
              <w:left w:val="nil"/>
              <w:bottom w:val="nil"/>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15 570</w:t>
            </w:r>
          </w:p>
        </w:tc>
        <w:tc>
          <w:tcPr>
            <w:tcW w:w="923"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79 220</w:t>
            </w:r>
          </w:p>
        </w:tc>
        <w:tc>
          <w:tcPr>
            <w:tcW w:w="1019" w:type="dxa"/>
            <w:tcBorders>
              <w:top w:val="nil"/>
              <w:left w:val="nil"/>
              <w:bottom w:val="nil"/>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35 049</w:t>
            </w:r>
          </w:p>
        </w:tc>
        <w:tc>
          <w:tcPr>
            <w:tcW w:w="961"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-44 171</w:t>
            </w:r>
          </w:p>
        </w:tc>
        <w:tc>
          <w:tcPr>
            <w:tcW w:w="830" w:type="dxa"/>
            <w:tcBorders>
              <w:top w:val="nil"/>
              <w:left w:val="nil"/>
              <w:bottom w:val="nil"/>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-55,76</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single" w:sz="8" w:space="0" w:color="auto"/>
              <w:right w:val="nil"/>
            </w:tcBorders>
            <w:textDirection w:val="lrTb"/>
            <w:vAlign w:val="center"/>
            <w:hideMark/>
          </w:tcPr>
          <w:p w:rsidR="0088651E" w:rsidRPr="009D60C1" w:rsidP="0088651E">
            <w:pPr>
              <w:bidi w:val="0"/>
              <w:spacing w:after="0" w:line="240" w:lineRule="auto"/>
              <w:jc w:val="left"/>
              <w:rPr>
                <w:rFonts w:ascii="Times New Roman" w:hAnsi="Times New Roman"/>
                <w:color w:val="000000"/>
                <w:sz w:val="18"/>
                <w:szCs w:val="18"/>
                <w:lang w:eastAsia="sk-SK"/>
              </w:rPr>
            </w:pPr>
            <w:r w:rsidRPr="009D60C1">
              <w:rPr>
                <w:rFonts w:ascii="Times New Roman" w:hAnsi="Times New Roman"/>
                <w:color w:val="000000"/>
                <w:sz w:val="18"/>
                <w:szCs w:val="18"/>
                <w:lang w:eastAsia="sk-SK"/>
              </w:rPr>
              <w:t>do zahraničia</w:t>
            </w:r>
          </w:p>
        </w:tc>
        <w:tc>
          <w:tcPr>
            <w:tcW w:w="923"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3 147</w:t>
            </w:r>
          </w:p>
        </w:tc>
        <w:tc>
          <w:tcPr>
            <w:tcW w:w="923" w:type="dxa"/>
            <w:tcBorders>
              <w:top w:val="nil"/>
              <w:left w:val="nil"/>
              <w:bottom w:val="single" w:sz="8" w:space="0" w:color="auto"/>
              <w:right w:val="nil"/>
            </w:tcBorders>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1 558</w:t>
            </w:r>
          </w:p>
        </w:tc>
        <w:tc>
          <w:tcPr>
            <w:tcW w:w="923"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0</w:t>
            </w:r>
          </w:p>
        </w:tc>
        <w:tc>
          <w:tcPr>
            <w:tcW w:w="1019" w:type="dxa"/>
            <w:tcBorders>
              <w:top w:val="nil"/>
              <w:left w:val="nil"/>
              <w:bottom w:val="single" w:sz="8" w:space="0" w:color="auto"/>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751</w:t>
            </w:r>
          </w:p>
        </w:tc>
        <w:tc>
          <w:tcPr>
            <w:tcW w:w="961"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Pr="009D60C1">
              <w:rPr>
                <w:rFonts w:ascii="Times New Roman" w:hAnsi="Times New Roman"/>
                <w:color w:val="000000"/>
                <w:sz w:val="18"/>
                <w:szCs w:val="18"/>
                <w:lang w:eastAsia="sk-SK"/>
              </w:rPr>
              <w:t>751</w:t>
            </w:r>
          </w:p>
        </w:tc>
        <w:tc>
          <w:tcPr>
            <w:tcW w:w="830"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color w:val="000000"/>
                <w:sz w:val="18"/>
                <w:szCs w:val="18"/>
                <w:lang w:eastAsia="sk-SK"/>
              </w:rPr>
            </w:pPr>
            <w:r w:rsidR="004117F4">
              <w:rPr>
                <w:rFonts w:ascii="Times New Roman" w:hAnsi="Times New Roman"/>
                <w:color w:val="000000"/>
                <w:sz w:val="18"/>
                <w:szCs w:val="18"/>
                <w:lang w:eastAsia="sk-SK"/>
              </w:rPr>
              <w:t>-</w:t>
            </w:r>
          </w:p>
        </w:tc>
      </w:tr>
      <w:tr>
        <w:tblPrEx>
          <w:tblW w:w="8995" w:type="dxa"/>
          <w:tblInd w:w="-72" w:type="dxa"/>
          <w:tblLayout w:type="fixed"/>
          <w:tblCellMar>
            <w:left w:w="70" w:type="dxa"/>
            <w:right w:w="70" w:type="dxa"/>
          </w:tblCellMar>
          <w:tblLook w:val="04A0"/>
        </w:tblPrEx>
        <w:trPr>
          <w:trHeight w:val="299"/>
        </w:trPr>
        <w:tc>
          <w:tcPr>
            <w:tcW w:w="3415" w:type="dxa"/>
            <w:tcBorders>
              <w:top w:val="nil"/>
              <w:left w:val="nil"/>
              <w:bottom w:val="single" w:sz="8" w:space="0" w:color="auto"/>
              <w:right w:val="nil"/>
            </w:tcBorders>
            <w:shd w:val="clear" w:color="000000" w:fill="FFFFFF"/>
            <w:noWrap/>
            <w:textDirection w:val="lrTb"/>
            <w:vAlign w:val="center"/>
            <w:hideMark/>
          </w:tcPr>
          <w:p w:rsidR="0088651E" w:rsidRPr="009D60C1" w:rsidP="0088651E">
            <w:pPr>
              <w:bidi w:val="0"/>
              <w:spacing w:after="0" w:line="240" w:lineRule="auto"/>
              <w:jc w:val="lef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Spolu</w:t>
            </w:r>
          </w:p>
        </w:tc>
        <w:tc>
          <w:tcPr>
            <w:tcW w:w="923"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4 668 088</w:t>
            </w:r>
          </w:p>
        </w:tc>
        <w:tc>
          <w:tcPr>
            <w:tcW w:w="923" w:type="dxa"/>
            <w:tcBorders>
              <w:top w:val="nil"/>
              <w:left w:val="nil"/>
              <w:bottom w:val="single" w:sz="8" w:space="0" w:color="auto"/>
              <w:right w:val="nil"/>
            </w:tcBorders>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1 902 256</w:t>
            </w:r>
          </w:p>
        </w:tc>
        <w:tc>
          <w:tcPr>
            <w:tcW w:w="923"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2 739 019</w:t>
            </w:r>
          </w:p>
        </w:tc>
        <w:tc>
          <w:tcPr>
            <w:tcW w:w="1019" w:type="dxa"/>
            <w:tcBorders>
              <w:top w:val="nil"/>
              <w:left w:val="nil"/>
              <w:bottom w:val="single" w:sz="8" w:space="0" w:color="auto"/>
              <w:right w:val="nil"/>
            </w:tcBorders>
            <w:shd w:val="clear" w:color="000000" w:fill="BFBFB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1 552 79</w:t>
            </w:r>
            <w:r>
              <w:rPr>
                <w:rFonts w:ascii="Times New Roman" w:hAnsi="Times New Roman"/>
                <w:b/>
                <w:bCs/>
                <w:color w:val="000000"/>
                <w:sz w:val="18"/>
                <w:szCs w:val="18"/>
                <w:lang w:eastAsia="sk-SK"/>
              </w:rPr>
              <w:t>3</w:t>
            </w:r>
          </w:p>
        </w:tc>
        <w:tc>
          <w:tcPr>
            <w:tcW w:w="961"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-1 186 22</w:t>
            </w:r>
            <w:r>
              <w:rPr>
                <w:rFonts w:ascii="Times New Roman" w:hAnsi="Times New Roman"/>
                <w:b/>
                <w:bCs/>
                <w:color w:val="000000"/>
                <w:sz w:val="18"/>
                <w:szCs w:val="18"/>
                <w:lang w:eastAsia="sk-SK"/>
              </w:rPr>
              <w:t>6</w:t>
            </w:r>
          </w:p>
        </w:tc>
        <w:tc>
          <w:tcPr>
            <w:tcW w:w="830" w:type="dxa"/>
            <w:tcBorders>
              <w:top w:val="nil"/>
              <w:left w:val="nil"/>
              <w:bottom w:val="single" w:sz="8" w:space="0" w:color="auto"/>
              <w:right w:val="nil"/>
            </w:tcBorders>
            <w:shd w:val="clear" w:color="000000" w:fill="FFFFFF"/>
            <w:noWrap/>
            <w:textDirection w:val="lrTb"/>
            <w:vAlign w:val="center"/>
            <w:hideMark/>
          </w:tcPr>
          <w:p w:rsidR="0088651E" w:rsidRPr="009D60C1" w:rsidP="00936B80">
            <w:pPr>
              <w:bidi w:val="0"/>
              <w:spacing w:after="0" w:line="240" w:lineRule="auto"/>
              <w:jc w:val="right"/>
              <w:rPr>
                <w:rFonts w:ascii="Times New Roman" w:hAnsi="Times New Roman"/>
                <w:b/>
                <w:bCs/>
                <w:color w:val="000000"/>
                <w:sz w:val="18"/>
                <w:szCs w:val="18"/>
                <w:lang w:eastAsia="sk-SK"/>
              </w:rPr>
            </w:pPr>
            <w:r w:rsidRPr="009D60C1">
              <w:rPr>
                <w:rFonts w:ascii="Times New Roman" w:hAnsi="Times New Roman"/>
                <w:b/>
                <w:bCs/>
                <w:color w:val="000000"/>
                <w:sz w:val="18"/>
                <w:szCs w:val="18"/>
                <w:lang w:eastAsia="sk-SK"/>
              </w:rPr>
              <w:t>-43,31</w:t>
            </w:r>
          </w:p>
        </w:tc>
      </w:tr>
    </w:tbl>
    <w:p w:rsidR="00A63BF5" w:rsidRPr="009B0648" w:rsidP="005C64E2">
      <w:pPr>
        <w:bidi w:val="0"/>
        <w:ind w:firstLine="284"/>
        <w:jc w:val="right"/>
        <w:rPr>
          <w:rFonts w:ascii="Times New Roman" w:hAnsi="Times New Roman"/>
          <w:color w:val="000000"/>
          <w:sz w:val="18"/>
          <w:szCs w:val="18"/>
        </w:rPr>
      </w:pPr>
      <w:r w:rsidRPr="009B0648">
        <w:rPr>
          <w:rFonts w:ascii="Times New Roman" w:hAnsi="Times New Roman"/>
          <w:color w:val="000000"/>
          <w:sz w:val="18"/>
          <w:szCs w:val="18"/>
        </w:rPr>
        <w:t>Zdroj: MF SR</w:t>
      </w:r>
    </w:p>
    <w:p w:rsidR="00A63BF5" w:rsidRPr="009B0648" w:rsidP="00077EAC">
      <w:pPr>
        <w:tabs>
          <w:tab w:val="left" w:pos="284"/>
        </w:tabs>
        <w:bidi w:val="0"/>
        <w:contextualSpacing/>
        <w:rPr>
          <w:rFonts w:ascii="Times New Roman" w:hAnsi="Times New Roman"/>
          <w:b/>
          <w:szCs w:val="22"/>
        </w:rPr>
      </w:pPr>
      <w:r w:rsidRPr="009B0648">
        <w:rPr>
          <w:rFonts w:ascii="Times New Roman" w:hAnsi="Times New Roman"/>
          <w:b/>
          <w:szCs w:val="22"/>
        </w:rPr>
        <w:t>Obstarávanie kapitálových aktív</w:t>
      </w:r>
    </w:p>
    <w:p w:rsidR="00FC4C05" w:rsidRPr="001B676B" w:rsidP="00A63BF5">
      <w:pPr>
        <w:bidi w:val="0"/>
        <w:rPr>
          <w:rFonts w:ascii="Times New Roman" w:hAnsi="Times New Roman"/>
          <w:szCs w:val="22"/>
        </w:rPr>
      </w:pPr>
      <w:r w:rsidR="00077EAC">
        <w:rPr>
          <w:rFonts w:ascii="Times New Roman" w:hAnsi="Times New Roman"/>
          <w:szCs w:val="22"/>
        </w:rPr>
        <w:t xml:space="preserve">Rozpočet na </w:t>
      </w:r>
      <w:r w:rsidRPr="00DF3560" w:rsidR="00A63BF5">
        <w:rPr>
          <w:rFonts w:ascii="Times New Roman" w:hAnsi="Times New Roman"/>
          <w:szCs w:val="22"/>
        </w:rPr>
        <w:t>obstarávanie kapitálových aktív, t. j. hmotného a nehmotného majetku</w:t>
      </w:r>
      <w:r w:rsidR="00077EAC">
        <w:rPr>
          <w:rFonts w:ascii="Times New Roman" w:hAnsi="Times New Roman"/>
          <w:szCs w:val="22"/>
        </w:rPr>
        <w:t xml:space="preserve"> bol pre </w:t>
      </w:r>
      <w:r w:rsidRPr="00DF3560" w:rsidR="00077EAC">
        <w:rPr>
          <w:rFonts w:ascii="Times New Roman" w:hAnsi="Times New Roman"/>
          <w:szCs w:val="22"/>
        </w:rPr>
        <w:t>rok 2017</w:t>
      </w:r>
      <w:r w:rsidRPr="00DF3560" w:rsidR="00A63BF5">
        <w:rPr>
          <w:rFonts w:ascii="Times New Roman" w:hAnsi="Times New Roman"/>
          <w:szCs w:val="22"/>
        </w:rPr>
        <w:t xml:space="preserve"> stanovený sumou </w:t>
      </w:r>
      <w:r w:rsidR="00DF3560">
        <w:rPr>
          <w:rFonts w:ascii="Times New Roman" w:hAnsi="Times New Roman"/>
          <w:szCs w:val="22"/>
        </w:rPr>
        <w:t>899</w:t>
      </w:r>
      <w:r w:rsidRPr="00DF3560" w:rsidR="004F12C3">
        <w:rPr>
          <w:rFonts w:ascii="Times New Roman" w:hAnsi="Times New Roman"/>
          <w:szCs w:val="22"/>
        </w:rPr>
        <w:t> </w:t>
      </w:r>
      <w:r w:rsidR="00DF3560">
        <w:rPr>
          <w:rFonts w:ascii="Times New Roman" w:hAnsi="Times New Roman"/>
          <w:szCs w:val="22"/>
        </w:rPr>
        <w:t>937</w:t>
      </w:r>
      <w:r w:rsidRPr="00DF3560" w:rsidR="004F12C3">
        <w:rPr>
          <w:rFonts w:ascii="Times New Roman" w:hAnsi="Times New Roman"/>
          <w:szCs w:val="22"/>
        </w:rPr>
        <w:t> </w:t>
      </w:r>
      <w:r w:rsidRPr="00DF3560" w:rsidR="00A63BF5">
        <w:rPr>
          <w:rFonts w:ascii="Times New Roman" w:hAnsi="Times New Roman"/>
          <w:szCs w:val="22"/>
        </w:rPr>
        <w:t xml:space="preserve">tis. eur, ktorá sa rozpočtovými opatreniami </w:t>
      </w:r>
      <w:r w:rsidRPr="00DF3560" w:rsidR="00DF3560">
        <w:rPr>
          <w:rFonts w:ascii="Times New Roman" w:hAnsi="Times New Roman"/>
          <w:szCs w:val="22"/>
        </w:rPr>
        <w:t>z</w:t>
      </w:r>
      <w:r w:rsidR="00DF3560">
        <w:rPr>
          <w:rFonts w:ascii="Times New Roman" w:hAnsi="Times New Roman"/>
          <w:szCs w:val="22"/>
        </w:rPr>
        <w:t>nížila</w:t>
      </w:r>
      <w:r w:rsidRPr="00DF3560" w:rsidR="00A63BF5">
        <w:rPr>
          <w:rFonts w:ascii="Times New Roman" w:hAnsi="Times New Roman"/>
          <w:szCs w:val="22"/>
        </w:rPr>
        <w:t xml:space="preserve"> </w:t>
      </w:r>
      <w:r w:rsidR="00F11CAA">
        <w:rPr>
          <w:rFonts w:ascii="Times New Roman" w:hAnsi="Times New Roman"/>
          <w:szCs w:val="22"/>
        </w:rPr>
        <w:br/>
      </w:r>
      <w:r w:rsidRPr="00DF3560" w:rsidR="00A63BF5">
        <w:rPr>
          <w:rFonts w:ascii="Times New Roman" w:hAnsi="Times New Roman"/>
          <w:szCs w:val="22"/>
        </w:rPr>
        <w:t xml:space="preserve">na </w:t>
      </w:r>
      <w:r w:rsidR="00DF3560">
        <w:rPr>
          <w:rFonts w:ascii="Times New Roman" w:hAnsi="Times New Roman"/>
          <w:szCs w:val="22"/>
        </w:rPr>
        <w:t>608 539</w:t>
      </w:r>
      <w:r w:rsidRPr="00DF3560" w:rsidR="00A63BF5">
        <w:rPr>
          <w:rFonts w:ascii="Times New Roman" w:hAnsi="Times New Roman"/>
          <w:szCs w:val="22"/>
        </w:rPr>
        <w:t> tis. eur. Skutočné čerpanie predstavovalo sumu</w:t>
      </w:r>
      <w:r w:rsidRPr="00DF3560" w:rsidR="004F12C3">
        <w:rPr>
          <w:rFonts w:ascii="Times New Roman" w:hAnsi="Times New Roman"/>
          <w:szCs w:val="22"/>
        </w:rPr>
        <w:t> </w:t>
      </w:r>
      <w:r w:rsidRPr="00DF3560" w:rsidR="00B37125">
        <w:rPr>
          <w:rFonts w:ascii="Times New Roman" w:hAnsi="Times New Roman"/>
          <w:szCs w:val="22"/>
        </w:rPr>
        <w:t>605</w:t>
      </w:r>
      <w:r w:rsidR="00436F81">
        <w:rPr>
          <w:rFonts w:ascii="Times New Roman" w:hAnsi="Times New Roman"/>
          <w:szCs w:val="22"/>
        </w:rPr>
        <w:t> </w:t>
      </w:r>
      <w:r w:rsidR="00DF3560">
        <w:rPr>
          <w:rFonts w:ascii="Times New Roman" w:hAnsi="Times New Roman"/>
          <w:szCs w:val="22"/>
        </w:rPr>
        <w:t>62</w:t>
      </w:r>
      <w:r w:rsidR="00436F81">
        <w:rPr>
          <w:rFonts w:ascii="Times New Roman" w:hAnsi="Times New Roman"/>
          <w:szCs w:val="22"/>
        </w:rPr>
        <w:t>9 </w:t>
      </w:r>
      <w:r w:rsidRPr="00DF3560" w:rsidR="00A63BF5">
        <w:rPr>
          <w:rFonts w:ascii="Times New Roman" w:hAnsi="Times New Roman"/>
          <w:szCs w:val="22"/>
        </w:rPr>
        <w:t>tis. eur</w:t>
      </w:r>
      <w:r w:rsidR="00077EAC">
        <w:rPr>
          <w:rFonts w:ascii="Times New Roman" w:hAnsi="Times New Roman"/>
          <w:szCs w:val="22"/>
        </w:rPr>
        <w:t>.</w:t>
      </w:r>
    </w:p>
    <w:p w:rsidR="0088651E" w:rsidRPr="002339C0" w:rsidP="0088651E">
      <w:pPr>
        <w:bidi w:val="0"/>
        <w:rPr>
          <w:rFonts w:ascii="Times New Roman" w:hAnsi="Times New Roman"/>
          <w:szCs w:val="22"/>
        </w:rPr>
      </w:pPr>
      <w:r w:rsidRPr="002339C0">
        <w:rPr>
          <w:rFonts w:ascii="Times New Roman" w:hAnsi="Times New Roman"/>
          <w:b/>
          <w:i/>
          <w:szCs w:val="22"/>
        </w:rPr>
        <w:t>Realizácia stavieb a ich technického zhodnotenia</w:t>
      </w:r>
      <w:r w:rsidRPr="002339C0">
        <w:rPr>
          <w:rFonts w:ascii="Times New Roman" w:hAnsi="Times New Roman"/>
          <w:szCs w:val="22"/>
        </w:rPr>
        <w:t xml:space="preserve"> predstavovala výdavky v hodnote 263 801 tis. eur</w:t>
      </w:r>
      <w:r>
        <w:rPr>
          <w:rFonts w:ascii="Times New Roman" w:hAnsi="Times New Roman"/>
          <w:szCs w:val="22"/>
        </w:rPr>
        <w:t>.</w:t>
      </w:r>
      <w:r w:rsidRPr="002339C0">
        <w:rPr>
          <w:rFonts w:ascii="Times New Roman" w:hAnsi="Times New Roman"/>
          <w:szCs w:val="22"/>
        </w:rPr>
        <w:t xml:space="preserve"> </w:t>
      </w:r>
      <w:r>
        <w:rPr>
          <w:rFonts w:ascii="Times New Roman" w:hAnsi="Times New Roman"/>
          <w:szCs w:val="22"/>
        </w:rPr>
        <w:t>V</w:t>
      </w:r>
      <w:r w:rsidRPr="002339C0">
        <w:rPr>
          <w:rFonts w:ascii="Times New Roman" w:hAnsi="Times New Roman"/>
          <w:szCs w:val="22"/>
        </w:rPr>
        <w:t> porovnaní s rokom 2016 došlo k zvýšeniu výdavkov o 99 369 tis. eur. Najvyšší podiel na výdavkoch mala kapitola Ministerstva dopravy a výstavby SR (</w:t>
      </w:r>
      <w:r>
        <w:rPr>
          <w:rFonts w:ascii="Times New Roman" w:hAnsi="Times New Roman"/>
          <w:szCs w:val="22"/>
        </w:rPr>
        <w:t>190</w:t>
      </w:r>
      <w:r w:rsidRPr="002339C0">
        <w:rPr>
          <w:rFonts w:ascii="Times New Roman" w:hAnsi="Times New Roman"/>
          <w:szCs w:val="22"/>
        </w:rPr>
        <w:t> </w:t>
      </w:r>
      <w:r>
        <w:rPr>
          <w:rFonts w:ascii="Times New Roman" w:hAnsi="Times New Roman"/>
          <w:szCs w:val="22"/>
        </w:rPr>
        <w:t xml:space="preserve">045 tis. eur), ďalej </w:t>
      </w:r>
      <w:r w:rsidRPr="002339C0">
        <w:rPr>
          <w:rFonts w:ascii="Times New Roman" w:hAnsi="Times New Roman"/>
          <w:szCs w:val="22"/>
        </w:rPr>
        <w:t xml:space="preserve">Ministerstvo obrany SR </w:t>
      </w:r>
      <w:r>
        <w:rPr>
          <w:rFonts w:ascii="Times New Roman" w:hAnsi="Times New Roman"/>
          <w:szCs w:val="22"/>
        </w:rPr>
        <w:t>(27</w:t>
      </w:r>
      <w:r w:rsidRPr="002339C0">
        <w:rPr>
          <w:rFonts w:ascii="Times New Roman" w:hAnsi="Times New Roman"/>
          <w:szCs w:val="22"/>
        </w:rPr>
        <w:t> </w:t>
      </w:r>
      <w:r>
        <w:rPr>
          <w:rFonts w:ascii="Times New Roman" w:hAnsi="Times New Roman"/>
          <w:szCs w:val="22"/>
        </w:rPr>
        <w:t>459</w:t>
      </w:r>
      <w:r w:rsidRPr="002339C0">
        <w:rPr>
          <w:rFonts w:ascii="Times New Roman" w:hAnsi="Times New Roman"/>
          <w:szCs w:val="22"/>
        </w:rPr>
        <w:t> tis. eur</w:t>
      </w:r>
      <w:r>
        <w:rPr>
          <w:rFonts w:ascii="Times New Roman" w:hAnsi="Times New Roman"/>
          <w:szCs w:val="22"/>
        </w:rPr>
        <w:t>)</w:t>
      </w:r>
      <w:r w:rsidRPr="002339C0">
        <w:rPr>
          <w:rFonts w:ascii="Times New Roman" w:hAnsi="Times New Roman"/>
          <w:szCs w:val="22"/>
        </w:rPr>
        <w:t xml:space="preserve">, Ministerstvo spravodlivosti SR </w:t>
      </w:r>
      <w:r>
        <w:rPr>
          <w:rFonts w:ascii="Times New Roman" w:hAnsi="Times New Roman"/>
          <w:szCs w:val="22"/>
        </w:rPr>
        <w:t>(</w:t>
      </w:r>
      <w:r w:rsidRPr="002339C0">
        <w:rPr>
          <w:rFonts w:ascii="Times New Roman" w:hAnsi="Times New Roman"/>
          <w:szCs w:val="22"/>
        </w:rPr>
        <w:t>1</w:t>
      </w:r>
      <w:r>
        <w:rPr>
          <w:rFonts w:ascii="Times New Roman" w:hAnsi="Times New Roman"/>
          <w:szCs w:val="22"/>
        </w:rPr>
        <w:t>3</w:t>
      </w:r>
      <w:r w:rsidRPr="002339C0">
        <w:rPr>
          <w:rFonts w:ascii="Times New Roman" w:hAnsi="Times New Roman"/>
          <w:szCs w:val="22"/>
        </w:rPr>
        <w:t> </w:t>
      </w:r>
      <w:r>
        <w:rPr>
          <w:rFonts w:ascii="Times New Roman" w:hAnsi="Times New Roman"/>
          <w:szCs w:val="22"/>
        </w:rPr>
        <w:t>611</w:t>
      </w:r>
      <w:r w:rsidRPr="002339C0">
        <w:rPr>
          <w:rFonts w:ascii="Times New Roman" w:hAnsi="Times New Roman"/>
          <w:szCs w:val="22"/>
        </w:rPr>
        <w:t> tis. eur</w:t>
      </w:r>
      <w:r>
        <w:rPr>
          <w:rFonts w:ascii="Times New Roman" w:hAnsi="Times New Roman"/>
          <w:szCs w:val="22"/>
        </w:rPr>
        <w:t>)</w:t>
      </w:r>
      <w:r w:rsidRPr="002339C0">
        <w:rPr>
          <w:rFonts w:ascii="Times New Roman" w:hAnsi="Times New Roman"/>
          <w:szCs w:val="22"/>
        </w:rPr>
        <w:t xml:space="preserve"> a</w:t>
      </w:r>
      <w:r>
        <w:rPr>
          <w:rFonts w:ascii="Times New Roman" w:hAnsi="Times New Roman"/>
          <w:szCs w:val="22"/>
        </w:rPr>
        <w:t xml:space="preserve"> Ministerstvo vnútra</w:t>
      </w:r>
      <w:r w:rsidRPr="002339C0">
        <w:rPr>
          <w:rFonts w:ascii="Times New Roman" w:hAnsi="Times New Roman"/>
          <w:szCs w:val="22"/>
        </w:rPr>
        <w:t xml:space="preserve"> SR </w:t>
      </w:r>
      <w:r>
        <w:rPr>
          <w:rFonts w:ascii="Times New Roman" w:hAnsi="Times New Roman"/>
          <w:szCs w:val="22"/>
        </w:rPr>
        <w:t>(9 450 </w:t>
      </w:r>
      <w:r w:rsidRPr="002339C0">
        <w:rPr>
          <w:rFonts w:ascii="Times New Roman" w:hAnsi="Times New Roman"/>
          <w:szCs w:val="22"/>
        </w:rPr>
        <w:t>tis. eur</w:t>
      </w:r>
      <w:r>
        <w:rPr>
          <w:rFonts w:ascii="Times New Roman" w:hAnsi="Times New Roman"/>
          <w:szCs w:val="22"/>
        </w:rPr>
        <w:t>)</w:t>
      </w:r>
      <w:r w:rsidRPr="002339C0">
        <w:rPr>
          <w:rFonts w:ascii="Times New Roman" w:hAnsi="Times New Roman"/>
          <w:szCs w:val="22"/>
        </w:rPr>
        <w:t>.</w:t>
      </w:r>
    </w:p>
    <w:p w:rsidR="0088651E" w:rsidRPr="00BA3A27" w:rsidP="0088651E">
      <w:pPr>
        <w:bidi w:val="0"/>
        <w:rPr>
          <w:rFonts w:ascii="Times New Roman" w:hAnsi="Times New Roman"/>
          <w:szCs w:val="22"/>
        </w:rPr>
      </w:pPr>
      <w:r>
        <w:rPr>
          <w:rFonts w:ascii="Times New Roman" w:hAnsi="Times New Roman"/>
          <w:szCs w:val="22"/>
        </w:rPr>
        <w:t>Výdavky Ministerstva dopravy a</w:t>
      </w:r>
      <w:r w:rsidRPr="002C2F17">
        <w:rPr>
          <w:rFonts w:ascii="Times New Roman" w:hAnsi="Times New Roman"/>
          <w:szCs w:val="22"/>
        </w:rPr>
        <w:t xml:space="preserve"> výstavby SR </w:t>
      </w:r>
      <w:r w:rsidRPr="002C2F17">
        <w:rPr>
          <w:rFonts w:ascii="Times New Roman" w:hAnsi="Times New Roman"/>
          <w:i/>
          <w:szCs w:val="22"/>
        </w:rPr>
        <w:t xml:space="preserve">na realizáciu nových stavieb </w:t>
      </w:r>
      <w:r w:rsidRPr="002C2F17">
        <w:rPr>
          <w:rFonts w:ascii="Times New Roman" w:hAnsi="Times New Roman"/>
          <w:szCs w:val="22"/>
        </w:rPr>
        <w:t>predstav</w:t>
      </w:r>
      <w:r>
        <w:rPr>
          <w:rFonts w:ascii="Times New Roman" w:hAnsi="Times New Roman"/>
          <w:szCs w:val="22"/>
        </w:rPr>
        <w:t xml:space="preserve">ovali sumu 137 090 tis. eur. Takmer celú sumu tvoria výdavky Slovenskej správy ciest na výstavbu verejných účelových komunikácií v regióne Nitra. Výdavky </w:t>
      </w:r>
      <w:r w:rsidRPr="00BA3A27">
        <w:rPr>
          <w:rFonts w:ascii="Times New Roman" w:hAnsi="Times New Roman"/>
          <w:i/>
          <w:szCs w:val="22"/>
        </w:rPr>
        <w:t>na rekonštrukciu a</w:t>
      </w:r>
      <w:r>
        <w:rPr>
          <w:rFonts w:ascii="Times New Roman" w:hAnsi="Times New Roman"/>
          <w:i/>
          <w:szCs w:val="22"/>
        </w:rPr>
        <w:t xml:space="preserve"> </w:t>
      </w:r>
      <w:r w:rsidRPr="00BA3A27">
        <w:rPr>
          <w:rFonts w:ascii="Times New Roman" w:hAnsi="Times New Roman"/>
          <w:i/>
          <w:szCs w:val="22"/>
        </w:rPr>
        <w:t xml:space="preserve">modernizáciu </w:t>
      </w:r>
      <w:r w:rsidRPr="00BA3A27">
        <w:rPr>
          <w:rFonts w:ascii="Times New Roman" w:hAnsi="Times New Roman"/>
          <w:szCs w:val="22"/>
        </w:rPr>
        <w:t>stavieb</w:t>
      </w:r>
      <w:r>
        <w:rPr>
          <w:rFonts w:ascii="Times New Roman" w:hAnsi="Times New Roman"/>
          <w:szCs w:val="22"/>
        </w:rPr>
        <w:t xml:space="preserve"> </w:t>
      </w:r>
      <w:r w:rsidRPr="00BA3A27">
        <w:rPr>
          <w:rFonts w:ascii="Times New Roman" w:hAnsi="Times New Roman"/>
          <w:szCs w:val="22"/>
        </w:rPr>
        <w:t>v sume 52 903 tis. eur boli použité na výdavky Slovenskej správy ciest</w:t>
      </w:r>
      <w:r>
        <w:rPr>
          <w:rFonts w:ascii="Times New Roman" w:hAnsi="Times New Roman"/>
          <w:szCs w:val="22"/>
        </w:rPr>
        <w:t xml:space="preserve"> na </w:t>
      </w:r>
      <w:r w:rsidRPr="00DF5151">
        <w:rPr>
          <w:rFonts w:ascii="Times New Roman" w:hAnsi="Times New Roman"/>
          <w:szCs w:val="22"/>
        </w:rPr>
        <w:t>rekonštrukcie a</w:t>
      </w:r>
      <w:r>
        <w:rPr>
          <w:rFonts w:ascii="Times New Roman" w:hAnsi="Times New Roman"/>
          <w:szCs w:val="22"/>
        </w:rPr>
        <w:t xml:space="preserve"> </w:t>
      </w:r>
      <w:r w:rsidRPr="00DF5151">
        <w:rPr>
          <w:rFonts w:ascii="Times New Roman" w:hAnsi="Times New Roman"/>
          <w:szCs w:val="22"/>
        </w:rPr>
        <w:t>modernizácie ciest I. triedy, mostov, vozoviek, prechodov pre chodcov a</w:t>
      </w:r>
      <w:r>
        <w:rPr>
          <w:rFonts w:ascii="Times New Roman" w:hAnsi="Times New Roman"/>
          <w:szCs w:val="22"/>
        </w:rPr>
        <w:t xml:space="preserve"> </w:t>
      </w:r>
      <w:r w:rsidRPr="00DF5151">
        <w:rPr>
          <w:rFonts w:ascii="Times New Roman" w:hAnsi="Times New Roman"/>
          <w:szCs w:val="22"/>
        </w:rPr>
        <w:t>pod</w:t>
      </w:r>
      <w:r>
        <w:rPr>
          <w:rFonts w:ascii="Times New Roman" w:hAnsi="Times New Roman"/>
          <w:szCs w:val="22"/>
        </w:rPr>
        <w:t xml:space="preserve">. </w:t>
      </w:r>
    </w:p>
    <w:p w:rsidR="0088651E" w:rsidRPr="00E03032" w:rsidP="0088651E">
      <w:pPr>
        <w:bidi w:val="0"/>
        <w:rPr>
          <w:rFonts w:ascii="Times New Roman" w:hAnsi="Times New Roman"/>
          <w:szCs w:val="22"/>
        </w:rPr>
      </w:pPr>
      <w:r w:rsidRPr="00E03032">
        <w:rPr>
          <w:rFonts w:ascii="Times New Roman" w:hAnsi="Times New Roman"/>
          <w:szCs w:val="22"/>
        </w:rPr>
        <w:t xml:space="preserve">Výdavky Ministerstva obrany SR na </w:t>
      </w:r>
      <w:r w:rsidRPr="00E03032">
        <w:rPr>
          <w:rFonts w:ascii="Times New Roman" w:hAnsi="Times New Roman"/>
          <w:i/>
          <w:szCs w:val="22"/>
        </w:rPr>
        <w:t>realizáciu nových stavieb</w:t>
      </w:r>
      <w:r w:rsidRPr="00E03032">
        <w:rPr>
          <w:rFonts w:ascii="Times New Roman" w:hAnsi="Times New Roman"/>
          <w:szCs w:val="22"/>
        </w:rPr>
        <w:t xml:space="preserve"> boli vo výške 20 001 tis. eur, </w:t>
      </w:r>
      <w:r w:rsidR="00F11CAA">
        <w:rPr>
          <w:rFonts w:ascii="Times New Roman" w:hAnsi="Times New Roman"/>
          <w:szCs w:val="22"/>
        </w:rPr>
        <w:br/>
      </w:r>
      <w:r w:rsidRPr="00E03032">
        <w:rPr>
          <w:rFonts w:ascii="Times New Roman" w:hAnsi="Times New Roman"/>
        </w:rPr>
        <w:t xml:space="preserve">na </w:t>
      </w:r>
      <w:r w:rsidRPr="00E03032">
        <w:rPr>
          <w:rFonts w:ascii="Times New Roman" w:hAnsi="Times New Roman"/>
          <w:i/>
        </w:rPr>
        <w:t>rekonštrukciu</w:t>
      </w:r>
      <w:r>
        <w:rPr>
          <w:rFonts w:ascii="Times New Roman" w:hAnsi="Times New Roman"/>
          <w:i/>
          <w:szCs w:val="22"/>
        </w:rPr>
        <w:t xml:space="preserve"> a </w:t>
      </w:r>
      <w:r w:rsidRPr="00E03032">
        <w:rPr>
          <w:rFonts w:ascii="Times New Roman" w:hAnsi="Times New Roman"/>
          <w:i/>
          <w:szCs w:val="22"/>
        </w:rPr>
        <w:t>modernizáciu</w:t>
      </w:r>
      <w:r w:rsidRPr="00E03032">
        <w:rPr>
          <w:rFonts w:ascii="Times New Roman" w:hAnsi="Times New Roman"/>
          <w:szCs w:val="22"/>
        </w:rPr>
        <w:t xml:space="preserve"> v sume </w:t>
      </w:r>
      <w:r>
        <w:rPr>
          <w:rFonts w:ascii="Times New Roman" w:hAnsi="Times New Roman"/>
          <w:szCs w:val="22"/>
        </w:rPr>
        <w:t>7 458 </w:t>
      </w:r>
      <w:r w:rsidRPr="00E03032">
        <w:rPr>
          <w:rFonts w:ascii="Times New Roman" w:hAnsi="Times New Roman"/>
        </w:rPr>
        <w:t>tis.</w:t>
      </w:r>
      <w:r>
        <w:rPr>
          <w:rFonts w:ascii="Times New Roman" w:hAnsi="Times New Roman"/>
        </w:rPr>
        <w:t> </w:t>
      </w:r>
      <w:r w:rsidRPr="00E03032">
        <w:rPr>
          <w:rFonts w:ascii="Times New Roman" w:hAnsi="Times New Roman"/>
        </w:rPr>
        <w:t>eur</w:t>
      </w:r>
      <w:r>
        <w:rPr>
          <w:rFonts w:ascii="Times New Roman" w:hAnsi="Times New Roman"/>
        </w:rPr>
        <w:t>.</w:t>
      </w:r>
      <w:r w:rsidRPr="00E03032">
        <w:rPr>
          <w:rFonts w:ascii="Times New Roman" w:hAnsi="Times New Roman"/>
        </w:rPr>
        <w:t xml:space="preserve"> </w:t>
      </w:r>
      <w:r>
        <w:rPr>
          <w:rFonts w:ascii="Times New Roman" w:hAnsi="Times New Roman"/>
        </w:rPr>
        <w:t>I</w:t>
      </w:r>
      <w:r w:rsidRPr="00E03032">
        <w:rPr>
          <w:rFonts w:ascii="Times New Roman" w:hAnsi="Times New Roman"/>
        </w:rPr>
        <w:t xml:space="preserve">šlo o prostriedky, ktoré </w:t>
      </w:r>
      <w:r w:rsidRPr="00E03032">
        <w:rPr>
          <w:rFonts w:ascii="Times New Roman" w:hAnsi="Times New Roman"/>
          <w:szCs w:val="22"/>
        </w:rPr>
        <w:t xml:space="preserve">boli použité najmä na zabezpečenie plnenia úloh obrany štátu. </w:t>
      </w:r>
    </w:p>
    <w:p w:rsidR="0088651E" w:rsidP="0088651E">
      <w:pPr>
        <w:bidi w:val="0"/>
        <w:rPr>
          <w:rFonts w:ascii="Times New Roman" w:hAnsi="Times New Roman"/>
          <w:lang w:eastAsia="sk-SK"/>
        </w:rPr>
      </w:pPr>
      <w:r w:rsidRPr="00FC6F33">
        <w:rPr>
          <w:rFonts w:ascii="Times New Roman" w:hAnsi="Times New Roman"/>
          <w:szCs w:val="22"/>
        </w:rPr>
        <w:t xml:space="preserve">Kapitola Ministerstva spravodlivosti SR čerpala výdavky </w:t>
      </w:r>
      <w:r w:rsidRPr="00FC6F33">
        <w:rPr>
          <w:rFonts w:ascii="Times New Roman" w:hAnsi="Times New Roman"/>
          <w:i/>
          <w:szCs w:val="22"/>
        </w:rPr>
        <w:t>na rekonštrukciu a</w:t>
      </w:r>
      <w:r>
        <w:rPr>
          <w:rFonts w:ascii="Times New Roman" w:hAnsi="Times New Roman"/>
          <w:i/>
          <w:szCs w:val="22"/>
        </w:rPr>
        <w:t xml:space="preserve"> </w:t>
      </w:r>
      <w:r w:rsidRPr="00FC6F33">
        <w:rPr>
          <w:rFonts w:ascii="Times New Roman" w:hAnsi="Times New Roman"/>
          <w:i/>
          <w:szCs w:val="22"/>
        </w:rPr>
        <w:t>modernizáciu</w:t>
      </w:r>
      <w:r>
        <w:rPr>
          <w:rFonts w:ascii="Times New Roman" w:hAnsi="Times New Roman"/>
          <w:szCs w:val="22"/>
        </w:rPr>
        <w:t xml:space="preserve"> v sume </w:t>
      </w:r>
      <w:r w:rsidRPr="00FC6F33">
        <w:rPr>
          <w:rFonts w:ascii="Times New Roman" w:hAnsi="Times New Roman"/>
        </w:rPr>
        <w:t>12</w:t>
      </w:r>
      <w:r>
        <w:rPr>
          <w:rFonts w:ascii="Times New Roman" w:hAnsi="Times New Roman"/>
        </w:rPr>
        <w:t> 022 tis. eur, a to najmä v</w:t>
      </w:r>
      <w:r w:rsidRPr="00FC6F33">
        <w:rPr>
          <w:rFonts w:ascii="Times New Roman" w:hAnsi="Times New Roman"/>
          <w:szCs w:val="22"/>
        </w:rPr>
        <w:t> rámci programu Väzenstvo</w:t>
      </w:r>
      <w:r>
        <w:rPr>
          <w:rFonts w:ascii="Times New Roman" w:hAnsi="Times New Roman"/>
          <w:szCs w:val="22"/>
        </w:rPr>
        <w:t xml:space="preserve">, kde </w:t>
      </w:r>
      <w:r>
        <w:rPr>
          <w:rFonts w:ascii="Times New Roman" w:hAnsi="Times New Roman"/>
        </w:rPr>
        <w:t>išlo</w:t>
      </w:r>
      <w:r w:rsidRPr="00FC6F33">
        <w:rPr>
          <w:rFonts w:ascii="Times New Roman" w:hAnsi="Times New Roman"/>
        </w:rPr>
        <w:t xml:space="preserve"> o investičné akcie</w:t>
      </w:r>
      <w:r>
        <w:rPr>
          <w:rFonts w:ascii="Times New Roman" w:hAnsi="Times New Roman"/>
        </w:rPr>
        <w:t xml:space="preserve"> v podobe </w:t>
      </w:r>
      <w:r w:rsidRPr="00FC6F33">
        <w:rPr>
          <w:rFonts w:ascii="Times New Roman" w:hAnsi="Times New Roman"/>
        </w:rPr>
        <w:t>rekonštrukci</w:t>
      </w:r>
      <w:r>
        <w:rPr>
          <w:rFonts w:ascii="Times New Roman" w:hAnsi="Times New Roman"/>
        </w:rPr>
        <w:t>í</w:t>
      </w:r>
      <w:r w:rsidRPr="00FC6F33">
        <w:rPr>
          <w:rFonts w:ascii="Times New Roman" w:hAnsi="Times New Roman"/>
        </w:rPr>
        <w:t xml:space="preserve"> </w:t>
      </w:r>
      <w:r>
        <w:rPr>
          <w:rFonts w:ascii="Times New Roman" w:hAnsi="Times New Roman"/>
        </w:rPr>
        <w:t>ú</w:t>
      </w:r>
      <w:r w:rsidRPr="00FC6F33">
        <w:rPr>
          <w:rFonts w:ascii="Times New Roman" w:hAnsi="Times New Roman"/>
        </w:rPr>
        <w:t>stav</w:t>
      </w:r>
      <w:r>
        <w:rPr>
          <w:rFonts w:ascii="Times New Roman" w:hAnsi="Times New Roman"/>
        </w:rPr>
        <w:t>ov</w:t>
      </w:r>
      <w:r w:rsidRPr="00FC6F33">
        <w:rPr>
          <w:rFonts w:ascii="Times New Roman" w:hAnsi="Times New Roman"/>
        </w:rPr>
        <w:t xml:space="preserve"> na výkon trestu odňatia</w:t>
      </w:r>
      <w:r>
        <w:rPr>
          <w:rFonts w:ascii="Times New Roman" w:hAnsi="Times New Roman"/>
        </w:rPr>
        <w:t xml:space="preserve"> slobody.</w:t>
      </w:r>
      <w:r w:rsidRPr="00FC6F33">
        <w:rPr>
          <w:rFonts w:ascii="Times New Roman" w:hAnsi="Times New Roman"/>
        </w:rPr>
        <w:t xml:space="preserve"> </w:t>
      </w:r>
      <w:r>
        <w:rPr>
          <w:rFonts w:ascii="Times New Roman" w:hAnsi="Times New Roman"/>
        </w:rPr>
        <w:t>V</w:t>
      </w:r>
      <w:r w:rsidRPr="00FC6F33">
        <w:rPr>
          <w:rFonts w:ascii="Times New Roman" w:hAnsi="Times New Roman"/>
        </w:rPr>
        <w:t> programe Financovanie systému súdnic</w:t>
      </w:r>
      <w:r>
        <w:rPr>
          <w:rFonts w:ascii="Times New Roman" w:hAnsi="Times New Roman"/>
        </w:rPr>
        <w:t>tva</w:t>
      </w:r>
      <w:r w:rsidRPr="00FC6F33">
        <w:rPr>
          <w:rFonts w:ascii="Times New Roman" w:hAnsi="Times New Roman"/>
        </w:rPr>
        <w:t xml:space="preserve"> i</w:t>
      </w:r>
      <w:r>
        <w:rPr>
          <w:rFonts w:ascii="Times New Roman" w:hAnsi="Times New Roman"/>
        </w:rPr>
        <w:t>šlo</w:t>
      </w:r>
      <w:r w:rsidRPr="00FC6F33">
        <w:rPr>
          <w:rFonts w:ascii="Times New Roman" w:hAnsi="Times New Roman"/>
        </w:rPr>
        <w:t xml:space="preserve"> o r</w:t>
      </w:r>
      <w:r w:rsidRPr="00FC6F33">
        <w:rPr>
          <w:rFonts w:ascii="Times New Roman" w:hAnsi="Times New Roman"/>
          <w:lang w:eastAsia="sk-SK"/>
        </w:rPr>
        <w:t>ekonštrukci</w:t>
      </w:r>
      <w:r>
        <w:rPr>
          <w:rFonts w:ascii="Times New Roman" w:hAnsi="Times New Roman"/>
          <w:lang w:eastAsia="sk-SK"/>
        </w:rPr>
        <w:t>e</w:t>
      </w:r>
      <w:r w:rsidRPr="00FC6F33">
        <w:rPr>
          <w:rFonts w:ascii="Times New Roman" w:hAnsi="Times New Roman"/>
          <w:lang w:eastAsia="sk-SK"/>
        </w:rPr>
        <w:t xml:space="preserve"> a modernizáci</w:t>
      </w:r>
      <w:r>
        <w:rPr>
          <w:rFonts w:ascii="Times New Roman" w:hAnsi="Times New Roman"/>
          <w:lang w:eastAsia="sk-SK"/>
        </w:rPr>
        <w:t>e</w:t>
      </w:r>
      <w:r w:rsidRPr="00FC6F33">
        <w:rPr>
          <w:rFonts w:ascii="Times New Roman" w:hAnsi="Times New Roman"/>
          <w:lang w:eastAsia="sk-SK"/>
        </w:rPr>
        <w:t xml:space="preserve"> </w:t>
      </w:r>
      <w:r>
        <w:rPr>
          <w:rFonts w:ascii="Times New Roman" w:hAnsi="Times New Roman"/>
          <w:lang w:eastAsia="sk-SK"/>
        </w:rPr>
        <w:t>okresných súdov.</w:t>
      </w:r>
    </w:p>
    <w:p w:rsidR="0088651E" w:rsidP="0088651E">
      <w:pPr>
        <w:bidi w:val="0"/>
        <w:rPr>
          <w:rFonts w:ascii="Times New Roman" w:hAnsi="Times New Roman"/>
          <w:color w:val="000000"/>
          <w:lang w:eastAsia="sk-SK"/>
        </w:rPr>
      </w:pPr>
      <w:r>
        <w:rPr>
          <w:rFonts w:ascii="Times New Roman" w:hAnsi="Times New Roman"/>
          <w:color w:val="000000"/>
          <w:lang w:eastAsia="sk-SK"/>
        </w:rPr>
        <w:t xml:space="preserve">Správa štátnych hmotných rezerv SR čerpala </w:t>
      </w:r>
      <w:r w:rsidRPr="008F0E9C">
        <w:rPr>
          <w:rFonts w:ascii="Times New Roman" w:hAnsi="Times New Roman"/>
          <w:i/>
          <w:color w:val="000000"/>
          <w:lang w:eastAsia="sk-SK"/>
        </w:rPr>
        <w:t>na rekonštrukciu a modernizáciu stavieb</w:t>
      </w:r>
      <w:r>
        <w:rPr>
          <w:rFonts w:ascii="Times New Roman" w:hAnsi="Times New Roman"/>
          <w:color w:val="000000"/>
          <w:lang w:eastAsia="sk-SK"/>
        </w:rPr>
        <w:t xml:space="preserve"> v skutočnosti výdavky v sume 4 833 tis. eur na </w:t>
      </w:r>
      <w:r w:rsidRPr="00707F29">
        <w:rPr>
          <w:rFonts w:ascii="Times New Roman" w:hAnsi="Times New Roman"/>
          <w:color w:val="000000"/>
          <w:lang w:eastAsia="sk-SK"/>
        </w:rPr>
        <w:t>kompletn</w:t>
      </w:r>
      <w:r>
        <w:rPr>
          <w:rFonts w:ascii="Times New Roman" w:hAnsi="Times New Roman"/>
          <w:color w:val="000000"/>
          <w:lang w:eastAsia="sk-SK"/>
        </w:rPr>
        <w:t>ú</w:t>
      </w:r>
      <w:r w:rsidRPr="00707F29">
        <w:rPr>
          <w:rFonts w:ascii="Times New Roman" w:hAnsi="Times New Roman"/>
          <w:color w:val="000000"/>
          <w:lang w:eastAsia="sk-SK"/>
        </w:rPr>
        <w:t xml:space="preserve"> rekonštrukci</w:t>
      </w:r>
      <w:r>
        <w:rPr>
          <w:rFonts w:ascii="Times New Roman" w:hAnsi="Times New Roman"/>
          <w:color w:val="000000"/>
          <w:lang w:eastAsia="sk-SK"/>
        </w:rPr>
        <w:t>u</w:t>
      </w:r>
      <w:r w:rsidRPr="00707F29">
        <w:rPr>
          <w:rFonts w:ascii="Times New Roman" w:hAnsi="Times New Roman"/>
          <w:color w:val="000000"/>
          <w:lang w:eastAsia="sk-SK"/>
        </w:rPr>
        <w:t xml:space="preserve"> vnútroareálových komunikáci</w:t>
      </w:r>
      <w:r>
        <w:rPr>
          <w:rFonts w:ascii="Times New Roman" w:hAnsi="Times New Roman"/>
          <w:color w:val="000000"/>
          <w:lang w:eastAsia="sk-SK"/>
        </w:rPr>
        <w:t>í</w:t>
      </w:r>
      <w:r w:rsidRPr="00707F29">
        <w:rPr>
          <w:rFonts w:ascii="Times New Roman" w:hAnsi="Times New Roman"/>
          <w:color w:val="000000"/>
          <w:lang w:eastAsia="sk-SK"/>
        </w:rPr>
        <w:t xml:space="preserve"> závodov a</w:t>
      </w:r>
      <w:r>
        <w:rPr>
          <w:rFonts w:ascii="Times New Roman" w:hAnsi="Times New Roman"/>
          <w:color w:val="000000"/>
          <w:lang w:eastAsia="sk-SK"/>
        </w:rPr>
        <w:t> </w:t>
      </w:r>
      <w:r w:rsidRPr="00707F29">
        <w:rPr>
          <w:rFonts w:ascii="Times New Roman" w:hAnsi="Times New Roman"/>
          <w:color w:val="000000"/>
          <w:lang w:eastAsia="sk-SK"/>
        </w:rPr>
        <w:t>objektov</w:t>
      </w:r>
      <w:r>
        <w:rPr>
          <w:rFonts w:ascii="Times New Roman" w:hAnsi="Times New Roman"/>
          <w:color w:val="000000"/>
          <w:lang w:eastAsia="sk-SK"/>
        </w:rPr>
        <w:t xml:space="preserve">, na </w:t>
      </w:r>
      <w:r w:rsidRPr="00707F29">
        <w:rPr>
          <w:rFonts w:ascii="Times New Roman" w:hAnsi="Times New Roman"/>
          <w:color w:val="000000"/>
          <w:lang w:eastAsia="sk-SK"/>
        </w:rPr>
        <w:t>vybudovanie automaticky riadenej decentralizovanej vzduchotechniky skladov</w:t>
      </w:r>
      <w:r>
        <w:rPr>
          <w:rFonts w:ascii="Times New Roman" w:hAnsi="Times New Roman"/>
          <w:color w:val="000000"/>
          <w:lang w:eastAsia="sk-SK"/>
        </w:rPr>
        <w:t xml:space="preserve"> a pod. </w:t>
      </w:r>
    </w:p>
    <w:p w:rsidR="0088651E" w:rsidP="0088651E">
      <w:pPr>
        <w:bidi w:val="0"/>
        <w:rPr>
          <w:rFonts w:ascii="Times New Roman" w:hAnsi="Times New Roman"/>
        </w:rPr>
      </w:pPr>
      <w:r>
        <w:rPr>
          <w:rFonts w:ascii="Times New Roman" w:hAnsi="Times New Roman"/>
        </w:rPr>
        <w:t xml:space="preserve">Ministerstva vnútra SR čerpalo </w:t>
      </w:r>
      <w:r w:rsidRPr="00C343DD">
        <w:rPr>
          <w:rFonts w:ascii="Times New Roman" w:hAnsi="Times New Roman"/>
          <w:i/>
        </w:rPr>
        <w:t>na rekonštrukciu a modernizáciu</w:t>
      </w:r>
      <w:r>
        <w:rPr>
          <w:rFonts w:ascii="Times New Roman" w:hAnsi="Times New Roman"/>
        </w:rPr>
        <w:t xml:space="preserve"> </w:t>
      </w:r>
      <w:r w:rsidRPr="009631F4">
        <w:rPr>
          <w:rFonts w:ascii="Times New Roman" w:hAnsi="Times New Roman"/>
          <w:i/>
        </w:rPr>
        <w:t>budov alebo ich častí</w:t>
      </w:r>
      <w:r>
        <w:rPr>
          <w:rFonts w:ascii="Times New Roman" w:hAnsi="Times New Roman"/>
        </w:rPr>
        <w:t xml:space="preserve"> 7 242 tis. eur, napr. na </w:t>
      </w:r>
      <w:r w:rsidRPr="00C343DD">
        <w:rPr>
          <w:rFonts w:ascii="Times New Roman" w:hAnsi="Times New Roman"/>
        </w:rPr>
        <w:t>rekonštrukci</w:t>
      </w:r>
      <w:r>
        <w:rPr>
          <w:rFonts w:ascii="Times New Roman" w:hAnsi="Times New Roman"/>
        </w:rPr>
        <w:t xml:space="preserve">u Kriminalisticko expertízneho ústavu Policajného zboru, rekonštrukciu zariadení okresných riaditeľstiev </w:t>
      </w:r>
      <w:r w:rsidRPr="00C343DD">
        <w:rPr>
          <w:rFonts w:ascii="Times New Roman" w:hAnsi="Times New Roman"/>
        </w:rPr>
        <w:t>P</w:t>
      </w:r>
      <w:r>
        <w:rPr>
          <w:rFonts w:ascii="Times New Roman" w:hAnsi="Times New Roman"/>
        </w:rPr>
        <w:t>Z, hasičských staníc, obvodných úradov a škôl.</w:t>
      </w:r>
    </w:p>
    <w:p w:rsidR="0088651E" w:rsidP="0088651E">
      <w:pPr>
        <w:bidi w:val="0"/>
        <w:rPr>
          <w:rFonts w:ascii="Times New Roman" w:hAnsi="Times New Roman"/>
          <w:b/>
          <w:bCs/>
          <w:color w:val="000000"/>
          <w:szCs w:val="22"/>
          <w:lang w:eastAsia="sk-SK"/>
        </w:rPr>
      </w:pPr>
      <w:r>
        <w:rPr>
          <w:rFonts w:ascii="Times New Roman" w:hAnsi="Times New Roman"/>
        </w:rPr>
        <w:t xml:space="preserve">Výdavky na </w:t>
      </w:r>
      <w:r w:rsidRPr="00FC6F33">
        <w:rPr>
          <w:rFonts w:ascii="Times New Roman" w:hAnsi="Times New Roman"/>
          <w:i/>
          <w:color w:val="000000"/>
          <w:lang w:eastAsia="sk-SK"/>
        </w:rPr>
        <w:t>prístavby, nadstavby, stavebné úpravy</w:t>
      </w:r>
      <w:r>
        <w:rPr>
          <w:rFonts w:ascii="Times New Roman" w:hAnsi="Times New Roman"/>
          <w:i/>
          <w:color w:val="000000"/>
          <w:lang w:eastAsia="sk-SK"/>
        </w:rPr>
        <w:t xml:space="preserve"> </w:t>
      </w:r>
      <w:r w:rsidRPr="003A05D8">
        <w:rPr>
          <w:rFonts w:ascii="Times New Roman" w:hAnsi="Times New Roman"/>
          <w:color w:val="000000"/>
          <w:lang w:eastAsia="sk-SK"/>
        </w:rPr>
        <w:t>boli čerpané v sume 1</w:t>
      </w:r>
      <w:r>
        <w:rPr>
          <w:rFonts w:ascii="Times New Roman" w:hAnsi="Times New Roman"/>
          <w:color w:val="000000"/>
          <w:lang w:eastAsia="sk-SK"/>
        </w:rPr>
        <w:t> </w:t>
      </w:r>
      <w:r w:rsidRPr="003A05D8">
        <w:rPr>
          <w:rFonts w:ascii="Times New Roman" w:hAnsi="Times New Roman"/>
          <w:color w:val="000000"/>
          <w:lang w:eastAsia="sk-SK"/>
        </w:rPr>
        <w:t>548</w:t>
      </w:r>
      <w:r>
        <w:rPr>
          <w:rFonts w:ascii="Times New Roman" w:hAnsi="Times New Roman"/>
          <w:color w:val="000000"/>
          <w:lang w:eastAsia="sk-SK"/>
        </w:rPr>
        <w:t xml:space="preserve"> tis. eur </w:t>
      </w:r>
      <w:r>
        <w:rPr>
          <w:rFonts w:ascii="Times New Roman" w:hAnsi="Times New Roman"/>
          <w:color w:val="000000"/>
        </w:rPr>
        <w:t>na stavebné úpravy budov, napríklad klientskych centier v Trenčíne, Poprade, Sobranciach, Kysuckom Novom meste a na prestavbu a dostavbu hasičskej stanice v Dolnom Kubíne.</w:t>
      </w:r>
    </w:p>
    <w:p w:rsidR="0088651E" w:rsidRPr="001F0274" w:rsidP="0088651E">
      <w:pPr>
        <w:bidi w:val="0"/>
        <w:rPr>
          <w:rFonts w:ascii="Times New Roman" w:hAnsi="Times New Roman"/>
        </w:rPr>
      </w:pPr>
      <w:r w:rsidRPr="00197311">
        <w:rPr>
          <w:rFonts w:ascii="Times New Roman" w:hAnsi="Times New Roman"/>
          <w:b/>
          <w:i/>
          <w:szCs w:val="22"/>
        </w:rPr>
        <w:t>Nákup strojov, prístrojov, zariadení</w:t>
      </w:r>
      <w:r>
        <w:rPr>
          <w:rFonts w:ascii="Times New Roman" w:hAnsi="Times New Roman"/>
          <w:b/>
          <w:i/>
          <w:szCs w:val="22"/>
        </w:rPr>
        <w:t>,</w:t>
      </w:r>
      <w:r w:rsidRPr="00197311">
        <w:rPr>
          <w:rFonts w:ascii="Times New Roman" w:hAnsi="Times New Roman"/>
          <w:b/>
          <w:i/>
          <w:szCs w:val="22"/>
        </w:rPr>
        <w:t xml:space="preserve"> techniky</w:t>
      </w:r>
      <w:r>
        <w:rPr>
          <w:rFonts w:ascii="Times New Roman" w:hAnsi="Times New Roman"/>
          <w:b/>
          <w:i/>
          <w:szCs w:val="22"/>
        </w:rPr>
        <w:t xml:space="preserve"> a náradia</w:t>
      </w:r>
      <w:r w:rsidRPr="00197311">
        <w:rPr>
          <w:rFonts w:ascii="Times New Roman" w:hAnsi="Times New Roman"/>
          <w:szCs w:val="22"/>
        </w:rPr>
        <w:t xml:space="preserve"> dosiahol skutočnosť 93 353 tis. eur</w:t>
      </w:r>
      <w:r>
        <w:rPr>
          <w:rFonts w:ascii="Times New Roman" w:hAnsi="Times New Roman"/>
          <w:szCs w:val="22"/>
        </w:rPr>
        <w:t xml:space="preserve">. </w:t>
      </w:r>
      <w:r w:rsidRPr="003C7FF0">
        <w:rPr>
          <w:rFonts w:ascii="Times New Roman" w:hAnsi="Times New Roman"/>
          <w:szCs w:val="22"/>
        </w:rPr>
        <w:t>Najväčší podiel na znížení skutočnosti oproti schválenému rozpočtu malo Ministerstvo zdravotníctva SR (o 69 </w:t>
      </w:r>
      <w:r w:rsidRPr="003C7FF0">
        <w:rPr>
          <w:rFonts w:ascii="Times New Roman" w:hAnsi="Times New Roman"/>
        </w:rPr>
        <w:t>611 tis. eur), z dôvodu presunu týchto prostriedkov pri ich čerpaní</w:t>
      </w:r>
      <w:r>
        <w:rPr>
          <w:rFonts w:ascii="Times New Roman" w:hAnsi="Times New Roman"/>
        </w:rPr>
        <w:t xml:space="preserve"> na bežný alebo kapitálový transfer príspevkovým organizáciám. </w:t>
      </w:r>
    </w:p>
    <w:p w:rsidR="0088651E" w:rsidRPr="00E97C61" w:rsidP="0088651E">
      <w:pPr>
        <w:bidi w:val="0"/>
        <w:rPr>
          <w:rFonts w:ascii="Times New Roman" w:hAnsi="Times New Roman"/>
          <w:szCs w:val="22"/>
        </w:rPr>
      </w:pPr>
      <w:r w:rsidRPr="00E97C61">
        <w:rPr>
          <w:rFonts w:ascii="Times New Roman" w:hAnsi="Times New Roman"/>
          <w:szCs w:val="22"/>
        </w:rPr>
        <w:t xml:space="preserve">Ministerstvo obrany SR čerpalo prostriedky na </w:t>
      </w:r>
      <w:r w:rsidRPr="00E97C61">
        <w:rPr>
          <w:rFonts w:ascii="Times New Roman" w:hAnsi="Times New Roman"/>
          <w:i/>
          <w:szCs w:val="22"/>
        </w:rPr>
        <w:t>nákup špeciálnych strojov, prístrojov</w:t>
      </w:r>
      <w:r>
        <w:rPr>
          <w:rFonts w:ascii="Times New Roman" w:hAnsi="Times New Roman"/>
          <w:i/>
          <w:szCs w:val="22"/>
        </w:rPr>
        <w:t xml:space="preserve"> a </w:t>
      </w:r>
      <w:r w:rsidRPr="00E97C61">
        <w:rPr>
          <w:rFonts w:ascii="Times New Roman" w:hAnsi="Times New Roman"/>
          <w:i/>
          <w:szCs w:val="22"/>
        </w:rPr>
        <w:t>techniky</w:t>
      </w:r>
      <w:r w:rsidRPr="00E97C61">
        <w:rPr>
          <w:rFonts w:ascii="Times New Roman" w:hAnsi="Times New Roman"/>
          <w:szCs w:val="22"/>
        </w:rPr>
        <w:t xml:space="preserve"> </w:t>
      </w:r>
      <w:r>
        <w:rPr>
          <w:rFonts w:ascii="Times New Roman" w:hAnsi="Times New Roman"/>
          <w:szCs w:val="22"/>
        </w:rPr>
        <w:t>v </w:t>
      </w:r>
      <w:r w:rsidRPr="00E97C61">
        <w:rPr>
          <w:rFonts w:ascii="Times New Roman" w:hAnsi="Times New Roman"/>
          <w:szCs w:val="22"/>
        </w:rPr>
        <w:t>sume 56 331 tis. eur, ktoré použil</w:t>
      </w:r>
      <w:r>
        <w:rPr>
          <w:rFonts w:ascii="Times New Roman" w:hAnsi="Times New Roman"/>
          <w:szCs w:val="22"/>
        </w:rPr>
        <w:t>o</w:t>
      </w:r>
      <w:r w:rsidRPr="00E97C61">
        <w:rPr>
          <w:rFonts w:ascii="Times New Roman" w:hAnsi="Times New Roman"/>
          <w:szCs w:val="22"/>
        </w:rPr>
        <w:t xml:space="preserve"> na zabezpečenie plnenia úloh obrany štátu.</w:t>
      </w:r>
    </w:p>
    <w:p w:rsidR="0088651E" w:rsidRPr="0001382B" w:rsidP="0088651E">
      <w:pPr>
        <w:bidi w:val="0"/>
        <w:rPr>
          <w:rFonts w:ascii="Times New Roman" w:hAnsi="Times New Roman"/>
          <w:szCs w:val="22"/>
        </w:rPr>
      </w:pPr>
      <w:r w:rsidRPr="00E97C61">
        <w:rPr>
          <w:rFonts w:ascii="Times New Roman" w:hAnsi="Times New Roman"/>
          <w:szCs w:val="22"/>
        </w:rPr>
        <w:t xml:space="preserve">Ministerstvo financií SR v tejto položke kapitálových výdavkov najviac čerpalo výdavky na </w:t>
      </w:r>
      <w:r w:rsidRPr="00E97C61">
        <w:rPr>
          <w:rFonts w:ascii="Times New Roman" w:hAnsi="Times New Roman"/>
          <w:i/>
          <w:szCs w:val="22"/>
        </w:rPr>
        <w:t>nákup výpočtovej techniky</w:t>
      </w:r>
      <w:r w:rsidRPr="00E97C61">
        <w:rPr>
          <w:rFonts w:ascii="Times New Roman" w:hAnsi="Times New Roman"/>
          <w:szCs w:val="22"/>
        </w:rPr>
        <w:t xml:space="preserve"> v skutočnej hodnote 4 9</w:t>
      </w:r>
      <w:r>
        <w:rPr>
          <w:rFonts w:ascii="Times New Roman" w:hAnsi="Times New Roman"/>
          <w:szCs w:val="22"/>
        </w:rPr>
        <w:t>68</w:t>
      </w:r>
      <w:r w:rsidRPr="00E97C61">
        <w:rPr>
          <w:rFonts w:ascii="Times New Roman" w:hAnsi="Times New Roman"/>
          <w:szCs w:val="22"/>
        </w:rPr>
        <w:t> tis. eur</w:t>
      </w:r>
      <w:r>
        <w:rPr>
          <w:rFonts w:ascii="Times New Roman" w:hAnsi="Times New Roman"/>
          <w:szCs w:val="22"/>
        </w:rPr>
        <w:t>.</w:t>
      </w:r>
      <w:r w:rsidRPr="00E97C61">
        <w:rPr>
          <w:rFonts w:ascii="Times New Roman" w:hAnsi="Times New Roman"/>
          <w:szCs w:val="22"/>
        </w:rPr>
        <w:t xml:space="preserve"> </w:t>
      </w:r>
      <w:r>
        <w:rPr>
          <w:rFonts w:ascii="Times New Roman" w:hAnsi="Times New Roman"/>
          <w:szCs w:val="22"/>
        </w:rPr>
        <w:t>I</w:t>
      </w:r>
      <w:r w:rsidRPr="00E97C61">
        <w:rPr>
          <w:rFonts w:ascii="Times New Roman" w:hAnsi="Times New Roman"/>
          <w:szCs w:val="22"/>
        </w:rPr>
        <w:t xml:space="preserve">šlo </w:t>
      </w:r>
      <w:r>
        <w:rPr>
          <w:rFonts w:ascii="Times New Roman" w:hAnsi="Times New Roman"/>
          <w:szCs w:val="22"/>
        </w:rPr>
        <w:t xml:space="preserve">predovšetkým </w:t>
      </w:r>
      <w:r w:rsidRPr="0001382B">
        <w:rPr>
          <w:rFonts w:ascii="Times New Roman" w:hAnsi="Times New Roman"/>
          <w:szCs w:val="22"/>
        </w:rPr>
        <w:t>o nákup výpočtovej techniky pre informačné systémy riadenia verejných financií</w:t>
      </w:r>
      <w:r>
        <w:rPr>
          <w:rFonts w:ascii="Times New Roman" w:hAnsi="Times New Roman"/>
          <w:szCs w:val="22"/>
        </w:rPr>
        <w:t xml:space="preserve"> pre Datacentrum.</w:t>
      </w:r>
    </w:p>
    <w:p w:rsidR="0088651E" w:rsidP="0088651E">
      <w:pPr>
        <w:bidi w:val="0"/>
        <w:rPr>
          <w:rFonts w:ascii="Times New Roman" w:hAnsi="Times New Roman"/>
          <w:szCs w:val="22"/>
        </w:rPr>
      </w:pPr>
      <w:r>
        <w:rPr>
          <w:rFonts w:ascii="Times New Roman" w:hAnsi="Times New Roman"/>
          <w:szCs w:val="22"/>
        </w:rPr>
        <w:t xml:space="preserve">Výdavky Ministerstva vnútra SR na </w:t>
      </w:r>
      <w:r w:rsidRPr="00E97C61">
        <w:rPr>
          <w:rFonts w:ascii="Times New Roman" w:hAnsi="Times New Roman"/>
          <w:i/>
          <w:szCs w:val="22"/>
        </w:rPr>
        <w:t xml:space="preserve">nákup špeciálnych strojov, prístrojov, </w:t>
      </w:r>
      <w:r>
        <w:rPr>
          <w:rFonts w:ascii="Times New Roman" w:hAnsi="Times New Roman"/>
          <w:i/>
          <w:szCs w:val="22"/>
        </w:rPr>
        <w:t xml:space="preserve">zariadení a </w:t>
      </w:r>
      <w:r w:rsidRPr="00E97C61">
        <w:rPr>
          <w:rFonts w:ascii="Times New Roman" w:hAnsi="Times New Roman"/>
          <w:i/>
          <w:szCs w:val="22"/>
        </w:rPr>
        <w:t>techniky</w:t>
      </w:r>
      <w:r>
        <w:rPr>
          <w:rFonts w:ascii="Times New Roman" w:hAnsi="Times New Roman"/>
          <w:i/>
          <w:szCs w:val="22"/>
        </w:rPr>
        <w:t xml:space="preserve"> </w:t>
      </w:r>
      <w:r>
        <w:rPr>
          <w:rFonts w:ascii="Times New Roman" w:hAnsi="Times New Roman"/>
          <w:szCs w:val="22"/>
        </w:rPr>
        <w:t xml:space="preserve">dosiahli hodnotu 4 097 tis. a </w:t>
      </w:r>
      <w:r>
        <w:rPr>
          <w:rFonts w:ascii="Times New Roman" w:hAnsi="Times New Roman"/>
          <w:color w:val="000000"/>
        </w:rPr>
        <w:t xml:space="preserve">boli použité na nákup výzbrojnej techniky a špeciálnej techniky, zariadení a náradia (napr. záchranárske nosidlá, protipovodňové vozíky, mobilné zariadenie </w:t>
      </w:r>
      <w:r w:rsidR="00F11CAA">
        <w:rPr>
          <w:rFonts w:ascii="Times New Roman" w:hAnsi="Times New Roman"/>
          <w:color w:val="000000"/>
        </w:rPr>
        <w:br/>
      </w:r>
      <w:r>
        <w:rPr>
          <w:rFonts w:ascii="Times New Roman" w:hAnsi="Times New Roman"/>
          <w:color w:val="000000"/>
        </w:rPr>
        <w:t>na čistenie pitnej vody, evakuačná sieť, kontajnerový mobilný generátor, bezpečnostný systém, mobilný spektrometer a pod.).</w:t>
      </w:r>
      <w:r>
        <w:rPr>
          <w:rFonts w:ascii="Times New Roman" w:hAnsi="Times New Roman"/>
          <w:szCs w:val="22"/>
        </w:rPr>
        <w:t xml:space="preserve"> </w:t>
      </w:r>
    </w:p>
    <w:p w:rsidR="000113B6" w:rsidRPr="00961385" w:rsidP="00961385">
      <w:pPr>
        <w:bidi w:val="0"/>
        <w:rPr>
          <w:rFonts w:ascii="Times New Roman" w:hAnsi="Times New Roman"/>
          <w:szCs w:val="22"/>
        </w:rPr>
      </w:pPr>
      <w:r w:rsidRPr="00305D6F">
        <w:rPr>
          <w:rFonts w:ascii="Times New Roman" w:hAnsi="Times New Roman"/>
          <w:b/>
          <w:i/>
          <w:szCs w:val="22"/>
        </w:rPr>
        <w:t>Nákup dopravných prostriedkov všetkých druhov</w:t>
      </w:r>
      <w:r w:rsidRPr="006D0FF7">
        <w:rPr>
          <w:rFonts w:ascii="Times New Roman" w:hAnsi="Times New Roman"/>
          <w:szCs w:val="22"/>
        </w:rPr>
        <w:t xml:space="preserve"> dosiahol </w:t>
      </w:r>
      <w:r w:rsidRPr="006D0FF7" w:rsidR="00243CBD">
        <w:rPr>
          <w:rFonts w:ascii="Times New Roman" w:hAnsi="Times New Roman"/>
          <w:szCs w:val="22"/>
        </w:rPr>
        <w:t>83</w:t>
      </w:r>
      <w:r w:rsidRPr="006D0FF7">
        <w:rPr>
          <w:rFonts w:ascii="Times New Roman" w:hAnsi="Times New Roman"/>
          <w:szCs w:val="22"/>
        </w:rPr>
        <w:t> </w:t>
      </w:r>
      <w:r w:rsidRPr="006D0FF7" w:rsidR="00243CBD">
        <w:rPr>
          <w:rFonts w:ascii="Times New Roman" w:hAnsi="Times New Roman"/>
          <w:szCs w:val="22"/>
        </w:rPr>
        <w:t>439</w:t>
      </w:r>
      <w:r w:rsidRPr="006D0FF7">
        <w:rPr>
          <w:rFonts w:ascii="Times New Roman" w:hAnsi="Times New Roman"/>
          <w:szCs w:val="22"/>
        </w:rPr>
        <w:t xml:space="preserve"> tis. eur, z toho najväčší podiel výdavkov tvorila kapitola </w:t>
      </w:r>
      <w:r w:rsidR="00BE220F">
        <w:rPr>
          <w:rFonts w:ascii="Times New Roman" w:hAnsi="Times New Roman"/>
          <w:szCs w:val="22"/>
        </w:rPr>
        <w:t>Ministerstva</w:t>
      </w:r>
      <w:r w:rsidRPr="006D0FF7" w:rsidR="006D0FF7">
        <w:rPr>
          <w:rFonts w:ascii="Times New Roman" w:hAnsi="Times New Roman"/>
          <w:szCs w:val="22"/>
        </w:rPr>
        <w:t xml:space="preserve"> obrany SR vo výške 40 9</w:t>
      </w:r>
      <w:r w:rsidR="00E165C2">
        <w:rPr>
          <w:rFonts w:ascii="Times New Roman" w:hAnsi="Times New Roman"/>
          <w:szCs w:val="22"/>
        </w:rPr>
        <w:t>20</w:t>
      </w:r>
      <w:r w:rsidRPr="006D0FF7" w:rsidR="006D0FF7">
        <w:rPr>
          <w:rFonts w:ascii="Times New Roman" w:hAnsi="Times New Roman"/>
          <w:szCs w:val="22"/>
        </w:rPr>
        <w:t xml:space="preserve"> tis. eur a Ministerstvo</w:t>
      </w:r>
      <w:r w:rsidRPr="006D0FF7">
        <w:rPr>
          <w:rFonts w:ascii="Times New Roman" w:hAnsi="Times New Roman"/>
          <w:szCs w:val="22"/>
        </w:rPr>
        <w:t xml:space="preserve"> vnútra SR s výdavkami vo výške </w:t>
      </w:r>
      <w:r w:rsidRPr="006D0FF7" w:rsidR="006D0FF7">
        <w:rPr>
          <w:rFonts w:ascii="Times New Roman" w:hAnsi="Times New Roman"/>
          <w:szCs w:val="22"/>
        </w:rPr>
        <w:t>35 315</w:t>
      </w:r>
      <w:r w:rsidRPr="006D0FF7">
        <w:rPr>
          <w:rFonts w:ascii="Times New Roman" w:hAnsi="Times New Roman"/>
          <w:szCs w:val="22"/>
        </w:rPr>
        <w:t> tis. eur</w:t>
      </w:r>
      <w:r w:rsidRPr="00961385" w:rsidR="00961385">
        <w:rPr>
          <w:rFonts w:ascii="Times New Roman" w:hAnsi="Times New Roman"/>
          <w:szCs w:val="22"/>
        </w:rPr>
        <w:t>. V porovnaní s rokom 2016</w:t>
      </w:r>
      <w:r w:rsidRPr="00961385">
        <w:rPr>
          <w:rFonts w:ascii="Times New Roman" w:hAnsi="Times New Roman"/>
          <w:szCs w:val="22"/>
        </w:rPr>
        <w:t xml:space="preserve"> bol v tejto kategórii zaznamenaný pokles výdavkov o </w:t>
      </w:r>
      <w:r w:rsidRPr="00961385" w:rsidR="00961385">
        <w:rPr>
          <w:rFonts w:ascii="Times New Roman" w:hAnsi="Times New Roman"/>
          <w:szCs w:val="22"/>
        </w:rPr>
        <w:t>95</w:t>
      </w:r>
      <w:r w:rsidR="00BD00B0">
        <w:rPr>
          <w:rFonts w:ascii="Times New Roman" w:hAnsi="Times New Roman"/>
          <w:szCs w:val="22"/>
        </w:rPr>
        <w:t> </w:t>
      </w:r>
      <w:r w:rsidRPr="00961385" w:rsidR="00961385">
        <w:rPr>
          <w:rFonts w:ascii="Times New Roman" w:hAnsi="Times New Roman"/>
          <w:szCs w:val="22"/>
        </w:rPr>
        <w:t>54</w:t>
      </w:r>
      <w:r w:rsidR="00BD00B0">
        <w:rPr>
          <w:rFonts w:ascii="Times New Roman" w:hAnsi="Times New Roman"/>
          <w:szCs w:val="22"/>
        </w:rPr>
        <w:t>4 </w:t>
      </w:r>
      <w:r w:rsidRPr="00961385">
        <w:rPr>
          <w:rFonts w:ascii="Times New Roman" w:hAnsi="Times New Roman"/>
          <w:szCs w:val="22"/>
        </w:rPr>
        <w:t>tis. eur.</w:t>
      </w:r>
    </w:p>
    <w:p w:rsidR="00BD00B0" w:rsidP="00BD00B0">
      <w:pPr>
        <w:bidi w:val="0"/>
        <w:rPr>
          <w:rFonts w:ascii="Times New Roman" w:hAnsi="Times New Roman"/>
          <w:szCs w:val="22"/>
        </w:rPr>
      </w:pPr>
      <w:r w:rsidRPr="00BE220F">
        <w:rPr>
          <w:rFonts w:ascii="Times New Roman" w:hAnsi="Times New Roman"/>
          <w:szCs w:val="22"/>
        </w:rPr>
        <w:t>Ministerstvo obrany SR vykázalo v rámci tejto položky pr</w:t>
      </w:r>
      <w:r w:rsidR="00EC6E42">
        <w:rPr>
          <w:rFonts w:ascii="Times New Roman" w:hAnsi="Times New Roman"/>
          <w:szCs w:val="22"/>
        </w:rPr>
        <w:t>ostriedky</w:t>
      </w:r>
      <w:r w:rsidRPr="00BE220F">
        <w:rPr>
          <w:rFonts w:ascii="Times New Roman" w:hAnsi="Times New Roman"/>
          <w:szCs w:val="22"/>
        </w:rPr>
        <w:t xml:space="preserve"> v hodnote 40 9</w:t>
      </w:r>
      <w:r w:rsidR="003C555D">
        <w:rPr>
          <w:rFonts w:ascii="Times New Roman" w:hAnsi="Times New Roman"/>
          <w:szCs w:val="22"/>
        </w:rPr>
        <w:t>20</w:t>
      </w:r>
      <w:r w:rsidRPr="00BE220F">
        <w:rPr>
          <w:rFonts w:ascii="Times New Roman" w:hAnsi="Times New Roman"/>
          <w:szCs w:val="22"/>
        </w:rPr>
        <w:t> tis. eur,</w:t>
      </w:r>
      <w:r w:rsidR="00EC6E42">
        <w:rPr>
          <w:rFonts w:ascii="Times New Roman" w:hAnsi="Times New Roman"/>
          <w:szCs w:val="22"/>
        </w:rPr>
        <w:t xml:space="preserve"> z </w:t>
      </w:r>
      <w:r>
        <w:rPr>
          <w:rFonts w:ascii="Times New Roman" w:hAnsi="Times New Roman"/>
          <w:szCs w:val="22"/>
        </w:rPr>
        <w:t>toho</w:t>
      </w:r>
      <w:r w:rsidRPr="00BE220F">
        <w:rPr>
          <w:rFonts w:ascii="Times New Roman" w:hAnsi="Times New Roman"/>
          <w:szCs w:val="22"/>
        </w:rPr>
        <w:t xml:space="preserve"> </w:t>
      </w:r>
      <w:r>
        <w:rPr>
          <w:rFonts w:ascii="Times New Roman" w:hAnsi="Times New Roman"/>
          <w:szCs w:val="22"/>
        </w:rPr>
        <w:t xml:space="preserve">na </w:t>
      </w:r>
      <w:r w:rsidRPr="00BE220F">
        <w:rPr>
          <w:rFonts w:ascii="Times New Roman" w:hAnsi="Times New Roman"/>
          <w:i/>
        </w:rPr>
        <w:t>nákup dopravných lietadiel</w:t>
      </w:r>
      <w:r w:rsidRPr="00BE220F">
        <w:rPr>
          <w:rFonts w:ascii="Times New Roman" w:hAnsi="Times New Roman"/>
        </w:rPr>
        <w:t xml:space="preserve"> v</w:t>
      </w:r>
      <w:r>
        <w:rPr>
          <w:rFonts w:ascii="Times New Roman" w:hAnsi="Times New Roman"/>
        </w:rPr>
        <w:t> </w:t>
      </w:r>
      <w:r w:rsidRPr="00BE220F">
        <w:rPr>
          <w:rFonts w:ascii="Times New Roman" w:hAnsi="Times New Roman"/>
        </w:rPr>
        <w:t>hodnote</w:t>
      </w:r>
      <w:r>
        <w:rPr>
          <w:rFonts w:ascii="Times New Roman" w:hAnsi="Times New Roman"/>
        </w:rPr>
        <w:t xml:space="preserve"> 22 451 tis. eur, na </w:t>
      </w:r>
      <w:r w:rsidRPr="00925F4F">
        <w:rPr>
          <w:rFonts w:ascii="Times New Roman" w:hAnsi="Times New Roman"/>
          <w:i/>
        </w:rPr>
        <w:t>nákup nákladných vozidiel, ťahačov</w:t>
      </w:r>
      <w:r w:rsidRPr="00925F4F">
        <w:rPr>
          <w:rFonts w:ascii="Times New Roman" w:hAnsi="Times New Roman"/>
        </w:rPr>
        <w:t>,</w:t>
      </w:r>
      <w:r>
        <w:rPr>
          <w:rFonts w:ascii="Times New Roman" w:hAnsi="Times New Roman"/>
        </w:rPr>
        <w:t xml:space="preserve"> </w:t>
      </w:r>
      <w:r>
        <w:rPr>
          <w:rFonts w:ascii="Times New Roman" w:hAnsi="Times New Roman"/>
          <w:i/>
        </w:rPr>
        <w:t xml:space="preserve">prípojných vozidiel </w:t>
      </w:r>
      <w:r w:rsidRPr="00925F4F">
        <w:rPr>
          <w:rFonts w:ascii="Times New Roman" w:hAnsi="Times New Roman"/>
        </w:rPr>
        <w:t>v</w:t>
      </w:r>
      <w:r>
        <w:rPr>
          <w:rFonts w:ascii="Times New Roman" w:hAnsi="Times New Roman"/>
        </w:rPr>
        <w:t> </w:t>
      </w:r>
      <w:r w:rsidRPr="00925F4F">
        <w:rPr>
          <w:rFonts w:ascii="Times New Roman" w:hAnsi="Times New Roman"/>
        </w:rPr>
        <w:t>hodnote</w:t>
      </w:r>
      <w:r>
        <w:rPr>
          <w:rFonts w:ascii="Times New Roman" w:hAnsi="Times New Roman"/>
        </w:rPr>
        <w:t xml:space="preserve"> 17 296 tis. eur,</w:t>
      </w:r>
      <w:r w:rsidRPr="007E6900">
        <w:rPr>
          <w:rFonts w:ascii="Times New Roman" w:hAnsi="Times New Roman"/>
          <w:szCs w:val="22"/>
        </w:rPr>
        <w:t xml:space="preserve"> </w:t>
      </w:r>
      <w:r>
        <w:rPr>
          <w:rFonts w:ascii="Times New Roman" w:hAnsi="Times New Roman"/>
          <w:szCs w:val="22"/>
        </w:rPr>
        <w:t>pričom nárast oproti schválenému rozpočtu o 5 112 tis. eur súvisel so zabezpečovaním ťažkých nákladných automobilov na plnenie úloh obrany štátu.</w:t>
      </w:r>
    </w:p>
    <w:p w:rsidR="00F17E8A" w:rsidP="000113B6">
      <w:pPr>
        <w:bidi w:val="0"/>
        <w:rPr>
          <w:rFonts w:ascii="Times New Roman" w:hAnsi="Times New Roman"/>
          <w:szCs w:val="22"/>
        </w:rPr>
      </w:pPr>
      <w:r w:rsidRPr="00370AD5" w:rsidR="000113B6">
        <w:rPr>
          <w:rFonts w:ascii="Times New Roman" w:hAnsi="Times New Roman"/>
          <w:szCs w:val="22"/>
        </w:rPr>
        <w:t xml:space="preserve">Výdavky Ministerstva vnútra SR tvorili v prevažnej miere výdavky </w:t>
      </w:r>
      <w:r w:rsidRPr="00370AD5" w:rsidR="000113B6">
        <w:rPr>
          <w:rFonts w:ascii="Times New Roman" w:hAnsi="Times New Roman"/>
          <w:i/>
          <w:szCs w:val="22"/>
        </w:rPr>
        <w:t xml:space="preserve">na </w:t>
      </w:r>
      <w:r w:rsidRPr="00370AD5" w:rsidR="00961385">
        <w:rPr>
          <w:rFonts w:ascii="Times New Roman" w:hAnsi="Times New Roman"/>
          <w:i/>
          <w:szCs w:val="22"/>
        </w:rPr>
        <w:t>nákup osobných automobilov</w:t>
      </w:r>
      <w:r w:rsidRPr="00370AD5" w:rsidR="00961385">
        <w:rPr>
          <w:rFonts w:ascii="Times New Roman" w:hAnsi="Times New Roman"/>
          <w:szCs w:val="22"/>
        </w:rPr>
        <w:t xml:space="preserve"> </w:t>
      </w:r>
      <w:r w:rsidRPr="00370AD5" w:rsidR="00370AD5">
        <w:rPr>
          <w:rFonts w:ascii="Times New Roman" w:hAnsi="Times New Roman"/>
          <w:szCs w:val="22"/>
        </w:rPr>
        <w:t>v hodnote 18 327 tis. eur a boli použité na nákup osobných automobilov, prí</w:t>
      </w:r>
      <w:r w:rsidR="00172321">
        <w:rPr>
          <w:rFonts w:ascii="Times New Roman" w:hAnsi="Times New Roman"/>
          <w:szCs w:val="22"/>
        </w:rPr>
        <w:t>slušenstva, polepov a výstražných zvukových a rozhlasových zariadení</w:t>
      </w:r>
      <w:r w:rsidRPr="00370AD5" w:rsidR="00370AD5">
        <w:rPr>
          <w:rFonts w:ascii="Times New Roman" w:hAnsi="Times New Roman"/>
          <w:szCs w:val="22"/>
        </w:rPr>
        <w:t>.</w:t>
      </w:r>
      <w:r w:rsidRPr="00370AD5" w:rsidR="00961385">
        <w:rPr>
          <w:rFonts w:ascii="Times New Roman" w:hAnsi="Times New Roman"/>
          <w:szCs w:val="22"/>
        </w:rPr>
        <w:t xml:space="preserve"> </w:t>
      </w:r>
      <w:r w:rsidR="00370AD5">
        <w:rPr>
          <w:rFonts w:ascii="Times New Roman" w:hAnsi="Times New Roman"/>
          <w:szCs w:val="22"/>
        </w:rPr>
        <w:t>Výdavky n</w:t>
      </w:r>
      <w:r w:rsidRPr="00370AD5" w:rsidR="00925F4F">
        <w:rPr>
          <w:rFonts w:ascii="Times New Roman" w:hAnsi="Times New Roman"/>
          <w:i/>
          <w:szCs w:val="22"/>
        </w:rPr>
        <w:t>a nákup dopravných lietadiel</w:t>
      </w:r>
      <w:r w:rsidRPr="00370AD5" w:rsidR="00925F4F">
        <w:rPr>
          <w:rFonts w:ascii="Times New Roman" w:hAnsi="Times New Roman"/>
          <w:szCs w:val="22"/>
        </w:rPr>
        <w:t xml:space="preserve"> v hodnote 8 131 tis. eur</w:t>
      </w:r>
      <w:r w:rsidRPr="00370AD5" w:rsidR="00961385">
        <w:rPr>
          <w:rFonts w:ascii="Times New Roman" w:hAnsi="Times New Roman"/>
          <w:szCs w:val="22"/>
        </w:rPr>
        <w:t>, boli použité na</w:t>
      </w:r>
      <w:r w:rsidRPr="00370AD5" w:rsidR="00370AD5">
        <w:rPr>
          <w:rFonts w:ascii="Times New Roman" w:hAnsi="Times New Roman"/>
          <w:szCs w:val="22"/>
        </w:rPr>
        <w:t xml:space="preserve"> úhradu dane z prida</w:t>
      </w:r>
      <w:r w:rsidR="00370AD5">
        <w:rPr>
          <w:rFonts w:ascii="Times New Roman" w:hAnsi="Times New Roman"/>
          <w:szCs w:val="22"/>
        </w:rPr>
        <w:t xml:space="preserve">nej hodnoty a cla </w:t>
      </w:r>
      <w:r w:rsidRPr="00370AD5" w:rsidR="00370AD5">
        <w:rPr>
          <w:rFonts w:ascii="Times New Roman" w:hAnsi="Times New Roman"/>
          <w:szCs w:val="22"/>
        </w:rPr>
        <w:t>v súvislosti s dodaním lietadla Airbus čerpané v rámci programu Efekt</w:t>
      </w:r>
      <w:r w:rsidR="00370AD5">
        <w:rPr>
          <w:rFonts w:ascii="Times New Roman" w:hAnsi="Times New Roman"/>
          <w:szCs w:val="22"/>
        </w:rPr>
        <w:t>í</w:t>
      </w:r>
      <w:r>
        <w:rPr>
          <w:rFonts w:ascii="Times New Roman" w:hAnsi="Times New Roman"/>
          <w:szCs w:val="22"/>
        </w:rPr>
        <w:t>vna a spoľahlivá štátna správa.</w:t>
      </w:r>
    </w:p>
    <w:p w:rsidR="00370AD5" w:rsidP="000113B6">
      <w:pPr>
        <w:bidi w:val="0"/>
        <w:rPr>
          <w:rFonts w:ascii="Times New Roman" w:hAnsi="Times New Roman"/>
          <w:color w:val="000000"/>
        </w:rPr>
      </w:pPr>
      <w:r w:rsidR="00925F4F">
        <w:rPr>
          <w:rFonts w:ascii="Times New Roman" w:hAnsi="Times New Roman"/>
        </w:rPr>
        <w:t>Výdavky</w:t>
      </w:r>
      <w:r w:rsidRPr="00925F4F" w:rsidR="00925F4F">
        <w:rPr>
          <w:rFonts w:ascii="Times New Roman" w:hAnsi="Times New Roman"/>
        </w:rPr>
        <w:t xml:space="preserve"> </w:t>
      </w:r>
      <w:r w:rsidR="00925F4F">
        <w:rPr>
          <w:rFonts w:ascii="Times New Roman" w:hAnsi="Times New Roman"/>
        </w:rPr>
        <w:t>n</w:t>
      </w:r>
      <w:r w:rsidRPr="00BE220F" w:rsidR="00925F4F">
        <w:rPr>
          <w:rFonts w:ascii="Times New Roman" w:hAnsi="Times New Roman"/>
        </w:rPr>
        <w:t>a</w:t>
      </w:r>
      <w:r w:rsidRPr="00961385" w:rsidR="00925F4F">
        <w:rPr>
          <w:rFonts w:ascii="Times New Roman" w:hAnsi="Times New Roman"/>
          <w:i/>
        </w:rPr>
        <w:t xml:space="preserve"> nákup špeciálnych automobilov</w:t>
      </w:r>
      <w:r w:rsidR="00925F4F">
        <w:rPr>
          <w:rFonts w:ascii="Times New Roman" w:hAnsi="Times New Roman"/>
        </w:rPr>
        <w:t xml:space="preserve"> </w:t>
      </w:r>
      <w:r>
        <w:rPr>
          <w:rFonts w:ascii="Times New Roman" w:hAnsi="Times New Roman"/>
        </w:rPr>
        <w:t xml:space="preserve">dosiahli sumu </w:t>
      </w:r>
      <w:r w:rsidR="00925F4F">
        <w:rPr>
          <w:rFonts w:ascii="Times New Roman" w:hAnsi="Times New Roman"/>
        </w:rPr>
        <w:t xml:space="preserve">5 918 tis. </w:t>
      </w:r>
      <w:r w:rsidRPr="00925F4F" w:rsidR="00925F4F">
        <w:rPr>
          <w:rFonts w:ascii="Times New Roman" w:hAnsi="Times New Roman"/>
        </w:rPr>
        <w:t>eur</w:t>
      </w:r>
      <w:r>
        <w:rPr>
          <w:rFonts w:ascii="Times New Roman" w:hAnsi="Times New Roman"/>
        </w:rPr>
        <w:t xml:space="preserve">, tieto výdavky </w:t>
      </w:r>
      <w:r>
        <w:rPr>
          <w:rFonts w:ascii="Times New Roman" w:hAnsi="Times New Roman"/>
          <w:color w:val="000000"/>
        </w:rPr>
        <w:t xml:space="preserve">boli použité na nákup snežných skútrov a technických automobilov. </w:t>
      </w:r>
      <w:r w:rsidR="00BE213D">
        <w:rPr>
          <w:rFonts w:ascii="Times New Roman" w:hAnsi="Times New Roman"/>
          <w:color w:val="000000"/>
        </w:rPr>
        <w:t>V</w:t>
      </w:r>
      <w:r>
        <w:rPr>
          <w:rFonts w:ascii="Times New Roman" w:hAnsi="Times New Roman"/>
          <w:color w:val="000000"/>
        </w:rPr>
        <w:t>ýdavk</w:t>
      </w:r>
      <w:r w:rsidR="00BE213D">
        <w:rPr>
          <w:rFonts w:ascii="Times New Roman" w:hAnsi="Times New Roman"/>
          <w:color w:val="000000"/>
        </w:rPr>
        <w:t>y</w:t>
      </w:r>
      <w:r>
        <w:rPr>
          <w:rFonts w:ascii="Times New Roman" w:hAnsi="Times New Roman"/>
          <w:color w:val="000000"/>
        </w:rPr>
        <w:t xml:space="preserve"> </w:t>
      </w:r>
      <w:r w:rsidRPr="00EA10AE">
        <w:rPr>
          <w:rFonts w:ascii="Times New Roman" w:hAnsi="Times New Roman"/>
          <w:i/>
          <w:color w:val="000000"/>
        </w:rPr>
        <w:t>na obstaranie nákladných vozidiel, ťahačov, prípojných vozidiel, dopravných pracovných strojov, traktorov</w:t>
      </w:r>
      <w:r>
        <w:rPr>
          <w:rFonts w:ascii="Times New Roman" w:hAnsi="Times New Roman"/>
          <w:color w:val="000000"/>
        </w:rPr>
        <w:t xml:space="preserve"> </w:t>
      </w:r>
      <w:r w:rsidR="00EA10AE">
        <w:rPr>
          <w:rFonts w:ascii="Times New Roman" w:hAnsi="Times New Roman"/>
          <w:color w:val="000000"/>
        </w:rPr>
        <w:t xml:space="preserve">v sume 2 933 tis. eur </w:t>
      </w:r>
      <w:r>
        <w:rPr>
          <w:rFonts w:ascii="Times New Roman" w:hAnsi="Times New Roman"/>
          <w:color w:val="000000"/>
        </w:rPr>
        <w:t>boli použité na nákup automobilových nosičov kontajnerov, súprav na prevoz kontajnerov, vysokozdvižných vozíkov, prípojných vozidiel, kosačiek a</w:t>
      </w:r>
      <w:r w:rsidR="00172321">
        <w:rPr>
          <w:rFonts w:ascii="Times New Roman" w:hAnsi="Times New Roman"/>
          <w:color w:val="000000"/>
        </w:rPr>
        <w:t xml:space="preserve"> </w:t>
      </w:r>
      <w:r>
        <w:rPr>
          <w:rFonts w:ascii="Times New Roman" w:hAnsi="Times New Roman"/>
          <w:color w:val="000000"/>
        </w:rPr>
        <w:t>malotraktora</w:t>
      </w:r>
      <w:r w:rsidR="00EA10AE">
        <w:rPr>
          <w:rFonts w:ascii="Times New Roman" w:hAnsi="Times New Roman"/>
          <w:color w:val="000000"/>
        </w:rPr>
        <w:t>.</w:t>
      </w:r>
    </w:p>
    <w:p w:rsidR="007E6900" w:rsidP="000113B6">
      <w:pPr>
        <w:bidi w:val="0"/>
        <w:rPr>
          <w:rFonts w:ascii="Times New Roman" w:hAnsi="Times New Roman"/>
        </w:rPr>
      </w:pPr>
      <w:r>
        <w:rPr>
          <w:rFonts w:ascii="Times New Roman" w:hAnsi="Times New Roman"/>
          <w:szCs w:val="22"/>
        </w:rPr>
        <w:t>Ministerstvo zahraničných vecí a európskych záležitostí SR</w:t>
      </w:r>
      <w:r w:rsidR="00305D6F">
        <w:rPr>
          <w:rFonts w:ascii="Times New Roman" w:hAnsi="Times New Roman"/>
          <w:szCs w:val="22"/>
        </w:rPr>
        <w:t xml:space="preserve"> vykazovalo </w:t>
      </w:r>
      <w:r w:rsidR="00BD00B0">
        <w:rPr>
          <w:rFonts w:ascii="Times New Roman" w:hAnsi="Times New Roman"/>
          <w:szCs w:val="22"/>
        </w:rPr>
        <w:t>na</w:t>
      </w:r>
      <w:r w:rsidR="00305D6F">
        <w:rPr>
          <w:rFonts w:ascii="Times New Roman" w:hAnsi="Times New Roman"/>
          <w:szCs w:val="22"/>
        </w:rPr>
        <w:t xml:space="preserve"> </w:t>
      </w:r>
      <w:r w:rsidRPr="00305D6F" w:rsidR="00305D6F">
        <w:rPr>
          <w:rFonts w:ascii="Times New Roman" w:hAnsi="Times New Roman"/>
          <w:i/>
          <w:szCs w:val="22"/>
        </w:rPr>
        <w:t>nákup osobných automobilov</w:t>
      </w:r>
      <w:r w:rsidR="00305D6F">
        <w:rPr>
          <w:rFonts w:ascii="Times New Roman" w:hAnsi="Times New Roman"/>
          <w:szCs w:val="22"/>
        </w:rPr>
        <w:t xml:space="preserve"> sumu 1 136 tis. eur </w:t>
      </w:r>
      <w:r w:rsidR="00E165C2">
        <w:rPr>
          <w:rFonts w:ascii="Times New Roman" w:hAnsi="Times New Roman"/>
          <w:szCs w:val="22"/>
        </w:rPr>
        <w:t>v súvislosti s obstaraním</w:t>
      </w:r>
      <w:r w:rsidR="00305D6F">
        <w:rPr>
          <w:rFonts w:ascii="Times New Roman" w:hAnsi="Times New Roman"/>
          <w:szCs w:val="22"/>
        </w:rPr>
        <w:t xml:space="preserve"> služobných motorových vozidiel pre samotné ústredie a pre zahraničné úrady</w:t>
      </w:r>
      <w:r w:rsidR="00BD00B0">
        <w:rPr>
          <w:rFonts w:ascii="Times New Roman" w:hAnsi="Times New Roman"/>
          <w:szCs w:val="22"/>
        </w:rPr>
        <w:t>.</w:t>
      </w:r>
    </w:p>
    <w:p w:rsidR="008979BC" w:rsidP="00A63BF5">
      <w:pPr>
        <w:bidi w:val="0"/>
        <w:rPr>
          <w:rFonts w:ascii="Times New Roman" w:hAnsi="Times New Roman"/>
          <w:szCs w:val="22"/>
        </w:rPr>
      </w:pPr>
      <w:r w:rsidRPr="002323F1" w:rsidR="00A63BF5">
        <w:rPr>
          <w:rFonts w:ascii="Times New Roman" w:hAnsi="Times New Roman"/>
          <w:b/>
          <w:i/>
          <w:szCs w:val="22"/>
        </w:rPr>
        <w:t>Nákup pozemkov a nehmotných aktív</w:t>
      </w:r>
      <w:r w:rsidRPr="002323F1" w:rsidR="00A63BF5">
        <w:rPr>
          <w:rFonts w:ascii="Times New Roman" w:hAnsi="Times New Roman"/>
          <w:szCs w:val="22"/>
        </w:rPr>
        <w:t xml:space="preserve"> predstavoval </w:t>
      </w:r>
      <w:r w:rsidRPr="002323F1" w:rsidR="00E846EE">
        <w:rPr>
          <w:rFonts w:ascii="Times New Roman" w:hAnsi="Times New Roman"/>
          <w:szCs w:val="22"/>
        </w:rPr>
        <w:t xml:space="preserve">sumu </w:t>
      </w:r>
      <w:r w:rsidRPr="002323F1" w:rsidR="002323F1">
        <w:rPr>
          <w:rFonts w:ascii="Times New Roman" w:hAnsi="Times New Roman"/>
          <w:szCs w:val="22"/>
        </w:rPr>
        <w:t>41</w:t>
      </w:r>
      <w:r w:rsidRPr="002323F1" w:rsidR="00E8607B">
        <w:rPr>
          <w:rFonts w:ascii="Times New Roman" w:hAnsi="Times New Roman"/>
          <w:szCs w:val="22"/>
        </w:rPr>
        <w:t> </w:t>
      </w:r>
      <w:r w:rsidRPr="002323F1" w:rsidR="002323F1">
        <w:rPr>
          <w:rFonts w:ascii="Times New Roman" w:hAnsi="Times New Roman"/>
          <w:szCs w:val="22"/>
        </w:rPr>
        <w:t>532</w:t>
      </w:r>
      <w:r w:rsidRPr="002323F1" w:rsidR="00E8607B">
        <w:rPr>
          <w:rFonts w:ascii="Times New Roman" w:hAnsi="Times New Roman"/>
          <w:szCs w:val="22"/>
        </w:rPr>
        <w:t> </w:t>
      </w:r>
      <w:r w:rsidRPr="002323F1" w:rsidR="00A63BF5">
        <w:rPr>
          <w:rFonts w:ascii="Times New Roman" w:hAnsi="Times New Roman"/>
          <w:szCs w:val="22"/>
        </w:rPr>
        <w:t>tis. eur</w:t>
      </w:r>
      <w:r w:rsidRPr="002323F1" w:rsidR="00186A74">
        <w:rPr>
          <w:rFonts w:ascii="Times New Roman" w:hAnsi="Times New Roman"/>
          <w:szCs w:val="22"/>
        </w:rPr>
        <w:t>,</w:t>
      </w:r>
      <w:r w:rsidRPr="002323F1" w:rsidR="00A63BF5">
        <w:rPr>
          <w:rFonts w:ascii="Times New Roman" w:hAnsi="Times New Roman"/>
          <w:szCs w:val="22"/>
        </w:rPr>
        <w:t xml:space="preserve"> </w:t>
      </w:r>
      <w:r w:rsidRPr="002323F1" w:rsidR="00186A74">
        <w:rPr>
          <w:rFonts w:ascii="Times New Roman" w:hAnsi="Times New Roman"/>
          <w:szCs w:val="22"/>
        </w:rPr>
        <w:t xml:space="preserve">schválený rozpočet </w:t>
      </w:r>
      <w:r w:rsidR="00F11CAA">
        <w:rPr>
          <w:rFonts w:ascii="Times New Roman" w:hAnsi="Times New Roman"/>
          <w:szCs w:val="22"/>
        </w:rPr>
        <w:br/>
      </w:r>
      <w:r w:rsidRPr="002323F1" w:rsidR="00186A74">
        <w:rPr>
          <w:rFonts w:ascii="Times New Roman" w:hAnsi="Times New Roman"/>
          <w:szCs w:val="22"/>
        </w:rPr>
        <w:t>na tejto položke bol prekročený o</w:t>
      </w:r>
      <w:r w:rsidRPr="002323F1" w:rsidR="002323F1">
        <w:rPr>
          <w:rFonts w:ascii="Times New Roman" w:hAnsi="Times New Roman"/>
          <w:szCs w:val="22"/>
        </w:rPr>
        <w:t> 27 437 </w:t>
      </w:r>
      <w:r w:rsidR="00A81D4E">
        <w:rPr>
          <w:rFonts w:ascii="Times New Roman" w:hAnsi="Times New Roman"/>
          <w:szCs w:val="22"/>
        </w:rPr>
        <w:t>tis. eur</w:t>
      </w:r>
      <w:r w:rsidRPr="002323F1" w:rsidR="00D85447">
        <w:rPr>
          <w:rFonts w:ascii="Times New Roman" w:hAnsi="Times New Roman"/>
          <w:szCs w:val="22"/>
        </w:rPr>
        <w:t>.</w:t>
      </w:r>
      <w:r w:rsidRPr="002323F1" w:rsidR="00A63BF5">
        <w:rPr>
          <w:rFonts w:ascii="Times New Roman" w:hAnsi="Times New Roman"/>
          <w:szCs w:val="22"/>
        </w:rPr>
        <w:t xml:space="preserve"> </w:t>
      </w:r>
      <w:r w:rsidRPr="002323F1" w:rsidR="00186A74">
        <w:rPr>
          <w:rFonts w:ascii="Times New Roman" w:hAnsi="Times New Roman"/>
          <w:szCs w:val="22"/>
        </w:rPr>
        <w:t>N</w:t>
      </w:r>
      <w:r w:rsidRPr="002323F1" w:rsidR="00A63BF5">
        <w:rPr>
          <w:rFonts w:ascii="Times New Roman" w:hAnsi="Times New Roman"/>
          <w:szCs w:val="22"/>
        </w:rPr>
        <w:t xml:space="preserve">ajväčšia časť výdavkov prislúchala kapitole </w:t>
      </w:r>
      <w:r w:rsidRPr="002323F1" w:rsidR="00171F4C">
        <w:rPr>
          <w:rFonts w:ascii="Times New Roman" w:hAnsi="Times New Roman"/>
          <w:szCs w:val="22"/>
        </w:rPr>
        <w:t xml:space="preserve">Ministerstva </w:t>
      </w:r>
      <w:r w:rsidRPr="002323F1" w:rsidR="002323F1">
        <w:rPr>
          <w:rFonts w:ascii="Times New Roman" w:hAnsi="Times New Roman"/>
          <w:szCs w:val="22"/>
        </w:rPr>
        <w:t>dopravy</w:t>
      </w:r>
      <w:r w:rsidRPr="002323F1" w:rsidR="00171F4C">
        <w:rPr>
          <w:rFonts w:ascii="Times New Roman" w:hAnsi="Times New Roman"/>
          <w:szCs w:val="22"/>
        </w:rPr>
        <w:t xml:space="preserve"> </w:t>
      </w:r>
      <w:r w:rsidR="00A81D4E">
        <w:rPr>
          <w:rFonts w:ascii="Times New Roman" w:hAnsi="Times New Roman"/>
          <w:szCs w:val="22"/>
        </w:rPr>
        <w:t xml:space="preserve">a výstavby </w:t>
      </w:r>
      <w:r w:rsidRPr="002323F1" w:rsidR="00171F4C">
        <w:rPr>
          <w:rFonts w:ascii="Times New Roman" w:hAnsi="Times New Roman"/>
          <w:szCs w:val="22"/>
        </w:rPr>
        <w:t>SR (</w:t>
      </w:r>
      <w:r w:rsidRPr="002323F1" w:rsidR="002323F1">
        <w:rPr>
          <w:rFonts w:ascii="Times New Roman" w:hAnsi="Times New Roman"/>
          <w:szCs w:val="22"/>
        </w:rPr>
        <w:t>11</w:t>
      </w:r>
      <w:r w:rsidRPr="002323F1" w:rsidR="00171F4C">
        <w:rPr>
          <w:rFonts w:ascii="Times New Roman" w:hAnsi="Times New Roman"/>
          <w:szCs w:val="22"/>
        </w:rPr>
        <w:t> </w:t>
      </w:r>
      <w:r w:rsidRPr="002323F1" w:rsidR="002323F1">
        <w:rPr>
          <w:rFonts w:ascii="Times New Roman" w:hAnsi="Times New Roman"/>
          <w:szCs w:val="22"/>
        </w:rPr>
        <w:t>525</w:t>
      </w:r>
      <w:r w:rsidRPr="002323F1" w:rsidR="00171F4C">
        <w:rPr>
          <w:rFonts w:ascii="Times New Roman" w:hAnsi="Times New Roman"/>
          <w:szCs w:val="22"/>
        </w:rPr>
        <w:t xml:space="preserve"> tis. eur), </w:t>
      </w:r>
      <w:r w:rsidRPr="002323F1" w:rsidR="002323F1">
        <w:rPr>
          <w:rFonts w:ascii="Times New Roman" w:hAnsi="Times New Roman"/>
          <w:szCs w:val="22"/>
        </w:rPr>
        <w:t>kapitole Ministerstv</w:t>
      </w:r>
      <w:r w:rsidR="008636D2">
        <w:rPr>
          <w:rFonts w:ascii="Times New Roman" w:hAnsi="Times New Roman"/>
          <w:szCs w:val="22"/>
        </w:rPr>
        <w:t>a spravodlivosti SR (7 120 tis. e</w:t>
      </w:r>
      <w:r w:rsidRPr="002323F1" w:rsidR="002323F1">
        <w:rPr>
          <w:rFonts w:ascii="Times New Roman" w:hAnsi="Times New Roman"/>
          <w:szCs w:val="22"/>
        </w:rPr>
        <w:t xml:space="preserve">ur) a </w:t>
      </w:r>
      <w:r w:rsidRPr="002323F1" w:rsidR="00FF38CD">
        <w:rPr>
          <w:rFonts w:ascii="Times New Roman" w:hAnsi="Times New Roman"/>
          <w:szCs w:val="22"/>
        </w:rPr>
        <w:t xml:space="preserve">kapitole </w:t>
      </w:r>
      <w:r w:rsidRPr="002323F1" w:rsidR="00A63BF5">
        <w:rPr>
          <w:rFonts w:ascii="Times New Roman" w:hAnsi="Times New Roman"/>
          <w:szCs w:val="22"/>
        </w:rPr>
        <w:t>Ministerstva financií SR (</w:t>
      </w:r>
      <w:r w:rsidRPr="002323F1" w:rsidR="002323F1">
        <w:rPr>
          <w:rFonts w:ascii="Times New Roman" w:hAnsi="Times New Roman"/>
          <w:szCs w:val="22"/>
        </w:rPr>
        <w:t>6</w:t>
      </w:r>
      <w:r w:rsidRPr="002323F1" w:rsidR="00C44EC1">
        <w:rPr>
          <w:rFonts w:ascii="Times New Roman" w:hAnsi="Times New Roman"/>
          <w:szCs w:val="22"/>
        </w:rPr>
        <w:t> </w:t>
      </w:r>
      <w:r w:rsidRPr="002323F1" w:rsidR="002323F1">
        <w:rPr>
          <w:rFonts w:ascii="Times New Roman" w:hAnsi="Times New Roman"/>
          <w:szCs w:val="22"/>
        </w:rPr>
        <w:t>532</w:t>
      </w:r>
      <w:r w:rsidRPr="002323F1" w:rsidR="00C44EC1">
        <w:rPr>
          <w:rFonts w:ascii="Times New Roman" w:hAnsi="Times New Roman"/>
          <w:szCs w:val="22"/>
        </w:rPr>
        <w:t> </w:t>
      </w:r>
      <w:r w:rsidRPr="002323F1" w:rsidR="00FF38CD">
        <w:rPr>
          <w:rFonts w:ascii="Times New Roman" w:hAnsi="Times New Roman"/>
          <w:szCs w:val="22"/>
        </w:rPr>
        <w:t>tis.</w:t>
      </w:r>
      <w:r w:rsidRPr="002323F1" w:rsidR="00631D96">
        <w:rPr>
          <w:rFonts w:ascii="Times New Roman" w:hAnsi="Times New Roman"/>
          <w:szCs w:val="22"/>
        </w:rPr>
        <w:t> </w:t>
      </w:r>
      <w:r w:rsidRPr="002323F1" w:rsidR="00FF38CD">
        <w:rPr>
          <w:rFonts w:ascii="Times New Roman" w:hAnsi="Times New Roman"/>
          <w:szCs w:val="22"/>
        </w:rPr>
        <w:t>eur)</w:t>
      </w:r>
      <w:r w:rsidRPr="002323F1" w:rsidR="00A63BF5">
        <w:rPr>
          <w:rFonts w:ascii="Times New Roman" w:hAnsi="Times New Roman"/>
          <w:szCs w:val="22"/>
        </w:rPr>
        <w:t xml:space="preserve">. </w:t>
      </w:r>
    </w:p>
    <w:p w:rsidR="0059031C" w:rsidRPr="0059031C" w:rsidP="00A63BF5">
      <w:pPr>
        <w:bidi w:val="0"/>
        <w:rPr>
          <w:rFonts w:ascii="Times New Roman" w:hAnsi="Times New Roman"/>
          <w:szCs w:val="22"/>
        </w:rPr>
      </w:pPr>
      <w:r w:rsidRPr="002323F1" w:rsidR="00A63BF5">
        <w:rPr>
          <w:rFonts w:ascii="Times New Roman" w:hAnsi="Times New Roman"/>
          <w:szCs w:val="22"/>
        </w:rPr>
        <w:t xml:space="preserve">Z uvedenej </w:t>
      </w:r>
      <w:r w:rsidR="0047167F">
        <w:rPr>
          <w:rFonts w:ascii="Times New Roman" w:hAnsi="Times New Roman"/>
          <w:szCs w:val="22"/>
        </w:rPr>
        <w:t>položky výdavkov</w:t>
      </w:r>
      <w:r w:rsidRPr="002323F1" w:rsidR="00A63BF5">
        <w:rPr>
          <w:rFonts w:ascii="Times New Roman" w:hAnsi="Times New Roman"/>
          <w:szCs w:val="22"/>
        </w:rPr>
        <w:t xml:space="preserve"> boli najvyššie výdavky na nákup</w:t>
      </w:r>
      <w:r w:rsidRPr="002323F1" w:rsidR="00A63BF5">
        <w:rPr>
          <w:rFonts w:ascii="Times New Roman" w:hAnsi="Times New Roman"/>
          <w:i/>
          <w:szCs w:val="22"/>
        </w:rPr>
        <w:t xml:space="preserve"> softvéru</w:t>
      </w:r>
      <w:r w:rsidRPr="002323F1" w:rsidR="00A63BF5">
        <w:rPr>
          <w:rFonts w:ascii="Times New Roman" w:hAnsi="Times New Roman"/>
          <w:szCs w:val="22"/>
        </w:rPr>
        <w:t xml:space="preserve"> </w:t>
      </w:r>
      <w:r w:rsidRPr="002323F1" w:rsidR="002323F1">
        <w:rPr>
          <w:rFonts w:ascii="Times New Roman" w:hAnsi="Times New Roman"/>
          <w:szCs w:val="22"/>
        </w:rPr>
        <w:t>31 827</w:t>
      </w:r>
      <w:r w:rsidR="008636D2">
        <w:rPr>
          <w:rFonts w:ascii="Times New Roman" w:hAnsi="Times New Roman"/>
          <w:szCs w:val="22"/>
        </w:rPr>
        <w:t> tis</w:t>
      </w:r>
      <w:r w:rsidR="00DF1A1A">
        <w:rPr>
          <w:rFonts w:ascii="Times New Roman" w:hAnsi="Times New Roman"/>
          <w:szCs w:val="22"/>
        </w:rPr>
        <w:t>.</w:t>
      </w:r>
      <w:r w:rsidR="008636D2">
        <w:rPr>
          <w:rFonts w:ascii="Times New Roman" w:hAnsi="Times New Roman"/>
          <w:szCs w:val="22"/>
        </w:rPr>
        <w:t> </w:t>
      </w:r>
      <w:r w:rsidRPr="002323F1" w:rsidR="00FF38CD">
        <w:rPr>
          <w:rFonts w:ascii="Times New Roman" w:hAnsi="Times New Roman"/>
          <w:szCs w:val="22"/>
        </w:rPr>
        <w:t>eur</w:t>
      </w:r>
      <w:r w:rsidR="008636D2">
        <w:rPr>
          <w:rFonts w:ascii="Times New Roman" w:hAnsi="Times New Roman"/>
          <w:szCs w:val="22"/>
        </w:rPr>
        <w:t xml:space="preserve"> (2016: 105 754 tis. </w:t>
      </w:r>
      <w:r>
        <w:rPr>
          <w:rFonts w:ascii="Times New Roman" w:hAnsi="Times New Roman"/>
          <w:szCs w:val="22"/>
        </w:rPr>
        <w:t>eur)</w:t>
      </w:r>
      <w:r w:rsidRPr="002323F1" w:rsidR="00FF38CD">
        <w:rPr>
          <w:rFonts w:ascii="Times New Roman" w:hAnsi="Times New Roman"/>
          <w:szCs w:val="22"/>
        </w:rPr>
        <w:t xml:space="preserve">. </w:t>
      </w:r>
      <w:r w:rsidRPr="0059031C" w:rsidR="00A63BF5">
        <w:rPr>
          <w:rFonts w:ascii="Times New Roman" w:hAnsi="Times New Roman"/>
          <w:szCs w:val="22"/>
        </w:rPr>
        <w:t>Najväčšou mierou sa na prekročení schváleného rozpočtu podieľal</w:t>
      </w:r>
      <w:r w:rsidRPr="0059031C">
        <w:rPr>
          <w:rFonts w:ascii="Times New Roman" w:hAnsi="Times New Roman"/>
          <w:szCs w:val="22"/>
        </w:rPr>
        <w:t xml:space="preserve"> Úrad podpredsedu vlády pre investície a informatizáciu</w:t>
      </w:r>
      <w:r w:rsidRPr="0059031C" w:rsidR="00A63BF5">
        <w:rPr>
          <w:rFonts w:ascii="Times New Roman" w:hAnsi="Times New Roman"/>
          <w:szCs w:val="22"/>
        </w:rPr>
        <w:t xml:space="preserve"> </w:t>
      </w:r>
      <w:r w:rsidRPr="0059031C" w:rsidR="00B849C8">
        <w:rPr>
          <w:rFonts w:ascii="Times New Roman" w:hAnsi="Times New Roman"/>
          <w:szCs w:val="22"/>
        </w:rPr>
        <w:t>SR (</w:t>
      </w:r>
      <w:r w:rsidRPr="0059031C">
        <w:rPr>
          <w:rFonts w:ascii="Times New Roman" w:hAnsi="Times New Roman"/>
        </w:rPr>
        <w:t>o 6</w:t>
      </w:r>
      <w:r w:rsidRPr="0059031C" w:rsidR="00B849C8">
        <w:rPr>
          <w:rFonts w:ascii="Times New Roman" w:hAnsi="Times New Roman"/>
          <w:szCs w:val="22"/>
        </w:rPr>
        <w:t> </w:t>
      </w:r>
      <w:r w:rsidRPr="0059031C">
        <w:rPr>
          <w:rFonts w:ascii="Times New Roman" w:hAnsi="Times New Roman"/>
          <w:szCs w:val="22"/>
        </w:rPr>
        <w:t>428</w:t>
      </w:r>
      <w:r w:rsidRPr="0059031C" w:rsidR="00B849C8">
        <w:rPr>
          <w:rFonts w:ascii="Times New Roman" w:hAnsi="Times New Roman"/>
          <w:szCs w:val="22"/>
        </w:rPr>
        <w:t xml:space="preserve"> tis. eur) </w:t>
      </w:r>
      <w:r w:rsidRPr="0059031C" w:rsidR="00A63BF5">
        <w:rPr>
          <w:rFonts w:ascii="Times New Roman" w:hAnsi="Times New Roman"/>
          <w:szCs w:val="22"/>
        </w:rPr>
        <w:t>Ministerstvo financií SR (</w:t>
      </w:r>
      <w:r w:rsidRPr="0059031C" w:rsidR="006F1A9E">
        <w:rPr>
          <w:rFonts w:ascii="Times New Roman" w:hAnsi="Times New Roman"/>
          <w:szCs w:val="22"/>
        </w:rPr>
        <w:t>o </w:t>
      </w:r>
      <w:r w:rsidRPr="0059031C">
        <w:rPr>
          <w:rFonts w:ascii="Times New Roman" w:hAnsi="Times New Roman"/>
          <w:szCs w:val="22"/>
        </w:rPr>
        <w:t>6</w:t>
      </w:r>
      <w:r w:rsidRPr="0059031C" w:rsidR="00A63BF5">
        <w:rPr>
          <w:rFonts w:ascii="Times New Roman" w:hAnsi="Times New Roman"/>
          <w:szCs w:val="22"/>
        </w:rPr>
        <w:t> </w:t>
      </w:r>
      <w:r w:rsidRPr="0059031C">
        <w:rPr>
          <w:rFonts w:ascii="Times New Roman" w:hAnsi="Times New Roman"/>
          <w:szCs w:val="22"/>
        </w:rPr>
        <w:t>258</w:t>
      </w:r>
      <w:r w:rsidRPr="0059031C" w:rsidR="006F1A9E">
        <w:rPr>
          <w:rFonts w:ascii="Times New Roman" w:hAnsi="Times New Roman"/>
          <w:szCs w:val="22"/>
        </w:rPr>
        <w:t> tis. </w:t>
      </w:r>
      <w:r w:rsidRPr="0059031C" w:rsidR="00DD5B2B">
        <w:rPr>
          <w:rFonts w:ascii="Times New Roman" w:hAnsi="Times New Roman"/>
          <w:szCs w:val="22"/>
        </w:rPr>
        <w:t xml:space="preserve">eur), </w:t>
      </w:r>
      <w:r w:rsidRPr="0059031C" w:rsidR="00A63BF5">
        <w:rPr>
          <w:rFonts w:ascii="Times New Roman" w:hAnsi="Times New Roman"/>
          <w:szCs w:val="22"/>
        </w:rPr>
        <w:t>Ministerstvo spravodlivosti SR (</w:t>
      </w:r>
      <w:r w:rsidRPr="0059031C">
        <w:rPr>
          <w:rFonts w:ascii="Times New Roman" w:hAnsi="Times New Roman"/>
          <w:szCs w:val="22"/>
        </w:rPr>
        <w:t>5</w:t>
      </w:r>
      <w:r w:rsidRPr="0059031C" w:rsidR="00A63BF5">
        <w:rPr>
          <w:rFonts w:ascii="Times New Roman" w:hAnsi="Times New Roman"/>
          <w:szCs w:val="22"/>
        </w:rPr>
        <w:t> </w:t>
      </w:r>
      <w:r w:rsidRPr="0059031C">
        <w:rPr>
          <w:rFonts w:ascii="Times New Roman" w:hAnsi="Times New Roman"/>
          <w:szCs w:val="22"/>
        </w:rPr>
        <w:t>310</w:t>
      </w:r>
      <w:r w:rsidRPr="0059031C" w:rsidR="00DD5B2B">
        <w:rPr>
          <w:rFonts w:ascii="Times New Roman" w:hAnsi="Times New Roman"/>
          <w:szCs w:val="22"/>
        </w:rPr>
        <w:t> tis. eur)</w:t>
      </w:r>
      <w:r w:rsidRPr="0059031C">
        <w:rPr>
          <w:rFonts w:ascii="Times New Roman" w:hAnsi="Times New Roman"/>
          <w:szCs w:val="22"/>
        </w:rPr>
        <w:t>.</w:t>
      </w:r>
      <w:r w:rsidRPr="0059031C" w:rsidR="00DD5B2B">
        <w:rPr>
          <w:rFonts w:ascii="Times New Roman" w:hAnsi="Times New Roman"/>
          <w:szCs w:val="22"/>
        </w:rPr>
        <w:t xml:space="preserve"> </w:t>
      </w:r>
    </w:p>
    <w:p w:rsidR="006C1748" w:rsidP="00A63BF5">
      <w:pPr>
        <w:bidi w:val="0"/>
        <w:rPr>
          <w:rFonts w:ascii="Times New Roman" w:hAnsi="Times New Roman"/>
          <w:szCs w:val="22"/>
        </w:rPr>
      </w:pPr>
      <w:r>
        <w:rPr>
          <w:rFonts w:ascii="Times New Roman" w:hAnsi="Times New Roman"/>
          <w:szCs w:val="22"/>
        </w:rPr>
        <w:t>Výdavky Ministerstva dopravy a výstavby SR čerpala predovšetkým Slo</w:t>
      </w:r>
      <w:r w:rsidR="001545D9">
        <w:rPr>
          <w:rFonts w:ascii="Times New Roman" w:hAnsi="Times New Roman"/>
          <w:szCs w:val="22"/>
        </w:rPr>
        <w:t xml:space="preserve">venská správa ciest </w:t>
      </w:r>
      <w:r w:rsidR="00F11CAA">
        <w:rPr>
          <w:rFonts w:ascii="Times New Roman" w:hAnsi="Times New Roman"/>
          <w:szCs w:val="22"/>
        </w:rPr>
        <w:br/>
      </w:r>
      <w:r w:rsidR="001545D9">
        <w:rPr>
          <w:rFonts w:ascii="Times New Roman" w:hAnsi="Times New Roman"/>
          <w:szCs w:val="22"/>
        </w:rPr>
        <w:t xml:space="preserve">na správu, </w:t>
      </w:r>
      <w:r>
        <w:rPr>
          <w:rFonts w:ascii="Times New Roman" w:hAnsi="Times New Roman"/>
          <w:szCs w:val="22"/>
        </w:rPr>
        <w:t xml:space="preserve">prevádzku a výstavbu cestnej siete. </w:t>
      </w:r>
    </w:p>
    <w:p w:rsidR="0002195F" w:rsidP="00A63BF5">
      <w:pPr>
        <w:bidi w:val="0"/>
        <w:rPr>
          <w:rFonts w:ascii="Times New Roman" w:hAnsi="Times New Roman"/>
        </w:rPr>
      </w:pPr>
      <w:r w:rsidRPr="0002195F" w:rsidR="00A63BF5">
        <w:rPr>
          <w:rFonts w:ascii="Times New Roman" w:hAnsi="Times New Roman"/>
          <w:szCs w:val="22"/>
        </w:rPr>
        <w:t xml:space="preserve">Ministerstvo spravodlivosti SR čerpalo kapitálové výdavky </w:t>
      </w:r>
      <w:r w:rsidRPr="00941A7B" w:rsidR="00941A7B">
        <w:rPr>
          <w:rFonts w:ascii="Times New Roman" w:hAnsi="Times New Roman"/>
          <w:i/>
          <w:szCs w:val="22"/>
        </w:rPr>
        <w:t>na softvér</w:t>
      </w:r>
      <w:r w:rsidR="00941A7B">
        <w:rPr>
          <w:rFonts w:ascii="Times New Roman" w:hAnsi="Times New Roman"/>
          <w:szCs w:val="22"/>
        </w:rPr>
        <w:t xml:space="preserve"> v sume 7 097 tis. eur, </w:t>
      </w:r>
      <w:r w:rsidRPr="0002195F" w:rsidR="00A63BF5">
        <w:rPr>
          <w:rFonts w:ascii="Times New Roman" w:hAnsi="Times New Roman"/>
          <w:szCs w:val="22"/>
        </w:rPr>
        <w:t xml:space="preserve">najmä </w:t>
      </w:r>
      <w:r w:rsidRPr="0002195F">
        <w:rPr>
          <w:rFonts w:ascii="Times New Roman" w:hAnsi="Times New Roman"/>
          <w:szCs w:val="22"/>
        </w:rPr>
        <w:t xml:space="preserve">v rámci </w:t>
      </w:r>
      <w:r w:rsidRPr="0002195F" w:rsidR="007E6230">
        <w:rPr>
          <w:rFonts w:ascii="Times New Roman" w:hAnsi="Times New Roman"/>
          <w:szCs w:val="22"/>
        </w:rPr>
        <w:t>program</w:t>
      </w:r>
      <w:r w:rsidRPr="0002195F">
        <w:rPr>
          <w:rFonts w:ascii="Times New Roman" w:hAnsi="Times New Roman"/>
          <w:szCs w:val="22"/>
        </w:rPr>
        <w:t>u</w:t>
      </w:r>
      <w:r w:rsidRPr="0002195F" w:rsidR="007E6230">
        <w:rPr>
          <w:rFonts w:ascii="Times New Roman" w:hAnsi="Times New Roman"/>
          <w:szCs w:val="22"/>
        </w:rPr>
        <w:t xml:space="preserve"> Informačn</w:t>
      </w:r>
      <w:r w:rsidRPr="0002195F">
        <w:rPr>
          <w:rFonts w:ascii="Times New Roman" w:hAnsi="Times New Roman"/>
          <w:szCs w:val="22"/>
        </w:rPr>
        <w:t>é</w:t>
      </w:r>
      <w:r w:rsidRPr="0002195F" w:rsidR="007E6230">
        <w:rPr>
          <w:rFonts w:ascii="Times New Roman" w:hAnsi="Times New Roman"/>
          <w:szCs w:val="22"/>
        </w:rPr>
        <w:t xml:space="preserve"> </w:t>
      </w:r>
      <w:r w:rsidRPr="0002195F">
        <w:rPr>
          <w:rFonts w:ascii="Times New Roman" w:hAnsi="Times New Roman"/>
          <w:szCs w:val="22"/>
        </w:rPr>
        <w:t>technológie financované zo štátneho rozpočtu</w:t>
      </w:r>
      <w:r>
        <w:rPr>
          <w:rFonts w:ascii="Times New Roman" w:hAnsi="Times New Roman"/>
          <w:szCs w:val="22"/>
        </w:rPr>
        <w:t xml:space="preserve"> </w:t>
      </w:r>
      <w:r>
        <w:rPr>
          <w:rFonts w:ascii="Times New Roman" w:hAnsi="Times New Roman"/>
        </w:rPr>
        <w:t>Ministerstva spravodlivosti S</w:t>
      </w:r>
      <w:r w:rsidR="00744BD4">
        <w:rPr>
          <w:rFonts w:ascii="Times New Roman" w:hAnsi="Times New Roman"/>
        </w:rPr>
        <w:t>R</w:t>
      </w:r>
      <w:r>
        <w:rPr>
          <w:rFonts w:ascii="Times New Roman" w:hAnsi="Times New Roman"/>
        </w:rPr>
        <w:t xml:space="preserve"> na roky 2017 až 2019</w:t>
      </w:r>
      <w:r w:rsidR="00A81D4E">
        <w:rPr>
          <w:rFonts w:ascii="Times New Roman" w:hAnsi="Times New Roman"/>
        </w:rPr>
        <w:t>,</w:t>
      </w:r>
      <w:r>
        <w:rPr>
          <w:rFonts w:ascii="Times New Roman" w:hAnsi="Times New Roman"/>
        </w:rPr>
        <w:t xml:space="preserve"> </w:t>
      </w:r>
      <w:r w:rsidR="00744BD4">
        <w:rPr>
          <w:rFonts w:ascii="Times New Roman" w:hAnsi="Times New Roman"/>
        </w:rPr>
        <w:t xml:space="preserve">v dôsledku úloh vyplývajúcich z </w:t>
      </w:r>
      <w:r>
        <w:rPr>
          <w:rFonts w:ascii="Times New Roman" w:hAnsi="Times New Roman"/>
        </w:rPr>
        <w:t xml:space="preserve">Programového vyhlásenia vlády </w:t>
      </w:r>
      <w:r w:rsidR="00744BD4">
        <w:rPr>
          <w:rFonts w:ascii="Times New Roman" w:hAnsi="Times New Roman"/>
        </w:rPr>
        <w:t>SR</w:t>
      </w:r>
      <w:r>
        <w:rPr>
          <w:rFonts w:ascii="Times New Roman" w:hAnsi="Times New Roman"/>
        </w:rPr>
        <w:t>, a</w:t>
      </w:r>
      <w:r w:rsidR="00744BD4">
        <w:rPr>
          <w:rFonts w:ascii="Times New Roman" w:hAnsi="Times New Roman"/>
        </w:rPr>
        <w:t xml:space="preserve"> </w:t>
      </w:r>
      <w:r>
        <w:rPr>
          <w:rFonts w:ascii="Times New Roman" w:hAnsi="Times New Roman"/>
        </w:rPr>
        <w:t>to navrhovanými legislatívnymi zme</w:t>
      </w:r>
      <w:r w:rsidR="00744BD4">
        <w:rPr>
          <w:rFonts w:ascii="Times New Roman" w:hAnsi="Times New Roman"/>
        </w:rPr>
        <w:t xml:space="preserve">nami (zmena zákona o konkurze a </w:t>
      </w:r>
      <w:r>
        <w:rPr>
          <w:rFonts w:ascii="Times New Roman" w:hAnsi="Times New Roman"/>
        </w:rPr>
        <w:t>reš</w:t>
      </w:r>
      <w:r w:rsidR="00744BD4">
        <w:rPr>
          <w:rFonts w:ascii="Times New Roman" w:hAnsi="Times New Roman"/>
        </w:rPr>
        <w:t xml:space="preserve">trukturalizácii, zmena zákona o súdnych exekútoroch, </w:t>
      </w:r>
      <w:r>
        <w:rPr>
          <w:rFonts w:ascii="Times New Roman" w:hAnsi="Times New Roman"/>
        </w:rPr>
        <w:t>protischránkový zákon, zákon o</w:t>
      </w:r>
      <w:r w:rsidR="00EC3963">
        <w:rPr>
          <w:rFonts w:ascii="Times New Roman" w:hAnsi="Times New Roman"/>
        </w:rPr>
        <w:t> </w:t>
      </w:r>
      <w:r>
        <w:rPr>
          <w:rFonts w:ascii="Times New Roman" w:hAnsi="Times New Roman"/>
        </w:rPr>
        <w:t>upomínacom konaní).</w:t>
      </w:r>
    </w:p>
    <w:p w:rsidR="00413DBE" w:rsidP="008C047D">
      <w:pPr>
        <w:bidi w:val="0"/>
        <w:rPr>
          <w:rFonts w:ascii="Times New Roman" w:hAnsi="Times New Roman"/>
        </w:rPr>
      </w:pPr>
      <w:r w:rsidR="00941A7B">
        <w:rPr>
          <w:rFonts w:ascii="Times New Roman" w:hAnsi="Times New Roman"/>
        </w:rPr>
        <w:t xml:space="preserve">Výdavky, ktoré </w:t>
      </w:r>
      <w:r w:rsidRPr="006D56E2">
        <w:rPr>
          <w:rFonts w:ascii="Times New Roman" w:hAnsi="Times New Roman"/>
        </w:rPr>
        <w:t>čerpal Úrad podpredsedu vlády pre investície a informatizáciu SR</w:t>
      </w:r>
      <w:r>
        <w:rPr>
          <w:rFonts w:ascii="Times New Roman" w:hAnsi="Times New Roman"/>
        </w:rPr>
        <w:t xml:space="preserve"> </w:t>
      </w:r>
      <w:r w:rsidR="00941A7B">
        <w:rPr>
          <w:rFonts w:ascii="Times New Roman" w:hAnsi="Times New Roman"/>
        </w:rPr>
        <w:t xml:space="preserve">(6 429 tis. eur) </w:t>
      </w:r>
      <w:r>
        <w:rPr>
          <w:rFonts w:ascii="Times New Roman" w:hAnsi="Times New Roman"/>
        </w:rPr>
        <w:t xml:space="preserve">boli použité </w:t>
      </w:r>
      <w:r w:rsidR="00AE4332">
        <w:rPr>
          <w:rFonts w:ascii="Times New Roman" w:hAnsi="Times New Roman"/>
        </w:rPr>
        <w:t xml:space="preserve">najmä </w:t>
      </w:r>
      <w:r>
        <w:rPr>
          <w:rFonts w:ascii="Times New Roman" w:hAnsi="Times New Roman"/>
        </w:rPr>
        <w:t xml:space="preserve">na </w:t>
      </w:r>
      <w:r w:rsidRPr="006D56E2">
        <w:rPr>
          <w:rFonts w:ascii="Times New Roman" w:hAnsi="Times New Roman"/>
        </w:rPr>
        <w:t>aktualizáciu a rozšírenie funkcionalít ITMS 2014</w:t>
      </w:r>
      <w:r>
        <w:rPr>
          <w:rFonts w:ascii="Times New Roman" w:hAnsi="Times New Roman"/>
        </w:rPr>
        <w:t>.</w:t>
      </w:r>
    </w:p>
    <w:p w:rsidR="000C2A0C" w:rsidP="008C047D">
      <w:pPr>
        <w:bidi w:val="0"/>
        <w:rPr>
          <w:rFonts w:ascii="Times New Roman" w:hAnsi="Times New Roman"/>
          <w:szCs w:val="22"/>
        </w:rPr>
      </w:pPr>
      <w:r w:rsidRPr="003A05D8" w:rsidR="001C1C49">
        <w:rPr>
          <w:rFonts w:ascii="Times New Roman" w:hAnsi="Times New Roman"/>
          <w:szCs w:val="22"/>
        </w:rPr>
        <w:t>N</w:t>
      </w:r>
      <w:r w:rsidRPr="003A05D8" w:rsidR="00A63BF5">
        <w:rPr>
          <w:rFonts w:ascii="Times New Roman" w:hAnsi="Times New Roman"/>
          <w:szCs w:val="22"/>
        </w:rPr>
        <w:t xml:space="preserve">a </w:t>
      </w:r>
      <w:r w:rsidR="00B22E73">
        <w:rPr>
          <w:rFonts w:ascii="Times New Roman" w:hAnsi="Times New Roman"/>
          <w:b/>
          <w:i/>
          <w:szCs w:val="22"/>
        </w:rPr>
        <w:t>rekonštrukciu a m</w:t>
      </w:r>
      <w:r w:rsidRPr="003A05D8" w:rsidR="00A63BF5">
        <w:rPr>
          <w:rFonts w:ascii="Times New Roman" w:hAnsi="Times New Roman"/>
          <w:b/>
          <w:i/>
          <w:szCs w:val="22"/>
        </w:rPr>
        <w:t>odernizáciu strojov</w:t>
      </w:r>
      <w:r w:rsidRPr="003A05D8" w:rsidR="00A63BF5">
        <w:rPr>
          <w:rFonts w:ascii="Times New Roman" w:hAnsi="Times New Roman"/>
          <w:i/>
          <w:szCs w:val="22"/>
        </w:rPr>
        <w:t xml:space="preserve"> </w:t>
      </w:r>
      <w:r w:rsidRPr="003A05D8" w:rsidR="00A63BF5">
        <w:rPr>
          <w:rFonts w:ascii="Times New Roman" w:hAnsi="Times New Roman"/>
          <w:b/>
          <w:i/>
          <w:szCs w:val="22"/>
        </w:rPr>
        <w:t>a</w:t>
      </w:r>
      <w:r w:rsidR="007C7ABE">
        <w:rPr>
          <w:rFonts w:ascii="Times New Roman" w:hAnsi="Times New Roman"/>
          <w:b/>
          <w:i/>
          <w:szCs w:val="22"/>
        </w:rPr>
        <w:t> </w:t>
      </w:r>
      <w:r w:rsidRPr="003A05D8" w:rsidR="00A63BF5">
        <w:rPr>
          <w:rFonts w:ascii="Times New Roman" w:hAnsi="Times New Roman"/>
          <w:b/>
          <w:i/>
          <w:szCs w:val="22"/>
        </w:rPr>
        <w:t>zariadení</w:t>
      </w:r>
      <w:r w:rsidRPr="007C7ABE" w:rsidR="007C7ABE">
        <w:rPr>
          <w:rFonts w:ascii="Times New Roman" w:hAnsi="Times New Roman"/>
          <w:b/>
          <w:i/>
          <w:szCs w:val="22"/>
        </w:rPr>
        <w:t>,</w:t>
      </w:r>
      <w:r w:rsidRPr="007C7ABE" w:rsidR="00A63BF5">
        <w:rPr>
          <w:rFonts w:ascii="Times New Roman" w:hAnsi="Times New Roman"/>
          <w:b/>
          <w:i/>
          <w:szCs w:val="22"/>
        </w:rPr>
        <w:t xml:space="preserve"> </w:t>
      </w:r>
      <w:r w:rsidRPr="007C7ABE" w:rsidR="007C7ABE">
        <w:rPr>
          <w:rFonts w:ascii="Times New Roman" w:hAnsi="Times New Roman"/>
          <w:b/>
          <w:i/>
          <w:szCs w:val="22"/>
        </w:rPr>
        <w:t>výpočtovej a telekomunikačnej techniky, softvéru a komunikačnej infraštruktúry</w:t>
      </w:r>
      <w:r w:rsidR="007C7ABE">
        <w:rPr>
          <w:rFonts w:ascii="Times New Roman" w:hAnsi="Times New Roman"/>
          <w:i/>
          <w:szCs w:val="22"/>
        </w:rPr>
        <w:t xml:space="preserve"> </w:t>
      </w:r>
      <w:r w:rsidRPr="003A05D8" w:rsidR="001C1C49">
        <w:rPr>
          <w:rFonts w:ascii="Times New Roman" w:hAnsi="Times New Roman"/>
          <w:szCs w:val="22"/>
        </w:rPr>
        <w:t xml:space="preserve">boli použité kapitálové </w:t>
      </w:r>
      <w:r w:rsidRPr="00B22E73" w:rsidR="001C1C49">
        <w:rPr>
          <w:rFonts w:ascii="Times New Roman" w:hAnsi="Times New Roman"/>
          <w:szCs w:val="22"/>
        </w:rPr>
        <w:t>výdavky</w:t>
      </w:r>
      <w:r w:rsidRPr="00B22E73" w:rsidR="001C1C49">
        <w:rPr>
          <w:rFonts w:ascii="Times New Roman" w:hAnsi="Times New Roman"/>
          <w:i/>
          <w:szCs w:val="22"/>
        </w:rPr>
        <w:t xml:space="preserve"> </w:t>
      </w:r>
      <w:r w:rsidRPr="00B22E73" w:rsidR="00A63BF5">
        <w:rPr>
          <w:rFonts w:ascii="Times New Roman" w:hAnsi="Times New Roman"/>
          <w:szCs w:val="22"/>
        </w:rPr>
        <w:t>v hodnote</w:t>
      </w:r>
      <w:r w:rsidRPr="003A05D8" w:rsidR="00A63BF5">
        <w:rPr>
          <w:rFonts w:ascii="Times New Roman" w:hAnsi="Times New Roman"/>
          <w:szCs w:val="22"/>
        </w:rPr>
        <w:t xml:space="preserve"> </w:t>
      </w:r>
      <w:r w:rsidRPr="003A05D8" w:rsidR="004816C1">
        <w:rPr>
          <w:rFonts w:ascii="Times New Roman" w:hAnsi="Times New Roman"/>
          <w:szCs w:val="22"/>
        </w:rPr>
        <w:t>8</w:t>
      </w:r>
      <w:r w:rsidR="00B22E73">
        <w:rPr>
          <w:rFonts w:ascii="Times New Roman" w:hAnsi="Times New Roman"/>
          <w:szCs w:val="22"/>
        </w:rPr>
        <w:t>0 343 </w:t>
      </w:r>
      <w:r w:rsidRPr="003A05D8" w:rsidR="009014A6">
        <w:rPr>
          <w:rFonts w:ascii="Times New Roman" w:hAnsi="Times New Roman"/>
          <w:szCs w:val="22"/>
        </w:rPr>
        <w:t>tis. eur</w:t>
      </w:r>
      <w:r w:rsidRPr="00B22E73" w:rsidR="009014A6">
        <w:rPr>
          <w:rFonts w:ascii="Times New Roman" w:hAnsi="Times New Roman"/>
          <w:szCs w:val="22"/>
        </w:rPr>
        <w:t>.</w:t>
      </w:r>
      <w:r w:rsidRPr="00B22E73" w:rsidR="00186A74">
        <w:rPr>
          <w:rFonts w:ascii="Times New Roman" w:hAnsi="Times New Roman"/>
          <w:szCs w:val="22"/>
        </w:rPr>
        <w:t xml:space="preserve"> </w:t>
      </w:r>
      <w:r w:rsidRPr="00B22E73" w:rsidR="009014A6">
        <w:rPr>
          <w:rFonts w:ascii="Times New Roman" w:hAnsi="Times New Roman"/>
          <w:szCs w:val="22"/>
        </w:rPr>
        <w:t>Z</w:t>
      </w:r>
      <w:r w:rsidRPr="00B22E73" w:rsidR="001C1C49">
        <w:rPr>
          <w:rFonts w:ascii="Times New Roman" w:hAnsi="Times New Roman"/>
          <w:szCs w:val="22"/>
        </w:rPr>
        <w:t> toho najvýznamnejši</w:t>
      </w:r>
      <w:r>
        <w:rPr>
          <w:rFonts w:ascii="Times New Roman" w:hAnsi="Times New Roman"/>
          <w:szCs w:val="22"/>
        </w:rPr>
        <w:t>e sumy</w:t>
      </w:r>
      <w:r w:rsidRPr="00B22E73" w:rsidR="001C1C49">
        <w:rPr>
          <w:rFonts w:ascii="Times New Roman" w:hAnsi="Times New Roman"/>
          <w:szCs w:val="22"/>
        </w:rPr>
        <w:t xml:space="preserve"> </w:t>
      </w:r>
      <w:r w:rsidRPr="00B22E73">
        <w:rPr>
          <w:rFonts w:ascii="Times New Roman" w:hAnsi="Times New Roman"/>
          <w:szCs w:val="22"/>
        </w:rPr>
        <w:t xml:space="preserve">predstavovala kapitola Ministerstva financií SR </w:t>
      </w:r>
      <w:r>
        <w:rPr>
          <w:rFonts w:ascii="Times New Roman" w:hAnsi="Times New Roman"/>
          <w:szCs w:val="22"/>
        </w:rPr>
        <w:t>(</w:t>
      </w:r>
      <w:r w:rsidRPr="00B22E73" w:rsidR="00B22E73">
        <w:rPr>
          <w:rFonts w:ascii="Times New Roman" w:hAnsi="Times New Roman"/>
          <w:szCs w:val="22"/>
        </w:rPr>
        <w:t>46 341</w:t>
      </w:r>
      <w:r w:rsidRPr="00B22E73" w:rsidR="008C047D">
        <w:rPr>
          <w:rFonts w:ascii="Times New Roman" w:hAnsi="Times New Roman"/>
          <w:szCs w:val="22"/>
        </w:rPr>
        <w:t> tis. eur</w:t>
      </w:r>
      <w:r>
        <w:rPr>
          <w:rFonts w:ascii="Times New Roman" w:hAnsi="Times New Roman"/>
          <w:szCs w:val="22"/>
        </w:rPr>
        <w:t>)</w:t>
      </w:r>
      <w:r w:rsidR="008F0E9C">
        <w:rPr>
          <w:rFonts w:ascii="Times New Roman" w:hAnsi="Times New Roman"/>
          <w:szCs w:val="22"/>
        </w:rPr>
        <w:t xml:space="preserve">, </w:t>
      </w:r>
      <w:r w:rsidR="00941A7B">
        <w:rPr>
          <w:rFonts w:ascii="Times New Roman" w:hAnsi="Times New Roman"/>
          <w:szCs w:val="22"/>
        </w:rPr>
        <w:t>Ministerstvo obrany SR (20 945</w:t>
      </w:r>
      <w:r>
        <w:rPr>
          <w:rFonts w:ascii="Times New Roman" w:hAnsi="Times New Roman"/>
          <w:szCs w:val="22"/>
        </w:rPr>
        <w:t> </w:t>
      </w:r>
      <w:r w:rsidR="008F0E9C">
        <w:rPr>
          <w:rFonts w:ascii="Times New Roman" w:hAnsi="Times New Roman"/>
          <w:szCs w:val="22"/>
        </w:rPr>
        <w:t>tis. eur)</w:t>
      </w:r>
      <w:r w:rsidR="009B5CC9">
        <w:rPr>
          <w:rFonts w:ascii="Times New Roman" w:hAnsi="Times New Roman"/>
          <w:szCs w:val="22"/>
        </w:rPr>
        <w:t>,</w:t>
      </w:r>
      <w:r w:rsidR="007C7ABE">
        <w:rPr>
          <w:rFonts w:ascii="Times New Roman" w:hAnsi="Times New Roman"/>
          <w:szCs w:val="22"/>
        </w:rPr>
        <w:t xml:space="preserve"> </w:t>
      </w:r>
      <w:r w:rsidR="00941A7B">
        <w:rPr>
          <w:rFonts w:ascii="Times New Roman" w:hAnsi="Times New Roman"/>
          <w:szCs w:val="22"/>
        </w:rPr>
        <w:t>Národn</w:t>
      </w:r>
      <w:r w:rsidR="00E90755">
        <w:rPr>
          <w:rFonts w:ascii="Times New Roman" w:hAnsi="Times New Roman"/>
          <w:szCs w:val="22"/>
        </w:rPr>
        <w:t>ý bezpečnostný úrad (3 600 tis. </w:t>
      </w:r>
      <w:r w:rsidR="00941A7B">
        <w:rPr>
          <w:rFonts w:ascii="Times New Roman" w:hAnsi="Times New Roman"/>
          <w:szCs w:val="22"/>
        </w:rPr>
        <w:t xml:space="preserve">eur) a </w:t>
      </w:r>
      <w:r w:rsidR="008F0E9C">
        <w:rPr>
          <w:rFonts w:ascii="Times New Roman" w:hAnsi="Times New Roman"/>
          <w:szCs w:val="22"/>
        </w:rPr>
        <w:t>Ministerstvo vnútra SR (3 3</w:t>
      </w:r>
      <w:r w:rsidR="00941A7B">
        <w:rPr>
          <w:rFonts w:ascii="Times New Roman" w:hAnsi="Times New Roman"/>
          <w:szCs w:val="22"/>
        </w:rPr>
        <w:t>53</w:t>
      </w:r>
      <w:r w:rsidR="008F0E9C">
        <w:rPr>
          <w:rFonts w:ascii="Times New Roman" w:hAnsi="Times New Roman"/>
          <w:szCs w:val="22"/>
        </w:rPr>
        <w:t> </w:t>
      </w:r>
      <w:r w:rsidR="009B5CC9">
        <w:rPr>
          <w:rFonts w:ascii="Times New Roman" w:hAnsi="Times New Roman"/>
          <w:szCs w:val="22"/>
        </w:rPr>
        <w:t>tis. eur).</w:t>
      </w:r>
    </w:p>
    <w:p w:rsidR="000C2A0C" w:rsidP="008C047D">
      <w:pPr>
        <w:bidi w:val="0"/>
        <w:rPr>
          <w:rFonts w:ascii="Times New Roman" w:hAnsi="Times New Roman"/>
        </w:rPr>
      </w:pPr>
      <w:r>
        <w:rPr>
          <w:rFonts w:ascii="Times New Roman" w:hAnsi="Times New Roman"/>
        </w:rPr>
        <w:t xml:space="preserve">Výdavky Ministerstva obrany </w:t>
      </w:r>
      <w:r w:rsidR="001671AE">
        <w:rPr>
          <w:rFonts w:ascii="Times New Roman" w:hAnsi="Times New Roman"/>
        </w:rPr>
        <w:t xml:space="preserve">SR </w:t>
      </w:r>
      <w:r w:rsidRPr="000C2A0C">
        <w:rPr>
          <w:rFonts w:ascii="Times New Roman" w:hAnsi="Times New Roman"/>
          <w:i/>
        </w:rPr>
        <w:t>na rekonštrukciu a modernizáciu špeciálnych strojov, prístrojov, zariadení a</w:t>
      </w:r>
      <w:r w:rsidR="00C92BF7">
        <w:rPr>
          <w:rFonts w:ascii="Times New Roman" w:hAnsi="Times New Roman"/>
          <w:i/>
        </w:rPr>
        <w:t xml:space="preserve"> </w:t>
      </w:r>
      <w:r w:rsidRPr="000C2A0C">
        <w:rPr>
          <w:rFonts w:ascii="Times New Roman" w:hAnsi="Times New Roman"/>
          <w:i/>
        </w:rPr>
        <w:t xml:space="preserve">techniky </w:t>
      </w:r>
      <w:r>
        <w:rPr>
          <w:rFonts w:ascii="Times New Roman" w:hAnsi="Times New Roman"/>
        </w:rPr>
        <w:t>predstavovali sumu 20 92</w:t>
      </w:r>
      <w:r w:rsidR="007C7ABE">
        <w:rPr>
          <w:rFonts w:ascii="Times New Roman" w:hAnsi="Times New Roman"/>
        </w:rPr>
        <w:t>5</w:t>
      </w:r>
      <w:r>
        <w:rPr>
          <w:rFonts w:ascii="Times New Roman" w:hAnsi="Times New Roman"/>
        </w:rPr>
        <w:t> tis. eur, išlo o modernizáciu bojových vozidiel pechoty v rámci programu Rozvoj obrany.</w:t>
      </w:r>
    </w:p>
    <w:p w:rsidR="00C92BF7" w:rsidP="008C047D">
      <w:pPr>
        <w:bidi w:val="0"/>
        <w:rPr>
          <w:rFonts w:ascii="Times New Roman" w:hAnsi="Times New Roman"/>
        </w:rPr>
      </w:pPr>
      <w:r>
        <w:rPr>
          <w:rFonts w:ascii="Times New Roman" w:hAnsi="Times New Roman"/>
        </w:rPr>
        <w:t xml:space="preserve">Finančné prostriedky Ministerstva vnútra </w:t>
      </w:r>
      <w:r w:rsidR="00941A7B">
        <w:rPr>
          <w:rFonts w:ascii="Times New Roman" w:hAnsi="Times New Roman"/>
        </w:rPr>
        <w:t xml:space="preserve">SR </w:t>
      </w:r>
      <w:r w:rsidR="007C7ABE">
        <w:rPr>
          <w:rFonts w:ascii="Times New Roman" w:hAnsi="Times New Roman"/>
          <w:i/>
        </w:rPr>
        <w:t xml:space="preserve">na rekonštrukciu a </w:t>
      </w:r>
      <w:r w:rsidRPr="00C92BF7">
        <w:rPr>
          <w:rFonts w:ascii="Times New Roman" w:hAnsi="Times New Roman"/>
          <w:i/>
        </w:rPr>
        <w:t>modernizáciu softvéru</w:t>
      </w:r>
      <w:r>
        <w:rPr>
          <w:rFonts w:ascii="Times New Roman" w:hAnsi="Times New Roman"/>
        </w:rPr>
        <w:t xml:space="preserve"> </w:t>
      </w:r>
      <w:r w:rsidR="007C7ABE">
        <w:rPr>
          <w:rFonts w:ascii="Times New Roman" w:hAnsi="Times New Roman"/>
        </w:rPr>
        <w:t xml:space="preserve">(3 346 tis. eur) </w:t>
      </w:r>
      <w:r w:rsidR="00941A7B">
        <w:rPr>
          <w:rFonts w:ascii="Times New Roman" w:hAnsi="Times New Roman"/>
        </w:rPr>
        <w:t xml:space="preserve">boli čerpané najmä </w:t>
      </w:r>
      <w:r>
        <w:rPr>
          <w:rFonts w:ascii="Times New Roman" w:hAnsi="Times New Roman"/>
        </w:rPr>
        <w:t xml:space="preserve">na </w:t>
      </w:r>
      <w:r>
        <w:rPr>
          <w:rFonts w:ascii="Times New Roman" w:hAnsi="Times New Roman"/>
          <w:color w:val="000000"/>
        </w:rPr>
        <w:t>úpravu, nasadenie a modernizáciu systémov, napríklad Národná evidencia voz</w:t>
      </w:r>
      <w:r w:rsidR="00A25152">
        <w:rPr>
          <w:rFonts w:ascii="Times New Roman" w:hAnsi="Times New Roman"/>
          <w:color w:val="000000"/>
        </w:rPr>
        <w:t>i</w:t>
      </w:r>
      <w:r>
        <w:rPr>
          <w:rFonts w:ascii="Times New Roman" w:hAnsi="Times New Roman"/>
          <w:color w:val="000000"/>
        </w:rPr>
        <w:t>diel, IS Fabasoft, Cloud MV SR a elektronické služby.</w:t>
      </w:r>
    </w:p>
    <w:p w:rsidR="009B5CC9" w:rsidP="008C047D">
      <w:pPr>
        <w:bidi w:val="0"/>
        <w:rPr>
          <w:rFonts w:ascii="Times New Roman" w:hAnsi="Times New Roman"/>
        </w:rPr>
      </w:pPr>
      <w:r>
        <w:rPr>
          <w:rFonts w:ascii="Times New Roman" w:hAnsi="Times New Roman"/>
        </w:rPr>
        <w:t xml:space="preserve">Výdavky Národného bezpečnostného úradu </w:t>
      </w:r>
      <w:r w:rsidRPr="009B5CC9">
        <w:rPr>
          <w:rFonts w:ascii="Times New Roman" w:hAnsi="Times New Roman"/>
          <w:i/>
        </w:rPr>
        <w:t>na rekonštrukciu a</w:t>
      </w:r>
      <w:r>
        <w:rPr>
          <w:rFonts w:ascii="Times New Roman" w:hAnsi="Times New Roman"/>
          <w:i/>
        </w:rPr>
        <w:t xml:space="preserve"> </w:t>
      </w:r>
      <w:r w:rsidRPr="009B5CC9">
        <w:rPr>
          <w:rFonts w:ascii="Times New Roman" w:hAnsi="Times New Roman"/>
          <w:i/>
        </w:rPr>
        <w:t>modernizáciu komunikačnej infraštruktúry</w:t>
      </w:r>
      <w:r>
        <w:rPr>
          <w:rFonts w:ascii="Times New Roman" w:hAnsi="Times New Roman"/>
        </w:rPr>
        <w:t xml:space="preserve"> </w:t>
      </w:r>
      <w:r w:rsidR="007C7ABE">
        <w:rPr>
          <w:rFonts w:ascii="Times New Roman" w:hAnsi="Times New Roman"/>
        </w:rPr>
        <w:t xml:space="preserve">(2 935 tis. eur) </w:t>
      </w:r>
      <w:r>
        <w:rPr>
          <w:rFonts w:ascii="Times New Roman" w:hAnsi="Times New Roman"/>
        </w:rPr>
        <w:t xml:space="preserve">boli čerpané na špecializované systémy v rámci </w:t>
      </w:r>
      <w:r w:rsidR="0073452D">
        <w:rPr>
          <w:rFonts w:ascii="Times New Roman" w:hAnsi="Times New Roman"/>
        </w:rPr>
        <w:t>investičnej akcie Vybudovanie slovenskej národnej certifikačnej autority</w:t>
      </w:r>
      <w:r w:rsidR="00C97BB6">
        <w:rPr>
          <w:rFonts w:ascii="Times New Roman" w:hAnsi="Times New Roman"/>
        </w:rPr>
        <w:t>.</w:t>
      </w:r>
    </w:p>
    <w:p w:rsidR="00A25152" w:rsidP="00370AD5">
      <w:pPr>
        <w:bidi w:val="0"/>
        <w:rPr>
          <w:rFonts w:ascii="Times New Roman" w:hAnsi="Times New Roman"/>
          <w:szCs w:val="22"/>
        </w:rPr>
      </w:pPr>
      <w:r>
        <w:rPr>
          <w:rFonts w:ascii="Times New Roman" w:hAnsi="Times New Roman"/>
          <w:szCs w:val="22"/>
        </w:rPr>
        <w:t xml:space="preserve">Finančné prostriedky </w:t>
      </w:r>
      <w:r w:rsidRPr="00A25152">
        <w:rPr>
          <w:rFonts w:ascii="Times New Roman" w:hAnsi="Times New Roman"/>
          <w:b/>
          <w:i/>
          <w:szCs w:val="22"/>
        </w:rPr>
        <w:t>na obstarávanie prípravnej a</w:t>
      </w:r>
      <w:r w:rsidR="00C97BB6">
        <w:rPr>
          <w:rFonts w:ascii="Times New Roman" w:hAnsi="Times New Roman"/>
          <w:b/>
          <w:i/>
          <w:szCs w:val="22"/>
        </w:rPr>
        <w:t xml:space="preserve"> </w:t>
      </w:r>
      <w:r w:rsidRPr="00A25152">
        <w:rPr>
          <w:rFonts w:ascii="Times New Roman" w:hAnsi="Times New Roman"/>
          <w:b/>
          <w:i/>
          <w:szCs w:val="22"/>
        </w:rPr>
        <w:t>projektovej dokumentácie</w:t>
      </w:r>
      <w:r>
        <w:rPr>
          <w:rFonts w:ascii="Times New Roman" w:hAnsi="Times New Roman"/>
          <w:szCs w:val="22"/>
        </w:rPr>
        <w:t xml:space="preserve"> </w:t>
      </w:r>
      <w:r w:rsidR="00C97BB6">
        <w:rPr>
          <w:rFonts w:ascii="Times New Roman" w:hAnsi="Times New Roman"/>
          <w:szCs w:val="22"/>
        </w:rPr>
        <w:t xml:space="preserve">boli </w:t>
      </w:r>
      <w:r>
        <w:rPr>
          <w:rFonts w:ascii="Times New Roman" w:hAnsi="Times New Roman"/>
          <w:szCs w:val="22"/>
        </w:rPr>
        <w:t>v celkovej sume 26 761 tis. eur</w:t>
      </w:r>
      <w:r w:rsidR="007C7ABE">
        <w:rPr>
          <w:rFonts w:ascii="Times New Roman" w:hAnsi="Times New Roman"/>
          <w:szCs w:val="22"/>
        </w:rPr>
        <w:t>.</w:t>
      </w:r>
      <w:r w:rsidR="00C97BB6">
        <w:rPr>
          <w:rFonts w:ascii="Times New Roman" w:hAnsi="Times New Roman"/>
          <w:szCs w:val="22"/>
        </w:rPr>
        <w:t xml:space="preserve"> </w:t>
      </w:r>
      <w:r w:rsidR="007C7ABE">
        <w:rPr>
          <w:rFonts w:ascii="Times New Roman" w:hAnsi="Times New Roman"/>
          <w:szCs w:val="22"/>
        </w:rPr>
        <w:t>T</w:t>
      </w:r>
      <w:r w:rsidR="00C97BB6">
        <w:rPr>
          <w:rFonts w:ascii="Times New Roman" w:hAnsi="Times New Roman"/>
          <w:szCs w:val="22"/>
        </w:rPr>
        <w:t>akmer celú hodnotu tvorili výdavky Ministerstva dopravy a</w:t>
      </w:r>
      <w:r w:rsidR="006A3486">
        <w:rPr>
          <w:rFonts w:ascii="Times New Roman" w:hAnsi="Times New Roman"/>
          <w:szCs w:val="22"/>
        </w:rPr>
        <w:t xml:space="preserve"> </w:t>
      </w:r>
      <w:r w:rsidR="00C97BB6">
        <w:rPr>
          <w:rFonts w:ascii="Times New Roman" w:hAnsi="Times New Roman"/>
          <w:szCs w:val="22"/>
        </w:rPr>
        <w:t>výstavby SR (22 91</w:t>
      </w:r>
      <w:r w:rsidR="00B33DC8">
        <w:rPr>
          <w:rFonts w:ascii="Times New Roman" w:hAnsi="Times New Roman"/>
          <w:szCs w:val="22"/>
        </w:rPr>
        <w:t>2</w:t>
      </w:r>
      <w:r w:rsidR="00C97BB6">
        <w:rPr>
          <w:rFonts w:ascii="Times New Roman" w:hAnsi="Times New Roman"/>
          <w:szCs w:val="22"/>
        </w:rPr>
        <w:t xml:space="preserve"> tis. eur), z toho </w:t>
      </w:r>
      <w:r w:rsidR="006A3486">
        <w:rPr>
          <w:rFonts w:ascii="Times New Roman" w:hAnsi="Times New Roman"/>
          <w:szCs w:val="22"/>
        </w:rPr>
        <w:t xml:space="preserve">najviac </w:t>
      </w:r>
      <w:r w:rsidR="00C97BB6">
        <w:rPr>
          <w:rFonts w:ascii="Times New Roman" w:hAnsi="Times New Roman"/>
          <w:szCs w:val="22"/>
        </w:rPr>
        <w:t xml:space="preserve">výdavky </w:t>
      </w:r>
      <w:r w:rsidR="006A3486">
        <w:rPr>
          <w:rFonts w:ascii="Times New Roman" w:hAnsi="Times New Roman"/>
          <w:szCs w:val="22"/>
        </w:rPr>
        <w:t xml:space="preserve">Slovenskej správy ciest </w:t>
      </w:r>
      <w:r w:rsidR="00C97BB6">
        <w:rPr>
          <w:rFonts w:ascii="Times New Roman" w:hAnsi="Times New Roman"/>
          <w:szCs w:val="22"/>
        </w:rPr>
        <w:t xml:space="preserve">na </w:t>
      </w:r>
      <w:r w:rsidRPr="006A3486" w:rsidR="006A3486">
        <w:rPr>
          <w:rFonts w:ascii="Times New Roman" w:hAnsi="Times New Roman"/>
          <w:szCs w:val="22"/>
        </w:rPr>
        <w:t>projektové dokumentácie v rámci projektov výstavby cestnej siete, na projekty realizované v rámci Operačného programu Integrovaná infraštruktúra, výdavky na dofinancovanie projektov financovaných OPII a výdavky na prípravu projektov plánovaných na financovanie z fondov EÚ, výdavky na projekt CEF</w:t>
      </w:r>
      <w:r w:rsidR="00EC3963">
        <w:rPr>
          <w:rFonts w:ascii="Times New Roman" w:hAnsi="Times New Roman"/>
          <w:szCs w:val="22"/>
        </w:rPr>
        <w:t xml:space="preserve"> (</w:t>
      </w:r>
      <w:r w:rsidR="00EC3963">
        <w:rPr>
          <w:rFonts w:ascii="Times New Roman" w:hAnsi="Times New Roman"/>
          <w:szCs w:val="24"/>
        </w:rPr>
        <w:t>Nástroj na prepájanie Európy)</w:t>
      </w:r>
      <w:r w:rsidRPr="006A3486" w:rsidR="006A3486">
        <w:rPr>
          <w:rFonts w:ascii="Times New Roman" w:hAnsi="Times New Roman"/>
          <w:szCs w:val="22"/>
        </w:rPr>
        <w:t xml:space="preserve"> </w:t>
      </w:r>
      <w:r w:rsidR="00EC3963">
        <w:rPr>
          <w:rFonts w:ascii="Times New Roman" w:hAnsi="Times New Roman"/>
          <w:szCs w:val="22"/>
        </w:rPr>
        <w:t>a</w:t>
      </w:r>
      <w:r w:rsidRPr="006A3486" w:rsidR="006A3486">
        <w:rPr>
          <w:rFonts w:ascii="Times New Roman" w:hAnsi="Times New Roman"/>
          <w:szCs w:val="22"/>
        </w:rPr>
        <w:t xml:space="preserve"> na projekt výstavby účelových komunikácií v regióne Nitra</w:t>
      </w:r>
      <w:r w:rsidR="006A3486">
        <w:rPr>
          <w:rFonts w:ascii="Times New Roman" w:hAnsi="Times New Roman"/>
          <w:szCs w:val="22"/>
        </w:rPr>
        <w:t>.</w:t>
      </w:r>
    </w:p>
    <w:p w:rsidR="00E90755" w:rsidP="00E637AE">
      <w:pPr>
        <w:bidi w:val="0"/>
        <w:rPr>
          <w:rFonts w:ascii="Times New Roman" w:hAnsi="Times New Roman"/>
          <w:szCs w:val="22"/>
        </w:rPr>
      </w:pPr>
      <w:r w:rsidRPr="003C0828">
        <w:rPr>
          <w:rFonts w:ascii="Times New Roman" w:hAnsi="Times New Roman"/>
          <w:szCs w:val="22"/>
        </w:rPr>
        <w:t xml:space="preserve">Nárast čerpaných výdavkov medzi schváleným rozpočtom a skutočnosťou predstavoval sumu 25 343 tis. eur, z toho najviac na Ministerstve dopravy a výstavby SR (o 22 912 tis. eur) bol spôsobený </w:t>
      </w:r>
      <w:r w:rsidRPr="003C0828" w:rsidR="003C0828">
        <w:rPr>
          <w:rFonts w:ascii="Times New Roman" w:hAnsi="Times New Roman"/>
          <w:szCs w:val="22"/>
        </w:rPr>
        <w:t>presunom prostriedkov.</w:t>
      </w:r>
    </w:p>
    <w:p w:rsidR="0070555F" w:rsidP="00370AD5">
      <w:pPr>
        <w:bidi w:val="0"/>
        <w:rPr>
          <w:rFonts w:ascii="Times New Roman" w:hAnsi="Times New Roman"/>
          <w:szCs w:val="22"/>
        </w:rPr>
      </w:pPr>
      <w:r w:rsidRPr="00744BD4" w:rsidR="00A63BF5">
        <w:rPr>
          <w:rFonts w:ascii="Times New Roman" w:hAnsi="Times New Roman"/>
          <w:szCs w:val="22"/>
        </w:rPr>
        <w:t xml:space="preserve">Pri </w:t>
      </w:r>
      <w:r w:rsidRPr="00D2738E" w:rsidR="00A63BF5">
        <w:rPr>
          <w:rFonts w:ascii="Times New Roman" w:hAnsi="Times New Roman"/>
          <w:b/>
          <w:i/>
          <w:szCs w:val="22"/>
        </w:rPr>
        <w:t>obstaraní budov, objektov a ich častí</w:t>
      </w:r>
      <w:r w:rsidRPr="00744BD4" w:rsidR="00A63BF5">
        <w:rPr>
          <w:rFonts w:ascii="Times New Roman" w:hAnsi="Times New Roman"/>
          <w:szCs w:val="22"/>
        </w:rPr>
        <w:t xml:space="preserve"> </w:t>
      </w:r>
      <w:r w:rsidRPr="00744BD4" w:rsidR="0012327D">
        <w:rPr>
          <w:rFonts w:ascii="Times New Roman" w:hAnsi="Times New Roman"/>
          <w:szCs w:val="22"/>
        </w:rPr>
        <w:t xml:space="preserve">výdavky dosiahli hodnotu </w:t>
      </w:r>
      <w:r w:rsidR="00744BD4">
        <w:rPr>
          <w:rFonts w:ascii="Times New Roman" w:hAnsi="Times New Roman"/>
          <w:szCs w:val="22"/>
        </w:rPr>
        <w:t>10</w:t>
      </w:r>
      <w:r w:rsidRPr="00744BD4" w:rsidR="0012327D">
        <w:rPr>
          <w:rFonts w:ascii="Times New Roman" w:hAnsi="Times New Roman"/>
          <w:szCs w:val="22"/>
        </w:rPr>
        <w:t> </w:t>
      </w:r>
      <w:r w:rsidR="00744BD4">
        <w:rPr>
          <w:rFonts w:ascii="Times New Roman" w:hAnsi="Times New Roman"/>
          <w:szCs w:val="22"/>
        </w:rPr>
        <w:t>58</w:t>
      </w:r>
      <w:r w:rsidR="00436F81">
        <w:rPr>
          <w:rFonts w:ascii="Times New Roman" w:hAnsi="Times New Roman"/>
          <w:szCs w:val="22"/>
        </w:rPr>
        <w:t>7</w:t>
      </w:r>
      <w:r w:rsidRPr="00744BD4" w:rsidR="0012327D">
        <w:rPr>
          <w:rFonts w:ascii="Times New Roman" w:hAnsi="Times New Roman"/>
          <w:szCs w:val="22"/>
        </w:rPr>
        <w:t> tis. </w:t>
      </w:r>
      <w:r w:rsidR="007C7ABE">
        <w:rPr>
          <w:rFonts w:ascii="Times New Roman" w:hAnsi="Times New Roman"/>
          <w:szCs w:val="22"/>
        </w:rPr>
        <w:t>eur.</w:t>
      </w:r>
      <w:r w:rsidR="00EC3963">
        <w:rPr>
          <w:rFonts w:ascii="Times New Roman" w:hAnsi="Times New Roman"/>
          <w:szCs w:val="22"/>
        </w:rPr>
        <w:t xml:space="preserve"> </w:t>
      </w:r>
      <w:r w:rsidR="007C7ABE">
        <w:rPr>
          <w:rFonts w:ascii="Times New Roman" w:hAnsi="Times New Roman"/>
          <w:szCs w:val="22"/>
        </w:rPr>
        <w:t>N</w:t>
      </w:r>
      <w:r w:rsidR="00EC3963">
        <w:rPr>
          <w:rFonts w:ascii="Times New Roman" w:hAnsi="Times New Roman"/>
          <w:szCs w:val="22"/>
        </w:rPr>
        <w:t>ajvyššiu</w:t>
      </w:r>
      <w:r>
        <w:rPr>
          <w:rFonts w:ascii="Times New Roman" w:hAnsi="Times New Roman"/>
          <w:szCs w:val="22"/>
        </w:rPr>
        <w:t xml:space="preserve"> sumu vykazovali</w:t>
      </w:r>
      <w:r w:rsidRPr="00744BD4" w:rsidR="0012327D">
        <w:rPr>
          <w:rFonts w:ascii="Times New Roman" w:hAnsi="Times New Roman"/>
          <w:szCs w:val="22"/>
        </w:rPr>
        <w:t xml:space="preserve"> kapitola Ministerstva vnútra SR </w:t>
      </w:r>
      <w:r w:rsidRPr="00744BD4" w:rsidR="00297E91">
        <w:rPr>
          <w:rFonts w:ascii="Times New Roman" w:hAnsi="Times New Roman"/>
          <w:szCs w:val="22"/>
        </w:rPr>
        <w:t>(</w:t>
      </w:r>
      <w:r w:rsidR="00370AD5">
        <w:rPr>
          <w:rFonts w:ascii="Times New Roman" w:hAnsi="Times New Roman"/>
          <w:szCs w:val="22"/>
        </w:rPr>
        <w:t>8</w:t>
      </w:r>
      <w:r w:rsidRPr="00744BD4" w:rsidR="004B2B19">
        <w:rPr>
          <w:rFonts w:ascii="Times New Roman" w:hAnsi="Times New Roman"/>
          <w:szCs w:val="22"/>
        </w:rPr>
        <w:t> </w:t>
      </w:r>
      <w:r w:rsidR="00370AD5">
        <w:rPr>
          <w:rFonts w:ascii="Times New Roman" w:hAnsi="Times New Roman"/>
          <w:szCs w:val="22"/>
        </w:rPr>
        <w:t>59</w:t>
      </w:r>
      <w:r w:rsidR="00172321">
        <w:rPr>
          <w:rFonts w:ascii="Times New Roman" w:hAnsi="Times New Roman"/>
          <w:szCs w:val="22"/>
        </w:rPr>
        <w:t>1</w:t>
      </w:r>
      <w:r w:rsidRPr="00744BD4" w:rsidR="004B2B19">
        <w:rPr>
          <w:rFonts w:ascii="Times New Roman" w:hAnsi="Times New Roman"/>
          <w:szCs w:val="22"/>
        </w:rPr>
        <w:t> tis. eur)</w:t>
      </w:r>
      <w:r>
        <w:rPr>
          <w:rFonts w:ascii="Times New Roman" w:hAnsi="Times New Roman"/>
          <w:szCs w:val="22"/>
        </w:rPr>
        <w:t xml:space="preserve"> a</w:t>
      </w:r>
      <w:r w:rsidR="0073452D">
        <w:rPr>
          <w:rFonts w:ascii="Times New Roman" w:hAnsi="Times New Roman"/>
          <w:szCs w:val="22"/>
        </w:rPr>
        <w:t xml:space="preserve"> </w:t>
      </w:r>
      <w:r>
        <w:rPr>
          <w:rFonts w:ascii="Times New Roman" w:hAnsi="Times New Roman"/>
          <w:szCs w:val="22"/>
        </w:rPr>
        <w:t xml:space="preserve">Ministerstvo financií </w:t>
      </w:r>
      <w:r w:rsidR="00D2738E">
        <w:rPr>
          <w:rFonts w:ascii="Times New Roman" w:hAnsi="Times New Roman"/>
          <w:szCs w:val="22"/>
        </w:rPr>
        <w:t xml:space="preserve">SR </w:t>
      </w:r>
      <w:r>
        <w:rPr>
          <w:rFonts w:ascii="Times New Roman" w:hAnsi="Times New Roman"/>
          <w:szCs w:val="22"/>
        </w:rPr>
        <w:t>(1 538 tis. eur).</w:t>
      </w:r>
    </w:p>
    <w:p w:rsidR="00370AD5" w:rsidP="00370AD5">
      <w:pPr>
        <w:bidi w:val="0"/>
        <w:rPr>
          <w:rFonts w:ascii="Times New Roman" w:hAnsi="Times New Roman"/>
          <w:szCs w:val="22"/>
        </w:rPr>
      </w:pPr>
      <w:r w:rsidR="0070555F">
        <w:rPr>
          <w:rFonts w:ascii="Times New Roman" w:hAnsi="Times New Roman"/>
          <w:szCs w:val="22"/>
        </w:rPr>
        <w:t>Výdavky Ministerstva vnútra SR</w:t>
      </w:r>
      <w:r>
        <w:rPr>
          <w:rFonts w:ascii="Times New Roman" w:hAnsi="Times New Roman"/>
          <w:szCs w:val="22"/>
        </w:rPr>
        <w:t xml:space="preserve"> </w:t>
      </w:r>
      <w:r w:rsidR="0070555F">
        <w:rPr>
          <w:rFonts w:ascii="Times New Roman" w:hAnsi="Times New Roman"/>
          <w:szCs w:val="22"/>
        </w:rPr>
        <w:t xml:space="preserve">použité </w:t>
      </w:r>
      <w:r w:rsidRPr="0070555F" w:rsidR="0070555F">
        <w:rPr>
          <w:rFonts w:ascii="Times New Roman" w:hAnsi="Times New Roman"/>
          <w:i/>
          <w:szCs w:val="22"/>
        </w:rPr>
        <w:t>na nákup budov</w:t>
      </w:r>
      <w:r w:rsidR="0070555F">
        <w:rPr>
          <w:rFonts w:ascii="Times New Roman" w:hAnsi="Times New Roman"/>
          <w:i/>
          <w:szCs w:val="22"/>
        </w:rPr>
        <w:t>, objektov a</w:t>
      </w:r>
      <w:r w:rsidR="009B5CC9">
        <w:rPr>
          <w:rFonts w:ascii="Times New Roman" w:hAnsi="Times New Roman"/>
          <w:i/>
          <w:szCs w:val="22"/>
        </w:rPr>
        <w:t xml:space="preserve"> </w:t>
      </w:r>
      <w:r w:rsidR="0070555F">
        <w:rPr>
          <w:rFonts w:ascii="Times New Roman" w:hAnsi="Times New Roman"/>
          <w:i/>
          <w:szCs w:val="22"/>
        </w:rPr>
        <w:t>ich častí</w:t>
      </w:r>
      <w:r w:rsidRPr="00370AD5">
        <w:rPr>
          <w:rFonts w:ascii="Times New Roman" w:hAnsi="Times New Roman"/>
          <w:szCs w:val="22"/>
        </w:rPr>
        <w:t xml:space="preserve"> </w:t>
      </w:r>
      <w:r w:rsidR="00D2738E">
        <w:rPr>
          <w:rFonts w:ascii="Times New Roman" w:hAnsi="Times New Roman"/>
          <w:szCs w:val="22"/>
        </w:rPr>
        <w:t xml:space="preserve">boli použité </w:t>
      </w:r>
      <w:r w:rsidR="00F11CAA">
        <w:rPr>
          <w:rFonts w:ascii="Times New Roman" w:hAnsi="Times New Roman"/>
          <w:szCs w:val="22"/>
        </w:rPr>
        <w:br/>
      </w:r>
      <w:r w:rsidR="0070555F">
        <w:rPr>
          <w:rFonts w:ascii="Times New Roman" w:hAnsi="Times New Roman"/>
          <w:szCs w:val="22"/>
        </w:rPr>
        <w:t>na obstaranie klientske</w:t>
      </w:r>
      <w:r w:rsidRPr="00370AD5">
        <w:rPr>
          <w:rFonts w:ascii="Times New Roman" w:hAnsi="Times New Roman"/>
          <w:szCs w:val="22"/>
        </w:rPr>
        <w:t>ho centra v</w:t>
      </w:r>
      <w:r w:rsidR="007C7ABE">
        <w:rPr>
          <w:rFonts w:ascii="Times New Roman" w:hAnsi="Times New Roman"/>
          <w:szCs w:val="22"/>
        </w:rPr>
        <w:t> </w:t>
      </w:r>
      <w:r w:rsidRPr="00370AD5">
        <w:rPr>
          <w:rFonts w:ascii="Times New Roman" w:hAnsi="Times New Roman"/>
          <w:szCs w:val="22"/>
        </w:rPr>
        <w:t>Žiline</w:t>
      </w:r>
      <w:r w:rsidR="007C7ABE">
        <w:rPr>
          <w:rFonts w:ascii="Times New Roman" w:hAnsi="Times New Roman"/>
          <w:szCs w:val="22"/>
        </w:rPr>
        <w:t>.</w:t>
      </w:r>
      <w:r w:rsidRPr="00370AD5">
        <w:rPr>
          <w:rFonts w:ascii="Times New Roman" w:hAnsi="Times New Roman"/>
          <w:szCs w:val="22"/>
        </w:rPr>
        <w:t xml:space="preserve"> </w:t>
      </w:r>
      <w:r w:rsidR="007C7ABE">
        <w:rPr>
          <w:rFonts w:ascii="Times New Roman" w:hAnsi="Times New Roman"/>
          <w:szCs w:val="22"/>
        </w:rPr>
        <w:t>Tieto p</w:t>
      </w:r>
      <w:r w:rsidRPr="00370AD5">
        <w:rPr>
          <w:rFonts w:ascii="Times New Roman" w:hAnsi="Times New Roman"/>
          <w:szCs w:val="22"/>
        </w:rPr>
        <w:t>rostriedky boli čerpané v rámci programu Efekt</w:t>
      </w:r>
      <w:r w:rsidR="003A05D8">
        <w:rPr>
          <w:rFonts w:ascii="Times New Roman" w:hAnsi="Times New Roman"/>
          <w:szCs w:val="22"/>
        </w:rPr>
        <w:t>ívna a</w:t>
      </w:r>
      <w:r w:rsidR="0073452D">
        <w:rPr>
          <w:rFonts w:ascii="Times New Roman" w:hAnsi="Times New Roman"/>
          <w:szCs w:val="22"/>
        </w:rPr>
        <w:t xml:space="preserve"> </w:t>
      </w:r>
      <w:r w:rsidR="003A05D8">
        <w:rPr>
          <w:rFonts w:ascii="Times New Roman" w:hAnsi="Times New Roman"/>
          <w:szCs w:val="22"/>
        </w:rPr>
        <w:t>spoľahlivá štátna správa.</w:t>
      </w:r>
    </w:p>
    <w:p w:rsidR="00D2738E" w:rsidP="00370AD5">
      <w:pPr>
        <w:bidi w:val="0"/>
        <w:rPr>
          <w:rFonts w:ascii="Times New Roman" w:hAnsi="Times New Roman"/>
          <w:szCs w:val="22"/>
        </w:rPr>
      </w:pPr>
      <w:r>
        <w:rPr>
          <w:rFonts w:ascii="Times New Roman" w:hAnsi="Times New Roman"/>
          <w:szCs w:val="22"/>
        </w:rPr>
        <w:t xml:space="preserve">Finančné riaditeľstvo SR pod kapitolou Ministerstva financií </w:t>
      </w:r>
      <w:r w:rsidR="003E0012">
        <w:rPr>
          <w:rFonts w:ascii="Times New Roman" w:hAnsi="Times New Roman"/>
          <w:szCs w:val="22"/>
        </w:rPr>
        <w:t xml:space="preserve">SR </w:t>
      </w:r>
      <w:r>
        <w:rPr>
          <w:rFonts w:ascii="Times New Roman" w:hAnsi="Times New Roman"/>
          <w:szCs w:val="22"/>
        </w:rPr>
        <w:t>čerpalo výdavky v</w:t>
      </w:r>
      <w:r w:rsidR="003E0012">
        <w:rPr>
          <w:rFonts w:ascii="Times New Roman" w:hAnsi="Times New Roman"/>
          <w:szCs w:val="22"/>
        </w:rPr>
        <w:t xml:space="preserve"> celej </w:t>
      </w:r>
      <w:r>
        <w:rPr>
          <w:rFonts w:ascii="Times New Roman" w:hAnsi="Times New Roman"/>
          <w:szCs w:val="22"/>
        </w:rPr>
        <w:t xml:space="preserve">hodnote </w:t>
      </w:r>
      <w:r w:rsidR="003E0012">
        <w:rPr>
          <w:rFonts w:ascii="Times New Roman" w:hAnsi="Times New Roman"/>
          <w:szCs w:val="22"/>
        </w:rPr>
        <w:t xml:space="preserve">(1 538 tis. eur) </w:t>
      </w:r>
      <w:r>
        <w:rPr>
          <w:rFonts w:ascii="Times New Roman" w:hAnsi="Times New Roman"/>
          <w:szCs w:val="22"/>
        </w:rPr>
        <w:t>na nákup budovy daňového úradu v Michalovciach.</w:t>
      </w:r>
    </w:p>
    <w:p w:rsidR="00A63BF5" w:rsidRPr="009D60C1" w:rsidP="00310666">
      <w:pPr>
        <w:tabs>
          <w:tab w:val="left" w:pos="284"/>
        </w:tabs>
        <w:bidi w:val="0"/>
        <w:contextualSpacing/>
        <w:rPr>
          <w:rFonts w:ascii="Times New Roman" w:hAnsi="Times New Roman"/>
          <w:b/>
          <w:szCs w:val="22"/>
        </w:rPr>
      </w:pPr>
      <w:r w:rsidRPr="009D60C1">
        <w:rPr>
          <w:rFonts w:ascii="Times New Roman" w:hAnsi="Times New Roman"/>
          <w:b/>
          <w:szCs w:val="22"/>
        </w:rPr>
        <w:t>Kapitálové transfery</w:t>
      </w:r>
    </w:p>
    <w:p w:rsidR="004B2B19" w:rsidRPr="002D0490" w:rsidP="00A63BF5">
      <w:pPr>
        <w:bidi w:val="0"/>
        <w:rPr>
          <w:rFonts w:ascii="Times New Roman" w:hAnsi="Times New Roman"/>
          <w:szCs w:val="22"/>
        </w:rPr>
      </w:pPr>
      <w:r w:rsidRPr="009D60C1" w:rsidR="00A63BF5">
        <w:rPr>
          <w:rFonts w:ascii="Times New Roman" w:hAnsi="Times New Roman"/>
          <w:szCs w:val="22"/>
        </w:rPr>
        <w:t>Kapitálové transfery zahŕňajú platby vykonávané s cieľom umožniť príjemcovi nadobudnúť kapitálové aktíva alebo kompenzovať ich poškodenie alebo zničenie. Schválený rozpočet pre rok 201</w:t>
      </w:r>
      <w:r w:rsidR="009D60C1">
        <w:rPr>
          <w:rFonts w:ascii="Times New Roman" w:hAnsi="Times New Roman"/>
          <w:szCs w:val="22"/>
        </w:rPr>
        <w:t>7</w:t>
      </w:r>
      <w:r w:rsidRPr="009D60C1" w:rsidR="00A63BF5">
        <w:rPr>
          <w:rFonts w:ascii="Times New Roman" w:hAnsi="Times New Roman"/>
          <w:szCs w:val="22"/>
        </w:rPr>
        <w:t xml:space="preserve"> </w:t>
      </w:r>
      <w:r w:rsidRPr="004142C3" w:rsidR="00A63BF5">
        <w:rPr>
          <w:rFonts w:ascii="Times New Roman" w:hAnsi="Times New Roman"/>
          <w:szCs w:val="22"/>
        </w:rPr>
        <w:t xml:space="preserve">bol stanovený sumou </w:t>
      </w:r>
      <w:r w:rsidRPr="004142C3" w:rsidR="00D94029">
        <w:rPr>
          <w:rFonts w:ascii="Times New Roman" w:hAnsi="Times New Roman"/>
          <w:szCs w:val="22"/>
        </w:rPr>
        <w:t>1 </w:t>
      </w:r>
      <w:r w:rsidRPr="004142C3" w:rsidR="009D60C1">
        <w:rPr>
          <w:rFonts w:ascii="Times New Roman" w:hAnsi="Times New Roman"/>
          <w:szCs w:val="22"/>
        </w:rPr>
        <w:t>839</w:t>
      </w:r>
      <w:r w:rsidRPr="004142C3" w:rsidR="00D94029">
        <w:rPr>
          <w:rFonts w:ascii="Times New Roman" w:hAnsi="Times New Roman"/>
          <w:szCs w:val="22"/>
        </w:rPr>
        <w:t> </w:t>
      </w:r>
      <w:r w:rsidRPr="004142C3" w:rsidR="009D60C1">
        <w:rPr>
          <w:rFonts w:ascii="Times New Roman" w:hAnsi="Times New Roman"/>
          <w:szCs w:val="22"/>
        </w:rPr>
        <w:t>08</w:t>
      </w:r>
      <w:r w:rsidRPr="004142C3" w:rsidR="004142C3">
        <w:rPr>
          <w:rFonts w:ascii="Times New Roman" w:hAnsi="Times New Roman"/>
          <w:szCs w:val="22"/>
        </w:rPr>
        <w:t>2</w:t>
      </w:r>
      <w:r w:rsidRPr="004142C3" w:rsidR="00D94029">
        <w:rPr>
          <w:rFonts w:ascii="Times New Roman" w:hAnsi="Times New Roman"/>
          <w:szCs w:val="22"/>
        </w:rPr>
        <w:t> </w:t>
      </w:r>
      <w:r w:rsidRPr="004142C3" w:rsidR="00A63BF5">
        <w:rPr>
          <w:rFonts w:ascii="Times New Roman" w:hAnsi="Times New Roman"/>
          <w:szCs w:val="22"/>
        </w:rPr>
        <w:t xml:space="preserve">tis. eur. V skutočnosti kapitálové transfery boli vo výške </w:t>
      </w:r>
      <w:r w:rsidR="00480961">
        <w:rPr>
          <w:rFonts w:ascii="Times New Roman" w:hAnsi="Times New Roman"/>
          <w:szCs w:val="22"/>
        </w:rPr>
        <w:t>947 164 </w:t>
      </w:r>
      <w:r w:rsidRPr="004142C3" w:rsidR="00A63BF5">
        <w:rPr>
          <w:rFonts w:ascii="Times New Roman" w:hAnsi="Times New Roman"/>
          <w:szCs w:val="22"/>
        </w:rPr>
        <w:t>tis. eur (201</w:t>
      </w:r>
      <w:r w:rsidRPr="004142C3" w:rsidR="004142C3">
        <w:rPr>
          <w:rFonts w:ascii="Times New Roman" w:hAnsi="Times New Roman"/>
          <w:szCs w:val="22"/>
        </w:rPr>
        <w:t>6</w:t>
      </w:r>
      <w:r w:rsidRPr="004142C3" w:rsidR="00A63BF5">
        <w:rPr>
          <w:rFonts w:ascii="Times New Roman" w:hAnsi="Times New Roman"/>
          <w:szCs w:val="22"/>
        </w:rPr>
        <w:t>: </w:t>
      </w:r>
      <w:r w:rsidRPr="004142C3" w:rsidR="004142C3">
        <w:rPr>
          <w:rFonts w:ascii="Times New Roman" w:hAnsi="Times New Roman"/>
          <w:szCs w:val="22"/>
        </w:rPr>
        <w:t>1 209 856 </w:t>
      </w:r>
      <w:r w:rsidRPr="004142C3" w:rsidR="00FD21A0">
        <w:rPr>
          <w:rFonts w:ascii="Times New Roman" w:hAnsi="Times New Roman"/>
          <w:szCs w:val="22"/>
        </w:rPr>
        <w:t>tis. eur)</w:t>
      </w:r>
      <w:r w:rsidRPr="004142C3" w:rsidR="00A63BF5">
        <w:rPr>
          <w:rFonts w:ascii="Times New Roman" w:hAnsi="Times New Roman"/>
          <w:szCs w:val="22"/>
        </w:rPr>
        <w:t xml:space="preserve"> </w:t>
      </w:r>
      <w:r w:rsidRPr="00480961" w:rsidR="00B245FD">
        <w:rPr>
          <w:rFonts w:ascii="Times New Roman" w:hAnsi="Times New Roman"/>
          <w:szCs w:val="22"/>
        </w:rPr>
        <w:t xml:space="preserve">a </w:t>
      </w:r>
      <w:r w:rsidRPr="00480961" w:rsidR="00A63BF5">
        <w:rPr>
          <w:rFonts w:ascii="Times New Roman" w:hAnsi="Times New Roman"/>
          <w:szCs w:val="22"/>
        </w:rPr>
        <w:t xml:space="preserve">tvoria takmer </w:t>
      </w:r>
      <w:r w:rsidRPr="00480961" w:rsidR="00480961">
        <w:rPr>
          <w:rFonts w:ascii="Times New Roman" w:hAnsi="Times New Roman"/>
          <w:szCs w:val="22"/>
        </w:rPr>
        <w:t>61</w:t>
      </w:r>
      <w:r w:rsidRPr="00480961" w:rsidR="00D94029">
        <w:rPr>
          <w:rFonts w:ascii="Times New Roman" w:hAnsi="Times New Roman"/>
          <w:szCs w:val="22"/>
        </w:rPr>
        <w:t>,</w:t>
      </w:r>
      <w:r w:rsidRPr="00480961" w:rsidR="00480961">
        <w:rPr>
          <w:rFonts w:ascii="Times New Roman" w:hAnsi="Times New Roman"/>
          <w:szCs w:val="22"/>
        </w:rPr>
        <w:t>0</w:t>
      </w:r>
      <w:r w:rsidRPr="00480961" w:rsidR="00A63BF5">
        <w:rPr>
          <w:rFonts w:ascii="Times New Roman" w:hAnsi="Times New Roman"/>
          <w:szCs w:val="22"/>
        </w:rPr>
        <w:t xml:space="preserve"> % z celkových kapitálových výdavkov.</w:t>
      </w:r>
      <w:r w:rsidR="00F11CAA">
        <w:rPr>
          <w:rFonts w:ascii="Times New Roman" w:hAnsi="Times New Roman"/>
          <w:szCs w:val="22"/>
        </w:rPr>
        <w:t xml:space="preserve"> </w:t>
      </w:r>
      <w:r w:rsidRPr="002D0490">
        <w:rPr>
          <w:rFonts w:ascii="Times New Roman" w:hAnsi="Times New Roman"/>
          <w:szCs w:val="22"/>
        </w:rPr>
        <w:t xml:space="preserve">Z celkovej sumy kapitálových transferov bolo </w:t>
      </w:r>
      <w:r w:rsidRPr="002D0490" w:rsidR="00FD21A0">
        <w:rPr>
          <w:rFonts w:ascii="Times New Roman" w:hAnsi="Times New Roman"/>
          <w:szCs w:val="22"/>
        </w:rPr>
        <w:t xml:space="preserve">zo zdrojov EÚ prostriedkov použitých </w:t>
      </w:r>
      <w:r w:rsidRPr="002D0490" w:rsidR="002D0490">
        <w:rPr>
          <w:rFonts w:ascii="Times New Roman" w:hAnsi="Times New Roman"/>
          <w:szCs w:val="22"/>
        </w:rPr>
        <w:t>515 306 </w:t>
      </w:r>
      <w:r w:rsidRPr="002D0490" w:rsidR="00FD21A0">
        <w:rPr>
          <w:rFonts w:ascii="Times New Roman" w:hAnsi="Times New Roman"/>
          <w:szCs w:val="22"/>
        </w:rPr>
        <w:t xml:space="preserve">tis. eur a zo zdroja ŠR </w:t>
      </w:r>
      <w:r w:rsidRPr="002D0490" w:rsidR="002D0490">
        <w:rPr>
          <w:rFonts w:ascii="Times New Roman" w:hAnsi="Times New Roman"/>
          <w:szCs w:val="22"/>
        </w:rPr>
        <w:t>336 969</w:t>
      </w:r>
      <w:r w:rsidRPr="002D0490">
        <w:rPr>
          <w:rFonts w:ascii="Times New Roman" w:hAnsi="Times New Roman"/>
          <w:szCs w:val="22"/>
        </w:rPr>
        <w:t> tis. eur</w:t>
      </w:r>
      <w:r w:rsidRPr="002D0490" w:rsidR="00FD3335">
        <w:rPr>
          <w:rFonts w:ascii="Times New Roman" w:hAnsi="Times New Roman"/>
          <w:szCs w:val="22"/>
        </w:rPr>
        <w:t xml:space="preserve"> </w:t>
      </w:r>
      <w:r w:rsidRPr="002D0490" w:rsidR="00724F42">
        <w:rPr>
          <w:rFonts w:ascii="Times New Roman" w:hAnsi="Times New Roman"/>
          <w:szCs w:val="22"/>
        </w:rPr>
        <w:t xml:space="preserve">(spolufinancovanie v sume </w:t>
      </w:r>
      <w:r w:rsidRPr="002D0490" w:rsidR="002D0490">
        <w:rPr>
          <w:rFonts w:ascii="Times New Roman" w:hAnsi="Times New Roman"/>
          <w:szCs w:val="22"/>
        </w:rPr>
        <w:t>94</w:t>
      </w:r>
      <w:r w:rsidRPr="002D0490" w:rsidR="00724F42">
        <w:rPr>
          <w:rFonts w:ascii="Times New Roman" w:hAnsi="Times New Roman"/>
          <w:szCs w:val="22"/>
        </w:rPr>
        <w:t> </w:t>
      </w:r>
      <w:r w:rsidRPr="002D0490" w:rsidR="002D0490">
        <w:rPr>
          <w:rFonts w:ascii="Times New Roman" w:hAnsi="Times New Roman"/>
          <w:szCs w:val="22"/>
        </w:rPr>
        <w:t>889</w:t>
      </w:r>
      <w:r w:rsidRPr="002D0490" w:rsidR="00724F42">
        <w:rPr>
          <w:rFonts w:ascii="Times New Roman" w:hAnsi="Times New Roman"/>
          <w:szCs w:val="22"/>
        </w:rPr>
        <w:t> tis. eur)</w:t>
      </w:r>
      <w:r w:rsidRPr="002D0490">
        <w:rPr>
          <w:rFonts w:ascii="Times New Roman" w:hAnsi="Times New Roman"/>
          <w:szCs w:val="22"/>
        </w:rPr>
        <w:t>.</w:t>
      </w:r>
    </w:p>
    <w:p w:rsidR="00500399" w:rsidRPr="00310666" w:rsidP="00414960">
      <w:pPr>
        <w:bidi w:val="0"/>
        <w:rPr>
          <w:rFonts w:ascii="Times New Roman" w:hAnsi="Times New Roman"/>
          <w:szCs w:val="22"/>
        </w:rPr>
      </w:pPr>
      <w:r w:rsidRPr="000F73C2" w:rsidR="00A63BF5">
        <w:rPr>
          <w:rFonts w:ascii="Times New Roman" w:hAnsi="Times New Roman"/>
          <w:b/>
          <w:i/>
          <w:szCs w:val="22"/>
        </w:rPr>
        <w:t>Transfery v rámci verejnej správy</w:t>
      </w:r>
      <w:r w:rsidRPr="000F73C2" w:rsidR="00A63BF5">
        <w:rPr>
          <w:rFonts w:ascii="Times New Roman" w:hAnsi="Times New Roman"/>
          <w:szCs w:val="22"/>
        </w:rPr>
        <w:t xml:space="preserve"> tvorili </w:t>
      </w:r>
      <w:r w:rsidRPr="000F73C2" w:rsidR="000F73C2">
        <w:rPr>
          <w:rFonts w:ascii="Times New Roman" w:hAnsi="Times New Roman"/>
          <w:szCs w:val="22"/>
        </w:rPr>
        <w:t>734</w:t>
      </w:r>
      <w:r w:rsidRPr="000F73C2" w:rsidR="00940D2B">
        <w:rPr>
          <w:rFonts w:ascii="Times New Roman" w:hAnsi="Times New Roman"/>
          <w:szCs w:val="22"/>
        </w:rPr>
        <w:t> </w:t>
      </w:r>
      <w:r w:rsidRPr="000F73C2" w:rsidR="000F73C2">
        <w:rPr>
          <w:rFonts w:ascii="Times New Roman" w:hAnsi="Times New Roman"/>
          <w:szCs w:val="22"/>
        </w:rPr>
        <w:t>040</w:t>
      </w:r>
      <w:r w:rsidRPr="000F73C2" w:rsidR="004058E9">
        <w:rPr>
          <w:rFonts w:ascii="Times New Roman" w:hAnsi="Times New Roman"/>
        </w:rPr>
        <w:t> </w:t>
      </w:r>
      <w:r w:rsidRPr="000F73C2" w:rsidR="00A63BF5">
        <w:rPr>
          <w:rFonts w:ascii="Times New Roman" w:hAnsi="Times New Roman"/>
          <w:szCs w:val="22"/>
        </w:rPr>
        <w:t xml:space="preserve">tis. eur, </w:t>
      </w:r>
      <w:r w:rsidR="00310666">
        <w:rPr>
          <w:rFonts w:ascii="Times New Roman" w:hAnsi="Times New Roman"/>
          <w:szCs w:val="22"/>
        </w:rPr>
        <w:t xml:space="preserve">z toho </w:t>
      </w:r>
      <w:r w:rsidR="0085423E">
        <w:rPr>
          <w:rFonts w:ascii="Times New Roman" w:hAnsi="Times New Roman"/>
          <w:szCs w:val="22"/>
        </w:rPr>
        <w:t>Ministerstvo dopravy a</w:t>
      </w:r>
      <w:r w:rsidRPr="00B63CDD" w:rsidR="00414960">
        <w:rPr>
          <w:rFonts w:ascii="Times New Roman" w:hAnsi="Times New Roman"/>
          <w:szCs w:val="22"/>
        </w:rPr>
        <w:t xml:space="preserve"> výstavby SR poskytlo </w:t>
      </w:r>
      <w:r w:rsidRPr="00B63CDD" w:rsidR="00B63CDD">
        <w:rPr>
          <w:rFonts w:ascii="Times New Roman" w:hAnsi="Times New Roman"/>
          <w:szCs w:val="22"/>
        </w:rPr>
        <w:t>514 </w:t>
      </w:r>
      <w:r w:rsidRPr="00500399" w:rsidR="00EC2169">
        <w:rPr>
          <w:rFonts w:ascii="Times New Roman" w:hAnsi="Times New Roman"/>
          <w:szCs w:val="22"/>
        </w:rPr>
        <w:t>90</w:t>
      </w:r>
      <w:r w:rsidRPr="00500399" w:rsidR="00B63CDD">
        <w:rPr>
          <w:rFonts w:ascii="Times New Roman" w:hAnsi="Times New Roman"/>
          <w:szCs w:val="22"/>
        </w:rPr>
        <w:t>9 </w:t>
      </w:r>
      <w:r w:rsidRPr="00500399" w:rsidR="00EC2169">
        <w:rPr>
          <w:rFonts w:ascii="Times New Roman" w:hAnsi="Times New Roman"/>
          <w:szCs w:val="22"/>
        </w:rPr>
        <w:t>tis</w:t>
      </w:r>
      <w:r w:rsidRPr="00B63CDD" w:rsidR="00EC2169">
        <w:rPr>
          <w:rFonts w:ascii="Times New Roman" w:hAnsi="Times New Roman"/>
          <w:szCs w:val="22"/>
        </w:rPr>
        <w:t>.</w:t>
      </w:r>
      <w:r w:rsidRPr="00B63CDD" w:rsidR="00B63CDD">
        <w:rPr>
          <w:rFonts w:ascii="Times New Roman" w:hAnsi="Times New Roman"/>
          <w:szCs w:val="22"/>
        </w:rPr>
        <w:t> </w:t>
      </w:r>
      <w:r w:rsidRPr="00B63CDD" w:rsidR="00EC2169">
        <w:rPr>
          <w:rFonts w:ascii="Times New Roman" w:hAnsi="Times New Roman"/>
          <w:szCs w:val="22"/>
        </w:rPr>
        <w:t xml:space="preserve">eur, </w:t>
      </w:r>
      <w:r w:rsidR="00310666">
        <w:rPr>
          <w:rFonts w:ascii="Times New Roman" w:hAnsi="Times New Roman"/>
          <w:szCs w:val="22"/>
        </w:rPr>
        <w:t>a to</w:t>
      </w:r>
      <w:r w:rsidRPr="00B63CDD" w:rsidR="00EC2169">
        <w:rPr>
          <w:rFonts w:ascii="Times New Roman" w:hAnsi="Times New Roman"/>
          <w:szCs w:val="22"/>
        </w:rPr>
        <w:t xml:space="preserve"> </w:t>
      </w:r>
      <w:r w:rsidRPr="001E47F9" w:rsidR="00414960">
        <w:rPr>
          <w:rFonts w:ascii="Times New Roman" w:hAnsi="Times New Roman"/>
          <w:i/>
          <w:szCs w:val="22"/>
        </w:rPr>
        <w:t>Národnej diaľničnej spoločnosti</w:t>
      </w:r>
      <w:r w:rsidRPr="00B63CDD" w:rsidR="00414960">
        <w:rPr>
          <w:rFonts w:ascii="Times New Roman" w:hAnsi="Times New Roman"/>
          <w:szCs w:val="22"/>
        </w:rPr>
        <w:t xml:space="preserve">, </w:t>
      </w:r>
      <w:r w:rsidRPr="001E47F9" w:rsidR="00414960">
        <w:rPr>
          <w:rFonts w:ascii="Times New Roman" w:hAnsi="Times New Roman"/>
          <w:i/>
          <w:szCs w:val="22"/>
        </w:rPr>
        <w:t>a. s</w:t>
      </w:r>
      <w:r w:rsidRPr="00B63CDD" w:rsidR="00414960">
        <w:rPr>
          <w:rFonts w:ascii="Times New Roman" w:hAnsi="Times New Roman"/>
          <w:szCs w:val="22"/>
        </w:rPr>
        <w:t xml:space="preserve">. v hodnote </w:t>
      </w:r>
      <w:r w:rsidRPr="00B63CDD" w:rsidR="00B63CDD">
        <w:rPr>
          <w:rFonts w:ascii="Times New Roman" w:hAnsi="Times New Roman"/>
          <w:szCs w:val="22"/>
        </w:rPr>
        <w:t>350</w:t>
      </w:r>
      <w:r w:rsidRPr="00B63CDD" w:rsidR="00FD3335">
        <w:rPr>
          <w:rFonts w:ascii="Times New Roman" w:hAnsi="Times New Roman"/>
          <w:szCs w:val="22"/>
        </w:rPr>
        <w:t> </w:t>
      </w:r>
      <w:r w:rsidRPr="00B63CDD" w:rsidR="00B63CDD">
        <w:rPr>
          <w:rFonts w:ascii="Times New Roman" w:hAnsi="Times New Roman"/>
          <w:szCs w:val="22"/>
        </w:rPr>
        <w:t>338</w:t>
      </w:r>
      <w:r w:rsidRPr="00B63CDD" w:rsidR="00FD3335">
        <w:rPr>
          <w:rFonts w:ascii="Times New Roman" w:hAnsi="Times New Roman"/>
          <w:szCs w:val="22"/>
        </w:rPr>
        <w:t> </w:t>
      </w:r>
      <w:r w:rsidRPr="00B63CDD" w:rsidR="00414960">
        <w:rPr>
          <w:rFonts w:ascii="Times New Roman" w:hAnsi="Times New Roman"/>
          <w:szCs w:val="22"/>
        </w:rPr>
        <w:t>tis.</w:t>
      </w:r>
      <w:r w:rsidRPr="00B63CDD" w:rsidR="00FD3335">
        <w:rPr>
          <w:rFonts w:ascii="Times New Roman" w:hAnsi="Times New Roman"/>
          <w:szCs w:val="22"/>
        </w:rPr>
        <w:t> </w:t>
      </w:r>
      <w:r w:rsidRPr="00B63CDD" w:rsidR="00414960">
        <w:rPr>
          <w:rFonts w:ascii="Times New Roman" w:hAnsi="Times New Roman"/>
          <w:szCs w:val="22"/>
        </w:rPr>
        <w:t xml:space="preserve">eur, ktorá ich použila </w:t>
      </w:r>
      <w:r w:rsidRPr="00B63CDD">
        <w:rPr>
          <w:rFonts w:ascii="Times New Roman" w:hAnsi="Times New Roman"/>
          <w:szCs w:val="22"/>
        </w:rPr>
        <w:t xml:space="preserve">v rámci programu </w:t>
      </w:r>
      <w:r>
        <w:rPr>
          <w:rFonts w:ascii="Times New Roman" w:hAnsi="Times New Roman"/>
          <w:szCs w:val="22"/>
        </w:rPr>
        <w:t xml:space="preserve">Integrovaná infraštruktúra (232 410 tis. eur) na prvky </w:t>
      </w:r>
      <w:r w:rsidRPr="00500399">
        <w:rPr>
          <w:rFonts w:ascii="Times New Roman" w:hAnsi="Times New Roman"/>
          <w:szCs w:val="22"/>
        </w:rPr>
        <w:t>D1 Hričovské Podhradie - Lietavská Lúčka, II. fáza</w:t>
      </w:r>
      <w:r>
        <w:rPr>
          <w:rFonts w:ascii="Times New Roman" w:hAnsi="Times New Roman"/>
          <w:szCs w:val="22"/>
        </w:rPr>
        <w:t xml:space="preserve">, </w:t>
      </w:r>
      <w:r w:rsidRPr="00500399">
        <w:rPr>
          <w:rFonts w:ascii="Times New Roman" w:hAnsi="Times New Roman"/>
          <w:szCs w:val="22"/>
        </w:rPr>
        <w:t>D3 Žil</w:t>
      </w:r>
      <w:r>
        <w:rPr>
          <w:rFonts w:ascii="Times New Roman" w:hAnsi="Times New Roman"/>
          <w:szCs w:val="22"/>
        </w:rPr>
        <w:t>ina Strážov - Žilina Brodno (2. </w:t>
      </w:r>
      <w:r w:rsidRPr="00500399">
        <w:rPr>
          <w:rFonts w:ascii="Times New Roman" w:hAnsi="Times New Roman"/>
          <w:szCs w:val="22"/>
        </w:rPr>
        <w:t>fáza)</w:t>
      </w:r>
      <w:r>
        <w:rPr>
          <w:rFonts w:ascii="Times New Roman" w:hAnsi="Times New Roman"/>
          <w:szCs w:val="22"/>
        </w:rPr>
        <w:t xml:space="preserve">, a </w:t>
      </w:r>
      <w:r w:rsidRPr="00500399">
        <w:rPr>
          <w:rFonts w:ascii="Times New Roman" w:hAnsi="Times New Roman"/>
          <w:szCs w:val="22"/>
        </w:rPr>
        <w:t>D3 Svrčinovec-Skalité (2. fáza)</w:t>
      </w:r>
      <w:r>
        <w:rPr>
          <w:rFonts w:ascii="Times New Roman" w:hAnsi="Times New Roman"/>
          <w:szCs w:val="22"/>
        </w:rPr>
        <w:t xml:space="preserve">, </w:t>
      </w:r>
      <w:r w:rsidRPr="00B63CDD" w:rsidR="00414960">
        <w:rPr>
          <w:rFonts w:ascii="Times New Roman" w:hAnsi="Times New Roman"/>
          <w:szCs w:val="22"/>
        </w:rPr>
        <w:t xml:space="preserve">v rámci programu </w:t>
      </w:r>
      <w:r w:rsidRPr="00B63CDD" w:rsidR="00B63CDD">
        <w:rPr>
          <w:rFonts w:ascii="Times New Roman" w:hAnsi="Times New Roman"/>
          <w:szCs w:val="22"/>
        </w:rPr>
        <w:t>Cestná infraštruktúra</w:t>
      </w:r>
      <w:r w:rsidR="00B63CDD">
        <w:rPr>
          <w:rFonts w:ascii="Times New Roman" w:hAnsi="Times New Roman"/>
          <w:szCs w:val="22"/>
        </w:rPr>
        <w:t xml:space="preserve"> na prípravu, výstavbu diaľnic a</w:t>
      </w:r>
      <w:r>
        <w:rPr>
          <w:rFonts w:ascii="Times New Roman" w:hAnsi="Times New Roman"/>
          <w:szCs w:val="22"/>
        </w:rPr>
        <w:t xml:space="preserve"> </w:t>
      </w:r>
      <w:r w:rsidR="00B63CDD">
        <w:rPr>
          <w:rFonts w:ascii="Times New Roman" w:hAnsi="Times New Roman"/>
          <w:szCs w:val="22"/>
        </w:rPr>
        <w:t>rýchlostných ciest (117 928 </w:t>
      </w:r>
      <w:r>
        <w:rPr>
          <w:rFonts w:ascii="Times New Roman" w:hAnsi="Times New Roman"/>
          <w:szCs w:val="22"/>
        </w:rPr>
        <w:t>tis. eur)</w:t>
      </w:r>
      <w:r w:rsidR="00310666">
        <w:rPr>
          <w:rFonts w:ascii="Times New Roman" w:hAnsi="Times New Roman"/>
          <w:szCs w:val="22"/>
        </w:rPr>
        <w:t xml:space="preserve"> a ďalej </w:t>
      </w:r>
      <w:r w:rsidRPr="001E47F9" w:rsidR="00310666">
        <w:rPr>
          <w:rFonts w:ascii="Times New Roman" w:hAnsi="Times New Roman"/>
          <w:i/>
          <w:szCs w:val="22"/>
        </w:rPr>
        <w:t>Železniciam SR</w:t>
      </w:r>
      <w:r w:rsidR="00310666">
        <w:rPr>
          <w:rFonts w:ascii="Times New Roman" w:hAnsi="Times New Roman"/>
          <w:szCs w:val="22"/>
        </w:rPr>
        <w:t xml:space="preserve"> 63</w:t>
      </w:r>
      <w:r w:rsidRPr="00500399" w:rsidR="00310666">
        <w:rPr>
          <w:rFonts w:ascii="Times New Roman" w:hAnsi="Times New Roman"/>
          <w:szCs w:val="22"/>
        </w:rPr>
        <w:t> </w:t>
      </w:r>
      <w:r w:rsidR="00310666">
        <w:rPr>
          <w:rFonts w:ascii="Times New Roman" w:hAnsi="Times New Roman"/>
          <w:szCs w:val="22"/>
        </w:rPr>
        <w:t>469</w:t>
      </w:r>
      <w:r w:rsidRPr="00500399" w:rsidR="00310666">
        <w:rPr>
          <w:rFonts w:ascii="Times New Roman" w:hAnsi="Times New Roman"/>
          <w:szCs w:val="22"/>
        </w:rPr>
        <w:t> tis. eur</w:t>
      </w:r>
      <w:r w:rsidR="00310666">
        <w:rPr>
          <w:rFonts w:ascii="Times New Roman" w:hAnsi="Times New Roman"/>
          <w:szCs w:val="22"/>
        </w:rPr>
        <w:t xml:space="preserve"> na </w:t>
      </w:r>
      <w:r w:rsidRPr="00500399" w:rsidR="00414960">
        <w:rPr>
          <w:rFonts w:ascii="Times New Roman" w:hAnsi="Times New Roman"/>
          <w:szCs w:val="22"/>
        </w:rPr>
        <w:t>použit</w:t>
      </w:r>
      <w:r w:rsidR="00310666">
        <w:rPr>
          <w:rFonts w:ascii="Times New Roman" w:hAnsi="Times New Roman"/>
          <w:szCs w:val="22"/>
        </w:rPr>
        <w:t>ie</w:t>
      </w:r>
      <w:r w:rsidRPr="00500399" w:rsidR="00414960">
        <w:rPr>
          <w:rFonts w:ascii="Times New Roman" w:hAnsi="Times New Roman"/>
          <w:szCs w:val="22"/>
        </w:rPr>
        <w:t xml:space="preserve"> </w:t>
      </w:r>
      <w:r>
        <w:rPr>
          <w:rFonts w:ascii="Times New Roman" w:hAnsi="Times New Roman"/>
          <w:szCs w:val="22"/>
        </w:rPr>
        <w:t xml:space="preserve">v rámci prvku železničná infraštruktúra a obnova mobilných prostriedkov (43 325 tis. eur) na </w:t>
      </w:r>
      <w:r w:rsidRPr="001E47F9" w:rsidR="001E47F9">
        <w:rPr>
          <w:rFonts w:ascii="Times New Roman" w:hAnsi="Times New Roman"/>
          <w:szCs w:val="22"/>
        </w:rPr>
        <w:t>dostavb</w:t>
      </w:r>
      <w:r w:rsidR="001E47F9">
        <w:rPr>
          <w:rFonts w:ascii="Times New Roman" w:hAnsi="Times New Roman"/>
          <w:szCs w:val="22"/>
        </w:rPr>
        <w:t>u</w:t>
      </w:r>
      <w:r w:rsidRPr="001E47F9" w:rsidR="001E47F9">
        <w:rPr>
          <w:rFonts w:ascii="Times New Roman" w:hAnsi="Times New Roman"/>
          <w:szCs w:val="22"/>
        </w:rPr>
        <w:t xml:space="preserve"> zriaďovacej stanice Žilina Teplička a nadväzujúcej železničn</w:t>
      </w:r>
      <w:r w:rsidR="001E47F9">
        <w:rPr>
          <w:rFonts w:ascii="Times New Roman" w:hAnsi="Times New Roman"/>
          <w:szCs w:val="22"/>
        </w:rPr>
        <w:t>ej infraštruktúry v uzle Žilina</w:t>
      </w:r>
      <w:r w:rsidRPr="001E47F9" w:rsidR="001E47F9">
        <w:rPr>
          <w:rFonts w:ascii="Times New Roman" w:hAnsi="Times New Roman"/>
          <w:szCs w:val="22"/>
        </w:rPr>
        <w:t xml:space="preserve">, </w:t>
      </w:r>
      <w:r w:rsidR="001E47F9">
        <w:rPr>
          <w:rFonts w:ascii="Times New Roman" w:hAnsi="Times New Roman"/>
          <w:szCs w:val="22"/>
        </w:rPr>
        <w:t>m</w:t>
      </w:r>
      <w:r w:rsidRPr="001E47F9" w:rsidR="001E47F9">
        <w:rPr>
          <w:rFonts w:ascii="Times New Roman" w:hAnsi="Times New Roman"/>
          <w:szCs w:val="22"/>
        </w:rPr>
        <w:t>odernizácia trate Púchov-Žilin</w:t>
      </w:r>
      <w:r w:rsidR="001E47F9">
        <w:rPr>
          <w:rFonts w:ascii="Times New Roman" w:hAnsi="Times New Roman"/>
          <w:szCs w:val="22"/>
        </w:rPr>
        <w:t>a, pre rýchlosť do 160 km/hod a v</w:t>
      </w:r>
      <w:r>
        <w:rPr>
          <w:rFonts w:ascii="Times New Roman" w:hAnsi="Times New Roman"/>
          <w:szCs w:val="22"/>
        </w:rPr>
        <w:t> rámci programov dopravná a telekomunikačná podpora (7 267 tis. eur), železničná doprava (19 </w:t>
      </w:r>
      <w:r>
        <w:rPr>
          <w:rFonts w:ascii="Times New Roman" w:hAnsi="Times New Roman"/>
        </w:rPr>
        <w:t>896 tis. eur)</w:t>
      </w:r>
      <w:r w:rsidR="001E47F9">
        <w:rPr>
          <w:rFonts w:ascii="Times New Roman" w:hAnsi="Times New Roman"/>
        </w:rPr>
        <w:t>.</w:t>
      </w:r>
    </w:p>
    <w:p w:rsidR="001E47F9" w:rsidRPr="00500399" w:rsidP="00414960">
      <w:pPr>
        <w:bidi w:val="0"/>
        <w:rPr>
          <w:rFonts w:ascii="Times New Roman" w:hAnsi="Times New Roman"/>
        </w:rPr>
      </w:pPr>
      <w:r w:rsidRPr="001E47F9">
        <w:rPr>
          <w:rFonts w:ascii="Times New Roman" w:hAnsi="Times New Roman"/>
          <w:i/>
        </w:rPr>
        <w:t>Dopravným podnikom</w:t>
      </w:r>
      <w:r>
        <w:rPr>
          <w:rFonts w:ascii="Times New Roman" w:hAnsi="Times New Roman"/>
        </w:rPr>
        <w:t xml:space="preserve"> boli poskytnuté transfery v sume 38 378 tis. eur, z toho Ministerstvo dopravy a výstavby SR 27 069 tis. eur dopravnému</w:t>
      </w:r>
      <w:r w:rsidRPr="001E47F9">
        <w:rPr>
          <w:rFonts w:ascii="Times New Roman" w:hAnsi="Times New Roman"/>
        </w:rPr>
        <w:t xml:space="preserve"> podnik</w:t>
      </w:r>
      <w:r>
        <w:rPr>
          <w:rFonts w:ascii="Times New Roman" w:hAnsi="Times New Roman"/>
        </w:rPr>
        <w:t>u</w:t>
      </w:r>
      <w:r w:rsidRPr="001E47F9">
        <w:rPr>
          <w:rFonts w:ascii="Times New Roman" w:hAnsi="Times New Roman"/>
        </w:rPr>
        <w:t xml:space="preserve"> Košice, na obnov</w:t>
      </w:r>
      <w:r>
        <w:rPr>
          <w:rFonts w:ascii="Times New Roman" w:hAnsi="Times New Roman"/>
        </w:rPr>
        <w:t>u</w:t>
      </w:r>
      <w:r w:rsidRPr="001E47F9">
        <w:rPr>
          <w:rFonts w:ascii="Times New Roman" w:hAnsi="Times New Roman"/>
        </w:rPr>
        <w:t xml:space="preserve"> vozidlového parku električiek v</w:t>
      </w:r>
      <w:r>
        <w:rPr>
          <w:rFonts w:ascii="Times New Roman" w:hAnsi="Times New Roman"/>
        </w:rPr>
        <w:t> </w:t>
      </w:r>
      <w:r w:rsidRPr="001E47F9">
        <w:rPr>
          <w:rFonts w:ascii="Times New Roman" w:hAnsi="Times New Roman"/>
        </w:rPr>
        <w:t>Košiciach</w:t>
      </w:r>
      <w:r>
        <w:rPr>
          <w:rFonts w:ascii="Times New Roman" w:hAnsi="Times New Roman"/>
        </w:rPr>
        <w:t>, na m</w:t>
      </w:r>
      <w:r w:rsidRPr="001E47F9">
        <w:rPr>
          <w:rFonts w:ascii="Times New Roman" w:hAnsi="Times New Roman"/>
        </w:rPr>
        <w:t>odernizáci</w:t>
      </w:r>
      <w:r>
        <w:rPr>
          <w:rFonts w:ascii="Times New Roman" w:hAnsi="Times New Roman"/>
        </w:rPr>
        <w:t>u</w:t>
      </w:r>
      <w:r w:rsidRPr="001E47F9">
        <w:rPr>
          <w:rFonts w:ascii="Times New Roman" w:hAnsi="Times New Roman"/>
        </w:rPr>
        <w:t xml:space="preserve"> vozového parku trolejbusov v</w:t>
      </w:r>
      <w:r>
        <w:rPr>
          <w:rFonts w:ascii="Times New Roman" w:hAnsi="Times New Roman"/>
        </w:rPr>
        <w:t> </w:t>
      </w:r>
      <w:r w:rsidRPr="001E47F9">
        <w:rPr>
          <w:rFonts w:ascii="Times New Roman" w:hAnsi="Times New Roman"/>
        </w:rPr>
        <w:t>Prešove</w:t>
      </w:r>
      <w:r>
        <w:rPr>
          <w:rFonts w:ascii="Times New Roman" w:hAnsi="Times New Roman"/>
        </w:rPr>
        <w:t>, na n</w:t>
      </w:r>
      <w:r w:rsidRPr="001E47F9">
        <w:rPr>
          <w:rFonts w:ascii="Times New Roman" w:hAnsi="Times New Roman"/>
        </w:rPr>
        <w:t>ízkopodlažné a energeticky úsporné trolejbusy a trolejbusy s pomocným pohonom pre Žilinu</w:t>
      </w:r>
      <w:r>
        <w:rPr>
          <w:rFonts w:ascii="Times New Roman" w:hAnsi="Times New Roman"/>
        </w:rPr>
        <w:t>.</w:t>
      </w:r>
    </w:p>
    <w:p w:rsidR="00A63BF5" w:rsidRPr="000F73C2" w:rsidP="00A63BF5">
      <w:pPr>
        <w:bidi w:val="0"/>
        <w:rPr>
          <w:rFonts w:ascii="Times New Roman" w:hAnsi="Times New Roman"/>
          <w:szCs w:val="22"/>
        </w:rPr>
      </w:pPr>
      <w:r w:rsidRPr="000F73C2">
        <w:rPr>
          <w:rFonts w:ascii="Times New Roman" w:hAnsi="Times New Roman"/>
          <w:i/>
          <w:szCs w:val="22"/>
        </w:rPr>
        <w:t>Príspevkovým organizáciám</w:t>
      </w:r>
      <w:r w:rsidRPr="000F73C2">
        <w:rPr>
          <w:rFonts w:ascii="Times New Roman" w:hAnsi="Times New Roman"/>
          <w:szCs w:val="22"/>
        </w:rPr>
        <w:t xml:space="preserve"> bolo poskytnutých </w:t>
      </w:r>
      <w:r w:rsidRPr="000F73C2" w:rsidR="000F73C2">
        <w:rPr>
          <w:rFonts w:ascii="Times New Roman" w:hAnsi="Times New Roman"/>
          <w:szCs w:val="22"/>
        </w:rPr>
        <w:t>49 748 </w:t>
      </w:r>
      <w:r w:rsidRPr="000F73C2">
        <w:rPr>
          <w:rFonts w:ascii="Times New Roman" w:hAnsi="Times New Roman"/>
          <w:szCs w:val="22"/>
        </w:rPr>
        <w:t>tis.</w:t>
      </w:r>
      <w:r w:rsidRPr="000F73C2" w:rsidR="000F73C2">
        <w:rPr>
          <w:rFonts w:ascii="Times New Roman" w:hAnsi="Times New Roman"/>
          <w:szCs w:val="22"/>
        </w:rPr>
        <w:t> </w:t>
      </w:r>
      <w:r w:rsidRPr="000F73C2">
        <w:rPr>
          <w:rFonts w:ascii="Times New Roman" w:hAnsi="Times New Roman"/>
          <w:szCs w:val="22"/>
        </w:rPr>
        <w:t>eur</w:t>
      </w:r>
      <w:r w:rsidR="007C7ABE">
        <w:rPr>
          <w:rFonts w:ascii="Times New Roman" w:hAnsi="Times New Roman"/>
          <w:szCs w:val="22"/>
        </w:rPr>
        <w:t>.</w:t>
      </w:r>
      <w:r w:rsidRPr="000F73C2">
        <w:rPr>
          <w:rFonts w:ascii="Times New Roman" w:hAnsi="Times New Roman"/>
          <w:szCs w:val="22"/>
        </w:rPr>
        <w:t xml:space="preserve"> </w:t>
      </w:r>
      <w:r w:rsidR="007C7ABE">
        <w:rPr>
          <w:rFonts w:ascii="Times New Roman" w:hAnsi="Times New Roman"/>
          <w:szCs w:val="22"/>
        </w:rPr>
        <w:t>N</w:t>
      </w:r>
      <w:r w:rsidRPr="000F73C2">
        <w:rPr>
          <w:rFonts w:ascii="Times New Roman" w:hAnsi="Times New Roman"/>
          <w:szCs w:val="22"/>
        </w:rPr>
        <w:t xml:space="preserve">ajviac poskytlo </w:t>
      </w:r>
      <w:r w:rsidRPr="000F73C2" w:rsidR="000F73C2">
        <w:rPr>
          <w:rFonts w:ascii="Times New Roman" w:hAnsi="Times New Roman"/>
          <w:szCs w:val="22"/>
        </w:rPr>
        <w:t>Ministerstvo kultúry SR (1</w:t>
      </w:r>
      <w:r w:rsidR="000F73C2">
        <w:rPr>
          <w:rFonts w:ascii="Times New Roman" w:hAnsi="Times New Roman"/>
          <w:szCs w:val="22"/>
        </w:rPr>
        <w:t>7</w:t>
      </w:r>
      <w:r w:rsidRPr="000F73C2" w:rsidR="000F73C2">
        <w:rPr>
          <w:rFonts w:ascii="Times New Roman" w:hAnsi="Times New Roman"/>
          <w:szCs w:val="22"/>
        </w:rPr>
        <w:t> </w:t>
      </w:r>
      <w:r w:rsidR="000F73C2">
        <w:rPr>
          <w:rFonts w:ascii="Times New Roman" w:hAnsi="Times New Roman"/>
          <w:szCs w:val="22"/>
        </w:rPr>
        <w:t>053</w:t>
      </w:r>
      <w:r w:rsidRPr="000F73C2" w:rsidR="000F73C2">
        <w:rPr>
          <w:rFonts w:ascii="Times New Roman" w:hAnsi="Times New Roman"/>
        </w:rPr>
        <w:t> tis. eur</w:t>
      </w:r>
      <w:r w:rsidR="000F73C2">
        <w:rPr>
          <w:rFonts w:ascii="Times New Roman" w:hAnsi="Times New Roman"/>
          <w:szCs w:val="22"/>
        </w:rPr>
        <w:t xml:space="preserve">), </w:t>
      </w:r>
      <w:r w:rsidRPr="000F73C2" w:rsidR="00E56608">
        <w:rPr>
          <w:rFonts w:ascii="Times New Roman" w:hAnsi="Times New Roman"/>
          <w:szCs w:val="22"/>
        </w:rPr>
        <w:t>Ministerstvo zdravotníctva SR (</w:t>
      </w:r>
      <w:r w:rsidR="000F73C2">
        <w:rPr>
          <w:rFonts w:ascii="Times New Roman" w:hAnsi="Times New Roman"/>
          <w:szCs w:val="22"/>
        </w:rPr>
        <w:t>13</w:t>
      </w:r>
      <w:r w:rsidRPr="000F73C2" w:rsidR="00075A41">
        <w:rPr>
          <w:rFonts w:ascii="Times New Roman" w:hAnsi="Times New Roman"/>
          <w:szCs w:val="22"/>
        </w:rPr>
        <w:t> </w:t>
      </w:r>
      <w:r w:rsidR="000F73C2">
        <w:rPr>
          <w:rFonts w:ascii="Times New Roman" w:hAnsi="Times New Roman"/>
          <w:szCs w:val="22"/>
        </w:rPr>
        <w:t>434</w:t>
      </w:r>
      <w:r w:rsidRPr="000F73C2" w:rsidR="00075A41">
        <w:rPr>
          <w:rFonts w:ascii="Times New Roman" w:hAnsi="Times New Roman"/>
          <w:szCs w:val="22"/>
        </w:rPr>
        <w:t> tis. eur)</w:t>
      </w:r>
      <w:r w:rsidR="000F73C2">
        <w:rPr>
          <w:rFonts w:ascii="Times New Roman" w:hAnsi="Times New Roman"/>
          <w:szCs w:val="22"/>
        </w:rPr>
        <w:t xml:space="preserve"> a</w:t>
      </w:r>
      <w:r w:rsidRPr="000F73C2" w:rsidR="00075A41">
        <w:rPr>
          <w:rFonts w:ascii="Times New Roman" w:hAnsi="Times New Roman"/>
          <w:szCs w:val="22"/>
        </w:rPr>
        <w:t xml:space="preserve"> </w:t>
      </w:r>
      <w:r w:rsidR="000F73C2">
        <w:rPr>
          <w:rFonts w:ascii="Times New Roman" w:hAnsi="Times New Roman"/>
          <w:szCs w:val="22"/>
        </w:rPr>
        <w:t>Ministerstvo školstva, vedy, výskumu a športu</w:t>
      </w:r>
      <w:r w:rsidRPr="000F73C2" w:rsidR="009014A6">
        <w:rPr>
          <w:rFonts w:ascii="Times New Roman" w:hAnsi="Times New Roman"/>
          <w:szCs w:val="22"/>
        </w:rPr>
        <w:t xml:space="preserve"> SR (</w:t>
      </w:r>
      <w:r w:rsidR="000F73C2">
        <w:rPr>
          <w:rFonts w:ascii="Times New Roman" w:hAnsi="Times New Roman"/>
          <w:szCs w:val="22"/>
        </w:rPr>
        <w:t>10</w:t>
      </w:r>
      <w:r w:rsidRPr="000F73C2" w:rsidR="009014A6">
        <w:rPr>
          <w:rFonts w:ascii="Times New Roman" w:hAnsi="Times New Roman"/>
          <w:szCs w:val="22"/>
        </w:rPr>
        <w:t> </w:t>
      </w:r>
      <w:r w:rsidR="000F73C2">
        <w:rPr>
          <w:rFonts w:ascii="Times New Roman" w:hAnsi="Times New Roman"/>
          <w:szCs w:val="22"/>
        </w:rPr>
        <w:t>802</w:t>
      </w:r>
      <w:r w:rsidRPr="000F73C2" w:rsidR="009014A6">
        <w:rPr>
          <w:rFonts w:ascii="Times New Roman" w:hAnsi="Times New Roman"/>
          <w:szCs w:val="22"/>
        </w:rPr>
        <w:t> tis. eur)</w:t>
      </w:r>
      <w:r w:rsidR="000F73C2">
        <w:rPr>
          <w:rFonts w:ascii="Times New Roman" w:hAnsi="Times New Roman"/>
          <w:szCs w:val="22"/>
        </w:rPr>
        <w:t>.</w:t>
      </w:r>
      <w:r w:rsidRPr="000F73C2" w:rsidR="009014A6">
        <w:rPr>
          <w:rFonts w:ascii="Times New Roman" w:hAnsi="Times New Roman"/>
          <w:szCs w:val="22"/>
        </w:rPr>
        <w:t xml:space="preserve"> </w:t>
      </w:r>
    </w:p>
    <w:p w:rsidR="007C7ABE" w:rsidP="007C7ABE">
      <w:pPr>
        <w:bidi w:val="0"/>
        <w:rPr>
          <w:rFonts w:ascii="Times New Roman" w:hAnsi="Times New Roman"/>
          <w:szCs w:val="22"/>
        </w:rPr>
      </w:pPr>
      <w:r w:rsidRPr="00083133">
        <w:rPr>
          <w:rFonts w:ascii="Times New Roman" w:hAnsi="Times New Roman"/>
          <w:szCs w:val="22"/>
        </w:rPr>
        <w:t>Kapitola Ministerstva kultúry SR poskytla transfery v celkovej sume 17 053 tis. eur</w:t>
      </w:r>
      <w:r>
        <w:rPr>
          <w:rFonts w:ascii="Times New Roman" w:hAnsi="Times New Roman"/>
          <w:szCs w:val="22"/>
        </w:rPr>
        <w:t>, kde najvýznamnejšie sumy boli poskytnuté na r</w:t>
      </w:r>
      <w:r w:rsidRPr="00083133">
        <w:rPr>
          <w:rFonts w:ascii="Times New Roman" w:hAnsi="Times New Roman"/>
          <w:szCs w:val="22"/>
        </w:rPr>
        <w:t>ekonštrukciu, modernizáciu a</w:t>
      </w:r>
      <w:r>
        <w:rPr>
          <w:rFonts w:ascii="Times New Roman" w:hAnsi="Times New Roman"/>
          <w:szCs w:val="22"/>
        </w:rPr>
        <w:t xml:space="preserve"> </w:t>
      </w:r>
      <w:r w:rsidRPr="00083133">
        <w:rPr>
          <w:rFonts w:ascii="Times New Roman" w:hAnsi="Times New Roman"/>
          <w:szCs w:val="22"/>
        </w:rPr>
        <w:t>dostavbu</w:t>
      </w:r>
      <w:r>
        <w:rPr>
          <w:rFonts w:ascii="Times New Roman" w:hAnsi="Times New Roman"/>
          <w:szCs w:val="22"/>
        </w:rPr>
        <w:t xml:space="preserve"> Slovenskej národnej galérii (12 000 tis. eur)</w:t>
      </w:r>
      <w:r w:rsidRPr="00083133">
        <w:rPr>
          <w:rFonts w:ascii="Times New Roman" w:hAnsi="Times New Roman"/>
          <w:szCs w:val="22"/>
        </w:rPr>
        <w:t>, na dostavbu Múzea Holokaustu v</w:t>
      </w:r>
      <w:r>
        <w:rPr>
          <w:rFonts w:ascii="Times New Roman" w:hAnsi="Times New Roman"/>
          <w:szCs w:val="22"/>
        </w:rPr>
        <w:t> </w:t>
      </w:r>
      <w:r w:rsidRPr="00083133">
        <w:rPr>
          <w:rFonts w:ascii="Times New Roman" w:hAnsi="Times New Roman"/>
          <w:szCs w:val="22"/>
        </w:rPr>
        <w:t>Seredi</w:t>
      </w:r>
      <w:r>
        <w:rPr>
          <w:rFonts w:ascii="Times New Roman" w:hAnsi="Times New Roman"/>
          <w:szCs w:val="22"/>
        </w:rPr>
        <w:t xml:space="preserve"> (2 206 tis. eur), na nákup hudobných nástrojov a pod.</w:t>
      </w:r>
    </w:p>
    <w:p w:rsidR="00880587" w:rsidRPr="00880587" w:rsidP="00A63BF5">
      <w:pPr>
        <w:bidi w:val="0"/>
        <w:rPr>
          <w:rFonts w:ascii="Times New Roman" w:hAnsi="Times New Roman"/>
          <w:szCs w:val="22"/>
        </w:rPr>
      </w:pPr>
      <w:r w:rsidRPr="00880587" w:rsidR="00077C56">
        <w:rPr>
          <w:rFonts w:ascii="Times New Roman" w:hAnsi="Times New Roman"/>
          <w:szCs w:val="22"/>
        </w:rPr>
        <w:t xml:space="preserve">Ministerstvo zdravotníctva SR poskytlo transfery Národnému centru zdravotníckych </w:t>
      </w:r>
      <w:r w:rsidR="008A0E0C">
        <w:rPr>
          <w:rFonts w:ascii="Times New Roman" w:hAnsi="Times New Roman"/>
          <w:szCs w:val="22"/>
        </w:rPr>
        <w:t>informáci</w:t>
      </w:r>
      <w:r w:rsidRPr="00880587" w:rsidR="005067CD">
        <w:rPr>
          <w:rFonts w:ascii="Times New Roman" w:hAnsi="Times New Roman"/>
          <w:szCs w:val="22"/>
        </w:rPr>
        <w:t xml:space="preserve">í v sume </w:t>
      </w:r>
      <w:r w:rsidRPr="00880587" w:rsidR="000F73C2">
        <w:rPr>
          <w:rFonts w:ascii="Times New Roman" w:hAnsi="Times New Roman"/>
          <w:szCs w:val="22"/>
        </w:rPr>
        <w:t>3 505</w:t>
      </w:r>
      <w:r w:rsidRPr="00880587" w:rsidR="005067CD">
        <w:rPr>
          <w:rFonts w:ascii="Times New Roman" w:hAnsi="Times New Roman"/>
          <w:szCs w:val="22"/>
        </w:rPr>
        <w:t xml:space="preserve"> tis. eur</w:t>
      </w:r>
      <w:r w:rsidRPr="00880587" w:rsidR="00240912">
        <w:rPr>
          <w:rFonts w:ascii="Times New Roman" w:hAnsi="Times New Roman"/>
          <w:szCs w:val="22"/>
        </w:rPr>
        <w:t xml:space="preserve">, predovšetkým </w:t>
      </w:r>
      <w:r w:rsidRPr="00880587">
        <w:rPr>
          <w:rFonts w:ascii="Times New Roman" w:hAnsi="Times New Roman"/>
          <w:szCs w:val="22"/>
        </w:rPr>
        <w:t>na financovanie zdravotníckeho systému e-Health - rozšírenie funkcionality a rozsahu elektronických služieb</w:t>
      </w:r>
      <w:r>
        <w:rPr>
          <w:rFonts w:ascii="Times New Roman" w:hAnsi="Times New Roman"/>
          <w:szCs w:val="22"/>
        </w:rPr>
        <w:t xml:space="preserve">. </w:t>
      </w:r>
      <w:r w:rsidRPr="00880587">
        <w:rPr>
          <w:rFonts w:ascii="Times New Roman" w:hAnsi="Times New Roman"/>
          <w:szCs w:val="22"/>
        </w:rPr>
        <w:t xml:space="preserve">Kapitálové transfery pre nemocnice boli zamerané na rekonštrukciu, stavebné úpravy a modernizáciu priestorov a budov zdravotníckych zariadení, </w:t>
      </w:r>
      <w:r w:rsidR="00F11CAA">
        <w:rPr>
          <w:rFonts w:ascii="Times New Roman" w:hAnsi="Times New Roman"/>
          <w:szCs w:val="22"/>
        </w:rPr>
        <w:br/>
      </w:r>
      <w:r w:rsidRPr="00880587">
        <w:rPr>
          <w:rFonts w:ascii="Times New Roman" w:hAnsi="Times New Roman"/>
          <w:szCs w:val="22"/>
        </w:rPr>
        <w:t>na obstaranie nového prístrojového vybavenia</w:t>
      </w:r>
      <w:r w:rsidR="00172321">
        <w:rPr>
          <w:rFonts w:ascii="Times New Roman" w:hAnsi="Times New Roman"/>
          <w:szCs w:val="22"/>
        </w:rPr>
        <w:t>. N</w:t>
      </w:r>
      <w:r>
        <w:rPr>
          <w:rFonts w:ascii="Times New Roman" w:hAnsi="Times New Roman"/>
          <w:szCs w:val="22"/>
        </w:rPr>
        <w:t xml:space="preserve">ajvyššie sumy čerpali </w:t>
      </w:r>
      <w:r w:rsidRPr="00880587">
        <w:rPr>
          <w:rFonts w:ascii="Times New Roman" w:hAnsi="Times New Roman"/>
          <w:szCs w:val="22"/>
        </w:rPr>
        <w:t>Detská fakultná nemocnica s poliklinikou Bratislava (3 996 tis. eur), Univerzitná nemocnica Bratislava (2 535 tis. eur) a Fakultná nemocnica s poliklinikou Žilina (1 855 tis. eur).</w:t>
      </w:r>
      <w:r>
        <w:rPr>
          <w:rFonts w:ascii="Times New Roman" w:hAnsi="Times New Roman"/>
          <w:szCs w:val="22"/>
        </w:rPr>
        <w:t xml:space="preserve"> </w:t>
      </w:r>
    </w:p>
    <w:p w:rsidR="00DE47DE" w:rsidRPr="00DE47DE" w:rsidP="00DE47DE">
      <w:pPr>
        <w:bidi w:val="0"/>
        <w:rPr>
          <w:rFonts w:ascii="Times New Roman" w:hAnsi="Times New Roman"/>
          <w:szCs w:val="22"/>
        </w:rPr>
      </w:pPr>
      <w:r w:rsidRPr="00880587" w:rsidR="00880587">
        <w:rPr>
          <w:rFonts w:ascii="Times New Roman" w:hAnsi="Times New Roman"/>
          <w:szCs w:val="22"/>
        </w:rPr>
        <w:t>Ministerstvo školstva</w:t>
      </w:r>
      <w:r w:rsidR="00880587">
        <w:rPr>
          <w:rFonts w:ascii="Times New Roman" w:hAnsi="Times New Roman"/>
          <w:szCs w:val="22"/>
        </w:rPr>
        <w:t>, vedy, výskumu a športu</w:t>
      </w:r>
      <w:r w:rsidRPr="00880587" w:rsidR="00B245FD">
        <w:rPr>
          <w:rFonts w:ascii="Times New Roman" w:hAnsi="Times New Roman"/>
          <w:szCs w:val="22"/>
        </w:rPr>
        <w:t xml:space="preserve"> SR poskyt</w:t>
      </w:r>
      <w:r w:rsidRPr="00880587" w:rsidR="00880587">
        <w:rPr>
          <w:rFonts w:ascii="Times New Roman" w:hAnsi="Times New Roman"/>
          <w:szCs w:val="22"/>
        </w:rPr>
        <w:t>lo</w:t>
      </w:r>
      <w:r w:rsidRPr="00880587" w:rsidR="00B245FD">
        <w:rPr>
          <w:rFonts w:ascii="Times New Roman" w:hAnsi="Times New Roman"/>
          <w:szCs w:val="22"/>
        </w:rPr>
        <w:t xml:space="preserve"> transfer </w:t>
      </w:r>
      <w:r w:rsidRPr="00880587" w:rsidR="00880587">
        <w:rPr>
          <w:rFonts w:ascii="Times New Roman" w:hAnsi="Times New Roman"/>
          <w:szCs w:val="22"/>
        </w:rPr>
        <w:t>Centru vedecko – technických informácií SR v sume 10 233 tis. eur</w:t>
      </w:r>
      <w:r w:rsidR="007C7ABE">
        <w:rPr>
          <w:rFonts w:ascii="Times New Roman" w:hAnsi="Times New Roman"/>
          <w:szCs w:val="22"/>
        </w:rPr>
        <w:t>.</w:t>
      </w:r>
      <w:r>
        <w:rPr>
          <w:rFonts w:ascii="Times New Roman" w:hAnsi="Times New Roman"/>
          <w:szCs w:val="22"/>
        </w:rPr>
        <w:t xml:space="preserve"> </w:t>
      </w:r>
      <w:r w:rsidR="007C7ABE">
        <w:rPr>
          <w:rFonts w:ascii="Times New Roman" w:hAnsi="Times New Roman"/>
          <w:szCs w:val="22"/>
        </w:rPr>
        <w:t>I</w:t>
      </w:r>
      <w:r>
        <w:rPr>
          <w:rFonts w:ascii="Times New Roman" w:hAnsi="Times New Roman"/>
          <w:szCs w:val="22"/>
        </w:rPr>
        <w:t xml:space="preserve">šlo o rozšírenie služieb dátového centra pre výskum a vývoj o zodpovedajúcu infraštruktúru </w:t>
      </w:r>
      <w:r w:rsidRPr="00DE47DE">
        <w:rPr>
          <w:rFonts w:ascii="Times New Roman" w:hAnsi="Times New Roman"/>
          <w:szCs w:val="22"/>
        </w:rPr>
        <w:t xml:space="preserve">– </w:t>
      </w:r>
      <w:r>
        <w:rPr>
          <w:rFonts w:ascii="Times New Roman" w:hAnsi="Times New Roman"/>
          <w:szCs w:val="22"/>
        </w:rPr>
        <w:t xml:space="preserve">vybudovanie vedeckého cloudu v rámci národného </w:t>
      </w:r>
      <w:r w:rsidRPr="00DE47DE">
        <w:rPr>
          <w:rFonts w:ascii="Times New Roman" w:hAnsi="Times New Roman"/>
          <w:szCs w:val="22"/>
        </w:rPr>
        <w:t>projektu Dátové centrum pre vedu a výskum II.</w:t>
      </w:r>
    </w:p>
    <w:p w:rsidR="00414960" w:rsidRPr="007D5107" w:rsidP="00414960">
      <w:pPr>
        <w:bidi w:val="0"/>
        <w:rPr>
          <w:rFonts w:ascii="Times New Roman" w:hAnsi="Times New Roman"/>
          <w:szCs w:val="22"/>
        </w:rPr>
      </w:pPr>
      <w:r w:rsidRPr="007D5107">
        <w:rPr>
          <w:rFonts w:ascii="Times New Roman" w:hAnsi="Times New Roman"/>
          <w:i/>
          <w:szCs w:val="22"/>
        </w:rPr>
        <w:t>Obciam</w:t>
      </w:r>
      <w:r w:rsidRPr="007D5107">
        <w:rPr>
          <w:rFonts w:ascii="Times New Roman" w:hAnsi="Times New Roman"/>
          <w:szCs w:val="22"/>
        </w:rPr>
        <w:t xml:space="preserve"> bolo poskytnutých </w:t>
      </w:r>
      <w:r w:rsidR="007D5107">
        <w:rPr>
          <w:rFonts w:ascii="Times New Roman" w:hAnsi="Times New Roman"/>
          <w:szCs w:val="22"/>
        </w:rPr>
        <w:t>168 930 </w:t>
      </w:r>
      <w:r w:rsidRPr="007D5107">
        <w:rPr>
          <w:rFonts w:ascii="Times New Roman" w:hAnsi="Times New Roman"/>
          <w:szCs w:val="22"/>
        </w:rPr>
        <w:t>tis. eur (201</w:t>
      </w:r>
      <w:r w:rsidR="00172321">
        <w:rPr>
          <w:rFonts w:ascii="Times New Roman" w:hAnsi="Times New Roman"/>
          <w:szCs w:val="22"/>
        </w:rPr>
        <w:t>6</w:t>
      </w:r>
      <w:r w:rsidRPr="007D5107">
        <w:rPr>
          <w:rFonts w:ascii="Times New Roman" w:hAnsi="Times New Roman"/>
          <w:szCs w:val="22"/>
        </w:rPr>
        <w:t>: </w:t>
      </w:r>
      <w:r w:rsidRPr="007D5107" w:rsidR="007D5107">
        <w:rPr>
          <w:rFonts w:ascii="Times New Roman" w:hAnsi="Times New Roman"/>
          <w:szCs w:val="22"/>
        </w:rPr>
        <w:t>177 169 </w:t>
      </w:r>
      <w:r w:rsidRPr="007D5107">
        <w:rPr>
          <w:rFonts w:ascii="Times New Roman" w:hAnsi="Times New Roman"/>
          <w:szCs w:val="22"/>
        </w:rPr>
        <w:t>tis</w:t>
      </w:r>
      <w:r w:rsidRPr="007D5107" w:rsidR="000343FE">
        <w:rPr>
          <w:rFonts w:ascii="Times New Roman" w:hAnsi="Times New Roman"/>
          <w:szCs w:val="22"/>
        </w:rPr>
        <w:t>.</w:t>
      </w:r>
      <w:r w:rsidR="008F730A">
        <w:rPr>
          <w:rFonts w:ascii="Times New Roman" w:hAnsi="Times New Roman"/>
          <w:szCs w:val="22"/>
        </w:rPr>
        <w:t> eur).</w:t>
      </w:r>
      <w:r w:rsidRPr="007D5107">
        <w:rPr>
          <w:rFonts w:ascii="Times New Roman" w:hAnsi="Times New Roman"/>
          <w:szCs w:val="22"/>
        </w:rPr>
        <w:t xml:space="preserve"> </w:t>
      </w:r>
      <w:r w:rsidR="008F730A">
        <w:rPr>
          <w:rFonts w:ascii="Times New Roman" w:hAnsi="Times New Roman"/>
          <w:szCs w:val="22"/>
        </w:rPr>
        <w:t>N</w:t>
      </w:r>
      <w:r w:rsidRPr="007D5107">
        <w:rPr>
          <w:rFonts w:ascii="Times New Roman" w:hAnsi="Times New Roman"/>
          <w:szCs w:val="22"/>
        </w:rPr>
        <w:t xml:space="preserve">ajvyššou sumou sa </w:t>
      </w:r>
      <w:r w:rsidR="00F11CAA">
        <w:rPr>
          <w:rFonts w:ascii="Times New Roman" w:hAnsi="Times New Roman"/>
          <w:szCs w:val="22"/>
        </w:rPr>
        <w:br/>
      </w:r>
      <w:r w:rsidRPr="007D5107">
        <w:rPr>
          <w:rFonts w:ascii="Times New Roman" w:hAnsi="Times New Roman"/>
          <w:szCs w:val="22"/>
        </w:rPr>
        <w:t xml:space="preserve">na transferoch obciam podieľalo </w:t>
      </w:r>
      <w:r w:rsidR="007D5107">
        <w:rPr>
          <w:rFonts w:ascii="Times New Roman" w:hAnsi="Times New Roman"/>
          <w:szCs w:val="22"/>
        </w:rPr>
        <w:t>Ministerstvo dopravy a</w:t>
      </w:r>
      <w:r w:rsidRPr="007D5107" w:rsidR="007D5107">
        <w:rPr>
          <w:rFonts w:ascii="Times New Roman" w:hAnsi="Times New Roman"/>
          <w:szCs w:val="22"/>
        </w:rPr>
        <w:t xml:space="preserve"> výstavby</w:t>
      </w:r>
      <w:r w:rsidR="007D5107">
        <w:rPr>
          <w:rFonts w:ascii="Times New Roman" w:hAnsi="Times New Roman"/>
          <w:szCs w:val="22"/>
        </w:rPr>
        <w:t xml:space="preserve"> SR (66 550 tis. </w:t>
      </w:r>
      <w:r w:rsidRPr="007D5107" w:rsidR="007D5107">
        <w:rPr>
          <w:rFonts w:ascii="Times New Roman" w:hAnsi="Times New Roman"/>
          <w:szCs w:val="22"/>
        </w:rPr>
        <w:t>eur), Ministerstvo životného prostredia SR (</w:t>
      </w:r>
      <w:r w:rsidR="007D5107">
        <w:rPr>
          <w:rFonts w:ascii="Times New Roman" w:hAnsi="Times New Roman"/>
          <w:szCs w:val="22"/>
        </w:rPr>
        <w:t>59</w:t>
      </w:r>
      <w:r w:rsidRPr="007D5107" w:rsidR="007D5107">
        <w:rPr>
          <w:rFonts w:ascii="Times New Roman" w:hAnsi="Times New Roman"/>
          <w:szCs w:val="22"/>
        </w:rPr>
        <w:t> </w:t>
      </w:r>
      <w:r w:rsidR="007D5107">
        <w:rPr>
          <w:rFonts w:ascii="Times New Roman" w:hAnsi="Times New Roman"/>
          <w:szCs w:val="22"/>
        </w:rPr>
        <w:t>434</w:t>
      </w:r>
      <w:r w:rsidRPr="007D5107" w:rsidR="007D5107">
        <w:rPr>
          <w:rFonts w:ascii="Times New Roman" w:hAnsi="Times New Roman"/>
          <w:szCs w:val="22"/>
        </w:rPr>
        <w:t> tis. eur),</w:t>
      </w:r>
      <w:r w:rsidR="007D5107">
        <w:rPr>
          <w:rFonts w:ascii="Times New Roman" w:hAnsi="Times New Roman"/>
          <w:szCs w:val="22"/>
        </w:rPr>
        <w:t xml:space="preserve"> </w:t>
      </w:r>
      <w:r w:rsidRPr="007D5107" w:rsidR="007D5107">
        <w:rPr>
          <w:rFonts w:ascii="Times New Roman" w:hAnsi="Times New Roman"/>
          <w:szCs w:val="22"/>
        </w:rPr>
        <w:t>Ministerstvo vnútra SR (16 955 tis. eur)</w:t>
      </w:r>
      <w:r w:rsidR="007D5107">
        <w:rPr>
          <w:rFonts w:ascii="Times New Roman" w:hAnsi="Times New Roman"/>
          <w:szCs w:val="22"/>
        </w:rPr>
        <w:t xml:space="preserve"> a </w:t>
      </w:r>
      <w:r w:rsidRPr="007D5107">
        <w:rPr>
          <w:rFonts w:ascii="Times New Roman" w:hAnsi="Times New Roman"/>
          <w:szCs w:val="22"/>
        </w:rPr>
        <w:t>Ministerstvo pôdohospodárstva a rozvoja vidieka SR (</w:t>
      </w:r>
      <w:r w:rsidRPr="007D5107" w:rsidR="007D5107">
        <w:rPr>
          <w:rFonts w:ascii="Times New Roman" w:hAnsi="Times New Roman"/>
          <w:szCs w:val="22"/>
        </w:rPr>
        <w:t>14</w:t>
      </w:r>
      <w:r w:rsidRPr="007D5107">
        <w:rPr>
          <w:rFonts w:ascii="Times New Roman" w:hAnsi="Times New Roman"/>
          <w:szCs w:val="22"/>
        </w:rPr>
        <w:t> 9</w:t>
      </w:r>
      <w:r w:rsidRPr="007D5107" w:rsidR="007D5107">
        <w:rPr>
          <w:rFonts w:ascii="Times New Roman" w:hAnsi="Times New Roman"/>
          <w:szCs w:val="22"/>
        </w:rPr>
        <w:t>27</w:t>
      </w:r>
      <w:r w:rsidRPr="007D5107">
        <w:rPr>
          <w:rFonts w:ascii="Times New Roman" w:hAnsi="Times New Roman"/>
          <w:szCs w:val="22"/>
        </w:rPr>
        <w:t> tis. </w:t>
      </w:r>
      <w:r w:rsidRPr="007D5107" w:rsidR="00BF54F5">
        <w:rPr>
          <w:rFonts w:ascii="Times New Roman" w:hAnsi="Times New Roman"/>
          <w:szCs w:val="22"/>
        </w:rPr>
        <w:t>eur)</w:t>
      </w:r>
      <w:r w:rsidR="007D5107">
        <w:rPr>
          <w:rFonts w:ascii="Times New Roman" w:hAnsi="Times New Roman"/>
          <w:szCs w:val="22"/>
        </w:rPr>
        <w:t>.</w:t>
      </w:r>
    </w:p>
    <w:p w:rsidR="00096D37" w:rsidRPr="001A0B42" w:rsidP="00FE4E2D">
      <w:pPr>
        <w:bidi w:val="0"/>
        <w:rPr>
          <w:rFonts w:ascii="Times New Roman" w:hAnsi="Times New Roman"/>
          <w:color w:val="1F497D"/>
        </w:rPr>
      </w:pPr>
      <w:r w:rsidRPr="001A0B42" w:rsidR="006D328E">
        <w:rPr>
          <w:rFonts w:ascii="Times New Roman" w:hAnsi="Times New Roman"/>
          <w:szCs w:val="22"/>
        </w:rPr>
        <w:t>Ministerstvo dopravy</w:t>
      </w:r>
      <w:r w:rsidRPr="001A0B42" w:rsidR="001A0B42">
        <w:rPr>
          <w:rFonts w:ascii="Times New Roman" w:hAnsi="Times New Roman"/>
          <w:szCs w:val="22"/>
        </w:rPr>
        <w:t xml:space="preserve"> a</w:t>
      </w:r>
      <w:r w:rsidRPr="001A0B42" w:rsidR="006D328E">
        <w:rPr>
          <w:rFonts w:ascii="Times New Roman" w:hAnsi="Times New Roman"/>
          <w:szCs w:val="22"/>
        </w:rPr>
        <w:t xml:space="preserve"> výstavby SR poskytlo </w:t>
      </w:r>
      <w:r w:rsidRPr="000B0251" w:rsidR="006D328E">
        <w:rPr>
          <w:rFonts w:ascii="Times New Roman" w:hAnsi="Times New Roman"/>
          <w:szCs w:val="22"/>
        </w:rPr>
        <w:t>obciam</w:t>
      </w:r>
      <w:r w:rsidRPr="001A0B42" w:rsidR="006D328E">
        <w:rPr>
          <w:rFonts w:ascii="Times New Roman" w:hAnsi="Times New Roman"/>
          <w:szCs w:val="22"/>
        </w:rPr>
        <w:t xml:space="preserve"> transfery </w:t>
      </w:r>
      <w:r w:rsidR="001A0B42">
        <w:rPr>
          <w:rFonts w:ascii="Times New Roman" w:hAnsi="Times New Roman"/>
          <w:szCs w:val="22"/>
        </w:rPr>
        <w:t xml:space="preserve">predovšetkým </w:t>
      </w:r>
      <w:r w:rsidRPr="001A0B42" w:rsidR="006D328E">
        <w:rPr>
          <w:rFonts w:ascii="Times New Roman" w:hAnsi="Times New Roman"/>
          <w:szCs w:val="22"/>
        </w:rPr>
        <w:t xml:space="preserve">v rámci programu </w:t>
      </w:r>
      <w:r w:rsidR="001A0B42">
        <w:rPr>
          <w:rFonts w:ascii="Times New Roman" w:hAnsi="Times New Roman"/>
          <w:szCs w:val="22"/>
        </w:rPr>
        <w:t xml:space="preserve">podpora rozvoja bývania </w:t>
      </w:r>
      <w:r w:rsidRPr="001A0B42" w:rsidR="006D328E">
        <w:rPr>
          <w:rFonts w:ascii="Times New Roman" w:hAnsi="Times New Roman"/>
          <w:szCs w:val="22"/>
        </w:rPr>
        <w:t xml:space="preserve">na </w:t>
      </w:r>
      <w:r w:rsidRPr="001A0B42">
        <w:rPr>
          <w:rFonts w:ascii="Times New Roman" w:hAnsi="Times New Roman"/>
          <w:szCs w:val="22"/>
        </w:rPr>
        <w:t xml:space="preserve">obstaranie nájomných bytov </w:t>
      </w:r>
      <w:r w:rsidR="001A0B42">
        <w:rPr>
          <w:rFonts w:ascii="Times New Roman" w:hAnsi="Times New Roman"/>
          <w:szCs w:val="22"/>
        </w:rPr>
        <w:t xml:space="preserve">na účel sociálneho bývania </w:t>
      </w:r>
      <w:r w:rsidRPr="001A0B42">
        <w:rPr>
          <w:rFonts w:ascii="Times New Roman" w:hAnsi="Times New Roman"/>
          <w:szCs w:val="22"/>
        </w:rPr>
        <w:t>a obstaranie technickej vybavenosti</w:t>
      </w:r>
      <w:r w:rsidR="008F730A">
        <w:rPr>
          <w:rFonts w:ascii="Times New Roman" w:hAnsi="Times New Roman"/>
          <w:szCs w:val="22"/>
        </w:rPr>
        <w:t>.</w:t>
      </w:r>
      <w:r w:rsidR="001A0B42">
        <w:rPr>
          <w:rFonts w:ascii="Times New Roman" w:hAnsi="Times New Roman"/>
          <w:szCs w:val="22"/>
        </w:rPr>
        <w:t xml:space="preserve"> </w:t>
      </w:r>
      <w:r w:rsidR="008F730A">
        <w:rPr>
          <w:rFonts w:ascii="Times New Roman" w:hAnsi="Times New Roman"/>
          <w:szCs w:val="22"/>
        </w:rPr>
        <w:t>V</w:t>
      </w:r>
      <w:r w:rsidRPr="001A0B42">
        <w:rPr>
          <w:rFonts w:ascii="Times New Roman" w:hAnsi="Times New Roman"/>
          <w:szCs w:val="22"/>
        </w:rPr>
        <w:t xml:space="preserve"> rámci programu </w:t>
      </w:r>
      <w:r w:rsidR="001A0B42">
        <w:rPr>
          <w:rFonts w:ascii="Times New Roman" w:hAnsi="Times New Roman"/>
          <w:szCs w:val="22"/>
        </w:rPr>
        <w:t xml:space="preserve">Integrovaná </w:t>
      </w:r>
      <w:r w:rsidRPr="001A0B42">
        <w:rPr>
          <w:rFonts w:ascii="Times New Roman" w:hAnsi="Times New Roman"/>
          <w:szCs w:val="22"/>
        </w:rPr>
        <w:t>infraštruktúr</w:t>
      </w:r>
      <w:r w:rsidR="001A0B42">
        <w:rPr>
          <w:rFonts w:ascii="Times New Roman" w:hAnsi="Times New Roman"/>
          <w:szCs w:val="22"/>
        </w:rPr>
        <w:t>a</w:t>
      </w:r>
      <w:r w:rsidRPr="001A0B42">
        <w:rPr>
          <w:rFonts w:ascii="Times New Roman" w:hAnsi="Times New Roman"/>
          <w:szCs w:val="22"/>
        </w:rPr>
        <w:t xml:space="preserve"> </w:t>
      </w:r>
      <w:r w:rsidR="001A0B42">
        <w:rPr>
          <w:rFonts w:ascii="Times New Roman" w:hAnsi="Times New Roman"/>
          <w:szCs w:val="22"/>
        </w:rPr>
        <w:t xml:space="preserve">bol poskytnutý transfer </w:t>
      </w:r>
      <w:r w:rsidR="00F11CAA">
        <w:rPr>
          <w:rFonts w:ascii="Times New Roman" w:hAnsi="Times New Roman"/>
          <w:szCs w:val="22"/>
        </w:rPr>
        <w:br/>
      </w:r>
      <w:r w:rsidR="001A0B42">
        <w:rPr>
          <w:rFonts w:ascii="Times New Roman" w:hAnsi="Times New Roman"/>
          <w:szCs w:val="22"/>
        </w:rPr>
        <w:t>na modernizáciu električkových tratí v Košiciach.</w:t>
      </w:r>
      <w:r w:rsidRPr="001A0B42">
        <w:rPr>
          <w:rFonts w:ascii="Times New Roman" w:hAnsi="Times New Roman"/>
          <w:color w:val="1F497D"/>
        </w:rPr>
        <w:t xml:space="preserve"> </w:t>
      </w:r>
    </w:p>
    <w:p w:rsidR="001907BA" w:rsidRPr="00DA0827" w:rsidP="00FE4E2D">
      <w:pPr>
        <w:bidi w:val="0"/>
        <w:rPr>
          <w:rFonts w:ascii="Times New Roman" w:hAnsi="Times New Roman"/>
          <w:szCs w:val="22"/>
        </w:rPr>
      </w:pPr>
      <w:r w:rsidRPr="00DA0827">
        <w:rPr>
          <w:rFonts w:ascii="Times New Roman" w:hAnsi="Times New Roman"/>
          <w:szCs w:val="22"/>
        </w:rPr>
        <w:t>Ministerstvo životného prostredia SR poskytlo transfery obciam</w:t>
      </w:r>
      <w:r w:rsidRPr="00DA0827" w:rsidR="00DA0827">
        <w:rPr>
          <w:rFonts w:ascii="Times New Roman" w:hAnsi="Times New Roman"/>
          <w:szCs w:val="22"/>
        </w:rPr>
        <w:t xml:space="preserve"> predovšetkým na dobudovanie</w:t>
      </w:r>
      <w:r w:rsidR="00DA0827">
        <w:rPr>
          <w:rFonts w:ascii="Times New Roman" w:hAnsi="Times New Roman"/>
          <w:szCs w:val="22"/>
        </w:rPr>
        <w:t xml:space="preserve">, </w:t>
      </w:r>
      <w:r w:rsidRPr="00DA0827" w:rsidR="00DA0827">
        <w:rPr>
          <w:rFonts w:ascii="Times New Roman" w:hAnsi="Times New Roman"/>
          <w:szCs w:val="22"/>
        </w:rPr>
        <w:t>rekonštrukciu a modernizáciu kanalizačných sietí a čističiek odpadových vôd, na zníženie energetickej náročnosti budov a pod.</w:t>
      </w:r>
    </w:p>
    <w:p w:rsidR="00F17E8A" w:rsidP="00FE4E2D">
      <w:pPr>
        <w:bidi w:val="0"/>
        <w:rPr>
          <w:rFonts w:ascii="Times New Roman" w:hAnsi="Times New Roman"/>
          <w:szCs w:val="22"/>
        </w:rPr>
      </w:pPr>
      <w:r w:rsidRPr="00DA0827" w:rsidR="00DA0827">
        <w:rPr>
          <w:rFonts w:ascii="Times New Roman" w:hAnsi="Times New Roman"/>
          <w:szCs w:val="22"/>
        </w:rPr>
        <w:t xml:space="preserve">Ministerstvo vnútra SR poskytlo </w:t>
      </w:r>
      <w:r w:rsidRPr="000B0251" w:rsidR="00DA0827">
        <w:rPr>
          <w:rFonts w:ascii="Times New Roman" w:hAnsi="Times New Roman"/>
          <w:szCs w:val="22"/>
        </w:rPr>
        <w:t>obciam t</w:t>
      </w:r>
      <w:r w:rsidRPr="00DA0827" w:rsidR="00DA0827">
        <w:rPr>
          <w:rFonts w:ascii="Times New Roman" w:hAnsi="Times New Roman"/>
          <w:szCs w:val="22"/>
        </w:rPr>
        <w:t xml:space="preserve">ransfery najmä </w:t>
      </w:r>
      <w:r w:rsidR="00DA0827">
        <w:rPr>
          <w:rFonts w:ascii="Times New Roman" w:hAnsi="Times New Roman"/>
          <w:color w:val="000000"/>
        </w:rPr>
        <w:t>na aktivity zamerané na prevenciu kriminality na regionálnej úrovni prostredníctvom okresných úradov</w:t>
      </w:r>
      <w:r w:rsidR="00924A54">
        <w:rPr>
          <w:rFonts w:ascii="Times New Roman" w:hAnsi="Times New Roman"/>
          <w:color w:val="000000"/>
        </w:rPr>
        <w:t xml:space="preserve"> (6 740 tis. eur), na riešenie havarijných situácií škôl na dostavby, výstavby a rekonštrukcie telocviční, na debariérizáciu škôl a školských zariadení (4 100 tis. eur), na vojnové hroby a pamätné tabule (49 tis. eur) a pod.</w:t>
      </w:r>
    </w:p>
    <w:p w:rsidR="00F17E8A" w:rsidP="00F17E8A">
      <w:pPr>
        <w:bidi w:val="0"/>
        <w:rPr>
          <w:rFonts w:ascii="Times New Roman" w:hAnsi="Times New Roman"/>
        </w:rPr>
      </w:pPr>
      <w:r>
        <w:rPr>
          <w:rFonts w:ascii="Times New Roman" w:hAnsi="Times New Roman"/>
        </w:rPr>
        <w:br w:type="page"/>
      </w:r>
    </w:p>
    <w:p w:rsidR="00496633" w:rsidP="00FE4E2D">
      <w:pPr>
        <w:bidi w:val="0"/>
        <w:rPr>
          <w:rFonts w:ascii="Times New Roman" w:hAnsi="Times New Roman"/>
          <w:szCs w:val="22"/>
        </w:rPr>
      </w:pPr>
      <w:r>
        <w:rPr>
          <w:rFonts w:ascii="Times New Roman" w:hAnsi="Times New Roman"/>
          <w:szCs w:val="22"/>
        </w:rPr>
        <w:t xml:space="preserve">Transfery </w:t>
      </w:r>
      <w:r w:rsidRPr="00E1613B" w:rsidR="00A63BF5">
        <w:rPr>
          <w:rFonts w:ascii="Times New Roman" w:hAnsi="Times New Roman"/>
          <w:szCs w:val="22"/>
        </w:rPr>
        <w:t>Ministerstva pôdohospodárstva a</w:t>
      </w:r>
      <w:r w:rsidRPr="00E1613B" w:rsidR="001907BA">
        <w:rPr>
          <w:rFonts w:ascii="Times New Roman" w:hAnsi="Times New Roman"/>
          <w:szCs w:val="22"/>
        </w:rPr>
        <w:t xml:space="preserve"> </w:t>
      </w:r>
      <w:r w:rsidRPr="00E1613B" w:rsidR="00A63BF5">
        <w:rPr>
          <w:rFonts w:ascii="Times New Roman" w:hAnsi="Times New Roman"/>
          <w:szCs w:val="22"/>
        </w:rPr>
        <w:t xml:space="preserve">rozvoja vidieka SR boli poskytnuté </w:t>
      </w:r>
      <w:r w:rsidRPr="00172321" w:rsidR="003435B8">
        <w:rPr>
          <w:rFonts w:ascii="Times New Roman" w:hAnsi="Times New Roman"/>
          <w:szCs w:val="22"/>
        </w:rPr>
        <w:t xml:space="preserve">obciam </w:t>
      </w:r>
      <w:r>
        <w:rPr>
          <w:rFonts w:ascii="Times New Roman" w:hAnsi="Times New Roman"/>
        </w:rPr>
        <w:t>v rámci Programu rozvoja vidieka SR 2014-2020 (</w:t>
      </w:r>
      <w:r>
        <w:rPr>
          <w:rFonts w:ascii="Times New Roman" w:hAnsi="Times New Roman"/>
          <w:color w:val="000000"/>
          <w:lang w:eastAsia="sk-SK"/>
        </w:rPr>
        <w:t xml:space="preserve">14 160 tis. eur) na investície do infraštruktúry súvisiacej s vývojom, modernizáciou alebo prispôsobením poľnohospodárstva a lesného hospodárstva, </w:t>
      </w:r>
      <w:r w:rsidR="00F11CAA">
        <w:rPr>
          <w:rFonts w:ascii="Times New Roman" w:hAnsi="Times New Roman"/>
          <w:color w:val="000000"/>
          <w:lang w:eastAsia="sk-SK"/>
        </w:rPr>
        <w:br/>
      </w:r>
      <w:r>
        <w:rPr>
          <w:rFonts w:ascii="Times New Roman" w:hAnsi="Times New Roman"/>
          <w:color w:val="000000"/>
          <w:lang w:eastAsia="sk-SK"/>
        </w:rPr>
        <w:t>na obnovu lesov, poškodených lesnými požiarmi a prírodnými katastrofami a katastrofickými udalosťami a pod.</w:t>
      </w:r>
    </w:p>
    <w:p w:rsidR="00413E06" w:rsidP="00413E06">
      <w:pPr>
        <w:bidi w:val="0"/>
        <w:rPr>
          <w:rFonts w:ascii="Times New Roman" w:hAnsi="Times New Roman"/>
          <w:color w:val="000000"/>
          <w:lang w:eastAsia="sk-SK"/>
        </w:rPr>
      </w:pPr>
      <w:r w:rsidRPr="00511508" w:rsidR="00414960">
        <w:rPr>
          <w:rFonts w:ascii="Times New Roman" w:hAnsi="Times New Roman"/>
          <w:i/>
          <w:color w:val="000000"/>
          <w:lang w:eastAsia="sk-SK"/>
        </w:rPr>
        <w:t>Verejným vysokým školám</w:t>
      </w:r>
      <w:r w:rsidRPr="00413E06" w:rsidR="00414960">
        <w:rPr>
          <w:rFonts w:ascii="Times New Roman" w:hAnsi="Times New Roman"/>
          <w:color w:val="000000"/>
          <w:lang w:eastAsia="sk-SK"/>
        </w:rPr>
        <w:t xml:space="preserve"> bolo poskytnutých </w:t>
      </w:r>
      <w:r w:rsidRPr="00413E06" w:rsidR="00542AE6">
        <w:rPr>
          <w:rFonts w:ascii="Times New Roman" w:hAnsi="Times New Roman"/>
          <w:color w:val="000000"/>
          <w:lang w:eastAsia="sk-SK"/>
        </w:rPr>
        <w:t>22 401 </w:t>
      </w:r>
      <w:r w:rsidRPr="00413E06" w:rsidR="00414960">
        <w:rPr>
          <w:rFonts w:ascii="Times New Roman" w:hAnsi="Times New Roman"/>
          <w:color w:val="000000"/>
          <w:lang w:eastAsia="sk-SK"/>
        </w:rPr>
        <w:t>tis. eur (201</w:t>
      </w:r>
      <w:r w:rsidR="00172321">
        <w:rPr>
          <w:rFonts w:ascii="Times New Roman" w:hAnsi="Times New Roman"/>
          <w:color w:val="000000"/>
          <w:lang w:eastAsia="sk-SK"/>
        </w:rPr>
        <w:t>6</w:t>
      </w:r>
      <w:r w:rsidRPr="00413E06" w:rsidR="00414960">
        <w:rPr>
          <w:rFonts w:ascii="Times New Roman" w:hAnsi="Times New Roman"/>
          <w:color w:val="000000"/>
          <w:lang w:eastAsia="sk-SK"/>
        </w:rPr>
        <w:t xml:space="preserve">: </w:t>
      </w:r>
      <w:r w:rsidRPr="00413E06" w:rsidR="00542AE6">
        <w:rPr>
          <w:rFonts w:ascii="Times New Roman" w:hAnsi="Times New Roman"/>
          <w:color w:val="000000"/>
          <w:lang w:eastAsia="sk-SK"/>
        </w:rPr>
        <w:t>13 673 </w:t>
      </w:r>
      <w:r w:rsidRPr="00413E06" w:rsidR="00414960">
        <w:rPr>
          <w:rFonts w:ascii="Times New Roman" w:hAnsi="Times New Roman"/>
          <w:color w:val="000000"/>
          <w:lang w:eastAsia="sk-SK"/>
        </w:rPr>
        <w:t xml:space="preserve">tis. eur), predovšetkým </w:t>
      </w:r>
      <w:r w:rsidRPr="00413E06" w:rsidR="00106500">
        <w:rPr>
          <w:rFonts w:ascii="Times New Roman" w:hAnsi="Times New Roman"/>
          <w:color w:val="000000"/>
          <w:lang w:eastAsia="sk-SK"/>
        </w:rPr>
        <w:t>Univerzite P.</w:t>
      </w:r>
      <w:r w:rsidRPr="00413E06">
        <w:rPr>
          <w:rFonts w:ascii="Times New Roman" w:hAnsi="Times New Roman"/>
          <w:color w:val="000000"/>
          <w:lang w:eastAsia="sk-SK"/>
        </w:rPr>
        <w:t xml:space="preserve"> </w:t>
      </w:r>
      <w:r w:rsidRPr="00413E06" w:rsidR="00106500">
        <w:rPr>
          <w:rFonts w:ascii="Times New Roman" w:hAnsi="Times New Roman"/>
          <w:color w:val="000000"/>
          <w:lang w:eastAsia="sk-SK"/>
        </w:rPr>
        <w:t>J. Šafárika (7 401 tis. eur), Slovenskej technickej univerzite (2 977 tis. eur)</w:t>
      </w:r>
      <w:r>
        <w:rPr>
          <w:rFonts w:ascii="Times New Roman" w:hAnsi="Times New Roman"/>
          <w:color w:val="000000"/>
          <w:lang w:eastAsia="sk-SK"/>
        </w:rPr>
        <w:t>. T</w:t>
      </w:r>
      <w:r w:rsidRPr="00413E06">
        <w:rPr>
          <w:rFonts w:ascii="Times New Roman" w:hAnsi="Times New Roman"/>
          <w:color w:val="000000"/>
          <w:lang w:eastAsia="sk-SK"/>
        </w:rPr>
        <w:t>ransfery boli po</w:t>
      </w:r>
      <w:r>
        <w:rPr>
          <w:rFonts w:ascii="Times New Roman" w:hAnsi="Times New Roman"/>
          <w:color w:val="000000"/>
          <w:lang w:eastAsia="sk-SK"/>
        </w:rPr>
        <w:t>s</w:t>
      </w:r>
      <w:r w:rsidRPr="00413E06">
        <w:rPr>
          <w:rFonts w:ascii="Times New Roman" w:hAnsi="Times New Roman"/>
          <w:color w:val="000000"/>
          <w:lang w:eastAsia="sk-SK"/>
        </w:rPr>
        <w:t xml:space="preserve">kytnuté </w:t>
      </w:r>
      <w:r>
        <w:rPr>
          <w:rFonts w:ascii="Times New Roman" w:hAnsi="Times New Roman"/>
          <w:color w:val="000000"/>
          <w:lang w:eastAsia="sk-SK"/>
        </w:rPr>
        <w:t xml:space="preserve">aj </w:t>
      </w:r>
      <w:r w:rsidRPr="00413E06">
        <w:rPr>
          <w:rFonts w:ascii="Times New Roman" w:hAnsi="Times New Roman"/>
          <w:color w:val="000000"/>
          <w:lang w:eastAsia="sk-SK"/>
        </w:rPr>
        <w:t>na podporu projektu v rámci rusko-slovenskej vedecko-technickej spolupráce</w:t>
      </w:r>
      <w:r>
        <w:rPr>
          <w:rFonts w:ascii="Times New Roman" w:hAnsi="Times New Roman"/>
          <w:color w:val="000000"/>
          <w:lang w:eastAsia="sk-SK"/>
        </w:rPr>
        <w:t xml:space="preserve"> a</w:t>
      </w:r>
      <w:r w:rsidRPr="00413E06">
        <w:rPr>
          <w:rFonts w:ascii="Times New Roman" w:hAnsi="Times New Roman"/>
          <w:color w:val="000000"/>
          <w:lang w:eastAsia="sk-SK"/>
        </w:rPr>
        <w:t xml:space="preserve"> na dobudovanie diagnostického centra prof. Dušana Hamara – FTVŠ UK.</w:t>
      </w:r>
    </w:p>
    <w:p w:rsidR="000B0251" w:rsidRPr="000B0251" w:rsidP="00413E06">
      <w:pPr>
        <w:bidi w:val="0"/>
        <w:rPr>
          <w:rFonts w:ascii="Times New Roman" w:hAnsi="Times New Roman"/>
          <w:color w:val="000000"/>
          <w:lang w:eastAsia="sk-SK"/>
        </w:rPr>
      </w:pPr>
      <w:r>
        <w:rPr>
          <w:rFonts w:ascii="Times New Roman" w:hAnsi="Times New Roman"/>
          <w:color w:val="000000"/>
          <w:lang w:eastAsia="sk-SK"/>
        </w:rPr>
        <w:t xml:space="preserve">Transfery </w:t>
      </w:r>
      <w:r w:rsidRPr="000B0251">
        <w:rPr>
          <w:rFonts w:ascii="Times New Roman" w:hAnsi="Times New Roman"/>
          <w:i/>
          <w:color w:val="000000"/>
          <w:lang w:eastAsia="sk-SK"/>
        </w:rPr>
        <w:t>ostatným subjektom verejnej správy</w:t>
      </w:r>
      <w:r>
        <w:rPr>
          <w:rFonts w:ascii="Times New Roman" w:hAnsi="Times New Roman"/>
          <w:color w:val="000000"/>
          <w:lang w:eastAsia="sk-SK"/>
        </w:rPr>
        <w:t xml:space="preserve"> boli poskytnuté v sume 17 508 tis. eur, z toho najviac poskytlo Ministerstvo životného prostredia SR (11 33</w:t>
      </w:r>
      <w:r w:rsidR="008F730A">
        <w:rPr>
          <w:rFonts w:ascii="Times New Roman" w:hAnsi="Times New Roman"/>
          <w:color w:val="000000"/>
          <w:lang w:eastAsia="sk-SK"/>
        </w:rPr>
        <w:t>9</w:t>
      </w:r>
      <w:r>
        <w:rPr>
          <w:rFonts w:ascii="Times New Roman" w:hAnsi="Times New Roman"/>
          <w:color w:val="000000"/>
          <w:lang w:eastAsia="sk-SK"/>
        </w:rPr>
        <w:t> tis. eur) na vybudovanie kanalizácie a</w:t>
      </w:r>
      <w:r w:rsidR="008F730A">
        <w:rPr>
          <w:rFonts w:ascii="Times New Roman" w:hAnsi="Times New Roman"/>
          <w:color w:val="000000"/>
          <w:lang w:eastAsia="sk-SK"/>
        </w:rPr>
        <w:t xml:space="preserve"> </w:t>
      </w:r>
      <w:r>
        <w:rPr>
          <w:rFonts w:ascii="Times New Roman" w:hAnsi="Times New Roman"/>
          <w:color w:val="000000"/>
          <w:lang w:eastAsia="sk-SK"/>
        </w:rPr>
        <w:t>Č</w:t>
      </w:r>
      <w:r w:rsidR="008F730A">
        <w:rPr>
          <w:rFonts w:ascii="Times New Roman" w:hAnsi="Times New Roman"/>
          <w:color w:val="000000"/>
          <w:lang w:eastAsia="sk-SK"/>
        </w:rPr>
        <w:t>ističky odpadových vôd</w:t>
      </w:r>
      <w:r>
        <w:rPr>
          <w:rFonts w:ascii="Times New Roman" w:hAnsi="Times New Roman"/>
          <w:color w:val="000000"/>
          <w:lang w:eastAsia="sk-SK"/>
        </w:rPr>
        <w:t xml:space="preserve"> v </w:t>
      </w:r>
      <w:r w:rsidRPr="000B0251">
        <w:rPr>
          <w:rFonts w:ascii="Times New Roman" w:hAnsi="Times New Roman"/>
          <w:color w:val="000000"/>
          <w:lang w:eastAsia="sk-SK"/>
        </w:rPr>
        <w:t>aglomeráci</w:t>
      </w:r>
      <w:r>
        <w:rPr>
          <w:rFonts w:ascii="Times New Roman" w:hAnsi="Times New Roman"/>
          <w:color w:val="000000"/>
          <w:lang w:eastAsia="sk-SK"/>
        </w:rPr>
        <w:t>i</w:t>
      </w:r>
      <w:r w:rsidRPr="000B0251">
        <w:rPr>
          <w:rFonts w:ascii="Times New Roman" w:hAnsi="Times New Roman"/>
          <w:color w:val="000000"/>
          <w:lang w:eastAsia="sk-SK"/>
        </w:rPr>
        <w:t xml:space="preserve"> Hronovce</w:t>
      </w:r>
      <w:r>
        <w:rPr>
          <w:rFonts w:ascii="Times New Roman" w:hAnsi="Times New Roman"/>
          <w:color w:val="000000"/>
          <w:lang w:eastAsia="sk-SK"/>
        </w:rPr>
        <w:t xml:space="preserve"> a </w:t>
      </w:r>
      <w:r w:rsidR="008F730A">
        <w:rPr>
          <w:rFonts w:ascii="Times New Roman" w:hAnsi="Times New Roman"/>
          <w:color w:val="000000"/>
          <w:lang w:eastAsia="sk-SK"/>
        </w:rPr>
        <w:t>Intenzifikáciu</w:t>
      </w:r>
      <w:r w:rsidRPr="000B0251">
        <w:rPr>
          <w:rFonts w:ascii="Times New Roman" w:hAnsi="Times New Roman"/>
          <w:color w:val="000000"/>
          <w:lang w:eastAsia="sk-SK"/>
        </w:rPr>
        <w:t xml:space="preserve"> triedeného zberu združenia obcí Púchovskej Doliny</w:t>
      </w:r>
      <w:r w:rsidR="00172321">
        <w:rPr>
          <w:rFonts w:ascii="Times New Roman" w:hAnsi="Times New Roman"/>
          <w:color w:val="000000"/>
          <w:lang w:eastAsia="sk-SK"/>
        </w:rPr>
        <w:t>.</w:t>
      </w:r>
      <w:r>
        <w:rPr>
          <w:rFonts w:ascii="Times New Roman" w:hAnsi="Times New Roman"/>
          <w:color w:val="000000"/>
          <w:lang w:eastAsia="sk-SK"/>
        </w:rPr>
        <w:t xml:space="preserve"> Ministerstvo kultúry SR poskytlo transfer RTVS (5 400 tis. eur) </w:t>
      </w:r>
      <w:r w:rsidR="00F11CAA">
        <w:rPr>
          <w:rFonts w:ascii="Times New Roman" w:hAnsi="Times New Roman"/>
          <w:color w:val="000000"/>
          <w:lang w:eastAsia="sk-SK"/>
        </w:rPr>
        <w:br/>
      </w:r>
      <w:r>
        <w:rPr>
          <w:rFonts w:ascii="Times New Roman" w:hAnsi="Times New Roman"/>
          <w:color w:val="000000"/>
          <w:lang w:eastAsia="sk-SK"/>
        </w:rPr>
        <w:t>na t</w:t>
      </w:r>
      <w:r w:rsidRPr="000B0251">
        <w:rPr>
          <w:rFonts w:ascii="Times New Roman" w:hAnsi="Times New Roman"/>
          <w:color w:val="000000"/>
          <w:lang w:eastAsia="sk-SK"/>
        </w:rPr>
        <w:t>elevíznu a rozhlasovú štúdiovú techniku, prenosovú techniku, mediálne systémy, IT technológie, autodopravu a obnovu televíznych a</w:t>
      </w:r>
      <w:r w:rsidR="008F730A">
        <w:rPr>
          <w:rFonts w:ascii="Times New Roman" w:hAnsi="Times New Roman"/>
          <w:color w:val="000000"/>
          <w:lang w:eastAsia="sk-SK"/>
        </w:rPr>
        <w:t xml:space="preserve"> </w:t>
      </w:r>
      <w:r w:rsidRPr="000B0251">
        <w:rPr>
          <w:rFonts w:ascii="Times New Roman" w:hAnsi="Times New Roman"/>
          <w:color w:val="000000"/>
          <w:lang w:eastAsia="sk-SK"/>
        </w:rPr>
        <w:t>rozhlasových produkčných štúdií</w:t>
      </w:r>
      <w:r>
        <w:rPr>
          <w:rFonts w:ascii="Times New Roman" w:hAnsi="Times New Roman"/>
          <w:color w:val="000000"/>
          <w:lang w:eastAsia="sk-SK"/>
        </w:rPr>
        <w:t>.</w:t>
      </w:r>
    </w:p>
    <w:p w:rsidR="00511508" w:rsidRPr="00413E06" w:rsidP="00413E06">
      <w:pPr>
        <w:bidi w:val="0"/>
        <w:rPr>
          <w:rFonts w:ascii="Times New Roman" w:hAnsi="Times New Roman"/>
          <w:color w:val="000000"/>
          <w:lang w:eastAsia="sk-SK"/>
        </w:rPr>
      </w:pPr>
      <w:r w:rsidRPr="00C90437">
        <w:rPr>
          <w:rFonts w:ascii="Times New Roman" w:hAnsi="Times New Roman"/>
          <w:i/>
          <w:color w:val="000000"/>
          <w:lang w:eastAsia="sk-SK"/>
        </w:rPr>
        <w:t>Vyšším územným celkom</w:t>
      </w:r>
      <w:r>
        <w:rPr>
          <w:rFonts w:ascii="Times New Roman" w:hAnsi="Times New Roman"/>
          <w:color w:val="000000"/>
          <w:lang w:eastAsia="sk-SK"/>
        </w:rPr>
        <w:t xml:space="preserve"> </w:t>
      </w:r>
      <w:r w:rsidR="00C90437">
        <w:rPr>
          <w:rFonts w:ascii="Times New Roman" w:hAnsi="Times New Roman"/>
          <w:color w:val="000000"/>
          <w:lang w:eastAsia="sk-SK"/>
        </w:rPr>
        <w:t xml:space="preserve">boli poskytnuté </w:t>
      </w:r>
      <w:r>
        <w:rPr>
          <w:rFonts w:ascii="Times New Roman" w:hAnsi="Times New Roman"/>
          <w:color w:val="000000"/>
          <w:lang w:eastAsia="sk-SK"/>
        </w:rPr>
        <w:t>transfer</w:t>
      </w:r>
      <w:r w:rsidR="00C90437">
        <w:rPr>
          <w:rFonts w:ascii="Times New Roman" w:hAnsi="Times New Roman"/>
          <w:color w:val="000000"/>
          <w:lang w:eastAsia="sk-SK"/>
        </w:rPr>
        <w:t xml:space="preserve">y v celkovej výške 4 252 tis. eur. </w:t>
      </w:r>
      <w:r>
        <w:rPr>
          <w:rFonts w:ascii="Times New Roman" w:hAnsi="Times New Roman"/>
          <w:color w:val="000000"/>
          <w:lang w:eastAsia="sk-SK"/>
        </w:rPr>
        <w:t xml:space="preserve">Všeobecná pokladničná správa </w:t>
      </w:r>
      <w:r w:rsidR="00C90437">
        <w:rPr>
          <w:rFonts w:ascii="Times New Roman" w:hAnsi="Times New Roman"/>
          <w:color w:val="000000"/>
          <w:lang w:eastAsia="sk-SK"/>
        </w:rPr>
        <w:t xml:space="preserve">poskytla </w:t>
      </w:r>
      <w:r w:rsidR="008F730A">
        <w:rPr>
          <w:rFonts w:ascii="Times New Roman" w:hAnsi="Times New Roman"/>
          <w:color w:val="000000"/>
          <w:lang w:eastAsia="sk-SK"/>
        </w:rPr>
        <w:t xml:space="preserve">najmä </w:t>
      </w:r>
      <w:r w:rsidR="00C90437">
        <w:rPr>
          <w:rFonts w:ascii="Times New Roman" w:hAnsi="Times New Roman"/>
          <w:color w:val="000000"/>
          <w:lang w:eastAsia="sk-SK"/>
        </w:rPr>
        <w:t xml:space="preserve">transfer </w:t>
      </w:r>
      <w:r w:rsidR="00A13D36">
        <w:rPr>
          <w:rFonts w:ascii="Times New Roman" w:hAnsi="Times New Roman"/>
          <w:color w:val="000000"/>
          <w:lang w:eastAsia="sk-SK"/>
        </w:rPr>
        <w:t>(2 000 tis. eur) B</w:t>
      </w:r>
      <w:r w:rsidR="00C90437">
        <w:rPr>
          <w:rFonts w:ascii="Times New Roman" w:hAnsi="Times New Roman"/>
          <w:color w:val="000000"/>
          <w:lang w:eastAsia="sk-SK"/>
        </w:rPr>
        <w:t xml:space="preserve">ratislavskému samosprávnemu kraju na </w:t>
      </w:r>
      <w:r w:rsidR="00A13D36">
        <w:rPr>
          <w:rFonts w:ascii="Times New Roman" w:hAnsi="Times New Roman"/>
          <w:color w:val="000000"/>
          <w:lang w:eastAsia="sk-SK"/>
        </w:rPr>
        <w:t>rekonštrukciu divadla Aréna v Bratislave.</w:t>
      </w:r>
    </w:p>
    <w:p w:rsidR="00EB27BC" w:rsidRPr="00A339AF" w:rsidP="00A63BF5">
      <w:pPr>
        <w:bidi w:val="0"/>
        <w:rPr>
          <w:rFonts w:ascii="Times New Roman" w:hAnsi="Times New Roman"/>
          <w:szCs w:val="22"/>
          <w:highlight w:val="yellow"/>
        </w:rPr>
      </w:pPr>
      <w:r w:rsidRPr="00791249" w:rsidR="00A63BF5">
        <w:rPr>
          <w:rFonts w:ascii="Times New Roman" w:hAnsi="Times New Roman"/>
          <w:szCs w:val="22"/>
        </w:rPr>
        <w:t>Transfery</w:t>
      </w:r>
      <w:r w:rsidRPr="00791249" w:rsidR="009F6FF0">
        <w:rPr>
          <w:rFonts w:ascii="Times New Roman" w:hAnsi="Times New Roman"/>
          <w:b/>
          <w:i/>
          <w:szCs w:val="22"/>
        </w:rPr>
        <w:t xml:space="preserve"> nefinančným subjektom a </w:t>
      </w:r>
      <w:r w:rsidRPr="00791249" w:rsidR="00A63BF5">
        <w:rPr>
          <w:rFonts w:ascii="Times New Roman" w:hAnsi="Times New Roman"/>
          <w:b/>
          <w:i/>
          <w:szCs w:val="22"/>
        </w:rPr>
        <w:t>príspevkovým organizáciám nezaradeným vo verejnej správe</w:t>
      </w:r>
      <w:r w:rsidRPr="00791249" w:rsidR="00A63BF5">
        <w:rPr>
          <w:rFonts w:ascii="Times New Roman" w:hAnsi="Times New Roman"/>
          <w:szCs w:val="22"/>
        </w:rPr>
        <w:t xml:space="preserve"> tvorili </w:t>
      </w:r>
      <w:r w:rsidRPr="00791249" w:rsidR="00791249">
        <w:rPr>
          <w:rFonts w:ascii="Times New Roman" w:hAnsi="Times New Roman"/>
          <w:szCs w:val="22"/>
        </w:rPr>
        <w:t>177 324 </w:t>
      </w:r>
      <w:r w:rsidRPr="00791249" w:rsidR="007412B2">
        <w:rPr>
          <w:rFonts w:ascii="Times New Roman" w:hAnsi="Times New Roman"/>
          <w:szCs w:val="22"/>
        </w:rPr>
        <w:t>tis.</w:t>
      </w:r>
      <w:r w:rsidRPr="00791249" w:rsidR="00791249">
        <w:rPr>
          <w:rFonts w:ascii="Times New Roman" w:hAnsi="Times New Roman"/>
          <w:szCs w:val="22"/>
        </w:rPr>
        <w:t> </w:t>
      </w:r>
      <w:r w:rsidRPr="00791249" w:rsidR="007412B2">
        <w:rPr>
          <w:rFonts w:ascii="Times New Roman" w:hAnsi="Times New Roman"/>
          <w:szCs w:val="22"/>
        </w:rPr>
        <w:t xml:space="preserve">eur, čo predstavuje </w:t>
      </w:r>
      <w:r w:rsidRPr="00791249" w:rsidR="00791249">
        <w:rPr>
          <w:rFonts w:ascii="Times New Roman" w:hAnsi="Times New Roman"/>
          <w:szCs w:val="22"/>
        </w:rPr>
        <w:t>8</w:t>
      </w:r>
      <w:r w:rsidRPr="00791249" w:rsidR="007412B2">
        <w:rPr>
          <w:rFonts w:ascii="Times New Roman" w:hAnsi="Times New Roman"/>
          <w:szCs w:val="22"/>
        </w:rPr>
        <w:t>,</w:t>
      </w:r>
      <w:r w:rsidRPr="00791249" w:rsidR="00791249">
        <w:rPr>
          <w:rFonts w:ascii="Times New Roman" w:hAnsi="Times New Roman"/>
          <w:szCs w:val="22"/>
        </w:rPr>
        <w:t>7</w:t>
      </w:r>
      <w:r w:rsidRPr="00791249" w:rsidR="00A63BF5">
        <w:rPr>
          <w:rFonts w:ascii="Times New Roman" w:hAnsi="Times New Roman"/>
          <w:color w:val="FF0000"/>
          <w:szCs w:val="22"/>
        </w:rPr>
        <w:t xml:space="preserve"> </w:t>
      </w:r>
      <w:r w:rsidRPr="00791249" w:rsidR="00A63BF5">
        <w:rPr>
          <w:rFonts w:ascii="Times New Roman" w:hAnsi="Times New Roman"/>
          <w:szCs w:val="22"/>
        </w:rPr>
        <w:t xml:space="preserve">% z celkovej výšky kapitálových transferov. </w:t>
      </w:r>
      <w:r w:rsidRPr="00791249" w:rsidR="00D63938">
        <w:rPr>
          <w:rFonts w:ascii="Times New Roman" w:hAnsi="Times New Roman"/>
          <w:szCs w:val="22"/>
        </w:rPr>
        <w:t>Najvyššiu hodnotu vykazoval</w:t>
      </w:r>
      <w:r w:rsidRPr="00791249">
        <w:rPr>
          <w:rFonts w:ascii="Times New Roman" w:hAnsi="Times New Roman"/>
          <w:szCs w:val="22"/>
        </w:rPr>
        <w:t>i</w:t>
      </w:r>
      <w:r w:rsidRPr="00791249" w:rsidR="009F6FF0">
        <w:rPr>
          <w:rFonts w:ascii="Times New Roman" w:hAnsi="Times New Roman"/>
          <w:szCs w:val="22"/>
        </w:rPr>
        <w:t xml:space="preserve"> kapitoly</w:t>
      </w:r>
      <w:r w:rsidRPr="00791249" w:rsidR="00D63938">
        <w:rPr>
          <w:rFonts w:ascii="Times New Roman" w:hAnsi="Times New Roman"/>
          <w:szCs w:val="22"/>
        </w:rPr>
        <w:t xml:space="preserve"> </w:t>
      </w:r>
      <w:r w:rsidRPr="00791249" w:rsidR="00791249">
        <w:rPr>
          <w:rFonts w:ascii="Times New Roman" w:hAnsi="Times New Roman"/>
          <w:szCs w:val="22"/>
        </w:rPr>
        <w:t>Ministerstva pôdohospodárstva a rozvoja vidieka SR (86 201 tis. eur)</w:t>
      </w:r>
      <w:r w:rsidR="00791249">
        <w:rPr>
          <w:rFonts w:ascii="Times New Roman" w:hAnsi="Times New Roman"/>
          <w:szCs w:val="22"/>
        </w:rPr>
        <w:t xml:space="preserve">, </w:t>
      </w:r>
      <w:r w:rsidRPr="00791249" w:rsidR="00791249">
        <w:rPr>
          <w:rFonts w:ascii="Times New Roman" w:hAnsi="Times New Roman"/>
          <w:szCs w:val="22"/>
        </w:rPr>
        <w:t xml:space="preserve">Ministerstva životného prostredia SR (50 922 tis. eur), </w:t>
      </w:r>
      <w:r w:rsidRPr="00791249" w:rsidR="00414960">
        <w:rPr>
          <w:rFonts w:ascii="Times New Roman" w:hAnsi="Times New Roman"/>
          <w:szCs w:val="22"/>
        </w:rPr>
        <w:t>M</w:t>
      </w:r>
      <w:r w:rsidRPr="00791249" w:rsidR="00D63938">
        <w:rPr>
          <w:rFonts w:ascii="Times New Roman" w:hAnsi="Times New Roman"/>
          <w:szCs w:val="22"/>
        </w:rPr>
        <w:t xml:space="preserve">inisterstva </w:t>
      </w:r>
      <w:r w:rsidRPr="00791249" w:rsidR="00791249">
        <w:rPr>
          <w:rFonts w:ascii="Times New Roman" w:hAnsi="Times New Roman"/>
          <w:szCs w:val="22"/>
        </w:rPr>
        <w:t>školstva, vedy, výskumu a športu</w:t>
      </w:r>
      <w:r w:rsidRPr="00791249" w:rsidR="00D63938">
        <w:rPr>
          <w:rFonts w:ascii="Times New Roman" w:hAnsi="Times New Roman"/>
          <w:szCs w:val="22"/>
        </w:rPr>
        <w:t xml:space="preserve"> SR </w:t>
      </w:r>
      <w:r w:rsidRPr="00791249">
        <w:rPr>
          <w:rFonts w:ascii="Times New Roman" w:hAnsi="Times New Roman"/>
          <w:szCs w:val="22"/>
        </w:rPr>
        <w:t>(</w:t>
      </w:r>
      <w:r w:rsidR="00791249">
        <w:rPr>
          <w:rFonts w:ascii="Times New Roman" w:hAnsi="Times New Roman"/>
          <w:szCs w:val="22"/>
        </w:rPr>
        <w:t>28</w:t>
      </w:r>
      <w:r w:rsidRPr="00791249" w:rsidR="00D63938">
        <w:rPr>
          <w:rFonts w:ascii="Times New Roman" w:hAnsi="Times New Roman"/>
          <w:szCs w:val="22"/>
        </w:rPr>
        <w:t> </w:t>
      </w:r>
      <w:r w:rsidR="00791249">
        <w:rPr>
          <w:rFonts w:ascii="Times New Roman" w:hAnsi="Times New Roman"/>
          <w:szCs w:val="22"/>
        </w:rPr>
        <w:t>192</w:t>
      </w:r>
      <w:r w:rsidRPr="00791249" w:rsidR="00D63938">
        <w:rPr>
          <w:rFonts w:ascii="Times New Roman" w:hAnsi="Times New Roman"/>
          <w:szCs w:val="22"/>
        </w:rPr>
        <w:t> tis. eur</w:t>
      </w:r>
      <w:r w:rsidRPr="00791249">
        <w:rPr>
          <w:rFonts w:ascii="Times New Roman" w:hAnsi="Times New Roman"/>
          <w:szCs w:val="22"/>
        </w:rPr>
        <w:t>)</w:t>
      </w:r>
      <w:r w:rsidR="009E7062">
        <w:rPr>
          <w:rFonts w:ascii="Times New Roman" w:hAnsi="Times New Roman"/>
          <w:szCs w:val="22"/>
        </w:rPr>
        <w:t xml:space="preserve"> a</w:t>
      </w:r>
      <w:r w:rsidR="004717E4">
        <w:rPr>
          <w:rFonts w:ascii="Times New Roman" w:hAnsi="Times New Roman"/>
          <w:szCs w:val="22"/>
        </w:rPr>
        <w:t xml:space="preserve"> Ministerstva hospodárstva </w:t>
      </w:r>
      <w:r w:rsidR="003E0012">
        <w:rPr>
          <w:rFonts w:ascii="Times New Roman" w:hAnsi="Times New Roman"/>
          <w:szCs w:val="22"/>
        </w:rPr>
        <w:t>SR (</w:t>
      </w:r>
      <w:r w:rsidR="004717E4">
        <w:rPr>
          <w:rFonts w:ascii="Times New Roman" w:hAnsi="Times New Roman"/>
          <w:szCs w:val="22"/>
        </w:rPr>
        <w:t>10 852 tis. eur).</w:t>
      </w:r>
    </w:p>
    <w:p w:rsidR="00310666" w:rsidP="00A93EC0">
      <w:pPr>
        <w:bidi w:val="0"/>
        <w:rPr>
          <w:rFonts w:ascii="Times New Roman" w:hAnsi="Times New Roman"/>
          <w:color w:val="000000"/>
          <w:lang w:eastAsia="sk-SK"/>
        </w:rPr>
      </w:pPr>
      <w:r w:rsidRPr="00EB7920" w:rsidR="00EB27BC">
        <w:rPr>
          <w:rFonts w:ascii="Times New Roman" w:hAnsi="Times New Roman"/>
          <w:szCs w:val="22"/>
        </w:rPr>
        <w:t xml:space="preserve">Ministerstvo pôdohospodárstva a rozvoja vidieka SR poskytlo </w:t>
      </w:r>
      <w:r w:rsidRPr="00EB7920" w:rsidR="00EB27BC">
        <w:rPr>
          <w:rFonts w:ascii="Times New Roman" w:hAnsi="Times New Roman"/>
          <w:i/>
          <w:szCs w:val="22"/>
        </w:rPr>
        <w:t>ostatnej právnickej osobe</w:t>
      </w:r>
      <w:r w:rsidRPr="00EB7920" w:rsidR="00EB27BC">
        <w:rPr>
          <w:rFonts w:ascii="Times New Roman" w:hAnsi="Times New Roman"/>
          <w:szCs w:val="22"/>
        </w:rPr>
        <w:t xml:space="preserve"> transfery </w:t>
      </w:r>
      <w:r w:rsidR="00EB7920">
        <w:rPr>
          <w:rFonts w:ascii="Times New Roman" w:hAnsi="Times New Roman"/>
          <w:szCs w:val="22"/>
        </w:rPr>
        <w:t>v sume 53 631 </w:t>
      </w:r>
      <w:r w:rsidR="00A93EC0">
        <w:rPr>
          <w:rFonts w:ascii="Times New Roman" w:hAnsi="Times New Roman"/>
          <w:szCs w:val="22"/>
        </w:rPr>
        <w:t>tis. eur.</w:t>
      </w:r>
      <w:r w:rsidR="00EB7920">
        <w:rPr>
          <w:rFonts w:ascii="Times New Roman" w:hAnsi="Times New Roman"/>
          <w:szCs w:val="22"/>
        </w:rPr>
        <w:t xml:space="preserve"> </w:t>
      </w:r>
      <w:r w:rsidR="00A93EC0">
        <w:rPr>
          <w:rFonts w:ascii="Times New Roman" w:hAnsi="Times New Roman"/>
        </w:rPr>
        <w:t xml:space="preserve">Išlo o projektové výdavky </w:t>
      </w:r>
      <w:r w:rsidR="00EB7920">
        <w:rPr>
          <w:rFonts w:ascii="Times New Roman" w:hAnsi="Times New Roman"/>
        </w:rPr>
        <w:t xml:space="preserve">v rámci Programu rozvoja vidieka SR </w:t>
      </w:r>
      <w:r w:rsidR="00F11CAA">
        <w:rPr>
          <w:rFonts w:ascii="Times New Roman" w:hAnsi="Times New Roman"/>
        </w:rPr>
        <w:br/>
      </w:r>
      <w:r w:rsidR="00EB7920">
        <w:rPr>
          <w:rFonts w:ascii="Times New Roman" w:hAnsi="Times New Roman"/>
        </w:rPr>
        <w:t>2014-2020</w:t>
      </w:r>
      <w:r w:rsidR="00EB7920">
        <w:rPr>
          <w:rFonts w:ascii="Times New Roman" w:hAnsi="Times New Roman"/>
          <w:color w:val="000000"/>
          <w:lang w:eastAsia="sk-SK"/>
        </w:rPr>
        <w:t>. Finančné prostriedky boli poskytnuté na investície do poľnohospodárskych podnikov, na spracovanie/uvádzanie na trh/vývoj poľnohospodárskych výrobkov</w:t>
      </w:r>
      <w:r w:rsidR="00A93EC0">
        <w:rPr>
          <w:rFonts w:ascii="Times New Roman" w:hAnsi="Times New Roman"/>
          <w:color w:val="000000"/>
          <w:lang w:eastAsia="sk-SK"/>
        </w:rPr>
        <w:t>,</w:t>
      </w:r>
      <w:r w:rsidR="00EB7920">
        <w:rPr>
          <w:rFonts w:ascii="Times New Roman" w:hAnsi="Times New Roman"/>
          <w:color w:val="000000"/>
          <w:lang w:eastAsia="sk-SK"/>
        </w:rPr>
        <w:t xml:space="preserve"> na investície </w:t>
      </w:r>
      <w:r w:rsidR="00F11CAA">
        <w:rPr>
          <w:rFonts w:ascii="Times New Roman" w:hAnsi="Times New Roman"/>
          <w:color w:val="000000"/>
          <w:lang w:eastAsia="sk-SK"/>
        </w:rPr>
        <w:br/>
      </w:r>
      <w:r w:rsidR="00EB7920">
        <w:rPr>
          <w:rFonts w:ascii="Times New Roman" w:hAnsi="Times New Roman"/>
          <w:color w:val="000000"/>
          <w:lang w:eastAsia="sk-SK"/>
        </w:rPr>
        <w:t>do infraštruktúry súvisiacej s vývojom, modernizáciou alebo prispôsobením poľnohospodárstva a</w:t>
      </w:r>
      <w:r w:rsidR="00A93EC0">
        <w:rPr>
          <w:rFonts w:ascii="Times New Roman" w:hAnsi="Times New Roman"/>
          <w:color w:val="000000"/>
          <w:lang w:eastAsia="sk-SK"/>
        </w:rPr>
        <w:t xml:space="preserve"> </w:t>
      </w:r>
      <w:r w:rsidR="00EB7920">
        <w:rPr>
          <w:rFonts w:ascii="Times New Roman" w:hAnsi="Times New Roman"/>
          <w:color w:val="000000"/>
          <w:lang w:eastAsia="sk-SK"/>
        </w:rPr>
        <w:t>lesného hospodárstva</w:t>
      </w:r>
      <w:r>
        <w:rPr>
          <w:rFonts w:ascii="Times New Roman" w:hAnsi="Times New Roman"/>
          <w:color w:val="000000"/>
          <w:lang w:eastAsia="sk-SK"/>
        </w:rPr>
        <w:t xml:space="preserve"> a ďalšiu podporu.</w:t>
      </w:r>
    </w:p>
    <w:p w:rsidR="00DF5151" w:rsidRPr="00DF5151" w:rsidP="00A93EC0">
      <w:pPr>
        <w:bidi w:val="0"/>
        <w:rPr>
          <w:rFonts w:ascii="Times New Roman" w:hAnsi="Times New Roman"/>
          <w:szCs w:val="22"/>
        </w:rPr>
      </w:pPr>
      <w:r w:rsidRPr="00A93EC0" w:rsidR="00A93EC0">
        <w:rPr>
          <w:rFonts w:ascii="Times New Roman" w:hAnsi="Times New Roman"/>
          <w:szCs w:val="22"/>
        </w:rPr>
        <w:t xml:space="preserve">Ministerstvo životného prostredia SR poskytlo transfery na podpoložke </w:t>
      </w:r>
      <w:r w:rsidRPr="00A93EC0" w:rsidR="00A93EC0">
        <w:rPr>
          <w:rFonts w:ascii="Times New Roman" w:hAnsi="Times New Roman"/>
          <w:i/>
          <w:szCs w:val="22"/>
        </w:rPr>
        <w:t>ostatnej právnickej osobe</w:t>
      </w:r>
      <w:r w:rsidRPr="00A93EC0" w:rsidR="00A93EC0">
        <w:rPr>
          <w:rFonts w:ascii="Times New Roman" w:hAnsi="Times New Roman"/>
          <w:szCs w:val="22"/>
        </w:rPr>
        <w:t xml:space="preserve"> v sume </w:t>
      </w:r>
      <w:r w:rsidR="00A93EC0">
        <w:rPr>
          <w:rFonts w:ascii="Times New Roman" w:hAnsi="Times New Roman"/>
          <w:szCs w:val="22"/>
        </w:rPr>
        <w:t>42</w:t>
      </w:r>
      <w:r w:rsidRPr="00A93EC0" w:rsidR="00A93EC0">
        <w:rPr>
          <w:rFonts w:ascii="Times New Roman" w:hAnsi="Times New Roman"/>
          <w:szCs w:val="22"/>
        </w:rPr>
        <w:t> </w:t>
      </w:r>
      <w:r w:rsidR="00A93EC0">
        <w:rPr>
          <w:rFonts w:ascii="Times New Roman" w:hAnsi="Times New Roman"/>
          <w:szCs w:val="22"/>
        </w:rPr>
        <w:t>713</w:t>
      </w:r>
      <w:r w:rsidRPr="00A93EC0" w:rsidR="00A93EC0">
        <w:rPr>
          <w:rFonts w:ascii="Times New Roman" w:hAnsi="Times New Roman"/>
          <w:szCs w:val="22"/>
        </w:rPr>
        <w:t> tis. eur</w:t>
      </w:r>
      <w:r>
        <w:rPr>
          <w:rFonts w:ascii="Times New Roman" w:hAnsi="Times New Roman"/>
          <w:szCs w:val="22"/>
        </w:rPr>
        <w:t xml:space="preserve">, z toho </w:t>
      </w:r>
      <w:r w:rsidRPr="00DF5151" w:rsidR="00EC05D6">
        <w:rPr>
          <w:rFonts w:ascii="Times New Roman" w:hAnsi="Times New Roman"/>
          <w:szCs w:val="22"/>
        </w:rPr>
        <w:t>v rámci programu Kvalita životného prostredia</w:t>
      </w:r>
      <w:r w:rsidR="00EC05D6">
        <w:rPr>
          <w:rFonts w:ascii="Times New Roman" w:hAnsi="Times New Roman"/>
          <w:szCs w:val="22"/>
        </w:rPr>
        <w:t xml:space="preserve"> </w:t>
      </w:r>
      <w:r>
        <w:rPr>
          <w:rFonts w:ascii="Times New Roman" w:hAnsi="Times New Roman"/>
          <w:szCs w:val="22"/>
        </w:rPr>
        <w:t>23 895 tis. eur</w:t>
      </w:r>
      <w:r w:rsidRPr="00A93EC0" w:rsidR="00A93EC0">
        <w:rPr>
          <w:rFonts w:ascii="Times New Roman" w:hAnsi="Times New Roman"/>
          <w:szCs w:val="22"/>
        </w:rPr>
        <w:t xml:space="preserve"> </w:t>
      </w:r>
      <w:r w:rsidRPr="00DF5151">
        <w:rPr>
          <w:rFonts w:ascii="Times New Roman" w:hAnsi="Times New Roman"/>
          <w:szCs w:val="22"/>
        </w:rPr>
        <w:t>Západoslovenskej vodárenskej spoločno</w:t>
      </w:r>
      <w:r>
        <w:rPr>
          <w:rFonts w:ascii="Times New Roman" w:hAnsi="Times New Roman"/>
          <w:szCs w:val="22"/>
        </w:rPr>
        <w:t>sti, a. s. na čistiareň odpadových vôd Sever, 13 980 tis. eur Regionálnej vodárenskej spoločnosti Vlára – Váh</w:t>
      </w:r>
      <w:r w:rsidR="00EC05D6">
        <w:rPr>
          <w:rFonts w:ascii="Times New Roman" w:hAnsi="Times New Roman"/>
          <w:szCs w:val="22"/>
        </w:rPr>
        <w:t>,</w:t>
      </w:r>
      <w:r>
        <w:rPr>
          <w:rFonts w:ascii="Times New Roman" w:hAnsi="Times New Roman"/>
          <w:szCs w:val="22"/>
        </w:rPr>
        <w:t xml:space="preserve"> s. r. o. na odkanalizovanie mikroregiónu</w:t>
      </w:r>
      <w:r w:rsidR="00EC05D6">
        <w:rPr>
          <w:rFonts w:ascii="Times New Roman" w:hAnsi="Times New Roman"/>
          <w:szCs w:val="22"/>
        </w:rPr>
        <w:t xml:space="preserve"> Vlára - </w:t>
      </w:r>
      <w:r>
        <w:rPr>
          <w:rFonts w:ascii="Times New Roman" w:hAnsi="Times New Roman"/>
          <w:szCs w:val="22"/>
        </w:rPr>
        <w:t>Váh a</w:t>
      </w:r>
      <w:r w:rsidR="00EC05D6">
        <w:rPr>
          <w:rFonts w:ascii="Times New Roman" w:hAnsi="Times New Roman"/>
          <w:szCs w:val="22"/>
        </w:rPr>
        <w:t xml:space="preserve"> </w:t>
      </w:r>
      <w:r>
        <w:rPr>
          <w:rFonts w:ascii="Times New Roman" w:hAnsi="Times New Roman"/>
          <w:szCs w:val="22"/>
        </w:rPr>
        <w:t>intenzifikácia Č</w:t>
      </w:r>
      <w:r w:rsidR="00EE58E9">
        <w:rPr>
          <w:rFonts w:ascii="Times New Roman" w:hAnsi="Times New Roman"/>
          <w:szCs w:val="22"/>
        </w:rPr>
        <w:t>ističky odpadových vôd</w:t>
      </w:r>
      <w:r>
        <w:rPr>
          <w:rFonts w:ascii="Times New Roman" w:hAnsi="Times New Roman"/>
          <w:szCs w:val="22"/>
        </w:rPr>
        <w:t xml:space="preserve"> Nemšová</w:t>
      </w:r>
      <w:r w:rsidR="00EC05D6">
        <w:rPr>
          <w:rFonts w:ascii="Times New Roman" w:hAnsi="Times New Roman"/>
          <w:szCs w:val="22"/>
        </w:rPr>
        <w:t>.</w:t>
      </w:r>
      <w:r>
        <w:rPr>
          <w:rFonts w:ascii="Times New Roman" w:hAnsi="Times New Roman"/>
          <w:szCs w:val="22"/>
        </w:rPr>
        <w:t xml:space="preserve"> </w:t>
      </w:r>
    </w:p>
    <w:p w:rsidR="00F17E8A">
      <w:pPr>
        <w:bidi w:val="0"/>
        <w:spacing w:after="200" w:line="276" w:lineRule="auto"/>
        <w:jc w:val="left"/>
        <w:rPr>
          <w:rFonts w:ascii="Times New Roman" w:hAnsi="Times New Roman"/>
          <w:szCs w:val="22"/>
        </w:rPr>
      </w:pPr>
      <w:r>
        <w:rPr>
          <w:rFonts w:ascii="Times New Roman" w:hAnsi="Times New Roman"/>
          <w:szCs w:val="22"/>
        </w:rPr>
        <w:br w:type="page"/>
      </w:r>
    </w:p>
    <w:p w:rsidR="00757F2D" w:rsidRPr="00F75F0E" w:rsidP="00A93EC0">
      <w:pPr>
        <w:bidi w:val="0"/>
        <w:rPr>
          <w:rFonts w:ascii="Times New Roman" w:hAnsi="Times New Roman"/>
          <w:szCs w:val="22"/>
        </w:rPr>
      </w:pPr>
      <w:r>
        <w:rPr>
          <w:rFonts w:ascii="Times New Roman" w:hAnsi="Times New Roman"/>
          <w:szCs w:val="22"/>
        </w:rPr>
        <w:t xml:space="preserve">Ministerstvo školstva, vedy, výskumu a športu SR poskytlo transfery </w:t>
      </w:r>
      <w:r w:rsidRPr="00A93EC0">
        <w:rPr>
          <w:rFonts w:ascii="Times New Roman" w:hAnsi="Times New Roman"/>
          <w:i/>
          <w:szCs w:val="22"/>
        </w:rPr>
        <w:t>ostatnej právnickej osobe</w:t>
      </w:r>
      <w:r w:rsidRPr="00A93EC0">
        <w:rPr>
          <w:rFonts w:ascii="Times New Roman" w:hAnsi="Times New Roman"/>
          <w:szCs w:val="22"/>
        </w:rPr>
        <w:t xml:space="preserve"> </w:t>
      </w:r>
      <w:r>
        <w:rPr>
          <w:rFonts w:ascii="Times New Roman" w:hAnsi="Times New Roman"/>
          <w:szCs w:val="22"/>
        </w:rPr>
        <w:t>(</w:t>
      </w:r>
      <w:r w:rsidR="00F75F0E">
        <w:rPr>
          <w:rFonts w:ascii="Times New Roman" w:hAnsi="Times New Roman"/>
          <w:szCs w:val="22"/>
        </w:rPr>
        <w:t>28</w:t>
      </w:r>
      <w:r>
        <w:rPr>
          <w:rFonts w:ascii="Times New Roman" w:hAnsi="Times New Roman"/>
          <w:szCs w:val="22"/>
        </w:rPr>
        <w:t> </w:t>
      </w:r>
      <w:r w:rsidR="00F75F0E">
        <w:rPr>
          <w:rFonts w:ascii="Times New Roman" w:hAnsi="Times New Roman"/>
          <w:szCs w:val="22"/>
        </w:rPr>
        <w:t>14</w:t>
      </w:r>
      <w:r w:rsidR="00AA6D7D">
        <w:rPr>
          <w:rFonts w:ascii="Times New Roman" w:hAnsi="Times New Roman"/>
          <w:szCs w:val="22"/>
        </w:rPr>
        <w:t>2</w:t>
      </w:r>
      <w:r>
        <w:rPr>
          <w:rFonts w:ascii="Times New Roman" w:hAnsi="Times New Roman"/>
          <w:szCs w:val="22"/>
        </w:rPr>
        <w:t xml:space="preserve"> tis. eur) </w:t>
      </w:r>
      <w:r>
        <w:rPr>
          <w:rFonts w:ascii="Times New Roman" w:hAnsi="Times New Roman"/>
        </w:rPr>
        <w:t xml:space="preserve">na </w:t>
      </w:r>
      <w:r w:rsidRPr="00FA4B3A">
        <w:rPr>
          <w:rFonts w:ascii="Times New Roman" w:hAnsi="Times New Roman"/>
          <w:szCs w:val="22"/>
        </w:rPr>
        <w:t>výstavbu národného futbalového štadióna</w:t>
      </w:r>
      <w:r>
        <w:rPr>
          <w:rFonts w:ascii="Times New Roman" w:hAnsi="Times New Roman"/>
          <w:szCs w:val="22"/>
        </w:rPr>
        <w:t xml:space="preserve"> a</w:t>
      </w:r>
      <w:r w:rsidRPr="00FA4B3A">
        <w:rPr>
          <w:rFonts w:ascii="Times New Roman" w:hAnsi="Times New Roman"/>
          <w:szCs w:val="22"/>
        </w:rPr>
        <w:t xml:space="preserve"> na rekonštrukcie futbalových štadiónov</w:t>
      </w:r>
      <w:r w:rsidRPr="00F75F0E" w:rsidR="00F75F0E">
        <w:rPr>
          <w:rFonts w:ascii="Times New Roman" w:hAnsi="Times New Roman"/>
          <w:szCs w:val="22"/>
        </w:rPr>
        <w:t>.</w:t>
      </w:r>
    </w:p>
    <w:p w:rsidR="00F75F0E" w:rsidP="00A93EC0">
      <w:pPr>
        <w:bidi w:val="0"/>
        <w:rPr>
          <w:rFonts w:ascii="Times New Roman" w:hAnsi="Times New Roman"/>
          <w:szCs w:val="22"/>
        </w:rPr>
      </w:pPr>
      <w:r>
        <w:rPr>
          <w:rFonts w:ascii="Times New Roman" w:hAnsi="Times New Roman"/>
          <w:szCs w:val="22"/>
        </w:rPr>
        <w:t xml:space="preserve">Transfery Ministerstva hospodárstva SR </w:t>
      </w:r>
      <w:r w:rsidRPr="00EE58E9" w:rsidR="00AA6D7D">
        <w:rPr>
          <w:rFonts w:ascii="Times New Roman" w:hAnsi="Times New Roman"/>
          <w:i/>
          <w:szCs w:val="22"/>
        </w:rPr>
        <w:t>ostatnej právnickej osobe</w:t>
      </w:r>
      <w:r w:rsidR="00AA6D7D">
        <w:rPr>
          <w:rFonts w:ascii="Times New Roman" w:hAnsi="Times New Roman"/>
          <w:szCs w:val="22"/>
        </w:rPr>
        <w:t xml:space="preserve"> </w:t>
      </w:r>
      <w:r>
        <w:rPr>
          <w:rFonts w:ascii="Times New Roman" w:hAnsi="Times New Roman"/>
          <w:szCs w:val="22"/>
        </w:rPr>
        <w:t xml:space="preserve">vo výške 10 852 tis. eur boli poskytnuté </w:t>
      </w:r>
      <w:r w:rsidR="009E7062">
        <w:rPr>
          <w:rFonts w:ascii="Times New Roman" w:hAnsi="Times New Roman"/>
          <w:szCs w:val="22"/>
        </w:rPr>
        <w:t xml:space="preserve">ako investičné stimuly </w:t>
      </w:r>
      <w:r>
        <w:rPr>
          <w:rFonts w:ascii="Times New Roman" w:hAnsi="Times New Roman"/>
          <w:szCs w:val="22"/>
        </w:rPr>
        <w:t xml:space="preserve">v rámci </w:t>
      </w:r>
      <w:r w:rsidR="009E7062">
        <w:rPr>
          <w:rFonts w:ascii="Times New Roman" w:hAnsi="Times New Roman"/>
          <w:szCs w:val="22"/>
        </w:rPr>
        <w:t>podpory rozvoja strategických investícií (4 979 tis. eur</w:t>
      </w:r>
      <w:r w:rsidR="00310666">
        <w:rPr>
          <w:rFonts w:ascii="Times New Roman" w:hAnsi="Times New Roman"/>
          <w:szCs w:val="22"/>
        </w:rPr>
        <w:t>)</w:t>
      </w:r>
      <w:r w:rsidR="009E7062">
        <w:rPr>
          <w:rFonts w:ascii="Times New Roman" w:hAnsi="Times New Roman"/>
          <w:szCs w:val="22"/>
        </w:rPr>
        <w:t xml:space="preserve"> a </w:t>
      </w:r>
      <w:r w:rsidR="004666DD">
        <w:rPr>
          <w:rFonts w:ascii="Times New Roman" w:hAnsi="Times New Roman"/>
          <w:szCs w:val="22"/>
        </w:rPr>
        <w:t>v</w:t>
      </w:r>
      <w:r w:rsidR="009E7062">
        <w:rPr>
          <w:rFonts w:ascii="Times New Roman" w:hAnsi="Times New Roman"/>
          <w:szCs w:val="22"/>
        </w:rPr>
        <w:t xml:space="preserve"> rámci </w:t>
      </w:r>
      <w:r>
        <w:rPr>
          <w:rFonts w:ascii="Times New Roman" w:hAnsi="Times New Roman"/>
          <w:szCs w:val="22"/>
        </w:rPr>
        <w:t>programu podpora výskumu, vývoja a</w:t>
      </w:r>
      <w:r w:rsidR="009E7062">
        <w:rPr>
          <w:rFonts w:ascii="Times New Roman" w:hAnsi="Times New Roman"/>
          <w:szCs w:val="22"/>
        </w:rPr>
        <w:t> </w:t>
      </w:r>
      <w:r>
        <w:rPr>
          <w:rFonts w:ascii="Times New Roman" w:hAnsi="Times New Roman"/>
          <w:szCs w:val="22"/>
        </w:rPr>
        <w:t>inová</w:t>
      </w:r>
      <w:r w:rsidR="009E7062">
        <w:rPr>
          <w:rFonts w:ascii="Times New Roman" w:hAnsi="Times New Roman"/>
          <w:szCs w:val="22"/>
        </w:rPr>
        <w:t>cií (5 673 tis. eur).</w:t>
      </w:r>
    </w:p>
    <w:p w:rsidR="00EF2DFF" w:rsidRPr="00EF2DFF" w:rsidP="00A93EC0">
      <w:pPr>
        <w:bidi w:val="0"/>
        <w:rPr>
          <w:rFonts w:ascii="Times New Roman" w:hAnsi="Times New Roman"/>
        </w:rPr>
      </w:pPr>
      <w:r>
        <w:rPr>
          <w:rFonts w:ascii="Times New Roman" w:hAnsi="Times New Roman"/>
          <w:szCs w:val="22"/>
        </w:rPr>
        <w:t xml:space="preserve">V rámci tejto položky boli poskytnuté transfery </w:t>
      </w:r>
      <w:r>
        <w:rPr>
          <w:rFonts w:ascii="Times New Roman" w:hAnsi="Times New Roman"/>
          <w:i/>
          <w:szCs w:val="22"/>
        </w:rPr>
        <w:t xml:space="preserve">právnickej osobe založenej štátom, obcou alebo vyšším územným celkom </w:t>
      </w:r>
      <w:r w:rsidRPr="00EF2DFF">
        <w:rPr>
          <w:rFonts w:ascii="Times New Roman" w:hAnsi="Times New Roman"/>
          <w:szCs w:val="22"/>
        </w:rPr>
        <w:t>v</w:t>
      </w:r>
      <w:r>
        <w:rPr>
          <w:rFonts w:ascii="Times New Roman" w:hAnsi="Times New Roman"/>
          <w:szCs w:val="22"/>
        </w:rPr>
        <w:t xml:space="preserve"> celkovej výške </w:t>
      </w:r>
      <w:r w:rsidRPr="00923A09">
        <w:rPr>
          <w:rFonts w:ascii="Times New Roman" w:hAnsi="Times New Roman"/>
        </w:rPr>
        <w:t>38</w:t>
      </w:r>
      <w:r w:rsidR="00923A09">
        <w:rPr>
          <w:rFonts w:ascii="Times New Roman" w:hAnsi="Times New Roman"/>
        </w:rPr>
        <w:t> </w:t>
      </w:r>
      <w:r w:rsidRPr="00923A09">
        <w:rPr>
          <w:rFonts w:ascii="Times New Roman" w:hAnsi="Times New Roman"/>
        </w:rPr>
        <w:t>363</w:t>
      </w:r>
      <w:r>
        <w:rPr>
          <w:rFonts w:ascii="Times New Roman" w:hAnsi="Times New Roman"/>
        </w:rPr>
        <w:t> tis. eur, z toho 29 146 </w:t>
      </w:r>
      <w:r w:rsidR="00C92830">
        <w:rPr>
          <w:rFonts w:ascii="Times New Roman" w:hAnsi="Times New Roman"/>
        </w:rPr>
        <w:t xml:space="preserve">tis. eur </w:t>
      </w:r>
      <w:r w:rsidR="00C92830">
        <w:rPr>
          <w:rFonts w:ascii="Times New Roman" w:hAnsi="Times New Roman"/>
          <w:color w:val="000000"/>
          <w:lang w:eastAsia="sk-SK"/>
        </w:rPr>
        <w:t>štátnemu podniku Lesy SR na investície do infraštruktúry súvisiacej s vývojom, modernizáciou alebo prispôsobením poľnohospodárstva a lesného hospodárstva, na prevenciu škôd v lesoch spôsobených lesnými požiarmi a prírodnými katastrofami a katastrofickými udalosťami.</w:t>
      </w:r>
    </w:p>
    <w:p w:rsidR="00A63BF5" w:rsidRPr="009572E4" w:rsidP="00A63BF5">
      <w:pPr>
        <w:bidi w:val="0"/>
        <w:rPr>
          <w:rFonts w:ascii="Times New Roman" w:hAnsi="Times New Roman"/>
          <w:szCs w:val="22"/>
        </w:rPr>
      </w:pPr>
      <w:r w:rsidRPr="009572E4">
        <w:rPr>
          <w:rFonts w:ascii="Times New Roman" w:hAnsi="Times New Roman"/>
          <w:b/>
          <w:i/>
          <w:szCs w:val="22"/>
        </w:rPr>
        <w:t>Transfery jednotlivcom a</w:t>
      </w:r>
      <w:r w:rsidR="009572E4">
        <w:rPr>
          <w:rFonts w:ascii="Times New Roman" w:hAnsi="Times New Roman"/>
          <w:b/>
          <w:i/>
          <w:szCs w:val="22"/>
        </w:rPr>
        <w:t xml:space="preserve"> </w:t>
      </w:r>
      <w:r w:rsidRPr="009572E4">
        <w:rPr>
          <w:rFonts w:ascii="Times New Roman" w:hAnsi="Times New Roman"/>
          <w:b/>
          <w:i/>
          <w:szCs w:val="22"/>
        </w:rPr>
        <w:t>neziskovým právnickým osobám</w:t>
      </w:r>
      <w:r w:rsidRPr="009572E4" w:rsidR="00A71433">
        <w:rPr>
          <w:rFonts w:ascii="Times New Roman" w:hAnsi="Times New Roman"/>
          <w:szCs w:val="22"/>
        </w:rPr>
        <w:t xml:space="preserve"> boli poskytnuté vo výške </w:t>
      </w:r>
      <w:r w:rsidR="009572E4">
        <w:rPr>
          <w:rFonts w:ascii="Times New Roman" w:hAnsi="Times New Roman"/>
          <w:szCs w:val="22"/>
        </w:rPr>
        <w:t>35 048 </w:t>
      </w:r>
      <w:r w:rsidRPr="009572E4">
        <w:rPr>
          <w:rFonts w:ascii="Times New Roman" w:hAnsi="Times New Roman"/>
          <w:szCs w:val="22"/>
        </w:rPr>
        <w:t>tis. eur (201</w:t>
      </w:r>
      <w:r w:rsidRPr="009572E4" w:rsidR="009572E4">
        <w:rPr>
          <w:rFonts w:ascii="Times New Roman" w:hAnsi="Times New Roman"/>
          <w:szCs w:val="22"/>
        </w:rPr>
        <w:t>6: 15 570 tis. </w:t>
      </w:r>
      <w:r w:rsidRPr="009572E4">
        <w:rPr>
          <w:rFonts w:ascii="Times New Roman" w:hAnsi="Times New Roman"/>
          <w:szCs w:val="22"/>
        </w:rPr>
        <w:t xml:space="preserve">eur), z toho </w:t>
      </w:r>
      <w:r w:rsidR="00525B93">
        <w:rPr>
          <w:rFonts w:ascii="Times New Roman" w:hAnsi="Times New Roman"/>
          <w:szCs w:val="22"/>
        </w:rPr>
        <w:t>o</w:t>
      </w:r>
      <w:r w:rsidRPr="009572E4" w:rsidR="00525B93">
        <w:rPr>
          <w:rFonts w:ascii="Times New Roman" w:hAnsi="Times New Roman"/>
          <w:i/>
          <w:szCs w:val="22"/>
        </w:rPr>
        <w:t>bčianskym združeniam, nadáciám a neinvestičným fondom</w:t>
      </w:r>
      <w:r w:rsidRPr="009572E4" w:rsidR="00525B93">
        <w:rPr>
          <w:rFonts w:ascii="Times New Roman" w:hAnsi="Times New Roman"/>
          <w:szCs w:val="22"/>
        </w:rPr>
        <w:t xml:space="preserve"> </w:t>
      </w:r>
      <w:r w:rsidR="00525B93">
        <w:rPr>
          <w:rFonts w:ascii="Times New Roman" w:hAnsi="Times New Roman"/>
          <w:szCs w:val="22"/>
        </w:rPr>
        <w:t>27 332 </w:t>
      </w:r>
      <w:r w:rsidRPr="009572E4">
        <w:rPr>
          <w:rFonts w:ascii="Times New Roman" w:hAnsi="Times New Roman"/>
          <w:szCs w:val="22"/>
        </w:rPr>
        <w:t>tis. </w:t>
      </w:r>
      <w:r w:rsidRPr="009572E4" w:rsidR="000B3DD8">
        <w:rPr>
          <w:rFonts w:ascii="Times New Roman" w:hAnsi="Times New Roman"/>
          <w:szCs w:val="22"/>
        </w:rPr>
        <w:t>eur</w:t>
      </w:r>
      <w:r w:rsidRPr="009572E4" w:rsidR="009572E4">
        <w:rPr>
          <w:rFonts w:ascii="Times New Roman" w:hAnsi="Times New Roman"/>
          <w:szCs w:val="22"/>
        </w:rPr>
        <w:t xml:space="preserve"> </w:t>
      </w:r>
      <w:r w:rsidRPr="009572E4">
        <w:rPr>
          <w:rFonts w:ascii="Times New Roman" w:hAnsi="Times New Roman"/>
          <w:szCs w:val="22"/>
        </w:rPr>
        <w:t>(201</w:t>
      </w:r>
      <w:r w:rsidR="00FA4B3A">
        <w:rPr>
          <w:rFonts w:ascii="Times New Roman" w:hAnsi="Times New Roman"/>
          <w:szCs w:val="22"/>
        </w:rPr>
        <w:t>6</w:t>
      </w:r>
      <w:r w:rsidRPr="009572E4">
        <w:rPr>
          <w:rFonts w:ascii="Times New Roman" w:hAnsi="Times New Roman"/>
          <w:szCs w:val="22"/>
        </w:rPr>
        <w:t xml:space="preserve">: </w:t>
      </w:r>
      <w:r w:rsidRPr="009572E4" w:rsidR="00FA4B3A">
        <w:rPr>
          <w:rFonts w:ascii="Times New Roman" w:hAnsi="Times New Roman"/>
          <w:szCs w:val="22"/>
        </w:rPr>
        <w:t>5 120</w:t>
      </w:r>
      <w:r w:rsidRPr="009572E4" w:rsidR="00525B93">
        <w:rPr>
          <w:rFonts w:ascii="Times New Roman" w:hAnsi="Times New Roman"/>
          <w:szCs w:val="22"/>
        </w:rPr>
        <w:t> </w:t>
      </w:r>
      <w:r w:rsidR="00FA4B3A">
        <w:rPr>
          <w:rFonts w:ascii="Times New Roman" w:hAnsi="Times New Roman"/>
          <w:szCs w:val="22"/>
        </w:rPr>
        <w:t xml:space="preserve">tis. eur), </w:t>
      </w:r>
      <w:r w:rsidR="00EE58E9">
        <w:rPr>
          <w:rFonts w:ascii="Times New Roman" w:hAnsi="Times New Roman"/>
          <w:szCs w:val="22"/>
        </w:rPr>
        <w:t xml:space="preserve">pričom </w:t>
      </w:r>
      <w:r w:rsidR="00FA4B3A">
        <w:rPr>
          <w:rFonts w:ascii="Times New Roman" w:hAnsi="Times New Roman"/>
          <w:szCs w:val="22"/>
        </w:rPr>
        <w:t xml:space="preserve">najviac </w:t>
      </w:r>
      <w:r w:rsidR="00EE58E9">
        <w:rPr>
          <w:rFonts w:ascii="Times New Roman" w:hAnsi="Times New Roman"/>
          <w:szCs w:val="22"/>
        </w:rPr>
        <w:t xml:space="preserve">prostriedkov </w:t>
      </w:r>
      <w:r w:rsidR="00FA4B3A">
        <w:rPr>
          <w:rFonts w:ascii="Times New Roman" w:hAnsi="Times New Roman"/>
          <w:szCs w:val="22"/>
        </w:rPr>
        <w:t>poskytlo Ministerstvo školstva, vedy, výskumu a</w:t>
      </w:r>
      <w:r w:rsidR="0074252E">
        <w:rPr>
          <w:rFonts w:ascii="Times New Roman" w:hAnsi="Times New Roman"/>
          <w:szCs w:val="22"/>
        </w:rPr>
        <w:t xml:space="preserve"> </w:t>
      </w:r>
      <w:r w:rsidR="00FA4B3A">
        <w:rPr>
          <w:rFonts w:ascii="Times New Roman" w:hAnsi="Times New Roman"/>
          <w:szCs w:val="22"/>
        </w:rPr>
        <w:t>športu SR (26 </w:t>
      </w:r>
      <w:r w:rsidR="00FA4B3A">
        <w:rPr>
          <w:rFonts w:ascii="Times New Roman" w:hAnsi="Times New Roman"/>
        </w:rPr>
        <w:t>574 tis. eur)</w:t>
      </w:r>
      <w:r w:rsidR="00757F2D">
        <w:rPr>
          <w:rFonts w:ascii="Times New Roman" w:hAnsi="Times New Roman"/>
        </w:rPr>
        <w:t xml:space="preserve"> na </w:t>
      </w:r>
      <w:r w:rsidRPr="00693D5D" w:rsidR="00757F2D">
        <w:rPr>
          <w:rFonts w:ascii="Times New Roman" w:hAnsi="Times New Roman"/>
          <w:szCs w:val="22"/>
        </w:rPr>
        <w:t>rekonštruk</w:t>
      </w:r>
      <w:r w:rsidR="00693D5D">
        <w:rPr>
          <w:rFonts w:ascii="Times New Roman" w:hAnsi="Times New Roman"/>
          <w:szCs w:val="22"/>
        </w:rPr>
        <w:t xml:space="preserve">cie telocviční pri základných a </w:t>
      </w:r>
      <w:r w:rsidRPr="00693D5D" w:rsidR="00757F2D">
        <w:rPr>
          <w:rFonts w:ascii="Times New Roman" w:hAnsi="Times New Roman"/>
          <w:szCs w:val="22"/>
        </w:rPr>
        <w:t>stredných školách</w:t>
      </w:r>
      <w:r w:rsidRPr="00693D5D" w:rsidR="00693D5D">
        <w:rPr>
          <w:rFonts w:ascii="Times New Roman" w:hAnsi="Times New Roman"/>
          <w:szCs w:val="22"/>
        </w:rPr>
        <w:t>, na účasť výprav SR na Zimných olympijských hrách a</w:t>
      </w:r>
      <w:r w:rsidR="00693D5D">
        <w:rPr>
          <w:rFonts w:ascii="Times New Roman" w:hAnsi="Times New Roman"/>
          <w:szCs w:val="22"/>
        </w:rPr>
        <w:t xml:space="preserve"> Zimných paraolympijských hrách</w:t>
      </w:r>
      <w:r w:rsidRPr="00693D5D" w:rsidR="00693D5D">
        <w:rPr>
          <w:rFonts w:ascii="Times New Roman" w:hAnsi="Times New Roman"/>
          <w:szCs w:val="22"/>
        </w:rPr>
        <w:t xml:space="preserve"> 2018 v Pjongčangu, na zabezpečenie organ</w:t>
      </w:r>
      <w:r w:rsidR="00693D5D">
        <w:rPr>
          <w:rFonts w:ascii="Times New Roman" w:hAnsi="Times New Roman"/>
          <w:szCs w:val="22"/>
        </w:rPr>
        <w:t>izovania významných podujatí na</w:t>
      </w:r>
      <w:r w:rsidRPr="00693D5D" w:rsidR="00693D5D">
        <w:rPr>
          <w:rFonts w:ascii="Times New Roman" w:hAnsi="Times New Roman"/>
          <w:szCs w:val="22"/>
        </w:rPr>
        <w:t xml:space="preserve"> Slovensku a pod</w:t>
      </w:r>
      <w:r w:rsidRPr="00693D5D" w:rsidR="00757F2D">
        <w:rPr>
          <w:rFonts w:ascii="Times New Roman" w:hAnsi="Times New Roman"/>
          <w:szCs w:val="22"/>
        </w:rPr>
        <w:t>.</w:t>
      </w:r>
      <w:r w:rsidRPr="00693D5D" w:rsidR="00FA4B3A">
        <w:rPr>
          <w:rFonts w:ascii="Times New Roman" w:hAnsi="Times New Roman"/>
          <w:szCs w:val="22"/>
        </w:rPr>
        <w:t xml:space="preserve"> Cirkvi</w:t>
      </w:r>
      <w:r w:rsidR="00FA4B3A">
        <w:rPr>
          <w:rFonts w:ascii="Times New Roman" w:hAnsi="Times New Roman"/>
          <w:szCs w:val="22"/>
        </w:rPr>
        <w:t xml:space="preserve"> </w:t>
      </w:r>
      <w:r w:rsidRPr="009572E4">
        <w:rPr>
          <w:rFonts w:ascii="Times New Roman" w:hAnsi="Times New Roman"/>
          <w:szCs w:val="22"/>
        </w:rPr>
        <w:t xml:space="preserve">sa poskytlo </w:t>
      </w:r>
      <w:r w:rsidR="00897281">
        <w:rPr>
          <w:rFonts w:ascii="Times New Roman" w:hAnsi="Times New Roman"/>
          <w:szCs w:val="22"/>
        </w:rPr>
        <w:t xml:space="preserve">celkovo </w:t>
      </w:r>
      <w:r w:rsidR="00FA4B3A">
        <w:rPr>
          <w:rFonts w:ascii="Times New Roman" w:hAnsi="Times New Roman"/>
          <w:szCs w:val="22"/>
        </w:rPr>
        <w:t>4 507 tis. </w:t>
      </w:r>
      <w:r w:rsidRPr="009572E4">
        <w:rPr>
          <w:rFonts w:ascii="Times New Roman" w:hAnsi="Times New Roman"/>
          <w:szCs w:val="22"/>
        </w:rPr>
        <w:t>eur</w:t>
      </w:r>
      <w:r w:rsidR="00FA4B3A">
        <w:rPr>
          <w:rFonts w:ascii="Times New Roman" w:hAnsi="Times New Roman"/>
          <w:szCs w:val="22"/>
        </w:rPr>
        <w:t xml:space="preserve"> </w:t>
      </w:r>
      <w:r w:rsidRPr="009572E4" w:rsidR="00FA4B3A">
        <w:rPr>
          <w:rFonts w:ascii="Times New Roman" w:hAnsi="Times New Roman"/>
          <w:szCs w:val="22"/>
        </w:rPr>
        <w:t>(201</w:t>
      </w:r>
      <w:r w:rsidR="00FA4B3A">
        <w:rPr>
          <w:rFonts w:ascii="Times New Roman" w:hAnsi="Times New Roman"/>
          <w:szCs w:val="22"/>
        </w:rPr>
        <w:t>6</w:t>
      </w:r>
      <w:r w:rsidRPr="009572E4" w:rsidR="00FA4B3A">
        <w:rPr>
          <w:rFonts w:ascii="Times New Roman" w:hAnsi="Times New Roman"/>
          <w:szCs w:val="22"/>
        </w:rPr>
        <w:t xml:space="preserve">: </w:t>
      </w:r>
      <w:r w:rsidR="00FA4B3A">
        <w:rPr>
          <w:rFonts w:ascii="Times New Roman" w:hAnsi="Times New Roman"/>
          <w:szCs w:val="22"/>
        </w:rPr>
        <w:t>997 tis. </w:t>
      </w:r>
      <w:r w:rsidRPr="009572E4" w:rsidR="00FA4B3A">
        <w:rPr>
          <w:rFonts w:ascii="Times New Roman" w:hAnsi="Times New Roman"/>
          <w:szCs w:val="22"/>
        </w:rPr>
        <w:t>eur)</w:t>
      </w:r>
      <w:r w:rsidR="00897281">
        <w:rPr>
          <w:rFonts w:ascii="Times New Roman" w:hAnsi="Times New Roman"/>
          <w:szCs w:val="22"/>
        </w:rPr>
        <w:t>, z toho najviac z kapitoly Ministerstva kultúry SR (2 827 tis. eur).</w:t>
      </w:r>
    </w:p>
    <w:p w:rsidR="00A13702" w:rsidP="00A13702">
      <w:pPr>
        <w:bidi w:val="0"/>
        <w:rPr>
          <w:rFonts w:ascii="Times New Roman" w:hAnsi="Times New Roman"/>
          <w:szCs w:val="22"/>
        </w:rPr>
      </w:pPr>
      <w:r w:rsidRPr="00B1460F" w:rsidR="00A63BF5">
        <w:rPr>
          <w:rFonts w:ascii="Times New Roman" w:hAnsi="Times New Roman"/>
          <w:b/>
          <w:i/>
          <w:color w:val="000000"/>
          <w:szCs w:val="22"/>
        </w:rPr>
        <w:t>Transfery do zahraničia</w:t>
      </w:r>
      <w:r w:rsidRPr="00B1460F" w:rsidR="00A63BF5">
        <w:rPr>
          <w:rFonts w:ascii="Times New Roman" w:hAnsi="Times New Roman"/>
          <w:color w:val="000000"/>
          <w:szCs w:val="22"/>
        </w:rPr>
        <w:t xml:space="preserve"> tvorili</w:t>
      </w:r>
      <w:r w:rsidRPr="00B1460F" w:rsidR="00B1460F">
        <w:rPr>
          <w:rFonts w:ascii="Times New Roman" w:hAnsi="Times New Roman"/>
          <w:color w:val="000000"/>
          <w:szCs w:val="22"/>
        </w:rPr>
        <w:t xml:space="preserve"> 751</w:t>
      </w:r>
      <w:r w:rsidRPr="00B1460F" w:rsidR="00A71433">
        <w:rPr>
          <w:rFonts w:ascii="Times New Roman" w:hAnsi="Times New Roman"/>
          <w:color w:val="000000"/>
          <w:szCs w:val="22"/>
        </w:rPr>
        <w:t xml:space="preserve"> </w:t>
      </w:r>
      <w:r w:rsidRPr="00B1460F" w:rsidR="000133E0">
        <w:rPr>
          <w:rFonts w:ascii="Times New Roman" w:hAnsi="Times New Roman"/>
          <w:color w:val="000000"/>
          <w:szCs w:val="22"/>
        </w:rPr>
        <w:t>tis. eur (2015</w:t>
      </w:r>
      <w:r w:rsidRPr="00B1460F" w:rsidR="00A63BF5">
        <w:rPr>
          <w:rFonts w:ascii="Times New Roman" w:hAnsi="Times New Roman"/>
          <w:color w:val="000000"/>
          <w:szCs w:val="22"/>
        </w:rPr>
        <w:t xml:space="preserve">: </w:t>
      </w:r>
      <w:r w:rsidRPr="00B1460F" w:rsidR="00B1460F">
        <w:rPr>
          <w:rFonts w:ascii="Times New Roman" w:hAnsi="Times New Roman"/>
          <w:color w:val="000000"/>
          <w:szCs w:val="22"/>
        </w:rPr>
        <w:t>1 558</w:t>
      </w:r>
      <w:r w:rsidRPr="00B1460F" w:rsidR="00A71433">
        <w:rPr>
          <w:rFonts w:ascii="Times New Roman" w:hAnsi="Times New Roman"/>
          <w:color w:val="000000"/>
          <w:szCs w:val="22"/>
        </w:rPr>
        <w:t xml:space="preserve"> </w:t>
      </w:r>
      <w:r w:rsidRPr="00B1460F" w:rsidR="00A63BF5">
        <w:rPr>
          <w:rFonts w:ascii="Times New Roman" w:hAnsi="Times New Roman"/>
          <w:color w:val="000000"/>
          <w:szCs w:val="22"/>
        </w:rPr>
        <w:t xml:space="preserve">tis. eur), </w:t>
      </w:r>
      <w:r w:rsidRPr="00B1460F" w:rsidR="00B1460F">
        <w:rPr>
          <w:rFonts w:ascii="Times New Roman" w:hAnsi="Times New Roman"/>
          <w:color w:val="000000"/>
          <w:szCs w:val="22"/>
        </w:rPr>
        <w:t>celú</w:t>
      </w:r>
      <w:r w:rsidRPr="00B1460F" w:rsidR="00A63BF5">
        <w:rPr>
          <w:rFonts w:ascii="Times New Roman" w:hAnsi="Times New Roman"/>
          <w:color w:val="000000"/>
          <w:szCs w:val="22"/>
        </w:rPr>
        <w:t xml:space="preserve"> </w:t>
      </w:r>
      <w:r w:rsidR="00B1460F">
        <w:rPr>
          <w:rFonts w:ascii="Times New Roman" w:hAnsi="Times New Roman"/>
          <w:color w:val="000000"/>
          <w:szCs w:val="22"/>
        </w:rPr>
        <w:t xml:space="preserve">sumu </w:t>
      </w:r>
      <w:r w:rsidRPr="00B1460F" w:rsidR="00A63BF5">
        <w:rPr>
          <w:rFonts w:ascii="Times New Roman" w:hAnsi="Times New Roman"/>
          <w:color w:val="000000"/>
          <w:szCs w:val="22"/>
        </w:rPr>
        <w:t>predstavoval príspevok M</w:t>
      </w:r>
      <w:r w:rsidRPr="00B1460F">
        <w:rPr>
          <w:rFonts w:ascii="Times New Roman" w:hAnsi="Times New Roman"/>
          <w:color w:val="000000"/>
          <w:szCs w:val="22"/>
        </w:rPr>
        <w:t xml:space="preserve">inisterstva zahraničných vecí a </w:t>
      </w:r>
      <w:r w:rsidRPr="00B1460F" w:rsidR="00A63BF5">
        <w:rPr>
          <w:rFonts w:ascii="Times New Roman" w:hAnsi="Times New Roman"/>
          <w:color w:val="000000"/>
          <w:szCs w:val="22"/>
        </w:rPr>
        <w:t xml:space="preserve">európskych záležitostí SR </w:t>
      </w:r>
      <w:r w:rsidRPr="00B1460F">
        <w:rPr>
          <w:rFonts w:ascii="Times New Roman" w:hAnsi="Times New Roman"/>
          <w:szCs w:val="22"/>
        </w:rPr>
        <w:t>do medzinárodnej orga</w:t>
      </w:r>
      <w:r w:rsidRPr="00B1460F" w:rsidR="00806CB0">
        <w:rPr>
          <w:rFonts w:ascii="Times New Roman" w:hAnsi="Times New Roman"/>
          <w:szCs w:val="22"/>
        </w:rPr>
        <w:t xml:space="preserve">nizácie na stavbu </w:t>
      </w:r>
      <w:r w:rsidR="00C03AF0">
        <w:rPr>
          <w:rFonts w:ascii="Times New Roman" w:hAnsi="Times New Roman"/>
          <w:szCs w:val="22"/>
        </w:rPr>
        <w:t xml:space="preserve">novej </w:t>
      </w:r>
      <w:r w:rsidRPr="00B1460F" w:rsidR="00806CB0">
        <w:rPr>
          <w:rFonts w:ascii="Times New Roman" w:hAnsi="Times New Roman"/>
          <w:szCs w:val="22"/>
        </w:rPr>
        <w:t>budovy NATO v Bruseli.</w:t>
      </w:r>
    </w:p>
    <w:p w:rsidR="00F17E8A" w:rsidRPr="00B1460F" w:rsidP="00A13702">
      <w:pPr>
        <w:bidi w:val="0"/>
        <w:rPr>
          <w:rFonts w:ascii="Times New Roman" w:hAnsi="Times New Roman"/>
          <w:szCs w:val="22"/>
        </w:rPr>
      </w:pPr>
    </w:p>
    <w:p w:rsidR="00693173" w:rsidRPr="00625B62" w:rsidP="003E2C97">
      <w:pPr>
        <w:pStyle w:val="Heading3"/>
        <w:numPr>
          <w:ilvl w:val="0"/>
          <w:numId w:val="0"/>
        </w:numPr>
        <w:bidi w:val="0"/>
        <w:ind w:left="709" w:firstLine="0"/>
        <w:rPr>
          <w:rFonts w:hint="default"/>
        </w:rPr>
      </w:pPr>
      <w:bookmarkStart w:id="56" w:name="_Toc479313242"/>
      <w:bookmarkStart w:id="57" w:name="_Toc512599675"/>
      <w:r w:rsidR="003E2C97">
        <w:t xml:space="preserve">3.2.2  </w:t>
      </w:r>
      <w:r w:rsidRPr="00625B62">
        <w:rPr>
          <w:rFonts w:hint="default"/>
        </w:rPr>
        <w:t>Vý</w:t>
      </w:r>
      <w:r w:rsidRPr="00625B62">
        <w:rPr>
          <w:rFonts w:hint="default"/>
        </w:rPr>
        <w:t>davky podľ</w:t>
      </w:r>
      <w:r w:rsidRPr="00625B62">
        <w:rPr>
          <w:rFonts w:hint="default"/>
        </w:rPr>
        <w:t>a funkč</w:t>
      </w:r>
      <w:r w:rsidRPr="00625B62">
        <w:rPr>
          <w:rFonts w:hint="default"/>
        </w:rPr>
        <w:t>nej klasifiká</w:t>
      </w:r>
      <w:r w:rsidRPr="00625B62">
        <w:rPr>
          <w:rFonts w:hint="default"/>
        </w:rPr>
        <w:t>cie</w:t>
      </w:r>
      <w:bookmarkEnd w:id="56"/>
      <w:bookmarkEnd w:id="57"/>
    </w:p>
    <w:p w:rsidR="00632751" w:rsidRPr="00625B62" w:rsidP="00632751">
      <w:pPr>
        <w:bidi w:val="0"/>
        <w:rPr>
          <w:rFonts w:ascii="Times New Roman" w:hAnsi="Times New Roman"/>
          <w:szCs w:val="22"/>
        </w:rPr>
      </w:pPr>
      <w:r w:rsidRPr="00625B62">
        <w:rPr>
          <w:rFonts w:ascii="Times New Roman" w:hAnsi="Times New Roman"/>
          <w:szCs w:val="22"/>
        </w:rPr>
        <w:t xml:space="preserve">Výdavky štátneho rozpočtu podľa funkčnej klasifikácie sa triedia v súlade s vyhláškou Štatistického úradu SR č. 257/2014 Z. z. (tzv. COFOG). Táto klasifikácia predstavuje rozdelenie výdavkov podľa funkcie, pričom funkciou sa rozumie určitá oblasť činností, </w:t>
      </w:r>
      <w:r w:rsidRPr="00625B62" w:rsidR="00C42756">
        <w:rPr>
          <w:rFonts w:ascii="Times New Roman" w:hAnsi="Times New Roman"/>
          <w:szCs w:val="22"/>
        </w:rPr>
        <w:t xml:space="preserve">ktorú daná organizácia financuje </w:t>
      </w:r>
      <w:r w:rsidRPr="00625B62">
        <w:rPr>
          <w:rFonts w:ascii="Times New Roman" w:hAnsi="Times New Roman"/>
          <w:szCs w:val="22"/>
        </w:rPr>
        <w:t xml:space="preserve">napr. oblasť školstva, zdravotníctva a podobne. Výdavky sa triedia do tej funkcie, s ktorou súvisia, bez ohľadu na </w:t>
      </w:r>
      <w:r w:rsidRPr="00625B62" w:rsidR="00C42756">
        <w:rPr>
          <w:rFonts w:ascii="Times New Roman" w:hAnsi="Times New Roman"/>
          <w:szCs w:val="22"/>
        </w:rPr>
        <w:t>hlavný predmet činnosti samotnej organizácie</w:t>
      </w:r>
      <w:r w:rsidRPr="00625B62">
        <w:rPr>
          <w:rFonts w:ascii="Times New Roman" w:hAnsi="Times New Roman"/>
          <w:szCs w:val="22"/>
        </w:rPr>
        <w:t xml:space="preserve">. </w:t>
      </w:r>
    </w:p>
    <w:p w:rsidR="00EB7A00" w:rsidP="00632751">
      <w:pPr>
        <w:bidi w:val="0"/>
        <w:rPr>
          <w:rFonts w:ascii="Times New Roman" w:hAnsi="Times New Roman"/>
          <w:szCs w:val="22"/>
        </w:rPr>
      </w:pPr>
      <w:r w:rsidRPr="00625B62" w:rsidR="00632751">
        <w:rPr>
          <w:rFonts w:ascii="Times New Roman" w:hAnsi="Times New Roman"/>
          <w:szCs w:val="22"/>
        </w:rPr>
        <w:t xml:space="preserve">Celkové výdavky podľa funkčnej klasifikácie sú zhodné s výdavkami podľa ekonomickej klasifikácie, len sú opisované z pohľadu </w:t>
      </w:r>
      <w:r w:rsidRPr="00625B62" w:rsidR="00C42756">
        <w:rPr>
          <w:rFonts w:ascii="Times New Roman" w:hAnsi="Times New Roman"/>
          <w:szCs w:val="22"/>
        </w:rPr>
        <w:t>činnosti</w:t>
      </w:r>
      <w:r w:rsidRPr="00625B62" w:rsidR="00632751">
        <w:rPr>
          <w:rFonts w:ascii="Times New Roman" w:hAnsi="Times New Roman"/>
          <w:szCs w:val="22"/>
        </w:rPr>
        <w:t xml:space="preserve">, ktoré </w:t>
      </w:r>
      <w:r w:rsidRPr="00625B62" w:rsidR="00C42756">
        <w:rPr>
          <w:rFonts w:ascii="Times New Roman" w:hAnsi="Times New Roman"/>
          <w:szCs w:val="22"/>
        </w:rPr>
        <w:t>financujú</w:t>
      </w:r>
      <w:r w:rsidRPr="00625B62" w:rsidR="00632751">
        <w:rPr>
          <w:rFonts w:ascii="Times New Roman" w:hAnsi="Times New Roman"/>
          <w:szCs w:val="22"/>
        </w:rPr>
        <w:t xml:space="preserve"> rozpočtové organizácie štátnej správy. V prípade metodicky správneho uplatňovania tejto klasifikácie sú zdôvodnenia </w:t>
      </w:r>
      <w:r w:rsidRPr="00625B62" w:rsidR="00C42756">
        <w:rPr>
          <w:rFonts w:ascii="Times New Roman" w:hAnsi="Times New Roman"/>
          <w:szCs w:val="22"/>
        </w:rPr>
        <w:t xml:space="preserve">plnenia alebo </w:t>
      </w:r>
      <w:r w:rsidRPr="00625B62" w:rsidR="00632751">
        <w:rPr>
          <w:rFonts w:ascii="Times New Roman" w:hAnsi="Times New Roman"/>
          <w:szCs w:val="22"/>
        </w:rPr>
        <w:t>prekročenia schváleného rozpočtu totožné</w:t>
      </w:r>
      <w:r w:rsidR="00E138CB">
        <w:rPr>
          <w:rFonts w:ascii="Times New Roman" w:hAnsi="Times New Roman"/>
          <w:szCs w:val="22"/>
        </w:rPr>
        <w:t xml:space="preserve"> s tými, ktoré sú uvedené</w:t>
      </w:r>
      <w:r w:rsidRPr="00625B62" w:rsidR="00632751">
        <w:rPr>
          <w:rFonts w:ascii="Times New Roman" w:hAnsi="Times New Roman"/>
          <w:szCs w:val="22"/>
        </w:rPr>
        <w:t xml:space="preserve"> </w:t>
      </w:r>
      <w:r w:rsidR="00E138CB">
        <w:rPr>
          <w:rFonts w:ascii="Times New Roman" w:hAnsi="Times New Roman"/>
          <w:szCs w:val="22"/>
        </w:rPr>
        <w:t>v</w:t>
      </w:r>
      <w:r w:rsidRPr="00625B62" w:rsidR="00632751">
        <w:rPr>
          <w:rFonts w:ascii="Times New Roman" w:hAnsi="Times New Roman"/>
          <w:szCs w:val="22"/>
        </w:rPr>
        <w:t> kapitol</w:t>
      </w:r>
      <w:r w:rsidR="00E138CB">
        <w:rPr>
          <w:rFonts w:ascii="Times New Roman" w:hAnsi="Times New Roman"/>
          <w:szCs w:val="22"/>
        </w:rPr>
        <w:t>e</w:t>
      </w:r>
      <w:r w:rsidRPr="00625B62" w:rsidR="00632751">
        <w:rPr>
          <w:rFonts w:ascii="Times New Roman" w:hAnsi="Times New Roman"/>
          <w:szCs w:val="22"/>
        </w:rPr>
        <w:t xml:space="preserve"> 3.2.1.</w:t>
      </w:r>
    </w:p>
    <w:p w:rsidR="00EB7A00" w:rsidP="00EB7A00">
      <w:pPr>
        <w:bidi w:val="0"/>
        <w:rPr>
          <w:rFonts w:ascii="Times New Roman" w:hAnsi="Times New Roman"/>
        </w:rPr>
      </w:pPr>
      <w:r>
        <w:rPr>
          <w:rFonts w:ascii="Times New Roman" w:hAnsi="Times New Roman"/>
        </w:rPr>
        <w:br w:type="page"/>
      </w:r>
    </w:p>
    <w:tbl>
      <w:tblPr>
        <w:tblStyle w:val="TableNormal"/>
        <w:tblW w:w="8857" w:type="dxa"/>
        <w:tblInd w:w="70" w:type="dxa"/>
        <w:tblLayout w:type="fixed"/>
        <w:tblCellMar>
          <w:left w:w="70" w:type="dxa"/>
          <w:right w:w="70" w:type="dxa"/>
        </w:tblCellMar>
        <w:tblLook w:val="04A0"/>
      </w:tblPr>
      <w:tblGrid>
        <w:gridCol w:w="2323"/>
        <w:gridCol w:w="1017"/>
        <w:gridCol w:w="1161"/>
        <w:gridCol w:w="1161"/>
        <w:gridCol w:w="1161"/>
        <w:gridCol w:w="1016"/>
        <w:gridCol w:w="1018"/>
      </w:tblGrid>
      <w:tr>
        <w:tblPrEx>
          <w:tblW w:w="8857" w:type="dxa"/>
          <w:tblInd w:w="70" w:type="dxa"/>
          <w:tblLayout w:type="fixed"/>
          <w:tblCellMar>
            <w:left w:w="70" w:type="dxa"/>
            <w:right w:w="70" w:type="dxa"/>
          </w:tblCellMar>
          <w:tblLook w:val="04A0"/>
        </w:tblPrEx>
        <w:trPr>
          <w:trHeight w:val="463"/>
        </w:trPr>
        <w:tc>
          <w:tcPr>
            <w:tcW w:w="8857" w:type="dxa"/>
            <w:gridSpan w:val="7"/>
            <w:tcBorders>
              <w:top w:val="nil"/>
              <w:left w:val="single" w:sz="8" w:space="0" w:color="auto"/>
              <w:bottom w:val="nil"/>
              <w:right w:val="nil"/>
            </w:tcBorders>
            <w:shd w:val="clear" w:color="000000" w:fill="000000"/>
            <w:textDirection w:val="lrTb"/>
            <w:vAlign w:val="center"/>
            <w:hideMark/>
          </w:tcPr>
          <w:p w:rsidR="0031386F" w:rsidRPr="0031386F" w:rsidP="0031386F">
            <w:pPr>
              <w:bidi w:val="0"/>
              <w:spacing w:after="0" w:line="240" w:lineRule="auto"/>
              <w:jc w:val="left"/>
              <w:rPr>
                <w:rFonts w:ascii="Times New Roman" w:hAnsi="Times New Roman"/>
                <w:b/>
                <w:bCs/>
                <w:color w:val="FFFFFF"/>
                <w:sz w:val="18"/>
                <w:szCs w:val="18"/>
                <w:lang w:eastAsia="sk-SK"/>
              </w:rPr>
            </w:pPr>
            <w:r w:rsidRPr="0031386F">
              <w:rPr>
                <w:rFonts w:ascii="Times New Roman" w:hAnsi="Times New Roman"/>
                <w:b/>
                <w:bCs/>
                <w:color w:val="FFFFFF"/>
                <w:sz w:val="18"/>
                <w:szCs w:val="18"/>
                <w:lang w:eastAsia="sk-SK"/>
              </w:rPr>
              <w:t>Výdavky štátneho rozpočtu podľa funkčnej klasifikácie                                                                             v tis. eur</w:t>
            </w:r>
          </w:p>
        </w:tc>
      </w:tr>
      <w:tr>
        <w:tblPrEx>
          <w:tblW w:w="8857" w:type="dxa"/>
          <w:tblInd w:w="70" w:type="dxa"/>
          <w:tblLayout w:type="fixed"/>
          <w:tblCellMar>
            <w:left w:w="70" w:type="dxa"/>
            <w:right w:w="70" w:type="dxa"/>
          </w:tblCellMar>
          <w:tblLook w:val="04A0"/>
        </w:tblPrEx>
        <w:trPr>
          <w:trHeight w:val="321"/>
        </w:trPr>
        <w:tc>
          <w:tcPr>
            <w:tcW w:w="2323"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p>
        </w:tc>
        <w:tc>
          <w:tcPr>
            <w:tcW w:w="2178" w:type="dxa"/>
            <w:gridSpan w:val="2"/>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Skutočnosť</w:t>
            </w:r>
          </w:p>
        </w:tc>
        <w:tc>
          <w:tcPr>
            <w:tcW w:w="1161"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Rozpočet</w:t>
            </w:r>
          </w:p>
        </w:tc>
        <w:tc>
          <w:tcPr>
            <w:tcW w:w="1161"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Skutočnosť</w:t>
            </w:r>
          </w:p>
        </w:tc>
        <w:tc>
          <w:tcPr>
            <w:tcW w:w="2032" w:type="dxa"/>
            <w:gridSpan w:val="2"/>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Rozdiel</w:t>
            </w:r>
          </w:p>
        </w:tc>
      </w:tr>
      <w:tr>
        <w:tblPrEx>
          <w:tblW w:w="8857" w:type="dxa"/>
          <w:tblInd w:w="70" w:type="dxa"/>
          <w:tblLayout w:type="fixed"/>
          <w:tblCellMar>
            <w:left w:w="70" w:type="dxa"/>
            <w:right w:w="70" w:type="dxa"/>
          </w:tblCellMar>
          <w:tblLook w:val="04A0"/>
        </w:tblPrEx>
        <w:trPr>
          <w:trHeight w:val="321"/>
        </w:trPr>
        <w:tc>
          <w:tcPr>
            <w:tcW w:w="2323"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p>
        </w:tc>
        <w:tc>
          <w:tcPr>
            <w:tcW w:w="1017"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2015</w:t>
            </w:r>
          </w:p>
        </w:tc>
        <w:tc>
          <w:tcPr>
            <w:tcW w:w="1161"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2016</w:t>
            </w:r>
          </w:p>
        </w:tc>
        <w:tc>
          <w:tcPr>
            <w:tcW w:w="1161"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2017</w:t>
            </w:r>
          </w:p>
        </w:tc>
        <w:tc>
          <w:tcPr>
            <w:tcW w:w="1161"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2017</w:t>
            </w:r>
          </w:p>
        </w:tc>
        <w:tc>
          <w:tcPr>
            <w:tcW w:w="1016"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v tis. eur</w:t>
            </w:r>
          </w:p>
        </w:tc>
        <w:tc>
          <w:tcPr>
            <w:tcW w:w="1016" w:type="dxa"/>
            <w:tcBorders>
              <w:top w:val="nil"/>
              <w:left w:val="nil"/>
              <w:bottom w:val="nil"/>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v %</w:t>
            </w:r>
          </w:p>
        </w:tc>
      </w:tr>
      <w:tr>
        <w:tblPrEx>
          <w:tblW w:w="8857" w:type="dxa"/>
          <w:tblInd w:w="70" w:type="dxa"/>
          <w:tblLayout w:type="fixed"/>
          <w:tblCellMar>
            <w:left w:w="70" w:type="dxa"/>
            <w:right w:w="70" w:type="dxa"/>
          </w:tblCellMar>
          <w:tblLook w:val="04A0"/>
        </w:tblPrEx>
        <w:trPr>
          <w:trHeight w:val="321"/>
        </w:trPr>
        <w:tc>
          <w:tcPr>
            <w:tcW w:w="2323"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p>
        </w:tc>
        <w:tc>
          <w:tcPr>
            <w:tcW w:w="1017"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1</w:t>
            </w:r>
          </w:p>
        </w:tc>
        <w:tc>
          <w:tcPr>
            <w:tcW w:w="1161"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2</w:t>
            </w:r>
          </w:p>
        </w:tc>
        <w:tc>
          <w:tcPr>
            <w:tcW w:w="1161"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3</w:t>
            </w:r>
          </w:p>
        </w:tc>
        <w:tc>
          <w:tcPr>
            <w:tcW w:w="1161"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4</w:t>
            </w:r>
          </w:p>
        </w:tc>
        <w:tc>
          <w:tcPr>
            <w:tcW w:w="1016"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5=4-3</w:t>
            </w:r>
          </w:p>
        </w:tc>
        <w:tc>
          <w:tcPr>
            <w:tcW w:w="1016" w:type="dxa"/>
            <w:tcBorders>
              <w:top w:val="nil"/>
              <w:left w:val="nil"/>
              <w:bottom w:val="single" w:sz="8" w:space="0" w:color="auto"/>
              <w:right w:val="nil"/>
            </w:tcBorders>
            <w:shd w:val="clear" w:color="000000" w:fill="BFBFBF"/>
            <w:textDirection w:val="lrTb"/>
            <w:vAlign w:val="center"/>
            <w:hideMark/>
          </w:tcPr>
          <w:p w:rsidR="0031386F" w:rsidRPr="00E25E8F" w:rsidP="004117F4">
            <w:pPr>
              <w:bidi w:val="0"/>
              <w:spacing w:after="0" w:line="240" w:lineRule="auto"/>
              <w:jc w:val="center"/>
              <w:rPr>
                <w:rFonts w:ascii="Times New Roman" w:hAnsi="Times New Roman"/>
                <w:b/>
                <w:color w:val="000000"/>
                <w:sz w:val="18"/>
                <w:szCs w:val="18"/>
                <w:lang w:eastAsia="sk-SK"/>
              </w:rPr>
            </w:pPr>
            <w:r w:rsidRPr="00E25E8F">
              <w:rPr>
                <w:rFonts w:ascii="Times New Roman" w:hAnsi="Times New Roman"/>
                <w:b/>
                <w:color w:val="000000"/>
                <w:sz w:val="18"/>
                <w:szCs w:val="18"/>
                <w:lang w:eastAsia="sk-SK"/>
              </w:rPr>
              <w:t>6=4-3</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rPr>
                <w:rFonts w:ascii="Times New Roman" w:hAnsi="Times New Roman"/>
                <w:color w:val="000000"/>
                <w:sz w:val="18"/>
                <w:szCs w:val="18"/>
                <w:lang w:eastAsia="sk-SK"/>
              </w:rPr>
            </w:pPr>
            <w:r w:rsidRPr="0031386F">
              <w:rPr>
                <w:rFonts w:ascii="Times New Roman" w:hAnsi="Times New Roman"/>
                <w:color w:val="000000"/>
                <w:sz w:val="18"/>
                <w:szCs w:val="18"/>
                <w:lang w:eastAsia="sk-SK"/>
              </w:rPr>
              <w:t>Všeobecné verejné služby</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3 611 678</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3 107 621</w:t>
            </w:r>
          </w:p>
        </w:tc>
        <w:tc>
          <w:tcPr>
            <w:tcW w:w="1161" w:type="dxa"/>
            <w:tcBorders>
              <w:top w:val="nil"/>
              <w:left w:val="nil"/>
              <w:bottom w:val="nil"/>
              <w:right w:val="nil"/>
            </w:tcBorders>
            <w:shd w:val="clear" w:color="000000" w:fill="FFFFFF"/>
            <w:noWrap/>
            <w:textDirection w:val="lrTb"/>
            <w:vAlign w:val="center"/>
            <w:hideMark/>
          </w:tcPr>
          <w:p w:rsidR="00D95B42" w:rsidP="00D95B42">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3 820 374</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3 065 266</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-755 108</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-19,77</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Obrana</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757 132</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800 328</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890 552</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835 442</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-55 110</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-6,19</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Verejný poriadok a bezpečnosť</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1 773 727</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1 801 271</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1 685 793</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1 743 624</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57 831</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3,43</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Ekonomická oblasť</w:t>
            </w:r>
          </w:p>
        </w:tc>
        <w:tc>
          <w:tcPr>
            <w:tcW w:w="1017" w:type="dxa"/>
            <w:tcBorders>
              <w:top w:val="nil"/>
              <w:left w:val="nil"/>
              <w:bottom w:val="nil"/>
              <w:right w:val="nil"/>
            </w:tcBorders>
            <w:noWrap/>
            <w:textDirection w:val="lrTb"/>
            <w:vAlign w:val="center"/>
            <w:hideMark/>
          </w:tcPr>
          <w:p w:rsidR="00D95B42" w:rsidRPr="0031386F" w:rsidP="00545517">
            <w:pPr>
              <w:bidi w:val="0"/>
              <w:spacing w:after="0" w:line="240" w:lineRule="auto"/>
              <w:rPr>
                <w:rFonts w:ascii="Times New Roman" w:hAnsi="Times New Roman"/>
                <w:color w:val="000000"/>
                <w:sz w:val="18"/>
                <w:szCs w:val="18"/>
                <w:lang w:eastAsia="sk-SK"/>
              </w:rPr>
            </w:pPr>
            <w:r w:rsidRPr="0031386F">
              <w:rPr>
                <w:rFonts w:ascii="Times New Roman" w:hAnsi="Times New Roman"/>
                <w:color w:val="000000"/>
                <w:sz w:val="18"/>
                <w:szCs w:val="18"/>
                <w:lang w:eastAsia="sk-SK"/>
              </w:rPr>
              <w:t>4 889 969</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2 791 762</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3 826 976</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2 815 990</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-1 010 986</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-26,42</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Ochrana životného prostredia</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621 309</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322 540</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485 596</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276 449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-209 147</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-43,07</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Bývanie a občianska vybavenosť</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173 317</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185 914</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136 108</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126 359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-9 749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-7,16</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Zdravotníctvo</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127 082</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134 124</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167 809</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119 451</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-48 358</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-28,82</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Rekreácia, kultúra a náboženstvo</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336 886</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332 321</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362 542</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383 921</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21 379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5,90</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nil"/>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Vzdelávanie</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2 082 010</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1 995 694</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2 212 553</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2 085 399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-127 154</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-5,75</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single" w:sz="8" w:space="0" w:color="auto"/>
              <w:right w:val="nil"/>
            </w:tcBorders>
            <w:textDirection w:val="lrTb"/>
            <w:vAlign w:val="center"/>
            <w:hideMark/>
          </w:tcPr>
          <w:p w:rsidR="00D95B42" w:rsidRPr="0031386F" w:rsidP="00D95B42">
            <w:pPr>
              <w:bidi w:val="0"/>
              <w:spacing w:after="0" w:line="240" w:lineRule="auto"/>
              <w:jc w:val="left"/>
              <w:rPr>
                <w:rFonts w:ascii="Times New Roman" w:hAnsi="Times New Roman"/>
                <w:color w:val="000000"/>
                <w:sz w:val="18"/>
                <w:szCs w:val="18"/>
                <w:lang w:eastAsia="sk-SK"/>
              </w:rPr>
            </w:pPr>
            <w:r w:rsidRPr="0031386F">
              <w:rPr>
                <w:rFonts w:ascii="Times New Roman" w:hAnsi="Times New Roman"/>
                <w:color w:val="000000"/>
                <w:sz w:val="18"/>
                <w:szCs w:val="18"/>
                <w:lang w:eastAsia="sk-SK"/>
              </w:rPr>
              <w:t>Sociálne zabezpečenie</w:t>
            </w:r>
          </w:p>
        </w:tc>
        <w:tc>
          <w:tcPr>
            <w:tcW w:w="1017"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3 793 281</w:t>
            </w:r>
          </w:p>
        </w:tc>
        <w:tc>
          <w:tcPr>
            <w:tcW w:w="1161" w:type="dxa"/>
            <w:tcBorders>
              <w:top w:val="nil"/>
              <w:left w:val="nil"/>
              <w:bottom w:val="nil"/>
              <w:right w:val="nil"/>
            </w:tcBorders>
            <w:noWrap/>
            <w:textDirection w:val="lrTb"/>
            <w:vAlign w:val="center"/>
            <w:hideMark/>
          </w:tcPr>
          <w:p w:rsidR="00D95B42" w:rsidRPr="0031386F" w:rsidP="00D95B42">
            <w:pPr>
              <w:bidi w:val="0"/>
              <w:spacing w:after="0" w:line="240" w:lineRule="auto"/>
              <w:jc w:val="right"/>
              <w:rPr>
                <w:rFonts w:ascii="Times New Roman" w:hAnsi="Times New Roman"/>
                <w:color w:val="000000"/>
                <w:sz w:val="18"/>
                <w:szCs w:val="18"/>
                <w:lang w:eastAsia="sk-SK"/>
              </w:rPr>
            </w:pPr>
            <w:r w:rsidRPr="0031386F">
              <w:rPr>
                <w:rFonts w:ascii="Times New Roman" w:hAnsi="Times New Roman"/>
                <w:color w:val="000000"/>
                <w:sz w:val="18"/>
                <w:szCs w:val="18"/>
                <w:lang w:eastAsia="sk-SK"/>
              </w:rPr>
              <w:t>3 784 597</w:t>
            </w:r>
          </w:p>
        </w:tc>
        <w:tc>
          <w:tcPr>
            <w:tcW w:w="1161" w:type="dxa"/>
            <w:tcBorders>
              <w:top w:val="nil"/>
              <w:left w:val="nil"/>
              <w:bottom w:val="nil"/>
              <w:right w:val="nil"/>
            </w:tcBorders>
            <w:shd w:val="clear" w:color="000000" w:fill="FFFFF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3 795 063</w:t>
            </w:r>
          </w:p>
        </w:tc>
        <w:tc>
          <w:tcPr>
            <w:tcW w:w="1161" w:type="dxa"/>
            <w:tcBorders>
              <w:top w:val="nil"/>
              <w:left w:val="nil"/>
              <w:bottom w:val="nil"/>
              <w:right w:val="nil"/>
            </w:tcBorders>
            <w:shd w:val="clear" w:color="auto" w:fill="BFBFBF"/>
            <w:noWrap/>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3 782 359</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-12 704</w:t>
            </w:r>
          </w:p>
        </w:tc>
        <w:tc>
          <w:tcPr>
            <w:tcW w:w="1016" w:type="dxa"/>
            <w:tcBorders>
              <w:top w:val="nil"/>
              <w:left w:val="nil"/>
              <w:bottom w:val="nil"/>
              <w:right w:val="nil"/>
            </w:tcBorders>
            <w:shd w:val="clear" w:color="000000" w:fill="FFFFFF"/>
            <w:textDirection w:val="lrTb"/>
            <w:vAlign w:val="center"/>
            <w:hideMark/>
          </w:tcPr>
          <w:p w:rsidR="00D95B42" w:rsidP="00197B16">
            <w:pPr>
              <w:bidi w:val="0"/>
              <w:spacing w:after="0" w:line="240" w:lineRule="auto"/>
              <w:jc w:val="right"/>
              <w:rPr>
                <w:rFonts w:ascii="Times New Roman" w:hAnsi="Times New Roman"/>
                <w:color w:val="000000"/>
                <w:sz w:val="18"/>
                <w:szCs w:val="18"/>
                <w:lang w:eastAsia="sk-SK"/>
              </w:rPr>
            </w:pPr>
            <w:r>
              <w:rPr>
                <w:rFonts w:ascii="Times New Roman" w:hAnsi="Times New Roman"/>
                <w:color w:val="000000"/>
                <w:sz w:val="18"/>
                <w:szCs w:val="18"/>
                <w:lang w:eastAsia="sk-SK"/>
              </w:rPr>
              <w:t>-0,33</w:t>
            </w:r>
          </w:p>
        </w:tc>
      </w:tr>
      <w:tr>
        <w:tblPrEx>
          <w:tblW w:w="8857" w:type="dxa"/>
          <w:tblInd w:w="70" w:type="dxa"/>
          <w:tblLayout w:type="fixed"/>
          <w:tblCellMar>
            <w:left w:w="70" w:type="dxa"/>
            <w:right w:w="70" w:type="dxa"/>
          </w:tblCellMar>
          <w:tblLook w:val="04A0"/>
        </w:tblPrEx>
        <w:trPr>
          <w:trHeight w:val="308"/>
        </w:trPr>
        <w:tc>
          <w:tcPr>
            <w:tcW w:w="2323" w:type="dxa"/>
            <w:tcBorders>
              <w:top w:val="nil"/>
              <w:left w:val="nil"/>
              <w:bottom w:val="single" w:sz="8" w:space="0" w:color="auto"/>
              <w:right w:val="nil"/>
            </w:tcBorders>
            <w:shd w:val="clear" w:color="000000" w:fill="FFFFFF"/>
            <w:noWrap/>
            <w:textDirection w:val="lrTb"/>
            <w:vAlign w:val="center"/>
            <w:hideMark/>
          </w:tcPr>
          <w:p w:rsidR="00D95B42" w:rsidRPr="0031386F" w:rsidP="00D95B42">
            <w:pPr>
              <w:bidi w:val="0"/>
              <w:spacing w:after="0" w:line="240" w:lineRule="auto"/>
              <w:jc w:val="left"/>
              <w:rPr>
                <w:rFonts w:ascii="Times New Roman" w:hAnsi="Times New Roman"/>
                <w:b/>
                <w:bCs/>
                <w:color w:val="000000"/>
                <w:sz w:val="18"/>
                <w:szCs w:val="18"/>
                <w:lang w:eastAsia="sk-SK"/>
              </w:rPr>
            </w:pPr>
            <w:r w:rsidRPr="0031386F">
              <w:rPr>
                <w:rFonts w:ascii="Times New Roman" w:hAnsi="Times New Roman"/>
                <w:b/>
                <w:bCs/>
                <w:color w:val="000000"/>
                <w:sz w:val="18"/>
                <w:szCs w:val="18"/>
                <w:lang w:eastAsia="sk-SK"/>
              </w:rPr>
              <w:t>Spolu</w:t>
            </w:r>
          </w:p>
        </w:tc>
        <w:tc>
          <w:tcPr>
            <w:tcW w:w="1017" w:type="dxa"/>
            <w:tcBorders>
              <w:top w:val="single" w:sz="8" w:space="0" w:color="auto"/>
              <w:left w:val="nil"/>
              <w:bottom w:val="single" w:sz="8" w:space="0" w:color="auto"/>
              <w:right w:val="nil"/>
            </w:tcBorders>
            <w:noWrap/>
            <w:textDirection w:val="lrTb"/>
            <w:vAlign w:val="center"/>
            <w:hideMark/>
          </w:tcPr>
          <w:p w:rsidR="00D95B42" w:rsidRPr="0031386F" w:rsidP="00D95B42">
            <w:pPr>
              <w:bidi w:val="0"/>
              <w:spacing w:after="0" w:line="240" w:lineRule="auto"/>
              <w:jc w:val="right"/>
              <w:rPr>
                <w:rFonts w:ascii="Times New Roman" w:hAnsi="Times New Roman"/>
                <w:b/>
                <w:bCs/>
                <w:color w:val="000000"/>
                <w:sz w:val="18"/>
                <w:szCs w:val="18"/>
                <w:lang w:eastAsia="sk-SK"/>
              </w:rPr>
            </w:pPr>
            <w:r w:rsidRPr="0031386F">
              <w:rPr>
                <w:rFonts w:ascii="Times New Roman" w:hAnsi="Times New Roman"/>
                <w:b/>
                <w:bCs/>
                <w:color w:val="000000"/>
                <w:sz w:val="18"/>
                <w:szCs w:val="18"/>
                <w:lang w:eastAsia="sk-SK"/>
              </w:rPr>
              <w:t>18 166 391</w:t>
            </w:r>
          </w:p>
        </w:tc>
        <w:tc>
          <w:tcPr>
            <w:tcW w:w="1161" w:type="dxa"/>
            <w:tcBorders>
              <w:top w:val="single" w:sz="8" w:space="0" w:color="auto"/>
              <w:left w:val="nil"/>
              <w:bottom w:val="single" w:sz="8" w:space="0" w:color="auto"/>
              <w:right w:val="nil"/>
            </w:tcBorders>
            <w:noWrap/>
            <w:textDirection w:val="lrTb"/>
            <w:vAlign w:val="center"/>
            <w:hideMark/>
          </w:tcPr>
          <w:p w:rsidR="00D95B42" w:rsidRPr="0031386F" w:rsidP="00D95B42">
            <w:pPr>
              <w:bidi w:val="0"/>
              <w:spacing w:after="0" w:line="240" w:lineRule="auto"/>
              <w:jc w:val="right"/>
              <w:rPr>
                <w:rFonts w:ascii="Times New Roman" w:hAnsi="Times New Roman"/>
                <w:b/>
                <w:bCs/>
                <w:color w:val="000000"/>
                <w:sz w:val="18"/>
                <w:szCs w:val="18"/>
                <w:lang w:eastAsia="sk-SK"/>
              </w:rPr>
            </w:pPr>
            <w:r w:rsidRPr="0031386F">
              <w:rPr>
                <w:rFonts w:ascii="Times New Roman" w:hAnsi="Times New Roman"/>
                <w:b/>
                <w:bCs/>
                <w:color w:val="000000"/>
                <w:sz w:val="18"/>
                <w:szCs w:val="18"/>
                <w:lang w:eastAsia="sk-SK"/>
              </w:rPr>
              <w:t>15 256 172</w:t>
            </w:r>
          </w:p>
        </w:tc>
        <w:tc>
          <w:tcPr>
            <w:tcW w:w="1161" w:type="dxa"/>
            <w:tcBorders>
              <w:top w:val="single" w:sz="8" w:space="0" w:color="auto"/>
              <w:left w:val="nil"/>
              <w:bottom w:val="single" w:sz="8" w:space="0" w:color="auto"/>
              <w:right w:val="nil"/>
            </w:tcBorders>
            <w:shd w:val="clear" w:color="000000" w:fill="FFFFFF"/>
            <w:noWrap/>
            <w:textDirection w:val="lrTb"/>
            <w:vAlign w:val="center"/>
            <w:hideMark/>
          </w:tcPr>
          <w:p w:rsidR="00D95B42" w:rsidP="00D95B42">
            <w:pPr>
              <w:bidi w:val="0"/>
              <w:spacing w:after="0" w:line="240" w:lineRule="auto"/>
              <w:jc w:val="right"/>
              <w:rPr>
                <w:rFonts w:ascii="Times New Roman" w:hAnsi="Times New Roman"/>
                <w:b/>
                <w:bCs/>
                <w:color w:val="000000"/>
                <w:sz w:val="18"/>
                <w:szCs w:val="18"/>
                <w:lang w:eastAsia="sk-SK"/>
              </w:rPr>
            </w:pPr>
            <w:r>
              <w:rPr>
                <w:rFonts w:ascii="Times New Roman" w:hAnsi="Times New Roman"/>
                <w:b/>
                <w:bCs/>
                <w:color w:val="000000"/>
                <w:sz w:val="18"/>
                <w:szCs w:val="18"/>
                <w:lang w:eastAsia="sk-SK"/>
              </w:rPr>
              <w:t>17 383 366</w:t>
            </w:r>
          </w:p>
        </w:tc>
        <w:tc>
          <w:tcPr>
            <w:tcW w:w="1161" w:type="dxa"/>
            <w:tcBorders>
              <w:top w:val="single" w:sz="8" w:space="0" w:color="auto"/>
              <w:left w:val="nil"/>
              <w:bottom w:val="single" w:sz="8" w:space="0" w:color="auto"/>
              <w:right w:val="nil"/>
            </w:tcBorders>
            <w:shd w:val="clear" w:color="auto" w:fill="BFBFBF"/>
            <w:noWrap/>
            <w:textDirection w:val="lrTb"/>
            <w:vAlign w:val="center"/>
            <w:hideMark/>
          </w:tcPr>
          <w:p w:rsidR="00D95B42" w:rsidP="00D95B42">
            <w:pPr>
              <w:bidi w:val="0"/>
              <w:spacing w:after="0" w:line="240" w:lineRule="auto"/>
              <w:jc w:val="right"/>
              <w:rPr>
                <w:rFonts w:ascii="Times New Roman" w:hAnsi="Times New Roman"/>
                <w:b/>
                <w:bCs/>
                <w:color w:val="000000"/>
                <w:sz w:val="18"/>
                <w:szCs w:val="18"/>
                <w:lang w:eastAsia="sk-SK"/>
              </w:rPr>
            </w:pPr>
            <w:r>
              <w:rPr>
                <w:rFonts w:ascii="Times New Roman" w:hAnsi="Times New Roman"/>
                <w:b/>
                <w:bCs/>
                <w:color w:val="000000"/>
                <w:sz w:val="18"/>
                <w:szCs w:val="18"/>
                <w:lang w:eastAsia="sk-SK"/>
              </w:rPr>
              <w:t>15 234 260</w:t>
            </w:r>
          </w:p>
        </w:tc>
        <w:tc>
          <w:tcPr>
            <w:tcW w:w="1016" w:type="dxa"/>
            <w:tcBorders>
              <w:top w:val="single" w:sz="8" w:space="0" w:color="auto"/>
              <w:left w:val="nil"/>
              <w:bottom w:val="single" w:sz="8" w:space="0" w:color="auto"/>
              <w:right w:val="nil"/>
            </w:tcBorders>
            <w:shd w:val="clear" w:color="000000" w:fill="FFFFFF"/>
            <w:noWrap/>
            <w:textDirection w:val="lrTb"/>
            <w:vAlign w:val="center"/>
            <w:hideMark/>
          </w:tcPr>
          <w:p w:rsidR="00D95B42" w:rsidP="00D95B42">
            <w:pPr>
              <w:bidi w:val="0"/>
              <w:spacing w:after="0" w:line="240" w:lineRule="auto"/>
              <w:jc w:val="right"/>
              <w:rPr>
                <w:rFonts w:ascii="Times New Roman" w:hAnsi="Times New Roman"/>
                <w:b/>
                <w:bCs/>
                <w:color w:val="000000"/>
                <w:sz w:val="18"/>
                <w:szCs w:val="18"/>
                <w:lang w:eastAsia="sk-SK"/>
              </w:rPr>
            </w:pPr>
            <w:r>
              <w:rPr>
                <w:rFonts w:ascii="Times New Roman" w:hAnsi="Times New Roman"/>
                <w:b/>
                <w:bCs/>
                <w:color w:val="000000"/>
                <w:sz w:val="18"/>
                <w:szCs w:val="18"/>
                <w:lang w:eastAsia="sk-SK"/>
              </w:rPr>
              <w:t>-2 149 106</w:t>
            </w:r>
          </w:p>
        </w:tc>
        <w:tc>
          <w:tcPr>
            <w:tcW w:w="1016" w:type="dxa"/>
            <w:tcBorders>
              <w:top w:val="single" w:sz="8" w:space="0" w:color="auto"/>
              <w:left w:val="nil"/>
              <w:bottom w:val="single" w:sz="8" w:space="0" w:color="auto"/>
              <w:right w:val="nil"/>
            </w:tcBorders>
            <w:shd w:val="clear" w:color="000000" w:fill="FFFFFF"/>
            <w:noWrap/>
            <w:textDirection w:val="lrTb"/>
            <w:vAlign w:val="center"/>
            <w:hideMark/>
          </w:tcPr>
          <w:p w:rsidR="00D95B42" w:rsidP="00D95B42">
            <w:pPr>
              <w:bidi w:val="0"/>
              <w:spacing w:after="0" w:line="240" w:lineRule="auto"/>
              <w:jc w:val="right"/>
              <w:rPr>
                <w:rFonts w:ascii="Times New Roman" w:hAnsi="Times New Roman"/>
                <w:b/>
                <w:bCs/>
                <w:color w:val="000000"/>
                <w:sz w:val="18"/>
                <w:szCs w:val="18"/>
                <w:lang w:eastAsia="sk-SK"/>
              </w:rPr>
            </w:pPr>
            <w:r>
              <w:rPr>
                <w:rFonts w:ascii="Times New Roman" w:hAnsi="Times New Roman"/>
                <w:b/>
                <w:bCs/>
                <w:color w:val="000000"/>
                <w:sz w:val="18"/>
                <w:szCs w:val="18"/>
                <w:lang w:eastAsia="sk-SK"/>
              </w:rPr>
              <w:t>-12,36</w:t>
            </w:r>
          </w:p>
        </w:tc>
      </w:tr>
    </w:tbl>
    <w:p w:rsidR="00632751" w:rsidRPr="00D95B42" w:rsidP="000B3DD8">
      <w:pPr>
        <w:bidi w:val="0"/>
        <w:jc w:val="right"/>
        <w:rPr>
          <w:rFonts w:ascii="Times New Roman" w:hAnsi="Times New Roman"/>
          <w:sz w:val="18"/>
          <w:szCs w:val="18"/>
        </w:rPr>
      </w:pPr>
      <w:r w:rsidRPr="00D95B42">
        <w:rPr>
          <w:rFonts w:ascii="Times New Roman" w:hAnsi="Times New Roman"/>
          <w:sz w:val="18"/>
          <w:szCs w:val="18"/>
        </w:rPr>
        <w:t>Zdroj: MF SR</w:t>
      </w:r>
    </w:p>
    <w:p w:rsidR="003A3C2A" w:rsidRPr="00424C65" w:rsidP="008A0E0C">
      <w:pPr>
        <w:tabs>
          <w:tab w:val="left" w:pos="284"/>
        </w:tabs>
        <w:bidi w:val="0"/>
        <w:rPr>
          <w:rFonts w:ascii="Times New Roman" w:hAnsi="Times New Roman"/>
          <w:b/>
          <w:szCs w:val="22"/>
        </w:rPr>
      </w:pPr>
      <w:r w:rsidRPr="00424C65">
        <w:rPr>
          <w:rFonts w:ascii="Times New Roman" w:hAnsi="Times New Roman"/>
          <w:b/>
          <w:szCs w:val="22"/>
        </w:rPr>
        <w:t>Všeobecné verejné služby</w:t>
      </w:r>
    </w:p>
    <w:p w:rsidR="003A3C2A" w:rsidRPr="00424C65" w:rsidP="003A3C2A">
      <w:pPr>
        <w:bidi w:val="0"/>
        <w:rPr>
          <w:rFonts w:ascii="Times New Roman" w:hAnsi="Times New Roman"/>
          <w:szCs w:val="22"/>
        </w:rPr>
      </w:pPr>
      <w:r w:rsidRPr="00424C65">
        <w:rPr>
          <w:rFonts w:ascii="Times New Roman" w:hAnsi="Times New Roman"/>
          <w:szCs w:val="22"/>
        </w:rPr>
        <w:t>Výdavky na všeob</w:t>
      </w:r>
      <w:r w:rsidRPr="00424C65" w:rsidR="00424C65">
        <w:rPr>
          <w:rFonts w:ascii="Times New Roman" w:hAnsi="Times New Roman"/>
          <w:szCs w:val="22"/>
        </w:rPr>
        <w:t>ecné verejné služby tvorili 20,1</w:t>
      </w:r>
      <w:r w:rsidRPr="00424C65">
        <w:rPr>
          <w:rFonts w:ascii="Times New Roman" w:hAnsi="Times New Roman"/>
          <w:szCs w:val="22"/>
        </w:rPr>
        <w:t xml:space="preserve"> % podiel z celkových výdavkov štátneho rozpočtu. Tieto výdavky zahrňujú prostriedky verejnej správy na činnosť vymedzeného okruhu ústredných orgánov štátnej správy, výdavky na správu štátneho dlhu, na základný výskum, </w:t>
      </w:r>
      <w:r w:rsidR="00073345">
        <w:rPr>
          <w:rFonts w:ascii="Times New Roman" w:hAnsi="Times New Roman"/>
          <w:szCs w:val="22"/>
        </w:rPr>
        <w:br/>
      </w:r>
      <w:r w:rsidRPr="00424C65">
        <w:rPr>
          <w:rFonts w:ascii="Times New Roman" w:hAnsi="Times New Roman"/>
          <w:szCs w:val="22"/>
        </w:rPr>
        <w:t>na zahraničnú hospodársku pomoc</w:t>
      </w:r>
      <w:r w:rsidR="00EB7C6E">
        <w:rPr>
          <w:rFonts w:ascii="Times New Roman" w:hAnsi="Times New Roman"/>
          <w:szCs w:val="22"/>
        </w:rPr>
        <w:t>.</w:t>
      </w:r>
      <w:r w:rsidRPr="00424C65">
        <w:rPr>
          <w:rFonts w:ascii="Times New Roman" w:hAnsi="Times New Roman"/>
          <w:szCs w:val="22"/>
        </w:rPr>
        <w:t xml:space="preserve"> V porovnaní s minulým rokom došlo k zníženiu výdavkov o </w:t>
      </w:r>
      <w:r w:rsidR="00424C65">
        <w:rPr>
          <w:rFonts w:ascii="Times New Roman" w:hAnsi="Times New Roman"/>
          <w:szCs w:val="22"/>
        </w:rPr>
        <w:t>42</w:t>
      </w:r>
      <w:r w:rsidRPr="00424C65">
        <w:rPr>
          <w:rFonts w:ascii="Times New Roman" w:hAnsi="Times New Roman"/>
          <w:szCs w:val="22"/>
        </w:rPr>
        <w:t> </w:t>
      </w:r>
      <w:r w:rsidR="00424C65">
        <w:rPr>
          <w:rFonts w:ascii="Times New Roman" w:hAnsi="Times New Roman"/>
          <w:szCs w:val="22"/>
        </w:rPr>
        <w:t>355</w:t>
      </w:r>
      <w:r w:rsidRPr="00424C65">
        <w:rPr>
          <w:rFonts w:ascii="Times New Roman" w:hAnsi="Times New Roman"/>
          <w:szCs w:val="22"/>
        </w:rPr>
        <w:t> tis. eur.</w:t>
      </w:r>
    </w:p>
    <w:p w:rsidR="00EB7C6E" w:rsidP="003A3C2A">
      <w:pPr>
        <w:bidi w:val="0"/>
        <w:rPr>
          <w:rFonts w:ascii="Times New Roman" w:hAnsi="Times New Roman"/>
          <w:szCs w:val="22"/>
        </w:rPr>
      </w:pPr>
      <w:r w:rsidRPr="00424C65" w:rsidR="003A3C2A">
        <w:rPr>
          <w:rFonts w:ascii="Times New Roman" w:hAnsi="Times New Roman"/>
          <w:szCs w:val="22"/>
        </w:rPr>
        <w:t>Najviac finančných prostriedkov bolo čerpaných v oblasti Výkonné a zákonodarné orgány, finančné a rozpočtové záležitosti, zahraničné vzťahy (1 4</w:t>
      </w:r>
      <w:r w:rsidR="009A2101">
        <w:rPr>
          <w:rFonts w:ascii="Times New Roman" w:hAnsi="Times New Roman"/>
          <w:szCs w:val="22"/>
        </w:rPr>
        <w:t>15</w:t>
      </w:r>
      <w:r w:rsidRPr="00424C65" w:rsidR="003A3C2A">
        <w:rPr>
          <w:rFonts w:ascii="Times New Roman" w:hAnsi="Times New Roman"/>
          <w:szCs w:val="22"/>
        </w:rPr>
        <w:t> </w:t>
      </w:r>
      <w:r w:rsidR="009A2101">
        <w:rPr>
          <w:rFonts w:ascii="Times New Roman" w:hAnsi="Times New Roman"/>
          <w:szCs w:val="22"/>
        </w:rPr>
        <w:t>098</w:t>
      </w:r>
      <w:r w:rsidRPr="00424C65" w:rsidR="003A3C2A">
        <w:rPr>
          <w:rFonts w:ascii="Times New Roman" w:hAnsi="Times New Roman"/>
          <w:szCs w:val="22"/>
        </w:rPr>
        <w:t xml:space="preserve"> tis. eur), kde odvody do rozpočtu Európskej únie založené na dani z pridanej hodnoty a hrubom národnom produkte dosiahli v kapitole Všeobecná pokladničná správa </w:t>
      </w:r>
      <w:r w:rsidRPr="00595644" w:rsidR="003A3C2A">
        <w:rPr>
          <w:rFonts w:ascii="Times New Roman" w:hAnsi="Times New Roman"/>
          <w:szCs w:val="22"/>
        </w:rPr>
        <w:t>634 </w:t>
      </w:r>
      <w:r w:rsidR="00595644">
        <w:rPr>
          <w:rFonts w:ascii="Times New Roman" w:hAnsi="Times New Roman"/>
          <w:szCs w:val="22"/>
        </w:rPr>
        <w:t>172</w:t>
      </w:r>
      <w:r w:rsidRPr="00424C65" w:rsidR="003A3C2A">
        <w:rPr>
          <w:rFonts w:ascii="Times New Roman" w:hAnsi="Times New Roman"/>
          <w:szCs w:val="22"/>
        </w:rPr>
        <w:t xml:space="preserve"> tis. eur. Výdavky Ministerstva financií SR predstavovali </w:t>
      </w:r>
      <w:r w:rsidR="009A2101">
        <w:rPr>
          <w:rFonts w:ascii="Times New Roman" w:hAnsi="Times New Roman"/>
          <w:szCs w:val="22"/>
        </w:rPr>
        <w:t>388</w:t>
      </w:r>
      <w:r w:rsidRPr="00424C65" w:rsidR="003A3C2A">
        <w:rPr>
          <w:rFonts w:ascii="Times New Roman" w:hAnsi="Times New Roman"/>
          <w:szCs w:val="22"/>
        </w:rPr>
        <w:t> </w:t>
      </w:r>
      <w:r w:rsidR="009A2101">
        <w:rPr>
          <w:rFonts w:ascii="Times New Roman" w:hAnsi="Times New Roman"/>
          <w:szCs w:val="22"/>
        </w:rPr>
        <w:t>354 tis. eur</w:t>
      </w:r>
      <w:r>
        <w:rPr>
          <w:rFonts w:ascii="Times New Roman" w:hAnsi="Times New Roman"/>
          <w:szCs w:val="22"/>
        </w:rPr>
        <w:t>.</w:t>
      </w:r>
    </w:p>
    <w:p w:rsidR="00632751" w:rsidRPr="008A09E1" w:rsidP="008A0E0C">
      <w:pPr>
        <w:tabs>
          <w:tab w:val="left" w:pos="284"/>
        </w:tabs>
        <w:bidi w:val="0"/>
        <w:rPr>
          <w:rFonts w:ascii="Times New Roman" w:hAnsi="Times New Roman"/>
          <w:szCs w:val="22"/>
        </w:rPr>
      </w:pPr>
      <w:r w:rsidRPr="008A09E1">
        <w:rPr>
          <w:rFonts w:ascii="Times New Roman" w:hAnsi="Times New Roman"/>
          <w:b/>
          <w:szCs w:val="22"/>
        </w:rPr>
        <w:t>Ekonomická oblasť</w:t>
      </w:r>
    </w:p>
    <w:p w:rsidR="00632751" w:rsidRPr="00A339AF" w:rsidP="00632751">
      <w:pPr>
        <w:bidi w:val="0"/>
        <w:rPr>
          <w:rFonts w:ascii="Times New Roman" w:hAnsi="Times New Roman"/>
          <w:szCs w:val="22"/>
          <w:highlight w:val="yellow"/>
        </w:rPr>
      </w:pPr>
      <w:r w:rsidRPr="008A09E1">
        <w:rPr>
          <w:rFonts w:ascii="Times New Roman" w:hAnsi="Times New Roman"/>
          <w:szCs w:val="22"/>
        </w:rPr>
        <w:t xml:space="preserve">Výdavky v tomto oddiele tvorili </w:t>
      </w:r>
      <w:r w:rsidRPr="008A09E1" w:rsidR="00CC65B4">
        <w:rPr>
          <w:rFonts w:ascii="Times New Roman" w:hAnsi="Times New Roman"/>
          <w:szCs w:val="22"/>
        </w:rPr>
        <w:t>18</w:t>
      </w:r>
      <w:r w:rsidRPr="008A09E1">
        <w:rPr>
          <w:rFonts w:ascii="Times New Roman" w:hAnsi="Times New Roman"/>
          <w:szCs w:val="22"/>
        </w:rPr>
        <w:t>,</w:t>
      </w:r>
      <w:r w:rsidRPr="008A09E1" w:rsidR="008A09E1">
        <w:rPr>
          <w:rFonts w:ascii="Times New Roman" w:hAnsi="Times New Roman"/>
          <w:szCs w:val="22"/>
        </w:rPr>
        <w:t>5</w:t>
      </w:r>
      <w:r w:rsidRPr="008A09E1">
        <w:rPr>
          <w:rFonts w:ascii="Times New Roman" w:hAnsi="Times New Roman"/>
          <w:szCs w:val="22"/>
        </w:rPr>
        <w:t xml:space="preserve"> % z celkových výdavkov. V rámci ekonomickej oblasti sa triedia výdavky súvisiace s rôznymi druhmi dopravy a budovaním dopravnej infraštruktúry, s poľnohospodárstvom, lesníctvom, odvetviami palív a energií, ťažbou nerastných surovín a pod. Najvyššie výdavky v tejto oblasti malo </w:t>
      </w:r>
      <w:r w:rsidR="006D604E">
        <w:rPr>
          <w:rFonts w:ascii="Times New Roman" w:hAnsi="Times New Roman"/>
          <w:szCs w:val="22"/>
        </w:rPr>
        <w:t>Ministerstvo dopravy a</w:t>
      </w:r>
      <w:r w:rsidRPr="008A09E1" w:rsidR="006D604E">
        <w:rPr>
          <w:rFonts w:ascii="Times New Roman" w:hAnsi="Times New Roman"/>
          <w:szCs w:val="22"/>
        </w:rPr>
        <w:t xml:space="preserve"> výstavby SR</w:t>
      </w:r>
      <w:r w:rsidRPr="008A09E1">
        <w:rPr>
          <w:rFonts w:ascii="Times New Roman" w:hAnsi="Times New Roman"/>
          <w:szCs w:val="22"/>
        </w:rPr>
        <w:t xml:space="preserve"> </w:t>
      </w:r>
      <w:r w:rsidR="006D604E">
        <w:rPr>
          <w:rFonts w:ascii="Times New Roman" w:hAnsi="Times New Roman"/>
          <w:szCs w:val="22"/>
        </w:rPr>
        <w:t xml:space="preserve">(1 603 191 tis. eur) </w:t>
      </w:r>
      <w:r w:rsidRPr="008A09E1">
        <w:rPr>
          <w:rFonts w:ascii="Times New Roman" w:hAnsi="Times New Roman"/>
          <w:szCs w:val="22"/>
        </w:rPr>
        <w:t>a</w:t>
      </w:r>
      <w:r w:rsidR="003C0828">
        <w:rPr>
          <w:rFonts w:ascii="Times New Roman" w:hAnsi="Times New Roman"/>
          <w:szCs w:val="22"/>
        </w:rPr>
        <w:t xml:space="preserve"> </w:t>
      </w:r>
      <w:r w:rsidRPr="008A09E1">
        <w:rPr>
          <w:rFonts w:ascii="Times New Roman" w:hAnsi="Times New Roman"/>
          <w:szCs w:val="22"/>
        </w:rPr>
        <w:t xml:space="preserve">Ministerstvo </w:t>
      </w:r>
      <w:r w:rsidR="006D604E">
        <w:rPr>
          <w:rFonts w:ascii="Times New Roman" w:hAnsi="Times New Roman"/>
          <w:szCs w:val="22"/>
        </w:rPr>
        <w:t>pôdo</w:t>
      </w:r>
      <w:r w:rsidRPr="008A09E1">
        <w:rPr>
          <w:rFonts w:ascii="Times New Roman" w:hAnsi="Times New Roman"/>
          <w:szCs w:val="22"/>
        </w:rPr>
        <w:t xml:space="preserve">hospodárstva </w:t>
      </w:r>
      <w:r w:rsidR="006D604E">
        <w:rPr>
          <w:rFonts w:ascii="Times New Roman" w:hAnsi="Times New Roman"/>
          <w:szCs w:val="22"/>
        </w:rPr>
        <w:t xml:space="preserve">a rozvoja vidieka </w:t>
      </w:r>
      <w:r w:rsidRPr="008A09E1">
        <w:rPr>
          <w:rFonts w:ascii="Times New Roman" w:hAnsi="Times New Roman"/>
          <w:szCs w:val="22"/>
        </w:rPr>
        <w:t>SR (</w:t>
      </w:r>
      <w:r w:rsidR="006D604E">
        <w:rPr>
          <w:rFonts w:ascii="Times New Roman" w:hAnsi="Times New Roman"/>
          <w:szCs w:val="22"/>
        </w:rPr>
        <w:t>825</w:t>
      </w:r>
      <w:r w:rsidRPr="008A09E1" w:rsidR="00E949C9">
        <w:rPr>
          <w:rFonts w:ascii="Times New Roman" w:hAnsi="Times New Roman"/>
          <w:szCs w:val="22"/>
        </w:rPr>
        <w:t> </w:t>
      </w:r>
      <w:r w:rsidR="006D604E">
        <w:rPr>
          <w:rFonts w:ascii="Times New Roman" w:hAnsi="Times New Roman"/>
          <w:szCs w:val="22"/>
        </w:rPr>
        <w:t>750</w:t>
      </w:r>
      <w:r w:rsidRPr="008A09E1" w:rsidR="00E949C9">
        <w:rPr>
          <w:rFonts w:ascii="Times New Roman" w:hAnsi="Times New Roman"/>
          <w:szCs w:val="22"/>
        </w:rPr>
        <w:t> t</w:t>
      </w:r>
      <w:r w:rsidRPr="008A09E1">
        <w:rPr>
          <w:rFonts w:ascii="Times New Roman" w:hAnsi="Times New Roman"/>
          <w:szCs w:val="22"/>
        </w:rPr>
        <w:t>is. eur).</w:t>
      </w:r>
    </w:p>
    <w:p w:rsidR="00632751" w:rsidRPr="008A09E1" w:rsidP="00632751">
      <w:pPr>
        <w:bidi w:val="0"/>
        <w:rPr>
          <w:rFonts w:ascii="Times New Roman" w:hAnsi="Times New Roman"/>
          <w:szCs w:val="22"/>
        </w:rPr>
      </w:pPr>
      <w:r w:rsidRPr="008A09E1">
        <w:rPr>
          <w:rFonts w:ascii="Times New Roman" w:hAnsi="Times New Roman"/>
          <w:szCs w:val="22"/>
        </w:rPr>
        <w:t xml:space="preserve">V skupine </w:t>
      </w:r>
      <w:r w:rsidRPr="008A09E1">
        <w:rPr>
          <w:rFonts w:ascii="Times New Roman" w:hAnsi="Times New Roman"/>
          <w:i/>
          <w:szCs w:val="22"/>
        </w:rPr>
        <w:t>Doprava</w:t>
      </w:r>
      <w:r w:rsidRPr="008A09E1">
        <w:rPr>
          <w:rFonts w:ascii="Times New Roman" w:hAnsi="Times New Roman"/>
          <w:szCs w:val="22"/>
        </w:rPr>
        <w:t xml:space="preserve"> dosiahli skutočné výdavky </w:t>
      </w:r>
      <w:r w:rsidRPr="008A09E1" w:rsidR="00E949C9">
        <w:rPr>
          <w:rFonts w:ascii="Times New Roman" w:hAnsi="Times New Roman"/>
          <w:szCs w:val="22"/>
        </w:rPr>
        <w:t>1 </w:t>
      </w:r>
      <w:r w:rsidRPr="008A09E1" w:rsidR="008A09E1">
        <w:rPr>
          <w:rFonts w:ascii="Times New Roman" w:hAnsi="Times New Roman"/>
          <w:szCs w:val="22"/>
        </w:rPr>
        <w:t>548 </w:t>
      </w:r>
      <w:r w:rsidR="008A09E1">
        <w:rPr>
          <w:rFonts w:ascii="Times New Roman" w:hAnsi="Times New Roman"/>
          <w:szCs w:val="22"/>
        </w:rPr>
        <w:t>824</w:t>
      </w:r>
      <w:r w:rsidRPr="008A09E1" w:rsidR="008A09E1">
        <w:rPr>
          <w:rFonts w:ascii="Times New Roman" w:hAnsi="Times New Roman"/>
          <w:szCs w:val="22"/>
        </w:rPr>
        <w:t> </w:t>
      </w:r>
      <w:r w:rsidRPr="008A09E1">
        <w:rPr>
          <w:rFonts w:ascii="Times New Roman" w:hAnsi="Times New Roman"/>
          <w:szCs w:val="22"/>
        </w:rPr>
        <w:t>tis.</w:t>
      </w:r>
      <w:r w:rsidRPr="008A09E1" w:rsidR="008A09E1">
        <w:rPr>
          <w:rFonts w:ascii="Times New Roman" w:hAnsi="Times New Roman"/>
          <w:szCs w:val="22"/>
        </w:rPr>
        <w:t> </w:t>
      </w:r>
      <w:r w:rsidRPr="008A09E1">
        <w:rPr>
          <w:rFonts w:ascii="Times New Roman" w:hAnsi="Times New Roman"/>
          <w:szCs w:val="22"/>
        </w:rPr>
        <w:t>eur (201</w:t>
      </w:r>
      <w:r w:rsidRPr="008A09E1" w:rsidR="008A09E1">
        <w:rPr>
          <w:rFonts w:ascii="Times New Roman" w:hAnsi="Times New Roman"/>
          <w:szCs w:val="22"/>
        </w:rPr>
        <w:t>6</w:t>
      </w:r>
      <w:r w:rsidRPr="008A09E1">
        <w:rPr>
          <w:rFonts w:ascii="Times New Roman" w:hAnsi="Times New Roman"/>
          <w:szCs w:val="22"/>
        </w:rPr>
        <w:t xml:space="preserve">: </w:t>
      </w:r>
      <w:r w:rsidRPr="008A09E1" w:rsidR="008A09E1">
        <w:rPr>
          <w:rFonts w:ascii="Times New Roman" w:hAnsi="Times New Roman"/>
          <w:szCs w:val="22"/>
        </w:rPr>
        <w:t>1</w:t>
      </w:r>
      <w:r w:rsidRPr="008A09E1" w:rsidR="00E949C9">
        <w:rPr>
          <w:rFonts w:ascii="Times New Roman" w:hAnsi="Times New Roman"/>
          <w:szCs w:val="22"/>
        </w:rPr>
        <w:t> </w:t>
      </w:r>
      <w:r w:rsidRPr="008A09E1" w:rsidR="008A09E1">
        <w:rPr>
          <w:rFonts w:ascii="Times New Roman" w:hAnsi="Times New Roman"/>
          <w:szCs w:val="22"/>
        </w:rPr>
        <w:t>311 722 </w:t>
      </w:r>
      <w:r w:rsidRPr="008A09E1">
        <w:rPr>
          <w:rFonts w:ascii="Times New Roman" w:hAnsi="Times New Roman"/>
          <w:szCs w:val="22"/>
        </w:rPr>
        <w:t>tis.</w:t>
      </w:r>
      <w:r w:rsidRPr="008A09E1" w:rsidR="008A09E1">
        <w:rPr>
          <w:rFonts w:ascii="Times New Roman" w:hAnsi="Times New Roman"/>
          <w:szCs w:val="22"/>
        </w:rPr>
        <w:t> </w:t>
      </w:r>
      <w:r w:rsidRPr="008A09E1">
        <w:rPr>
          <w:rFonts w:ascii="Times New Roman" w:hAnsi="Times New Roman"/>
          <w:szCs w:val="22"/>
        </w:rPr>
        <w:t xml:space="preserve">eur), a v porovnaní so </w:t>
      </w:r>
      <w:r w:rsidRPr="008A09E1" w:rsidR="00433275">
        <w:rPr>
          <w:rFonts w:ascii="Times New Roman" w:hAnsi="Times New Roman"/>
          <w:szCs w:val="22"/>
        </w:rPr>
        <w:t>s</w:t>
      </w:r>
      <w:r w:rsidRPr="008A09E1">
        <w:rPr>
          <w:rFonts w:ascii="Times New Roman" w:hAnsi="Times New Roman"/>
          <w:szCs w:val="22"/>
        </w:rPr>
        <w:t>chváleným rozpočtom došlo k </w:t>
      </w:r>
      <w:r w:rsidRPr="008A09E1" w:rsidR="00433275">
        <w:rPr>
          <w:rFonts w:ascii="Times New Roman" w:hAnsi="Times New Roman"/>
          <w:szCs w:val="22"/>
        </w:rPr>
        <w:t>poklesu</w:t>
      </w:r>
      <w:r w:rsidRPr="008A09E1">
        <w:rPr>
          <w:rFonts w:ascii="Times New Roman" w:hAnsi="Times New Roman"/>
          <w:szCs w:val="22"/>
        </w:rPr>
        <w:t xml:space="preserve"> o </w:t>
      </w:r>
      <w:r w:rsidRPr="008A09E1" w:rsidR="008A09E1">
        <w:rPr>
          <w:rFonts w:ascii="Times New Roman" w:hAnsi="Times New Roman"/>
          <w:szCs w:val="22"/>
        </w:rPr>
        <w:t>397</w:t>
      </w:r>
      <w:r w:rsidRPr="008A09E1">
        <w:rPr>
          <w:rFonts w:ascii="Times New Roman" w:hAnsi="Times New Roman"/>
          <w:szCs w:val="22"/>
        </w:rPr>
        <w:t> </w:t>
      </w:r>
      <w:r w:rsidRPr="008A09E1" w:rsidR="008A09E1">
        <w:rPr>
          <w:rFonts w:ascii="Times New Roman" w:hAnsi="Times New Roman"/>
          <w:szCs w:val="22"/>
        </w:rPr>
        <w:t>525</w:t>
      </w:r>
      <w:r w:rsidRPr="008A09E1">
        <w:rPr>
          <w:rFonts w:ascii="Times New Roman" w:hAnsi="Times New Roman"/>
          <w:szCs w:val="22"/>
        </w:rPr>
        <w:t xml:space="preserve"> tis. eur. </w:t>
      </w:r>
      <w:r w:rsidR="00302E5B">
        <w:rPr>
          <w:rFonts w:ascii="Times New Roman" w:hAnsi="Times New Roman"/>
          <w:szCs w:val="22"/>
        </w:rPr>
        <w:t>Zníženie</w:t>
      </w:r>
      <w:r w:rsidRPr="008A09E1">
        <w:rPr>
          <w:rFonts w:ascii="Times New Roman" w:hAnsi="Times New Roman"/>
          <w:szCs w:val="22"/>
        </w:rPr>
        <w:t xml:space="preserve"> v</w:t>
      </w:r>
      <w:r w:rsidR="0085423E">
        <w:rPr>
          <w:rFonts w:ascii="Times New Roman" w:hAnsi="Times New Roman"/>
          <w:szCs w:val="22"/>
        </w:rPr>
        <w:t xml:space="preserve">ýdavkov </w:t>
      </w:r>
      <w:r w:rsidR="00073345">
        <w:rPr>
          <w:rFonts w:ascii="Times New Roman" w:hAnsi="Times New Roman"/>
          <w:szCs w:val="22"/>
        </w:rPr>
        <w:br/>
      </w:r>
      <w:r w:rsidR="0085423E">
        <w:rPr>
          <w:rFonts w:ascii="Times New Roman" w:hAnsi="Times New Roman"/>
          <w:szCs w:val="22"/>
        </w:rPr>
        <w:t>na Ministerstve dopravy a</w:t>
      </w:r>
      <w:r w:rsidRPr="008A09E1">
        <w:rPr>
          <w:rFonts w:ascii="Times New Roman" w:hAnsi="Times New Roman"/>
          <w:szCs w:val="22"/>
        </w:rPr>
        <w:t xml:space="preserve"> výstavby SR ovplyvnilo najmä </w:t>
      </w:r>
      <w:r w:rsidR="00302E5B">
        <w:rPr>
          <w:rFonts w:ascii="Times New Roman" w:hAnsi="Times New Roman"/>
          <w:szCs w:val="22"/>
        </w:rPr>
        <w:t>zaviazanie</w:t>
      </w:r>
      <w:r w:rsidRPr="008A09E1">
        <w:rPr>
          <w:rFonts w:ascii="Times New Roman" w:hAnsi="Times New Roman"/>
          <w:szCs w:val="22"/>
        </w:rPr>
        <w:t xml:space="preserve"> prostriedkov, išlo o uvoľnenie nevyčerpaných prostriedkov ŠR </w:t>
      </w:r>
      <w:r w:rsidRPr="008A09E1" w:rsidR="00AA44D1">
        <w:rPr>
          <w:rFonts w:ascii="Times New Roman" w:hAnsi="Times New Roman"/>
          <w:szCs w:val="22"/>
        </w:rPr>
        <w:t xml:space="preserve">minulých </w:t>
      </w:r>
      <w:r w:rsidRPr="008A09E1">
        <w:rPr>
          <w:rFonts w:ascii="Times New Roman" w:hAnsi="Times New Roman"/>
          <w:szCs w:val="22"/>
        </w:rPr>
        <w:t>z</w:t>
      </w:r>
      <w:r w:rsidR="00302E5B">
        <w:rPr>
          <w:rFonts w:ascii="Times New Roman" w:hAnsi="Times New Roman"/>
          <w:szCs w:val="22"/>
        </w:rPr>
        <w:t> </w:t>
      </w:r>
      <w:r w:rsidRPr="008A09E1">
        <w:rPr>
          <w:rFonts w:ascii="Times New Roman" w:hAnsi="Times New Roman"/>
          <w:szCs w:val="22"/>
        </w:rPr>
        <w:t>rokov</w:t>
      </w:r>
      <w:r w:rsidR="00302E5B">
        <w:rPr>
          <w:rFonts w:ascii="Times New Roman" w:hAnsi="Times New Roman"/>
          <w:szCs w:val="22"/>
        </w:rPr>
        <w:t xml:space="preserve"> </w:t>
      </w:r>
      <w:r w:rsidRPr="008A09E1" w:rsidR="00302E5B">
        <w:rPr>
          <w:rFonts w:ascii="Times New Roman" w:hAnsi="Times New Roman"/>
          <w:szCs w:val="22"/>
        </w:rPr>
        <w:t>v zmysle § 8 zákona 523/2004 Z. z.</w:t>
      </w:r>
    </w:p>
    <w:p w:rsidR="00632751" w:rsidRPr="00812961" w:rsidP="00632751">
      <w:pPr>
        <w:bidi w:val="0"/>
        <w:rPr>
          <w:rFonts w:ascii="Times New Roman" w:hAnsi="Times New Roman"/>
          <w:szCs w:val="22"/>
        </w:rPr>
      </w:pPr>
      <w:r w:rsidRPr="00812961">
        <w:rPr>
          <w:rFonts w:ascii="Times New Roman" w:hAnsi="Times New Roman"/>
          <w:szCs w:val="22"/>
        </w:rPr>
        <w:t xml:space="preserve">V skupine </w:t>
      </w:r>
      <w:r w:rsidRPr="00812961">
        <w:rPr>
          <w:rFonts w:ascii="Times New Roman" w:hAnsi="Times New Roman"/>
          <w:i/>
          <w:szCs w:val="22"/>
        </w:rPr>
        <w:t>Poľnohospodárstvo, lesníctvo, rybárstvo a poľovníctvo</w:t>
      </w:r>
      <w:r w:rsidRPr="00812961">
        <w:rPr>
          <w:rFonts w:ascii="Times New Roman" w:hAnsi="Times New Roman"/>
          <w:szCs w:val="22"/>
        </w:rPr>
        <w:t xml:space="preserve"> bola dosiahnutá skutočnosť </w:t>
      </w:r>
      <w:r w:rsidRPr="00812961" w:rsidR="00812961">
        <w:rPr>
          <w:rFonts w:ascii="Times New Roman" w:hAnsi="Times New Roman"/>
          <w:szCs w:val="22"/>
        </w:rPr>
        <w:t>804</w:t>
      </w:r>
      <w:r w:rsidRPr="00812961" w:rsidR="00433275">
        <w:rPr>
          <w:rFonts w:ascii="Times New Roman" w:hAnsi="Times New Roman"/>
          <w:szCs w:val="22"/>
        </w:rPr>
        <w:t> </w:t>
      </w:r>
      <w:r w:rsidRPr="00812961" w:rsidR="00812961">
        <w:rPr>
          <w:rFonts w:ascii="Times New Roman" w:hAnsi="Times New Roman"/>
          <w:szCs w:val="22"/>
        </w:rPr>
        <w:t>237</w:t>
      </w:r>
      <w:r w:rsidRPr="00812961" w:rsidR="00433275">
        <w:rPr>
          <w:rFonts w:ascii="Times New Roman" w:hAnsi="Times New Roman"/>
          <w:szCs w:val="22"/>
        </w:rPr>
        <w:t> tis. eur (201</w:t>
      </w:r>
      <w:r w:rsidRPr="00812961" w:rsidR="00812961">
        <w:rPr>
          <w:rFonts w:ascii="Times New Roman" w:hAnsi="Times New Roman"/>
          <w:szCs w:val="22"/>
        </w:rPr>
        <w:t>6</w:t>
      </w:r>
      <w:r w:rsidRPr="00812961">
        <w:rPr>
          <w:rFonts w:ascii="Times New Roman" w:hAnsi="Times New Roman"/>
          <w:szCs w:val="22"/>
        </w:rPr>
        <w:t xml:space="preserve">: </w:t>
      </w:r>
      <w:r w:rsidRPr="00812961" w:rsidR="00812961">
        <w:rPr>
          <w:rFonts w:ascii="Times New Roman" w:hAnsi="Times New Roman"/>
          <w:szCs w:val="22"/>
        </w:rPr>
        <w:t>754</w:t>
      </w:r>
      <w:r w:rsidRPr="00812961" w:rsidR="00433275">
        <w:rPr>
          <w:rFonts w:ascii="Times New Roman" w:hAnsi="Times New Roman"/>
          <w:szCs w:val="22"/>
        </w:rPr>
        <w:t> </w:t>
      </w:r>
      <w:r w:rsidRPr="00812961" w:rsidR="00812961">
        <w:rPr>
          <w:rFonts w:ascii="Times New Roman" w:hAnsi="Times New Roman"/>
          <w:szCs w:val="22"/>
        </w:rPr>
        <w:t>832</w:t>
      </w:r>
      <w:r w:rsidRPr="00812961" w:rsidR="00433275">
        <w:rPr>
          <w:rFonts w:ascii="Times New Roman" w:hAnsi="Times New Roman"/>
          <w:szCs w:val="22"/>
        </w:rPr>
        <w:t> </w:t>
      </w:r>
      <w:r w:rsidRPr="00812961" w:rsidR="00C42756">
        <w:rPr>
          <w:rFonts w:ascii="Times New Roman" w:hAnsi="Times New Roman"/>
          <w:szCs w:val="22"/>
        </w:rPr>
        <w:t xml:space="preserve">tis. eur), pričom ide najmä o financovanie operačných programov v oblasti </w:t>
      </w:r>
      <w:r w:rsidRPr="00812961" w:rsidR="00F263E7">
        <w:rPr>
          <w:rFonts w:ascii="Times New Roman" w:hAnsi="Times New Roman"/>
          <w:szCs w:val="22"/>
        </w:rPr>
        <w:t>poľnohospodárstva zo zdrojov EÚ.</w:t>
      </w:r>
    </w:p>
    <w:p w:rsidR="00632751" w:rsidP="00632751">
      <w:pPr>
        <w:bidi w:val="0"/>
        <w:rPr>
          <w:rFonts w:ascii="Times New Roman" w:hAnsi="Times New Roman"/>
          <w:szCs w:val="22"/>
        </w:rPr>
      </w:pPr>
      <w:r w:rsidRPr="00812961">
        <w:rPr>
          <w:rFonts w:ascii="Times New Roman" w:hAnsi="Times New Roman"/>
          <w:szCs w:val="22"/>
        </w:rPr>
        <w:t xml:space="preserve">V skupine </w:t>
      </w:r>
      <w:r w:rsidRPr="00812961">
        <w:rPr>
          <w:rFonts w:ascii="Times New Roman" w:hAnsi="Times New Roman"/>
          <w:i/>
          <w:szCs w:val="22"/>
        </w:rPr>
        <w:t>Všeobecná ekonomická, obchodná a pracovná oblasť</w:t>
      </w:r>
      <w:r w:rsidRPr="00812961">
        <w:rPr>
          <w:rFonts w:ascii="Times New Roman" w:hAnsi="Times New Roman"/>
          <w:szCs w:val="22"/>
        </w:rPr>
        <w:t xml:space="preserve"> došlo k </w:t>
      </w:r>
      <w:r w:rsidRPr="00812961" w:rsidR="00433275">
        <w:rPr>
          <w:rFonts w:ascii="Times New Roman" w:hAnsi="Times New Roman"/>
          <w:szCs w:val="22"/>
        </w:rPr>
        <w:t>zníženiu</w:t>
      </w:r>
      <w:r w:rsidRPr="00812961">
        <w:rPr>
          <w:rFonts w:ascii="Times New Roman" w:hAnsi="Times New Roman"/>
          <w:szCs w:val="22"/>
        </w:rPr>
        <w:t xml:space="preserve"> skutočnosti (</w:t>
      </w:r>
      <w:r w:rsidRPr="00812961" w:rsidR="00812961">
        <w:rPr>
          <w:rFonts w:ascii="Times New Roman" w:hAnsi="Times New Roman"/>
          <w:szCs w:val="22"/>
        </w:rPr>
        <w:t>354 233</w:t>
      </w:r>
      <w:r w:rsidRPr="00812961">
        <w:rPr>
          <w:rFonts w:ascii="Times New Roman" w:hAnsi="Times New Roman"/>
          <w:szCs w:val="22"/>
        </w:rPr>
        <w:t> tis. eur) v porovnaní so schváleným rozpočtom o</w:t>
      </w:r>
      <w:r w:rsidRPr="00812961" w:rsidR="00812961">
        <w:rPr>
          <w:rFonts w:ascii="Times New Roman" w:hAnsi="Times New Roman"/>
          <w:szCs w:val="22"/>
        </w:rPr>
        <w:t> 244 076 </w:t>
      </w:r>
      <w:r w:rsidRPr="00812961">
        <w:rPr>
          <w:rFonts w:ascii="Times New Roman" w:hAnsi="Times New Roman"/>
          <w:szCs w:val="22"/>
        </w:rPr>
        <w:t>tis.</w:t>
      </w:r>
      <w:r w:rsidRPr="00812961" w:rsidR="00812961">
        <w:rPr>
          <w:rFonts w:ascii="Times New Roman" w:hAnsi="Times New Roman"/>
          <w:szCs w:val="22"/>
        </w:rPr>
        <w:t> </w:t>
      </w:r>
      <w:r w:rsidRPr="00812961">
        <w:rPr>
          <w:rFonts w:ascii="Times New Roman" w:hAnsi="Times New Roman"/>
          <w:szCs w:val="22"/>
        </w:rPr>
        <w:t xml:space="preserve">eur. Najväčšie </w:t>
      </w:r>
      <w:r w:rsidRPr="00812961" w:rsidR="00920739">
        <w:rPr>
          <w:rFonts w:ascii="Times New Roman" w:hAnsi="Times New Roman"/>
          <w:szCs w:val="22"/>
        </w:rPr>
        <w:t>zníženie</w:t>
      </w:r>
      <w:r w:rsidRPr="00812961">
        <w:rPr>
          <w:rFonts w:ascii="Times New Roman" w:hAnsi="Times New Roman"/>
          <w:szCs w:val="22"/>
        </w:rPr>
        <w:t xml:space="preserve"> nastalo v kapitole Ministerstva hospodárstva SR vo výške </w:t>
      </w:r>
      <w:r w:rsidRPr="00812961" w:rsidR="00812961">
        <w:rPr>
          <w:rFonts w:ascii="Times New Roman" w:hAnsi="Times New Roman"/>
          <w:szCs w:val="22"/>
        </w:rPr>
        <w:t>105 097 </w:t>
      </w:r>
      <w:r w:rsidRPr="00812961">
        <w:rPr>
          <w:rFonts w:ascii="Times New Roman" w:hAnsi="Times New Roman"/>
          <w:szCs w:val="22"/>
        </w:rPr>
        <w:t>tis. eur.</w:t>
      </w:r>
    </w:p>
    <w:p w:rsidR="00EB7C6E" w:rsidRPr="00812961" w:rsidP="00632751">
      <w:pPr>
        <w:bidi w:val="0"/>
        <w:rPr>
          <w:rFonts w:ascii="Times New Roman" w:hAnsi="Times New Roman"/>
          <w:szCs w:val="22"/>
        </w:rPr>
      </w:pPr>
    </w:p>
    <w:p w:rsidR="00632751" w:rsidRPr="00504D39" w:rsidP="008A0E0C">
      <w:pPr>
        <w:tabs>
          <w:tab w:val="left" w:pos="284"/>
        </w:tabs>
        <w:bidi w:val="0"/>
        <w:rPr>
          <w:rFonts w:ascii="Times New Roman" w:hAnsi="Times New Roman"/>
          <w:b/>
          <w:szCs w:val="22"/>
        </w:rPr>
      </w:pPr>
      <w:r w:rsidRPr="00504D39">
        <w:rPr>
          <w:rFonts w:ascii="Times New Roman" w:hAnsi="Times New Roman"/>
          <w:b/>
          <w:szCs w:val="22"/>
        </w:rPr>
        <w:t>Sociálne zabezpečenie</w:t>
      </w:r>
    </w:p>
    <w:p w:rsidR="0036454A" w:rsidRPr="00504D39" w:rsidP="00632751">
      <w:pPr>
        <w:bidi w:val="0"/>
        <w:rPr>
          <w:rFonts w:ascii="Times New Roman" w:hAnsi="Times New Roman"/>
          <w:szCs w:val="22"/>
        </w:rPr>
      </w:pPr>
      <w:r w:rsidRPr="00504D39" w:rsidR="00632751">
        <w:rPr>
          <w:rFonts w:ascii="Times New Roman" w:hAnsi="Times New Roman"/>
          <w:szCs w:val="22"/>
        </w:rPr>
        <w:t>Výdavky v oddiele sociálne zabezpečenie tvorili 2</w:t>
      </w:r>
      <w:r w:rsidRPr="00504D39" w:rsidR="00764300">
        <w:rPr>
          <w:rFonts w:ascii="Times New Roman" w:hAnsi="Times New Roman"/>
          <w:szCs w:val="22"/>
        </w:rPr>
        <w:t>4</w:t>
      </w:r>
      <w:r w:rsidRPr="00504D39" w:rsidR="00632751">
        <w:rPr>
          <w:rFonts w:ascii="Times New Roman" w:hAnsi="Times New Roman"/>
          <w:szCs w:val="22"/>
        </w:rPr>
        <w:t>,</w:t>
      </w:r>
      <w:r w:rsidRPr="00504D39" w:rsidR="00764300">
        <w:rPr>
          <w:rFonts w:ascii="Times New Roman" w:hAnsi="Times New Roman"/>
          <w:szCs w:val="22"/>
        </w:rPr>
        <w:t>8</w:t>
      </w:r>
      <w:r w:rsidRPr="00504D39" w:rsidR="00632751">
        <w:rPr>
          <w:rFonts w:ascii="Times New Roman" w:hAnsi="Times New Roman"/>
          <w:szCs w:val="22"/>
        </w:rPr>
        <w:t xml:space="preserve"> % z celkových výdavkov. Ide o prostriedky štátneho rozpočtu, ktoré sa vynakladajú na poskytovanie sociálnej ochrany v starobe, na podporu </w:t>
      </w:r>
      <w:r w:rsidR="000C2CB4">
        <w:rPr>
          <w:rFonts w:ascii="Times New Roman" w:hAnsi="Times New Roman"/>
          <w:szCs w:val="22"/>
        </w:rPr>
        <w:t xml:space="preserve">rodiny a </w:t>
      </w:r>
      <w:r w:rsidRPr="00504D39" w:rsidR="00632751">
        <w:rPr>
          <w:rFonts w:ascii="Times New Roman" w:hAnsi="Times New Roman"/>
          <w:szCs w:val="22"/>
        </w:rPr>
        <w:t>detí, na sociálnu pomoc občanom v hmotnej a</w:t>
      </w:r>
      <w:r w:rsidR="000C2CB4">
        <w:rPr>
          <w:rFonts w:ascii="Times New Roman" w:hAnsi="Times New Roman"/>
          <w:szCs w:val="22"/>
        </w:rPr>
        <w:t xml:space="preserve"> </w:t>
      </w:r>
      <w:r w:rsidRPr="00504D39" w:rsidR="00632751">
        <w:rPr>
          <w:rFonts w:ascii="Times New Roman" w:hAnsi="Times New Roman"/>
          <w:szCs w:val="22"/>
        </w:rPr>
        <w:t>sociálnej núdzi, na chorobu, invaliditu a</w:t>
      </w:r>
      <w:r w:rsidR="000C2CB4">
        <w:rPr>
          <w:rFonts w:ascii="Times New Roman" w:hAnsi="Times New Roman"/>
          <w:szCs w:val="22"/>
        </w:rPr>
        <w:t xml:space="preserve"> </w:t>
      </w:r>
      <w:r w:rsidRPr="00504D39" w:rsidR="00632751">
        <w:rPr>
          <w:rFonts w:ascii="Times New Roman" w:hAnsi="Times New Roman"/>
          <w:szCs w:val="22"/>
        </w:rPr>
        <w:t>ťažké zdravotné postihnutie a</w:t>
      </w:r>
      <w:r w:rsidR="000C2CB4">
        <w:rPr>
          <w:rFonts w:ascii="Times New Roman" w:hAnsi="Times New Roman"/>
          <w:szCs w:val="22"/>
        </w:rPr>
        <w:t xml:space="preserve"> </w:t>
      </w:r>
      <w:r w:rsidRPr="00504D39" w:rsidR="00632751">
        <w:rPr>
          <w:rFonts w:ascii="Times New Roman" w:hAnsi="Times New Roman"/>
          <w:szCs w:val="22"/>
        </w:rPr>
        <w:t xml:space="preserve">pod. Najväčšia úspora vo výške </w:t>
      </w:r>
      <w:r w:rsidR="00504D39">
        <w:rPr>
          <w:rFonts w:ascii="Times New Roman" w:hAnsi="Times New Roman"/>
          <w:szCs w:val="22"/>
        </w:rPr>
        <w:t>88</w:t>
      </w:r>
      <w:r w:rsidR="0096103B">
        <w:rPr>
          <w:rFonts w:ascii="Times New Roman" w:hAnsi="Times New Roman"/>
          <w:szCs w:val="22"/>
        </w:rPr>
        <w:t> </w:t>
      </w:r>
      <w:r w:rsidR="00504D39">
        <w:rPr>
          <w:rFonts w:ascii="Times New Roman" w:hAnsi="Times New Roman"/>
          <w:szCs w:val="22"/>
        </w:rPr>
        <w:t>464</w:t>
      </w:r>
      <w:r w:rsidR="0096103B">
        <w:rPr>
          <w:rFonts w:ascii="Times New Roman" w:hAnsi="Times New Roman"/>
          <w:szCs w:val="22"/>
        </w:rPr>
        <w:t> </w:t>
      </w:r>
      <w:r w:rsidRPr="00504D39" w:rsidR="00632751">
        <w:rPr>
          <w:rFonts w:ascii="Times New Roman" w:hAnsi="Times New Roman"/>
        </w:rPr>
        <w:t>tis</w:t>
      </w:r>
      <w:r w:rsidRPr="00504D39" w:rsidR="00632751">
        <w:rPr>
          <w:rFonts w:ascii="Times New Roman" w:hAnsi="Times New Roman"/>
          <w:szCs w:val="22"/>
        </w:rPr>
        <w:t xml:space="preserve">. eur bola v skupine </w:t>
      </w:r>
      <w:r w:rsidRPr="00504D39" w:rsidR="00632751">
        <w:rPr>
          <w:rFonts w:ascii="Times New Roman" w:hAnsi="Times New Roman"/>
          <w:i/>
          <w:szCs w:val="22"/>
        </w:rPr>
        <w:t>Staroba</w:t>
      </w:r>
      <w:r w:rsidRPr="00504D39" w:rsidR="00632751">
        <w:rPr>
          <w:rFonts w:ascii="Times New Roman" w:hAnsi="Times New Roman"/>
          <w:szCs w:val="22"/>
        </w:rPr>
        <w:t xml:space="preserve"> (zariadenia sociálnych služieb, ďalšie sociálne služby, príspevky neštátnym subjektom, kde k predmetnej úspore došlo z dôvodu zlepšeného výberu poistného od ekonomicky aktívneho obyvateľstva oproti plánovaným predpokladom</w:t>
      </w:r>
      <w:r w:rsidRPr="00504D39">
        <w:rPr>
          <w:rFonts w:ascii="Times New Roman" w:hAnsi="Times New Roman"/>
          <w:szCs w:val="22"/>
        </w:rPr>
        <w:t>.</w:t>
      </w:r>
    </w:p>
    <w:p w:rsidR="00A62627" w:rsidP="00632751">
      <w:pPr>
        <w:bidi w:val="0"/>
        <w:rPr>
          <w:rFonts w:ascii="Times New Roman" w:hAnsi="Times New Roman"/>
          <w:szCs w:val="22"/>
        </w:rPr>
      </w:pPr>
      <w:r w:rsidRPr="00504D39" w:rsidR="00632751">
        <w:rPr>
          <w:rFonts w:ascii="Times New Roman" w:hAnsi="Times New Roman"/>
          <w:szCs w:val="22"/>
        </w:rPr>
        <w:t>D</w:t>
      </w:r>
      <w:r w:rsidRPr="00504D39" w:rsidR="005F5C0D">
        <w:rPr>
          <w:rFonts w:ascii="Times New Roman" w:hAnsi="Times New Roman"/>
          <w:szCs w:val="22"/>
        </w:rPr>
        <w:t xml:space="preserve">ruhou najvyššou úsporou v sume </w:t>
      </w:r>
      <w:r w:rsidRPr="00504D39" w:rsidR="00504D39">
        <w:rPr>
          <w:rFonts w:ascii="Times New Roman" w:hAnsi="Times New Roman"/>
          <w:szCs w:val="22"/>
        </w:rPr>
        <w:t>48</w:t>
      </w:r>
      <w:r w:rsidRPr="00504D39" w:rsidR="005F5C0D">
        <w:rPr>
          <w:rFonts w:ascii="Times New Roman" w:hAnsi="Times New Roman"/>
          <w:szCs w:val="22"/>
        </w:rPr>
        <w:t> </w:t>
      </w:r>
      <w:r w:rsidRPr="00504D39" w:rsidR="00504D39">
        <w:rPr>
          <w:rFonts w:ascii="Times New Roman" w:hAnsi="Times New Roman"/>
          <w:szCs w:val="22"/>
        </w:rPr>
        <w:t>165</w:t>
      </w:r>
      <w:r w:rsidRPr="00504D39" w:rsidR="005F5C0D">
        <w:rPr>
          <w:rFonts w:ascii="Times New Roman" w:hAnsi="Times New Roman"/>
          <w:szCs w:val="22"/>
        </w:rPr>
        <w:t> </w:t>
      </w:r>
      <w:r w:rsidRPr="00504D39" w:rsidR="00632751">
        <w:rPr>
          <w:rFonts w:ascii="Times New Roman" w:hAnsi="Times New Roman"/>
          <w:szCs w:val="22"/>
        </w:rPr>
        <w:t xml:space="preserve">tis. eur boli výdavky v skupine </w:t>
      </w:r>
      <w:r w:rsidRPr="00504D39" w:rsidR="00632751">
        <w:rPr>
          <w:rFonts w:ascii="Times New Roman" w:hAnsi="Times New Roman"/>
          <w:i/>
          <w:szCs w:val="22"/>
        </w:rPr>
        <w:t>Soc</w:t>
      </w:r>
      <w:r w:rsidRPr="00504D39" w:rsidR="005F5C0D">
        <w:rPr>
          <w:rFonts w:ascii="Times New Roman" w:hAnsi="Times New Roman"/>
          <w:i/>
          <w:szCs w:val="22"/>
        </w:rPr>
        <w:t xml:space="preserve">iálna pomoc občanom v hmotnej a </w:t>
      </w:r>
      <w:r w:rsidRPr="00504D39" w:rsidR="00632751">
        <w:rPr>
          <w:rFonts w:ascii="Times New Roman" w:hAnsi="Times New Roman"/>
          <w:i/>
          <w:szCs w:val="22"/>
        </w:rPr>
        <w:t>sociálnej núdzi</w:t>
      </w:r>
      <w:r w:rsidRPr="00504D39" w:rsidR="00632751">
        <w:rPr>
          <w:rFonts w:ascii="Times New Roman" w:hAnsi="Times New Roman"/>
          <w:szCs w:val="22"/>
        </w:rPr>
        <w:t xml:space="preserve">. Nižšie výdavky ako plánované </w:t>
      </w:r>
      <w:r w:rsidRPr="00504D39" w:rsidR="003742D7">
        <w:rPr>
          <w:rFonts w:ascii="Times New Roman" w:hAnsi="Times New Roman"/>
          <w:szCs w:val="22"/>
        </w:rPr>
        <w:t>boli z dôvodu poklesu počtu poberateľov najmä dávky v hmotnej núdzi</w:t>
      </w:r>
      <w:r w:rsidRPr="00504D39" w:rsidR="0036454A">
        <w:rPr>
          <w:rFonts w:ascii="Times New Roman" w:hAnsi="Times New Roman"/>
          <w:szCs w:val="22"/>
        </w:rPr>
        <w:t>.</w:t>
      </w:r>
      <w:r w:rsidR="00B941AE">
        <w:rPr>
          <w:rFonts w:ascii="Times New Roman" w:hAnsi="Times New Roman"/>
          <w:szCs w:val="22"/>
        </w:rPr>
        <w:t xml:space="preserve"> </w:t>
      </w:r>
    </w:p>
    <w:p w:rsidR="0036454A" w:rsidRPr="00A62627" w:rsidP="00632751">
      <w:pPr>
        <w:bidi w:val="0"/>
        <w:rPr>
          <w:rFonts w:ascii="Times New Roman" w:hAnsi="Times New Roman"/>
          <w:szCs w:val="22"/>
        </w:rPr>
      </w:pPr>
      <w:r w:rsidR="00B941AE">
        <w:rPr>
          <w:rFonts w:ascii="Times New Roman" w:hAnsi="Times New Roman"/>
          <w:szCs w:val="22"/>
        </w:rPr>
        <w:t xml:space="preserve">Naopak, vyššie výdavky ako boli plánované vykázala </w:t>
      </w:r>
      <w:r w:rsidR="00A62627">
        <w:rPr>
          <w:rFonts w:ascii="Times New Roman" w:hAnsi="Times New Roman"/>
          <w:szCs w:val="22"/>
        </w:rPr>
        <w:t xml:space="preserve">skupina </w:t>
      </w:r>
      <w:r w:rsidR="00A62627">
        <w:rPr>
          <w:rFonts w:ascii="Times New Roman" w:hAnsi="Times New Roman"/>
          <w:i/>
          <w:szCs w:val="22"/>
        </w:rPr>
        <w:t>sociálne zabezpečenie inde neklasifikované</w:t>
      </w:r>
      <w:r w:rsidR="00A62627">
        <w:rPr>
          <w:rFonts w:ascii="Times New Roman" w:hAnsi="Times New Roman"/>
          <w:szCs w:val="22"/>
        </w:rPr>
        <w:t xml:space="preserve"> o 134 855 tis. eur, na ktorých sa najvyššou mierou podieľalo Ministerstvo zdravotníctva SR (o</w:t>
      </w:r>
      <w:r w:rsidR="00897281">
        <w:rPr>
          <w:rFonts w:ascii="Times New Roman" w:hAnsi="Times New Roman"/>
          <w:szCs w:val="22"/>
        </w:rPr>
        <w:t> </w:t>
      </w:r>
      <w:r w:rsidR="00A62627">
        <w:rPr>
          <w:rFonts w:ascii="Times New Roman" w:hAnsi="Times New Roman"/>
          <w:szCs w:val="22"/>
        </w:rPr>
        <w:t>94 543 tis. eur).</w:t>
      </w:r>
    </w:p>
    <w:p w:rsidR="00632751" w:rsidRPr="00504D39" w:rsidP="008A0E0C">
      <w:pPr>
        <w:bidi w:val="0"/>
        <w:rPr>
          <w:rFonts w:ascii="Times New Roman" w:hAnsi="Times New Roman"/>
          <w:b/>
          <w:szCs w:val="22"/>
        </w:rPr>
      </w:pPr>
      <w:r w:rsidRPr="00504D39">
        <w:rPr>
          <w:rFonts w:ascii="Times New Roman" w:hAnsi="Times New Roman"/>
          <w:b/>
          <w:szCs w:val="22"/>
        </w:rPr>
        <w:t>Vzdelávanie</w:t>
      </w:r>
    </w:p>
    <w:p w:rsidR="00632751" w:rsidRPr="00504D39" w:rsidP="00632751">
      <w:pPr>
        <w:bidi w:val="0"/>
        <w:rPr>
          <w:rFonts w:ascii="Times New Roman" w:hAnsi="Times New Roman"/>
          <w:szCs w:val="22"/>
        </w:rPr>
      </w:pPr>
      <w:r w:rsidRPr="00504D39">
        <w:rPr>
          <w:rFonts w:ascii="Times New Roman" w:hAnsi="Times New Roman"/>
          <w:szCs w:val="22"/>
        </w:rPr>
        <w:t>Výdavky na vzdelávanie v roku 201</w:t>
      </w:r>
      <w:r w:rsidRPr="00504D39" w:rsidR="00504D39">
        <w:rPr>
          <w:rFonts w:ascii="Times New Roman" w:hAnsi="Times New Roman"/>
          <w:szCs w:val="22"/>
        </w:rPr>
        <w:t>7</w:t>
      </w:r>
      <w:r w:rsidRPr="00504D39">
        <w:rPr>
          <w:rFonts w:ascii="Times New Roman" w:hAnsi="Times New Roman"/>
          <w:szCs w:val="22"/>
        </w:rPr>
        <w:t xml:space="preserve"> predstavovali 1</w:t>
      </w:r>
      <w:r w:rsidRPr="00504D39" w:rsidR="008762A9">
        <w:rPr>
          <w:rFonts w:ascii="Times New Roman" w:hAnsi="Times New Roman"/>
          <w:szCs w:val="22"/>
        </w:rPr>
        <w:t>3,</w:t>
      </w:r>
      <w:r w:rsidRPr="00504D39" w:rsidR="00504D39">
        <w:rPr>
          <w:rFonts w:ascii="Times New Roman" w:hAnsi="Times New Roman"/>
          <w:szCs w:val="22"/>
        </w:rPr>
        <w:t>7</w:t>
      </w:r>
      <w:r w:rsidRPr="00504D39">
        <w:rPr>
          <w:rFonts w:ascii="Times New Roman" w:hAnsi="Times New Roman"/>
          <w:szCs w:val="22"/>
        </w:rPr>
        <w:t xml:space="preserve"> % z celkových výdavkov. Okrem financovania všetkých stupňov vzdelávania sa výdavky vynaložili aj na služby v školstve, napr. v oblasti stravovania, dopravy, lekárskej starostlivosti a</w:t>
      </w:r>
      <w:r w:rsidR="00897281">
        <w:rPr>
          <w:rFonts w:ascii="Times New Roman" w:hAnsi="Times New Roman"/>
          <w:szCs w:val="22"/>
        </w:rPr>
        <w:t xml:space="preserve"> na činnosť orgánov a </w:t>
      </w:r>
      <w:r w:rsidRPr="00504D39">
        <w:rPr>
          <w:rFonts w:ascii="Times New Roman" w:hAnsi="Times New Roman"/>
          <w:szCs w:val="22"/>
        </w:rPr>
        <w:t xml:space="preserve">organizácií, ktoré vzdelávanie zabezpečujú. Oproti minulému roku výdavky </w:t>
      </w:r>
      <w:r w:rsidR="002F6FF1">
        <w:rPr>
          <w:rFonts w:ascii="Times New Roman" w:hAnsi="Times New Roman"/>
          <w:szCs w:val="22"/>
        </w:rPr>
        <w:t>vzrástli</w:t>
      </w:r>
      <w:r w:rsidRPr="00504D39">
        <w:rPr>
          <w:rFonts w:ascii="Times New Roman" w:hAnsi="Times New Roman"/>
          <w:szCs w:val="22"/>
        </w:rPr>
        <w:t xml:space="preserve"> o </w:t>
      </w:r>
      <w:r w:rsidRPr="002F6FF1" w:rsidR="002F6FF1">
        <w:rPr>
          <w:rFonts w:ascii="Times New Roman" w:hAnsi="Times New Roman"/>
          <w:szCs w:val="22"/>
        </w:rPr>
        <w:t>89</w:t>
      </w:r>
      <w:r w:rsidRPr="002F6FF1">
        <w:rPr>
          <w:rFonts w:ascii="Times New Roman" w:hAnsi="Times New Roman"/>
          <w:szCs w:val="22"/>
        </w:rPr>
        <w:t> </w:t>
      </w:r>
      <w:r w:rsidRPr="002F6FF1" w:rsidR="002F6FF1">
        <w:rPr>
          <w:rFonts w:ascii="Times New Roman" w:hAnsi="Times New Roman"/>
          <w:szCs w:val="22"/>
        </w:rPr>
        <w:t>705</w:t>
      </w:r>
      <w:r w:rsidRPr="002F6FF1">
        <w:rPr>
          <w:rFonts w:ascii="Times New Roman" w:hAnsi="Times New Roman"/>
          <w:szCs w:val="22"/>
        </w:rPr>
        <w:t> tis. eur.</w:t>
      </w:r>
      <w:r w:rsidRPr="00504D39">
        <w:rPr>
          <w:rFonts w:ascii="Times New Roman" w:hAnsi="Times New Roman"/>
          <w:szCs w:val="22"/>
        </w:rPr>
        <w:t xml:space="preserve"> Najvyššie výdavky boli na kapitole Ministerstva vnútra SR (1 </w:t>
      </w:r>
      <w:r w:rsidR="00504D39">
        <w:rPr>
          <w:rFonts w:ascii="Times New Roman" w:hAnsi="Times New Roman"/>
          <w:szCs w:val="22"/>
        </w:rPr>
        <w:t>220</w:t>
      </w:r>
      <w:r w:rsidRPr="00504D39">
        <w:rPr>
          <w:rFonts w:ascii="Times New Roman" w:hAnsi="Times New Roman"/>
          <w:szCs w:val="22"/>
        </w:rPr>
        <w:t> </w:t>
      </w:r>
      <w:r w:rsidR="00504D39">
        <w:rPr>
          <w:rFonts w:ascii="Times New Roman" w:hAnsi="Times New Roman"/>
          <w:szCs w:val="22"/>
        </w:rPr>
        <w:t>847</w:t>
      </w:r>
      <w:r w:rsidRPr="00504D39">
        <w:rPr>
          <w:rFonts w:ascii="Times New Roman" w:hAnsi="Times New Roman"/>
          <w:szCs w:val="22"/>
        </w:rPr>
        <w:t> tis. eur) a kapitole Ministerstva školstva, vedy, výskumu a športu SR (</w:t>
      </w:r>
      <w:r w:rsidRPr="00504D39" w:rsidR="008762A9">
        <w:rPr>
          <w:rFonts w:ascii="Times New Roman" w:hAnsi="Times New Roman"/>
          <w:szCs w:val="22"/>
        </w:rPr>
        <w:t>8</w:t>
      </w:r>
      <w:r w:rsidR="00504D39">
        <w:rPr>
          <w:rFonts w:ascii="Times New Roman" w:hAnsi="Times New Roman"/>
          <w:szCs w:val="22"/>
        </w:rPr>
        <w:t>49</w:t>
      </w:r>
      <w:r w:rsidRPr="00504D39">
        <w:rPr>
          <w:rFonts w:ascii="Times New Roman" w:hAnsi="Times New Roman"/>
          <w:szCs w:val="22"/>
        </w:rPr>
        <w:t> </w:t>
      </w:r>
      <w:r w:rsidR="00504D39">
        <w:rPr>
          <w:rFonts w:ascii="Times New Roman" w:hAnsi="Times New Roman"/>
          <w:szCs w:val="22"/>
        </w:rPr>
        <w:t>507</w:t>
      </w:r>
      <w:r w:rsidRPr="00504D39">
        <w:rPr>
          <w:rFonts w:ascii="Times New Roman" w:hAnsi="Times New Roman"/>
          <w:szCs w:val="22"/>
        </w:rPr>
        <w:t xml:space="preserve"> tis. eur). Najvyššie výdavky boli v oblasti </w:t>
      </w:r>
      <w:r w:rsidR="00637766">
        <w:rPr>
          <w:rFonts w:ascii="Times New Roman" w:hAnsi="Times New Roman"/>
          <w:szCs w:val="22"/>
        </w:rPr>
        <w:t>v</w:t>
      </w:r>
      <w:r w:rsidRPr="00637766">
        <w:rPr>
          <w:rFonts w:ascii="Times New Roman" w:hAnsi="Times New Roman"/>
          <w:i/>
          <w:szCs w:val="22"/>
        </w:rPr>
        <w:t>zdelávanie inde neklasifikované</w:t>
      </w:r>
      <w:r w:rsidRPr="00504D39">
        <w:rPr>
          <w:rFonts w:ascii="Times New Roman" w:hAnsi="Times New Roman"/>
          <w:szCs w:val="22"/>
        </w:rPr>
        <w:t xml:space="preserve"> vo výške 1 </w:t>
      </w:r>
      <w:r w:rsidR="00961BF4">
        <w:rPr>
          <w:rFonts w:ascii="Times New Roman" w:hAnsi="Times New Roman"/>
          <w:szCs w:val="22"/>
        </w:rPr>
        <w:t>108</w:t>
      </w:r>
      <w:r w:rsidRPr="00504D39">
        <w:rPr>
          <w:rFonts w:ascii="Times New Roman" w:hAnsi="Times New Roman"/>
          <w:szCs w:val="22"/>
        </w:rPr>
        <w:t> </w:t>
      </w:r>
      <w:r w:rsidR="00961BF4">
        <w:rPr>
          <w:rFonts w:ascii="Times New Roman" w:hAnsi="Times New Roman"/>
          <w:szCs w:val="22"/>
        </w:rPr>
        <w:t>936</w:t>
      </w:r>
      <w:r w:rsidRPr="00504D39">
        <w:rPr>
          <w:rFonts w:ascii="Times New Roman" w:hAnsi="Times New Roman"/>
          <w:szCs w:val="22"/>
        </w:rPr>
        <w:t xml:space="preserve"> tis. eur, </w:t>
      </w:r>
      <w:r w:rsidR="00637766">
        <w:rPr>
          <w:rFonts w:ascii="Times New Roman" w:hAnsi="Times New Roman"/>
          <w:szCs w:val="22"/>
        </w:rPr>
        <w:t xml:space="preserve">na </w:t>
      </w:r>
      <w:r w:rsidRPr="00637766" w:rsidR="00637766">
        <w:rPr>
          <w:rFonts w:ascii="Times New Roman" w:hAnsi="Times New Roman"/>
          <w:i/>
          <w:szCs w:val="22"/>
        </w:rPr>
        <w:t>s</w:t>
      </w:r>
      <w:r w:rsidRPr="00637766">
        <w:rPr>
          <w:rFonts w:ascii="Times New Roman" w:hAnsi="Times New Roman"/>
          <w:i/>
          <w:szCs w:val="22"/>
        </w:rPr>
        <w:t>ekundárne vzdelávanie</w:t>
      </w:r>
      <w:r w:rsidRPr="00504D39">
        <w:rPr>
          <w:rFonts w:ascii="Times New Roman" w:hAnsi="Times New Roman"/>
          <w:szCs w:val="22"/>
        </w:rPr>
        <w:t xml:space="preserve"> vo výške </w:t>
      </w:r>
      <w:r w:rsidR="00961BF4">
        <w:rPr>
          <w:rFonts w:ascii="Times New Roman" w:hAnsi="Times New Roman"/>
          <w:szCs w:val="22"/>
        </w:rPr>
        <w:t>500</w:t>
      </w:r>
      <w:r w:rsidRPr="00504D39">
        <w:rPr>
          <w:rFonts w:ascii="Times New Roman" w:hAnsi="Times New Roman"/>
          <w:szCs w:val="22"/>
        </w:rPr>
        <w:t> </w:t>
      </w:r>
      <w:r w:rsidR="00961BF4">
        <w:rPr>
          <w:rFonts w:ascii="Times New Roman" w:hAnsi="Times New Roman"/>
          <w:szCs w:val="22"/>
        </w:rPr>
        <w:t>825</w:t>
      </w:r>
      <w:r w:rsidR="00637766">
        <w:rPr>
          <w:rFonts w:ascii="Times New Roman" w:hAnsi="Times New Roman"/>
          <w:szCs w:val="22"/>
        </w:rPr>
        <w:t xml:space="preserve"> tis. eur a na </w:t>
      </w:r>
      <w:r w:rsidRPr="00637766" w:rsidR="00637766">
        <w:rPr>
          <w:rFonts w:ascii="Times New Roman" w:hAnsi="Times New Roman"/>
          <w:i/>
          <w:szCs w:val="22"/>
        </w:rPr>
        <w:t>t</w:t>
      </w:r>
      <w:r w:rsidRPr="00637766">
        <w:rPr>
          <w:rFonts w:ascii="Times New Roman" w:hAnsi="Times New Roman"/>
          <w:i/>
          <w:szCs w:val="22"/>
        </w:rPr>
        <w:t>erciárne vzdelávanie</w:t>
      </w:r>
      <w:r w:rsidRPr="00504D39">
        <w:rPr>
          <w:rFonts w:ascii="Times New Roman" w:hAnsi="Times New Roman"/>
          <w:szCs w:val="22"/>
        </w:rPr>
        <w:t xml:space="preserve"> vo výške 3</w:t>
      </w:r>
      <w:r w:rsidR="00961BF4">
        <w:rPr>
          <w:rFonts w:ascii="Times New Roman" w:hAnsi="Times New Roman"/>
          <w:szCs w:val="22"/>
        </w:rPr>
        <w:t>06</w:t>
      </w:r>
      <w:r w:rsidRPr="00504D39">
        <w:rPr>
          <w:rFonts w:ascii="Times New Roman" w:hAnsi="Times New Roman"/>
          <w:szCs w:val="22"/>
        </w:rPr>
        <w:t> </w:t>
      </w:r>
      <w:r w:rsidR="00961BF4">
        <w:rPr>
          <w:rFonts w:ascii="Times New Roman" w:hAnsi="Times New Roman"/>
          <w:szCs w:val="22"/>
        </w:rPr>
        <w:t>367</w:t>
      </w:r>
      <w:r w:rsidRPr="00504D39">
        <w:rPr>
          <w:rFonts w:ascii="Times New Roman" w:hAnsi="Times New Roman"/>
          <w:szCs w:val="22"/>
        </w:rPr>
        <w:t> tis. eur.</w:t>
      </w:r>
    </w:p>
    <w:p w:rsidR="00C74F42" w:rsidRPr="008B075B" w:rsidP="00C74F42">
      <w:pPr>
        <w:bidi w:val="0"/>
        <w:rPr>
          <w:rFonts w:ascii="Times New Roman" w:hAnsi="Times New Roman"/>
          <w:szCs w:val="22"/>
        </w:rPr>
      </w:pPr>
      <w:r w:rsidRPr="00637766">
        <w:rPr>
          <w:rFonts w:ascii="Times New Roman" w:hAnsi="Times New Roman"/>
          <w:szCs w:val="22"/>
        </w:rPr>
        <w:t xml:space="preserve">Ministerstvo vnútra SR </w:t>
      </w:r>
      <w:r w:rsidRPr="00637766" w:rsidR="00637766">
        <w:rPr>
          <w:rFonts w:ascii="Times New Roman" w:hAnsi="Times New Roman"/>
          <w:szCs w:val="22"/>
        </w:rPr>
        <w:t xml:space="preserve">v rámci skupiny </w:t>
      </w:r>
      <w:r w:rsidRPr="00637766" w:rsidR="00637766">
        <w:rPr>
          <w:rFonts w:ascii="Times New Roman" w:hAnsi="Times New Roman"/>
          <w:i/>
          <w:szCs w:val="22"/>
        </w:rPr>
        <w:t xml:space="preserve">vzdelávanie inde neklasifikované </w:t>
      </w:r>
      <w:r w:rsidRPr="00637766" w:rsidR="000C13F8">
        <w:rPr>
          <w:rFonts w:ascii="Times New Roman" w:hAnsi="Times New Roman"/>
          <w:szCs w:val="22"/>
        </w:rPr>
        <w:t xml:space="preserve">vykázalo </w:t>
      </w:r>
      <w:r w:rsidRPr="00637766">
        <w:rPr>
          <w:rFonts w:ascii="Times New Roman" w:hAnsi="Times New Roman"/>
          <w:szCs w:val="22"/>
        </w:rPr>
        <w:t xml:space="preserve">transfery obci na úhradu nákladov preneseného výkonu štátnej </w:t>
      </w:r>
      <w:r w:rsidRPr="00DF5E5A">
        <w:rPr>
          <w:rFonts w:ascii="Times New Roman" w:hAnsi="Times New Roman"/>
          <w:szCs w:val="22"/>
        </w:rPr>
        <w:t xml:space="preserve">správy v sume </w:t>
      </w:r>
      <w:r w:rsidR="00C56D1C">
        <w:rPr>
          <w:rFonts w:ascii="Times New Roman" w:hAnsi="Times New Roman"/>
          <w:szCs w:val="22"/>
        </w:rPr>
        <w:t>829 136</w:t>
      </w:r>
      <w:r w:rsidRPr="00DF5E5A" w:rsidR="001B333E">
        <w:rPr>
          <w:rFonts w:ascii="Times New Roman" w:hAnsi="Times New Roman"/>
          <w:szCs w:val="22"/>
        </w:rPr>
        <w:t> tis. </w:t>
      </w:r>
      <w:r w:rsidRPr="00DF5E5A">
        <w:rPr>
          <w:rFonts w:ascii="Times New Roman" w:hAnsi="Times New Roman"/>
          <w:szCs w:val="22"/>
        </w:rPr>
        <w:t xml:space="preserve">eur, </w:t>
      </w:r>
      <w:r w:rsidRPr="008B075B">
        <w:rPr>
          <w:rFonts w:ascii="Times New Roman" w:hAnsi="Times New Roman"/>
          <w:szCs w:val="22"/>
        </w:rPr>
        <w:t>transfery cirkevnej škole v sume 8</w:t>
      </w:r>
      <w:r w:rsidRPr="008B075B" w:rsidR="008B075B">
        <w:rPr>
          <w:rFonts w:ascii="Times New Roman" w:hAnsi="Times New Roman"/>
          <w:szCs w:val="22"/>
        </w:rPr>
        <w:t>7 929</w:t>
      </w:r>
      <w:r w:rsidRPr="008B075B">
        <w:rPr>
          <w:rFonts w:ascii="Times New Roman" w:hAnsi="Times New Roman"/>
          <w:szCs w:val="22"/>
        </w:rPr>
        <w:t xml:space="preserve"> tis. eur, transfery súkromnej škole v sume </w:t>
      </w:r>
      <w:r w:rsidR="008B075B">
        <w:rPr>
          <w:rFonts w:ascii="Times New Roman" w:hAnsi="Times New Roman"/>
          <w:szCs w:val="22"/>
        </w:rPr>
        <w:t>73</w:t>
      </w:r>
      <w:r w:rsidRPr="008B075B">
        <w:rPr>
          <w:rFonts w:ascii="Times New Roman" w:hAnsi="Times New Roman"/>
          <w:szCs w:val="22"/>
        </w:rPr>
        <w:t> </w:t>
      </w:r>
      <w:r w:rsidR="008B075B">
        <w:rPr>
          <w:rFonts w:ascii="Times New Roman" w:hAnsi="Times New Roman"/>
          <w:szCs w:val="22"/>
        </w:rPr>
        <w:t>958</w:t>
      </w:r>
      <w:r w:rsidRPr="008B075B">
        <w:rPr>
          <w:rFonts w:ascii="Times New Roman" w:hAnsi="Times New Roman"/>
          <w:szCs w:val="22"/>
        </w:rPr>
        <w:t xml:space="preserve"> tis. eur a kapitálové transfery obci v sume </w:t>
      </w:r>
      <w:r w:rsidR="008B075B">
        <w:rPr>
          <w:rFonts w:ascii="Times New Roman" w:hAnsi="Times New Roman"/>
          <w:szCs w:val="22"/>
        </w:rPr>
        <w:t>8</w:t>
      </w:r>
      <w:r w:rsidRPr="008B075B">
        <w:rPr>
          <w:rFonts w:ascii="Times New Roman" w:hAnsi="Times New Roman"/>
          <w:szCs w:val="22"/>
        </w:rPr>
        <w:t> </w:t>
      </w:r>
      <w:r w:rsidR="008B075B">
        <w:rPr>
          <w:rFonts w:ascii="Times New Roman" w:hAnsi="Times New Roman"/>
          <w:szCs w:val="22"/>
        </w:rPr>
        <w:t>713</w:t>
      </w:r>
      <w:r w:rsidRPr="008B075B">
        <w:rPr>
          <w:rFonts w:ascii="Times New Roman" w:hAnsi="Times New Roman"/>
          <w:szCs w:val="22"/>
        </w:rPr>
        <w:t> </w:t>
      </w:r>
      <w:r w:rsidRPr="008B075B" w:rsidR="000C13F8">
        <w:rPr>
          <w:rFonts w:ascii="Times New Roman" w:hAnsi="Times New Roman"/>
          <w:szCs w:val="22"/>
        </w:rPr>
        <w:t>tis</w:t>
      </w:r>
      <w:r w:rsidRPr="008B075B">
        <w:rPr>
          <w:rFonts w:ascii="Times New Roman" w:hAnsi="Times New Roman"/>
          <w:szCs w:val="22"/>
        </w:rPr>
        <w:t>.</w:t>
      </w:r>
      <w:r w:rsidRPr="008B075B" w:rsidR="000C13F8">
        <w:rPr>
          <w:rFonts w:ascii="Times New Roman" w:hAnsi="Times New Roman"/>
          <w:szCs w:val="22"/>
        </w:rPr>
        <w:t xml:space="preserve"> eur.</w:t>
      </w:r>
    </w:p>
    <w:p w:rsidR="00632751" w:rsidRPr="00961BF4" w:rsidP="008A0E0C">
      <w:pPr>
        <w:bidi w:val="0"/>
        <w:rPr>
          <w:rFonts w:ascii="Times New Roman" w:hAnsi="Times New Roman"/>
          <w:b/>
          <w:szCs w:val="22"/>
        </w:rPr>
      </w:pPr>
      <w:r w:rsidRPr="00961BF4">
        <w:rPr>
          <w:rFonts w:ascii="Times New Roman" w:hAnsi="Times New Roman"/>
          <w:b/>
          <w:szCs w:val="22"/>
        </w:rPr>
        <w:t>Verejný poriadok a bezpečnosť</w:t>
      </w:r>
    </w:p>
    <w:p w:rsidR="00046420" w:rsidP="00632751">
      <w:pPr>
        <w:bidi w:val="0"/>
        <w:rPr>
          <w:rFonts w:ascii="Times New Roman" w:hAnsi="Times New Roman"/>
          <w:szCs w:val="22"/>
        </w:rPr>
      </w:pPr>
      <w:r w:rsidRPr="00961BF4" w:rsidR="00632751">
        <w:rPr>
          <w:rFonts w:ascii="Times New Roman" w:hAnsi="Times New Roman"/>
          <w:szCs w:val="22"/>
        </w:rPr>
        <w:t>Výd</w:t>
      </w:r>
      <w:r w:rsidRPr="00961BF4" w:rsidR="00830822">
        <w:rPr>
          <w:rFonts w:ascii="Times New Roman" w:hAnsi="Times New Roman"/>
          <w:szCs w:val="22"/>
        </w:rPr>
        <w:t>avky predstavovali 11</w:t>
      </w:r>
      <w:r w:rsidRPr="00961BF4" w:rsidR="00632751">
        <w:rPr>
          <w:rFonts w:ascii="Times New Roman" w:hAnsi="Times New Roman"/>
          <w:szCs w:val="22"/>
        </w:rPr>
        <w:t>,</w:t>
      </w:r>
      <w:r w:rsidRPr="00961BF4" w:rsidR="00961BF4">
        <w:rPr>
          <w:rFonts w:ascii="Times New Roman" w:hAnsi="Times New Roman"/>
          <w:szCs w:val="22"/>
        </w:rPr>
        <w:t>5</w:t>
      </w:r>
      <w:r w:rsidRPr="00961BF4" w:rsidR="00632751">
        <w:rPr>
          <w:rFonts w:ascii="Times New Roman" w:hAnsi="Times New Roman"/>
          <w:szCs w:val="22"/>
        </w:rPr>
        <w:t xml:space="preserve"> % z celkových výdavkov. Ide o oblasť činností štátnej polície, súdov, potreby väzenstva, ochranu pred požiarmi ako aj financovanie ústredných orgánov, ktoré tieto činnosti kompetenčne zabezpečujú. </w:t>
      </w:r>
      <w:r w:rsidRPr="00843964" w:rsidR="00632751">
        <w:rPr>
          <w:rFonts w:ascii="Times New Roman" w:hAnsi="Times New Roman"/>
          <w:szCs w:val="22"/>
        </w:rPr>
        <w:t xml:space="preserve">Výdavky oproti minulému roku </w:t>
      </w:r>
      <w:r w:rsidRPr="00843964" w:rsidR="00961BF4">
        <w:rPr>
          <w:rFonts w:ascii="Times New Roman" w:hAnsi="Times New Roman"/>
          <w:szCs w:val="22"/>
        </w:rPr>
        <w:t>poklesli</w:t>
      </w:r>
      <w:r w:rsidRPr="00843964" w:rsidR="00632751">
        <w:rPr>
          <w:rFonts w:ascii="Times New Roman" w:hAnsi="Times New Roman"/>
          <w:szCs w:val="22"/>
        </w:rPr>
        <w:t xml:space="preserve"> o </w:t>
      </w:r>
      <w:r w:rsidRPr="00843964" w:rsidR="00961BF4">
        <w:rPr>
          <w:rFonts w:ascii="Times New Roman" w:hAnsi="Times New Roman"/>
          <w:szCs w:val="22"/>
        </w:rPr>
        <w:t>5</w:t>
      </w:r>
      <w:r w:rsidRPr="00843964" w:rsidR="00830822">
        <w:rPr>
          <w:rFonts w:ascii="Times New Roman" w:hAnsi="Times New Roman"/>
          <w:szCs w:val="22"/>
        </w:rPr>
        <w:t>7</w:t>
      </w:r>
      <w:r w:rsidRPr="00843964" w:rsidR="00632751">
        <w:rPr>
          <w:rFonts w:ascii="Times New Roman" w:hAnsi="Times New Roman"/>
          <w:szCs w:val="22"/>
        </w:rPr>
        <w:t> </w:t>
      </w:r>
      <w:r w:rsidRPr="00843964" w:rsidR="00961BF4">
        <w:rPr>
          <w:rFonts w:ascii="Times New Roman" w:hAnsi="Times New Roman"/>
          <w:szCs w:val="22"/>
        </w:rPr>
        <w:t>647</w:t>
      </w:r>
      <w:r w:rsidRPr="00843964" w:rsidR="00632751">
        <w:rPr>
          <w:rFonts w:ascii="Times New Roman" w:hAnsi="Times New Roman"/>
          <w:szCs w:val="22"/>
        </w:rPr>
        <w:t xml:space="preserve"> tis. eur. </w:t>
      </w:r>
      <w:r w:rsidR="00852DC5">
        <w:rPr>
          <w:rFonts w:ascii="Times New Roman" w:hAnsi="Times New Roman"/>
          <w:szCs w:val="22"/>
        </w:rPr>
        <w:t>Najpo</w:t>
      </w:r>
      <w:r w:rsidRPr="00843964" w:rsidR="00852DC5">
        <w:rPr>
          <w:rFonts w:ascii="Times New Roman" w:hAnsi="Times New Roman"/>
          <w:szCs w:val="22"/>
        </w:rPr>
        <w:t>dstatn</w:t>
      </w:r>
      <w:r w:rsidR="00852DC5">
        <w:rPr>
          <w:rFonts w:ascii="Times New Roman" w:hAnsi="Times New Roman"/>
          <w:szCs w:val="22"/>
        </w:rPr>
        <w:t>ejší vplyv</w:t>
      </w:r>
      <w:r w:rsidRPr="00843964" w:rsidR="00852DC5">
        <w:rPr>
          <w:rFonts w:ascii="Times New Roman" w:hAnsi="Times New Roman"/>
          <w:szCs w:val="22"/>
        </w:rPr>
        <w:t xml:space="preserve"> </w:t>
      </w:r>
      <w:r w:rsidR="00852DC5">
        <w:rPr>
          <w:rFonts w:ascii="Times New Roman" w:hAnsi="Times New Roman"/>
          <w:szCs w:val="22"/>
        </w:rPr>
        <w:t xml:space="preserve">na </w:t>
      </w:r>
      <w:r w:rsidRPr="00843964" w:rsidR="00852DC5">
        <w:rPr>
          <w:rFonts w:ascii="Times New Roman" w:hAnsi="Times New Roman"/>
          <w:szCs w:val="22"/>
        </w:rPr>
        <w:t>prekročen</w:t>
      </w:r>
      <w:r w:rsidR="00852DC5">
        <w:rPr>
          <w:rFonts w:ascii="Times New Roman" w:hAnsi="Times New Roman"/>
          <w:szCs w:val="22"/>
        </w:rPr>
        <w:t xml:space="preserve">í schváleného rozpočtu </w:t>
      </w:r>
      <w:r w:rsidRPr="00843964" w:rsidR="00852DC5">
        <w:rPr>
          <w:rFonts w:ascii="Times New Roman" w:hAnsi="Times New Roman"/>
          <w:szCs w:val="22"/>
        </w:rPr>
        <w:t>tvori</w:t>
      </w:r>
      <w:r w:rsidR="00852DC5">
        <w:rPr>
          <w:rFonts w:ascii="Times New Roman" w:hAnsi="Times New Roman"/>
          <w:szCs w:val="22"/>
        </w:rPr>
        <w:t>li</w:t>
      </w:r>
      <w:r w:rsidRPr="00843964" w:rsidR="00852DC5">
        <w:rPr>
          <w:rFonts w:ascii="Times New Roman" w:hAnsi="Times New Roman"/>
          <w:szCs w:val="22"/>
        </w:rPr>
        <w:t xml:space="preserve"> výdavky na</w:t>
      </w:r>
      <w:r w:rsidRPr="00852DC5" w:rsidR="00852DC5">
        <w:rPr>
          <w:rFonts w:ascii="Times New Roman" w:hAnsi="Times New Roman"/>
          <w:i/>
          <w:szCs w:val="22"/>
        </w:rPr>
        <w:t xml:space="preserve"> </w:t>
      </w:r>
      <w:r w:rsidR="00852DC5">
        <w:rPr>
          <w:rFonts w:ascii="Times New Roman" w:hAnsi="Times New Roman"/>
          <w:i/>
          <w:szCs w:val="22"/>
        </w:rPr>
        <w:t xml:space="preserve">ochranu pred požiarmi, </w:t>
      </w:r>
      <w:r w:rsidR="00852DC5">
        <w:rPr>
          <w:rFonts w:ascii="Times New Roman" w:hAnsi="Times New Roman"/>
          <w:szCs w:val="22"/>
        </w:rPr>
        <w:t>(o 35 256 tis. eur)</w:t>
      </w:r>
      <w:r>
        <w:rPr>
          <w:rFonts w:ascii="Times New Roman" w:hAnsi="Times New Roman"/>
          <w:szCs w:val="22"/>
        </w:rPr>
        <w:t xml:space="preserve"> a </w:t>
      </w:r>
      <w:r w:rsidRPr="00843964" w:rsidR="00632751">
        <w:rPr>
          <w:rFonts w:ascii="Times New Roman" w:hAnsi="Times New Roman"/>
          <w:i/>
          <w:szCs w:val="22"/>
        </w:rPr>
        <w:t>verejný</w:t>
      </w:r>
      <w:r w:rsidRPr="00843964" w:rsidR="00FE0816">
        <w:rPr>
          <w:rFonts w:ascii="Times New Roman" w:hAnsi="Times New Roman"/>
          <w:i/>
          <w:szCs w:val="22"/>
        </w:rPr>
        <w:t xml:space="preserve"> poriadok a bezpečnosť</w:t>
      </w:r>
      <w:r w:rsidRPr="00843964" w:rsidR="00FE0816">
        <w:rPr>
          <w:rFonts w:ascii="Times New Roman" w:hAnsi="Times New Roman"/>
          <w:szCs w:val="22"/>
        </w:rPr>
        <w:t xml:space="preserve"> </w:t>
      </w:r>
      <w:r w:rsidR="00245711">
        <w:rPr>
          <w:rFonts w:ascii="Times New Roman" w:hAnsi="Times New Roman"/>
          <w:i/>
          <w:szCs w:val="22"/>
        </w:rPr>
        <w:t xml:space="preserve">inde neklasifikované </w:t>
      </w:r>
      <w:r>
        <w:rPr>
          <w:rFonts w:ascii="Times New Roman" w:hAnsi="Times New Roman"/>
          <w:szCs w:val="22"/>
        </w:rPr>
        <w:t>(o </w:t>
      </w:r>
      <w:r w:rsidRPr="00843964" w:rsidR="00FE0816">
        <w:rPr>
          <w:rFonts w:ascii="Times New Roman" w:hAnsi="Times New Roman"/>
          <w:szCs w:val="22"/>
        </w:rPr>
        <w:t>1</w:t>
      </w:r>
      <w:r w:rsidRPr="00843964" w:rsidR="00843964">
        <w:rPr>
          <w:rFonts w:ascii="Times New Roman" w:hAnsi="Times New Roman"/>
          <w:szCs w:val="22"/>
        </w:rPr>
        <w:t>9</w:t>
      </w:r>
      <w:r w:rsidR="00C56D1C">
        <w:rPr>
          <w:rFonts w:ascii="Times New Roman" w:hAnsi="Times New Roman"/>
          <w:szCs w:val="22"/>
        </w:rPr>
        <w:t> </w:t>
      </w:r>
      <w:r w:rsidRPr="00843964" w:rsidR="00843964">
        <w:rPr>
          <w:rFonts w:ascii="Times New Roman" w:hAnsi="Times New Roman"/>
          <w:szCs w:val="22"/>
        </w:rPr>
        <w:t>508</w:t>
      </w:r>
      <w:r w:rsidR="00C56D1C">
        <w:rPr>
          <w:rFonts w:ascii="Times New Roman" w:hAnsi="Times New Roman"/>
          <w:szCs w:val="22"/>
        </w:rPr>
        <w:t> tis. </w:t>
      </w:r>
      <w:r w:rsidRPr="00843964" w:rsidR="00632751">
        <w:rPr>
          <w:rFonts w:ascii="Times New Roman" w:hAnsi="Times New Roman"/>
          <w:szCs w:val="22"/>
        </w:rPr>
        <w:t>eur</w:t>
      </w:r>
      <w:r>
        <w:rPr>
          <w:rFonts w:ascii="Times New Roman" w:hAnsi="Times New Roman"/>
          <w:szCs w:val="22"/>
        </w:rPr>
        <w:t>).</w:t>
      </w:r>
    </w:p>
    <w:p w:rsidR="00632751" w:rsidRPr="00843964" w:rsidP="008A0E0C">
      <w:pPr>
        <w:bidi w:val="0"/>
        <w:rPr>
          <w:rFonts w:ascii="Times New Roman" w:hAnsi="Times New Roman"/>
          <w:b/>
          <w:szCs w:val="22"/>
        </w:rPr>
      </w:pPr>
      <w:r w:rsidRPr="00843964">
        <w:rPr>
          <w:rFonts w:ascii="Times New Roman" w:hAnsi="Times New Roman"/>
          <w:b/>
          <w:szCs w:val="22"/>
        </w:rPr>
        <w:t>Obrana</w:t>
      </w:r>
    </w:p>
    <w:p w:rsidR="00632751" w:rsidRPr="00843964" w:rsidP="00632751">
      <w:pPr>
        <w:bidi w:val="0"/>
        <w:rPr>
          <w:rFonts w:ascii="Times New Roman" w:hAnsi="Times New Roman"/>
          <w:szCs w:val="22"/>
        </w:rPr>
      </w:pPr>
      <w:r w:rsidRPr="00843964">
        <w:rPr>
          <w:rFonts w:ascii="Times New Roman" w:hAnsi="Times New Roman"/>
          <w:szCs w:val="22"/>
        </w:rPr>
        <w:t>V</w:t>
      </w:r>
      <w:r w:rsidRPr="00843964" w:rsidR="00FE0816">
        <w:rPr>
          <w:rFonts w:ascii="Times New Roman" w:hAnsi="Times New Roman"/>
          <w:szCs w:val="22"/>
        </w:rPr>
        <w:t>ýdavky v oddiele Obrana tvoria 5</w:t>
      </w:r>
      <w:r w:rsidRPr="00843964">
        <w:rPr>
          <w:rFonts w:ascii="Times New Roman" w:hAnsi="Times New Roman"/>
          <w:szCs w:val="22"/>
        </w:rPr>
        <w:t>,</w:t>
      </w:r>
      <w:r w:rsidRPr="00843964" w:rsidR="00843964">
        <w:rPr>
          <w:rFonts w:ascii="Times New Roman" w:hAnsi="Times New Roman"/>
          <w:szCs w:val="22"/>
        </w:rPr>
        <w:t>5</w:t>
      </w:r>
      <w:r w:rsidRPr="00843964">
        <w:rPr>
          <w:rFonts w:ascii="Times New Roman" w:hAnsi="Times New Roman"/>
          <w:szCs w:val="22"/>
        </w:rPr>
        <w:t xml:space="preserve"> % z celkových výdavkov. Ide hlavne o výdavky na vojenskú a civilnú ochranu a zahraničnú vojenskú pomoc. Výdavky na </w:t>
      </w:r>
      <w:r w:rsidRPr="00843964">
        <w:rPr>
          <w:rFonts w:ascii="Times New Roman" w:hAnsi="Times New Roman"/>
          <w:i/>
          <w:szCs w:val="22"/>
        </w:rPr>
        <w:t>vojenskú obranu</w:t>
      </w:r>
      <w:r w:rsidRPr="00843964">
        <w:rPr>
          <w:rFonts w:ascii="Times New Roman" w:hAnsi="Times New Roman"/>
          <w:szCs w:val="22"/>
        </w:rPr>
        <w:t xml:space="preserve"> dosiahli </w:t>
      </w:r>
      <w:r w:rsidR="00843964">
        <w:rPr>
          <w:rFonts w:ascii="Times New Roman" w:hAnsi="Times New Roman"/>
          <w:szCs w:val="22"/>
        </w:rPr>
        <w:t>79</w:t>
      </w:r>
      <w:r w:rsidRPr="00843964" w:rsidR="00482A32">
        <w:rPr>
          <w:rFonts w:ascii="Times New Roman" w:hAnsi="Times New Roman"/>
          <w:szCs w:val="22"/>
        </w:rPr>
        <w:t>3</w:t>
      </w:r>
      <w:r w:rsidRPr="00843964">
        <w:rPr>
          <w:rFonts w:ascii="Times New Roman" w:hAnsi="Times New Roman"/>
          <w:szCs w:val="22"/>
        </w:rPr>
        <w:t> </w:t>
      </w:r>
      <w:r w:rsidR="00843964">
        <w:rPr>
          <w:rFonts w:ascii="Times New Roman" w:hAnsi="Times New Roman"/>
          <w:szCs w:val="22"/>
        </w:rPr>
        <w:t>915</w:t>
      </w:r>
      <w:r w:rsidRPr="00843964">
        <w:rPr>
          <w:rFonts w:ascii="Times New Roman" w:hAnsi="Times New Roman"/>
          <w:szCs w:val="22"/>
        </w:rPr>
        <w:t> tis. eur, z toho výdavky Ministerstva obrany SR boli v celkovej hodnote 7</w:t>
      </w:r>
      <w:r w:rsidR="00843964">
        <w:rPr>
          <w:rFonts w:ascii="Times New Roman" w:hAnsi="Times New Roman"/>
          <w:szCs w:val="22"/>
        </w:rPr>
        <w:t>88</w:t>
      </w:r>
      <w:r w:rsidRPr="00843964">
        <w:rPr>
          <w:rFonts w:ascii="Times New Roman" w:hAnsi="Times New Roman"/>
          <w:szCs w:val="22"/>
        </w:rPr>
        <w:t> </w:t>
      </w:r>
      <w:r w:rsidR="00843964">
        <w:rPr>
          <w:rFonts w:ascii="Times New Roman" w:hAnsi="Times New Roman"/>
          <w:szCs w:val="22"/>
        </w:rPr>
        <w:t>390</w:t>
      </w:r>
      <w:r w:rsidRPr="00843964">
        <w:rPr>
          <w:rFonts w:ascii="Times New Roman" w:hAnsi="Times New Roman"/>
          <w:szCs w:val="22"/>
        </w:rPr>
        <w:t> tis. eur</w:t>
      </w:r>
      <w:r w:rsidR="00F064AA">
        <w:rPr>
          <w:rFonts w:ascii="Times New Roman" w:hAnsi="Times New Roman"/>
          <w:szCs w:val="22"/>
        </w:rPr>
        <w:t>,</w:t>
      </w:r>
      <w:r w:rsidRPr="00843964" w:rsidR="00A13702">
        <w:rPr>
          <w:rFonts w:ascii="Times New Roman" w:hAnsi="Times New Roman"/>
          <w:szCs w:val="22"/>
        </w:rPr>
        <w:t xml:space="preserve"> </w:t>
      </w:r>
      <w:r w:rsidR="00073345">
        <w:rPr>
          <w:rFonts w:ascii="Times New Roman" w:hAnsi="Times New Roman"/>
          <w:szCs w:val="22"/>
        </w:rPr>
        <w:br/>
      </w:r>
      <w:r w:rsidRPr="00843964">
        <w:rPr>
          <w:rFonts w:ascii="Times New Roman" w:hAnsi="Times New Roman"/>
          <w:szCs w:val="22"/>
        </w:rPr>
        <w:t xml:space="preserve">z toho </w:t>
      </w:r>
      <w:r w:rsidRPr="00843964" w:rsidR="00F064AA">
        <w:rPr>
          <w:rFonts w:ascii="Times New Roman" w:hAnsi="Times New Roman"/>
          <w:szCs w:val="22"/>
        </w:rPr>
        <w:t xml:space="preserve">na obstaranie tovarov a služieb </w:t>
      </w:r>
      <w:r w:rsidRPr="00843964" w:rsidR="00897281">
        <w:rPr>
          <w:rFonts w:ascii="Times New Roman" w:hAnsi="Times New Roman"/>
          <w:szCs w:val="22"/>
        </w:rPr>
        <w:t xml:space="preserve">sa </w:t>
      </w:r>
      <w:r w:rsidRPr="004D19E0" w:rsidR="00897281">
        <w:rPr>
          <w:rFonts w:ascii="Times New Roman" w:hAnsi="Times New Roman"/>
          <w:szCs w:val="22"/>
        </w:rPr>
        <w:t xml:space="preserve">použilo </w:t>
      </w:r>
      <w:r w:rsidRPr="00F064AA" w:rsidR="00F064AA">
        <w:rPr>
          <w:rFonts w:ascii="Times New Roman" w:hAnsi="Times New Roman"/>
        </w:rPr>
        <w:t>269</w:t>
      </w:r>
      <w:r w:rsidR="00F064AA">
        <w:rPr>
          <w:rFonts w:ascii="Times New Roman" w:hAnsi="Times New Roman"/>
        </w:rPr>
        <w:t> 418 </w:t>
      </w:r>
      <w:r w:rsidRPr="00F064AA" w:rsidR="00F064AA">
        <w:rPr>
          <w:rFonts w:ascii="Times New Roman" w:hAnsi="Times New Roman"/>
        </w:rPr>
        <w:t>tis</w:t>
      </w:r>
      <w:r w:rsidRPr="00843964" w:rsidR="00F064AA">
        <w:rPr>
          <w:rFonts w:ascii="Times New Roman" w:hAnsi="Times New Roman"/>
          <w:szCs w:val="22"/>
        </w:rPr>
        <w:t xml:space="preserve">. eur </w:t>
      </w:r>
      <w:r w:rsidR="00F064AA">
        <w:rPr>
          <w:rFonts w:ascii="Times New Roman" w:hAnsi="Times New Roman"/>
          <w:szCs w:val="22"/>
        </w:rPr>
        <w:t xml:space="preserve">a </w:t>
      </w:r>
      <w:r w:rsidRPr="00843964">
        <w:rPr>
          <w:rFonts w:ascii="Times New Roman" w:hAnsi="Times New Roman"/>
          <w:szCs w:val="22"/>
        </w:rPr>
        <w:t xml:space="preserve">na mzdové prostriedky </w:t>
      </w:r>
      <w:r w:rsidRPr="004D19E0">
        <w:rPr>
          <w:rFonts w:ascii="Times New Roman" w:hAnsi="Times New Roman"/>
          <w:szCs w:val="22"/>
        </w:rPr>
        <w:t>2</w:t>
      </w:r>
      <w:r w:rsidRPr="004D19E0" w:rsidR="004D19E0">
        <w:rPr>
          <w:rFonts w:ascii="Times New Roman" w:hAnsi="Times New Roman"/>
          <w:szCs w:val="22"/>
        </w:rPr>
        <w:t>5</w:t>
      </w:r>
      <w:r w:rsidRPr="004D19E0" w:rsidR="00B05CAB">
        <w:rPr>
          <w:rFonts w:ascii="Times New Roman" w:hAnsi="Times New Roman"/>
          <w:szCs w:val="22"/>
        </w:rPr>
        <w:t>6</w:t>
      </w:r>
      <w:r w:rsidRPr="004D19E0">
        <w:rPr>
          <w:rFonts w:ascii="Times New Roman" w:hAnsi="Times New Roman"/>
          <w:szCs w:val="22"/>
        </w:rPr>
        <w:t> </w:t>
      </w:r>
      <w:r w:rsidRPr="004D19E0" w:rsidR="004D19E0">
        <w:rPr>
          <w:rFonts w:ascii="Times New Roman" w:hAnsi="Times New Roman"/>
          <w:szCs w:val="22"/>
        </w:rPr>
        <w:t>287</w:t>
      </w:r>
      <w:r w:rsidRPr="004D19E0">
        <w:rPr>
          <w:rFonts w:ascii="Times New Roman" w:hAnsi="Times New Roman"/>
          <w:szCs w:val="22"/>
        </w:rPr>
        <w:t> tis.</w:t>
      </w:r>
      <w:r w:rsidR="00F064AA">
        <w:rPr>
          <w:rFonts w:ascii="Times New Roman" w:hAnsi="Times New Roman"/>
          <w:szCs w:val="22"/>
        </w:rPr>
        <w:t> eur</w:t>
      </w:r>
      <w:r w:rsidRPr="00843964">
        <w:rPr>
          <w:rFonts w:ascii="Times New Roman" w:hAnsi="Times New Roman"/>
          <w:szCs w:val="22"/>
        </w:rPr>
        <w:t>.</w:t>
      </w:r>
    </w:p>
    <w:p w:rsidR="00632751" w:rsidRPr="00843964" w:rsidP="008A0E0C">
      <w:pPr>
        <w:tabs>
          <w:tab w:val="left" w:pos="284"/>
        </w:tabs>
        <w:bidi w:val="0"/>
        <w:rPr>
          <w:rFonts w:ascii="Times New Roman" w:hAnsi="Times New Roman"/>
          <w:b/>
          <w:szCs w:val="22"/>
        </w:rPr>
      </w:pPr>
      <w:r w:rsidRPr="00843964">
        <w:rPr>
          <w:rFonts w:ascii="Times New Roman" w:hAnsi="Times New Roman"/>
          <w:b/>
          <w:szCs w:val="22"/>
        </w:rPr>
        <w:t>Ochrana životného prostredia</w:t>
      </w:r>
    </w:p>
    <w:p w:rsidR="00632751" w:rsidRPr="00843964" w:rsidP="00632751">
      <w:pPr>
        <w:bidi w:val="0"/>
        <w:rPr>
          <w:rFonts w:ascii="Times New Roman" w:hAnsi="Times New Roman"/>
          <w:szCs w:val="22"/>
        </w:rPr>
      </w:pPr>
      <w:r w:rsidRPr="00843964">
        <w:rPr>
          <w:rFonts w:ascii="Times New Roman" w:hAnsi="Times New Roman"/>
          <w:szCs w:val="22"/>
        </w:rPr>
        <w:t xml:space="preserve">Výdavky v tomto oddiele tvoria </w:t>
      </w:r>
      <w:r w:rsidRPr="00843964" w:rsidR="00843964">
        <w:rPr>
          <w:rFonts w:ascii="Times New Roman" w:hAnsi="Times New Roman"/>
          <w:szCs w:val="22"/>
        </w:rPr>
        <w:t>1</w:t>
      </w:r>
      <w:r w:rsidRPr="00843964">
        <w:rPr>
          <w:rFonts w:ascii="Times New Roman" w:hAnsi="Times New Roman"/>
          <w:szCs w:val="22"/>
        </w:rPr>
        <w:t>,</w:t>
      </w:r>
      <w:r w:rsidRPr="00843964" w:rsidR="00843964">
        <w:rPr>
          <w:rFonts w:ascii="Times New Roman" w:hAnsi="Times New Roman"/>
          <w:szCs w:val="22"/>
        </w:rPr>
        <w:t>8</w:t>
      </w:r>
      <w:r w:rsidRPr="00843964">
        <w:rPr>
          <w:rFonts w:ascii="Times New Roman" w:hAnsi="Times New Roman"/>
          <w:szCs w:val="22"/>
        </w:rPr>
        <w:t xml:space="preserve"> % z celkových výdavkov. V tomto odvetví boli výdavky v hodnote </w:t>
      </w:r>
      <w:r w:rsidR="00843964">
        <w:rPr>
          <w:rFonts w:ascii="Times New Roman" w:hAnsi="Times New Roman"/>
          <w:szCs w:val="22"/>
        </w:rPr>
        <w:t>276</w:t>
      </w:r>
      <w:r w:rsidRPr="00843964">
        <w:rPr>
          <w:rFonts w:ascii="Times New Roman" w:hAnsi="Times New Roman"/>
          <w:szCs w:val="22"/>
        </w:rPr>
        <w:t> </w:t>
      </w:r>
      <w:r w:rsidR="00843964">
        <w:rPr>
          <w:rFonts w:ascii="Times New Roman" w:hAnsi="Times New Roman"/>
          <w:szCs w:val="22"/>
        </w:rPr>
        <w:t>449</w:t>
      </w:r>
      <w:r w:rsidRPr="00843964">
        <w:rPr>
          <w:rFonts w:ascii="Times New Roman" w:hAnsi="Times New Roman"/>
          <w:szCs w:val="22"/>
        </w:rPr>
        <w:t xml:space="preserve"> tis. eur rovnako ako v predchádzajúcich rozpočtových obdobiach vynaložené najmä na </w:t>
      </w:r>
      <w:r w:rsidRPr="00843964">
        <w:rPr>
          <w:rFonts w:ascii="Times New Roman" w:hAnsi="Times New Roman"/>
          <w:i/>
          <w:szCs w:val="22"/>
        </w:rPr>
        <w:t>nakladanie s odpadovými vodami</w:t>
      </w:r>
      <w:r w:rsidRPr="00843964">
        <w:rPr>
          <w:rFonts w:ascii="Times New Roman" w:hAnsi="Times New Roman"/>
          <w:szCs w:val="22"/>
        </w:rPr>
        <w:t xml:space="preserve"> (</w:t>
      </w:r>
      <w:r w:rsidR="00FB0C4C">
        <w:rPr>
          <w:rFonts w:ascii="Times New Roman" w:hAnsi="Times New Roman"/>
          <w:szCs w:val="22"/>
        </w:rPr>
        <w:t>85 069 </w:t>
      </w:r>
      <w:r w:rsidRPr="00843964">
        <w:rPr>
          <w:rFonts w:ascii="Times New Roman" w:hAnsi="Times New Roman"/>
          <w:szCs w:val="22"/>
        </w:rPr>
        <w:t>tis. eur) a</w:t>
      </w:r>
      <w:r w:rsidRPr="00843964" w:rsidR="00DB6338">
        <w:rPr>
          <w:rFonts w:ascii="Times New Roman" w:hAnsi="Times New Roman"/>
          <w:szCs w:val="22"/>
        </w:rPr>
        <w:t xml:space="preserve"> </w:t>
      </w:r>
      <w:r w:rsidRPr="00843964">
        <w:rPr>
          <w:rFonts w:ascii="Times New Roman" w:hAnsi="Times New Roman"/>
          <w:szCs w:val="22"/>
        </w:rPr>
        <w:t>nakladanie s odpadmi (</w:t>
      </w:r>
      <w:r w:rsidR="00FB0C4C">
        <w:rPr>
          <w:rFonts w:ascii="Times New Roman" w:hAnsi="Times New Roman"/>
          <w:szCs w:val="22"/>
        </w:rPr>
        <w:t>71 924 </w:t>
      </w:r>
      <w:r w:rsidRPr="00843964">
        <w:rPr>
          <w:rFonts w:ascii="Times New Roman" w:hAnsi="Times New Roman"/>
          <w:szCs w:val="22"/>
        </w:rPr>
        <w:t xml:space="preserve">tis. eur). Výdavky </w:t>
      </w:r>
      <w:r w:rsidRPr="00843964" w:rsidR="00DB6338">
        <w:rPr>
          <w:rFonts w:ascii="Times New Roman" w:hAnsi="Times New Roman"/>
          <w:szCs w:val="22"/>
        </w:rPr>
        <w:t>poklesli</w:t>
      </w:r>
      <w:r w:rsidRPr="00843964">
        <w:rPr>
          <w:rFonts w:ascii="Times New Roman" w:hAnsi="Times New Roman"/>
          <w:szCs w:val="22"/>
        </w:rPr>
        <w:t xml:space="preserve"> oproti minulému roku o</w:t>
      </w:r>
      <w:r w:rsidRPr="00843964" w:rsidR="00DB6338">
        <w:rPr>
          <w:rFonts w:ascii="Times New Roman" w:hAnsi="Times New Roman"/>
          <w:szCs w:val="22"/>
        </w:rPr>
        <w:t> </w:t>
      </w:r>
      <w:r w:rsidR="00FB0C4C">
        <w:rPr>
          <w:rFonts w:ascii="Times New Roman" w:hAnsi="Times New Roman"/>
          <w:szCs w:val="22"/>
        </w:rPr>
        <w:t>46 091</w:t>
      </w:r>
      <w:r w:rsidRPr="00843964">
        <w:rPr>
          <w:rFonts w:ascii="Times New Roman" w:hAnsi="Times New Roman"/>
          <w:szCs w:val="22"/>
        </w:rPr>
        <w:t xml:space="preserve"> tis. eur. </w:t>
      </w:r>
    </w:p>
    <w:p w:rsidR="00632751" w:rsidRPr="00FB0C4C" w:rsidP="008A0E0C">
      <w:pPr>
        <w:tabs>
          <w:tab w:val="left" w:pos="284"/>
        </w:tabs>
        <w:bidi w:val="0"/>
        <w:rPr>
          <w:rFonts w:ascii="Times New Roman" w:hAnsi="Times New Roman"/>
          <w:b/>
          <w:szCs w:val="22"/>
        </w:rPr>
      </w:pPr>
      <w:r w:rsidRPr="00FB0C4C">
        <w:rPr>
          <w:rFonts w:ascii="Times New Roman" w:hAnsi="Times New Roman"/>
          <w:b/>
          <w:szCs w:val="22"/>
        </w:rPr>
        <w:t>Rekreácia, kultúra a náboženstvo</w:t>
      </w:r>
    </w:p>
    <w:p w:rsidR="00632751" w:rsidRPr="00FB0C4C" w:rsidP="00632751">
      <w:pPr>
        <w:bidi w:val="0"/>
        <w:rPr>
          <w:rFonts w:ascii="Times New Roman" w:hAnsi="Times New Roman"/>
          <w:szCs w:val="22"/>
        </w:rPr>
      </w:pPr>
      <w:r w:rsidRPr="00FB0C4C">
        <w:rPr>
          <w:rFonts w:ascii="Times New Roman" w:hAnsi="Times New Roman"/>
          <w:szCs w:val="22"/>
        </w:rPr>
        <w:t xml:space="preserve">Výdavky na rekreáciu, kultúru a náboženstvo boli realizované vo výške </w:t>
      </w:r>
      <w:r w:rsidRPr="00FB0C4C" w:rsidR="00FB0C4C">
        <w:rPr>
          <w:rFonts w:ascii="Times New Roman" w:hAnsi="Times New Roman"/>
          <w:szCs w:val="22"/>
        </w:rPr>
        <w:t>383</w:t>
      </w:r>
      <w:r w:rsidRPr="00FB0C4C" w:rsidR="00DB6338">
        <w:rPr>
          <w:rFonts w:ascii="Times New Roman" w:hAnsi="Times New Roman"/>
          <w:szCs w:val="22"/>
        </w:rPr>
        <w:t> </w:t>
      </w:r>
      <w:r w:rsidRPr="00FB0C4C" w:rsidR="00FB0C4C">
        <w:rPr>
          <w:rFonts w:ascii="Times New Roman" w:hAnsi="Times New Roman"/>
          <w:szCs w:val="22"/>
        </w:rPr>
        <w:t>921</w:t>
      </w:r>
      <w:r w:rsidRPr="00FB0C4C" w:rsidR="00DB6338">
        <w:rPr>
          <w:rFonts w:ascii="Times New Roman" w:hAnsi="Times New Roman"/>
          <w:szCs w:val="22"/>
        </w:rPr>
        <w:t> </w:t>
      </w:r>
      <w:r w:rsidRPr="00FB0C4C">
        <w:rPr>
          <w:rFonts w:ascii="Times New Roman" w:hAnsi="Times New Roman"/>
          <w:szCs w:val="22"/>
        </w:rPr>
        <w:t xml:space="preserve">tis. eur, </w:t>
      </w:r>
      <w:r w:rsidR="00073345">
        <w:rPr>
          <w:rFonts w:ascii="Times New Roman" w:hAnsi="Times New Roman"/>
          <w:szCs w:val="22"/>
        </w:rPr>
        <w:br/>
      </w:r>
      <w:r w:rsidRPr="00FB0C4C">
        <w:rPr>
          <w:rFonts w:ascii="Times New Roman" w:hAnsi="Times New Roman"/>
          <w:szCs w:val="22"/>
        </w:rPr>
        <w:t>čo predstavovalo nárast skutočnosti o </w:t>
      </w:r>
      <w:r w:rsidRPr="00FB0C4C" w:rsidR="00FB0C4C">
        <w:rPr>
          <w:rFonts w:ascii="Times New Roman" w:hAnsi="Times New Roman"/>
          <w:szCs w:val="22"/>
        </w:rPr>
        <w:t>21</w:t>
      </w:r>
      <w:r w:rsidRPr="00FB0C4C" w:rsidR="002D4299">
        <w:rPr>
          <w:rFonts w:ascii="Times New Roman" w:hAnsi="Times New Roman"/>
          <w:szCs w:val="22"/>
        </w:rPr>
        <w:t> </w:t>
      </w:r>
      <w:r w:rsidRPr="00FB0C4C" w:rsidR="00FB0C4C">
        <w:rPr>
          <w:rFonts w:ascii="Times New Roman" w:hAnsi="Times New Roman"/>
          <w:szCs w:val="22"/>
        </w:rPr>
        <w:t>379</w:t>
      </w:r>
      <w:r w:rsidRPr="00FB0C4C" w:rsidR="002D4299">
        <w:rPr>
          <w:rFonts w:ascii="Times New Roman" w:hAnsi="Times New Roman"/>
          <w:szCs w:val="22"/>
        </w:rPr>
        <w:t> </w:t>
      </w:r>
      <w:r w:rsidRPr="00FB0C4C">
        <w:rPr>
          <w:rFonts w:ascii="Times New Roman" w:hAnsi="Times New Roman"/>
          <w:szCs w:val="22"/>
        </w:rPr>
        <w:t>tis. eur v porovnaní so schváleným rozpočtom. Najväčšia časť výdavkov bola v kapitole Ministerstva kultúry SR (</w:t>
      </w:r>
      <w:r w:rsidR="00FB0C4C">
        <w:rPr>
          <w:rFonts w:ascii="Times New Roman" w:hAnsi="Times New Roman"/>
          <w:szCs w:val="22"/>
        </w:rPr>
        <w:t>242</w:t>
      </w:r>
      <w:r w:rsidR="00DE3351">
        <w:rPr>
          <w:rFonts w:ascii="Times New Roman" w:hAnsi="Times New Roman"/>
          <w:szCs w:val="22"/>
        </w:rPr>
        <w:t xml:space="preserve"> 566 </w:t>
      </w:r>
      <w:r w:rsidRPr="00FB0C4C">
        <w:rPr>
          <w:rFonts w:ascii="Times New Roman" w:hAnsi="Times New Roman"/>
          <w:szCs w:val="22"/>
        </w:rPr>
        <w:t xml:space="preserve">tis. eur). Najvyššie výdavky boli v oblasti </w:t>
      </w:r>
      <w:r w:rsidRPr="00FB0C4C">
        <w:rPr>
          <w:rFonts w:ascii="Times New Roman" w:hAnsi="Times New Roman"/>
          <w:i/>
          <w:szCs w:val="22"/>
        </w:rPr>
        <w:t>kultúrnych služieb</w:t>
      </w:r>
      <w:r w:rsidRPr="00FB0C4C">
        <w:rPr>
          <w:rFonts w:ascii="Times New Roman" w:hAnsi="Times New Roman"/>
          <w:szCs w:val="22"/>
        </w:rPr>
        <w:t xml:space="preserve"> v celkovej výške 1</w:t>
      </w:r>
      <w:r w:rsidRPr="00FB0C4C" w:rsidR="002D4299">
        <w:rPr>
          <w:rFonts w:ascii="Times New Roman" w:hAnsi="Times New Roman"/>
          <w:szCs w:val="22"/>
        </w:rPr>
        <w:t>5</w:t>
      </w:r>
      <w:r w:rsidR="00FB0C4C">
        <w:rPr>
          <w:rFonts w:ascii="Times New Roman" w:hAnsi="Times New Roman"/>
          <w:szCs w:val="22"/>
        </w:rPr>
        <w:t>9</w:t>
      </w:r>
      <w:r w:rsidRPr="00FB0C4C">
        <w:rPr>
          <w:rFonts w:ascii="Times New Roman" w:hAnsi="Times New Roman"/>
          <w:szCs w:val="22"/>
        </w:rPr>
        <w:t> </w:t>
      </w:r>
      <w:r w:rsidR="00FB0C4C">
        <w:rPr>
          <w:rFonts w:ascii="Times New Roman" w:hAnsi="Times New Roman"/>
          <w:szCs w:val="22"/>
        </w:rPr>
        <w:t>523</w:t>
      </w:r>
      <w:r w:rsidRPr="00FB0C4C">
        <w:rPr>
          <w:rFonts w:ascii="Times New Roman" w:hAnsi="Times New Roman"/>
          <w:szCs w:val="22"/>
        </w:rPr>
        <w:t xml:space="preserve"> tis. eur. </w:t>
      </w:r>
    </w:p>
    <w:p w:rsidR="00632751" w:rsidRPr="00FB0C4C" w:rsidP="008A0E0C">
      <w:pPr>
        <w:tabs>
          <w:tab w:val="left" w:pos="284"/>
        </w:tabs>
        <w:bidi w:val="0"/>
        <w:rPr>
          <w:rFonts w:ascii="Times New Roman" w:hAnsi="Times New Roman"/>
          <w:szCs w:val="22"/>
        </w:rPr>
      </w:pPr>
      <w:r w:rsidRPr="00FB0C4C">
        <w:rPr>
          <w:rFonts w:ascii="Times New Roman" w:hAnsi="Times New Roman"/>
          <w:b/>
          <w:szCs w:val="22"/>
        </w:rPr>
        <w:t>Bývanie a občianska vybavenosť</w:t>
      </w:r>
    </w:p>
    <w:p w:rsidR="00632751" w:rsidRPr="00FB0C4C" w:rsidP="00632751">
      <w:pPr>
        <w:bidi w:val="0"/>
        <w:rPr>
          <w:rFonts w:ascii="Times New Roman" w:hAnsi="Times New Roman"/>
          <w:szCs w:val="22"/>
        </w:rPr>
      </w:pPr>
      <w:r w:rsidRPr="00FB0C4C">
        <w:rPr>
          <w:rFonts w:ascii="Times New Roman" w:hAnsi="Times New Roman"/>
        </w:rPr>
        <w:t xml:space="preserve">Výdavky v tomto oddiele dosiahli výšku </w:t>
      </w:r>
      <w:r w:rsidRPr="00FB0C4C" w:rsidR="00FB0C4C">
        <w:rPr>
          <w:rFonts w:ascii="Times New Roman" w:hAnsi="Times New Roman"/>
        </w:rPr>
        <w:t>126</w:t>
      </w:r>
      <w:r w:rsidRPr="00FB0C4C" w:rsidR="002D4299">
        <w:rPr>
          <w:rFonts w:ascii="Times New Roman" w:hAnsi="Times New Roman"/>
        </w:rPr>
        <w:t> </w:t>
      </w:r>
      <w:r w:rsidRPr="00FB0C4C" w:rsidR="00FB0C4C">
        <w:rPr>
          <w:rFonts w:ascii="Times New Roman" w:hAnsi="Times New Roman"/>
        </w:rPr>
        <w:t>359</w:t>
      </w:r>
      <w:r w:rsidRPr="00FB0C4C" w:rsidR="002D4299">
        <w:rPr>
          <w:rFonts w:ascii="Times New Roman" w:hAnsi="Times New Roman"/>
        </w:rPr>
        <w:t> </w:t>
      </w:r>
      <w:r w:rsidRPr="00FB0C4C">
        <w:rPr>
          <w:rFonts w:ascii="Times New Roman" w:hAnsi="Times New Roman"/>
        </w:rPr>
        <w:t>tis. eur a</w:t>
      </w:r>
      <w:r w:rsidRPr="00FB0C4C" w:rsidR="002D4299">
        <w:rPr>
          <w:rFonts w:ascii="Times New Roman" w:hAnsi="Times New Roman"/>
        </w:rPr>
        <w:t xml:space="preserve"> </w:t>
      </w:r>
      <w:r w:rsidRPr="00FB0C4C">
        <w:rPr>
          <w:rFonts w:ascii="Times New Roman" w:hAnsi="Times New Roman"/>
        </w:rPr>
        <w:t>v rozhodujúcej miere sa na nich podieľalo Ministerstvo dopravy</w:t>
      </w:r>
      <w:r w:rsidR="0085423E">
        <w:rPr>
          <w:rFonts w:ascii="Times New Roman" w:hAnsi="Times New Roman"/>
        </w:rPr>
        <w:t xml:space="preserve"> a</w:t>
      </w:r>
      <w:r w:rsidRPr="00FB0C4C">
        <w:rPr>
          <w:rFonts w:ascii="Times New Roman" w:hAnsi="Times New Roman"/>
        </w:rPr>
        <w:t xml:space="preserve"> výstavby SR (1</w:t>
      </w:r>
      <w:r w:rsidRPr="00FB0C4C" w:rsidR="002D4299">
        <w:rPr>
          <w:rFonts w:ascii="Times New Roman" w:hAnsi="Times New Roman"/>
        </w:rPr>
        <w:t>1</w:t>
      </w:r>
      <w:r w:rsidRPr="00FB0C4C" w:rsidR="00FB0C4C">
        <w:rPr>
          <w:rFonts w:ascii="Times New Roman" w:hAnsi="Times New Roman"/>
        </w:rPr>
        <w:t>8</w:t>
      </w:r>
      <w:r w:rsidRPr="00FB0C4C" w:rsidR="002D4299">
        <w:rPr>
          <w:rFonts w:ascii="Times New Roman" w:hAnsi="Times New Roman"/>
        </w:rPr>
        <w:t> </w:t>
      </w:r>
      <w:r w:rsidRPr="00FB0C4C" w:rsidR="00FB0C4C">
        <w:rPr>
          <w:rFonts w:ascii="Times New Roman" w:hAnsi="Times New Roman"/>
        </w:rPr>
        <w:t>574</w:t>
      </w:r>
      <w:r w:rsidRPr="00FB0C4C" w:rsidR="002D4299">
        <w:rPr>
          <w:rFonts w:ascii="Times New Roman" w:hAnsi="Times New Roman"/>
        </w:rPr>
        <w:t> </w:t>
      </w:r>
      <w:r w:rsidRPr="00FB0C4C" w:rsidR="00B05CAB">
        <w:rPr>
          <w:rFonts w:ascii="Times New Roman" w:hAnsi="Times New Roman"/>
        </w:rPr>
        <w:t>tis. eur).</w:t>
      </w:r>
      <w:r w:rsidRPr="00FB0C4C">
        <w:rPr>
          <w:rFonts w:ascii="Times New Roman" w:hAnsi="Times New Roman"/>
        </w:rPr>
        <w:t xml:space="preserve"> </w:t>
      </w:r>
      <w:r w:rsidRPr="00FB0C4C" w:rsidR="003A3C2A">
        <w:rPr>
          <w:rFonts w:ascii="Times New Roman" w:hAnsi="Times New Roman"/>
        </w:rPr>
        <w:t xml:space="preserve">Výdavky boli použité </w:t>
      </w:r>
      <w:r w:rsidR="00073345">
        <w:rPr>
          <w:rFonts w:ascii="Times New Roman" w:hAnsi="Times New Roman"/>
        </w:rPr>
        <w:br/>
      </w:r>
      <w:r w:rsidRPr="00FB0C4C" w:rsidR="003A3C2A">
        <w:rPr>
          <w:rFonts w:ascii="Times New Roman" w:hAnsi="Times New Roman"/>
        </w:rPr>
        <w:t xml:space="preserve">na výstavbu a obnovu bytového fondu, </w:t>
      </w:r>
      <w:r w:rsidRPr="00FB0C4C" w:rsidR="005F48D3">
        <w:rPr>
          <w:rFonts w:ascii="Times New Roman" w:hAnsi="Times New Roman"/>
        </w:rPr>
        <w:t xml:space="preserve">na </w:t>
      </w:r>
      <w:r w:rsidRPr="00FB0C4C" w:rsidR="003A3C2A">
        <w:rPr>
          <w:rFonts w:ascii="Times New Roman" w:hAnsi="Times New Roman"/>
        </w:rPr>
        <w:t xml:space="preserve">poskytnutie príspevku na zateplenie rodinného domu, pre Štátny fond rozvoja </w:t>
      </w:r>
      <w:r w:rsidRPr="00FB0C4C" w:rsidR="0029348E">
        <w:rPr>
          <w:rFonts w:ascii="Times New Roman" w:hAnsi="Times New Roman"/>
        </w:rPr>
        <w:t>bývania</w:t>
      </w:r>
      <w:r w:rsidRPr="00FB0C4C" w:rsidR="003A3C2A">
        <w:rPr>
          <w:rFonts w:ascii="Times New Roman" w:hAnsi="Times New Roman"/>
        </w:rPr>
        <w:t>,</w:t>
      </w:r>
      <w:r w:rsidRPr="00FB0C4C" w:rsidR="006D0B6D">
        <w:rPr>
          <w:rFonts w:ascii="Times New Roman" w:hAnsi="Times New Roman"/>
        </w:rPr>
        <w:t xml:space="preserve"> </w:t>
      </w:r>
      <w:r w:rsidRPr="00FB0C4C" w:rsidR="005F48D3">
        <w:rPr>
          <w:rFonts w:ascii="Times New Roman" w:hAnsi="Times New Roman"/>
        </w:rPr>
        <w:t xml:space="preserve">na </w:t>
      </w:r>
      <w:r w:rsidRPr="00FB0C4C" w:rsidR="003A3C2A">
        <w:rPr>
          <w:rFonts w:ascii="Times New Roman" w:hAnsi="Times New Roman"/>
        </w:rPr>
        <w:t xml:space="preserve">štátnu prémiu k stavebnému sporeniu, </w:t>
      </w:r>
      <w:r w:rsidRPr="00FB0C4C" w:rsidR="005F48D3">
        <w:rPr>
          <w:rFonts w:ascii="Times New Roman" w:hAnsi="Times New Roman"/>
        </w:rPr>
        <w:t xml:space="preserve">na </w:t>
      </w:r>
      <w:r w:rsidRPr="00FB0C4C" w:rsidR="003A3C2A">
        <w:rPr>
          <w:rFonts w:ascii="Times New Roman" w:hAnsi="Times New Roman"/>
        </w:rPr>
        <w:t>poskytnutie štátneho príspevku a štátneho príspevku pre mladých k hypotekárnym úverom,</w:t>
      </w:r>
      <w:r w:rsidRPr="00FB0C4C" w:rsidR="006D0B6D">
        <w:rPr>
          <w:rFonts w:ascii="Times New Roman" w:hAnsi="Times New Roman"/>
        </w:rPr>
        <w:t xml:space="preserve"> </w:t>
      </w:r>
      <w:r w:rsidRPr="00FB0C4C" w:rsidR="005F48D3">
        <w:rPr>
          <w:rFonts w:ascii="Times New Roman" w:hAnsi="Times New Roman"/>
        </w:rPr>
        <w:t xml:space="preserve">na </w:t>
      </w:r>
      <w:r w:rsidRPr="00FB0C4C" w:rsidR="003A3C2A">
        <w:rPr>
          <w:rFonts w:ascii="Times New Roman" w:hAnsi="Times New Roman"/>
        </w:rPr>
        <w:t>náhradné nájomné byty</w:t>
      </w:r>
      <w:r w:rsidRPr="00FB0C4C">
        <w:rPr>
          <w:rFonts w:ascii="Times New Roman" w:hAnsi="Times New Roman"/>
          <w:szCs w:val="22"/>
        </w:rPr>
        <w:t>.</w:t>
      </w:r>
    </w:p>
    <w:p w:rsidR="00632751" w:rsidRPr="00FB0C4C" w:rsidP="008A0E0C">
      <w:pPr>
        <w:tabs>
          <w:tab w:val="left" w:pos="284"/>
        </w:tabs>
        <w:bidi w:val="0"/>
        <w:rPr>
          <w:rFonts w:ascii="Times New Roman" w:hAnsi="Times New Roman"/>
          <w:b/>
          <w:szCs w:val="22"/>
        </w:rPr>
      </w:pPr>
      <w:r w:rsidRPr="00FB0C4C">
        <w:rPr>
          <w:rFonts w:ascii="Times New Roman" w:hAnsi="Times New Roman"/>
          <w:b/>
          <w:szCs w:val="22"/>
        </w:rPr>
        <w:t>Zdravotníctvo</w:t>
      </w:r>
    </w:p>
    <w:p w:rsidR="00632751" w:rsidRPr="000B5744" w:rsidP="00632751">
      <w:pPr>
        <w:bidi w:val="0"/>
        <w:rPr>
          <w:rFonts w:ascii="Times New Roman" w:hAnsi="Times New Roman"/>
          <w:szCs w:val="22"/>
        </w:rPr>
      </w:pPr>
      <w:r w:rsidRPr="00FB0C4C">
        <w:rPr>
          <w:rFonts w:ascii="Times New Roman" w:hAnsi="Times New Roman"/>
          <w:szCs w:val="22"/>
        </w:rPr>
        <w:t>Výdavky v tomto oddiele tvorili len 0,</w:t>
      </w:r>
      <w:r w:rsidRPr="00FB0C4C" w:rsidR="00FB0C4C">
        <w:rPr>
          <w:rFonts w:ascii="Times New Roman" w:hAnsi="Times New Roman"/>
          <w:szCs w:val="22"/>
        </w:rPr>
        <w:t>8</w:t>
      </w:r>
      <w:r w:rsidRPr="00FB0C4C">
        <w:rPr>
          <w:rFonts w:ascii="Times New Roman" w:hAnsi="Times New Roman"/>
          <w:szCs w:val="22"/>
        </w:rPr>
        <w:t xml:space="preserve"> % z celkových výdavkov. Do tohto oddielu patria výdavky, ktoré zahŕňajú činnosti ako je ústavná a ambulantná zdravotná starostlivosť, verejné zdravotné služby (prevádzka krvnej banky, zisťovanie chorôb, zber epidemiologických údajov). </w:t>
      </w:r>
      <w:r w:rsidR="00073345">
        <w:rPr>
          <w:rFonts w:ascii="Times New Roman" w:hAnsi="Times New Roman"/>
          <w:szCs w:val="22"/>
        </w:rPr>
        <w:br/>
      </w:r>
      <w:r w:rsidRPr="00FB0C4C">
        <w:rPr>
          <w:rFonts w:ascii="Times New Roman" w:hAnsi="Times New Roman"/>
          <w:szCs w:val="22"/>
        </w:rPr>
        <w:t xml:space="preserve">Na </w:t>
      </w:r>
      <w:r w:rsidRPr="000B5744">
        <w:rPr>
          <w:rFonts w:ascii="Times New Roman" w:hAnsi="Times New Roman"/>
          <w:szCs w:val="22"/>
        </w:rPr>
        <w:t>výdavkoch sa najväčšou mierou podieľalo Ministerstvo zdravotníctva SR (</w:t>
      </w:r>
      <w:r w:rsidRPr="000B5744" w:rsidR="000B5744">
        <w:rPr>
          <w:rFonts w:ascii="Times New Roman" w:hAnsi="Times New Roman"/>
          <w:szCs w:val="22"/>
        </w:rPr>
        <w:t>98</w:t>
      </w:r>
      <w:r w:rsidRPr="000B5744" w:rsidR="002D4299">
        <w:rPr>
          <w:rFonts w:ascii="Times New Roman" w:hAnsi="Times New Roman"/>
          <w:szCs w:val="22"/>
        </w:rPr>
        <w:t> </w:t>
      </w:r>
      <w:r w:rsidRPr="000B5744" w:rsidR="000B5744">
        <w:rPr>
          <w:rFonts w:ascii="Times New Roman" w:hAnsi="Times New Roman"/>
          <w:szCs w:val="22"/>
        </w:rPr>
        <w:t>925</w:t>
      </w:r>
      <w:r w:rsidRPr="000B5744">
        <w:rPr>
          <w:rFonts w:ascii="Times New Roman" w:hAnsi="Times New Roman"/>
          <w:szCs w:val="22"/>
        </w:rPr>
        <w:t xml:space="preserve"> tis. eur), ktoré v skupine </w:t>
      </w:r>
      <w:r w:rsidR="00637766">
        <w:rPr>
          <w:rFonts w:ascii="Times New Roman" w:hAnsi="Times New Roman"/>
          <w:szCs w:val="22"/>
        </w:rPr>
        <w:t>z</w:t>
      </w:r>
      <w:r w:rsidRPr="000B5744">
        <w:rPr>
          <w:rFonts w:ascii="Times New Roman" w:hAnsi="Times New Roman"/>
          <w:i/>
          <w:szCs w:val="22"/>
        </w:rPr>
        <w:t>dravotníctvo inde neklasifikované</w:t>
      </w:r>
      <w:r w:rsidRPr="000B5744">
        <w:rPr>
          <w:rFonts w:ascii="Times New Roman" w:hAnsi="Times New Roman"/>
          <w:szCs w:val="22"/>
        </w:rPr>
        <w:t xml:space="preserve"> realizovalo výdavky vo výške </w:t>
      </w:r>
      <w:r w:rsidRPr="000B5744" w:rsidR="000B5744">
        <w:rPr>
          <w:rFonts w:ascii="Times New Roman" w:hAnsi="Times New Roman"/>
          <w:szCs w:val="22"/>
        </w:rPr>
        <w:t>55 120</w:t>
      </w:r>
      <w:r w:rsidRPr="000B5744">
        <w:rPr>
          <w:rFonts w:ascii="Times New Roman" w:hAnsi="Times New Roman"/>
          <w:szCs w:val="22"/>
        </w:rPr>
        <w:t xml:space="preserve"> tis. eur najmä v oblasti </w:t>
      </w:r>
      <w:r w:rsidRPr="000B5744" w:rsidR="004B3E7F">
        <w:rPr>
          <w:rFonts w:ascii="Times New Roman" w:hAnsi="Times New Roman"/>
          <w:szCs w:val="22"/>
        </w:rPr>
        <w:t xml:space="preserve">dotácií, </w:t>
      </w:r>
      <w:r w:rsidRPr="000B5744" w:rsidR="00301193">
        <w:rPr>
          <w:rFonts w:ascii="Times New Roman" w:hAnsi="Times New Roman"/>
          <w:szCs w:val="22"/>
        </w:rPr>
        <w:t>drogovej problematiky, farmácie, informatiky, na činnosť Inšpektorátu kúpeľov a žriediel M</w:t>
      </w:r>
      <w:r w:rsidR="00897281">
        <w:rPr>
          <w:rFonts w:ascii="Times New Roman" w:hAnsi="Times New Roman"/>
          <w:szCs w:val="22"/>
        </w:rPr>
        <w:t>inisterstva zdravotníctva</w:t>
      </w:r>
      <w:r w:rsidRPr="000B5744" w:rsidR="00301193">
        <w:rPr>
          <w:rFonts w:ascii="Times New Roman" w:hAnsi="Times New Roman"/>
        </w:rPr>
        <w:t xml:space="preserve"> SR, Národné monitorovacie centrum pre drogy a finančné prostriedky na výdavky poskytnuté na zabezpečenie zdravotnej starostlivosti v zmysle § 9 zákona NR SR č. 580/2004 Z. z. (bezdomovci).</w:t>
      </w:r>
      <w:r w:rsidRPr="000B5744" w:rsidR="00554657">
        <w:rPr>
          <w:rFonts w:ascii="Times New Roman" w:hAnsi="Times New Roman"/>
        </w:rPr>
        <w:t xml:space="preserve"> </w:t>
      </w:r>
      <w:r w:rsidRPr="000B5744">
        <w:rPr>
          <w:rFonts w:ascii="Times New Roman" w:hAnsi="Times New Roman"/>
          <w:szCs w:val="22"/>
        </w:rPr>
        <w:t xml:space="preserve">V skupine </w:t>
      </w:r>
      <w:r w:rsidRPr="000B5744">
        <w:rPr>
          <w:rFonts w:ascii="Times New Roman" w:hAnsi="Times New Roman"/>
          <w:i/>
          <w:szCs w:val="22"/>
        </w:rPr>
        <w:t>Ochrana, podpora a rozvoj verejného zdravia</w:t>
      </w:r>
      <w:r w:rsidRPr="000B5744">
        <w:rPr>
          <w:rFonts w:ascii="Times New Roman" w:hAnsi="Times New Roman"/>
          <w:szCs w:val="22"/>
        </w:rPr>
        <w:t xml:space="preserve"> čerpalo Ministerstvo zdr</w:t>
      </w:r>
      <w:r w:rsidRPr="000B5744" w:rsidR="002D4299">
        <w:rPr>
          <w:rFonts w:ascii="Times New Roman" w:hAnsi="Times New Roman"/>
          <w:szCs w:val="22"/>
        </w:rPr>
        <w:t>avotníctva SR výdavky vo výške 3</w:t>
      </w:r>
      <w:r w:rsidRPr="000B5744" w:rsidR="000B5744">
        <w:rPr>
          <w:rFonts w:ascii="Times New Roman" w:hAnsi="Times New Roman"/>
          <w:szCs w:val="22"/>
        </w:rPr>
        <w:t>3</w:t>
      </w:r>
      <w:r w:rsidRPr="000B5744" w:rsidR="002D4299">
        <w:rPr>
          <w:rFonts w:ascii="Times New Roman" w:hAnsi="Times New Roman"/>
          <w:szCs w:val="22"/>
        </w:rPr>
        <w:t> 5</w:t>
      </w:r>
      <w:r w:rsidRPr="000B5744" w:rsidR="000B5744">
        <w:rPr>
          <w:rFonts w:ascii="Times New Roman" w:hAnsi="Times New Roman"/>
          <w:szCs w:val="22"/>
        </w:rPr>
        <w:t>9</w:t>
      </w:r>
      <w:r w:rsidR="00E450CC">
        <w:rPr>
          <w:rFonts w:ascii="Times New Roman" w:hAnsi="Times New Roman"/>
          <w:szCs w:val="22"/>
        </w:rPr>
        <w:t>5</w:t>
      </w:r>
      <w:r w:rsidRPr="000B5744">
        <w:rPr>
          <w:rFonts w:ascii="Times New Roman" w:hAnsi="Times New Roman"/>
          <w:szCs w:val="22"/>
        </w:rPr>
        <w:t xml:space="preserve"> tis. eur určené pre regionálne úrady verejného zdravotníctva a</w:t>
      </w:r>
      <w:r w:rsidR="00E450CC">
        <w:rPr>
          <w:rFonts w:ascii="Times New Roman" w:hAnsi="Times New Roman"/>
          <w:szCs w:val="22"/>
        </w:rPr>
        <w:t xml:space="preserve"> </w:t>
      </w:r>
      <w:r w:rsidRPr="000B5744">
        <w:rPr>
          <w:rFonts w:ascii="Times New Roman" w:hAnsi="Times New Roman"/>
          <w:szCs w:val="22"/>
        </w:rPr>
        <w:t>Úrad verejného zdravotníctva SR.</w:t>
      </w:r>
    </w:p>
    <w:p w:rsidR="00632751" w:rsidRPr="008A0E0C" w:rsidP="00632751">
      <w:pPr>
        <w:bidi w:val="0"/>
        <w:rPr>
          <w:rFonts w:ascii="Times New Roman" w:hAnsi="Times New Roman"/>
          <w:b/>
        </w:rPr>
      </w:pPr>
      <w:r w:rsidRPr="008A0E0C">
        <w:rPr>
          <w:rFonts w:ascii="Times New Roman" w:hAnsi="Times New Roman"/>
          <w:b/>
          <w:i/>
          <w:szCs w:val="22"/>
        </w:rPr>
        <w:t>Podrobný prehľad o výdavkov štátneho rozpočtu podľa funkčnej klasifikácie je uvedený v tab. č. 11 tabuľkovej prílohy štátneho záverečného účtu.</w:t>
      </w:r>
    </w:p>
    <w:p w:rsidR="00693173" w:rsidRPr="008A0E0C" w:rsidP="00225F21">
      <w:pPr>
        <w:pStyle w:val="Heading3"/>
        <w:numPr>
          <w:ilvl w:val="0"/>
          <w:numId w:val="0"/>
        </w:numPr>
        <w:bidi w:val="0"/>
        <w:ind w:left="709" w:firstLine="0"/>
      </w:pPr>
      <w:bookmarkStart w:id="58" w:name="_Toc479313243"/>
      <w:bookmarkStart w:id="59" w:name="_Toc512599676"/>
      <w:r w:rsidR="00225F21">
        <w:t xml:space="preserve">3.2.3  </w:t>
      </w:r>
      <w:r w:rsidRPr="008A0E0C">
        <w:rPr>
          <w:rFonts w:hint="default"/>
        </w:rPr>
        <w:t>Vzť</w:t>
      </w:r>
      <w:r w:rsidRPr="008A0E0C">
        <w:rPr>
          <w:rFonts w:hint="default"/>
        </w:rPr>
        <w:t>ahy š</w:t>
      </w:r>
      <w:r w:rsidRPr="008A0E0C">
        <w:rPr>
          <w:rFonts w:hint="default"/>
        </w:rPr>
        <w:t>tá</w:t>
      </w:r>
      <w:r w:rsidRPr="008A0E0C">
        <w:rPr>
          <w:rFonts w:hint="default"/>
        </w:rPr>
        <w:t>tneho rozpoč</w:t>
      </w:r>
      <w:r w:rsidRPr="008A0E0C">
        <w:rPr>
          <w:rFonts w:hint="default"/>
        </w:rPr>
        <w:t>tu k</w:t>
      </w:r>
      <w:r w:rsidRPr="008A0E0C" w:rsidR="00333A45">
        <w:t> </w:t>
      </w:r>
      <w:r w:rsidRPr="008A0E0C">
        <w:t>obciam</w:t>
      </w:r>
      <w:bookmarkEnd w:id="58"/>
      <w:bookmarkEnd w:id="59"/>
    </w:p>
    <w:p w:rsidR="003778B6" w:rsidRPr="00C63705" w:rsidP="00897281">
      <w:pPr>
        <w:suppressAutoHyphens/>
        <w:bidi w:val="0"/>
        <w:rPr>
          <w:rFonts w:ascii="Times New Roman" w:hAnsi="Times New Roman"/>
          <w:color w:val="000000" w:themeColor="tx1" w:themeShade="FF"/>
          <w:szCs w:val="22"/>
        </w:rPr>
      </w:pPr>
      <w:r w:rsidRPr="00C63705">
        <w:rPr>
          <w:rFonts w:ascii="Times New Roman" w:hAnsi="Times New Roman"/>
          <w:color w:val="000000" w:themeColor="tx1" w:themeShade="FF"/>
          <w:szCs w:val="22"/>
        </w:rPr>
        <w:t>V roku 2017 bolo z rozpočtov jednotlivých kapitol do rozpočtov obcí poskytnutých 1 097 737 tis. eur vo forme bežných a kapitálových grantov a transferov, z toho bežné granty a transfery tvorili sumu 928 807 tis. eur a kapitálové granty a transfery čiastku 168 930 tis. eur. V porovnaní so skutočnosťou 2016 je to v úhrne za všetky zdroje výdavkov (vrátane EÚ a mimorozpočtových zdrojov) viac o 38 013 tis. eur</w:t>
      </w:r>
      <w:r>
        <w:rPr>
          <w:rFonts w:ascii="Times New Roman" w:hAnsi="Times New Roman"/>
          <w:color w:val="000000" w:themeColor="tx1" w:themeShade="FF"/>
          <w:szCs w:val="22"/>
        </w:rPr>
        <w:t xml:space="preserve"> a</w:t>
      </w:r>
      <w:r w:rsidRPr="00C63705">
        <w:rPr>
          <w:rFonts w:ascii="Times New Roman" w:hAnsi="Times New Roman"/>
          <w:color w:val="000000" w:themeColor="tx1" w:themeShade="FF"/>
          <w:szCs w:val="22"/>
        </w:rPr>
        <w:t xml:space="preserve"> zo štátneho rozpočtu až o 55 582 tis. eur viac.</w:t>
      </w:r>
    </w:p>
    <w:p w:rsidR="003778B6" w:rsidRPr="00CF1AF9" w:rsidP="00897281">
      <w:pPr>
        <w:suppressAutoHyphens/>
        <w:bidi w:val="0"/>
        <w:rPr>
          <w:rFonts w:ascii="Times New Roman" w:hAnsi="Times New Roman"/>
          <w:color w:val="000000" w:themeColor="tx1" w:themeShade="FF"/>
          <w:szCs w:val="22"/>
        </w:rPr>
      </w:pPr>
      <w:r w:rsidRPr="005E4658">
        <w:rPr>
          <w:rFonts w:ascii="Times New Roman" w:hAnsi="Times New Roman"/>
          <w:color w:val="000000" w:themeColor="tx1" w:themeShade="FF"/>
          <w:szCs w:val="22"/>
        </w:rPr>
        <w:t xml:space="preserve">Granty a transfery zo zdroja 111 - štátny rozpočet boli poskytnuté v sume 961 387 tis. eur. Z toho bežné granty a transfery tvorili čiastku 911 959 tis. eur a kapitálové granty a transfery sumu 49 428 tis. eur. </w:t>
      </w:r>
      <w:r w:rsidRPr="00EA43FE">
        <w:rPr>
          <w:rFonts w:ascii="Times New Roman" w:hAnsi="Times New Roman"/>
          <w:color w:val="000000" w:themeColor="tx1" w:themeShade="FF"/>
          <w:szCs w:val="22"/>
        </w:rPr>
        <w:t xml:space="preserve">Na financovanie kompetencií preneseného výkonu štátnej správy bolo poskytnutých 851 764 tis. eur len v rámci bežných transferov, a to v kapitolách Ministerstva vnútra SR (845 299 tis. eur), </w:t>
      </w:r>
      <w:r w:rsidR="00B4356F">
        <w:rPr>
          <w:rFonts w:ascii="Times New Roman" w:hAnsi="Times New Roman"/>
          <w:color w:val="000000" w:themeColor="tx1" w:themeShade="FF"/>
          <w:szCs w:val="22"/>
        </w:rPr>
        <w:t>Ministerstva dopravy a</w:t>
      </w:r>
      <w:r w:rsidRPr="00EA43FE">
        <w:rPr>
          <w:rFonts w:ascii="Times New Roman" w:hAnsi="Times New Roman"/>
          <w:color w:val="000000" w:themeColor="tx1" w:themeShade="FF"/>
          <w:szCs w:val="22"/>
        </w:rPr>
        <w:t xml:space="preserve"> výstavby SR (6 442 tis. eur) a</w:t>
      </w:r>
      <w:r w:rsidR="00B4356F">
        <w:rPr>
          <w:rFonts w:ascii="Times New Roman" w:hAnsi="Times New Roman"/>
          <w:color w:val="000000" w:themeColor="tx1" w:themeShade="FF"/>
          <w:szCs w:val="22"/>
        </w:rPr>
        <w:t xml:space="preserve"> </w:t>
      </w:r>
      <w:r w:rsidR="00897281">
        <w:rPr>
          <w:rFonts w:ascii="Times New Roman" w:hAnsi="Times New Roman"/>
          <w:color w:val="000000" w:themeColor="tx1" w:themeShade="FF"/>
          <w:szCs w:val="22"/>
        </w:rPr>
        <w:t>Úradu</w:t>
      </w:r>
      <w:r w:rsidRPr="00EA43FE">
        <w:rPr>
          <w:rFonts w:ascii="Times New Roman" w:hAnsi="Times New Roman"/>
          <w:color w:val="000000" w:themeColor="tx1" w:themeShade="FF"/>
          <w:szCs w:val="22"/>
        </w:rPr>
        <w:t xml:space="preserve"> vlády SR (23 tis. eur). </w:t>
      </w:r>
      <w:r w:rsidRPr="00BD03AE">
        <w:rPr>
          <w:rFonts w:ascii="Times New Roman" w:hAnsi="Times New Roman"/>
          <w:color w:val="000000" w:themeColor="tx1" w:themeShade="FF"/>
          <w:szCs w:val="22"/>
        </w:rPr>
        <w:t xml:space="preserve">Z celkovej sumy najviac prostriedkov smerovalo do oblasti školstva (829 136 tis. eur), ostatné na všeobecné verejné služby (matrika, register obyvateľov) a do ekonomickej oblasti </w:t>
      </w:r>
      <w:r w:rsidR="00073345">
        <w:rPr>
          <w:rFonts w:ascii="Times New Roman" w:hAnsi="Times New Roman"/>
          <w:color w:val="000000" w:themeColor="tx1" w:themeShade="FF"/>
          <w:szCs w:val="22"/>
        </w:rPr>
        <w:br/>
      </w:r>
      <w:r w:rsidRPr="00BD03AE">
        <w:rPr>
          <w:rFonts w:ascii="Times New Roman" w:hAnsi="Times New Roman"/>
          <w:color w:val="000000" w:themeColor="tx1" w:themeShade="FF"/>
          <w:szCs w:val="22"/>
        </w:rPr>
        <w:t xml:space="preserve">na výstavbu a cestnú dopravu. </w:t>
      </w:r>
      <w:r w:rsidRPr="00CF1AF9">
        <w:rPr>
          <w:rFonts w:ascii="Times New Roman" w:hAnsi="Times New Roman"/>
          <w:color w:val="000000" w:themeColor="tx1" w:themeShade="FF"/>
          <w:szCs w:val="22"/>
        </w:rPr>
        <w:t xml:space="preserve">Na ostatné činnosti zabezpečované obcami v rámci ich samosprávnej pôsobnosti, napr. na podporu regionálneho rozvoja, cestovného ruchu, rozvoja bývania, obnovy infraštruktúry a podobne sa vynaložila zo zdroja štátny rozpočet suma 109 623 tis. eur. </w:t>
      </w:r>
    </w:p>
    <w:p w:rsidR="00B44B47" w:rsidP="00897281">
      <w:pPr>
        <w:suppressAutoHyphens/>
        <w:bidi w:val="0"/>
        <w:rPr>
          <w:rFonts w:ascii="Times New Roman" w:hAnsi="Times New Roman"/>
          <w:color w:val="000000" w:themeColor="tx1" w:themeShade="FF"/>
          <w:szCs w:val="22"/>
        </w:rPr>
      </w:pPr>
      <w:r w:rsidRPr="007771D9" w:rsidR="003778B6">
        <w:rPr>
          <w:rFonts w:ascii="Times New Roman" w:hAnsi="Times New Roman"/>
          <w:color w:val="000000" w:themeColor="tx1" w:themeShade="FF"/>
          <w:szCs w:val="22"/>
        </w:rPr>
        <w:t>Súhrnný prehľad grantov a transferov poskytnutých obciam podľa jednotlivých oddielov funkčnej klasifikácie poskytujú údaje v nasledujúcej tabuľke:</w:t>
      </w:r>
    </w:p>
    <w:tbl>
      <w:tblPr>
        <w:tblStyle w:val="TableNormal"/>
        <w:tblW w:w="8938" w:type="dxa"/>
        <w:tblCellMar>
          <w:left w:w="70" w:type="dxa"/>
          <w:right w:w="70" w:type="dxa"/>
        </w:tblCellMar>
        <w:tblLook w:val="04A0"/>
      </w:tblPr>
      <w:tblGrid>
        <w:gridCol w:w="2757"/>
        <w:gridCol w:w="906"/>
        <w:gridCol w:w="869"/>
        <w:gridCol w:w="869"/>
        <w:gridCol w:w="980"/>
        <w:gridCol w:w="926"/>
        <w:gridCol w:w="781"/>
        <w:gridCol w:w="850"/>
      </w:tblGrid>
      <w:tr>
        <w:tblPrEx>
          <w:tblW w:w="8938" w:type="dxa"/>
          <w:tblCellMar>
            <w:left w:w="70" w:type="dxa"/>
            <w:right w:w="70" w:type="dxa"/>
          </w:tblCellMar>
          <w:tblLook w:val="04A0"/>
        </w:tblPrEx>
        <w:trPr>
          <w:trHeight w:val="316"/>
        </w:trPr>
        <w:tc>
          <w:tcPr>
            <w:tcW w:w="8088" w:type="dxa"/>
            <w:gridSpan w:val="7"/>
            <w:tcBorders>
              <w:top w:val="nil"/>
              <w:left w:val="single" w:sz="8" w:space="0" w:color="auto"/>
              <w:bottom w:val="nil"/>
              <w:right w:val="nil"/>
            </w:tcBorders>
            <w:shd w:val="clear" w:color="000000" w:fill="000000"/>
            <w:textDirection w:val="lrTb"/>
            <w:vAlign w:val="center"/>
            <w:hideMark/>
          </w:tcPr>
          <w:p w:rsidR="003778B6" w:rsidRPr="00056265" w:rsidP="00897281">
            <w:pPr>
              <w:bidi w:val="0"/>
              <w:rPr>
                <w:rFonts w:ascii="Times New Roman" w:hAnsi="Times New Roman"/>
                <w:b/>
                <w:bCs/>
                <w:color w:val="FFFFFF"/>
                <w:sz w:val="18"/>
                <w:szCs w:val="18"/>
              </w:rPr>
            </w:pPr>
            <w:r w:rsidRPr="00056265">
              <w:rPr>
                <w:rFonts w:ascii="Times New Roman" w:hAnsi="Times New Roman"/>
                <w:b/>
                <w:bCs/>
                <w:color w:val="FFFFFF"/>
                <w:sz w:val="18"/>
                <w:szCs w:val="18"/>
              </w:rPr>
              <w:t>Granty a transfery poskytnuté obciam podľa oddielov funkčnej klasifikácie</w:t>
            </w:r>
          </w:p>
        </w:tc>
        <w:tc>
          <w:tcPr>
            <w:tcW w:w="850" w:type="dxa"/>
            <w:tcBorders>
              <w:top w:val="nil"/>
              <w:left w:val="nil"/>
              <w:bottom w:val="nil"/>
              <w:right w:val="nil"/>
            </w:tcBorders>
            <w:shd w:val="clear" w:color="000000" w:fill="000000"/>
            <w:noWrap/>
            <w:textDirection w:val="lrTb"/>
            <w:vAlign w:val="bottom"/>
            <w:hideMark/>
          </w:tcPr>
          <w:p w:rsidR="003778B6" w:rsidRPr="00056265" w:rsidP="00897281">
            <w:pPr>
              <w:bidi w:val="0"/>
              <w:jc w:val="right"/>
              <w:rPr>
                <w:rFonts w:ascii="Times New Roman" w:hAnsi="Times New Roman"/>
                <w:b/>
                <w:bCs/>
                <w:color w:val="FFFFFF"/>
                <w:sz w:val="18"/>
                <w:szCs w:val="18"/>
              </w:rPr>
            </w:pPr>
            <w:r w:rsidRPr="00056265">
              <w:rPr>
                <w:rFonts w:ascii="Times New Roman" w:hAnsi="Times New Roman"/>
                <w:b/>
                <w:bCs/>
                <w:color w:val="FFFFFF"/>
                <w:sz w:val="18"/>
                <w:szCs w:val="18"/>
              </w:rPr>
              <w:t>v tis. eur</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BFBFBF"/>
            <w:textDirection w:val="lrTb"/>
            <w:vAlign w:val="center"/>
            <w:hideMark/>
          </w:tcPr>
          <w:p w:rsidR="003778B6" w:rsidRPr="00056265" w:rsidP="00897281">
            <w:pPr>
              <w:bidi w:val="0"/>
              <w:jc w:val="center"/>
              <w:rPr>
                <w:rFonts w:ascii="Times New Roman" w:hAnsi="Times New Roman"/>
                <w:b/>
                <w:sz w:val="18"/>
                <w:szCs w:val="18"/>
              </w:rPr>
            </w:pPr>
          </w:p>
        </w:tc>
        <w:tc>
          <w:tcPr>
            <w:tcW w:w="1775" w:type="dxa"/>
            <w:gridSpan w:val="2"/>
            <w:tcBorders>
              <w:top w:val="nil"/>
              <w:left w:val="nil"/>
              <w:bottom w:val="nil"/>
              <w:right w:val="nil"/>
            </w:tcBorders>
            <w:shd w:val="clear" w:color="000000" w:fill="BFBFBF"/>
            <w:textDirection w:val="lrTb"/>
            <w:vAlign w:val="center"/>
            <w:hideMark/>
          </w:tcPr>
          <w:p w:rsidR="003778B6" w:rsidRPr="00056265" w:rsidP="00897281">
            <w:pPr>
              <w:bidi w:val="0"/>
              <w:jc w:val="center"/>
              <w:rPr>
                <w:rFonts w:ascii="Times New Roman" w:hAnsi="Times New Roman"/>
                <w:b/>
                <w:sz w:val="18"/>
                <w:szCs w:val="18"/>
              </w:rPr>
            </w:pPr>
            <w:r w:rsidRPr="00056265">
              <w:rPr>
                <w:rFonts w:ascii="Times New Roman" w:hAnsi="Times New Roman"/>
                <w:b/>
                <w:sz w:val="18"/>
                <w:szCs w:val="18"/>
              </w:rPr>
              <w:t>Skutočnosť</w:t>
            </w:r>
          </w:p>
        </w:tc>
        <w:tc>
          <w:tcPr>
            <w:tcW w:w="869" w:type="dxa"/>
            <w:tcBorders>
              <w:top w:val="nil"/>
              <w:left w:val="nil"/>
              <w:bottom w:val="nil"/>
              <w:right w:val="nil"/>
            </w:tcBorders>
            <w:shd w:val="clear" w:color="000000" w:fill="BFBFBF"/>
            <w:textDirection w:val="lrTb"/>
            <w:vAlign w:val="center"/>
            <w:hideMark/>
          </w:tcPr>
          <w:p w:rsidR="003778B6" w:rsidRPr="00056265" w:rsidP="00897281">
            <w:pPr>
              <w:bidi w:val="0"/>
              <w:jc w:val="center"/>
              <w:rPr>
                <w:rFonts w:ascii="Times New Roman" w:hAnsi="Times New Roman"/>
                <w:b/>
                <w:sz w:val="18"/>
                <w:szCs w:val="18"/>
              </w:rPr>
            </w:pPr>
            <w:r w:rsidRPr="00056265">
              <w:rPr>
                <w:rFonts w:ascii="Times New Roman" w:hAnsi="Times New Roman"/>
                <w:b/>
                <w:sz w:val="18"/>
                <w:szCs w:val="18"/>
              </w:rPr>
              <w:t>Rozpočet</w:t>
            </w:r>
          </w:p>
        </w:tc>
        <w:tc>
          <w:tcPr>
            <w:tcW w:w="1906" w:type="dxa"/>
            <w:gridSpan w:val="2"/>
            <w:tcBorders>
              <w:top w:val="nil"/>
              <w:left w:val="nil"/>
              <w:bottom w:val="nil"/>
              <w:right w:val="nil"/>
            </w:tcBorders>
            <w:shd w:val="clear" w:color="000000" w:fill="BFBFBF"/>
            <w:textDirection w:val="lrTb"/>
            <w:vAlign w:val="center"/>
            <w:hideMark/>
          </w:tcPr>
          <w:p w:rsidR="003778B6" w:rsidRPr="00056265" w:rsidP="00897281">
            <w:pPr>
              <w:bidi w:val="0"/>
              <w:jc w:val="center"/>
              <w:rPr>
                <w:rFonts w:ascii="Times New Roman" w:hAnsi="Times New Roman"/>
                <w:b/>
                <w:sz w:val="18"/>
                <w:szCs w:val="18"/>
              </w:rPr>
            </w:pPr>
            <w:r w:rsidRPr="00056265">
              <w:rPr>
                <w:rFonts w:ascii="Times New Roman" w:hAnsi="Times New Roman"/>
                <w:b/>
                <w:sz w:val="18"/>
                <w:szCs w:val="18"/>
              </w:rPr>
              <w:t>Skutočnosť</w:t>
            </w:r>
          </w:p>
        </w:tc>
        <w:tc>
          <w:tcPr>
            <w:tcW w:w="1629" w:type="dxa"/>
            <w:gridSpan w:val="2"/>
            <w:tcBorders>
              <w:top w:val="nil"/>
              <w:left w:val="nil"/>
              <w:bottom w:val="nil"/>
              <w:right w:val="nil"/>
            </w:tcBorders>
            <w:shd w:val="clear" w:color="000000" w:fill="BFBFBF"/>
            <w:textDirection w:val="lrTb"/>
            <w:vAlign w:val="center"/>
            <w:hideMark/>
          </w:tcPr>
          <w:p w:rsidR="003778B6" w:rsidRPr="00056265" w:rsidP="00897281">
            <w:pPr>
              <w:bidi w:val="0"/>
              <w:jc w:val="center"/>
              <w:rPr>
                <w:rFonts w:ascii="Times New Roman" w:hAnsi="Times New Roman"/>
                <w:b/>
                <w:sz w:val="18"/>
                <w:szCs w:val="18"/>
              </w:rPr>
            </w:pPr>
            <w:r w:rsidRPr="00056265">
              <w:rPr>
                <w:rFonts w:ascii="Times New Roman" w:hAnsi="Times New Roman"/>
                <w:b/>
                <w:sz w:val="18"/>
                <w:szCs w:val="18"/>
              </w:rPr>
              <w:t>Rozdiel</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p>
        </w:tc>
        <w:tc>
          <w:tcPr>
            <w:tcW w:w="906"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2015</w:t>
            </w:r>
          </w:p>
        </w:tc>
        <w:tc>
          <w:tcPr>
            <w:tcW w:w="869"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2016</w:t>
            </w:r>
          </w:p>
        </w:tc>
        <w:tc>
          <w:tcPr>
            <w:tcW w:w="869"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2017</w:t>
            </w:r>
          </w:p>
        </w:tc>
        <w:tc>
          <w:tcPr>
            <w:tcW w:w="980"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2017</w:t>
            </w:r>
          </w:p>
        </w:tc>
        <w:tc>
          <w:tcPr>
            <w:tcW w:w="926"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00527715">
              <w:rPr>
                <w:rFonts w:ascii="Times New Roman" w:hAnsi="Times New Roman"/>
                <w:b/>
                <w:sz w:val="18"/>
                <w:szCs w:val="18"/>
              </w:rPr>
              <w:t xml:space="preserve">  </w:t>
            </w:r>
            <w:r w:rsidRPr="00056265">
              <w:rPr>
                <w:rFonts w:ascii="Times New Roman" w:hAnsi="Times New Roman"/>
                <w:b/>
                <w:sz w:val="18"/>
                <w:szCs w:val="18"/>
              </w:rPr>
              <w:t xml:space="preserve">z toho: </w:t>
            </w:r>
            <w:r w:rsidR="00527715">
              <w:rPr>
                <w:rFonts w:ascii="Times New Roman" w:hAnsi="Times New Roman"/>
                <w:b/>
                <w:sz w:val="18"/>
                <w:szCs w:val="18"/>
              </w:rPr>
              <w:t xml:space="preserve">   </w:t>
            </w:r>
            <w:r w:rsidRPr="00056265">
              <w:rPr>
                <w:rFonts w:ascii="Times New Roman" w:hAnsi="Times New Roman"/>
                <w:b/>
                <w:sz w:val="18"/>
                <w:szCs w:val="18"/>
              </w:rPr>
              <w:t>zdroj 111*</w:t>
            </w:r>
          </w:p>
        </w:tc>
        <w:tc>
          <w:tcPr>
            <w:tcW w:w="778"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v tis. eur</w:t>
            </w:r>
          </w:p>
        </w:tc>
        <w:tc>
          <w:tcPr>
            <w:tcW w:w="850" w:type="dxa"/>
            <w:tcBorders>
              <w:top w:val="nil"/>
              <w:left w:val="nil"/>
              <w:bottom w:val="nil"/>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v %</w:t>
            </w:r>
          </w:p>
        </w:tc>
      </w:tr>
      <w:tr>
        <w:tblPrEx>
          <w:tblW w:w="8938" w:type="dxa"/>
          <w:tblCellMar>
            <w:left w:w="70" w:type="dxa"/>
            <w:right w:w="70" w:type="dxa"/>
          </w:tblCellMar>
          <w:tblLook w:val="04A0"/>
        </w:tblPrEx>
        <w:trPr>
          <w:trHeight w:val="18"/>
        </w:trPr>
        <w:tc>
          <w:tcPr>
            <w:tcW w:w="2757"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p>
        </w:tc>
        <w:tc>
          <w:tcPr>
            <w:tcW w:w="906"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1</w:t>
            </w:r>
          </w:p>
        </w:tc>
        <w:tc>
          <w:tcPr>
            <w:tcW w:w="869"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2</w:t>
            </w:r>
          </w:p>
        </w:tc>
        <w:tc>
          <w:tcPr>
            <w:tcW w:w="869"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3</w:t>
            </w:r>
          </w:p>
        </w:tc>
        <w:tc>
          <w:tcPr>
            <w:tcW w:w="980"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4</w:t>
            </w:r>
          </w:p>
        </w:tc>
        <w:tc>
          <w:tcPr>
            <w:tcW w:w="926"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5</w:t>
            </w:r>
          </w:p>
        </w:tc>
        <w:tc>
          <w:tcPr>
            <w:tcW w:w="778"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6=4-3</w:t>
            </w:r>
          </w:p>
        </w:tc>
        <w:tc>
          <w:tcPr>
            <w:tcW w:w="850" w:type="dxa"/>
            <w:tcBorders>
              <w:top w:val="nil"/>
              <w:left w:val="nil"/>
              <w:bottom w:val="single" w:sz="8" w:space="0" w:color="auto"/>
              <w:right w:val="nil"/>
            </w:tcBorders>
            <w:shd w:val="clear" w:color="000000" w:fill="BFBFBF"/>
            <w:textDirection w:val="lrTb"/>
            <w:vAlign w:val="center"/>
            <w:hideMark/>
          </w:tcPr>
          <w:p w:rsidR="003778B6" w:rsidRPr="00056265" w:rsidP="00056265">
            <w:pPr>
              <w:bidi w:val="0"/>
              <w:spacing w:after="0" w:line="240" w:lineRule="auto"/>
              <w:jc w:val="center"/>
              <w:rPr>
                <w:rFonts w:ascii="Times New Roman" w:hAnsi="Times New Roman"/>
                <w:b/>
                <w:sz w:val="18"/>
                <w:szCs w:val="18"/>
              </w:rPr>
            </w:pPr>
            <w:r w:rsidRPr="00056265">
              <w:rPr>
                <w:rFonts w:ascii="Times New Roman" w:hAnsi="Times New Roman"/>
                <w:b/>
                <w:sz w:val="18"/>
                <w:szCs w:val="18"/>
              </w:rPr>
              <w:t>7=4-3</w:t>
            </w:r>
          </w:p>
        </w:tc>
      </w:tr>
      <w:tr>
        <w:tblPrEx>
          <w:tblW w:w="8938" w:type="dxa"/>
          <w:tblCellMar>
            <w:left w:w="70" w:type="dxa"/>
            <w:right w:w="70" w:type="dxa"/>
          </w:tblCellMar>
          <w:tblLook w:val="04A0"/>
        </w:tblPrEx>
        <w:trPr>
          <w:trHeight w:val="270"/>
        </w:trPr>
        <w:tc>
          <w:tcPr>
            <w:tcW w:w="2757" w:type="dxa"/>
            <w:tcBorders>
              <w:top w:val="nil"/>
              <w:left w:val="nil"/>
              <w:bottom w:val="nil"/>
              <w:right w:val="nil"/>
            </w:tcBorders>
            <w:shd w:val="clear" w:color="000000" w:fill="FFFFFF"/>
            <w:noWrap/>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Všeobecné verejné služby</w:t>
            </w:r>
          </w:p>
        </w:tc>
        <w:tc>
          <w:tcPr>
            <w:tcW w:w="906" w:type="dxa"/>
            <w:tcBorders>
              <w:top w:val="nil"/>
              <w:left w:val="nil"/>
              <w:bottom w:val="nil"/>
              <w:right w:val="nil"/>
            </w:tcBorders>
            <w:shd w:val="clear" w:color="000000" w:fill="FFFFF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31 643</w:t>
            </w:r>
          </w:p>
        </w:tc>
        <w:tc>
          <w:tcPr>
            <w:tcW w:w="869" w:type="dxa"/>
            <w:tcBorders>
              <w:top w:val="nil"/>
              <w:left w:val="nil"/>
              <w:bottom w:val="nil"/>
              <w:right w:val="nil"/>
            </w:tcBorders>
            <w:shd w:val="clear" w:color="000000" w:fill="FFFFF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19 325</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19 111</w:t>
            </w:r>
          </w:p>
        </w:tc>
        <w:tc>
          <w:tcPr>
            <w:tcW w:w="980" w:type="dxa"/>
            <w:tcBorders>
              <w:top w:val="nil"/>
              <w:left w:val="nil"/>
              <w:bottom w:val="nil"/>
              <w:right w:val="nil"/>
            </w:tcBorders>
            <w:shd w:val="clear" w:color="000000" w:fill="BFBFB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22 150</w:t>
            </w:r>
          </w:p>
        </w:tc>
        <w:tc>
          <w:tcPr>
            <w:tcW w:w="926" w:type="dxa"/>
            <w:tcBorders>
              <w:top w:val="nil"/>
              <w:left w:val="nil"/>
              <w:bottom w:val="nil"/>
              <w:right w:val="nil"/>
            </w:tcBorders>
            <w:shd w:val="clear" w:color="000000" w:fill="BFBFB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20 707</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3 039</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15,9</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noWrap/>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Verejný poriadok a bezpečnosť</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3 200</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1 509</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355</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7 566</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826</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7 211</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2 031,3</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noWrap/>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Ekonomická oblasť</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292 166</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55 056</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29 296</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56 909</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7 343</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27 613</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94,3</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Ochrana životného prostredia</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107 704</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26 397</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59 563</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59 563</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x</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Bývanie a občianska vybavenosť</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53 858</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94 869</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4 200</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38 523</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37 080</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34 323</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817,2</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Zdravotníctvo</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3 340</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868</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0</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x</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Rekreácia, kultúra a náboženstvo</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6 410</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5 103</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2 400</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6 857</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5 357</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4 457</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185,7</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Vzdelávanie</w:t>
            </w:r>
          </w:p>
        </w:tc>
        <w:tc>
          <w:tcPr>
            <w:tcW w:w="906"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760 683</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796 447</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783 900</w:t>
            </w:r>
          </w:p>
        </w:tc>
        <w:tc>
          <w:tcPr>
            <w:tcW w:w="980"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839 651</w:t>
            </w:r>
          </w:p>
        </w:tc>
        <w:tc>
          <w:tcPr>
            <w:tcW w:w="926" w:type="dxa"/>
            <w:tcBorders>
              <w:top w:val="nil"/>
              <w:left w:val="nil"/>
              <w:bottom w:val="nil"/>
              <w:right w:val="nil"/>
            </w:tcBorders>
            <w:shd w:val="clear" w:color="000000" w:fill="BFBFB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837 899</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55 751</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7,1</w:t>
            </w:r>
          </w:p>
        </w:tc>
      </w:tr>
      <w:tr>
        <w:tblPrEx>
          <w:tblW w:w="8938" w:type="dxa"/>
          <w:tblCellMar>
            <w:left w:w="70" w:type="dxa"/>
            <w:right w:w="70" w:type="dxa"/>
          </w:tblCellMar>
          <w:tblLook w:val="04A0"/>
        </w:tblPrEx>
        <w:trPr>
          <w:trHeight w:val="18"/>
        </w:trPr>
        <w:tc>
          <w:tcPr>
            <w:tcW w:w="2757" w:type="dxa"/>
            <w:tcBorders>
              <w:top w:val="nil"/>
              <w:left w:val="nil"/>
              <w:bottom w:val="nil"/>
              <w:right w:val="nil"/>
            </w:tcBorders>
            <w:shd w:val="clear" w:color="000000" w:fill="FFFFFF"/>
            <w:noWrap/>
            <w:textDirection w:val="lrTb"/>
            <w:vAlign w:val="center"/>
            <w:hideMark/>
          </w:tcPr>
          <w:p w:rsidR="003778B6" w:rsidRPr="00056265" w:rsidP="00B4356F">
            <w:pPr>
              <w:bidi w:val="0"/>
              <w:rPr>
                <w:rFonts w:ascii="Times New Roman" w:hAnsi="Times New Roman"/>
                <w:color w:val="000000"/>
                <w:sz w:val="18"/>
                <w:szCs w:val="18"/>
              </w:rPr>
            </w:pPr>
            <w:r w:rsidRPr="00056265">
              <w:rPr>
                <w:rFonts w:ascii="Times New Roman" w:hAnsi="Times New Roman"/>
                <w:color w:val="000000"/>
                <w:sz w:val="18"/>
                <w:szCs w:val="18"/>
              </w:rPr>
              <w:t>Sociálne zabezpečenie</w:t>
            </w:r>
          </w:p>
        </w:tc>
        <w:tc>
          <w:tcPr>
            <w:tcW w:w="906" w:type="dxa"/>
            <w:tcBorders>
              <w:top w:val="nil"/>
              <w:left w:val="nil"/>
              <w:bottom w:val="nil"/>
              <w:right w:val="nil"/>
            </w:tcBorders>
            <w:shd w:val="clear" w:color="000000" w:fill="FFFFF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52 573</w:t>
            </w:r>
          </w:p>
        </w:tc>
        <w:tc>
          <w:tcPr>
            <w:tcW w:w="869" w:type="dxa"/>
            <w:tcBorders>
              <w:top w:val="nil"/>
              <w:left w:val="nil"/>
              <w:bottom w:val="nil"/>
              <w:right w:val="nil"/>
            </w:tcBorders>
            <w:shd w:val="clear" w:color="000000" w:fill="FFFFF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60 150</w:t>
            </w:r>
          </w:p>
        </w:tc>
        <w:tc>
          <w:tcPr>
            <w:tcW w:w="869" w:type="dxa"/>
            <w:tcBorders>
              <w:top w:val="nil"/>
              <w:left w:val="nil"/>
              <w:bottom w:val="nil"/>
              <w:right w:val="nil"/>
            </w:tcBorders>
            <w:shd w:val="clear" w:color="000000" w:fill="FFFFFF"/>
            <w:noWrap/>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55 645</w:t>
            </w:r>
          </w:p>
        </w:tc>
        <w:tc>
          <w:tcPr>
            <w:tcW w:w="980" w:type="dxa"/>
            <w:tcBorders>
              <w:top w:val="nil"/>
              <w:left w:val="nil"/>
              <w:bottom w:val="nil"/>
              <w:right w:val="nil"/>
            </w:tcBorders>
            <w:shd w:val="clear" w:color="000000" w:fill="BFBFB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66 518</w:t>
            </w:r>
          </w:p>
        </w:tc>
        <w:tc>
          <w:tcPr>
            <w:tcW w:w="926" w:type="dxa"/>
            <w:tcBorders>
              <w:top w:val="nil"/>
              <w:left w:val="nil"/>
              <w:bottom w:val="nil"/>
              <w:right w:val="nil"/>
            </w:tcBorders>
            <w:shd w:val="clear" w:color="000000" w:fill="BFBFBF"/>
            <w:noWrap/>
            <w:textDirection w:val="lrTb"/>
            <w:vAlign w:val="bottom"/>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52 175</w:t>
            </w:r>
          </w:p>
        </w:tc>
        <w:tc>
          <w:tcPr>
            <w:tcW w:w="778"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10 873</w:t>
            </w:r>
          </w:p>
        </w:tc>
        <w:tc>
          <w:tcPr>
            <w:tcW w:w="850" w:type="dxa"/>
            <w:tcBorders>
              <w:top w:val="nil"/>
              <w:left w:val="nil"/>
              <w:bottom w:val="nil"/>
              <w:right w:val="nil"/>
            </w:tcBorders>
            <w:shd w:val="clear" w:color="000000" w:fill="FFFFFF"/>
            <w:textDirection w:val="lrTb"/>
            <w:vAlign w:val="center"/>
            <w:hideMark/>
          </w:tcPr>
          <w:p w:rsidR="003778B6" w:rsidRPr="00056265" w:rsidP="00B4356F">
            <w:pPr>
              <w:bidi w:val="0"/>
              <w:jc w:val="right"/>
              <w:rPr>
                <w:rFonts w:ascii="Times New Roman" w:hAnsi="Times New Roman"/>
                <w:color w:val="000000"/>
                <w:sz w:val="18"/>
                <w:szCs w:val="18"/>
              </w:rPr>
            </w:pPr>
            <w:r w:rsidRPr="00056265">
              <w:rPr>
                <w:rFonts w:ascii="Times New Roman" w:hAnsi="Times New Roman"/>
                <w:color w:val="000000"/>
                <w:sz w:val="18"/>
                <w:szCs w:val="18"/>
              </w:rPr>
              <w:t>19,5</w:t>
            </w:r>
          </w:p>
        </w:tc>
      </w:tr>
      <w:tr>
        <w:tblPrEx>
          <w:tblW w:w="8938" w:type="dxa"/>
          <w:tblCellMar>
            <w:left w:w="70" w:type="dxa"/>
            <w:right w:w="70" w:type="dxa"/>
          </w:tblCellMar>
          <w:tblLook w:val="04A0"/>
        </w:tblPrEx>
        <w:trPr>
          <w:trHeight w:val="271"/>
        </w:trPr>
        <w:tc>
          <w:tcPr>
            <w:tcW w:w="2757"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rPr>
                <w:rFonts w:ascii="Times New Roman" w:hAnsi="Times New Roman"/>
                <w:b/>
                <w:bCs/>
                <w:sz w:val="18"/>
                <w:szCs w:val="18"/>
                <w:lang w:eastAsia="sk-SK"/>
              </w:rPr>
            </w:pPr>
            <w:r w:rsidRPr="009E6FAD">
              <w:rPr>
                <w:rFonts w:ascii="Times New Roman" w:hAnsi="Times New Roman"/>
                <w:b/>
                <w:bCs/>
                <w:sz w:val="18"/>
                <w:szCs w:val="18"/>
                <w:lang w:eastAsia="sk-SK"/>
              </w:rPr>
              <w:t>Spolu</w:t>
            </w:r>
          </w:p>
        </w:tc>
        <w:tc>
          <w:tcPr>
            <w:tcW w:w="906"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1 311 577</w:t>
            </w:r>
          </w:p>
        </w:tc>
        <w:tc>
          <w:tcPr>
            <w:tcW w:w="869"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1 059 724</w:t>
            </w:r>
          </w:p>
        </w:tc>
        <w:tc>
          <w:tcPr>
            <w:tcW w:w="869"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894 907</w:t>
            </w:r>
          </w:p>
        </w:tc>
        <w:tc>
          <w:tcPr>
            <w:tcW w:w="980" w:type="dxa"/>
            <w:tcBorders>
              <w:top w:val="single" w:sz="4" w:space="0" w:color="auto"/>
              <w:left w:val="nil"/>
              <w:bottom w:val="single" w:sz="8" w:space="0" w:color="auto"/>
              <w:right w:val="nil"/>
            </w:tcBorders>
            <w:shd w:val="clear" w:color="000000" w:fill="BFBFB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1 097 737</w:t>
            </w:r>
          </w:p>
        </w:tc>
        <w:tc>
          <w:tcPr>
            <w:tcW w:w="926" w:type="dxa"/>
            <w:tcBorders>
              <w:top w:val="single" w:sz="4" w:space="0" w:color="auto"/>
              <w:left w:val="nil"/>
              <w:bottom w:val="single" w:sz="8" w:space="0" w:color="auto"/>
              <w:right w:val="nil"/>
            </w:tcBorders>
            <w:shd w:val="clear" w:color="000000" w:fill="BFBFB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961 387</w:t>
            </w:r>
          </w:p>
        </w:tc>
        <w:tc>
          <w:tcPr>
            <w:tcW w:w="778"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202 830</w:t>
            </w:r>
          </w:p>
        </w:tc>
        <w:tc>
          <w:tcPr>
            <w:tcW w:w="850" w:type="dxa"/>
            <w:tcBorders>
              <w:top w:val="single" w:sz="4" w:space="0" w:color="auto"/>
              <w:left w:val="nil"/>
              <w:bottom w:val="single" w:sz="8" w:space="0" w:color="auto"/>
              <w:right w:val="nil"/>
            </w:tcBorders>
            <w:shd w:val="clear" w:color="000000" w:fill="FFFFFF"/>
            <w:noWrap/>
            <w:textDirection w:val="lrTb"/>
            <w:vAlign w:val="center"/>
            <w:hideMark/>
          </w:tcPr>
          <w:p w:rsidR="003778B6"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22,7</w:t>
            </w:r>
          </w:p>
        </w:tc>
      </w:tr>
    </w:tbl>
    <w:p w:rsidR="00641865" w:rsidRPr="00056265" w:rsidP="00A335E8">
      <w:pPr>
        <w:suppressAutoHyphens/>
        <w:bidi w:val="0"/>
        <w:rPr>
          <w:rFonts w:ascii="Times New Roman" w:hAnsi="Times New Roman"/>
          <w:color w:val="000000" w:themeColor="tx1" w:themeShade="FF"/>
          <w:sz w:val="18"/>
          <w:szCs w:val="18"/>
        </w:rPr>
      </w:pPr>
      <w:bookmarkStart w:id="60" w:name="RANGE!B5:I18"/>
      <w:bookmarkEnd w:id="60"/>
      <w:r w:rsidRPr="00056265" w:rsidR="00B44B47">
        <w:rPr>
          <w:rFonts w:ascii="Times New Roman" w:hAnsi="Times New Roman"/>
          <w:color w:val="000000" w:themeColor="tx1" w:themeShade="FF"/>
          <w:sz w:val="18"/>
          <w:szCs w:val="18"/>
        </w:rPr>
        <w:t xml:space="preserve">Poznámka: * len prostriedky štátneho rozpočtu </w:t>
        <w:tab/>
      </w:r>
      <w:r w:rsidRPr="00056265">
        <w:rPr>
          <w:rFonts w:ascii="Times New Roman" w:hAnsi="Times New Roman"/>
          <w:color w:val="000000" w:themeColor="tx1" w:themeShade="FF"/>
          <w:sz w:val="18"/>
          <w:szCs w:val="18"/>
        </w:rPr>
        <w:tab/>
        <w:tab/>
        <w:tab/>
        <w:tab/>
        <w:tab/>
      </w:r>
      <w:r w:rsidRPr="00056265" w:rsidR="000B3DD8">
        <w:rPr>
          <w:rFonts w:ascii="Times New Roman" w:hAnsi="Times New Roman"/>
          <w:color w:val="000000" w:themeColor="tx1" w:themeShade="FF"/>
          <w:sz w:val="18"/>
          <w:szCs w:val="18"/>
        </w:rPr>
        <w:t xml:space="preserve">          </w:t>
      </w:r>
      <w:r w:rsidR="004117F4">
        <w:rPr>
          <w:rFonts w:ascii="Times New Roman" w:hAnsi="Times New Roman"/>
          <w:color w:val="000000" w:themeColor="tx1" w:themeShade="FF"/>
          <w:sz w:val="18"/>
          <w:szCs w:val="18"/>
        </w:rPr>
        <w:t xml:space="preserve">     </w:t>
      </w:r>
      <w:r w:rsidRPr="00056265">
        <w:rPr>
          <w:rFonts w:ascii="Times New Roman" w:hAnsi="Times New Roman"/>
          <w:color w:val="000000" w:themeColor="tx1" w:themeShade="FF"/>
          <w:sz w:val="18"/>
          <w:szCs w:val="18"/>
        </w:rPr>
        <w:t>Zdroj: MF SR</w:t>
      </w:r>
    </w:p>
    <w:p w:rsidR="00056265" w:rsidRPr="00591669" w:rsidP="00056265">
      <w:pPr>
        <w:suppressAutoHyphens/>
        <w:bidi w:val="0"/>
        <w:rPr>
          <w:rFonts w:ascii="Times New Roman" w:hAnsi="Times New Roman"/>
          <w:color w:val="000000" w:themeColor="tx1" w:themeShade="FF"/>
          <w:szCs w:val="22"/>
        </w:rPr>
      </w:pPr>
      <w:r w:rsidRPr="00591669">
        <w:rPr>
          <w:rFonts w:ascii="Times New Roman" w:hAnsi="Times New Roman"/>
          <w:color w:val="000000" w:themeColor="tx1" w:themeShade="FF"/>
          <w:szCs w:val="22"/>
        </w:rPr>
        <w:t>Najväčšie rozdiely medzi schváleným rozpočtom a skutočnosťou boli zaznamenané v ochrane životného prostredia o 59 563 tis. eur u Ministerstva životného prostredia SR a vzdelávaní o 55 751 tis. eur u Ministerstva vnútra SR a sú vysvetlené nižšie pod príslušnými kapitolami.</w:t>
      </w:r>
    </w:p>
    <w:p w:rsidR="00B44B47" w:rsidP="00056265">
      <w:pPr>
        <w:suppressAutoHyphens/>
        <w:bidi w:val="0"/>
        <w:rPr>
          <w:rFonts w:ascii="Times New Roman" w:hAnsi="Times New Roman"/>
          <w:color w:val="000000" w:themeColor="tx1" w:themeShade="FF"/>
          <w:szCs w:val="22"/>
        </w:rPr>
      </w:pPr>
      <w:r w:rsidRPr="006D1051" w:rsidR="00056265">
        <w:rPr>
          <w:rFonts w:ascii="Times New Roman" w:hAnsi="Times New Roman"/>
          <w:color w:val="000000" w:themeColor="tx1" w:themeShade="FF"/>
          <w:szCs w:val="22"/>
        </w:rPr>
        <w:t>Do rozpočtov obcí boli poskytnuté granty a</w:t>
      </w:r>
      <w:r w:rsidR="00056265">
        <w:rPr>
          <w:rFonts w:ascii="Times New Roman" w:hAnsi="Times New Roman"/>
          <w:color w:val="000000" w:themeColor="tx1" w:themeShade="FF"/>
          <w:szCs w:val="22"/>
        </w:rPr>
        <w:t xml:space="preserve"> </w:t>
      </w:r>
      <w:r w:rsidRPr="006D1051" w:rsidR="00056265">
        <w:rPr>
          <w:rFonts w:ascii="Times New Roman" w:hAnsi="Times New Roman"/>
          <w:color w:val="000000" w:themeColor="tx1" w:themeShade="FF"/>
          <w:szCs w:val="22"/>
        </w:rPr>
        <w:t>transfery z jednotlivých rozpočtových kapitol v nasledovnom členení:</w:t>
      </w:r>
    </w:p>
    <w:tbl>
      <w:tblPr>
        <w:tblStyle w:val="TableNormal"/>
        <w:tblW w:w="8850" w:type="dxa"/>
        <w:tblInd w:w="70" w:type="dxa"/>
        <w:tblLayout w:type="fixed"/>
        <w:tblCellMar>
          <w:left w:w="70" w:type="dxa"/>
          <w:right w:w="70" w:type="dxa"/>
        </w:tblCellMar>
        <w:tblLook w:val="04A0"/>
      </w:tblPr>
      <w:tblGrid>
        <w:gridCol w:w="2451"/>
        <w:gridCol w:w="952"/>
        <w:gridCol w:w="1090"/>
        <w:gridCol w:w="817"/>
        <w:gridCol w:w="952"/>
        <w:gridCol w:w="817"/>
        <w:gridCol w:w="953"/>
        <w:gridCol w:w="818"/>
      </w:tblGrid>
      <w:tr>
        <w:tblPrEx>
          <w:tblW w:w="8850" w:type="dxa"/>
          <w:tblInd w:w="70" w:type="dxa"/>
          <w:tblLayout w:type="fixed"/>
          <w:tblCellMar>
            <w:left w:w="70" w:type="dxa"/>
            <w:right w:w="70" w:type="dxa"/>
          </w:tblCellMar>
          <w:tblLook w:val="04A0"/>
        </w:tblPrEx>
        <w:trPr>
          <w:trHeight w:val="305"/>
        </w:trPr>
        <w:tc>
          <w:tcPr>
            <w:tcW w:w="8850" w:type="dxa"/>
            <w:gridSpan w:val="8"/>
            <w:tcBorders>
              <w:top w:val="nil"/>
              <w:left w:val="single" w:sz="8" w:space="0" w:color="auto"/>
              <w:bottom w:val="nil"/>
              <w:right w:val="nil"/>
            </w:tcBorders>
            <w:shd w:val="clear" w:color="000000" w:fill="000000"/>
            <w:textDirection w:val="lrTb"/>
            <w:vAlign w:val="center"/>
            <w:hideMark/>
          </w:tcPr>
          <w:p w:rsidR="00B4356F" w:rsidRPr="00B4356F" w:rsidP="00817B2E">
            <w:pPr>
              <w:bidi w:val="0"/>
              <w:spacing w:after="0" w:line="240" w:lineRule="auto"/>
              <w:jc w:val="left"/>
              <w:rPr>
                <w:rFonts w:ascii="Times New Roman" w:hAnsi="Times New Roman"/>
                <w:b/>
                <w:bCs/>
                <w:color w:val="FFFFFF"/>
                <w:sz w:val="18"/>
                <w:szCs w:val="18"/>
                <w:lang w:eastAsia="sk-SK"/>
              </w:rPr>
            </w:pPr>
            <w:bookmarkStart w:id="61" w:name="RANGE!B9:I27"/>
            <w:bookmarkEnd w:id="61"/>
            <w:r w:rsidRPr="00B4356F">
              <w:rPr>
                <w:rFonts w:ascii="Times New Roman" w:hAnsi="Times New Roman"/>
                <w:b/>
                <w:bCs/>
                <w:color w:val="FFFFFF"/>
                <w:sz w:val="18"/>
                <w:szCs w:val="18"/>
                <w:lang w:eastAsia="sk-SK"/>
              </w:rPr>
              <w:t>Granty a transfery poskytnuté obciam podľa kapitol ŠR</w:t>
            </w:r>
            <w:r>
              <w:rPr>
                <w:rFonts w:ascii="Times New Roman" w:hAnsi="Times New Roman"/>
                <w:b/>
                <w:bCs/>
                <w:color w:val="FFFFFF"/>
                <w:sz w:val="18"/>
                <w:szCs w:val="18"/>
                <w:lang w:eastAsia="sk-SK"/>
              </w:rPr>
              <w:t xml:space="preserve">                                                     </w:t>
            </w:r>
            <w:r w:rsidR="00527715">
              <w:rPr>
                <w:rFonts w:ascii="Times New Roman" w:hAnsi="Times New Roman"/>
                <w:b/>
                <w:bCs/>
                <w:color w:val="FFFFFF"/>
                <w:sz w:val="18"/>
                <w:szCs w:val="18"/>
                <w:lang w:eastAsia="sk-SK"/>
              </w:rPr>
              <w:t xml:space="preserve">                           </w:t>
            </w:r>
            <w:r>
              <w:rPr>
                <w:rFonts w:ascii="Times New Roman" w:hAnsi="Times New Roman"/>
                <w:b/>
                <w:bCs/>
                <w:color w:val="FFFFFF"/>
                <w:sz w:val="18"/>
                <w:szCs w:val="18"/>
                <w:lang w:eastAsia="sk-SK"/>
              </w:rPr>
              <w:t xml:space="preserve">  v</w:t>
            </w:r>
            <w:r w:rsidRPr="00B4356F">
              <w:rPr>
                <w:rFonts w:ascii="Times New Roman" w:hAnsi="Times New Roman"/>
                <w:b/>
                <w:bCs/>
                <w:color w:val="FFFFFF"/>
                <w:sz w:val="18"/>
                <w:szCs w:val="18"/>
                <w:lang w:eastAsia="sk-SK"/>
              </w:rPr>
              <w:t xml:space="preserve"> tis.</w:t>
            </w:r>
            <w:r>
              <w:rPr>
                <w:rFonts w:ascii="Times New Roman" w:hAnsi="Times New Roman"/>
                <w:b/>
                <w:bCs/>
                <w:color w:val="FFFFFF"/>
                <w:sz w:val="18"/>
                <w:szCs w:val="18"/>
                <w:lang w:eastAsia="sk-SK"/>
              </w:rPr>
              <w:t xml:space="preserve"> </w:t>
            </w:r>
            <w:r w:rsidRPr="00B4356F">
              <w:rPr>
                <w:rFonts w:ascii="Times New Roman" w:hAnsi="Times New Roman"/>
                <w:b/>
                <w:bCs/>
                <w:color w:val="FFFFFF"/>
                <w:sz w:val="18"/>
                <w:szCs w:val="18"/>
                <w:lang w:eastAsia="sk-SK"/>
              </w:rPr>
              <w:t>eur</w:t>
            </w:r>
          </w:p>
        </w:tc>
      </w:tr>
      <w:tr>
        <w:tblPrEx>
          <w:tblW w:w="8850" w:type="dxa"/>
          <w:tblInd w:w="70" w:type="dxa"/>
          <w:tblLayout w:type="fixed"/>
          <w:tblCellMar>
            <w:left w:w="70" w:type="dxa"/>
            <w:right w:w="70" w:type="dxa"/>
          </w:tblCellMar>
          <w:tblLook w:val="04A0"/>
        </w:tblPrEx>
        <w:trPr>
          <w:trHeight w:val="18"/>
        </w:trPr>
        <w:tc>
          <w:tcPr>
            <w:tcW w:w="2451"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p>
        </w:tc>
        <w:tc>
          <w:tcPr>
            <w:tcW w:w="2042" w:type="dxa"/>
            <w:gridSpan w:val="2"/>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Skutočnosť</w:t>
            </w:r>
          </w:p>
        </w:tc>
        <w:tc>
          <w:tcPr>
            <w:tcW w:w="817"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Rozpočet</w:t>
            </w:r>
          </w:p>
        </w:tc>
        <w:tc>
          <w:tcPr>
            <w:tcW w:w="1769" w:type="dxa"/>
            <w:gridSpan w:val="2"/>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Skutočnosť</w:t>
            </w:r>
          </w:p>
        </w:tc>
        <w:tc>
          <w:tcPr>
            <w:tcW w:w="1770" w:type="dxa"/>
            <w:gridSpan w:val="2"/>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Rozdiel</w:t>
            </w:r>
          </w:p>
        </w:tc>
      </w:tr>
      <w:tr>
        <w:tblPrEx>
          <w:tblW w:w="8850" w:type="dxa"/>
          <w:tblInd w:w="70" w:type="dxa"/>
          <w:tblLayout w:type="fixed"/>
          <w:tblCellMar>
            <w:left w:w="70" w:type="dxa"/>
            <w:right w:w="70" w:type="dxa"/>
          </w:tblCellMar>
          <w:tblLook w:val="04A0"/>
        </w:tblPrEx>
        <w:trPr>
          <w:trHeight w:val="18"/>
        </w:trPr>
        <w:tc>
          <w:tcPr>
            <w:tcW w:w="2451"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p>
        </w:tc>
        <w:tc>
          <w:tcPr>
            <w:tcW w:w="952"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2015</w:t>
            </w:r>
          </w:p>
        </w:tc>
        <w:tc>
          <w:tcPr>
            <w:tcW w:w="1089"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2016</w:t>
            </w:r>
          </w:p>
        </w:tc>
        <w:tc>
          <w:tcPr>
            <w:tcW w:w="817"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2017</w:t>
            </w:r>
          </w:p>
        </w:tc>
        <w:tc>
          <w:tcPr>
            <w:tcW w:w="952"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2017</w:t>
            </w:r>
          </w:p>
        </w:tc>
        <w:tc>
          <w:tcPr>
            <w:tcW w:w="816"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z toho: zdroj 111*</w:t>
            </w:r>
          </w:p>
        </w:tc>
        <w:tc>
          <w:tcPr>
            <w:tcW w:w="953"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v tis. eur</w:t>
            </w:r>
          </w:p>
        </w:tc>
        <w:tc>
          <w:tcPr>
            <w:tcW w:w="816" w:type="dxa"/>
            <w:tcBorders>
              <w:top w:val="nil"/>
              <w:left w:val="nil"/>
              <w:bottom w:val="nil"/>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v %</w:t>
            </w:r>
          </w:p>
        </w:tc>
      </w:tr>
      <w:tr>
        <w:tblPrEx>
          <w:tblW w:w="8850" w:type="dxa"/>
          <w:tblInd w:w="70" w:type="dxa"/>
          <w:tblLayout w:type="fixed"/>
          <w:tblCellMar>
            <w:left w:w="70" w:type="dxa"/>
            <w:right w:w="70" w:type="dxa"/>
          </w:tblCellMar>
          <w:tblLook w:val="04A0"/>
        </w:tblPrEx>
        <w:trPr>
          <w:trHeight w:val="18"/>
        </w:trPr>
        <w:tc>
          <w:tcPr>
            <w:tcW w:w="2451"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p>
        </w:tc>
        <w:tc>
          <w:tcPr>
            <w:tcW w:w="952"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1</w:t>
            </w:r>
          </w:p>
        </w:tc>
        <w:tc>
          <w:tcPr>
            <w:tcW w:w="1089"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w:t>
            </w:r>
          </w:p>
        </w:tc>
        <w:tc>
          <w:tcPr>
            <w:tcW w:w="817"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3</w:t>
            </w:r>
          </w:p>
        </w:tc>
        <w:tc>
          <w:tcPr>
            <w:tcW w:w="952"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4</w:t>
            </w:r>
          </w:p>
        </w:tc>
        <w:tc>
          <w:tcPr>
            <w:tcW w:w="816"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5</w:t>
            </w:r>
          </w:p>
        </w:tc>
        <w:tc>
          <w:tcPr>
            <w:tcW w:w="953"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6=4-3</w:t>
            </w:r>
          </w:p>
        </w:tc>
        <w:tc>
          <w:tcPr>
            <w:tcW w:w="816" w:type="dxa"/>
            <w:tcBorders>
              <w:top w:val="nil"/>
              <w:left w:val="nil"/>
              <w:bottom w:val="single" w:sz="8" w:space="0" w:color="auto"/>
              <w:right w:val="nil"/>
            </w:tcBorders>
            <w:shd w:val="clear" w:color="000000" w:fill="BFBFBF"/>
            <w:textDirection w:val="lrTb"/>
            <w:vAlign w:val="center"/>
            <w:hideMark/>
          </w:tcPr>
          <w:p w:rsidR="00B4356F"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7=4-3</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vnútra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771 199</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814 307</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788 789</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867 007</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857 469</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78 218</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9,9</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dopravy a výstavby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133 883</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42 990</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8 614</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73 566</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39 353</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64 952</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754,0</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práce, soc.vecí a rodiny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68 692</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61 946</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55 639</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66 541</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52 199</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10 902</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19,6</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životného prostredia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127 089</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30 390</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59 563</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59 563</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pôdohospodárstva a rozvoja vidieka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134 400</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32 084</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22 183</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15 353</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-6 830</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-30,8</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Všeobecná pokladničná správa</w:t>
            </w:r>
          </w:p>
        </w:tc>
        <w:tc>
          <w:tcPr>
            <w:tcW w:w="952" w:type="dxa"/>
            <w:tcBorders>
              <w:top w:val="nil"/>
              <w:left w:val="nil"/>
              <w:bottom w:val="nil"/>
              <w:right w:val="nil"/>
            </w:tcBorders>
            <w:shd w:val="clear" w:color="000000" w:fill="FFFFFF"/>
            <w:noWrap/>
            <w:textDirection w:val="lrTb"/>
            <w:vAlign w:val="bottom"/>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17 293</w:t>
            </w:r>
          </w:p>
        </w:tc>
        <w:tc>
          <w:tcPr>
            <w:tcW w:w="1089" w:type="dxa"/>
            <w:tcBorders>
              <w:top w:val="nil"/>
              <w:left w:val="nil"/>
              <w:bottom w:val="nil"/>
              <w:right w:val="nil"/>
            </w:tcBorders>
            <w:shd w:val="clear" w:color="000000" w:fill="FFFFFF"/>
            <w:noWrap/>
            <w:textDirection w:val="lrTb"/>
            <w:vAlign w:val="bottom"/>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8 324</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5 100</w:t>
            </w:r>
          </w:p>
        </w:tc>
        <w:tc>
          <w:tcPr>
            <w:tcW w:w="952" w:type="dxa"/>
            <w:tcBorders>
              <w:top w:val="nil"/>
              <w:left w:val="nil"/>
              <w:bottom w:val="nil"/>
              <w:right w:val="nil"/>
            </w:tcBorders>
            <w:shd w:val="clear" w:color="000000" w:fill="BFBFBF"/>
            <w:noWrap/>
            <w:textDirection w:val="lrTb"/>
            <w:vAlign w:val="bottom"/>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9 562</w:t>
            </w:r>
          </w:p>
        </w:tc>
        <w:tc>
          <w:tcPr>
            <w:tcW w:w="816" w:type="dxa"/>
            <w:tcBorders>
              <w:top w:val="nil"/>
              <w:left w:val="nil"/>
              <w:bottom w:val="nil"/>
              <w:right w:val="nil"/>
            </w:tcBorders>
            <w:shd w:val="clear" w:color="000000" w:fill="BFBFBF"/>
            <w:noWrap/>
            <w:textDirection w:val="lrTb"/>
            <w:vAlign w:val="bottom"/>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8 062</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4 462</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87,5</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kultúry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3 154</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1 717</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2 957</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2 957</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2 957</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Úrad vlády SR</w:t>
            </w:r>
          </w:p>
        </w:tc>
        <w:tc>
          <w:tcPr>
            <w:tcW w:w="952"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8 477</w:t>
            </w:r>
          </w:p>
        </w:tc>
        <w:tc>
          <w:tcPr>
            <w:tcW w:w="1089"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1 761</w:t>
            </w:r>
          </w:p>
        </w:tc>
        <w:tc>
          <w:tcPr>
            <w:tcW w:w="817"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50</w:t>
            </w:r>
          </w:p>
        </w:tc>
        <w:tc>
          <w:tcPr>
            <w:tcW w:w="952"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2 686</w:t>
            </w:r>
          </w:p>
        </w:tc>
        <w:tc>
          <w:tcPr>
            <w:tcW w:w="816"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1 287</w:t>
            </w:r>
          </w:p>
        </w:tc>
        <w:tc>
          <w:tcPr>
            <w:tcW w:w="953"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2 636</w:t>
            </w:r>
          </w:p>
        </w:tc>
        <w:tc>
          <w:tcPr>
            <w:tcW w:w="816"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5 272,0</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školstva, vedy, výskumu a športu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11 231</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232</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14 532</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492</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50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-14 040</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-96,6</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spravodlivosti SR</w:t>
            </w:r>
          </w:p>
        </w:tc>
        <w:tc>
          <w:tcPr>
            <w:tcW w:w="952"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1089"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817"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10</w:t>
            </w:r>
          </w:p>
        </w:tc>
        <w:tc>
          <w:tcPr>
            <w:tcW w:w="816"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10</w:t>
            </w:r>
          </w:p>
        </w:tc>
        <w:tc>
          <w:tcPr>
            <w:tcW w:w="953"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10</w:t>
            </w:r>
          </w:p>
        </w:tc>
        <w:tc>
          <w:tcPr>
            <w:tcW w:w="816"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hospodárstva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28 917</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64 328</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zdravotníctva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3 340</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868</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financií SR</w:t>
            </w:r>
          </w:p>
        </w:tc>
        <w:tc>
          <w:tcPr>
            <w:tcW w:w="952"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3 902</w:t>
            </w:r>
          </w:p>
        </w:tc>
        <w:tc>
          <w:tcPr>
            <w:tcW w:w="1089"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735</w:t>
            </w:r>
          </w:p>
        </w:tc>
        <w:tc>
          <w:tcPr>
            <w:tcW w:w="817" w:type="dxa"/>
            <w:tcBorders>
              <w:top w:val="nil"/>
              <w:left w:val="nil"/>
              <w:bottom w:val="nil"/>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816" w:type="dxa"/>
            <w:tcBorders>
              <w:top w:val="nil"/>
              <w:left w:val="nil"/>
              <w:bottom w:val="nil"/>
              <w:right w:val="nil"/>
            </w:tcBorders>
            <w:shd w:val="clear" w:color="000000" w:fill="BFBFBF"/>
            <w:noWrap/>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c>
          <w:tcPr>
            <w:tcW w:w="816" w:type="dxa"/>
            <w:tcBorders>
              <w:top w:val="nil"/>
              <w:left w:val="nil"/>
              <w:bottom w:val="nil"/>
              <w:right w:val="nil"/>
            </w:tcBorders>
            <w:shd w:val="clear" w:color="000000" w:fill="FFFFFF"/>
            <w:textDirection w:val="lrTb"/>
            <w:vAlign w:val="center"/>
            <w:hideMark/>
          </w:tcPr>
          <w:p w:rsidR="00B4356F" w:rsidRPr="00B4356F" w:rsidP="00B4356F">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r>
      <w:tr>
        <w:tblPrEx>
          <w:tblW w:w="8850" w:type="dxa"/>
          <w:tblInd w:w="70" w:type="dxa"/>
          <w:tblLayout w:type="fixed"/>
          <w:tblCellMar>
            <w:left w:w="70" w:type="dxa"/>
            <w:right w:w="70" w:type="dxa"/>
          </w:tblCellMar>
          <w:tblLook w:val="04A0"/>
        </w:tblPrEx>
        <w:trPr>
          <w:trHeight w:val="277"/>
        </w:trPr>
        <w:tc>
          <w:tcPr>
            <w:tcW w:w="2451"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left"/>
              <w:rPr>
                <w:rFonts w:ascii="Times New Roman" w:hAnsi="Times New Roman"/>
                <w:color w:val="000000"/>
                <w:sz w:val="18"/>
                <w:szCs w:val="18"/>
                <w:lang w:eastAsia="sk-SK"/>
              </w:rPr>
            </w:pPr>
            <w:r w:rsidRPr="00B4356F">
              <w:rPr>
                <w:rFonts w:ascii="Times New Roman" w:hAnsi="Times New Roman"/>
                <w:color w:val="000000"/>
                <w:sz w:val="18"/>
                <w:szCs w:val="18"/>
                <w:lang w:eastAsia="sk-SK"/>
              </w:rPr>
              <w:t>Ministerstvo zahranič. vecí a európskych záležitostí SR</w:t>
            </w:r>
          </w:p>
        </w:tc>
        <w:tc>
          <w:tcPr>
            <w:tcW w:w="952"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1089"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42</w:t>
            </w:r>
          </w:p>
        </w:tc>
        <w:tc>
          <w:tcPr>
            <w:tcW w:w="817" w:type="dxa"/>
            <w:tcBorders>
              <w:top w:val="nil"/>
              <w:left w:val="nil"/>
              <w:bottom w:val="nil"/>
              <w:right w:val="nil"/>
            </w:tcBorders>
            <w:shd w:val="clear" w:color="000000" w:fill="FFFFF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2"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816" w:type="dxa"/>
            <w:tcBorders>
              <w:top w:val="nil"/>
              <w:left w:val="nil"/>
              <w:bottom w:val="nil"/>
              <w:right w:val="nil"/>
            </w:tcBorders>
            <w:shd w:val="clear" w:color="000000" w:fill="BFBFBF"/>
            <w:noWrap/>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w:t>
            </w:r>
          </w:p>
        </w:tc>
        <w:tc>
          <w:tcPr>
            <w:tcW w:w="953"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x</w:t>
            </w:r>
          </w:p>
        </w:tc>
        <w:tc>
          <w:tcPr>
            <w:tcW w:w="816" w:type="dxa"/>
            <w:tcBorders>
              <w:top w:val="nil"/>
              <w:left w:val="nil"/>
              <w:bottom w:val="nil"/>
              <w:right w:val="nil"/>
            </w:tcBorders>
            <w:shd w:val="clear" w:color="000000" w:fill="FFFFFF"/>
            <w:textDirection w:val="lrTb"/>
            <w:vAlign w:val="center"/>
            <w:hideMark/>
          </w:tcPr>
          <w:p w:rsidR="00B4356F" w:rsidRPr="00B4356F" w:rsidP="00FF3CFC">
            <w:pPr>
              <w:bidi w:val="0"/>
              <w:spacing w:after="0" w:line="240" w:lineRule="auto"/>
              <w:jc w:val="right"/>
              <w:rPr>
                <w:rFonts w:ascii="Times New Roman" w:hAnsi="Times New Roman"/>
                <w:color w:val="000000"/>
                <w:sz w:val="18"/>
                <w:szCs w:val="18"/>
                <w:lang w:eastAsia="sk-SK"/>
              </w:rPr>
            </w:pPr>
            <w:r w:rsidRPr="00B4356F">
              <w:rPr>
                <w:rFonts w:ascii="Times New Roman" w:hAnsi="Times New Roman"/>
                <w:color w:val="000000"/>
                <w:sz w:val="18"/>
                <w:szCs w:val="18"/>
                <w:lang w:eastAsia="sk-SK"/>
              </w:rPr>
              <w:t>0,0</w:t>
            </w:r>
          </w:p>
        </w:tc>
      </w:tr>
      <w:tr>
        <w:tblPrEx>
          <w:tblW w:w="8850" w:type="dxa"/>
          <w:tblInd w:w="70" w:type="dxa"/>
          <w:tblLayout w:type="fixed"/>
          <w:tblCellMar>
            <w:left w:w="70" w:type="dxa"/>
            <w:right w:w="70" w:type="dxa"/>
          </w:tblCellMar>
          <w:tblLook w:val="04A0"/>
        </w:tblPrEx>
        <w:trPr>
          <w:trHeight w:val="319"/>
        </w:trPr>
        <w:tc>
          <w:tcPr>
            <w:tcW w:w="2451"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lef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Spolu</w:t>
            </w:r>
          </w:p>
        </w:tc>
        <w:tc>
          <w:tcPr>
            <w:tcW w:w="952"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1 311 577</w:t>
            </w:r>
          </w:p>
        </w:tc>
        <w:tc>
          <w:tcPr>
            <w:tcW w:w="1089"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1 059 724</w:t>
            </w:r>
          </w:p>
        </w:tc>
        <w:tc>
          <w:tcPr>
            <w:tcW w:w="817"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894 907</w:t>
            </w:r>
          </w:p>
        </w:tc>
        <w:tc>
          <w:tcPr>
            <w:tcW w:w="952"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1 097 737</w:t>
            </w:r>
          </w:p>
        </w:tc>
        <w:tc>
          <w:tcPr>
            <w:tcW w:w="816"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961 387</w:t>
            </w:r>
          </w:p>
        </w:tc>
        <w:tc>
          <w:tcPr>
            <w:tcW w:w="953"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202 830</w:t>
            </w:r>
          </w:p>
        </w:tc>
        <w:tc>
          <w:tcPr>
            <w:tcW w:w="816" w:type="dxa"/>
            <w:tcBorders>
              <w:top w:val="single" w:sz="4" w:space="0" w:color="auto"/>
              <w:left w:val="nil"/>
              <w:bottom w:val="single" w:sz="8" w:space="0" w:color="auto"/>
              <w:right w:val="nil"/>
            </w:tcBorders>
            <w:shd w:val="clear" w:color="000000" w:fill="FFFFFF"/>
            <w:noWrap/>
            <w:textDirection w:val="lrTb"/>
            <w:vAlign w:val="center"/>
            <w:hideMark/>
          </w:tcPr>
          <w:p w:rsidR="00B4356F" w:rsidRPr="00B4356F" w:rsidP="00B4356F">
            <w:pPr>
              <w:bidi w:val="0"/>
              <w:spacing w:after="0" w:line="240" w:lineRule="auto"/>
              <w:jc w:val="right"/>
              <w:rPr>
                <w:rFonts w:ascii="Times New Roman" w:hAnsi="Times New Roman"/>
                <w:b/>
                <w:bCs/>
                <w:color w:val="000000"/>
                <w:sz w:val="18"/>
                <w:szCs w:val="18"/>
                <w:lang w:eastAsia="sk-SK"/>
              </w:rPr>
            </w:pPr>
            <w:r w:rsidRPr="00B4356F">
              <w:rPr>
                <w:rFonts w:ascii="Times New Roman" w:hAnsi="Times New Roman"/>
                <w:b/>
                <w:bCs/>
                <w:color w:val="000000"/>
                <w:sz w:val="18"/>
                <w:szCs w:val="18"/>
                <w:lang w:eastAsia="sk-SK"/>
              </w:rPr>
              <w:t>22,7</w:t>
            </w:r>
          </w:p>
        </w:tc>
      </w:tr>
    </w:tbl>
    <w:p w:rsidR="00B4356F" w:rsidRPr="00B4356F" w:rsidP="00B4356F">
      <w:pPr>
        <w:suppressAutoHyphens/>
        <w:bidi w:val="0"/>
        <w:rPr>
          <w:rFonts w:ascii="Times New Roman" w:hAnsi="Times New Roman"/>
          <w:color w:val="000000" w:themeColor="tx1" w:themeShade="FF"/>
          <w:szCs w:val="22"/>
        </w:rPr>
      </w:pPr>
      <w:r w:rsidRPr="00B4356F">
        <w:rPr>
          <w:rFonts w:ascii="Times New Roman" w:hAnsi="Times New Roman"/>
          <w:color w:val="000000" w:themeColor="tx1" w:themeShade="FF"/>
          <w:sz w:val="18"/>
          <w:szCs w:val="18"/>
        </w:rPr>
        <w:t xml:space="preserve">Poznámka: * len prostriedky štátneho rozpočtu </w:t>
        <w:tab/>
        <w:tab/>
        <w:tab/>
        <w:tab/>
        <w:tab/>
        <w:tab/>
        <w:t xml:space="preserve">           </w:t>
      </w:r>
      <w:r w:rsidR="00527715">
        <w:rPr>
          <w:rFonts w:ascii="Times New Roman" w:hAnsi="Times New Roman"/>
          <w:color w:val="000000" w:themeColor="tx1" w:themeShade="FF"/>
          <w:sz w:val="18"/>
          <w:szCs w:val="18"/>
        </w:rPr>
        <w:t xml:space="preserve">   </w:t>
      </w:r>
      <w:r w:rsidRPr="00B4356F">
        <w:rPr>
          <w:rFonts w:ascii="Times New Roman" w:hAnsi="Times New Roman"/>
          <w:color w:val="000000" w:themeColor="tx1" w:themeShade="FF"/>
          <w:sz w:val="18"/>
          <w:szCs w:val="18"/>
        </w:rPr>
        <w:t xml:space="preserve"> Zdroj: MF SR</w:t>
      </w:r>
    </w:p>
    <w:p w:rsidR="00056265" w:rsidRPr="008E0F4F" w:rsidP="00FF3CFC">
      <w:pPr>
        <w:suppressAutoHyphens/>
        <w:bidi w:val="0"/>
        <w:rPr>
          <w:rFonts w:ascii="Times New Roman" w:hAnsi="Times New Roman"/>
          <w:color w:val="000000" w:themeColor="tx1" w:themeShade="FF"/>
          <w:szCs w:val="22"/>
        </w:rPr>
      </w:pPr>
      <w:bookmarkStart w:id="62" w:name="_Toc479313244"/>
      <w:r w:rsidRPr="00A50DAF">
        <w:rPr>
          <w:rFonts w:ascii="Times New Roman" w:hAnsi="Times New Roman"/>
          <w:color w:val="000000" w:themeColor="tx1" w:themeShade="FF"/>
          <w:szCs w:val="22"/>
        </w:rPr>
        <w:t xml:space="preserve">Na celkovom objeme poskytnutých grantov a transferov obciam sa najväčšou sumou podieľalo </w:t>
      </w:r>
      <w:r w:rsidRPr="00A50DAF">
        <w:rPr>
          <w:rFonts w:ascii="Times New Roman" w:hAnsi="Times New Roman"/>
          <w:b/>
          <w:color w:val="000000" w:themeColor="tx1" w:themeShade="FF"/>
          <w:szCs w:val="22"/>
        </w:rPr>
        <w:t>Ministerstvo vnútra SR</w:t>
      </w:r>
      <w:r w:rsidRPr="00A50DAF">
        <w:rPr>
          <w:rFonts w:ascii="Times New Roman" w:hAnsi="Times New Roman"/>
          <w:color w:val="000000" w:themeColor="tx1" w:themeShade="FF"/>
          <w:szCs w:val="22"/>
        </w:rPr>
        <w:t xml:space="preserve">, ktoré na tento účel vynaložilo 867 007 tis. eur, čo je oproti schválenému rozpočtu viac o 78 218 tis. eur. </w:t>
      </w:r>
      <w:r w:rsidRPr="008A6F20">
        <w:rPr>
          <w:rFonts w:ascii="Times New Roman" w:hAnsi="Times New Roman"/>
          <w:color w:val="000000" w:themeColor="tx1" w:themeShade="FF"/>
          <w:szCs w:val="22"/>
        </w:rPr>
        <w:t>Z celkovej sumy bolo</w:t>
      </w:r>
      <w:r>
        <w:rPr>
          <w:rFonts w:ascii="Times New Roman" w:hAnsi="Times New Roman"/>
          <w:color w:val="000000" w:themeColor="tx1" w:themeShade="FF"/>
          <w:szCs w:val="22"/>
        </w:rPr>
        <w:t xml:space="preserve"> v rámci bežných výdavkov </w:t>
      </w:r>
      <w:r w:rsidRPr="008A6F20">
        <w:rPr>
          <w:rFonts w:ascii="Times New Roman" w:hAnsi="Times New Roman"/>
          <w:color w:val="000000" w:themeColor="tx1" w:themeShade="FF"/>
          <w:szCs w:val="22"/>
        </w:rPr>
        <w:t>vynaložených 845 299 tis. eur na úhradu nákladov preneseného výkonu štátnej správy na úseku školstva</w:t>
      </w:r>
      <w:r>
        <w:rPr>
          <w:rFonts w:ascii="Times New Roman" w:hAnsi="Times New Roman"/>
          <w:color w:val="000000" w:themeColor="tx1" w:themeShade="FF"/>
          <w:szCs w:val="22"/>
        </w:rPr>
        <w:t xml:space="preserve"> najmä v rámci programu Výchova a vzdelávanie mládeže na úhradu nákladov na poskytovanie výchovy, na vzdelávacie poukazy, na asistentov učiteľa, na úhradu nákladov na havárie, na dopravné, na príspevok pre materské školy, na lyžiarske kurzy a iné. V rámci programu Efektívna a spoľahlivá štátna správa boli prostriedky poskytnuté na matriky, na register obyvateľstva, </w:t>
      </w:r>
      <w:r w:rsidR="0053092C">
        <w:rPr>
          <w:rFonts w:ascii="Times New Roman" w:hAnsi="Times New Roman"/>
          <w:color w:val="000000" w:themeColor="tx1" w:themeShade="FF"/>
          <w:szCs w:val="22"/>
        </w:rPr>
        <w:br/>
      </w:r>
      <w:r>
        <w:rPr>
          <w:rFonts w:ascii="Times New Roman" w:hAnsi="Times New Roman"/>
          <w:color w:val="000000" w:themeColor="tx1" w:themeShade="FF"/>
          <w:szCs w:val="22"/>
        </w:rPr>
        <w:t xml:space="preserve">na zabezpečenie volieb do orgánov samosprávy krajov a ďalšie. Veľký rozdiel medzi schváleným rozpočtom a skutočnosťou spôsobilo, že išlo o účelové prostriedky na úseku školstva, ktoré nie sú pri rozpise rozpočtu známe a poskytujú sa na základe skutočnosti. Ďalšie bežné výdavky v sume 4 752 tis. eur boli poskytnuté v rámci programov Integrácia marginalizovaných rómskych komunít, Všeobecná vnútorná správa (na mimoriadne udalosti v súvislosti s povodňami – na povodňové, záchranné a zabezpečovacie práce), Prevencia kriminality, Boj proti obchodovaniu s ľuďmi a ďalšie. Kapitálové prostriedky boli poskytnuté obciam v čiastke 16 956 tis. eur najmä na aktivity zamerané na prevenciu kriminality na regionálnej úrovni, na riešenie havarijných situácií škôl, </w:t>
      </w:r>
      <w:r w:rsidR="0053092C">
        <w:rPr>
          <w:rFonts w:ascii="Times New Roman" w:hAnsi="Times New Roman"/>
          <w:color w:val="000000" w:themeColor="tx1" w:themeShade="FF"/>
          <w:szCs w:val="22"/>
        </w:rPr>
        <w:br/>
      </w:r>
      <w:r>
        <w:rPr>
          <w:rFonts w:ascii="Times New Roman" w:hAnsi="Times New Roman"/>
          <w:color w:val="000000" w:themeColor="tx1" w:themeShade="FF"/>
          <w:szCs w:val="22"/>
        </w:rPr>
        <w:t>na dostavby, výstavby a rekonštrukcie telocviční, na</w:t>
      </w:r>
      <w:r w:rsidR="00472F1D">
        <w:rPr>
          <w:rFonts w:ascii="Times New Roman" w:hAnsi="Times New Roman"/>
          <w:color w:val="000000" w:themeColor="tx1" w:themeShade="FF"/>
          <w:szCs w:val="22"/>
        </w:rPr>
        <w:t xml:space="preserve"> </w:t>
      </w:r>
      <w:r>
        <w:rPr>
          <w:rFonts w:ascii="Times New Roman" w:hAnsi="Times New Roman"/>
          <w:color w:val="000000" w:themeColor="tx1" w:themeShade="FF"/>
          <w:szCs w:val="22"/>
        </w:rPr>
        <w:t xml:space="preserve">debariérizáciu škôl a školských zariadení a iné. Kapitálové prostriedky pôvodne rozpočtované neboli a úprava rozpočtu súvisela </w:t>
      </w:r>
      <w:r w:rsidRPr="00C96DC5">
        <w:rPr>
          <w:rFonts w:ascii="Times New Roman" w:hAnsi="Times New Roman"/>
          <w:color w:val="000000"/>
          <w:szCs w:val="22"/>
        </w:rPr>
        <w:t>najmä s navýšením finančných prostriedkov z</w:t>
      </w:r>
      <w:r>
        <w:rPr>
          <w:rFonts w:ascii="Times New Roman" w:hAnsi="Times New Roman"/>
          <w:color w:val="000000"/>
          <w:szCs w:val="22"/>
        </w:rPr>
        <w:t xml:space="preserve"> Ministerstva školstva, vedy, výskumu a športu </w:t>
      </w:r>
      <w:r w:rsidRPr="00C96DC5">
        <w:rPr>
          <w:rFonts w:ascii="Times New Roman" w:hAnsi="Times New Roman"/>
          <w:color w:val="000000"/>
          <w:szCs w:val="22"/>
        </w:rPr>
        <w:t>SR na programe Výchova a vzdelávanie v súvislosti s rozvojovými projektmi na</w:t>
      </w:r>
      <w:r>
        <w:rPr>
          <w:rFonts w:ascii="Times New Roman" w:hAnsi="Times New Roman"/>
          <w:color w:val="000000"/>
          <w:szCs w:val="22"/>
        </w:rPr>
        <w:t> </w:t>
      </w:r>
      <w:r w:rsidRPr="00C96DC5">
        <w:rPr>
          <w:rFonts w:ascii="Times New Roman" w:hAnsi="Times New Roman"/>
          <w:color w:val="000000"/>
          <w:szCs w:val="22"/>
        </w:rPr>
        <w:t>rozvoj výchovy a vzdelávania žiakov škôl v oblasti telesnej a športovej výchovy formou dostavby, rekonštrukcie a výstavby telocviční, ich vybavenia a s riešením havarijných situácií škôl, na výstavbu, prístavbu, modernizáciu, rekonštrukciu školských objektov</w:t>
      </w:r>
      <w:r>
        <w:rPr>
          <w:rFonts w:ascii="Times New Roman" w:hAnsi="Times New Roman"/>
          <w:color w:val="000000"/>
          <w:szCs w:val="22"/>
        </w:rPr>
        <w:t>.</w:t>
      </w:r>
      <w:r>
        <w:rPr>
          <w:rFonts w:ascii="Times New Roman" w:hAnsi="Times New Roman"/>
          <w:color w:val="000000" w:themeColor="tx1" w:themeShade="FF"/>
          <w:szCs w:val="22"/>
        </w:rPr>
        <w:t xml:space="preserve"> Ďalšia</w:t>
      </w:r>
      <w:r w:rsidRPr="008E0F4F">
        <w:rPr>
          <w:rFonts w:ascii="Times New Roman" w:hAnsi="Times New Roman"/>
          <w:color w:val="000000"/>
          <w:szCs w:val="22"/>
        </w:rPr>
        <w:t xml:space="preserve"> úprava rozpočtu</w:t>
      </w:r>
      <w:r>
        <w:rPr>
          <w:rFonts w:ascii="Times New Roman" w:hAnsi="Times New Roman"/>
          <w:color w:val="000000"/>
          <w:szCs w:val="22"/>
        </w:rPr>
        <w:t xml:space="preserve"> bola</w:t>
      </w:r>
      <w:r w:rsidRPr="008E0F4F">
        <w:rPr>
          <w:rFonts w:ascii="Times New Roman" w:hAnsi="Times New Roman"/>
          <w:color w:val="000000"/>
          <w:szCs w:val="22"/>
        </w:rPr>
        <w:t xml:space="preserve"> na programe Efektívna a spoľahlivá štátna správa</w:t>
      </w:r>
      <w:r>
        <w:rPr>
          <w:rFonts w:ascii="Times New Roman" w:hAnsi="Times New Roman"/>
          <w:color w:val="000000"/>
          <w:szCs w:val="22"/>
        </w:rPr>
        <w:t xml:space="preserve"> a</w:t>
      </w:r>
      <w:r w:rsidRPr="008E0F4F">
        <w:rPr>
          <w:rFonts w:ascii="Times New Roman" w:hAnsi="Times New Roman"/>
          <w:color w:val="000000"/>
          <w:szCs w:val="22"/>
        </w:rPr>
        <w:t xml:space="preserve"> súvisela najmä s presunom finančných prostriedkov </w:t>
      </w:r>
      <w:r>
        <w:rPr>
          <w:rFonts w:ascii="Times New Roman" w:hAnsi="Times New Roman"/>
          <w:color w:val="000000"/>
          <w:szCs w:val="22"/>
        </w:rPr>
        <w:t>podľa § 8 </w:t>
      </w:r>
      <w:r w:rsidRPr="008E0F4F">
        <w:rPr>
          <w:rFonts w:ascii="Times New Roman" w:hAnsi="Times New Roman"/>
          <w:color w:val="000000"/>
          <w:szCs w:val="22"/>
        </w:rPr>
        <w:t>ods. 4 zá</w:t>
      </w:r>
      <w:r>
        <w:rPr>
          <w:rFonts w:ascii="Times New Roman" w:hAnsi="Times New Roman"/>
          <w:color w:val="000000"/>
          <w:szCs w:val="22"/>
        </w:rPr>
        <w:t xml:space="preserve">kona o rozpočtových pravidlách a </w:t>
      </w:r>
      <w:r w:rsidRPr="008E0F4F">
        <w:rPr>
          <w:rFonts w:ascii="Times New Roman" w:hAnsi="Times New Roman"/>
          <w:color w:val="000000"/>
          <w:szCs w:val="22"/>
        </w:rPr>
        <w:t xml:space="preserve">na programe Ľudské zdroje </w:t>
      </w:r>
      <w:r>
        <w:rPr>
          <w:rFonts w:ascii="Times New Roman" w:hAnsi="Times New Roman"/>
          <w:color w:val="000000"/>
          <w:szCs w:val="22"/>
        </w:rPr>
        <w:t xml:space="preserve">v súvislosti </w:t>
      </w:r>
      <w:r w:rsidRPr="008E0F4F">
        <w:rPr>
          <w:rFonts w:ascii="Times New Roman" w:hAnsi="Times New Roman"/>
          <w:color w:val="000000"/>
          <w:szCs w:val="22"/>
        </w:rPr>
        <w:t>s projektmi EÚ na zabezpečenie technickej vybavenosti v obciach s prítomnosťou marginalizovaných rómskych komunít.</w:t>
      </w:r>
    </w:p>
    <w:p w:rsidR="00056265" w:rsidRPr="00BC4AA7" w:rsidP="00FF3CFC">
      <w:pPr>
        <w:suppressAutoHyphens/>
        <w:bidi w:val="0"/>
        <w:rPr>
          <w:rFonts w:ascii="Times New Roman" w:hAnsi="Times New Roman"/>
          <w:color w:val="FF0000"/>
          <w:szCs w:val="22"/>
        </w:rPr>
      </w:pPr>
      <w:r w:rsidRPr="00CF6B79">
        <w:rPr>
          <w:rFonts w:ascii="Times New Roman" w:hAnsi="Times New Roman"/>
          <w:color w:val="000000" w:themeColor="tx1" w:themeShade="FF"/>
          <w:szCs w:val="22"/>
        </w:rPr>
        <w:t xml:space="preserve">V kapitole </w:t>
      </w:r>
      <w:r w:rsidR="00B4356F">
        <w:rPr>
          <w:rFonts w:ascii="Times New Roman" w:hAnsi="Times New Roman"/>
          <w:b/>
          <w:color w:val="000000" w:themeColor="tx1" w:themeShade="FF"/>
          <w:szCs w:val="22"/>
        </w:rPr>
        <w:t>Ministerstva dopravy a</w:t>
      </w:r>
      <w:r w:rsidRPr="00CF6B79">
        <w:rPr>
          <w:rFonts w:ascii="Times New Roman" w:hAnsi="Times New Roman"/>
          <w:b/>
          <w:color w:val="000000" w:themeColor="tx1" w:themeShade="FF"/>
          <w:szCs w:val="22"/>
        </w:rPr>
        <w:t xml:space="preserve"> výstavby SR</w:t>
      </w:r>
      <w:r w:rsidRPr="00CF6B79">
        <w:rPr>
          <w:rFonts w:ascii="Times New Roman" w:hAnsi="Times New Roman"/>
          <w:color w:val="000000" w:themeColor="tx1" w:themeShade="FF"/>
          <w:szCs w:val="22"/>
        </w:rPr>
        <w:t xml:space="preserve"> boli vo forme</w:t>
      </w:r>
      <w:r>
        <w:rPr>
          <w:rFonts w:ascii="Times New Roman" w:hAnsi="Times New Roman"/>
          <w:color w:val="000000" w:themeColor="tx1" w:themeShade="FF"/>
          <w:szCs w:val="22"/>
        </w:rPr>
        <w:t xml:space="preserve"> bežných a kapitálových</w:t>
      </w:r>
      <w:r w:rsidRPr="00CF6B79">
        <w:rPr>
          <w:rFonts w:ascii="Times New Roman" w:hAnsi="Times New Roman"/>
          <w:color w:val="000000" w:themeColor="tx1" w:themeShade="FF"/>
          <w:szCs w:val="22"/>
        </w:rPr>
        <w:t xml:space="preserve"> grantov a transferov pre obce poukázané prostriedky v celkovej sume 73 566 tis. eur.</w:t>
      </w:r>
      <w:r w:rsidRPr="00BC4AA7">
        <w:rPr>
          <w:rFonts w:ascii="Times New Roman" w:hAnsi="Times New Roman"/>
          <w:color w:val="FF0000"/>
          <w:szCs w:val="22"/>
        </w:rPr>
        <w:t xml:space="preserve"> </w:t>
      </w:r>
      <w:r w:rsidRPr="00584A16">
        <w:rPr>
          <w:rFonts w:ascii="Times New Roman" w:hAnsi="Times New Roman"/>
          <w:szCs w:val="22"/>
        </w:rPr>
        <w:t xml:space="preserve">Kapitálové </w:t>
      </w:r>
      <w:r>
        <w:rPr>
          <w:rFonts w:ascii="Times New Roman" w:hAnsi="Times New Roman"/>
          <w:szCs w:val="22"/>
        </w:rPr>
        <w:t>výdavky</w:t>
      </w:r>
      <w:r w:rsidRPr="00584A16">
        <w:rPr>
          <w:rFonts w:ascii="Times New Roman" w:hAnsi="Times New Roman"/>
          <w:szCs w:val="22"/>
        </w:rPr>
        <w:t xml:space="preserve"> v sume 66 550 tis. eur mali výrazne navýšený upravený rozpočet oproti schválenému z dôvodu realizovaných presunov medzi jednotlivými investičnými akciami. Z nich čiastka 32 337 tis. eur bola poskytnutá v rámci programu Podpora rozvoja bývania na podprogram Výstavba a obnova bytového fondu (obstaranie nájomných bytov na účel sociálneho bývania 1 524 bytových jednotiek, obstaranie ich technickej vybavenosti) a na podprogram Náhradné nájomné byty 2017, kde bolo uzavretých 16 zmlúv o poskytnutí podpory na obstaranie 84 náhradných nájomných bytov formou kúpy a rekonštrukcie. Čiastka 34 212 tis. eur predstavuje prostriedky EÚ a spolufinancovanie k nim a boli poskytnuté mestu Košice na projekt: Modernizácia električkových tratí v Košiciach – 2. etapa – 1. časť. </w:t>
      </w:r>
      <w:r>
        <w:rPr>
          <w:rFonts w:ascii="Times New Roman" w:hAnsi="Times New Roman"/>
          <w:szCs w:val="22"/>
        </w:rPr>
        <w:t>V rámci bežných výdavkov boli poskytnuté prostriedky v sume 6 442 tis. eur na úhradu nákladov preneseného výkonu štátnej správy na úseku stavebného poriadku, na úseku bývania a na úseku dopravy. Čiastka 574 tis. eur bola poukázaná osemdesiatim obciam ako dotácia na spracovanie ich územnoplánovacej dokumentácie.</w:t>
      </w:r>
    </w:p>
    <w:p w:rsidR="00056265" w:rsidRPr="001B1E6D" w:rsidP="00FF3CFC">
      <w:pPr>
        <w:suppressAutoHyphens/>
        <w:bidi w:val="0"/>
        <w:rPr>
          <w:rFonts w:ascii="Times New Roman" w:hAnsi="Times New Roman"/>
          <w:color w:val="000000" w:themeColor="tx1" w:themeShade="FF"/>
          <w:szCs w:val="22"/>
        </w:rPr>
      </w:pPr>
      <w:r w:rsidRPr="004D6274">
        <w:rPr>
          <w:rFonts w:ascii="Times New Roman" w:hAnsi="Times New Roman"/>
          <w:b/>
          <w:color w:val="000000" w:themeColor="tx1" w:themeShade="FF"/>
          <w:szCs w:val="22"/>
        </w:rPr>
        <w:t>Ministerstvo práce, sociálnych vecí a rodiny SR</w:t>
      </w:r>
      <w:r w:rsidRPr="004D6274">
        <w:rPr>
          <w:rFonts w:ascii="Times New Roman" w:hAnsi="Times New Roman"/>
          <w:color w:val="000000" w:themeColor="tx1" w:themeShade="FF"/>
          <w:szCs w:val="22"/>
        </w:rPr>
        <w:t xml:space="preserve"> poskytlo celkovú sumu 66 541 tis. eur</w:t>
      </w:r>
      <w:r w:rsidRPr="003D06B0">
        <w:rPr>
          <w:rFonts w:ascii="Times New Roman" w:hAnsi="Times New Roman"/>
          <w:color w:val="000000" w:themeColor="tx1" w:themeShade="FF"/>
          <w:szCs w:val="22"/>
        </w:rPr>
        <w:t>. Z toho čiastka 41 895 tis. eur bola určená</w:t>
      </w:r>
      <w:r>
        <w:rPr>
          <w:rFonts w:ascii="Times New Roman" w:hAnsi="Times New Roman"/>
          <w:color w:val="000000" w:themeColor="tx1" w:themeShade="FF"/>
          <w:szCs w:val="22"/>
        </w:rPr>
        <w:t xml:space="preserve"> na úhradu ekonomicky oprávnených nákladov </w:t>
      </w:r>
      <w:r w:rsidRPr="003D06B0">
        <w:rPr>
          <w:rFonts w:ascii="Times New Roman" w:hAnsi="Times New Roman"/>
          <w:color w:val="000000" w:themeColor="tx1" w:themeShade="FF"/>
          <w:szCs w:val="22"/>
        </w:rPr>
        <w:t xml:space="preserve">mestám a obciam </w:t>
      </w:r>
      <w:r>
        <w:rPr>
          <w:rFonts w:ascii="Times New Roman" w:hAnsi="Times New Roman"/>
          <w:color w:val="000000" w:themeColor="tx1" w:themeShade="FF"/>
          <w:szCs w:val="22"/>
        </w:rPr>
        <w:t>na </w:t>
      </w:r>
      <w:r w:rsidRPr="003D06B0">
        <w:rPr>
          <w:rFonts w:ascii="Times New Roman" w:hAnsi="Times New Roman"/>
          <w:color w:val="000000" w:themeColor="tx1" w:themeShade="FF"/>
          <w:szCs w:val="22"/>
        </w:rPr>
        <w:t>spolufinancovanie sociálnych služieb pre zariadenia sociálnych služieb</w:t>
      </w:r>
      <w:r>
        <w:rPr>
          <w:rFonts w:ascii="Times New Roman" w:hAnsi="Times New Roman"/>
          <w:color w:val="000000" w:themeColor="tx1" w:themeShade="FF"/>
          <w:szCs w:val="22"/>
        </w:rPr>
        <w:t xml:space="preserve"> (najmä zariadenia pre </w:t>
      </w:r>
      <w:r w:rsidRPr="003D06B0">
        <w:rPr>
          <w:rFonts w:ascii="Times New Roman" w:hAnsi="Times New Roman"/>
          <w:color w:val="000000" w:themeColor="tx1" w:themeShade="FF"/>
          <w:szCs w:val="22"/>
        </w:rPr>
        <w:t>seniorov, zariadenia opatrovateľskej služby, denné stacionáre, domovy sociálnych služi</w:t>
      </w:r>
      <w:r>
        <w:rPr>
          <w:rFonts w:ascii="Times New Roman" w:hAnsi="Times New Roman"/>
          <w:color w:val="000000" w:themeColor="tx1" w:themeShade="FF"/>
          <w:szCs w:val="22"/>
        </w:rPr>
        <w:t>eb, útulky, nocľahárne a ďalšie) v zmysle § 72</w:t>
      </w:r>
      <w:r w:rsidR="00897281">
        <w:rPr>
          <w:rFonts w:ascii="Times New Roman" w:hAnsi="Times New Roman"/>
          <w:color w:val="000000" w:themeColor="tx1" w:themeShade="FF"/>
          <w:szCs w:val="22"/>
        </w:rPr>
        <w:t xml:space="preserve"> </w:t>
      </w:r>
      <w:r>
        <w:rPr>
          <w:rFonts w:ascii="Times New Roman" w:hAnsi="Times New Roman"/>
          <w:color w:val="000000" w:themeColor="tx1" w:themeShade="FF"/>
          <w:szCs w:val="22"/>
        </w:rPr>
        <w:t>ods. 5 zákona č. 448/2008 Z.</w:t>
      </w:r>
      <w:r w:rsidR="0093244A">
        <w:rPr>
          <w:rFonts w:ascii="Times New Roman" w:hAnsi="Times New Roman"/>
          <w:color w:val="000000" w:themeColor="tx1" w:themeShade="FF"/>
          <w:szCs w:val="22"/>
        </w:rPr>
        <w:t xml:space="preserve"> </w:t>
      </w:r>
      <w:r>
        <w:rPr>
          <w:rFonts w:ascii="Times New Roman" w:hAnsi="Times New Roman"/>
          <w:color w:val="000000" w:themeColor="tx1" w:themeShade="FF"/>
          <w:szCs w:val="22"/>
        </w:rPr>
        <w:t xml:space="preserve">z. o sociálnych službách. </w:t>
      </w:r>
      <w:r w:rsidRPr="00750978">
        <w:rPr>
          <w:rFonts w:ascii="Times New Roman" w:hAnsi="Times New Roman"/>
          <w:color w:val="000000" w:themeColor="tx1" w:themeShade="FF"/>
          <w:szCs w:val="22"/>
        </w:rPr>
        <w:t>Suma 9 883 tis. eur tvorila dotáciu poskytovanú úradmi práce, sociálnych vecí a rodiny na</w:t>
      </w:r>
      <w:r>
        <w:rPr>
          <w:rFonts w:ascii="Times New Roman" w:hAnsi="Times New Roman"/>
          <w:color w:val="000000" w:themeColor="tx1" w:themeShade="FF"/>
          <w:szCs w:val="22"/>
        </w:rPr>
        <w:t xml:space="preserve"> podporu výchovy </w:t>
      </w:r>
      <w:r w:rsidRPr="00750978">
        <w:rPr>
          <w:rFonts w:ascii="Times New Roman" w:hAnsi="Times New Roman"/>
          <w:color w:val="000000" w:themeColor="tx1" w:themeShade="FF"/>
          <w:szCs w:val="22"/>
        </w:rPr>
        <w:t>k stravovacím návykom a k plneniu školských povinností dieťaťa ohrozeného sociálnym</w:t>
      </w:r>
      <w:r>
        <w:rPr>
          <w:rFonts w:ascii="Times New Roman" w:hAnsi="Times New Roman"/>
          <w:color w:val="000000" w:themeColor="tx1" w:themeShade="FF"/>
          <w:szCs w:val="22"/>
        </w:rPr>
        <w:t xml:space="preserve"> vylúčením a</w:t>
      </w:r>
      <w:r w:rsidRPr="00750978">
        <w:rPr>
          <w:rFonts w:ascii="Times New Roman" w:hAnsi="Times New Roman"/>
          <w:color w:val="000000" w:themeColor="tx1" w:themeShade="FF"/>
          <w:szCs w:val="22"/>
        </w:rPr>
        <w:t xml:space="preserve"> na zabezpečenie výkonu osobitného príjemcu.</w:t>
      </w:r>
      <w:r>
        <w:rPr>
          <w:rFonts w:ascii="Times New Roman" w:hAnsi="Times New Roman"/>
          <w:color w:val="000000" w:themeColor="tx1" w:themeShade="FF"/>
          <w:szCs w:val="22"/>
        </w:rPr>
        <w:t xml:space="preserve"> Zo zdrojov EÚ a spolufinancovania bola poskytnutá čiastka 14 342 tis. eur na národné projekty o</w:t>
      </w:r>
      <w:r w:rsidRPr="001B1E6D">
        <w:rPr>
          <w:rFonts w:ascii="Times New Roman" w:hAnsi="Times New Roman"/>
          <w:color w:val="000000" w:themeColor="tx1" w:themeShade="FF"/>
          <w:szCs w:val="22"/>
        </w:rPr>
        <w:t>peračn</w:t>
      </w:r>
      <w:r>
        <w:rPr>
          <w:rFonts w:ascii="Times New Roman" w:hAnsi="Times New Roman"/>
          <w:color w:val="000000" w:themeColor="tx1" w:themeShade="FF"/>
          <w:szCs w:val="22"/>
        </w:rPr>
        <w:t>ého</w:t>
      </w:r>
      <w:r w:rsidRPr="001B1E6D">
        <w:rPr>
          <w:rFonts w:ascii="Times New Roman" w:hAnsi="Times New Roman"/>
          <w:color w:val="000000" w:themeColor="tx1" w:themeShade="FF"/>
          <w:szCs w:val="22"/>
        </w:rPr>
        <w:t xml:space="preserve"> program</w:t>
      </w:r>
      <w:r>
        <w:rPr>
          <w:rFonts w:ascii="Times New Roman" w:hAnsi="Times New Roman"/>
          <w:color w:val="000000" w:themeColor="tx1" w:themeShade="FF"/>
          <w:szCs w:val="22"/>
        </w:rPr>
        <w:t>u</w:t>
      </w:r>
      <w:r w:rsidRPr="001B1E6D">
        <w:rPr>
          <w:rFonts w:ascii="Times New Roman" w:hAnsi="Times New Roman"/>
          <w:color w:val="000000" w:themeColor="tx1" w:themeShade="FF"/>
          <w:szCs w:val="22"/>
        </w:rPr>
        <w:t xml:space="preserve"> </w:t>
      </w:r>
      <w:r>
        <w:rPr>
          <w:rFonts w:ascii="Times New Roman" w:hAnsi="Times New Roman"/>
          <w:color w:val="000000" w:themeColor="tx1" w:themeShade="FF"/>
          <w:szCs w:val="22"/>
        </w:rPr>
        <w:t>Ľ</w:t>
      </w:r>
      <w:r w:rsidRPr="001B1E6D">
        <w:rPr>
          <w:rFonts w:ascii="Times New Roman" w:hAnsi="Times New Roman"/>
          <w:color w:val="000000" w:themeColor="tx1" w:themeShade="FF"/>
          <w:szCs w:val="22"/>
        </w:rPr>
        <w:t>udské zdroje.</w:t>
      </w:r>
    </w:p>
    <w:p w:rsidR="00056265" w:rsidRPr="00350C7F" w:rsidP="00FF3CFC">
      <w:pPr>
        <w:bidi w:val="0"/>
        <w:rPr>
          <w:rFonts w:ascii="Times New Roman" w:hAnsi="Times New Roman"/>
          <w:color w:val="000000" w:themeColor="tx1" w:themeShade="FF"/>
          <w:szCs w:val="22"/>
        </w:rPr>
      </w:pPr>
      <w:r w:rsidRPr="004D6274">
        <w:rPr>
          <w:rFonts w:ascii="Times New Roman" w:hAnsi="Times New Roman"/>
          <w:color w:val="000000" w:themeColor="tx1" w:themeShade="FF"/>
          <w:szCs w:val="22"/>
        </w:rPr>
        <w:t>Z kapitoly Ministerstva</w:t>
      </w:r>
      <w:r w:rsidRPr="004D6274">
        <w:rPr>
          <w:rFonts w:ascii="Times New Roman" w:hAnsi="Times New Roman"/>
          <w:b/>
          <w:color w:val="000000" w:themeColor="tx1" w:themeShade="FF"/>
          <w:szCs w:val="22"/>
        </w:rPr>
        <w:t xml:space="preserve"> životného prostredia SR</w:t>
      </w:r>
      <w:r w:rsidRPr="004D6274">
        <w:rPr>
          <w:rFonts w:ascii="Times New Roman" w:hAnsi="Times New Roman"/>
          <w:color w:val="000000" w:themeColor="tx1" w:themeShade="FF"/>
          <w:szCs w:val="22"/>
        </w:rPr>
        <w:t xml:space="preserve"> smerovala obciam suma 59 563 </w:t>
      </w:r>
      <w:r>
        <w:rPr>
          <w:rFonts w:ascii="Times New Roman" w:hAnsi="Times New Roman"/>
          <w:color w:val="000000" w:themeColor="tx1" w:themeShade="FF"/>
          <w:szCs w:val="22"/>
        </w:rPr>
        <w:t xml:space="preserve">tis. eur, ktorá bola použitá </w:t>
      </w:r>
      <w:r w:rsidRPr="0090568F">
        <w:rPr>
          <w:rFonts w:ascii="Times New Roman" w:hAnsi="Times New Roman"/>
          <w:color w:val="000000" w:themeColor="tx1" w:themeShade="FF"/>
          <w:szCs w:val="22"/>
        </w:rPr>
        <w:t xml:space="preserve">na úhradu výdavkov projektov v rámci </w:t>
      </w:r>
      <w:r>
        <w:rPr>
          <w:rFonts w:ascii="Times New Roman" w:hAnsi="Times New Roman"/>
          <w:color w:val="000000" w:themeColor="tx1" w:themeShade="FF"/>
          <w:szCs w:val="22"/>
        </w:rPr>
        <w:t>o</w:t>
      </w:r>
      <w:r w:rsidRPr="0090568F">
        <w:rPr>
          <w:rFonts w:ascii="Times New Roman" w:hAnsi="Times New Roman"/>
          <w:color w:val="000000" w:themeColor="tx1" w:themeShade="FF"/>
          <w:szCs w:val="22"/>
        </w:rPr>
        <w:t xml:space="preserve">peračného programu </w:t>
      </w:r>
      <w:r>
        <w:rPr>
          <w:rFonts w:ascii="Times New Roman" w:hAnsi="Times New Roman"/>
          <w:color w:val="000000" w:themeColor="tx1" w:themeShade="FF"/>
          <w:szCs w:val="22"/>
        </w:rPr>
        <w:t>Kvalita životného prostredia</w:t>
      </w:r>
      <w:r w:rsidRPr="0090568F">
        <w:rPr>
          <w:rFonts w:ascii="Times New Roman" w:hAnsi="Times New Roman"/>
          <w:color w:val="000000" w:themeColor="tx1" w:themeShade="FF"/>
          <w:szCs w:val="22"/>
        </w:rPr>
        <w:t xml:space="preserve">. </w:t>
      </w:r>
      <w:r w:rsidRPr="006013BA">
        <w:rPr>
          <w:rFonts w:ascii="Times New Roman" w:hAnsi="Times New Roman"/>
          <w:color w:val="000000" w:themeColor="tx1" w:themeShade="FF"/>
          <w:szCs w:val="22"/>
        </w:rPr>
        <w:t xml:space="preserve">Išlo </w:t>
      </w:r>
      <w:r>
        <w:rPr>
          <w:rFonts w:ascii="Times New Roman" w:hAnsi="Times New Roman"/>
          <w:color w:val="000000" w:themeColor="tx1" w:themeShade="FF"/>
          <w:szCs w:val="22"/>
        </w:rPr>
        <w:t xml:space="preserve">najmä o budovanie kanalizácií a čističiek odpadových vôd, znižovanie energetickej náročnosti budov, budovanie zberných dvorov a iné. </w:t>
      </w:r>
      <w:r w:rsidRPr="00350C7F">
        <w:rPr>
          <w:rFonts w:ascii="Times New Roman" w:hAnsi="Times New Roman"/>
          <w:color w:val="000000" w:themeColor="tx1" w:themeShade="FF"/>
          <w:szCs w:val="22"/>
        </w:rPr>
        <w:t>Schválený rozpočet, pr</w:t>
      </w:r>
      <w:r>
        <w:rPr>
          <w:rFonts w:ascii="Times New Roman" w:hAnsi="Times New Roman"/>
          <w:color w:val="000000" w:themeColor="tx1" w:themeShade="FF"/>
          <w:szCs w:val="22"/>
        </w:rPr>
        <w:t>í</w:t>
      </w:r>
      <w:r w:rsidRPr="00350C7F">
        <w:rPr>
          <w:rFonts w:ascii="Times New Roman" w:hAnsi="Times New Roman"/>
          <w:color w:val="000000" w:themeColor="tx1" w:themeShade="FF"/>
          <w:szCs w:val="22"/>
        </w:rPr>
        <w:t xml:space="preserve">padne rozpis uvoľnených zdrojov z minulých rokov sa nerozpisuje </w:t>
      </w:r>
      <w:r>
        <w:rPr>
          <w:rFonts w:ascii="Times New Roman" w:hAnsi="Times New Roman"/>
          <w:color w:val="000000" w:themeColor="tx1" w:themeShade="FF"/>
          <w:szCs w:val="22"/>
        </w:rPr>
        <w:t xml:space="preserve">na konkrétne položky rozpočtu ale presun prostriedkov na základe reálne predložených žiadostí o platbu sa zohľadňuje v upravenom rozpočte. Uvedené </w:t>
      </w:r>
      <w:r w:rsidRPr="00350C7F">
        <w:rPr>
          <w:rFonts w:ascii="Times New Roman" w:hAnsi="Times New Roman"/>
          <w:color w:val="000000" w:themeColor="tx1" w:themeShade="FF"/>
          <w:szCs w:val="22"/>
        </w:rPr>
        <w:t>mal</w:t>
      </w:r>
      <w:r>
        <w:rPr>
          <w:rFonts w:ascii="Times New Roman" w:hAnsi="Times New Roman"/>
          <w:color w:val="000000" w:themeColor="tx1" w:themeShade="FF"/>
          <w:szCs w:val="22"/>
        </w:rPr>
        <w:t>o za následok zvýšenie</w:t>
      </w:r>
      <w:r w:rsidRPr="00350C7F">
        <w:rPr>
          <w:rFonts w:ascii="Times New Roman" w:hAnsi="Times New Roman"/>
          <w:color w:val="000000" w:themeColor="tx1" w:themeShade="FF"/>
          <w:szCs w:val="22"/>
        </w:rPr>
        <w:t xml:space="preserve"> rozpočtu</w:t>
      </w:r>
      <w:r>
        <w:rPr>
          <w:rFonts w:ascii="Times New Roman" w:hAnsi="Times New Roman"/>
          <w:color w:val="000000" w:themeColor="tx1" w:themeShade="FF"/>
          <w:szCs w:val="22"/>
        </w:rPr>
        <w:t xml:space="preserve"> oproti schválenému rozpočtu v celkovej sume skutočného čerpania.</w:t>
      </w:r>
    </w:p>
    <w:p w:rsidR="00056265" w:rsidP="00FF3CFC">
      <w:pPr>
        <w:bidi w:val="0"/>
        <w:rPr>
          <w:rFonts w:ascii="Times New Roman" w:hAnsi="Times New Roman"/>
          <w:szCs w:val="22"/>
        </w:rPr>
      </w:pPr>
      <w:r w:rsidRPr="00FA2518">
        <w:rPr>
          <w:rFonts w:ascii="Times New Roman" w:hAnsi="Times New Roman"/>
          <w:szCs w:val="22"/>
        </w:rPr>
        <w:t xml:space="preserve">V rozpočtovej kapitole </w:t>
      </w:r>
      <w:r w:rsidRPr="00FA2518">
        <w:rPr>
          <w:rFonts w:ascii="Times New Roman" w:hAnsi="Times New Roman"/>
          <w:b/>
          <w:szCs w:val="22"/>
        </w:rPr>
        <w:t xml:space="preserve">Ministerstva pôdohospodárstva a rozvoja vidieka SR </w:t>
      </w:r>
      <w:r w:rsidRPr="00FA2518">
        <w:rPr>
          <w:rFonts w:ascii="Times New Roman" w:hAnsi="Times New Roman"/>
          <w:szCs w:val="22"/>
        </w:rPr>
        <w:t>bol pôvodne schválený rozpočet vo výške 22 183 tis. eur úpravou znížený na 15 353 tis. eur a</w:t>
      </w:r>
      <w:r>
        <w:rPr>
          <w:rFonts w:ascii="Times New Roman" w:hAnsi="Times New Roman"/>
          <w:szCs w:val="22"/>
        </w:rPr>
        <w:t xml:space="preserve"> </w:t>
      </w:r>
      <w:r w:rsidRPr="00FA2518">
        <w:rPr>
          <w:rFonts w:ascii="Times New Roman" w:hAnsi="Times New Roman"/>
          <w:szCs w:val="22"/>
        </w:rPr>
        <w:t xml:space="preserve">v tejto výške aj boli poukázané obciam finančné prostriedky vo forme grantov a transferov. </w:t>
      </w:r>
    </w:p>
    <w:p w:rsidR="00056265" w:rsidRPr="001D7CE5" w:rsidP="00FF3CFC">
      <w:pPr>
        <w:bidi w:val="0"/>
        <w:rPr>
          <w:rFonts w:ascii="Times New Roman" w:hAnsi="Times New Roman"/>
          <w:szCs w:val="22"/>
        </w:rPr>
      </w:pPr>
      <w:r w:rsidRPr="001D7CE5">
        <w:rPr>
          <w:rFonts w:ascii="Times New Roman" w:hAnsi="Times New Roman"/>
          <w:szCs w:val="22"/>
        </w:rPr>
        <w:t>Kapitálové transfery boli obciam poskytnuté v celkovej sume 14 926 tis. eur v rámci projektových podpôr Programu rozvoja vidieka SR 2014-2020 na opatrenia</w:t>
      </w:r>
      <w:r>
        <w:rPr>
          <w:rFonts w:ascii="Times New Roman" w:hAnsi="Times New Roman"/>
          <w:szCs w:val="22"/>
        </w:rPr>
        <w:t xml:space="preserve"> </w:t>
      </w:r>
      <w:r w:rsidRPr="001D7CE5">
        <w:rPr>
          <w:rFonts w:ascii="Times New Roman" w:hAnsi="Times New Roman"/>
          <w:szCs w:val="22"/>
        </w:rPr>
        <w:t xml:space="preserve">Podpora na investície </w:t>
      </w:r>
      <w:r w:rsidR="0053092C">
        <w:rPr>
          <w:rFonts w:ascii="Times New Roman" w:hAnsi="Times New Roman"/>
          <w:szCs w:val="22"/>
        </w:rPr>
        <w:br/>
      </w:r>
      <w:r w:rsidRPr="001D7CE5">
        <w:rPr>
          <w:rFonts w:ascii="Times New Roman" w:hAnsi="Times New Roman"/>
          <w:szCs w:val="22"/>
        </w:rPr>
        <w:t>do infraštruktúry súvisiacej s vývojom, modernizáciou alebo prispôsobením poľnohospo</w:t>
      </w:r>
      <w:r>
        <w:rPr>
          <w:rFonts w:ascii="Times New Roman" w:hAnsi="Times New Roman"/>
          <w:szCs w:val="22"/>
        </w:rPr>
        <w:t>dárstva a lesného hospodárstva</w:t>
      </w:r>
      <w:r w:rsidRPr="001D7CE5">
        <w:rPr>
          <w:rFonts w:ascii="Times New Roman" w:hAnsi="Times New Roman"/>
          <w:szCs w:val="22"/>
        </w:rPr>
        <w:t xml:space="preserve"> a Podpora na obnovu lesov poškodených lesnými požiarmi a prírodnými katastrofami a katastrofickými udalosťami. Ďalšie prostriedky boli poukázané ako nenávratný finančný príspevok v rámci Európskeho fondu regionálneho rozvoja. Kapitálové transfery obciam boli oproti schválenému rozpočtu navýšené o 5 220 tis. eur. Dôvodom bolo, že išlo o prednostné vyplácanie finančných podpôr z prevodových rozpočtových prostriedkov roku 2016 (§ 8 zákona o rozpočtových pravidlách) zo strany Pôdohospodárskej platobnej agentúry pre oblasť Programu rozvoja vidieka SR a Platobnej jednotky M</w:t>
      </w:r>
      <w:r w:rsidR="00897281">
        <w:rPr>
          <w:rFonts w:ascii="Times New Roman" w:hAnsi="Times New Roman"/>
          <w:szCs w:val="22"/>
        </w:rPr>
        <w:t>inisterstva pôdohospodárstva a rozvoja vidieka</w:t>
      </w:r>
      <w:r w:rsidRPr="001D7CE5">
        <w:rPr>
          <w:rFonts w:ascii="Times New Roman" w:hAnsi="Times New Roman"/>
          <w:szCs w:val="22"/>
        </w:rPr>
        <w:t xml:space="preserve"> SR pre štrukturálne fondy, ktoré nefigurujú v schválenom, ale až v upravenom rozpočte. Z uvedeného dôvodu nebolo potrebné rozpo</w:t>
      </w:r>
      <w:r>
        <w:rPr>
          <w:rFonts w:ascii="Times New Roman" w:hAnsi="Times New Roman"/>
          <w:szCs w:val="22"/>
        </w:rPr>
        <w:t>čtovať finančné prostriedky pre </w:t>
      </w:r>
      <w:r w:rsidRPr="001D7CE5">
        <w:rPr>
          <w:rFonts w:ascii="Times New Roman" w:hAnsi="Times New Roman"/>
          <w:szCs w:val="22"/>
        </w:rPr>
        <w:t>obce v schválenom rozpočte kapitoly, lebo sa počítalo s použitím uvoľnených prevodových prostriedkov.</w:t>
      </w:r>
    </w:p>
    <w:p w:rsidR="00056265" w:rsidRPr="00213CB7" w:rsidP="00FF3CFC">
      <w:pPr>
        <w:bidi w:val="0"/>
        <w:rPr>
          <w:rFonts w:ascii="Times New Roman" w:hAnsi="Times New Roman"/>
          <w:szCs w:val="22"/>
        </w:rPr>
      </w:pPr>
      <w:r w:rsidRPr="001D7CE5">
        <w:rPr>
          <w:rFonts w:ascii="Times New Roman" w:hAnsi="Times New Roman"/>
          <w:szCs w:val="22"/>
        </w:rPr>
        <w:t xml:space="preserve">Bežné transfery poskytla kapitola obciam v čiastke 427 tis. eur v rámci projektových podpôr Programu rozvoja vidieka SR 2014-2020 na opatrenie „Platba na lesnícko-environmentálne a klimatické záväzky“. Ďalšie prostriedky boli poskytnuté v rámci priamych platieb z Európskeho poľnohospodárskeho záručného fondu 2014-2020 a taktiež bol poskytnutý nenávratný finančný príspevok v rámci Európskeho fondu regionálneho rozvoja. Skutočné plnenie bežných transferov bolo oproti schválenému rozpočtu nižšie až 12 049 tis. eur </w:t>
      </w:r>
      <w:r>
        <w:rPr>
          <w:rFonts w:ascii="Times New Roman" w:hAnsi="Times New Roman"/>
          <w:szCs w:val="22"/>
        </w:rPr>
        <w:t>v</w:t>
      </w:r>
      <w:r w:rsidRPr="001D7CE5">
        <w:rPr>
          <w:rFonts w:ascii="Times New Roman" w:hAnsi="Times New Roman"/>
          <w:szCs w:val="22"/>
        </w:rPr>
        <w:t>zhľadom</w:t>
      </w:r>
      <w:r>
        <w:rPr>
          <w:rFonts w:ascii="Times New Roman" w:hAnsi="Times New Roman"/>
          <w:szCs w:val="22"/>
        </w:rPr>
        <w:t xml:space="preserve"> na to, že</w:t>
      </w:r>
      <w:r w:rsidRPr="001D7CE5">
        <w:rPr>
          <w:rFonts w:ascii="Times New Roman" w:hAnsi="Times New Roman"/>
          <w:szCs w:val="22"/>
        </w:rPr>
        <w:t xml:space="preserve"> </w:t>
      </w:r>
      <w:r>
        <w:rPr>
          <w:rFonts w:ascii="Times New Roman" w:hAnsi="Times New Roman"/>
          <w:szCs w:val="22"/>
        </w:rPr>
        <w:t xml:space="preserve">pre </w:t>
      </w:r>
      <w:r w:rsidRPr="001D7CE5">
        <w:rPr>
          <w:rFonts w:ascii="Times New Roman" w:hAnsi="Times New Roman"/>
          <w:szCs w:val="22"/>
        </w:rPr>
        <w:t xml:space="preserve">veľký časový predstih odhadov čerpania finančných prostriedkov z programov EÚ vo vzťahu k zostaveniu rozpočtu na ďalšie obdobie </w:t>
      </w:r>
      <w:r>
        <w:rPr>
          <w:rFonts w:ascii="Times New Roman" w:hAnsi="Times New Roman"/>
          <w:szCs w:val="22"/>
        </w:rPr>
        <w:t>nebolo</w:t>
      </w:r>
      <w:r w:rsidRPr="001D7CE5">
        <w:rPr>
          <w:rFonts w:ascii="Times New Roman" w:hAnsi="Times New Roman"/>
          <w:szCs w:val="22"/>
        </w:rPr>
        <w:t xml:space="preserve"> možné presne stanoviť ich reálne časové vyplácanie. Administrácia procesu výziev, hodnotenia projektov, verejného obstarávania, zazmluvňovania a vlastného finančného vyplácania si vyžad</w:t>
      </w:r>
      <w:r>
        <w:rPr>
          <w:rFonts w:ascii="Times New Roman" w:hAnsi="Times New Roman"/>
          <w:szCs w:val="22"/>
        </w:rPr>
        <w:t>ovala</w:t>
      </w:r>
      <w:r w:rsidRPr="001D7CE5">
        <w:rPr>
          <w:rFonts w:ascii="Times New Roman" w:hAnsi="Times New Roman"/>
          <w:szCs w:val="22"/>
        </w:rPr>
        <w:t xml:space="preserve"> dlhšie časové obdobie, ktoré sa prelína</w:t>
      </w:r>
      <w:r>
        <w:rPr>
          <w:rFonts w:ascii="Times New Roman" w:hAnsi="Times New Roman"/>
          <w:szCs w:val="22"/>
        </w:rPr>
        <w:t>lo často aj medziročne.</w:t>
      </w:r>
    </w:p>
    <w:p w:rsidR="00056265" w:rsidRPr="00900598" w:rsidP="00FF3CFC">
      <w:pPr>
        <w:bidi w:val="0"/>
        <w:rPr>
          <w:rFonts w:ascii="Times New Roman" w:hAnsi="Times New Roman"/>
          <w:szCs w:val="22"/>
        </w:rPr>
      </w:pPr>
      <w:r>
        <w:rPr>
          <w:rFonts w:ascii="Times New Roman" w:hAnsi="Times New Roman"/>
          <w:color w:val="000000" w:themeColor="tx1" w:themeShade="FF"/>
          <w:szCs w:val="22"/>
        </w:rPr>
        <w:t>Z</w:t>
      </w:r>
      <w:r w:rsidRPr="002901A8">
        <w:rPr>
          <w:rFonts w:ascii="Times New Roman" w:hAnsi="Times New Roman"/>
          <w:color w:val="000000" w:themeColor="tx1" w:themeShade="FF"/>
          <w:szCs w:val="22"/>
        </w:rPr>
        <w:t> kapitol</w:t>
      </w:r>
      <w:r>
        <w:rPr>
          <w:rFonts w:ascii="Times New Roman" w:hAnsi="Times New Roman"/>
          <w:color w:val="000000" w:themeColor="tx1" w:themeShade="FF"/>
          <w:szCs w:val="22"/>
        </w:rPr>
        <w:t>y</w:t>
      </w:r>
      <w:r w:rsidRPr="002901A8">
        <w:rPr>
          <w:rFonts w:ascii="Times New Roman" w:hAnsi="Times New Roman"/>
          <w:color w:val="000000" w:themeColor="tx1" w:themeShade="FF"/>
          <w:szCs w:val="22"/>
        </w:rPr>
        <w:t xml:space="preserve"> </w:t>
      </w:r>
      <w:r w:rsidRPr="002901A8">
        <w:rPr>
          <w:rFonts w:ascii="Times New Roman" w:hAnsi="Times New Roman"/>
          <w:b/>
          <w:color w:val="000000" w:themeColor="tx1" w:themeShade="FF"/>
          <w:szCs w:val="22"/>
        </w:rPr>
        <w:t>Všeobecná pokladničná správa</w:t>
      </w:r>
      <w:r w:rsidRPr="00BC4AA7">
        <w:rPr>
          <w:rFonts w:ascii="Times New Roman" w:hAnsi="Times New Roman"/>
          <w:color w:val="FF0000"/>
          <w:szCs w:val="22"/>
        </w:rPr>
        <w:t xml:space="preserve"> </w:t>
      </w:r>
      <w:r w:rsidRPr="00F61D8C">
        <w:rPr>
          <w:rFonts w:ascii="Times New Roman" w:hAnsi="Times New Roman"/>
          <w:szCs w:val="22"/>
        </w:rPr>
        <w:t xml:space="preserve">boli obciam </w:t>
      </w:r>
      <w:r>
        <w:rPr>
          <w:rFonts w:ascii="Times New Roman" w:hAnsi="Times New Roman"/>
          <w:szCs w:val="22"/>
        </w:rPr>
        <w:t>poskytnuté</w:t>
      </w:r>
      <w:r w:rsidRPr="00F61D8C">
        <w:rPr>
          <w:rFonts w:ascii="Times New Roman" w:hAnsi="Times New Roman"/>
          <w:szCs w:val="22"/>
        </w:rPr>
        <w:t xml:space="preserve"> dotácie v celkovej sume 9 562 tis. eur</w:t>
      </w:r>
      <w:r>
        <w:rPr>
          <w:rFonts w:ascii="Times New Roman" w:hAnsi="Times New Roman"/>
          <w:szCs w:val="22"/>
        </w:rPr>
        <w:t>. Z toho na základe zákona o štátnom rozpočte na individuálne potreby obcí v objeme 4 743 tis. eur a na záchranu a obnovu kultúrnych pamiatok v sume 2 400 tis. eur.</w:t>
      </w:r>
      <w:r w:rsidRPr="00F61D8C">
        <w:rPr>
          <w:rFonts w:ascii="Times New Roman" w:hAnsi="Times New Roman"/>
          <w:szCs w:val="22"/>
        </w:rPr>
        <w:t xml:space="preserve"> </w:t>
      </w:r>
      <w:r>
        <w:rPr>
          <w:rFonts w:ascii="Times New Roman" w:hAnsi="Times New Roman"/>
          <w:szCs w:val="22"/>
        </w:rPr>
        <w:t>Ďalej na </w:t>
      </w:r>
      <w:r w:rsidRPr="00900598">
        <w:rPr>
          <w:rFonts w:ascii="Times New Roman" w:hAnsi="Times New Roman"/>
          <w:szCs w:val="22"/>
        </w:rPr>
        <w:t>základe uznesenia vlády č. 183/2017 boli uvoľnené finančné prostriedky mestu Topoľča</w:t>
      </w:r>
      <w:r>
        <w:rPr>
          <w:rFonts w:ascii="Times New Roman" w:hAnsi="Times New Roman"/>
          <w:szCs w:val="22"/>
        </w:rPr>
        <w:t>ny na rozšírenie športovej haly v čiastke 1 500 tis. eur, na </w:t>
      </w:r>
      <w:r w:rsidRPr="00900598">
        <w:rPr>
          <w:rFonts w:ascii="Times New Roman" w:hAnsi="Times New Roman"/>
          <w:szCs w:val="22"/>
        </w:rPr>
        <w:t xml:space="preserve">základe uznesenia vlády </w:t>
      </w:r>
      <w:r>
        <w:rPr>
          <w:rFonts w:ascii="Times New Roman" w:hAnsi="Times New Roman"/>
          <w:szCs w:val="22"/>
        </w:rPr>
        <w:t>č. 394/2017 na výstavbu mosta v </w:t>
      </w:r>
      <w:r w:rsidRPr="00900598">
        <w:rPr>
          <w:rFonts w:ascii="Times New Roman" w:hAnsi="Times New Roman"/>
          <w:szCs w:val="22"/>
        </w:rPr>
        <w:t xml:space="preserve">mestskej časti Dlhá Lúka v meste Bardejov boli uvoľnené finančné prostriedky </w:t>
      </w:r>
      <w:r>
        <w:rPr>
          <w:rFonts w:ascii="Times New Roman" w:hAnsi="Times New Roman"/>
          <w:szCs w:val="22"/>
        </w:rPr>
        <w:t>v sume 300 tis. eur a n</w:t>
      </w:r>
      <w:r w:rsidRPr="00900598">
        <w:rPr>
          <w:rFonts w:ascii="Times New Roman" w:hAnsi="Times New Roman"/>
          <w:szCs w:val="22"/>
        </w:rPr>
        <w:t xml:space="preserve">a základe uznesenia vlády č. 565/2017 boli uvoľnené finančné prostriedky </w:t>
      </w:r>
      <w:r w:rsidR="0053092C">
        <w:rPr>
          <w:rFonts w:ascii="Times New Roman" w:hAnsi="Times New Roman"/>
          <w:szCs w:val="22"/>
        </w:rPr>
        <w:br/>
      </w:r>
      <w:r w:rsidRPr="00900598">
        <w:rPr>
          <w:rFonts w:ascii="Times New Roman" w:hAnsi="Times New Roman"/>
          <w:szCs w:val="22"/>
        </w:rPr>
        <w:t>na in</w:t>
      </w:r>
      <w:r>
        <w:rPr>
          <w:rFonts w:ascii="Times New Roman" w:hAnsi="Times New Roman"/>
          <w:szCs w:val="22"/>
        </w:rPr>
        <w:t xml:space="preserve">fraštruktúru obcí okresu Revúca v čiastke 620 tis. eur. Do 31. 12. 2017 obce vrátili </w:t>
      </w:r>
      <w:r w:rsidR="0053092C">
        <w:rPr>
          <w:rFonts w:ascii="Times New Roman" w:hAnsi="Times New Roman"/>
          <w:szCs w:val="22"/>
        </w:rPr>
        <w:br/>
      </w:r>
      <w:r>
        <w:rPr>
          <w:rFonts w:ascii="Times New Roman" w:hAnsi="Times New Roman"/>
          <w:szCs w:val="22"/>
        </w:rPr>
        <w:t>na výdavkový účet sumu 1 tis. eur ako nepoužité prostriedky v roku, v ktorom boli poskytnuté.</w:t>
      </w:r>
    </w:p>
    <w:p w:rsidR="00056265" w:rsidRPr="00B17334" w:rsidP="00FF3CFC">
      <w:pPr>
        <w:bidi w:val="0"/>
        <w:rPr>
          <w:rFonts w:ascii="Times New Roman" w:hAnsi="Times New Roman"/>
          <w:color w:val="000000" w:themeColor="tx1" w:themeShade="FF"/>
          <w:szCs w:val="22"/>
        </w:rPr>
      </w:pPr>
      <w:r w:rsidRPr="00780A4F">
        <w:rPr>
          <w:rFonts w:ascii="Times New Roman" w:hAnsi="Times New Roman"/>
          <w:color w:val="000000" w:themeColor="tx1" w:themeShade="FF"/>
          <w:szCs w:val="22"/>
        </w:rPr>
        <w:t>Podľa zákona č. 564/2004 Z. z. o rozpočtovom určení výnosu dane z príjmov územnej samospráve bolo v roku 2017 z celkového výnosu dane z príjmov fyzických osôb príjmom rozpočtov obcí 70,0 % rovnako ako</w:t>
      </w:r>
      <w:r>
        <w:rPr>
          <w:rFonts w:ascii="Times New Roman" w:hAnsi="Times New Roman"/>
          <w:color w:val="000000" w:themeColor="tx1" w:themeShade="FF"/>
          <w:szCs w:val="22"/>
        </w:rPr>
        <w:t xml:space="preserve"> aj</w:t>
      </w:r>
      <w:r w:rsidRPr="00780A4F">
        <w:rPr>
          <w:rFonts w:ascii="Times New Roman" w:hAnsi="Times New Roman"/>
          <w:color w:val="000000" w:themeColor="tx1" w:themeShade="FF"/>
          <w:szCs w:val="22"/>
        </w:rPr>
        <w:t xml:space="preserve"> v roku 2016. Skutočný prevod dane z príjmov fyzických osôb do rozpočtov obcí daňovými úradmi bol vykonaný vo výške 1 799 482 tis. eur vrátane zúčtovania </w:t>
      </w:r>
      <w:r w:rsidR="0053092C">
        <w:rPr>
          <w:rFonts w:ascii="Times New Roman" w:hAnsi="Times New Roman"/>
          <w:color w:val="000000" w:themeColor="tx1" w:themeShade="FF"/>
          <w:szCs w:val="22"/>
        </w:rPr>
        <w:br/>
      </w:r>
      <w:r w:rsidRPr="00780A4F">
        <w:rPr>
          <w:rFonts w:ascii="Times New Roman" w:hAnsi="Times New Roman"/>
          <w:color w:val="000000" w:themeColor="tx1" w:themeShade="FF"/>
          <w:szCs w:val="22"/>
        </w:rPr>
        <w:t xml:space="preserve">za predchádzajúci rok </w:t>
      </w:r>
      <w:r w:rsidRPr="00B17334">
        <w:rPr>
          <w:rFonts w:ascii="Times New Roman" w:hAnsi="Times New Roman"/>
          <w:color w:val="000000" w:themeColor="tx1" w:themeShade="FF"/>
          <w:szCs w:val="22"/>
        </w:rPr>
        <w:t>(</w:t>
      </w:r>
      <w:r>
        <w:rPr>
          <w:rFonts w:ascii="Times New Roman" w:hAnsi="Times New Roman"/>
          <w:color w:val="000000" w:themeColor="tx1" w:themeShade="FF"/>
          <w:szCs w:val="22"/>
        </w:rPr>
        <w:t>1 671 </w:t>
      </w:r>
      <w:r w:rsidRPr="00B17334">
        <w:rPr>
          <w:rFonts w:ascii="Times New Roman" w:hAnsi="Times New Roman"/>
          <w:color w:val="000000" w:themeColor="tx1" w:themeShade="FF"/>
          <w:szCs w:val="22"/>
        </w:rPr>
        <w:t>614</w:t>
      </w:r>
      <w:r>
        <w:rPr>
          <w:rFonts w:ascii="Times New Roman" w:hAnsi="Times New Roman"/>
          <w:color w:val="000000" w:themeColor="tx1" w:themeShade="FF"/>
          <w:szCs w:val="22"/>
        </w:rPr>
        <w:t> tis. </w:t>
      </w:r>
      <w:r w:rsidRPr="00B17334">
        <w:rPr>
          <w:rFonts w:ascii="Times New Roman" w:hAnsi="Times New Roman"/>
          <w:color w:val="000000" w:themeColor="tx1" w:themeShade="FF"/>
          <w:szCs w:val="22"/>
        </w:rPr>
        <w:t>eur v roku 2016).</w:t>
      </w:r>
      <w:r>
        <w:rPr>
          <w:rFonts w:ascii="Times New Roman" w:hAnsi="Times New Roman"/>
          <w:color w:val="000000" w:themeColor="tx1" w:themeShade="FF"/>
          <w:szCs w:val="22"/>
        </w:rPr>
        <w:t xml:space="preserve"> V roku 2017 nebolo možné pre nefungujúce orgány samosprávy v obci Ondavka previesť sumu 4 tis. eur, ktorá bude prevedená obci </w:t>
      </w:r>
      <w:r w:rsidR="0053092C">
        <w:rPr>
          <w:rFonts w:ascii="Times New Roman" w:hAnsi="Times New Roman"/>
          <w:color w:val="000000" w:themeColor="tx1" w:themeShade="FF"/>
          <w:szCs w:val="22"/>
        </w:rPr>
        <w:br/>
      </w:r>
      <w:r>
        <w:rPr>
          <w:rFonts w:ascii="Times New Roman" w:hAnsi="Times New Roman"/>
          <w:color w:val="000000" w:themeColor="tx1" w:themeShade="FF"/>
          <w:szCs w:val="22"/>
        </w:rPr>
        <w:t>po obnovení orgánov samosprávy.</w:t>
      </w:r>
    </w:p>
    <w:p w:rsidR="00056265" w:rsidRPr="000C2CB4" w:rsidP="00056265">
      <w:pPr>
        <w:bidi w:val="0"/>
        <w:rPr>
          <w:rFonts w:ascii="Times New Roman" w:hAnsi="Times New Roman"/>
          <w:b/>
          <w:color w:val="000000" w:themeColor="tx1" w:themeShade="FF"/>
        </w:rPr>
      </w:pPr>
      <w:r w:rsidRPr="000C2CB4">
        <w:rPr>
          <w:rFonts w:ascii="Times New Roman" w:hAnsi="Times New Roman"/>
          <w:b/>
          <w:i/>
          <w:color w:val="000000" w:themeColor="tx1" w:themeShade="FF"/>
          <w:szCs w:val="22"/>
        </w:rPr>
        <w:t>Prehľad záväzných limitov dotácií obciam za rok 2017 je uvedený v tabuľkovej časti štátneho záverečného účtu SR, v tabuľke č. 20.</w:t>
      </w:r>
    </w:p>
    <w:p w:rsidR="00693173" w:rsidRPr="0093244A" w:rsidP="00225F21">
      <w:pPr>
        <w:pStyle w:val="Heading3"/>
        <w:numPr>
          <w:ilvl w:val="0"/>
          <w:numId w:val="0"/>
        </w:numPr>
        <w:bidi w:val="0"/>
        <w:ind w:left="709" w:firstLine="0"/>
        <w:rPr>
          <w:rFonts w:hint="default"/>
        </w:rPr>
      </w:pPr>
      <w:bookmarkStart w:id="63" w:name="_Toc512599677"/>
      <w:r w:rsidR="00225F21">
        <w:t xml:space="preserve">3.2.4  </w:t>
      </w:r>
      <w:r w:rsidRPr="0093244A">
        <w:rPr>
          <w:rFonts w:hint="default"/>
        </w:rPr>
        <w:t>Vzť</w:t>
      </w:r>
      <w:r w:rsidRPr="0093244A">
        <w:rPr>
          <w:rFonts w:hint="default"/>
        </w:rPr>
        <w:t>ahy š</w:t>
      </w:r>
      <w:r w:rsidRPr="0093244A">
        <w:rPr>
          <w:rFonts w:hint="default"/>
        </w:rPr>
        <w:t>tá</w:t>
      </w:r>
      <w:r w:rsidRPr="0093244A">
        <w:rPr>
          <w:rFonts w:hint="default"/>
        </w:rPr>
        <w:t>tneho rozpoč</w:t>
      </w:r>
      <w:r w:rsidRPr="0093244A">
        <w:rPr>
          <w:rFonts w:hint="default"/>
        </w:rPr>
        <w:t>tu k </w:t>
      </w:r>
      <w:r w:rsidRPr="0093244A">
        <w:rPr>
          <w:rFonts w:hint="default"/>
        </w:rPr>
        <w:t>vyšší</w:t>
      </w:r>
      <w:r w:rsidRPr="0093244A">
        <w:rPr>
          <w:rFonts w:hint="default"/>
        </w:rPr>
        <w:t>m ú</w:t>
      </w:r>
      <w:r w:rsidRPr="0093244A">
        <w:rPr>
          <w:rFonts w:hint="default"/>
        </w:rPr>
        <w:t>zemný</w:t>
      </w:r>
      <w:r w:rsidRPr="0093244A">
        <w:rPr>
          <w:rFonts w:hint="default"/>
        </w:rPr>
        <w:t>m celkom</w:t>
      </w:r>
      <w:bookmarkEnd w:id="62"/>
      <w:bookmarkEnd w:id="63"/>
    </w:p>
    <w:p w:rsidR="00817B2E" w:rsidRPr="00ED1DF2" w:rsidP="00FF3CFC">
      <w:pPr>
        <w:suppressAutoHyphens/>
        <w:bidi w:val="0"/>
        <w:rPr>
          <w:rFonts w:ascii="Times New Roman" w:hAnsi="Times New Roman"/>
          <w:color w:val="FF0000"/>
          <w:szCs w:val="22"/>
        </w:rPr>
      </w:pPr>
      <w:r w:rsidRPr="00A54970">
        <w:rPr>
          <w:rFonts w:ascii="Times New Roman" w:hAnsi="Times New Roman"/>
          <w:color w:val="000000" w:themeColor="tx1" w:themeShade="FF"/>
          <w:szCs w:val="22"/>
        </w:rPr>
        <w:t xml:space="preserve">V roku 2017 bolo z rozpočtov jednotlivých kapitol do rozpočtov vyšších územných celkov poskytnutých 433 648 tis. eur vo forme bežných a kapitálových grantov a transferov, z toho bežné granty a transfery tvorili sumu 429 396 tis. eur a kapitálové granty a transfery čiastku 4 252 tis. eur. </w:t>
      </w:r>
      <w:r w:rsidRPr="00E31884">
        <w:rPr>
          <w:rFonts w:ascii="Times New Roman" w:hAnsi="Times New Roman"/>
          <w:color w:val="000000" w:themeColor="tx1" w:themeShade="FF"/>
          <w:szCs w:val="22"/>
        </w:rPr>
        <w:t xml:space="preserve">V porovnaní s predchádzajúcimi dvoma rokmi </w:t>
      </w:r>
      <w:r>
        <w:rPr>
          <w:rFonts w:ascii="Times New Roman" w:hAnsi="Times New Roman"/>
          <w:color w:val="000000" w:themeColor="tx1" w:themeShade="FF"/>
          <w:szCs w:val="22"/>
        </w:rPr>
        <w:t>je objem poskytnutých transferov najnižší, pričom oproti roku 2016 bol zaznamenaný pokles</w:t>
      </w:r>
      <w:r w:rsidRPr="00E31884">
        <w:rPr>
          <w:rFonts w:ascii="Times New Roman" w:hAnsi="Times New Roman"/>
          <w:color w:val="000000" w:themeColor="tx1" w:themeShade="FF"/>
          <w:szCs w:val="22"/>
        </w:rPr>
        <w:t xml:space="preserve"> o 12 532 tis. eur</w:t>
      </w:r>
      <w:r w:rsidR="005A703A">
        <w:rPr>
          <w:rFonts w:ascii="Times New Roman" w:hAnsi="Times New Roman"/>
          <w:color w:val="000000" w:themeColor="tx1" w:themeShade="FF"/>
          <w:szCs w:val="22"/>
        </w:rPr>
        <w:t>.</w:t>
      </w:r>
    </w:p>
    <w:p w:rsidR="00817B2E" w:rsidRPr="00514307" w:rsidP="00FF3CFC">
      <w:pPr>
        <w:suppressAutoHyphens/>
        <w:bidi w:val="0"/>
        <w:rPr>
          <w:rFonts w:ascii="Times New Roman" w:hAnsi="Times New Roman"/>
          <w:color w:val="000000" w:themeColor="tx1" w:themeShade="FF"/>
          <w:szCs w:val="22"/>
        </w:rPr>
      </w:pPr>
      <w:r w:rsidRPr="00C6519C">
        <w:rPr>
          <w:rFonts w:ascii="Times New Roman" w:hAnsi="Times New Roman"/>
          <w:color w:val="000000" w:themeColor="tx1" w:themeShade="FF"/>
          <w:szCs w:val="22"/>
        </w:rPr>
        <w:t xml:space="preserve">Granty a transfery zo zdroja 111 - štátny rozpočet boli poskytnuté z jednotlivých kapitol v celkovej sume 431 330 tis. eur, </w:t>
      </w:r>
      <w:r w:rsidRPr="009D63B0">
        <w:rPr>
          <w:rFonts w:ascii="Times New Roman" w:hAnsi="Times New Roman"/>
          <w:color w:val="000000" w:themeColor="tx1" w:themeShade="FF"/>
          <w:szCs w:val="22"/>
        </w:rPr>
        <w:t xml:space="preserve">z toho bežné granty a transfery v čiastke 427 287 tis. eur a kapitálové granty a transfery v čiastke 4 043 tis. eur. </w:t>
      </w:r>
      <w:r w:rsidRPr="00440073">
        <w:rPr>
          <w:rFonts w:ascii="Times New Roman" w:hAnsi="Times New Roman"/>
          <w:color w:val="000000" w:themeColor="tx1" w:themeShade="FF"/>
          <w:szCs w:val="22"/>
        </w:rPr>
        <w:t>Takmer celá suma</w:t>
      </w:r>
      <w:r>
        <w:rPr>
          <w:rFonts w:ascii="Times New Roman" w:hAnsi="Times New Roman"/>
          <w:color w:val="000000" w:themeColor="tx1" w:themeShade="FF"/>
          <w:szCs w:val="22"/>
        </w:rPr>
        <w:t xml:space="preserve"> transferov poskytnutá</w:t>
      </w:r>
      <w:r w:rsidRPr="00440073">
        <w:rPr>
          <w:rFonts w:ascii="Times New Roman" w:hAnsi="Times New Roman"/>
          <w:color w:val="000000" w:themeColor="tx1" w:themeShade="FF"/>
          <w:szCs w:val="22"/>
        </w:rPr>
        <w:t xml:space="preserve"> </w:t>
      </w:r>
      <w:r w:rsidR="0053092C">
        <w:rPr>
          <w:rFonts w:ascii="Times New Roman" w:hAnsi="Times New Roman"/>
          <w:color w:val="000000" w:themeColor="tx1" w:themeShade="FF"/>
          <w:szCs w:val="22"/>
        </w:rPr>
        <w:br/>
      </w:r>
      <w:r w:rsidRPr="00440073">
        <w:rPr>
          <w:rFonts w:ascii="Times New Roman" w:hAnsi="Times New Roman"/>
          <w:color w:val="000000" w:themeColor="tx1" w:themeShade="FF"/>
          <w:szCs w:val="22"/>
        </w:rPr>
        <w:t>zo zdroja štátny rozpočet (</w:t>
      </w:r>
      <w:r>
        <w:rPr>
          <w:rFonts w:ascii="Times New Roman" w:hAnsi="Times New Roman"/>
          <w:color w:val="000000" w:themeColor="tx1" w:themeShade="FF"/>
          <w:szCs w:val="22"/>
        </w:rPr>
        <w:t>424 431</w:t>
      </w:r>
      <w:r w:rsidRPr="00440073">
        <w:rPr>
          <w:rFonts w:ascii="Times New Roman" w:hAnsi="Times New Roman"/>
          <w:color w:val="000000" w:themeColor="tx1" w:themeShade="FF"/>
          <w:szCs w:val="22"/>
        </w:rPr>
        <w:t xml:space="preserve"> tis. eur) bola určená na financovanie kompetencií preneseného výkonu štátnej správy v rámci bežných </w:t>
      </w:r>
      <w:r>
        <w:rPr>
          <w:rFonts w:ascii="Times New Roman" w:hAnsi="Times New Roman"/>
          <w:color w:val="000000" w:themeColor="tx1" w:themeShade="FF"/>
          <w:szCs w:val="22"/>
        </w:rPr>
        <w:t>výdavkov</w:t>
      </w:r>
      <w:r w:rsidRPr="00440073">
        <w:rPr>
          <w:rFonts w:ascii="Times New Roman" w:hAnsi="Times New Roman"/>
          <w:color w:val="000000" w:themeColor="tx1" w:themeShade="FF"/>
          <w:szCs w:val="22"/>
        </w:rPr>
        <w:t>, a</w:t>
      </w:r>
      <w:r w:rsidR="0034534B">
        <w:rPr>
          <w:rFonts w:ascii="Times New Roman" w:hAnsi="Times New Roman"/>
          <w:color w:val="000000" w:themeColor="tx1" w:themeShade="FF"/>
          <w:szCs w:val="22"/>
        </w:rPr>
        <w:t xml:space="preserve"> </w:t>
      </w:r>
      <w:r w:rsidRPr="00440073">
        <w:rPr>
          <w:rFonts w:ascii="Times New Roman" w:hAnsi="Times New Roman"/>
          <w:color w:val="000000" w:themeColor="tx1" w:themeShade="FF"/>
          <w:szCs w:val="22"/>
        </w:rPr>
        <w:t>to</w:t>
      </w:r>
      <w:r>
        <w:rPr>
          <w:rFonts w:ascii="Times New Roman" w:hAnsi="Times New Roman"/>
          <w:color w:val="000000" w:themeColor="tx1" w:themeShade="FF"/>
          <w:szCs w:val="22"/>
        </w:rPr>
        <w:t xml:space="preserve"> najmä</w:t>
      </w:r>
      <w:r w:rsidRPr="00440073">
        <w:rPr>
          <w:rFonts w:ascii="Times New Roman" w:hAnsi="Times New Roman"/>
          <w:color w:val="000000" w:themeColor="tx1" w:themeShade="FF"/>
          <w:szCs w:val="22"/>
        </w:rPr>
        <w:t xml:space="preserve"> v kapitole Ministerstva školstva, vedy, výskumu a športu SR</w:t>
      </w:r>
      <w:r>
        <w:rPr>
          <w:rFonts w:ascii="Times New Roman" w:hAnsi="Times New Roman"/>
          <w:color w:val="000000" w:themeColor="tx1" w:themeShade="FF"/>
          <w:szCs w:val="22"/>
        </w:rPr>
        <w:t xml:space="preserve"> a v kapitole Ministerstva vnútra SR</w:t>
      </w:r>
      <w:r w:rsidRPr="00440073">
        <w:rPr>
          <w:rFonts w:ascii="Times New Roman" w:hAnsi="Times New Roman"/>
          <w:color w:val="000000" w:themeColor="tx1" w:themeShade="FF"/>
          <w:szCs w:val="22"/>
        </w:rPr>
        <w:t xml:space="preserve">. </w:t>
      </w:r>
      <w:r w:rsidRPr="00514307">
        <w:rPr>
          <w:rFonts w:ascii="Times New Roman" w:hAnsi="Times New Roman"/>
          <w:color w:val="000000" w:themeColor="tx1" w:themeShade="FF"/>
          <w:szCs w:val="22"/>
        </w:rPr>
        <w:t xml:space="preserve">Tieto prostriedky boli určené na financovanie kompetencií preneseného výkonu štátnej správy na úseku školstva a na niektoré činnosti zabezpečované VÚC v rámci ich samosprávnej pôsobnosti. </w:t>
      </w:r>
    </w:p>
    <w:p w:rsidR="00574B63" w:rsidP="00817B2E">
      <w:pPr>
        <w:suppressAutoHyphens/>
        <w:bidi w:val="0"/>
        <w:rPr>
          <w:rFonts w:ascii="Times New Roman" w:hAnsi="Times New Roman"/>
          <w:color w:val="000000"/>
          <w:szCs w:val="22"/>
        </w:rPr>
      </w:pPr>
      <w:r w:rsidRPr="006E50E2" w:rsidR="00817B2E">
        <w:rPr>
          <w:rFonts w:ascii="Times New Roman" w:hAnsi="Times New Roman"/>
          <w:color w:val="000000"/>
          <w:szCs w:val="22"/>
        </w:rPr>
        <w:t>Súhrnný prehľad grantov a transferov poskytnutých VÚC podľa jednotlivých oddielov funkčnej klasifikácie poskytujú údaje v nasledujúcej tabuľke:</w:t>
      </w:r>
    </w:p>
    <w:tbl>
      <w:tblPr>
        <w:tblStyle w:val="TableNormal"/>
        <w:tblW w:w="8860" w:type="dxa"/>
        <w:tblLayout w:type="fixed"/>
        <w:tblCellMar>
          <w:left w:w="70" w:type="dxa"/>
          <w:right w:w="70" w:type="dxa"/>
        </w:tblCellMar>
        <w:tblLook w:val="04A0"/>
      </w:tblPr>
      <w:tblGrid>
        <w:gridCol w:w="2588"/>
        <w:gridCol w:w="895"/>
        <w:gridCol w:w="34"/>
        <w:gridCol w:w="862"/>
        <w:gridCol w:w="67"/>
        <w:gridCol w:w="828"/>
        <w:gridCol w:w="101"/>
        <w:gridCol w:w="795"/>
        <w:gridCol w:w="291"/>
        <w:gridCol w:w="604"/>
        <w:gridCol w:w="169"/>
        <w:gridCol w:w="727"/>
        <w:gridCol w:w="223"/>
        <w:gridCol w:w="676"/>
      </w:tblGrid>
      <w:tr>
        <w:tblPrEx>
          <w:tblW w:w="8860" w:type="dxa"/>
          <w:tblLayout w:type="fixed"/>
          <w:tblCellMar>
            <w:left w:w="70" w:type="dxa"/>
            <w:right w:w="70" w:type="dxa"/>
          </w:tblCellMar>
          <w:tblLook w:val="04A0"/>
        </w:tblPrEx>
        <w:trPr>
          <w:trHeight w:val="311"/>
        </w:trPr>
        <w:tc>
          <w:tcPr>
            <w:tcW w:w="8860" w:type="dxa"/>
            <w:gridSpan w:val="14"/>
            <w:tcBorders>
              <w:top w:val="nil"/>
              <w:left w:val="single" w:sz="8" w:space="0" w:color="auto"/>
              <w:bottom w:val="nil"/>
              <w:right w:val="nil"/>
            </w:tcBorders>
            <w:shd w:val="clear" w:color="000000" w:fill="000000"/>
            <w:textDirection w:val="lrTb"/>
            <w:vAlign w:val="center"/>
            <w:hideMark/>
          </w:tcPr>
          <w:p w:rsidR="008E1798" w:rsidRPr="0093244A" w:rsidP="008E1798">
            <w:pPr>
              <w:bidi w:val="0"/>
              <w:rPr>
                <w:rFonts w:ascii="Times New Roman" w:hAnsi="Times New Roman"/>
                <w:b/>
                <w:bCs/>
                <w:color w:val="FFFFFF"/>
                <w:sz w:val="20"/>
                <w:szCs w:val="20"/>
              </w:rPr>
            </w:pPr>
            <w:bookmarkStart w:id="64" w:name="RANGE!B5:I16"/>
            <w:bookmarkEnd w:id="64"/>
            <w:r w:rsidRPr="0093244A">
              <w:rPr>
                <w:rFonts w:ascii="Times New Roman" w:hAnsi="Times New Roman"/>
                <w:b/>
                <w:bCs/>
                <w:color w:val="FFFFFF"/>
                <w:sz w:val="20"/>
                <w:szCs w:val="20"/>
              </w:rPr>
              <w:t>Granty a transfery poskytnuté VÚC podľa oddielov funkčnej klasifikácie</w:t>
            </w:r>
            <w:r>
              <w:rPr>
                <w:rFonts w:ascii="Times New Roman" w:hAnsi="Times New Roman"/>
                <w:b/>
                <w:bCs/>
                <w:color w:val="FFFFFF"/>
                <w:sz w:val="20"/>
                <w:szCs w:val="20"/>
              </w:rPr>
              <w:t xml:space="preserve"> </w:t>
            </w:r>
            <w:r w:rsidR="0053092C">
              <w:rPr>
                <w:rFonts w:ascii="Times New Roman" w:hAnsi="Times New Roman"/>
                <w:b/>
                <w:bCs/>
                <w:color w:val="FFFFFF"/>
                <w:sz w:val="20"/>
                <w:szCs w:val="20"/>
              </w:rPr>
              <w:t xml:space="preserve">                   </w:t>
            </w:r>
            <w:r>
              <w:rPr>
                <w:rFonts w:ascii="Times New Roman" w:hAnsi="Times New Roman"/>
                <w:b/>
                <w:bCs/>
                <w:color w:val="FFFFFF"/>
                <w:sz w:val="20"/>
                <w:szCs w:val="20"/>
              </w:rPr>
              <w:t xml:space="preserve">             </w:t>
            </w:r>
            <w:r w:rsidRPr="0093244A">
              <w:rPr>
                <w:rFonts w:ascii="Times New Roman" w:hAnsi="Times New Roman"/>
                <w:b/>
                <w:bCs/>
                <w:color w:val="FFFFFF"/>
                <w:sz w:val="20"/>
                <w:szCs w:val="20"/>
              </w:rPr>
              <w:t>v tis. eur</w:t>
            </w:r>
          </w:p>
        </w:tc>
      </w:tr>
      <w:tr>
        <w:tblPrEx>
          <w:tblW w:w="8860" w:type="dxa"/>
          <w:tblLayout w:type="fixed"/>
          <w:tblCellMar>
            <w:left w:w="70" w:type="dxa"/>
            <w:right w:w="70" w:type="dxa"/>
          </w:tblCellMar>
          <w:tblLook w:val="04A0"/>
        </w:tblPrEx>
        <w:trPr>
          <w:trHeight w:val="21"/>
        </w:trPr>
        <w:tc>
          <w:tcPr>
            <w:tcW w:w="2588"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 </w:t>
            </w:r>
          </w:p>
        </w:tc>
        <w:tc>
          <w:tcPr>
            <w:tcW w:w="1858" w:type="dxa"/>
            <w:gridSpan w:val="4"/>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Skutočnosť</w:t>
            </w:r>
          </w:p>
        </w:tc>
        <w:tc>
          <w:tcPr>
            <w:tcW w:w="929"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Rozpočet</w:t>
            </w:r>
          </w:p>
        </w:tc>
        <w:tc>
          <w:tcPr>
            <w:tcW w:w="1859" w:type="dxa"/>
            <w:gridSpan w:val="4"/>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Skutočnosť</w:t>
            </w:r>
          </w:p>
        </w:tc>
        <w:tc>
          <w:tcPr>
            <w:tcW w:w="1625" w:type="dxa"/>
            <w:gridSpan w:val="3"/>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Rozdiel</w:t>
            </w:r>
          </w:p>
        </w:tc>
      </w:tr>
      <w:tr>
        <w:tblPrEx>
          <w:tblW w:w="8860" w:type="dxa"/>
          <w:tblLayout w:type="fixed"/>
          <w:tblCellMar>
            <w:left w:w="70" w:type="dxa"/>
            <w:right w:w="70" w:type="dxa"/>
          </w:tblCellMar>
          <w:tblLook w:val="04A0"/>
        </w:tblPrEx>
        <w:trPr>
          <w:trHeight w:val="21"/>
        </w:trPr>
        <w:tc>
          <w:tcPr>
            <w:tcW w:w="2588"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 </w:t>
            </w:r>
          </w:p>
        </w:tc>
        <w:tc>
          <w:tcPr>
            <w:tcW w:w="929"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2015</w:t>
            </w:r>
          </w:p>
        </w:tc>
        <w:tc>
          <w:tcPr>
            <w:tcW w:w="929"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2016</w:t>
            </w:r>
          </w:p>
        </w:tc>
        <w:tc>
          <w:tcPr>
            <w:tcW w:w="929"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2017</w:t>
            </w:r>
          </w:p>
        </w:tc>
        <w:tc>
          <w:tcPr>
            <w:tcW w:w="1086"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2017</w:t>
            </w:r>
          </w:p>
        </w:tc>
        <w:tc>
          <w:tcPr>
            <w:tcW w:w="772"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z toho: zdroj 111*</w:t>
            </w:r>
          </w:p>
        </w:tc>
        <w:tc>
          <w:tcPr>
            <w:tcW w:w="950" w:type="dxa"/>
            <w:gridSpan w:val="2"/>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v tis. eur</w:t>
            </w:r>
          </w:p>
        </w:tc>
        <w:tc>
          <w:tcPr>
            <w:tcW w:w="674" w:type="dxa"/>
            <w:tcBorders>
              <w:top w:val="nil"/>
              <w:left w:val="nil"/>
              <w:bottom w:val="nil"/>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v %</w:t>
            </w:r>
          </w:p>
        </w:tc>
      </w:tr>
      <w:tr>
        <w:tblPrEx>
          <w:tblW w:w="8860" w:type="dxa"/>
          <w:tblLayout w:type="fixed"/>
          <w:tblCellMar>
            <w:left w:w="70" w:type="dxa"/>
            <w:right w:w="70" w:type="dxa"/>
          </w:tblCellMar>
          <w:tblLook w:val="04A0"/>
        </w:tblPrEx>
        <w:trPr>
          <w:trHeight w:val="21"/>
        </w:trPr>
        <w:tc>
          <w:tcPr>
            <w:tcW w:w="2588" w:type="dxa"/>
            <w:tcBorders>
              <w:top w:val="nil"/>
              <w:left w:val="nil"/>
              <w:bottom w:val="single" w:sz="8" w:space="0" w:color="auto"/>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 </w:t>
            </w:r>
          </w:p>
        </w:tc>
        <w:tc>
          <w:tcPr>
            <w:tcW w:w="929"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1</w:t>
            </w:r>
          </w:p>
        </w:tc>
        <w:tc>
          <w:tcPr>
            <w:tcW w:w="929"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w:t>
            </w:r>
          </w:p>
        </w:tc>
        <w:tc>
          <w:tcPr>
            <w:tcW w:w="929"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3</w:t>
            </w:r>
          </w:p>
        </w:tc>
        <w:tc>
          <w:tcPr>
            <w:tcW w:w="1086"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4</w:t>
            </w:r>
          </w:p>
        </w:tc>
        <w:tc>
          <w:tcPr>
            <w:tcW w:w="772"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5</w:t>
            </w:r>
          </w:p>
        </w:tc>
        <w:tc>
          <w:tcPr>
            <w:tcW w:w="950" w:type="dxa"/>
            <w:gridSpan w:val="2"/>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6=4-3</w:t>
            </w:r>
          </w:p>
        </w:tc>
        <w:tc>
          <w:tcPr>
            <w:tcW w:w="674" w:type="dxa"/>
            <w:tcBorders>
              <w:top w:val="nil"/>
              <w:left w:val="nil"/>
              <w:bottom w:val="single" w:sz="8" w:space="0" w:color="auto"/>
              <w:right w:val="nil"/>
            </w:tcBorders>
            <w:shd w:val="clear" w:color="000000" w:fill="BFBFBF"/>
            <w:textDirection w:val="lrTb"/>
            <w:vAlign w:val="center"/>
            <w:hideMark/>
          </w:tcPr>
          <w:p w:rsidR="00817B2E" w:rsidRPr="00900214" w:rsidP="008E1798">
            <w:pPr>
              <w:bidi w:val="0"/>
              <w:spacing w:after="0" w:line="240" w:lineRule="auto"/>
              <w:jc w:val="center"/>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7=4-3</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Všeobecné verejné služby</w:t>
            </w:r>
          </w:p>
        </w:tc>
        <w:tc>
          <w:tcPr>
            <w:tcW w:w="895" w:type="dxa"/>
            <w:tcBorders>
              <w:top w:val="nil"/>
              <w:left w:val="nil"/>
              <w:bottom w:val="nil"/>
              <w:right w:val="nil"/>
            </w:tcBorders>
            <w:shd w:val="clear" w:color="000000" w:fill="FFFFF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1 860</w:t>
            </w:r>
          </w:p>
        </w:tc>
        <w:tc>
          <w:tcPr>
            <w:tcW w:w="896" w:type="dxa"/>
            <w:gridSpan w:val="2"/>
            <w:tcBorders>
              <w:top w:val="nil"/>
              <w:left w:val="nil"/>
              <w:bottom w:val="nil"/>
              <w:right w:val="nil"/>
            </w:tcBorders>
            <w:shd w:val="clear" w:color="000000" w:fill="FFFFF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4 379</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215</w:t>
            </w:r>
          </w:p>
        </w:tc>
        <w:tc>
          <w:tcPr>
            <w:tcW w:w="896" w:type="dxa"/>
            <w:gridSpan w:val="2"/>
            <w:tcBorders>
              <w:top w:val="nil"/>
              <w:left w:val="nil"/>
              <w:bottom w:val="nil"/>
              <w:right w:val="nil"/>
            </w:tcBorders>
            <w:shd w:val="clear" w:color="000000" w:fill="BFBFB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725</w:t>
            </w:r>
          </w:p>
        </w:tc>
        <w:tc>
          <w:tcPr>
            <w:tcW w:w="895" w:type="dxa"/>
            <w:gridSpan w:val="2"/>
            <w:tcBorders>
              <w:top w:val="nil"/>
              <w:left w:val="nil"/>
              <w:bottom w:val="nil"/>
              <w:right w:val="nil"/>
            </w:tcBorders>
            <w:shd w:val="clear" w:color="000000" w:fill="BFBFB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725</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510</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237,2</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Verejný poriadok a bezpečnosť</w:t>
            </w:r>
          </w:p>
        </w:tc>
        <w:tc>
          <w:tcPr>
            <w:tcW w:w="895"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8</w:t>
            </w:r>
          </w:p>
        </w:tc>
        <w:tc>
          <w:tcPr>
            <w:tcW w:w="896"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23</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0</w:t>
            </w:r>
          </w:p>
        </w:tc>
        <w:tc>
          <w:tcPr>
            <w:tcW w:w="896"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9</w:t>
            </w:r>
          </w:p>
        </w:tc>
        <w:tc>
          <w:tcPr>
            <w:tcW w:w="895"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9</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9</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Ekonomická oblasť</w:t>
            </w:r>
          </w:p>
        </w:tc>
        <w:tc>
          <w:tcPr>
            <w:tcW w:w="895"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55 997</w:t>
            </w:r>
          </w:p>
        </w:tc>
        <w:tc>
          <w:tcPr>
            <w:tcW w:w="896"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24 420</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0</w:t>
            </w:r>
          </w:p>
        </w:tc>
        <w:tc>
          <w:tcPr>
            <w:tcW w:w="896"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2 662</w:t>
            </w:r>
          </w:p>
        </w:tc>
        <w:tc>
          <w:tcPr>
            <w:tcW w:w="895"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344</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2 662</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Zdravotníctvo</w:t>
            </w:r>
          </w:p>
        </w:tc>
        <w:tc>
          <w:tcPr>
            <w:tcW w:w="895"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500</w:t>
            </w:r>
          </w:p>
        </w:tc>
        <w:tc>
          <w:tcPr>
            <w:tcW w:w="896"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 </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 </w:t>
            </w:r>
          </w:p>
        </w:tc>
        <w:tc>
          <w:tcPr>
            <w:tcW w:w="896"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 </w:t>
            </w:r>
          </w:p>
        </w:tc>
        <w:tc>
          <w:tcPr>
            <w:tcW w:w="895"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 </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Rekreácia, kultúra a náboženstvo</w:t>
            </w:r>
          </w:p>
        </w:tc>
        <w:tc>
          <w:tcPr>
            <w:tcW w:w="895"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5 204</w:t>
            </w:r>
          </w:p>
        </w:tc>
        <w:tc>
          <w:tcPr>
            <w:tcW w:w="896"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3 465</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0</w:t>
            </w:r>
          </w:p>
        </w:tc>
        <w:tc>
          <w:tcPr>
            <w:tcW w:w="896"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2 650</w:t>
            </w:r>
          </w:p>
        </w:tc>
        <w:tc>
          <w:tcPr>
            <w:tcW w:w="895"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2 650</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2 650</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Vzdelávanie</w:t>
            </w:r>
          </w:p>
        </w:tc>
        <w:tc>
          <w:tcPr>
            <w:tcW w:w="895"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417 266</w:t>
            </w:r>
          </w:p>
        </w:tc>
        <w:tc>
          <w:tcPr>
            <w:tcW w:w="896"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412 059</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481 844</w:t>
            </w:r>
          </w:p>
        </w:tc>
        <w:tc>
          <w:tcPr>
            <w:tcW w:w="896"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425 600</w:t>
            </w:r>
          </w:p>
        </w:tc>
        <w:tc>
          <w:tcPr>
            <w:tcW w:w="895" w:type="dxa"/>
            <w:gridSpan w:val="2"/>
            <w:tcBorders>
              <w:top w:val="nil"/>
              <w:left w:val="nil"/>
              <w:bottom w:val="nil"/>
              <w:right w:val="nil"/>
            </w:tcBorders>
            <w:shd w:val="clear" w:color="000000" w:fill="BFBFB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425 600</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-56 244</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-11,7</w:t>
            </w:r>
          </w:p>
        </w:tc>
      </w:tr>
      <w:tr>
        <w:tblPrEx>
          <w:tblW w:w="8860" w:type="dxa"/>
          <w:tblLayout w:type="fixed"/>
          <w:tblCellMar>
            <w:left w:w="70" w:type="dxa"/>
            <w:right w:w="70" w:type="dxa"/>
          </w:tblCellMar>
          <w:tblLook w:val="04A0"/>
        </w:tblPrEx>
        <w:trPr>
          <w:trHeight w:val="347"/>
        </w:trPr>
        <w:tc>
          <w:tcPr>
            <w:tcW w:w="2588" w:type="dxa"/>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left"/>
              <w:rPr>
                <w:rFonts w:ascii="Times New Roman" w:hAnsi="Times New Roman"/>
                <w:color w:val="000000"/>
                <w:sz w:val="18"/>
                <w:szCs w:val="18"/>
                <w:lang w:eastAsia="sk-SK"/>
              </w:rPr>
            </w:pPr>
            <w:r w:rsidRPr="00900214">
              <w:rPr>
                <w:rFonts w:ascii="Times New Roman" w:hAnsi="Times New Roman"/>
                <w:color w:val="000000"/>
                <w:sz w:val="18"/>
                <w:szCs w:val="18"/>
                <w:lang w:eastAsia="sk-SK"/>
              </w:rPr>
              <w:t>Sociálne zabezpečenie</w:t>
            </w:r>
          </w:p>
        </w:tc>
        <w:tc>
          <w:tcPr>
            <w:tcW w:w="895" w:type="dxa"/>
            <w:tcBorders>
              <w:top w:val="nil"/>
              <w:left w:val="nil"/>
              <w:bottom w:val="nil"/>
              <w:right w:val="nil"/>
            </w:tcBorders>
            <w:shd w:val="clear" w:color="000000" w:fill="FFFFF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1 925</w:t>
            </w:r>
          </w:p>
        </w:tc>
        <w:tc>
          <w:tcPr>
            <w:tcW w:w="896" w:type="dxa"/>
            <w:gridSpan w:val="2"/>
            <w:tcBorders>
              <w:top w:val="nil"/>
              <w:left w:val="nil"/>
              <w:bottom w:val="nil"/>
              <w:right w:val="nil"/>
            </w:tcBorders>
            <w:shd w:val="clear" w:color="000000" w:fill="FFFFF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1 834</w:t>
            </w:r>
          </w:p>
        </w:tc>
        <w:tc>
          <w:tcPr>
            <w:tcW w:w="895" w:type="dxa"/>
            <w:gridSpan w:val="2"/>
            <w:tcBorders>
              <w:top w:val="nil"/>
              <w:left w:val="nil"/>
              <w:bottom w:val="nil"/>
              <w:right w:val="nil"/>
            </w:tcBorders>
            <w:shd w:val="clear" w:color="000000" w:fill="FFFFFF"/>
            <w:noWrap/>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0</w:t>
            </w:r>
          </w:p>
        </w:tc>
        <w:tc>
          <w:tcPr>
            <w:tcW w:w="896" w:type="dxa"/>
            <w:gridSpan w:val="2"/>
            <w:tcBorders>
              <w:top w:val="nil"/>
              <w:left w:val="nil"/>
              <w:bottom w:val="nil"/>
              <w:right w:val="nil"/>
            </w:tcBorders>
            <w:shd w:val="clear" w:color="000000" w:fill="BFBFB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2 002</w:t>
            </w:r>
          </w:p>
        </w:tc>
        <w:tc>
          <w:tcPr>
            <w:tcW w:w="895" w:type="dxa"/>
            <w:gridSpan w:val="2"/>
            <w:tcBorders>
              <w:top w:val="nil"/>
              <w:left w:val="nil"/>
              <w:bottom w:val="nil"/>
              <w:right w:val="nil"/>
            </w:tcBorders>
            <w:shd w:val="clear" w:color="000000" w:fill="BFBFBF"/>
            <w:noWrap/>
            <w:textDirection w:val="lrTb"/>
            <w:vAlign w:val="bottom"/>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2 002</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2 002</w:t>
            </w:r>
          </w:p>
        </w:tc>
        <w:tc>
          <w:tcPr>
            <w:tcW w:w="896" w:type="dxa"/>
            <w:gridSpan w:val="2"/>
            <w:tcBorders>
              <w:top w:val="nil"/>
              <w:left w:val="nil"/>
              <w:bottom w:val="nil"/>
              <w:right w:val="nil"/>
            </w:tcBorders>
            <w:shd w:val="clear" w:color="000000" w:fill="FFFFFF"/>
            <w:textDirection w:val="lrTb"/>
            <w:vAlign w:val="center"/>
            <w:hideMark/>
          </w:tcPr>
          <w:p w:rsidR="00817B2E" w:rsidRPr="00900214" w:rsidP="00900214">
            <w:pPr>
              <w:bidi w:val="0"/>
              <w:spacing w:after="0" w:line="240" w:lineRule="auto"/>
              <w:jc w:val="right"/>
              <w:rPr>
                <w:rFonts w:ascii="Times New Roman" w:hAnsi="Times New Roman"/>
                <w:color w:val="000000"/>
                <w:sz w:val="18"/>
                <w:szCs w:val="18"/>
                <w:lang w:eastAsia="sk-SK"/>
              </w:rPr>
            </w:pPr>
            <w:r w:rsidRPr="00900214">
              <w:rPr>
                <w:rFonts w:ascii="Times New Roman" w:hAnsi="Times New Roman"/>
                <w:color w:val="000000"/>
                <w:sz w:val="18"/>
                <w:szCs w:val="18"/>
                <w:lang w:eastAsia="sk-SK"/>
              </w:rPr>
              <w:t>x</w:t>
            </w:r>
          </w:p>
        </w:tc>
      </w:tr>
      <w:tr>
        <w:tblPrEx>
          <w:tblW w:w="8860" w:type="dxa"/>
          <w:tblLayout w:type="fixed"/>
          <w:tblCellMar>
            <w:left w:w="70" w:type="dxa"/>
            <w:right w:w="70" w:type="dxa"/>
          </w:tblCellMar>
          <w:tblLook w:val="04A0"/>
        </w:tblPrEx>
        <w:trPr>
          <w:trHeight w:val="363"/>
        </w:trPr>
        <w:tc>
          <w:tcPr>
            <w:tcW w:w="2588" w:type="dxa"/>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rPr>
                <w:rFonts w:ascii="Times New Roman" w:hAnsi="Times New Roman"/>
                <w:b/>
                <w:bCs/>
                <w:sz w:val="18"/>
                <w:szCs w:val="18"/>
                <w:lang w:eastAsia="sk-SK"/>
              </w:rPr>
            </w:pPr>
            <w:r w:rsidRPr="009E6FAD">
              <w:rPr>
                <w:rFonts w:ascii="Times New Roman" w:hAnsi="Times New Roman"/>
                <w:b/>
                <w:bCs/>
                <w:sz w:val="18"/>
                <w:szCs w:val="18"/>
                <w:lang w:eastAsia="sk-SK"/>
              </w:rPr>
              <w:t>Spolu</w:t>
            </w:r>
          </w:p>
        </w:tc>
        <w:tc>
          <w:tcPr>
            <w:tcW w:w="895" w:type="dxa"/>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482 760</w:t>
            </w:r>
          </w:p>
        </w:tc>
        <w:tc>
          <w:tcPr>
            <w:tcW w:w="896" w:type="dxa"/>
            <w:gridSpan w:val="2"/>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446 180</w:t>
            </w:r>
          </w:p>
        </w:tc>
        <w:tc>
          <w:tcPr>
            <w:tcW w:w="895" w:type="dxa"/>
            <w:gridSpan w:val="2"/>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482 059</w:t>
            </w:r>
          </w:p>
        </w:tc>
        <w:tc>
          <w:tcPr>
            <w:tcW w:w="896" w:type="dxa"/>
            <w:gridSpan w:val="2"/>
            <w:tcBorders>
              <w:top w:val="single" w:sz="4" w:space="0" w:color="auto"/>
              <w:left w:val="nil"/>
              <w:bottom w:val="single" w:sz="8" w:space="0" w:color="auto"/>
              <w:right w:val="nil"/>
            </w:tcBorders>
            <w:shd w:val="clear" w:color="000000" w:fill="BFBFB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433 648</w:t>
            </w:r>
          </w:p>
        </w:tc>
        <w:tc>
          <w:tcPr>
            <w:tcW w:w="895" w:type="dxa"/>
            <w:gridSpan w:val="2"/>
            <w:tcBorders>
              <w:top w:val="single" w:sz="4" w:space="0" w:color="auto"/>
              <w:left w:val="nil"/>
              <w:bottom w:val="single" w:sz="8" w:space="0" w:color="auto"/>
              <w:right w:val="nil"/>
            </w:tcBorders>
            <w:shd w:val="clear" w:color="000000" w:fill="BFBFB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431 330</w:t>
            </w:r>
          </w:p>
        </w:tc>
        <w:tc>
          <w:tcPr>
            <w:tcW w:w="896" w:type="dxa"/>
            <w:gridSpan w:val="2"/>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-48 411</w:t>
            </w:r>
          </w:p>
        </w:tc>
        <w:tc>
          <w:tcPr>
            <w:tcW w:w="896" w:type="dxa"/>
            <w:gridSpan w:val="2"/>
            <w:tcBorders>
              <w:top w:val="single" w:sz="4" w:space="0" w:color="auto"/>
              <w:left w:val="nil"/>
              <w:bottom w:val="single" w:sz="8" w:space="0" w:color="auto"/>
              <w:right w:val="nil"/>
            </w:tcBorders>
            <w:shd w:val="clear" w:color="000000" w:fill="FFFFFF"/>
            <w:noWrap/>
            <w:textDirection w:val="lrTb"/>
            <w:vAlign w:val="center"/>
            <w:hideMark/>
          </w:tcPr>
          <w:p w:rsidR="00817B2E"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-10,0</w:t>
            </w:r>
          </w:p>
        </w:tc>
      </w:tr>
    </w:tbl>
    <w:p w:rsidR="00817B2E" w:rsidRPr="00817B2E" w:rsidP="00817B2E">
      <w:pPr>
        <w:suppressAutoHyphens/>
        <w:bidi w:val="0"/>
        <w:ind w:left="-284" w:firstLine="284"/>
        <w:rPr>
          <w:rFonts w:ascii="Times New Roman" w:hAnsi="Times New Roman"/>
          <w:color w:val="000000"/>
          <w:sz w:val="18"/>
          <w:szCs w:val="18"/>
        </w:rPr>
      </w:pPr>
      <w:r w:rsidRPr="00817B2E">
        <w:rPr>
          <w:rFonts w:ascii="Times New Roman" w:hAnsi="Times New Roman"/>
          <w:color w:val="000000"/>
          <w:sz w:val="18"/>
          <w:szCs w:val="18"/>
        </w:rPr>
        <w:t xml:space="preserve">Poznámka: * len prostriedky štátneho rozpočtu </w:t>
        <w:tab/>
        <w:tab/>
        <w:tab/>
        <w:tab/>
        <w:tab/>
        <w:tab/>
        <w:t xml:space="preserve">               Zdroj: MF SR</w:t>
      </w:r>
    </w:p>
    <w:p w:rsidR="0053092C" w:rsidP="00817B2E">
      <w:pPr>
        <w:suppressAutoHyphens/>
        <w:bidi w:val="0"/>
        <w:rPr>
          <w:rFonts w:ascii="Times New Roman" w:hAnsi="Times New Roman"/>
          <w:color w:val="000000"/>
          <w:szCs w:val="22"/>
        </w:rPr>
      </w:pPr>
    </w:p>
    <w:p w:rsidR="0053092C" w:rsidP="00817B2E">
      <w:pPr>
        <w:suppressAutoHyphens/>
        <w:bidi w:val="0"/>
        <w:rPr>
          <w:rFonts w:ascii="Times New Roman" w:hAnsi="Times New Roman"/>
          <w:color w:val="000000"/>
          <w:szCs w:val="22"/>
        </w:rPr>
      </w:pPr>
    </w:p>
    <w:p w:rsidR="0053092C" w:rsidP="00817B2E">
      <w:pPr>
        <w:suppressAutoHyphens/>
        <w:bidi w:val="0"/>
        <w:rPr>
          <w:rFonts w:ascii="Times New Roman" w:hAnsi="Times New Roman"/>
          <w:color w:val="000000"/>
          <w:szCs w:val="22"/>
        </w:rPr>
      </w:pPr>
    </w:p>
    <w:p w:rsidR="00817B2E" w:rsidP="00817B2E">
      <w:pPr>
        <w:suppressAutoHyphens/>
        <w:bidi w:val="0"/>
        <w:rPr>
          <w:rFonts w:ascii="Times New Roman" w:hAnsi="Times New Roman"/>
          <w:color w:val="000000"/>
          <w:szCs w:val="22"/>
        </w:rPr>
      </w:pPr>
      <w:r w:rsidRPr="006E50E2">
        <w:rPr>
          <w:rFonts w:ascii="Times New Roman" w:hAnsi="Times New Roman"/>
          <w:color w:val="000000"/>
          <w:szCs w:val="22"/>
        </w:rPr>
        <w:t>Do rozpočtov VÚC boli poskytnuté granty a transfery z jednotlivých rozpočtových kapitol v nasledovnom členení:</w:t>
      </w:r>
    </w:p>
    <w:tbl>
      <w:tblPr>
        <w:tblStyle w:val="TableNormal"/>
        <w:tblW w:w="8784" w:type="dxa"/>
        <w:tblInd w:w="70" w:type="dxa"/>
        <w:tblLayout w:type="fixed"/>
        <w:tblCellMar>
          <w:left w:w="70" w:type="dxa"/>
          <w:right w:w="70" w:type="dxa"/>
        </w:tblCellMar>
        <w:tblLook w:val="04A0"/>
      </w:tblPr>
      <w:tblGrid>
        <w:gridCol w:w="2471"/>
        <w:gridCol w:w="823"/>
        <w:gridCol w:w="929"/>
        <w:gridCol w:w="823"/>
        <w:gridCol w:w="992"/>
        <w:gridCol w:w="1098"/>
        <w:gridCol w:w="825"/>
        <w:gridCol w:w="823"/>
      </w:tblGrid>
      <w:tr>
        <w:tblPrEx>
          <w:tblW w:w="8784" w:type="dxa"/>
          <w:tblInd w:w="70" w:type="dxa"/>
          <w:tblLayout w:type="fixed"/>
          <w:tblCellMar>
            <w:left w:w="70" w:type="dxa"/>
            <w:right w:w="70" w:type="dxa"/>
          </w:tblCellMar>
          <w:tblLook w:val="04A0"/>
        </w:tblPrEx>
        <w:trPr>
          <w:trHeight w:val="336"/>
        </w:trPr>
        <w:tc>
          <w:tcPr>
            <w:tcW w:w="7961" w:type="dxa"/>
            <w:gridSpan w:val="7"/>
            <w:tcBorders>
              <w:top w:val="nil"/>
              <w:left w:val="single" w:sz="8" w:space="0" w:color="auto"/>
              <w:bottom w:val="nil"/>
              <w:right w:val="nil"/>
            </w:tcBorders>
            <w:shd w:val="clear" w:color="000000" w:fill="000000"/>
            <w:textDirection w:val="lrTb"/>
            <w:vAlign w:val="center"/>
            <w:hideMark/>
          </w:tcPr>
          <w:p w:rsidR="00817B2E" w:rsidRPr="00817B2E" w:rsidP="00817B2E">
            <w:pPr>
              <w:bidi w:val="0"/>
              <w:spacing w:after="0" w:line="240" w:lineRule="auto"/>
              <w:jc w:val="left"/>
              <w:rPr>
                <w:rFonts w:ascii="Times New Roman" w:hAnsi="Times New Roman"/>
                <w:b/>
                <w:bCs/>
                <w:color w:val="FFFFFF"/>
                <w:sz w:val="18"/>
                <w:szCs w:val="18"/>
                <w:lang w:eastAsia="sk-SK"/>
              </w:rPr>
            </w:pPr>
            <w:r w:rsidRPr="00817B2E">
              <w:rPr>
                <w:rFonts w:ascii="Times New Roman" w:hAnsi="Times New Roman"/>
                <w:b/>
                <w:bCs/>
                <w:color w:val="FFFFFF"/>
                <w:sz w:val="18"/>
                <w:szCs w:val="18"/>
                <w:lang w:eastAsia="sk-SK"/>
              </w:rPr>
              <w:t>Granty a transfery poskytnuté VÚC podľa kapitol ŠR</w:t>
            </w:r>
          </w:p>
        </w:tc>
        <w:tc>
          <w:tcPr>
            <w:tcW w:w="823" w:type="dxa"/>
            <w:tcBorders>
              <w:top w:val="nil"/>
              <w:left w:val="nil"/>
              <w:bottom w:val="nil"/>
              <w:right w:val="nil"/>
            </w:tcBorders>
            <w:shd w:val="clear" w:color="000000" w:fill="000000"/>
            <w:noWrap/>
            <w:textDirection w:val="lrTb"/>
            <w:vAlign w:val="bottom"/>
            <w:hideMark/>
          </w:tcPr>
          <w:p w:rsidR="00817B2E" w:rsidRPr="00817B2E" w:rsidP="00817B2E">
            <w:pPr>
              <w:bidi w:val="0"/>
              <w:spacing w:after="0" w:line="240" w:lineRule="auto"/>
              <w:jc w:val="right"/>
              <w:rPr>
                <w:rFonts w:ascii="Times New Roman" w:hAnsi="Times New Roman"/>
                <w:b/>
                <w:bCs/>
                <w:color w:val="FFFFFF"/>
                <w:sz w:val="18"/>
                <w:szCs w:val="18"/>
                <w:lang w:eastAsia="sk-SK"/>
              </w:rPr>
            </w:pPr>
            <w:r w:rsidRPr="00817B2E">
              <w:rPr>
                <w:rFonts w:ascii="Times New Roman" w:hAnsi="Times New Roman"/>
                <w:b/>
                <w:bCs/>
                <w:color w:val="FFFFFF"/>
                <w:sz w:val="18"/>
                <w:szCs w:val="18"/>
                <w:lang w:eastAsia="sk-SK"/>
              </w:rPr>
              <w:t>v tis.</w:t>
            </w:r>
            <w:r>
              <w:rPr>
                <w:rFonts w:ascii="Times New Roman" w:hAnsi="Times New Roman"/>
                <w:b/>
                <w:bCs/>
                <w:color w:val="FFFFFF"/>
                <w:sz w:val="18"/>
                <w:szCs w:val="18"/>
                <w:lang w:eastAsia="sk-SK"/>
              </w:rPr>
              <w:t xml:space="preserve"> </w:t>
            </w:r>
            <w:r w:rsidRPr="00817B2E">
              <w:rPr>
                <w:rFonts w:ascii="Times New Roman" w:hAnsi="Times New Roman"/>
                <w:b/>
                <w:bCs/>
                <w:color w:val="FFFFFF"/>
                <w:sz w:val="18"/>
                <w:szCs w:val="18"/>
                <w:lang w:eastAsia="sk-SK"/>
              </w:rPr>
              <w:t>eur</w:t>
            </w:r>
          </w:p>
        </w:tc>
      </w:tr>
      <w:tr>
        <w:tblPrEx>
          <w:tblW w:w="8784" w:type="dxa"/>
          <w:tblInd w:w="70" w:type="dxa"/>
          <w:tblLayout w:type="fixed"/>
          <w:tblCellMar>
            <w:left w:w="70" w:type="dxa"/>
            <w:right w:w="70" w:type="dxa"/>
          </w:tblCellMar>
          <w:tblLook w:val="04A0"/>
        </w:tblPrEx>
        <w:trPr>
          <w:trHeight w:val="20"/>
        </w:trPr>
        <w:tc>
          <w:tcPr>
            <w:tcW w:w="2471" w:type="dxa"/>
            <w:tcBorders>
              <w:top w:val="nil"/>
              <w:left w:val="nil"/>
              <w:bottom w:val="nil"/>
              <w:right w:val="nil"/>
            </w:tcBorders>
            <w:shd w:val="clear" w:color="000000" w:fill="BFBFBF"/>
            <w:textDirection w:val="lrTb"/>
            <w:vAlign w:val="center"/>
            <w:hideMark/>
          </w:tcPr>
          <w:p w:rsidR="00817B2E" w:rsidRPr="00817B2E" w:rsidP="00817B2E">
            <w:pPr>
              <w:bidi w:val="0"/>
              <w:spacing w:after="0" w:line="240" w:lineRule="auto"/>
              <w:jc w:val="left"/>
              <w:rPr>
                <w:rFonts w:ascii="Times New Roman" w:hAnsi="Times New Roman"/>
                <w:b/>
                <w:bCs/>
                <w:color w:val="FFFFFF"/>
                <w:sz w:val="18"/>
                <w:szCs w:val="18"/>
                <w:lang w:eastAsia="sk-SK"/>
              </w:rPr>
            </w:pPr>
            <w:r w:rsidRPr="00817B2E">
              <w:rPr>
                <w:rFonts w:ascii="Times New Roman" w:hAnsi="Times New Roman"/>
                <w:b/>
                <w:bCs/>
                <w:color w:val="FFFFFF"/>
                <w:sz w:val="18"/>
                <w:szCs w:val="18"/>
                <w:lang w:eastAsia="sk-SK"/>
              </w:rPr>
              <w:t> </w:t>
            </w:r>
          </w:p>
        </w:tc>
        <w:tc>
          <w:tcPr>
            <w:tcW w:w="1752" w:type="dxa"/>
            <w:gridSpan w:val="2"/>
            <w:tcBorders>
              <w:top w:val="nil"/>
              <w:left w:val="nil"/>
              <w:bottom w:val="nil"/>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Skutočnosť</w:t>
            </w:r>
          </w:p>
        </w:tc>
        <w:tc>
          <w:tcPr>
            <w:tcW w:w="823" w:type="dxa"/>
            <w:tcBorders>
              <w:top w:val="nil"/>
              <w:left w:val="nil"/>
              <w:bottom w:val="nil"/>
              <w:right w:val="nil"/>
            </w:tcBorders>
            <w:shd w:val="clear" w:color="000000" w:fill="BFBFBF"/>
            <w:textDirection w:val="lrTb"/>
            <w:vAlign w:val="center"/>
            <w:hideMark/>
          </w:tcPr>
          <w:p w:rsidR="00817B2E" w:rsidRPr="00817B2E" w:rsidP="0053092C">
            <w:pPr>
              <w:bidi w:val="0"/>
              <w:spacing w:after="0" w:line="240" w:lineRule="auto"/>
              <w:ind w:right="-127"/>
              <w:jc w:val="center"/>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Rozpočet</w:t>
            </w:r>
          </w:p>
        </w:tc>
        <w:tc>
          <w:tcPr>
            <w:tcW w:w="2090" w:type="dxa"/>
            <w:gridSpan w:val="2"/>
            <w:tcBorders>
              <w:top w:val="nil"/>
              <w:left w:val="nil"/>
              <w:bottom w:val="nil"/>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Skutočnosť</w:t>
            </w:r>
          </w:p>
        </w:tc>
        <w:tc>
          <w:tcPr>
            <w:tcW w:w="1647" w:type="dxa"/>
            <w:gridSpan w:val="2"/>
            <w:tcBorders>
              <w:top w:val="nil"/>
              <w:left w:val="nil"/>
              <w:bottom w:val="nil"/>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Rozdiel</w:t>
            </w:r>
          </w:p>
        </w:tc>
      </w:tr>
      <w:tr>
        <w:tblPrEx>
          <w:tblW w:w="8784" w:type="dxa"/>
          <w:tblInd w:w="70" w:type="dxa"/>
          <w:tblLayout w:type="fixed"/>
          <w:tblCellMar>
            <w:left w:w="70" w:type="dxa"/>
            <w:right w:w="70" w:type="dxa"/>
          </w:tblCellMar>
          <w:tblLook w:val="04A0"/>
        </w:tblPrEx>
        <w:trPr>
          <w:trHeight w:val="20"/>
        </w:trPr>
        <w:tc>
          <w:tcPr>
            <w:tcW w:w="2471"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 </w:t>
            </w:r>
          </w:p>
        </w:tc>
        <w:tc>
          <w:tcPr>
            <w:tcW w:w="823"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2015</w:t>
            </w:r>
          </w:p>
        </w:tc>
        <w:tc>
          <w:tcPr>
            <w:tcW w:w="929"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2016</w:t>
            </w:r>
          </w:p>
        </w:tc>
        <w:tc>
          <w:tcPr>
            <w:tcW w:w="823"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2017</w:t>
            </w:r>
          </w:p>
        </w:tc>
        <w:tc>
          <w:tcPr>
            <w:tcW w:w="992"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2017</w:t>
            </w:r>
          </w:p>
        </w:tc>
        <w:tc>
          <w:tcPr>
            <w:tcW w:w="1098"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z toho: zdroj 111*</w:t>
            </w:r>
          </w:p>
        </w:tc>
        <w:tc>
          <w:tcPr>
            <w:tcW w:w="824"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 xml:space="preserve"> v tis. eur</w:t>
            </w:r>
          </w:p>
        </w:tc>
        <w:tc>
          <w:tcPr>
            <w:tcW w:w="823" w:type="dxa"/>
            <w:tcBorders>
              <w:top w:val="nil"/>
              <w:left w:val="nil"/>
              <w:bottom w:val="nil"/>
              <w:right w:val="nil"/>
            </w:tcBorders>
            <w:shd w:val="clear" w:color="000000" w:fill="BFBFBF"/>
            <w:textDirection w:val="lrTb"/>
            <w:vAlign w:val="center"/>
            <w:hideMark/>
          </w:tcPr>
          <w:p w:rsidR="00817B2E" w:rsidRPr="00900214" w:rsidP="00900214">
            <w:pPr>
              <w:bidi w:val="0"/>
              <w:spacing w:after="0" w:line="240" w:lineRule="auto"/>
              <w:jc w:val="right"/>
              <w:rPr>
                <w:rFonts w:ascii="Times New Roman" w:hAnsi="Times New Roman"/>
                <w:b/>
                <w:color w:val="000000"/>
                <w:sz w:val="18"/>
                <w:szCs w:val="18"/>
                <w:lang w:eastAsia="sk-SK"/>
              </w:rPr>
            </w:pPr>
            <w:r w:rsidRPr="00900214">
              <w:rPr>
                <w:rFonts w:ascii="Times New Roman" w:hAnsi="Times New Roman"/>
                <w:b/>
                <w:color w:val="000000"/>
                <w:sz w:val="18"/>
                <w:szCs w:val="18"/>
                <w:lang w:eastAsia="sk-SK"/>
              </w:rPr>
              <w:t>v %</w:t>
            </w:r>
          </w:p>
        </w:tc>
      </w:tr>
      <w:tr>
        <w:tblPrEx>
          <w:tblW w:w="8784" w:type="dxa"/>
          <w:tblInd w:w="70" w:type="dxa"/>
          <w:tblLayout w:type="fixed"/>
          <w:tblCellMar>
            <w:left w:w="70" w:type="dxa"/>
            <w:right w:w="70" w:type="dxa"/>
          </w:tblCellMar>
          <w:tblLook w:val="04A0"/>
        </w:tblPrEx>
        <w:trPr>
          <w:trHeight w:val="20"/>
        </w:trPr>
        <w:tc>
          <w:tcPr>
            <w:tcW w:w="2471"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left"/>
              <w:rPr>
                <w:rFonts w:ascii="Times New Roman" w:hAnsi="Times New Roman"/>
                <w:b/>
                <w:bCs/>
                <w:color w:val="FFFFFF"/>
                <w:sz w:val="18"/>
                <w:szCs w:val="18"/>
                <w:lang w:eastAsia="sk-SK"/>
              </w:rPr>
            </w:pPr>
            <w:r w:rsidRPr="00817B2E">
              <w:rPr>
                <w:rFonts w:ascii="Times New Roman" w:hAnsi="Times New Roman"/>
                <w:b/>
                <w:bCs/>
                <w:color w:val="FFFFFF"/>
                <w:sz w:val="18"/>
                <w:szCs w:val="18"/>
                <w:lang w:eastAsia="sk-SK"/>
              </w:rPr>
              <w:t> </w:t>
            </w:r>
          </w:p>
        </w:tc>
        <w:tc>
          <w:tcPr>
            <w:tcW w:w="823"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1</w:t>
            </w:r>
          </w:p>
        </w:tc>
        <w:tc>
          <w:tcPr>
            <w:tcW w:w="929"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2</w:t>
            </w:r>
          </w:p>
        </w:tc>
        <w:tc>
          <w:tcPr>
            <w:tcW w:w="823"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3</w:t>
            </w:r>
          </w:p>
        </w:tc>
        <w:tc>
          <w:tcPr>
            <w:tcW w:w="992"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4</w:t>
            </w:r>
          </w:p>
        </w:tc>
        <w:tc>
          <w:tcPr>
            <w:tcW w:w="1098"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5</w:t>
            </w:r>
          </w:p>
        </w:tc>
        <w:tc>
          <w:tcPr>
            <w:tcW w:w="824"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6=4-3</w:t>
            </w:r>
          </w:p>
        </w:tc>
        <w:tc>
          <w:tcPr>
            <w:tcW w:w="823" w:type="dxa"/>
            <w:tcBorders>
              <w:top w:val="nil"/>
              <w:left w:val="nil"/>
              <w:bottom w:val="single" w:sz="8" w:space="0" w:color="auto"/>
              <w:right w:val="nil"/>
            </w:tcBorders>
            <w:shd w:val="clear" w:color="000000" w:fill="BFBFBF"/>
            <w:textDirection w:val="lrTb"/>
            <w:vAlign w:val="center"/>
            <w:hideMark/>
          </w:tcPr>
          <w:p w:rsidR="00817B2E" w:rsidRPr="00817B2E" w:rsidP="00817B2E">
            <w:pPr>
              <w:bidi w:val="0"/>
              <w:spacing w:after="0" w:line="240" w:lineRule="auto"/>
              <w:jc w:val="center"/>
              <w:rPr>
                <w:rFonts w:ascii="Times New Roman" w:hAnsi="Times New Roman"/>
                <w:b/>
                <w:bCs/>
                <w:sz w:val="18"/>
                <w:szCs w:val="18"/>
                <w:lang w:eastAsia="sk-SK"/>
              </w:rPr>
            </w:pPr>
            <w:r w:rsidRPr="00817B2E">
              <w:rPr>
                <w:rFonts w:ascii="Times New Roman" w:hAnsi="Times New Roman"/>
                <w:b/>
                <w:bCs/>
                <w:sz w:val="18"/>
                <w:szCs w:val="18"/>
                <w:lang w:eastAsia="sk-SK"/>
              </w:rPr>
              <w:t>7=4-3</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školstva, vedy, výskumu a športu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416 767</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412 067</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481 844</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425 608</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425 608</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-56 236</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-11,7</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noWrap/>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Všeobecná pokladničná správa</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6 850</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2 778</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0</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2 750</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2 750</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2 750</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520"/>
        </w:trPr>
        <w:tc>
          <w:tcPr>
            <w:tcW w:w="2471" w:type="dxa"/>
            <w:tcBorders>
              <w:top w:val="nil"/>
              <w:left w:val="nil"/>
              <w:bottom w:val="nil"/>
              <w:right w:val="nil"/>
            </w:tcBorders>
            <w:shd w:val="clear" w:color="000000" w:fill="FFFFFF"/>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pôdohospodárstva a rozvoja vidieka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49 833</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23 907</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0</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2 322</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2 322</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práce, soc.vecí a rodiny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2 224</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1 838</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0</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2 002</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2 002</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2 002</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kultúry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3 045</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690</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0</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639</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639</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639</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noWrap/>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vnútra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9</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23</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205</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169</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169</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-36</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Úrad vlády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333</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133</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10</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158</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158</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148</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1 480,0</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noWrap/>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financií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3 546</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4 244</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textDirection w:val="lrTb"/>
            <w:vAlign w:val="center"/>
            <w:hideMark/>
          </w:tcPr>
          <w:p w:rsidR="00817B2E" w:rsidRPr="00817B2E" w:rsidP="005A703A">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dopravy a výstavby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147</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500</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noWrap/>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zahranič. vecí a európskych záležitostí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5</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36"/>
        </w:trPr>
        <w:tc>
          <w:tcPr>
            <w:tcW w:w="2471" w:type="dxa"/>
            <w:tcBorders>
              <w:top w:val="nil"/>
              <w:left w:val="nil"/>
              <w:bottom w:val="nil"/>
              <w:right w:val="nil"/>
            </w:tcBorders>
            <w:shd w:val="clear" w:color="000000" w:fill="FFFFFF"/>
            <w:textDirection w:val="lrTb"/>
            <w:vAlign w:val="center"/>
            <w:hideMark/>
          </w:tcPr>
          <w:p w:rsidR="00817B2E" w:rsidRPr="00817B2E" w:rsidP="00817B2E">
            <w:pPr>
              <w:bidi w:val="0"/>
              <w:spacing w:after="0" w:line="240" w:lineRule="auto"/>
              <w:jc w:val="left"/>
              <w:rPr>
                <w:rFonts w:ascii="Times New Roman" w:hAnsi="Times New Roman"/>
                <w:color w:val="000000"/>
                <w:sz w:val="18"/>
                <w:szCs w:val="18"/>
                <w:lang w:eastAsia="sk-SK"/>
              </w:rPr>
            </w:pPr>
            <w:r w:rsidRPr="00817B2E">
              <w:rPr>
                <w:rFonts w:ascii="Times New Roman" w:hAnsi="Times New Roman"/>
                <w:color w:val="000000"/>
                <w:sz w:val="18"/>
                <w:szCs w:val="18"/>
                <w:lang w:eastAsia="sk-SK"/>
              </w:rPr>
              <w:t>Ministerstvo zdravotníctva SR</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1</w:t>
            </w:r>
          </w:p>
        </w:tc>
        <w:tc>
          <w:tcPr>
            <w:tcW w:w="929"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3" w:type="dxa"/>
            <w:tcBorders>
              <w:top w:val="nil"/>
              <w:left w:val="nil"/>
              <w:bottom w:val="nil"/>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992"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1098" w:type="dxa"/>
            <w:tcBorders>
              <w:top w:val="nil"/>
              <w:left w:val="nil"/>
              <w:bottom w:val="nil"/>
              <w:right w:val="nil"/>
            </w:tcBorders>
            <w:shd w:val="clear" w:color="000000" w:fill="BFBFBF"/>
            <w:noWrap/>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 </w:t>
            </w:r>
          </w:p>
        </w:tc>
        <w:tc>
          <w:tcPr>
            <w:tcW w:w="824"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c>
          <w:tcPr>
            <w:tcW w:w="823" w:type="dxa"/>
            <w:tcBorders>
              <w:top w:val="nil"/>
              <w:left w:val="nil"/>
              <w:bottom w:val="nil"/>
              <w:right w:val="nil"/>
            </w:tcBorders>
            <w:shd w:val="clear" w:color="000000" w:fill="FFFFFF"/>
            <w:textDirection w:val="lrTb"/>
            <w:vAlign w:val="center"/>
            <w:hideMark/>
          </w:tcPr>
          <w:p w:rsidR="00817B2E" w:rsidRPr="00817B2E" w:rsidP="008E1798">
            <w:pPr>
              <w:bidi w:val="0"/>
              <w:spacing w:after="0" w:line="240" w:lineRule="auto"/>
              <w:jc w:val="right"/>
              <w:rPr>
                <w:rFonts w:ascii="Times New Roman" w:hAnsi="Times New Roman"/>
                <w:color w:val="000000"/>
                <w:sz w:val="18"/>
                <w:szCs w:val="18"/>
                <w:lang w:eastAsia="sk-SK"/>
              </w:rPr>
            </w:pPr>
            <w:r w:rsidRPr="00817B2E">
              <w:rPr>
                <w:rFonts w:ascii="Times New Roman" w:hAnsi="Times New Roman"/>
                <w:color w:val="000000"/>
                <w:sz w:val="18"/>
                <w:szCs w:val="18"/>
                <w:lang w:eastAsia="sk-SK"/>
              </w:rPr>
              <w:t>x</w:t>
            </w:r>
          </w:p>
        </w:tc>
      </w:tr>
      <w:tr>
        <w:tblPrEx>
          <w:tblW w:w="8784" w:type="dxa"/>
          <w:tblInd w:w="70" w:type="dxa"/>
          <w:tblLayout w:type="fixed"/>
          <w:tblCellMar>
            <w:left w:w="70" w:type="dxa"/>
            <w:right w:w="70" w:type="dxa"/>
          </w:tblCellMar>
          <w:tblLook w:val="04A0"/>
        </w:tblPrEx>
        <w:trPr>
          <w:trHeight w:val="352"/>
        </w:trPr>
        <w:tc>
          <w:tcPr>
            <w:tcW w:w="2471"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17B2E">
            <w:pPr>
              <w:bidi w:val="0"/>
              <w:spacing w:after="0" w:line="240" w:lineRule="auto"/>
              <w:jc w:val="lef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Spolu</w:t>
            </w:r>
          </w:p>
        </w:tc>
        <w:tc>
          <w:tcPr>
            <w:tcW w:w="823"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482 760</w:t>
            </w:r>
          </w:p>
        </w:tc>
        <w:tc>
          <w:tcPr>
            <w:tcW w:w="929"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446 180</w:t>
            </w:r>
          </w:p>
        </w:tc>
        <w:tc>
          <w:tcPr>
            <w:tcW w:w="823"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482 059</w:t>
            </w:r>
          </w:p>
        </w:tc>
        <w:tc>
          <w:tcPr>
            <w:tcW w:w="992"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433 648</w:t>
            </w:r>
          </w:p>
        </w:tc>
        <w:tc>
          <w:tcPr>
            <w:tcW w:w="1098"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431 330</w:t>
            </w:r>
          </w:p>
        </w:tc>
        <w:tc>
          <w:tcPr>
            <w:tcW w:w="824"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-48 411</w:t>
            </w:r>
          </w:p>
        </w:tc>
        <w:tc>
          <w:tcPr>
            <w:tcW w:w="823" w:type="dxa"/>
            <w:tcBorders>
              <w:top w:val="single" w:sz="4" w:space="0" w:color="auto"/>
              <w:left w:val="nil"/>
              <w:bottom w:val="single" w:sz="8" w:space="0" w:color="auto"/>
              <w:right w:val="nil"/>
            </w:tcBorders>
            <w:shd w:val="clear" w:color="000000" w:fill="FFFFFF"/>
            <w:noWrap/>
            <w:textDirection w:val="lrTb"/>
            <w:vAlign w:val="center"/>
            <w:hideMark/>
          </w:tcPr>
          <w:p w:rsidR="00817B2E" w:rsidRPr="00817B2E" w:rsidP="008E1798">
            <w:pPr>
              <w:bidi w:val="0"/>
              <w:spacing w:after="0" w:line="240" w:lineRule="auto"/>
              <w:jc w:val="right"/>
              <w:rPr>
                <w:rFonts w:ascii="Times New Roman" w:hAnsi="Times New Roman"/>
                <w:b/>
                <w:bCs/>
                <w:color w:val="000000"/>
                <w:sz w:val="18"/>
                <w:szCs w:val="18"/>
                <w:lang w:eastAsia="sk-SK"/>
              </w:rPr>
            </w:pPr>
            <w:r w:rsidRPr="00817B2E">
              <w:rPr>
                <w:rFonts w:ascii="Times New Roman" w:hAnsi="Times New Roman"/>
                <w:b/>
                <w:bCs/>
                <w:color w:val="000000"/>
                <w:sz w:val="18"/>
                <w:szCs w:val="18"/>
                <w:lang w:eastAsia="sk-SK"/>
              </w:rPr>
              <w:t>-10,0</w:t>
            </w:r>
          </w:p>
        </w:tc>
      </w:tr>
    </w:tbl>
    <w:p w:rsidR="005A703A" w:rsidRPr="00334D4B" w:rsidP="00E97DC7">
      <w:pPr>
        <w:suppressAutoHyphens/>
        <w:bidi w:val="0"/>
        <w:spacing w:after="240"/>
        <w:rPr>
          <w:rFonts w:ascii="Times New Roman" w:hAnsi="Times New Roman"/>
          <w:color w:val="000000"/>
          <w:szCs w:val="22"/>
        </w:rPr>
      </w:pPr>
      <w:r w:rsidRPr="006E50E2">
        <w:rPr>
          <w:rFonts w:ascii="Times New Roman" w:hAnsi="Times New Roman"/>
          <w:color w:val="000000"/>
          <w:sz w:val="18"/>
          <w:szCs w:val="18"/>
        </w:rPr>
        <w:t xml:space="preserve">Poznámka: * len prostriedky štátneho rozpočtu </w:t>
      </w:r>
      <w:r>
        <w:rPr>
          <w:rFonts w:ascii="Times New Roman" w:hAnsi="Times New Roman"/>
          <w:color w:val="000000"/>
          <w:sz w:val="18"/>
          <w:szCs w:val="18"/>
        </w:rPr>
        <w:tab/>
        <w:tab/>
        <w:tab/>
        <w:tab/>
        <w:tab/>
        <w:tab/>
        <w:t xml:space="preserve">             </w:t>
      </w:r>
      <w:r w:rsidRPr="006E50E2">
        <w:rPr>
          <w:rFonts w:ascii="Times New Roman" w:hAnsi="Times New Roman"/>
          <w:color w:val="000000"/>
          <w:sz w:val="18"/>
          <w:szCs w:val="18"/>
        </w:rPr>
        <w:t>Zdroj: MF SR</w:t>
      </w:r>
    </w:p>
    <w:p w:rsidR="005A703A" w:rsidRPr="008F2884" w:rsidP="00E97DC7">
      <w:pPr>
        <w:suppressAutoHyphens/>
        <w:bidi w:val="0"/>
        <w:spacing w:before="120"/>
        <w:rPr>
          <w:rFonts w:ascii="Times New Roman" w:hAnsi="Times New Roman"/>
          <w:color w:val="000000" w:themeColor="tx1" w:themeShade="FF"/>
          <w:szCs w:val="22"/>
        </w:rPr>
      </w:pPr>
      <w:r w:rsidRPr="00CB1BED">
        <w:rPr>
          <w:rFonts w:ascii="Times New Roman" w:hAnsi="Times New Roman"/>
          <w:color w:val="000000" w:themeColor="tx1" w:themeShade="FF"/>
          <w:szCs w:val="22"/>
        </w:rPr>
        <w:t xml:space="preserve">Na celkovom objeme poskytnutých grantov a transferov VÚC sa najväčšou sumou podieľalo </w:t>
      </w:r>
      <w:r w:rsidRPr="00CB1BED">
        <w:rPr>
          <w:rFonts w:ascii="Times New Roman" w:hAnsi="Times New Roman"/>
          <w:b/>
          <w:color w:val="000000" w:themeColor="tx1" w:themeShade="FF"/>
          <w:szCs w:val="22"/>
        </w:rPr>
        <w:t>Ministerstvo školstva, vedy, výskumu a športu SR</w:t>
      </w:r>
      <w:r w:rsidRPr="00CB1BED">
        <w:rPr>
          <w:rFonts w:ascii="Times New Roman" w:hAnsi="Times New Roman"/>
          <w:color w:val="000000" w:themeColor="tx1" w:themeShade="FF"/>
          <w:szCs w:val="22"/>
        </w:rPr>
        <w:t xml:space="preserve">, ktoré na tento účel vynaložilo 425 608 tis. eur. </w:t>
      </w:r>
      <w:r w:rsidRPr="001A53B8">
        <w:rPr>
          <w:rFonts w:ascii="Times New Roman" w:hAnsi="Times New Roman"/>
          <w:color w:val="000000" w:themeColor="tx1" w:themeShade="FF"/>
          <w:szCs w:val="22"/>
        </w:rPr>
        <w:t>Z tejto sumy smerovala čiastka 424 272 tis. eur</w:t>
      </w:r>
      <w:r>
        <w:rPr>
          <w:rFonts w:ascii="Times New Roman" w:hAnsi="Times New Roman"/>
          <w:color w:val="000000" w:themeColor="tx1" w:themeShade="FF"/>
          <w:szCs w:val="22"/>
        </w:rPr>
        <w:t xml:space="preserve"> v rámci bežných výdavkov</w:t>
      </w:r>
      <w:r w:rsidRPr="001A53B8">
        <w:rPr>
          <w:rFonts w:ascii="Times New Roman" w:hAnsi="Times New Roman"/>
          <w:color w:val="000000" w:themeColor="tx1" w:themeShade="FF"/>
          <w:szCs w:val="22"/>
        </w:rPr>
        <w:t xml:space="preserve"> na financovanie kompetencií preneseného výkonu štátnej správy pre všetky samosprávne kraje (starostlivosť </w:t>
      </w:r>
      <w:r w:rsidR="00E97DC7">
        <w:rPr>
          <w:rFonts w:ascii="Times New Roman" w:hAnsi="Times New Roman"/>
          <w:color w:val="000000" w:themeColor="tx1" w:themeShade="FF"/>
          <w:szCs w:val="22"/>
        </w:rPr>
        <w:br/>
      </w:r>
      <w:r w:rsidRPr="001A53B8">
        <w:rPr>
          <w:rFonts w:ascii="Times New Roman" w:hAnsi="Times New Roman"/>
          <w:color w:val="000000" w:themeColor="tx1" w:themeShade="FF"/>
          <w:szCs w:val="22"/>
        </w:rPr>
        <w:t xml:space="preserve">o pedagogického zamestnanca a odborného zamestnanca, poskytovanie výchovy a vzdelávania v základných a stredných školách a zabezpečenie ich prevádzky). </w:t>
      </w:r>
      <w:r>
        <w:rPr>
          <w:rFonts w:ascii="Times New Roman" w:hAnsi="Times New Roman"/>
          <w:color w:val="000000" w:themeColor="tx1" w:themeShade="FF"/>
          <w:szCs w:val="22"/>
        </w:rPr>
        <w:t xml:space="preserve">Pokles na tejto podpoložke </w:t>
      </w:r>
      <w:r w:rsidRPr="005E6C1C">
        <w:rPr>
          <w:rFonts w:ascii="Times New Roman" w:hAnsi="Times New Roman"/>
          <w:color w:val="000000" w:themeColor="tx1" w:themeShade="FF"/>
          <w:szCs w:val="22"/>
        </w:rPr>
        <w:t>v sume 4</w:t>
      </w:r>
      <w:r w:rsidRPr="0053092C" w:rsidR="00C1713C">
        <w:rPr>
          <w:rFonts w:ascii="Times New Roman" w:hAnsi="Times New Roman"/>
          <w:color w:val="000000" w:themeColor="tx1" w:themeShade="FF"/>
          <w:szCs w:val="22"/>
        </w:rPr>
        <w:t>8 41</w:t>
      </w:r>
      <w:r w:rsidRPr="005E6C1C">
        <w:rPr>
          <w:rFonts w:ascii="Times New Roman" w:hAnsi="Times New Roman"/>
          <w:color w:val="000000" w:themeColor="tx1" w:themeShade="FF"/>
          <w:szCs w:val="22"/>
        </w:rPr>
        <w:t>1 tis. eur</w:t>
      </w:r>
      <w:r>
        <w:rPr>
          <w:rFonts w:ascii="Times New Roman" w:hAnsi="Times New Roman"/>
          <w:color w:val="000000" w:themeColor="tx1" w:themeShade="FF"/>
          <w:szCs w:val="22"/>
        </w:rPr>
        <w:t xml:space="preserve"> oproti schválenému rozpočtu bol spôsobený najmä presunmi finančných prostriedkov z kapitoly Ministerstva školstva, vedy, výskumu a športu SR do rozpočtovej kapitoly Ministerstva vnútra SR. </w:t>
      </w:r>
      <w:r w:rsidR="00D917B2">
        <w:rPr>
          <w:rFonts w:ascii="Times New Roman" w:hAnsi="Times New Roman"/>
          <w:color w:val="000000" w:themeColor="tx1" w:themeShade="FF"/>
          <w:szCs w:val="22"/>
        </w:rPr>
        <w:t>V prípade transferov okrem transferov na úhradu nákladov preneseného výkonu štátnej správy</w:t>
      </w:r>
      <w:r>
        <w:rPr>
          <w:rFonts w:ascii="Times New Roman" w:hAnsi="Times New Roman"/>
          <w:color w:val="000000" w:themeColor="tx1" w:themeShade="FF"/>
          <w:szCs w:val="22"/>
        </w:rPr>
        <w:t xml:space="preserve"> </w:t>
      </w:r>
      <w:r w:rsidRPr="009651D7">
        <w:rPr>
          <w:rFonts w:ascii="Times New Roman" w:hAnsi="Times New Roman"/>
          <w:color w:val="000000" w:themeColor="tx1" w:themeShade="FF"/>
          <w:szCs w:val="22"/>
        </w:rPr>
        <w:t>bola v rámci bežných výdavkov v pôvodnom rozpočte sc</w:t>
      </w:r>
      <w:r>
        <w:rPr>
          <w:rFonts w:ascii="Times New Roman" w:hAnsi="Times New Roman"/>
          <w:color w:val="000000" w:themeColor="tx1" w:themeShade="FF"/>
          <w:szCs w:val="22"/>
        </w:rPr>
        <w:t>hválená čiastka 15 284 tis. eur, ktorá bola v celej výške zaviazaná do roku 2018.</w:t>
      </w:r>
      <w:r w:rsidRPr="009651D7">
        <w:rPr>
          <w:rFonts w:ascii="Times New Roman" w:hAnsi="Times New Roman"/>
          <w:color w:val="000000" w:themeColor="tx1" w:themeShade="FF"/>
          <w:szCs w:val="22"/>
        </w:rPr>
        <w:t xml:space="preserve"> </w:t>
      </w:r>
      <w:r>
        <w:rPr>
          <w:rFonts w:ascii="Times New Roman" w:hAnsi="Times New Roman"/>
          <w:color w:val="000000" w:themeColor="tx1" w:themeShade="FF"/>
          <w:szCs w:val="22"/>
        </w:rPr>
        <w:t>Po úprave rozpočtu bolo aj s</w:t>
      </w:r>
      <w:r w:rsidRPr="009651D7">
        <w:rPr>
          <w:rFonts w:ascii="Times New Roman" w:hAnsi="Times New Roman"/>
          <w:color w:val="000000" w:themeColor="tx1" w:themeShade="FF"/>
          <w:szCs w:val="22"/>
        </w:rPr>
        <w:t>kutočné plnenie</w:t>
      </w:r>
      <w:r>
        <w:rPr>
          <w:rFonts w:ascii="Times New Roman" w:hAnsi="Times New Roman"/>
          <w:color w:val="000000" w:themeColor="tx1" w:themeShade="FF"/>
          <w:szCs w:val="22"/>
        </w:rPr>
        <w:t xml:space="preserve"> </w:t>
      </w:r>
      <w:r w:rsidRPr="009651D7">
        <w:rPr>
          <w:rFonts w:ascii="Times New Roman" w:hAnsi="Times New Roman"/>
          <w:color w:val="000000" w:themeColor="tx1" w:themeShade="FF"/>
          <w:szCs w:val="22"/>
        </w:rPr>
        <w:t xml:space="preserve">len vo výške 8 tis. eur. </w:t>
      </w:r>
      <w:r>
        <w:rPr>
          <w:rFonts w:ascii="Times New Roman" w:hAnsi="Times New Roman"/>
          <w:color w:val="000000" w:themeColor="tx1" w:themeShade="FF"/>
          <w:szCs w:val="22"/>
        </w:rPr>
        <w:t xml:space="preserve">Finančné prostriedky boli poskytnuté Banskobystrickému samosprávnemu kraju na pokrytie nákladov odbornej praxe študentov odboru učiteľstva národnostných menšín Pedagogickej fakulty Vysokej školy Ferenca Gála v Szarvasi v maďarskej republike, ktorú absolvovali na Pedagogickej sociálnej akadémii v Lučenci. </w:t>
      </w:r>
      <w:r w:rsidRPr="005D02A2">
        <w:rPr>
          <w:rFonts w:ascii="Times New Roman" w:hAnsi="Times New Roman"/>
          <w:color w:val="000000" w:themeColor="tx1" w:themeShade="FF"/>
          <w:szCs w:val="22"/>
        </w:rPr>
        <w:t>Suma 1 328 tis. eur</w:t>
      </w:r>
      <w:r>
        <w:rPr>
          <w:rFonts w:ascii="Times New Roman" w:hAnsi="Times New Roman"/>
          <w:color w:val="000000" w:themeColor="tx1" w:themeShade="FF"/>
          <w:szCs w:val="22"/>
        </w:rPr>
        <w:t xml:space="preserve"> </w:t>
      </w:r>
      <w:r w:rsidRPr="008F2884">
        <w:rPr>
          <w:rFonts w:ascii="Times New Roman" w:hAnsi="Times New Roman"/>
          <w:color w:val="000000" w:themeColor="tx1" w:themeShade="FF"/>
          <w:szCs w:val="22"/>
        </w:rPr>
        <w:t>bola použitá v rámci kapitálových výdavkov na rozvojový projekt zameraný na rozvoj výchovy a</w:t>
      </w:r>
      <w:r w:rsidR="0093244A">
        <w:rPr>
          <w:rFonts w:ascii="Times New Roman" w:hAnsi="Times New Roman"/>
          <w:color w:val="000000" w:themeColor="tx1" w:themeShade="FF"/>
          <w:szCs w:val="22"/>
        </w:rPr>
        <w:t xml:space="preserve"> </w:t>
      </w:r>
      <w:r w:rsidRPr="008F2884">
        <w:rPr>
          <w:rFonts w:ascii="Times New Roman" w:hAnsi="Times New Roman"/>
          <w:color w:val="000000" w:themeColor="tx1" w:themeShade="FF"/>
          <w:szCs w:val="22"/>
        </w:rPr>
        <w:t>vzdelávania žiakov v oblasti telesnej a</w:t>
      </w:r>
      <w:r w:rsidR="0093244A">
        <w:rPr>
          <w:rFonts w:ascii="Times New Roman" w:hAnsi="Times New Roman"/>
          <w:color w:val="000000" w:themeColor="tx1" w:themeShade="FF"/>
          <w:szCs w:val="22"/>
        </w:rPr>
        <w:t xml:space="preserve"> </w:t>
      </w:r>
      <w:r w:rsidRPr="008F2884">
        <w:rPr>
          <w:rFonts w:ascii="Times New Roman" w:hAnsi="Times New Roman"/>
          <w:color w:val="000000" w:themeColor="tx1" w:themeShade="FF"/>
          <w:szCs w:val="22"/>
        </w:rPr>
        <w:t>športovej výchovy formou dostavby rekonštrukcie alebo výstavby novej telocvične</w:t>
      </w:r>
      <w:r>
        <w:rPr>
          <w:rFonts w:ascii="Times New Roman" w:hAnsi="Times New Roman"/>
          <w:color w:val="000000" w:themeColor="tx1" w:themeShade="FF"/>
          <w:szCs w:val="22"/>
        </w:rPr>
        <w:t xml:space="preserve"> a na odstránenie havárií v školách v zriaďovateľskej pôsobnosti VÚC. Pôvodne schválený rozpočet bol znížený najmä presunmi finančných prostriedkov v prospech kapitoly Ministerstva vnútra SR na financovanie havarijných situácií škôl a školských zariadení v zriaďovateľskej pôsobnosti obcí a okresných úradov v sídle kraja.</w:t>
      </w:r>
    </w:p>
    <w:p w:rsidR="005A703A" w:rsidRPr="00DE7E17" w:rsidP="00FF3CFC">
      <w:pPr>
        <w:suppressAutoHyphens/>
        <w:bidi w:val="0"/>
        <w:rPr>
          <w:rFonts w:ascii="Times New Roman" w:hAnsi="Times New Roman"/>
          <w:color w:val="000000" w:themeColor="tx1" w:themeShade="FF"/>
          <w:szCs w:val="22"/>
        </w:rPr>
      </w:pPr>
      <w:r w:rsidRPr="006A36D8">
        <w:rPr>
          <w:rFonts w:ascii="Times New Roman" w:hAnsi="Times New Roman"/>
          <w:color w:val="000000" w:themeColor="tx1" w:themeShade="FF"/>
          <w:szCs w:val="22"/>
        </w:rPr>
        <w:t xml:space="preserve">Z kapitoly </w:t>
      </w:r>
      <w:r>
        <w:rPr>
          <w:rFonts w:ascii="Times New Roman" w:hAnsi="Times New Roman"/>
          <w:b/>
          <w:color w:val="000000" w:themeColor="tx1" w:themeShade="FF"/>
          <w:szCs w:val="22"/>
        </w:rPr>
        <w:t xml:space="preserve">Ministerstva pôdohospodárstva a </w:t>
      </w:r>
      <w:r w:rsidRPr="006A36D8">
        <w:rPr>
          <w:rFonts w:ascii="Times New Roman" w:hAnsi="Times New Roman"/>
          <w:b/>
          <w:color w:val="000000" w:themeColor="tx1" w:themeShade="FF"/>
          <w:szCs w:val="22"/>
        </w:rPr>
        <w:t xml:space="preserve">rozvoja vidieka SR </w:t>
      </w:r>
      <w:r w:rsidRPr="006A36D8">
        <w:rPr>
          <w:rFonts w:ascii="Times New Roman" w:hAnsi="Times New Roman"/>
          <w:color w:val="000000" w:themeColor="tx1" w:themeShade="FF"/>
          <w:szCs w:val="22"/>
        </w:rPr>
        <w:t>smerovala pre vyššie územné celky čiastka 2 322 tis. eur,</w:t>
      </w:r>
      <w:r w:rsidRPr="00ED1DF2">
        <w:rPr>
          <w:rFonts w:ascii="Times New Roman" w:hAnsi="Times New Roman"/>
          <w:color w:val="FF0000"/>
          <w:szCs w:val="22"/>
        </w:rPr>
        <w:t xml:space="preserve"> </w:t>
      </w:r>
      <w:r w:rsidRPr="00603422">
        <w:rPr>
          <w:rFonts w:ascii="Times New Roman" w:hAnsi="Times New Roman"/>
          <w:color w:val="000000" w:themeColor="tx1" w:themeShade="FF"/>
          <w:szCs w:val="22"/>
        </w:rPr>
        <w:t xml:space="preserve">ktorá v schválenom rozpočte nebola rozpočtovaná. </w:t>
      </w:r>
      <w:r w:rsidRPr="005E6C1C">
        <w:rPr>
          <w:rFonts w:ascii="Times New Roman" w:hAnsi="Times New Roman"/>
          <w:szCs w:val="22"/>
        </w:rPr>
        <w:t xml:space="preserve">Išlo o čerpanie rozpočtových finančných prostriedkov podľa § 8 zákona </w:t>
      </w:r>
      <w:r w:rsidRPr="00DE7E17">
        <w:rPr>
          <w:rFonts w:ascii="Times New Roman" w:hAnsi="Times New Roman"/>
          <w:szCs w:val="22"/>
        </w:rPr>
        <w:t>o rozpočtových pravidlách, ktoré nie sú rozpočtované v schválenom rozpočte, ale po ich uvoľnení vstupujú tieto prostriedky do upraveného rozpočtu a následne dochádza k ich čerpaniu.</w:t>
      </w:r>
    </w:p>
    <w:p w:rsidR="005A703A" w:rsidRPr="00BA2CF2" w:rsidP="00FF3CFC">
      <w:pPr>
        <w:suppressAutoHyphens/>
        <w:bidi w:val="0"/>
        <w:rPr>
          <w:rFonts w:ascii="Times New Roman" w:hAnsi="Times New Roman"/>
          <w:szCs w:val="22"/>
        </w:rPr>
      </w:pPr>
      <w:r w:rsidRPr="00603422">
        <w:rPr>
          <w:rFonts w:ascii="Times New Roman" w:hAnsi="Times New Roman"/>
          <w:szCs w:val="22"/>
        </w:rPr>
        <w:t xml:space="preserve">Najvyšší podiel na čerpaní majú bežné transfery vyplatené vyšším územným celkom na základe žiadostí o poskytnutie nenávratného finančného príspevku z Integrovaného regionálneho operačného programu 2014-2020 v sume </w:t>
      </w:r>
      <w:r w:rsidRPr="00603422">
        <w:rPr>
          <w:rFonts w:ascii="Times New Roman" w:hAnsi="Times New Roman"/>
          <w:bCs/>
          <w:szCs w:val="22"/>
        </w:rPr>
        <w:t>2 090 tis. eur</w:t>
      </w:r>
      <w:r w:rsidRPr="00603422">
        <w:rPr>
          <w:rFonts w:ascii="Times New Roman" w:hAnsi="Times New Roman"/>
          <w:szCs w:val="22"/>
        </w:rPr>
        <w:t xml:space="preserve"> v rámci prioritnej osi 6. Technická pomoc. </w:t>
      </w:r>
      <w:r>
        <w:rPr>
          <w:rFonts w:ascii="Times New Roman" w:hAnsi="Times New Roman"/>
          <w:szCs w:val="22"/>
        </w:rPr>
        <w:t>Čiastka</w:t>
      </w:r>
      <w:r w:rsidRPr="00603422">
        <w:rPr>
          <w:rFonts w:ascii="Times New Roman" w:hAnsi="Times New Roman"/>
          <w:szCs w:val="22"/>
        </w:rPr>
        <w:t xml:space="preserve"> </w:t>
      </w:r>
      <w:r w:rsidRPr="00603422">
        <w:rPr>
          <w:rFonts w:ascii="Times New Roman" w:hAnsi="Times New Roman"/>
          <w:bCs/>
          <w:szCs w:val="22"/>
        </w:rPr>
        <w:t>19 tis. eur</w:t>
      </w:r>
      <w:r w:rsidRPr="00603422">
        <w:rPr>
          <w:rFonts w:ascii="Times New Roman" w:hAnsi="Times New Roman"/>
          <w:b/>
          <w:bCs/>
          <w:szCs w:val="22"/>
        </w:rPr>
        <w:t xml:space="preserve"> </w:t>
      </w:r>
      <w:r w:rsidRPr="00603422">
        <w:rPr>
          <w:rFonts w:ascii="Times New Roman" w:hAnsi="Times New Roman"/>
          <w:szCs w:val="22"/>
        </w:rPr>
        <w:t xml:space="preserve">bola poskytnutá z Operačného programu cezhraničnej spolupráce INTERREG V-A PL-SK 2014-2020, z toho v sume </w:t>
      </w:r>
      <w:r>
        <w:rPr>
          <w:rFonts w:ascii="Times New Roman" w:hAnsi="Times New Roman"/>
          <w:szCs w:val="22"/>
        </w:rPr>
        <w:t>16 tis. eur</w:t>
      </w:r>
      <w:r w:rsidRPr="00603422">
        <w:rPr>
          <w:rFonts w:ascii="Times New Roman" w:hAnsi="Times New Roman"/>
          <w:szCs w:val="22"/>
        </w:rPr>
        <w:t xml:space="preserve"> v rámci prioritnej osi 1. Ochrana a rozvoj prírodného prostredia a kultúrneho dedičstva cezhraničného územia a v sume </w:t>
      </w:r>
      <w:r>
        <w:rPr>
          <w:rFonts w:ascii="Times New Roman" w:hAnsi="Times New Roman"/>
          <w:szCs w:val="22"/>
        </w:rPr>
        <w:t>3 tis. eur</w:t>
      </w:r>
      <w:r w:rsidRPr="00603422">
        <w:rPr>
          <w:rFonts w:ascii="Times New Roman" w:hAnsi="Times New Roman"/>
          <w:szCs w:val="22"/>
        </w:rPr>
        <w:t xml:space="preserve"> v rámci prioritnej osi 3. Rozvoj cezhraničného vzdelávania a celoživotného vzdelávania. Finančné prostriedky v </w:t>
      </w:r>
      <w:r>
        <w:rPr>
          <w:rFonts w:ascii="Times New Roman" w:hAnsi="Times New Roman"/>
          <w:szCs w:val="22"/>
        </w:rPr>
        <w:t>objeme</w:t>
      </w:r>
      <w:r w:rsidRPr="00603422">
        <w:rPr>
          <w:rFonts w:ascii="Times New Roman" w:hAnsi="Times New Roman"/>
          <w:szCs w:val="22"/>
        </w:rPr>
        <w:t xml:space="preserve"> </w:t>
      </w:r>
      <w:r w:rsidRPr="00603422">
        <w:rPr>
          <w:rFonts w:ascii="Times New Roman" w:hAnsi="Times New Roman"/>
          <w:bCs/>
          <w:szCs w:val="22"/>
        </w:rPr>
        <w:t>4 tis. eur</w:t>
      </w:r>
      <w:r w:rsidRPr="00603422">
        <w:rPr>
          <w:rFonts w:ascii="Times New Roman" w:hAnsi="Times New Roman"/>
          <w:szCs w:val="22"/>
        </w:rPr>
        <w:t xml:space="preserve"> boli </w:t>
      </w:r>
      <w:r>
        <w:rPr>
          <w:rFonts w:ascii="Times New Roman" w:hAnsi="Times New Roman"/>
          <w:szCs w:val="22"/>
        </w:rPr>
        <w:t>poukázané</w:t>
      </w:r>
      <w:r w:rsidRPr="00603422">
        <w:rPr>
          <w:rFonts w:ascii="Times New Roman" w:hAnsi="Times New Roman"/>
          <w:szCs w:val="22"/>
        </w:rPr>
        <w:t xml:space="preserve"> Trenčianskemu samosprávnemu kraju v rámci oprávnených výdavkov vyplývajúcich z projektu Mobilné prihraničie v nadväznosti na Operačný program cezhraničnej spolupráce SR-ČR 2007-2013</w:t>
      </w:r>
      <w:r>
        <w:rPr>
          <w:rFonts w:ascii="Times New Roman" w:hAnsi="Times New Roman"/>
          <w:szCs w:val="22"/>
        </w:rPr>
        <w:t xml:space="preserve">. </w:t>
      </w:r>
      <w:r w:rsidRPr="00BA2CF2">
        <w:rPr>
          <w:rFonts w:ascii="Times New Roman" w:hAnsi="Times New Roman"/>
          <w:szCs w:val="22"/>
        </w:rPr>
        <w:t>K</w:t>
      </w:r>
      <w:r>
        <w:rPr>
          <w:rFonts w:ascii="Times New Roman" w:hAnsi="Times New Roman"/>
          <w:szCs w:val="22"/>
        </w:rPr>
        <w:t xml:space="preserve">apitola </w:t>
      </w:r>
      <w:r w:rsidRPr="00BA2CF2">
        <w:rPr>
          <w:rFonts w:ascii="Times New Roman" w:hAnsi="Times New Roman"/>
          <w:szCs w:val="22"/>
        </w:rPr>
        <w:t xml:space="preserve">poskytla k 31.12.2017 kapitálové transfery vyšším územným celkom v celkovej sume </w:t>
      </w:r>
      <w:r w:rsidRPr="00054610">
        <w:rPr>
          <w:rFonts w:ascii="Times New Roman" w:hAnsi="Times New Roman"/>
          <w:bCs/>
          <w:color w:val="000000"/>
          <w:szCs w:val="22"/>
        </w:rPr>
        <w:t>209 tis</w:t>
      </w:r>
      <w:r>
        <w:rPr>
          <w:rFonts w:ascii="Times New Roman" w:hAnsi="Times New Roman"/>
          <w:bCs/>
          <w:color w:val="000000"/>
          <w:szCs w:val="22"/>
        </w:rPr>
        <w:t xml:space="preserve">. eur </w:t>
      </w:r>
      <w:r w:rsidRPr="00BA2CF2">
        <w:rPr>
          <w:rFonts w:ascii="Times New Roman" w:hAnsi="Times New Roman"/>
          <w:szCs w:val="22"/>
        </w:rPr>
        <w:t xml:space="preserve">na základe žiadostí o poskytnutie nenávratného finančného príspevku z Integrovaného regionálneho operačného programu </w:t>
      </w:r>
      <w:r w:rsidR="00E97DC7">
        <w:rPr>
          <w:rFonts w:ascii="Times New Roman" w:hAnsi="Times New Roman"/>
          <w:szCs w:val="22"/>
        </w:rPr>
        <w:br/>
      </w:r>
      <w:r w:rsidRPr="00BA2CF2">
        <w:rPr>
          <w:rFonts w:ascii="Times New Roman" w:hAnsi="Times New Roman"/>
          <w:szCs w:val="22"/>
        </w:rPr>
        <w:t>2014-2020</w:t>
      </w:r>
      <w:r w:rsidR="0034534B">
        <w:rPr>
          <w:rFonts w:ascii="Times New Roman" w:hAnsi="Times New Roman"/>
          <w:szCs w:val="22"/>
        </w:rPr>
        <w:t>,</w:t>
      </w:r>
      <w:r w:rsidRPr="00BA2CF2">
        <w:rPr>
          <w:rFonts w:ascii="Times New Roman" w:hAnsi="Times New Roman"/>
          <w:szCs w:val="22"/>
        </w:rPr>
        <w:t xml:space="preserve"> a to v rámci prioritnej osi 1. Bezpečná a ekologická doprava v regiónoch.</w:t>
      </w:r>
      <w:r>
        <w:rPr>
          <w:rFonts w:ascii="Times New Roman" w:hAnsi="Times New Roman"/>
          <w:szCs w:val="22"/>
        </w:rPr>
        <w:t xml:space="preserve"> </w:t>
      </w:r>
    </w:p>
    <w:p w:rsidR="005A703A" w:rsidRPr="0038303F" w:rsidP="00FF3CFC">
      <w:pPr>
        <w:suppressAutoHyphens/>
        <w:bidi w:val="0"/>
        <w:rPr>
          <w:rFonts w:ascii="Times New Roman" w:hAnsi="Times New Roman"/>
          <w:color w:val="000000" w:themeColor="tx1" w:themeShade="FF"/>
          <w:szCs w:val="22"/>
        </w:rPr>
      </w:pPr>
      <w:r w:rsidRPr="0038303F">
        <w:rPr>
          <w:rFonts w:ascii="Times New Roman" w:hAnsi="Times New Roman"/>
          <w:color w:val="000000" w:themeColor="tx1" w:themeShade="FF"/>
          <w:szCs w:val="22"/>
        </w:rPr>
        <w:t xml:space="preserve">Z kapitoly </w:t>
      </w:r>
      <w:r w:rsidRPr="00054610">
        <w:rPr>
          <w:rFonts w:ascii="Times New Roman" w:hAnsi="Times New Roman"/>
          <w:b/>
          <w:color w:val="000000" w:themeColor="tx1" w:themeShade="FF"/>
          <w:szCs w:val="22"/>
        </w:rPr>
        <w:t>Ministerstva práce, sociálnych vecí a rodiny SR</w:t>
      </w:r>
      <w:r w:rsidRPr="0038303F">
        <w:rPr>
          <w:rFonts w:ascii="Times New Roman" w:hAnsi="Times New Roman"/>
          <w:color w:val="000000" w:themeColor="tx1" w:themeShade="FF"/>
          <w:szCs w:val="22"/>
        </w:rPr>
        <w:t xml:space="preserve"> smerovala vyšším územným</w:t>
      </w:r>
      <w:r>
        <w:rPr>
          <w:rFonts w:ascii="Times New Roman" w:hAnsi="Times New Roman"/>
          <w:color w:val="000000" w:themeColor="tx1" w:themeShade="FF"/>
          <w:szCs w:val="22"/>
        </w:rPr>
        <w:t xml:space="preserve"> celkom suma 2 002 tis. eur, z toho čiastka 1 391 tis. eur bola určená na ústavnú starostlivosť v neštátnych zariadeniach v rámci podprogramu Starostlivosť o ohrozené deti. Ďalšia suma v objeme 611 tis. eur smerovala právnickým osobám vo forme dotácií v súlade so zákonom č. 544/2010 Z.</w:t>
      </w:r>
      <w:r w:rsidR="0093244A">
        <w:rPr>
          <w:rFonts w:ascii="Times New Roman" w:hAnsi="Times New Roman"/>
          <w:color w:val="000000" w:themeColor="tx1" w:themeShade="FF"/>
          <w:szCs w:val="22"/>
        </w:rPr>
        <w:t xml:space="preserve"> </w:t>
      </w:r>
      <w:r>
        <w:rPr>
          <w:rFonts w:ascii="Times New Roman" w:hAnsi="Times New Roman"/>
          <w:color w:val="000000" w:themeColor="tx1" w:themeShade="FF"/>
          <w:szCs w:val="22"/>
        </w:rPr>
        <w:t>z. o dotáciách v pôsobnosti Ministerstva práce, sociálnych vecí a rodiny SR. Tieto výdavky v pôvodnom rozpočte neboli rozpočtované, nakoľko až po schválení dotácie prišlo k úprave rozpočtu na konkrétnej podpoložke.</w:t>
      </w:r>
    </w:p>
    <w:p w:rsidR="005A703A" w:rsidRPr="008A7337" w:rsidP="00FF3CFC">
      <w:pPr>
        <w:bidi w:val="0"/>
        <w:rPr>
          <w:rFonts w:ascii="Times New Roman" w:hAnsi="Times New Roman"/>
          <w:szCs w:val="22"/>
        </w:rPr>
      </w:pPr>
      <w:r w:rsidRPr="00F47829">
        <w:rPr>
          <w:rFonts w:ascii="Times New Roman" w:hAnsi="Times New Roman"/>
          <w:color w:val="000000" w:themeColor="tx1" w:themeShade="FF"/>
          <w:szCs w:val="22"/>
        </w:rPr>
        <w:t xml:space="preserve">V kapitole </w:t>
      </w:r>
      <w:r w:rsidRPr="00F47829">
        <w:rPr>
          <w:rFonts w:ascii="Times New Roman" w:hAnsi="Times New Roman"/>
          <w:b/>
          <w:color w:val="000000" w:themeColor="tx1" w:themeShade="FF"/>
          <w:szCs w:val="22"/>
        </w:rPr>
        <w:t>Všeobecná pokladničná správa</w:t>
      </w:r>
      <w:r w:rsidRPr="00F47829">
        <w:rPr>
          <w:rFonts w:ascii="Times New Roman" w:hAnsi="Times New Roman"/>
          <w:color w:val="000000" w:themeColor="tx1" w:themeShade="FF"/>
          <w:szCs w:val="22"/>
        </w:rPr>
        <w:t xml:space="preserve"> na rok 2017 neboli schválené žiadne dotácie pre vyššie územné celky. V skutočnosti boli vyšším územným celkom poskytnuté finančné prostriedky v celkovej sume 2 750 tis. eur, z toho na základe Uznesenia vlády č. 705/2015 k návrhu </w:t>
      </w:r>
      <w:r w:rsidR="00E97DC7">
        <w:rPr>
          <w:rFonts w:ascii="Times New Roman" w:hAnsi="Times New Roman"/>
          <w:color w:val="000000" w:themeColor="tx1" w:themeShade="FF"/>
          <w:szCs w:val="22"/>
        </w:rPr>
        <w:br/>
      </w:r>
      <w:r w:rsidRPr="00F47829">
        <w:rPr>
          <w:rFonts w:ascii="Times New Roman" w:hAnsi="Times New Roman"/>
          <w:color w:val="000000" w:themeColor="tx1" w:themeShade="FF"/>
          <w:szCs w:val="22"/>
        </w:rPr>
        <w:t xml:space="preserve">na uvoľnenie finančných prostriedkov na rekonštrukciu Divadla Aréna v Bratislave bola poskytnutá dotácia Bratislavskému samosprávnemu kraju v sume 2 000 tis. eur. </w:t>
      </w:r>
      <w:r w:rsidR="000C2CB4">
        <w:rPr>
          <w:rFonts w:ascii="Times New Roman" w:hAnsi="Times New Roman"/>
          <w:szCs w:val="22"/>
        </w:rPr>
        <w:t>Na základe uznesení vlády č. </w:t>
      </w:r>
      <w:r w:rsidRPr="00F47829">
        <w:rPr>
          <w:rFonts w:ascii="Times New Roman" w:hAnsi="Times New Roman"/>
          <w:szCs w:val="22"/>
        </w:rPr>
        <w:t xml:space="preserve">235/2017 a 541/2017 k správam o priebehu a následkoch povodní na území Slovenskej republiky boli uvoľnené finančné prostriedky na úhradu výdavkov vynaložených </w:t>
      </w:r>
      <w:r w:rsidR="00E97DC7">
        <w:rPr>
          <w:rFonts w:ascii="Times New Roman" w:hAnsi="Times New Roman"/>
          <w:szCs w:val="22"/>
        </w:rPr>
        <w:br/>
      </w:r>
      <w:r w:rsidRPr="00F47829">
        <w:rPr>
          <w:rFonts w:ascii="Times New Roman" w:hAnsi="Times New Roman"/>
          <w:szCs w:val="22"/>
        </w:rPr>
        <w:t>na vykonávanie povodňových zabezpečovacích prác pri ochrane dopravnej infraštruktúry v čiastkach 198 tis. eur a 14</w:t>
      </w:r>
      <w:r>
        <w:rPr>
          <w:rFonts w:ascii="Times New Roman" w:hAnsi="Times New Roman"/>
          <w:szCs w:val="22"/>
        </w:rPr>
        <w:t>6</w:t>
      </w:r>
      <w:r w:rsidRPr="00F47829">
        <w:rPr>
          <w:rFonts w:ascii="Times New Roman" w:hAnsi="Times New Roman"/>
          <w:szCs w:val="22"/>
        </w:rPr>
        <w:t xml:space="preserve"> tis. eur. </w:t>
      </w:r>
      <w:r>
        <w:rPr>
          <w:rFonts w:ascii="Times New Roman" w:hAnsi="Times New Roman"/>
          <w:szCs w:val="22"/>
        </w:rPr>
        <w:t>Na základe uznesenia vlády č. </w:t>
      </w:r>
      <w:r w:rsidRPr="00F47829">
        <w:rPr>
          <w:rFonts w:ascii="Times New Roman" w:hAnsi="Times New Roman"/>
          <w:szCs w:val="22"/>
        </w:rPr>
        <w:t xml:space="preserve">565/2017 k návrhu </w:t>
      </w:r>
      <w:r w:rsidR="00E97DC7">
        <w:rPr>
          <w:rFonts w:ascii="Times New Roman" w:hAnsi="Times New Roman"/>
          <w:szCs w:val="22"/>
        </w:rPr>
        <w:br/>
      </w:r>
      <w:r w:rsidRPr="00F47829">
        <w:rPr>
          <w:rFonts w:ascii="Times New Roman" w:hAnsi="Times New Roman"/>
          <w:szCs w:val="22"/>
        </w:rPr>
        <w:t xml:space="preserve">na uvoľnenie finančných prostriedkov z rezervy vlády Slovenskej republiky boli </w:t>
      </w:r>
      <w:r>
        <w:rPr>
          <w:rFonts w:ascii="Times New Roman" w:hAnsi="Times New Roman"/>
          <w:szCs w:val="22"/>
        </w:rPr>
        <w:t>poskytnuté</w:t>
      </w:r>
      <w:r w:rsidRPr="00F47829">
        <w:rPr>
          <w:rFonts w:ascii="Times New Roman" w:hAnsi="Times New Roman"/>
          <w:szCs w:val="22"/>
        </w:rPr>
        <w:t xml:space="preserve"> finančné prostriedky na opravu ciest Bansko</w:t>
      </w:r>
      <w:r>
        <w:rPr>
          <w:rFonts w:ascii="Times New Roman" w:hAnsi="Times New Roman"/>
          <w:szCs w:val="22"/>
        </w:rPr>
        <w:t>bystrického samosprávneho kraja v sume 400 tis. eur. Do 31. 12. 2017 vyššie územné celky vrátili na výdavkový účet ministerstva sumu 5 tis. eur ako nepoužité prostriedky v roku, v ktorom boli poskytnuté.</w:t>
      </w:r>
    </w:p>
    <w:p w:rsidR="005A703A" w:rsidRPr="000A51A9" w:rsidP="00FF3CFC">
      <w:pPr>
        <w:suppressAutoHyphens/>
        <w:bidi w:val="0"/>
        <w:rPr>
          <w:rFonts w:ascii="Times New Roman" w:hAnsi="Times New Roman"/>
          <w:color w:val="000000" w:themeColor="tx1" w:themeShade="FF"/>
          <w:szCs w:val="22"/>
        </w:rPr>
      </w:pPr>
      <w:r w:rsidRPr="000A51A9">
        <w:rPr>
          <w:rFonts w:ascii="Times New Roman" w:hAnsi="Times New Roman"/>
          <w:color w:val="000000" w:themeColor="tx1" w:themeShade="FF"/>
          <w:szCs w:val="22"/>
        </w:rPr>
        <w:t xml:space="preserve">Podľa zákona č. 564/2004 Z. z. o rozpočtovom určení výnosu dane z príjmov územnej samospráve bolo v roku 2017 z celkového výnosu dane z príjmov fyzických osôb príjmom rozpočtov vyšších územných celkov 30,0 % (rovnako ako v roku 2016). Skutočný prevod dane z príjmov fyzických osôb do rozpočtov vyšších územných celkov daňovými úradmi bol vykonaný vo výške 771 208 tis. eur vrátane zúčtovania za predchádzajúci rok (716 364 tis. eur v roku 2016). </w:t>
      </w:r>
    </w:p>
    <w:p w:rsidR="005A703A" w:rsidRPr="000C2CB4" w:rsidP="00FF3CFC">
      <w:pPr>
        <w:bidi w:val="0"/>
        <w:rPr>
          <w:rFonts w:ascii="Times New Roman" w:hAnsi="Times New Roman"/>
          <w:b/>
          <w:i/>
          <w:color w:val="000000" w:themeColor="tx1" w:themeShade="FF"/>
          <w:szCs w:val="22"/>
        </w:rPr>
      </w:pPr>
      <w:r w:rsidRPr="000C2CB4">
        <w:rPr>
          <w:rFonts w:ascii="Times New Roman" w:hAnsi="Times New Roman"/>
          <w:b/>
          <w:i/>
          <w:color w:val="000000" w:themeColor="tx1" w:themeShade="FF"/>
          <w:szCs w:val="22"/>
        </w:rPr>
        <w:t>Prehľad záväzných limitov dotácií VÚC za rok 2017 je uvedený v tabuľkovej časti štátneho záverečného účtu SR, v tabuľke č. 21.</w:t>
      </w:r>
    </w:p>
    <w:p w:rsidR="00693173" w:rsidRPr="003C7FF0" w:rsidP="00225F21">
      <w:pPr>
        <w:pStyle w:val="Heading3"/>
        <w:numPr>
          <w:ilvl w:val="0"/>
          <w:numId w:val="0"/>
        </w:numPr>
        <w:bidi w:val="0"/>
        <w:ind w:left="709" w:firstLine="0"/>
        <w:rPr>
          <w:rFonts w:hint="default"/>
        </w:rPr>
      </w:pPr>
      <w:bookmarkStart w:id="65" w:name="RANGE!B5:I17"/>
      <w:bookmarkStart w:id="66" w:name="_Toc479313245"/>
      <w:bookmarkStart w:id="67" w:name="_Toc512599678"/>
      <w:bookmarkEnd w:id="65"/>
      <w:r w:rsidR="00225F21">
        <w:t xml:space="preserve">3.2.5  </w:t>
      </w:r>
      <w:r w:rsidRPr="003C7FF0">
        <w:rPr>
          <w:rFonts w:hint="default"/>
        </w:rPr>
        <w:t>Č</w:t>
      </w:r>
      <w:r w:rsidRPr="003C7FF0">
        <w:rPr>
          <w:rFonts w:hint="default"/>
        </w:rPr>
        <w:t>erpanie rezerv š</w:t>
      </w:r>
      <w:r w:rsidRPr="003C7FF0">
        <w:rPr>
          <w:rFonts w:hint="default"/>
        </w:rPr>
        <w:t>tá</w:t>
      </w:r>
      <w:r w:rsidRPr="003C7FF0">
        <w:rPr>
          <w:rFonts w:hint="default"/>
        </w:rPr>
        <w:t>tneho rozpoč</w:t>
      </w:r>
      <w:r w:rsidRPr="003C7FF0">
        <w:rPr>
          <w:rFonts w:hint="default"/>
        </w:rPr>
        <w:t>tu</w:t>
      </w:r>
      <w:bookmarkEnd w:id="66"/>
      <w:bookmarkEnd w:id="67"/>
    </w:p>
    <w:p w:rsidR="00A568CD" w:rsidRPr="003754FE" w:rsidP="00A568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color w:val="000000" w:themeColor="tx1" w:themeShade="FF"/>
          <w:szCs w:val="22"/>
        </w:rPr>
      </w:pPr>
      <w:r w:rsidRPr="003754FE">
        <w:rPr>
          <w:rFonts w:ascii="Times New Roman" w:hAnsi="Times New Roman"/>
          <w:color w:val="000000" w:themeColor="tx1" w:themeShade="FF"/>
          <w:szCs w:val="22"/>
        </w:rPr>
        <w:t>V zmysle § 10 zákona</w:t>
      </w:r>
      <w:r w:rsidR="00BD1913">
        <w:rPr>
          <w:rFonts w:ascii="Times New Roman" w:hAnsi="Times New Roman"/>
          <w:color w:val="000000" w:themeColor="tx1" w:themeShade="FF"/>
          <w:szCs w:val="22"/>
        </w:rPr>
        <w:t xml:space="preserve"> </w:t>
      </w:r>
      <w:r w:rsidRPr="003754FE">
        <w:rPr>
          <w:rFonts w:ascii="Times New Roman" w:hAnsi="Times New Roman"/>
          <w:color w:val="000000" w:themeColor="tx1" w:themeShade="FF"/>
          <w:szCs w:val="22"/>
        </w:rPr>
        <w:t xml:space="preserve">o rozpočtových pravidlách sa na krytie nepredvídaných výdavkov nevyhnutných na zabezpečenie rozpočtového hospodárenia alebo na krytie zníženia rozpočtovaných príjmov vytvárajú v štátnom rozpočte rozpočtové rezervy. </w:t>
      </w:r>
    </w:p>
    <w:p w:rsidR="001F655F" w:rsidP="00A568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color w:val="000000" w:themeColor="tx1" w:themeShade="FF"/>
          <w:szCs w:val="22"/>
        </w:rPr>
      </w:pPr>
      <w:r w:rsidRPr="003754FE" w:rsidR="00A568CD">
        <w:rPr>
          <w:rFonts w:ascii="Times New Roman" w:hAnsi="Times New Roman"/>
          <w:color w:val="000000" w:themeColor="tx1" w:themeShade="FF"/>
          <w:szCs w:val="22"/>
        </w:rPr>
        <w:t>Národná rada SR zákonom č. 357 zo dňa 29. novembra 2016 o štátnom rozpočte na rok 2017 schválila výšku zákonných rezerv nasledovne:</w:t>
      </w:r>
    </w:p>
    <w:tbl>
      <w:tblPr>
        <w:tblStyle w:val="TableNormal"/>
        <w:tblW w:w="8934" w:type="dxa"/>
        <w:tblCellMar>
          <w:left w:w="70" w:type="dxa"/>
          <w:right w:w="70" w:type="dxa"/>
        </w:tblCellMar>
        <w:tblLook w:val="04A0"/>
      </w:tblPr>
      <w:tblGrid>
        <w:gridCol w:w="3629"/>
        <w:gridCol w:w="884"/>
        <w:gridCol w:w="865"/>
        <w:gridCol w:w="850"/>
        <w:gridCol w:w="1031"/>
        <w:gridCol w:w="902"/>
        <w:gridCol w:w="773"/>
      </w:tblGrid>
      <w:tr>
        <w:tblPrEx>
          <w:tblW w:w="8934" w:type="dxa"/>
          <w:tblCellMar>
            <w:left w:w="70" w:type="dxa"/>
            <w:right w:w="70" w:type="dxa"/>
          </w:tblCellMar>
          <w:tblLook w:val="04A0"/>
        </w:tblPrEx>
        <w:trPr>
          <w:trHeight w:val="387"/>
        </w:trPr>
        <w:tc>
          <w:tcPr>
            <w:tcW w:w="8161" w:type="dxa"/>
            <w:gridSpan w:val="6"/>
            <w:tcBorders>
              <w:top w:val="nil"/>
              <w:left w:val="single" w:sz="8" w:space="0" w:color="auto"/>
              <w:bottom w:val="nil"/>
              <w:right w:val="nil"/>
            </w:tcBorders>
            <w:shd w:val="clear" w:color="000000" w:fill="000000"/>
            <w:textDirection w:val="lrTb"/>
            <w:vAlign w:val="center"/>
            <w:hideMark/>
          </w:tcPr>
          <w:p w:rsidR="00A568CD" w:rsidRPr="00A568CD" w:rsidP="00B4356F">
            <w:pPr>
              <w:bidi w:val="0"/>
              <w:rPr>
                <w:rFonts w:ascii="Times New Roman" w:hAnsi="Times New Roman"/>
                <w:b/>
                <w:bCs/>
                <w:color w:val="FFFFFF"/>
                <w:sz w:val="18"/>
                <w:szCs w:val="18"/>
              </w:rPr>
            </w:pPr>
            <w:r w:rsidRPr="00A568CD">
              <w:rPr>
                <w:rFonts w:ascii="Times New Roman" w:hAnsi="Times New Roman"/>
                <w:b/>
                <w:bCs/>
                <w:color w:val="FFFFFF"/>
                <w:sz w:val="18"/>
                <w:szCs w:val="18"/>
              </w:rPr>
              <w:t>Zákonné rezervy uvoľnené platobným príkazom</w:t>
            </w:r>
          </w:p>
        </w:tc>
        <w:tc>
          <w:tcPr>
            <w:tcW w:w="773" w:type="dxa"/>
            <w:tcBorders>
              <w:top w:val="nil"/>
              <w:left w:val="nil"/>
              <w:bottom w:val="nil"/>
              <w:right w:val="nil"/>
            </w:tcBorders>
            <w:shd w:val="clear" w:color="000000" w:fill="000000"/>
            <w:noWrap/>
            <w:textDirection w:val="lrTb"/>
            <w:vAlign w:val="bottom"/>
            <w:hideMark/>
          </w:tcPr>
          <w:p w:rsidR="00A568CD" w:rsidRPr="00A568CD" w:rsidP="00E97DC7">
            <w:pPr>
              <w:bidi w:val="0"/>
              <w:ind w:left="-81"/>
              <w:rPr>
                <w:rFonts w:ascii="Times New Roman" w:hAnsi="Times New Roman"/>
                <w:b/>
                <w:bCs/>
                <w:color w:val="FFFFFF"/>
                <w:sz w:val="18"/>
                <w:szCs w:val="18"/>
              </w:rPr>
            </w:pPr>
            <w:r w:rsidRPr="00A568CD">
              <w:rPr>
                <w:rFonts w:ascii="Times New Roman" w:hAnsi="Times New Roman"/>
                <w:b/>
                <w:bCs/>
                <w:color w:val="FFFFFF"/>
                <w:sz w:val="18"/>
                <w:szCs w:val="18"/>
              </w:rPr>
              <w:t>v tis.</w:t>
            </w:r>
            <w:r w:rsidR="003C7FF0">
              <w:rPr>
                <w:rFonts w:ascii="Times New Roman" w:hAnsi="Times New Roman"/>
                <w:b/>
                <w:bCs/>
                <w:color w:val="FFFFFF"/>
                <w:sz w:val="18"/>
                <w:szCs w:val="18"/>
              </w:rPr>
              <w:t xml:space="preserve"> </w:t>
            </w:r>
            <w:r w:rsidRPr="00A568CD">
              <w:rPr>
                <w:rFonts w:ascii="Times New Roman" w:hAnsi="Times New Roman"/>
                <w:b/>
                <w:bCs/>
                <w:color w:val="FFFFFF"/>
                <w:sz w:val="18"/>
                <w:szCs w:val="18"/>
              </w:rPr>
              <w:t>eur</w:t>
            </w:r>
          </w:p>
        </w:tc>
      </w:tr>
      <w:tr>
        <w:tblPrEx>
          <w:tblW w:w="8934" w:type="dxa"/>
          <w:tblCellMar>
            <w:left w:w="70" w:type="dxa"/>
            <w:right w:w="70" w:type="dxa"/>
          </w:tblCellMar>
          <w:tblLook w:val="04A0"/>
        </w:tblPrEx>
        <w:trPr>
          <w:trHeight w:val="332"/>
        </w:trPr>
        <w:tc>
          <w:tcPr>
            <w:tcW w:w="3629"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p>
        </w:tc>
        <w:tc>
          <w:tcPr>
            <w:tcW w:w="1750" w:type="dxa"/>
            <w:gridSpan w:val="2"/>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Skutočnosť</w:t>
            </w:r>
          </w:p>
        </w:tc>
        <w:tc>
          <w:tcPr>
            <w:tcW w:w="847"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Rozpočet</w:t>
            </w:r>
          </w:p>
        </w:tc>
        <w:tc>
          <w:tcPr>
            <w:tcW w:w="1031"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Skutočnosť</w:t>
            </w:r>
          </w:p>
        </w:tc>
        <w:tc>
          <w:tcPr>
            <w:tcW w:w="1676" w:type="dxa"/>
            <w:gridSpan w:val="2"/>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Rozdiel</w:t>
            </w:r>
          </w:p>
        </w:tc>
      </w:tr>
      <w:tr>
        <w:tblPrEx>
          <w:tblW w:w="8934" w:type="dxa"/>
          <w:tblCellMar>
            <w:left w:w="70" w:type="dxa"/>
            <w:right w:w="70" w:type="dxa"/>
          </w:tblCellMar>
          <w:tblLook w:val="04A0"/>
        </w:tblPrEx>
        <w:trPr>
          <w:trHeight w:val="332"/>
        </w:trPr>
        <w:tc>
          <w:tcPr>
            <w:tcW w:w="3629"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p>
        </w:tc>
        <w:tc>
          <w:tcPr>
            <w:tcW w:w="884"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2015</w:t>
            </w:r>
          </w:p>
        </w:tc>
        <w:tc>
          <w:tcPr>
            <w:tcW w:w="865"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2016</w:t>
            </w:r>
          </w:p>
        </w:tc>
        <w:tc>
          <w:tcPr>
            <w:tcW w:w="847"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2017</w:t>
            </w:r>
          </w:p>
        </w:tc>
        <w:tc>
          <w:tcPr>
            <w:tcW w:w="1031"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2017</w:t>
            </w:r>
          </w:p>
        </w:tc>
        <w:tc>
          <w:tcPr>
            <w:tcW w:w="902"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v tis. eur</w:t>
            </w:r>
          </w:p>
        </w:tc>
        <w:tc>
          <w:tcPr>
            <w:tcW w:w="773" w:type="dxa"/>
            <w:tcBorders>
              <w:top w:val="nil"/>
              <w:left w:val="nil"/>
              <w:bottom w:val="nil"/>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v %</w:t>
            </w:r>
          </w:p>
        </w:tc>
      </w:tr>
      <w:tr>
        <w:tblPrEx>
          <w:tblW w:w="8934" w:type="dxa"/>
          <w:tblCellMar>
            <w:left w:w="70" w:type="dxa"/>
            <w:right w:w="70" w:type="dxa"/>
          </w:tblCellMar>
          <w:tblLook w:val="04A0"/>
        </w:tblPrEx>
        <w:trPr>
          <w:trHeight w:val="332"/>
        </w:trPr>
        <w:tc>
          <w:tcPr>
            <w:tcW w:w="3629"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p>
        </w:tc>
        <w:tc>
          <w:tcPr>
            <w:tcW w:w="884"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1</w:t>
            </w:r>
          </w:p>
        </w:tc>
        <w:tc>
          <w:tcPr>
            <w:tcW w:w="865"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2</w:t>
            </w:r>
          </w:p>
        </w:tc>
        <w:tc>
          <w:tcPr>
            <w:tcW w:w="847"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3</w:t>
            </w:r>
          </w:p>
        </w:tc>
        <w:tc>
          <w:tcPr>
            <w:tcW w:w="1031"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4</w:t>
            </w:r>
          </w:p>
        </w:tc>
        <w:tc>
          <w:tcPr>
            <w:tcW w:w="902"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5=4-3</w:t>
            </w:r>
          </w:p>
        </w:tc>
        <w:tc>
          <w:tcPr>
            <w:tcW w:w="773" w:type="dxa"/>
            <w:tcBorders>
              <w:top w:val="nil"/>
              <w:left w:val="nil"/>
              <w:bottom w:val="single" w:sz="8" w:space="0" w:color="auto"/>
              <w:right w:val="nil"/>
            </w:tcBorders>
            <w:shd w:val="clear" w:color="000000" w:fill="BFBFBF"/>
            <w:textDirection w:val="lrTb"/>
            <w:vAlign w:val="center"/>
            <w:hideMark/>
          </w:tcPr>
          <w:p w:rsidR="00A568CD" w:rsidRPr="00B4356F" w:rsidP="00B4356F">
            <w:pPr>
              <w:bidi w:val="0"/>
              <w:spacing w:after="0" w:line="240" w:lineRule="auto"/>
              <w:jc w:val="center"/>
              <w:rPr>
                <w:rFonts w:ascii="Times New Roman" w:hAnsi="Times New Roman"/>
                <w:b/>
                <w:sz w:val="18"/>
                <w:szCs w:val="18"/>
              </w:rPr>
            </w:pPr>
            <w:r w:rsidRPr="00B4356F">
              <w:rPr>
                <w:rFonts w:ascii="Times New Roman" w:hAnsi="Times New Roman"/>
                <w:b/>
                <w:sz w:val="18"/>
                <w:szCs w:val="18"/>
              </w:rPr>
              <w:t>6=4-3</w:t>
            </w:r>
          </w:p>
        </w:tc>
      </w:tr>
      <w:tr>
        <w:tblPrEx>
          <w:tblW w:w="8934" w:type="dxa"/>
          <w:tblCellMar>
            <w:left w:w="70" w:type="dxa"/>
            <w:right w:w="70" w:type="dxa"/>
          </w:tblCellMar>
          <w:tblLook w:val="04A0"/>
        </w:tblPrEx>
        <w:trPr>
          <w:trHeight w:val="352"/>
        </w:trPr>
        <w:tc>
          <w:tcPr>
            <w:tcW w:w="3629"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left"/>
              <w:rPr>
                <w:rFonts w:ascii="Times New Roman" w:hAnsi="Times New Roman"/>
                <w:color w:val="000000"/>
                <w:sz w:val="18"/>
                <w:szCs w:val="18"/>
                <w:lang w:eastAsia="sk-SK"/>
              </w:rPr>
            </w:pPr>
            <w:r w:rsidRPr="00A568CD">
              <w:rPr>
                <w:rFonts w:ascii="Times New Roman" w:hAnsi="Times New Roman"/>
                <w:color w:val="000000"/>
                <w:sz w:val="18"/>
                <w:szCs w:val="18"/>
                <w:lang w:eastAsia="sk-SK"/>
              </w:rPr>
              <w:t>Rezerva vlády SR</w:t>
            </w:r>
          </w:p>
        </w:tc>
        <w:tc>
          <w:tcPr>
            <w:tcW w:w="884"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0</w:t>
            </w:r>
          </w:p>
        </w:tc>
        <w:tc>
          <w:tcPr>
            <w:tcW w:w="865"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19</w:t>
            </w:r>
          </w:p>
        </w:tc>
        <w:tc>
          <w:tcPr>
            <w:tcW w:w="847"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5 000</w:t>
            </w:r>
          </w:p>
        </w:tc>
        <w:tc>
          <w:tcPr>
            <w:tcW w:w="1031" w:type="dxa"/>
            <w:tcBorders>
              <w:top w:val="nil"/>
              <w:left w:val="nil"/>
              <w:bottom w:val="nil"/>
              <w:right w:val="nil"/>
            </w:tcBorders>
            <w:shd w:val="clear" w:color="000000" w:fill="BFBFB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2 186</w:t>
            </w:r>
          </w:p>
        </w:tc>
        <w:tc>
          <w:tcPr>
            <w:tcW w:w="902"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-2 814</w:t>
            </w:r>
          </w:p>
        </w:tc>
        <w:tc>
          <w:tcPr>
            <w:tcW w:w="773"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-56,3</w:t>
            </w:r>
          </w:p>
        </w:tc>
      </w:tr>
      <w:tr>
        <w:tblPrEx>
          <w:tblW w:w="8934" w:type="dxa"/>
          <w:tblCellMar>
            <w:left w:w="70" w:type="dxa"/>
            <w:right w:w="70" w:type="dxa"/>
          </w:tblCellMar>
          <w:tblLook w:val="04A0"/>
        </w:tblPrEx>
        <w:trPr>
          <w:trHeight w:val="352"/>
        </w:trPr>
        <w:tc>
          <w:tcPr>
            <w:tcW w:w="3629" w:type="dxa"/>
            <w:tcBorders>
              <w:top w:val="nil"/>
              <w:left w:val="nil"/>
              <w:bottom w:val="nil"/>
              <w:right w:val="nil"/>
            </w:tcBorders>
            <w:shd w:val="clear" w:color="000000" w:fill="FFFFFF"/>
            <w:noWrap/>
            <w:textDirection w:val="lrTb"/>
            <w:vAlign w:val="center"/>
            <w:hideMark/>
          </w:tcPr>
          <w:p w:rsidR="00A568CD" w:rsidRPr="00A568CD" w:rsidP="00835D70">
            <w:pPr>
              <w:bidi w:val="0"/>
              <w:spacing w:after="0" w:line="240" w:lineRule="auto"/>
              <w:jc w:val="left"/>
              <w:rPr>
                <w:rFonts w:ascii="Times New Roman" w:hAnsi="Times New Roman"/>
                <w:color w:val="000000"/>
                <w:sz w:val="18"/>
                <w:szCs w:val="18"/>
                <w:lang w:eastAsia="sk-SK"/>
              </w:rPr>
            </w:pPr>
            <w:r w:rsidRPr="00A568CD">
              <w:rPr>
                <w:rFonts w:ascii="Times New Roman" w:hAnsi="Times New Roman"/>
                <w:color w:val="000000"/>
                <w:sz w:val="18"/>
                <w:szCs w:val="18"/>
                <w:lang w:eastAsia="sk-SK"/>
              </w:rPr>
              <w:t>Rezerva predsedu vlády SR</w:t>
            </w:r>
          </w:p>
        </w:tc>
        <w:tc>
          <w:tcPr>
            <w:tcW w:w="884"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5 620</w:t>
            </w:r>
          </w:p>
        </w:tc>
        <w:tc>
          <w:tcPr>
            <w:tcW w:w="865"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3 060</w:t>
            </w:r>
          </w:p>
        </w:tc>
        <w:tc>
          <w:tcPr>
            <w:tcW w:w="847"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1 500</w:t>
            </w:r>
          </w:p>
        </w:tc>
        <w:tc>
          <w:tcPr>
            <w:tcW w:w="1031" w:type="dxa"/>
            <w:tcBorders>
              <w:top w:val="nil"/>
              <w:left w:val="nil"/>
              <w:bottom w:val="nil"/>
              <w:right w:val="nil"/>
            </w:tcBorders>
            <w:shd w:val="clear" w:color="000000" w:fill="BFBFB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1 575</w:t>
            </w:r>
          </w:p>
        </w:tc>
        <w:tc>
          <w:tcPr>
            <w:tcW w:w="902"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75</w:t>
            </w:r>
          </w:p>
        </w:tc>
        <w:tc>
          <w:tcPr>
            <w:tcW w:w="773"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5,0</w:t>
            </w:r>
          </w:p>
        </w:tc>
      </w:tr>
      <w:tr>
        <w:tblPrEx>
          <w:tblW w:w="8934" w:type="dxa"/>
          <w:tblCellMar>
            <w:left w:w="70" w:type="dxa"/>
            <w:right w:w="70" w:type="dxa"/>
          </w:tblCellMar>
          <w:tblLook w:val="04A0"/>
        </w:tblPrEx>
        <w:trPr>
          <w:trHeight w:val="352"/>
        </w:trPr>
        <w:tc>
          <w:tcPr>
            <w:tcW w:w="3629" w:type="dxa"/>
            <w:tcBorders>
              <w:top w:val="nil"/>
              <w:left w:val="nil"/>
              <w:bottom w:val="nil"/>
              <w:right w:val="nil"/>
            </w:tcBorders>
            <w:shd w:val="clear" w:color="000000" w:fill="FFFFFF"/>
            <w:noWrap/>
            <w:textDirection w:val="lrTb"/>
            <w:vAlign w:val="center"/>
            <w:hideMark/>
          </w:tcPr>
          <w:p w:rsidR="00A568CD" w:rsidRPr="00A568CD" w:rsidP="00835D70">
            <w:pPr>
              <w:bidi w:val="0"/>
              <w:spacing w:after="0" w:line="240" w:lineRule="auto"/>
              <w:jc w:val="left"/>
              <w:rPr>
                <w:rFonts w:ascii="Times New Roman" w:hAnsi="Times New Roman"/>
                <w:color w:val="000000"/>
                <w:sz w:val="18"/>
                <w:szCs w:val="18"/>
                <w:lang w:eastAsia="sk-SK"/>
              </w:rPr>
            </w:pPr>
            <w:r w:rsidRPr="00A568CD">
              <w:rPr>
                <w:rFonts w:ascii="Times New Roman" w:hAnsi="Times New Roman"/>
                <w:color w:val="000000"/>
                <w:sz w:val="18"/>
                <w:szCs w:val="18"/>
                <w:lang w:eastAsia="sk-SK"/>
              </w:rPr>
              <w:t>Rezerva na prostriedky Európskej únie a odvody EÚ</w:t>
            </w:r>
          </w:p>
        </w:tc>
        <w:tc>
          <w:tcPr>
            <w:tcW w:w="884"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1 809</w:t>
            </w:r>
          </w:p>
        </w:tc>
        <w:tc>
          <w:tcPr>
            <w:tcW w:w="865"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11 109</w:t>
            </w:r>
          </w:p>
        </w:tc>
        <w:tc>
          <w:tcPr>
            <w:tcW w:w="847" w:type="dxa"/>
            <w:tcBorders>
              <w:top w:val="nil"/>
              <w:left w:val="nil"/>
              <w:bottom w:val="nil"/>
              <w:right w:val="nil"/>
            </w:tcBorders>
            <w:shd w:val="clear" w:color="000000" w:fill="FFFFF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189 570</w:t>
            </w:r>
          </w:p>
        </w:tc>
        <w:tc>
          <w:tcPr>
            <w:tcW w:w="1031" w:type="dxa"/>
            <w:tcBorders>
              <w:top w:val="nil"/>
              <w:left w:val="nil"/>
              <w:bottom w:val="nil"/>
              <w:right w:val="nil"/>
            </w:tcBorders>
            <w:shd w:val="clear" w:color="000000" w:fill="BFBFBF"/>
            <w:noWrap/>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0</w:t>
            </w:r>
          </w:p>
        </w:tc>
        <w:tc>
          <w:tcPr>
            <w:tcW w:w="902"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-189 570</w:t>
            </w:r>
          </w:p>
        </w:tc>
        <w:tc>
          <w:tcPr>
            <w:tcW w:w="773" w:type="dxa"/>
            <w:tcBorders>
              <w:top w:val="nil"/>
              <w:left w:val="nil"/>
              <w:bottom w:val="nil"/>
              <w:right w:val="nil"/>
            </w:tcBorders>
            <w:shd w:val="clear" w:color="000000" w:fill="FFFFFF"/>
            <w:textDirection w:val="lrTb"/>
            <w:vAlign w:val="center"/>
            <w:hideMark/>
          </w:tcPr>
          <w:p w:rsidR="00A568CD" w:rsidRPr="00A568CD" w:rsidP="008E1798">
            <w:pPr>
              <w:bidi w:val="0"/>
              <w:spacing w:after="0" w:line="240" w:lineRule="auto"/>
              <w:jc w:val="right"/>
              <w:rPr>
                <w:rFonts w:ascii="Times New Roman" w:hAnsi="Times New Roman"/>
                <w:color w:val="000000"/>
                <w:sz w:val="18"/>
                <w:szCs w:val="18"/>
                <w:lang w:eastAsia="sk-SK"/>
              </w:rPr>
            </w:pPr>
            <w:r w:rsidRPr="00A568CD">
              <w:rPr>
                <w:rFonts w:ascii="Times New Roman" w:hAnsi="Times New Roman"/>
                <w:color w:val="000000"/>
                <w:sz w:val="18"/>
                <w:szCs w:val="18"/>
                <w:lang w:eastAsia="sk-SK"/>
              </w:rPr>
              <w:t>-100,0</w:t>
            </w:r>
          </w:p>
        </w:tc>
      </w:tr>
      <w:tr>
        <w:tblPrEx>
          <w:tblW w:w="8934" w:type="dxa"/>
          <w:tblCellMar>
            <w:left w:w="70" w:type="dxa"/>
            <w:right w:w="70" w:type="dxa"/>
          </w:tblCellMar>
          <w:tblLook w:val="04A0"/>
        </w:tblPrEx>
        <w:trPr>
          <w:trHeight w:val="352"/>
        </w:trPr>
        <w:tc>
          <w:tcPr>
            <w:tcW w:w="3629"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35D70">
            <w:pPr>
              <w:bidi w:val="0"/>
              <w:spacing w:after="0" w:line="240" w:lineRule="auto"/>
              <w:jc w:val="lef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Spolu</w:t>
            </w:r>
          </w:p>
        </w:tc>
        <w:tc>
          <w:tcPr>
            <w:tcW w:w="884"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7 429</w:t>
            </w:r>
          </w:p>
        </w:tc>
        <w:tc>
          <w:tcPr>
            <w:tcW w:w="865"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14 188</w:t>
            </w:r>
          </w:p>
        </w:tc>
        <w:tc>
          <w:tcPr>
            <w:tcW w:w="847"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196 070</w:t>
            </w:r>
          </w:p>
        </w:tc>
        <w:tc>
          <w:tcPr>
            <w:tcW w:w="1031" w:type="dxa"/>
            <w:tcBorders>
              <w:top w:val="single" w:sz="4" w:space="0" w:color="auto"/>
              <w:left w:val="nil"/>
              <w:bottom w:val="single" w:sz="8" w:space="0" w:color="auto"/>
              <w:right w:val="nil"/>
            </w:tcBorders>
            <w:shd w:val="clear" w:color="000000" w:fill="BFBFB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3 761</w:t>
            </w:r>
          </w:p>
        </w:tc>
        <w:tc>
          <w:tcPr>
            <w:tcW w:w="902"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-192 309</w:t>
            </w:r>
          </w:p>
        </w:tc>
        <w:tc>
          <w:tcPr>
            <w:tcW w:w="773" w:type="dxa"/>
            <w:tcBorders>
              <w:top w:val="single" w:sz="4" w:space="0" w:color="auto"/>
              <w:left w:val="nil"/>
              <w:bottom w:val="single" w:sz="8" w:space="0" w:color="auto"/>
              <w:right w:val="nil"/>
            </w:tcBorders>
            <w:shd w:val="clear" w:color="000000" w:fill="FFFFFF"/>
            <w:noWrap/>
            <w:textDirection w:val="lrTb"/>
            <w:vAlign w:val="center"/>
            <w:hideMark/>
          </w:tcPr>
          <w:p w:rsidR="00A568CD" w:rsidRPr="00835D70" w:rsidP="008E1798">
            <w:pPr>
              <w:bidi w:val="0"/>
              <w:spacing w:after="0" w:line="240" w:lineRule="auto"/>
              <w:jc w:val="right"/>
              <w:rPr>
                <w:rFonts w:ascii="Times New Roman" w:hAnsi="Times New Roman"/>
                <w:b/>
                <w:color w:val="000000"/>
                <w:sz w:val="18"/>
                <w:szCs w:val="18"/>
                <w:lang w:eastAsia="sk-SK"/>
              </w:rPr>
            </w:pPr>
            <w:r w:rsidRPr="00835D70">
              <w:rPr>
                <w:rFonts w:ascii="Times New Roman" w:hAnsi="Times New Roman"/>
                <w:b/>
                <w:color w:val="000000"/>
                <w:sz w:val="18"/>
                <w:szCs w:val="18"/>
                <w:lang w:eastAsia="sk-SK"/>
              </w:rPr>
              <w:t>-98,1</w:t>
            </w:r>
          </w:p>
        </w:tc>
      </w:tr>
    </w:tbl>
    <w:p w:rsidR="001F655F" w:rsidRPr="00A568CD" w:rsidP="000B3D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jc w:val="right"/>
        <w:rPr>
          <w:rFonts w:ascii="Times New Roman" w:hAnsi="Times New Roman"/>
          <w:color w:val="000000"/>
          <w:sz w:val="18"/>
          <w:szCs w:val="18"/>
        </w:rPr>
      </w:pPr>
      <w:bookmarkStart w:id="68" w:name="RANGE!B5:H12"/>
      <w:bookmarkEnd w:id="68"/>
      <w:r w:rsidRPr="00A568CD">
        <w:rPr>
          <w:rFonts w:ascii="Times New Roman" w:hAnsi="Times New Roman"/>
          <w:color w:val="000000"/>
          <w:sz w:val="18"/>
          <w:szCs w:val="18"/>
        </w:rPr>
        <w:t>Zdroj: MF SR</w:t>
      </w:r>
    </w:p>
    <w:p w:rsidR="00A568CD" w:rsidRPr="007D158D" w:rsidP="00FF3CFC">
      <w:pPr>
        <w:pStyle w:val="Zkladntext1"/>
        <w:tabs>
          <w:tab w:val="left" w:pos="284"/>
        </w:tabs>
        <w:bidi w:val="0"/>
        <w:spacing w:after="120" w:line="336" w:lineRule="auto"/>
        <w:rPr>
          <w:rFonts w:ascii="Times New Roman" w:hAnsi="Times New Roman"/>
          <w:b/>
          <w:color w:themeColor="tx1" w:themeShade="FF"/>
          <w:sz w:val="22"/>
          <w:szCs w:val="22"/>
          <w:lang w:val="sk-SK"/>
        </w:rPr>
      </w:pPr>
      <w:bookmarkStart w:id="69" w:name="_Toc479313246"/>
      <w:r w:rsidRPr="007D158D">
        <w:rPr>
          <w:rFonts w:ascii="Times New Roman" w:hAnsi="Times New Roman"/>
          <w:b/>
          <w:color w:themeColor="tx1" w:themeShade="FF"/>
          <w:sz w:val="22"/>
          <w:szCs w:val="22"/>
          <w:lang w:val="sk-SK"/>
        </w:rPr>
        <w:t>Rezerva vlády Slovenskej republiky</w:t>
      </w:r>
    </w:p>
    <w:p w:rsidR="00A568CD" w:rsidP="00FF3C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color w:val="000000" w:themeColor="tx1" w:themeShade="FF"/>
          <w:szCs w:val="22"/>
        </w:rPr>
      </w:pPr>
      <w:r w:rsidRPr="007D158D">
        <w:rPr>
          <w:rFonts w:ascii="Times New Roman" w:hAnsi="Times New Roman"/>
          <w:color w:val="000000" w:themeColor="tx1" w:themeShade="FF"/>
          <w:szCs w:val="22"/>
        </w:rPr>
        <w:t>Rezerva vlády SR je rozpočtovaná na krytie nepredvídaných a mimoriadnych potrieb súvisiacich so zabezpečením plnenia vnútorných a zahraničných úloh Slovenskej republiky. O jej použití rozhoduje vláda SR na návrh ministra financií</w:t>
      </w:r>
      <w:r w:rsidRPr="00027096">
        <w:rPr>
          <w:rFonts w:ascii="Times New Roman" w:hAnsi="Times New Roman"/>
          <w:color w:val="000000" w:themeColor="tx1" w:themeShade="FF"/>
          <w:szCs w:val="22"/>
        </w:rPr>
        <w:t xml:space="preserve">. Z rezervy vlády SR bola uvoľnená celková suma 2 466 tis. eur, z toho prostredníctvom platobných príkazov čiastka 2 186 tis. eur a formou rozpočtových opatrení suma 280 tis. eur. </w:t>
      </w:r>
    </w:p>
    <w:p w:rsidR="00A568CD" w:rsidP="00FF3C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sidRPr="00FC2B06">
        <w:rPr>
          <w:rFonts w:ascii="Times New Roman" w:hAnsi="Times New Roman"/>
          <w:szCs w:val="22"/>
        </w:rPr>
        <w:t xml:space="preserve">V zmysle uznesenia vlády SR č. 203/2017 zo dňa 26. apríla 2017 </w:t>
      </w:r>
      <w:r>
        <w:rPr>
          <w:rFonts w:ascii="Times New Roman" w:hAnsi="Times New Roman"/>
          <w:szCs w:val="22"/>
        </w:rPr>
        <w:t xml:space="preserve">na riešenie finančnej situácie </w:t>
      </w:r>
      <w:r w:rsidRPr="00FC2B06">
        <w:rPr>
          <w:rFonts w:ascii="Times New Roman" w:hAnsi="Times New Roman"/>
          <w:szCs w:val="22"/>
        </w:rPr>
        <w:t>bezpečných ženských domov a poradenských centier sa čerpalo</w:t>
      </w:r>
      <w:r>
        <w:rPr>
          <w:rFonts w:ascii="Times New Roman" w:hAnsi="Times New Roman"/>
          <w:szCs w:val="22"/>
        </w:rPr>
        <w:t xml:space="preserve"> 1 034 tis. eur</w:t>
      </w:r>
      <w:r w:rsidRPr="00FC2B06">
        <w:rPr>
          <w:rFonts w:ascii="Times New Roman" w:hAnsi="Times New Roman"/>
          <w:szCs w:val="22"/>
        </w:rPr>
        <w:t xml:space="preserve"> formou platobného príkazu pre</w:t>
      </w:r>
      <w:r w:rsidR="00835D70">
        <w:rPr>
          <w:rFonts w:ascii="Times New Roman" w:hAnsi="Times New Roman"/>
          <w:szCs w:val="22"/>
        </w:rPr>
        <w:t xml:space="preserve"> jednotlivé poradenské centrá a </w:t>
      </w:r>
      <w:r w:rsidRPr="00FC2B06">
        <w:rPr>
          <w:rFonts w:ascii="Times New Roman" w:hAnsi="Times New Roman"/>
          <w:szCs w:val="22"/>
        </w:rPr>
        <w:t xml:space="preserve">bezpečné </w:t>
      </w:r>
      <w:r>
        <w:rPr>
          <w:rFonts w:ascii="Times New Roman" w:hAnsi="Times New Roman"/>
          <w:szCs w:val="22"/>
        </w:rPr>
        <w:t xml:space="preserve">ženské </w:t>
      </w:r>
      <w:r w:rsidRPr="00FC2B06">
        <w:rPr>
          <w:rFonts w:ascii="Times New Roman" w:hAnsi="Times New Roman"/>
          <w:szCs w:val="22"/>
        </w:rPr>
        <w:t xml:space="preserve">domovy. </w:t>
      </w:r>
    </w:p>
    <w:p w:rsidR="00A568CD" w:rsidRPr="004A39A8" w:rsidP="00FF3C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sidRPr="004A39A8">
        <w:rPr>
          <w:rFonts w:ascii="Times New Roman" w:hAnsi="Times New Roman"/>
          <w:szCs w:val="22"/>
        </w:rPr>
        <w:t xml:space="preserve">V zmysle uznesenia vlády č. 565/2017 zo dňa 6. decembra 2017 k Návrhu dodatku č. 2 k Akčnému plánu rozvoja okresu Revúca a k Návrhu na uvoľnenie finančných prostriedkov z rezervy vlády SR sa formou platobných príkazov čerpalo 1 045 tis. eur. </w:t>
      </w:r>
    </w:p>
    <w:p w:rsidR="00A568CD" w:rsidP="00FF3C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sidRPr="004A39A8">
        <w:rPr>
          <w:rFonts w:ascii="Times New Roman" w:hAnsi="Times New Roman"/>
          <w:szCs w:val="22"/>
        </w:rPr>
        <w:t xml:space="preserve">V zmysle uznesenia vlády SR č. 286/2017 zo dňa 7. júna 2017 na zabezpečenie koordinácie systému prevencie násilia na ženách a domáceho násilia a prevádzky zariadení poskytujúcich pomoc obetiam domáceho násilia sa uvoľnilo platobným príkazom 107 tis. eur pre jednotlivé neziskové organizácie a formou rozpočtového opatrenia 280 tis. eur pre Ministerstvo práce, sociálnych vecí a rodiny SR. </w:t>
      </w:r>
    </w:p>
    <w:p w:rsidR="00E97DC7" w:rsidRPr="00FF6188" w:rsidP="00FF3CF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p>
    <w:p w:rsidR="00A568CD" w:rsidRPr="0098712D" w:rsidP="00FF3CFC">
      <w:pPr>
        <w:pStyle w:val="ListParagraph"/>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ind w:left="0"/>
        <w:jc w:val="both"/>
        <w:rPr>
          <w:rFonts w:ascii="Times New Roman" w:hAnsi="Times New Roman"/>
          <w:color w:val="000000" w:themeColor="tx1" w:themeShade="FF"/>
        </w:rPr>
      </w:pPr>
      <w:r w:rsidRPr="0098712D">
        <w:rPr>
          <w:rFonts w:ascii="Times New Roman" w:hAnsi="Times New Roman"/>
          <w:b/>
          <w:color w:val="000000" w:themeColor="tx1" w:themeShade="FF"/>
        </w:rPr>
        <w:t>Rezerva predsedu vlády Slovenskej republiky</w:t>
      </w:r>
    </w:p>
    <w:p w:rsidR="00A568CD" w:rsidRPr="0098712D" w:rsidP="00FF3CFC">
      <w:pPr>
        <w:pStyle w:val="Zkladntext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themeColor="tx1" w:themeShade="FF"/>
          <w:sz w:val="22"/>
          <w:szCs w:val="22"/>
          <w:lang w:val="sk-SK"/>
        </w:rPr>
      </w:pPr>
      <w:r w:rsidRPr="0098712D">
        <w:rPr>
          <w:rFonts w:ascii="Times New Roman" w:hAnsi="Times New Roman"/>
          <w:color w:themeColor="tx1" w:themeShade="FF"/>
          <w:sz w:val="22"/>
          <w:szCs w:val="22"/>
          <w:lang w:val="sk-SK"/>
        </w:rPr>
        <w:t xml:space="preserve">Rezerva predsedu vlády SR sa v súlade s § 10 odsek 3 zákona o rozpočtových pravidlách rozpočtuje a vykazuje v rozpočtovej kapitole Úradu vlády SR. O použití prostriedkov rozhoduje predseda vlády. </w:t>
      </w:r>
    </w:p>
    <w:p w:rsidR="00A568CD" w:rsidRPr="008B16AA" w:rsidP="00FF3CFC">
      <w:pPr>
        <w:pStyle w:val="Zkladntext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themeColor="tx1" w:themeShade="FF"/>
          <w:sz w:val="22"/>
          <w:szCs w:val="22"/>
          <w:lang w:val="sk-SK"/>
        </w:rPr>
      </w:pPr>
      <w:r w:rsidRPr="008B16AA">
        <w:rPr>
          <w:rFonts w:ascii="Times New Roman" w:hAnsi="Times New Roman"/>
          <w:color w:themeColor="tx1" w:themeShade="FF"/>
          <w:sz w:val="22"/>
          <w:szCs w:val="22"/>
          <w:lang w:val="sk-SK"/>
        </w:rPr>
        <w:t xml:space="preserve">Schválený rozpočet rezervy predsedu vlády SR v sume 1 500 tis. eur bol úpravami zvýšený </w:t>
      </w:r>
      <w:r w:rsidR="00E97DC7">
        <w:rPr>
          <w:rFonts w:ascii="Times New Roman" w:hAnsi="Times New Roman"/>
          <w:color w:themeColor="tx1" w:themeShade="FF"/>
          <w:sz w:val="22"/>
          <w:szCs w:val="22"/>
          <w:lang w:val="sk-SK"/>
        </w:rPr>
        <w:br/>
      </w:r>
      <w:r w:rsidRPr="008B16AA">
        <w:rPr>
          <w:rFonts w:ascii="Times New Roman" w:hAnsi="Times New Roman"/>
          <w:color w:themeColor="tx1" w:themeShade="FF"/>
          <w:sz w:val="22"/>
          <w:szCs w:val="22"/>
          <w:lang w:val="sk-SK"/>
        </w:rPr>
        <w:t>na čiastku 1 576 tis. eur. Celkovo sa príjemcom, ktorými boli najmä neziskové organizácie, obce a mestá poskytlo 1 83</w:t>
      </w:r>
      <w:r>
        <w:rPr>
          <w:rFonts w:ascii="Times New Roman" w:hAnsi="Times New Roman"/>
          <w:color w:themeColor="tx1" w:themeShade="FF"/>
          <w:sz w:val="22"/>
          <w:szCs w:val="22"/>
          <w:lang w:val="sk-SK"/>
        </w:rPr>
        <w:t>7</w:t>
      </w:r>
      <w:r w:rsidRPr="008B16AA">
        <w:rPr>
          <w:rFonts w:ascii="Times New Roman" w:hAnsi="Times New Roman"/>
          <w:color w:themeColor="tx1" w:themeShade="FF"/>
          <w:sz w:val="22"/>
          <w:szCs w:val="22"/>
          <w:lang w:val="sk-SK"/>
        </w:rPr>
        <w:t xml:space="preserve"> tis. eur, a</w:t>
      </w:r>
      <w:r w:rsidR="0034534B">
        <w:rPr>
          <w:rFonts w:ascii="Times New Roman" w:hAnsi="Times New Roman"/>
          <w:color w:themeColor="tx1" w:themeShade="FF"/>
          <w:sz w:val="22"/>
          <w:szCs w:val="22"/>
          <w:lang w:val="sk-SK"/>
        </w:rPr>
        <w:t xml:space="preserve"> </w:t>
      </w:r>
      <w:r w:rsidRPr="008B16AA">
        <w:rPr>
          <w:rFonts w:ascii="Times New Roman" w:hAnsi="Times New Roman"/>
          <w:color w:themeColor="tx1" w:themeShade="FF"/>
          <w:sz w:val="22"/>
          <w:szCs w:val="22"/>
          <w:lang w:val="sk-SK"/>
        </w:rPr>
        <w:t>to platobným príkazom 1 57</w:t>
      </w:r>
      <w:r>
        <w:rPr>
          <w:rFonts w:ascii="Times New Roman" w:hAnsi="Times New Roman"/>
          <w:color w:themeColor="tx1" w:themeShade="FF"/>
          <w:sz w:val="22"/>
          <w:szCs w:val="22"/>
          <w:lang w:val="sk-SK"/>
        </w:rPr>
        <w:t>5</w:t>
      </w:r>
      <w:r w:rsidRPr="008B16AA">
        <w:rPr>
          <w:rFonts w:ascii="Times New Roman" w:hAnsi="Times New Roman"/>
          <w:color w:themeColor="tx1" w:themeShade="FF"/>
          <w:sz w:val="22"/>
          <w:szCs w:val="22"/>
          <w:lang w:val="sk-SK"/>
        </w:rPr>
        <w:t xml:space="preserve"> tis. eur a rozpočtovými opatreniami 262 tis. eur.</w:t>
      </w:r>
    </w:p>
    <w:p w:rsidR="00A568CD" w:rsidRPr="00AE58C8" w:rsidP="00FF3CFC">
      <w:pPr>
        <w:pStyle w:val="ListParagraph"/>
        <w:tabs>
          <w:tab w:val="left" w:pos="284"/>
        </w:tabs>
        <w:bidi w:val="0"/>
        <w:spacing w:after="120" w:line="336" w:lineRule="auto"/>
        <w:ind w:left="0"/>
        <w:jc w:val="both"/>
        <w:rPr>
          <w:rFonts w:ascii="Times New Roman" w:hAnsi="Times New Roman"/>
          <w:b/>
          <w:color w:val="000000" w:themeColor="tx1" w:themeShade="FF"/>
        </w:rPr>
      </w:pPr>
      <w:r w:rsidRPr="00AE58C8">
        <w:rPr>
          <w:rFonts w:ascii="Times New Roman" w:hAnsi="Times New Roman"/>
          <w:b/>
          <w:color w:val="000000" w:themeColor="tx1" w:themeShade="FF"/>
        </w:rPr>
        <w:t>Rezerva na prostriedky EÚ a odvody EÚ</w:t>
      </w:r>
    </w:p>
    <w:p w:rsidR="00A568CD" w:rsidRPr="00166DE5" w:rsidP="00FF3CFC">
      <w:pPr>
        <w:bidi w:val="0"/>
        <w:rPr>
          <w:rFonts w:ascii="Times New Roman" w:hAnsi="Times New Roman"/>
          <w:szCs w:val="22"/>
        </w:rPr>
      </w:pPr>
      <w:r w:rsidRPr="00AE58C8">
        <w:rPr>
          <w:rFonts w:ascii="Times New Roman" w:hAnsi="Times New Roman"/>
          <w:color w:val="000000" w:themeColor="tx1" w:themeShade="FF"/>
          <w:szCs w:val="22"/>
        </w:rPr>
        <w:t xml:space="preserve">Rezerva na prostriedky </w:t>
      </w:r>
      <w:r>
        <w:rPr>
          <w:rFonts w:ascii="Times New Roman" w:hAnsi="Times New Roman"/>
          <w:color w:val="000000" w:themeColor="tx1" w:themeShade="FF"/>
          <w:szCs w:val="22"/>
        </w:rPr>
        <w:t>Európskej únie</w:t>
      </w:r>
      <w:r w:rsidRPr="00AE58C8">
        <w:rPr>
          <w:rFonts w:ascii="Times New Roman" w:hAnsi="Times New Roman"/>
          <w:color w:val="000000" w:themeColor="tx1" w:themeShade="FF"/>
          <w:szCs w:val="22"/>
        </w:rPr>
        <w:t xml:space="preserve"> a odvody </w:t>
      </w:r>
      <w:r>
        <w:rPr>
          <w:rFonts w:ascii="Times New Roman" w:hAnsi="Times New Roman"/>
          <w:color w:val="000000" w:themeColor="tx1" w:themeShade="FF"/>
          <w:szCs w:val="22"/>
        </w:rPr>
        <w:t>Európskej únie</w:t>
      </w:r>
      <w:r w:rsidRPr="00AE58C8">
        <w:rPr>
          <w:rFonts w:ascii="Times New Roman" w:hAnsi="Times New Roman"/>
          <w:b/>
          <w:color w:val="000000" w:themeColor="tx1" w:themeShade="FF"/>
          <w:szCs w:val="22"/>
        </w:rPr>
        <w:t xml:space="preserve"> </w:t>
      </w:r>
      <w:r w:rsidRPr="00166DE5">
        <w:rPr>
          <w:rFonts w:ascii="Times New Roman" w:hAnsi="Times New Roman"/>
          <w:szCs w:val="22"/>
        </w:rPr>
        <w:t xml:space="preserve">bola rozpočtovaná na rok 2017 v sume </w:t>
      </w:r>
      <w:r>
        <w:rPr>
          <w:rFonts w:ascii="Times New Roman" w:hAnsi="Times New Roman"/>
          <w:szCs w:val="22"/>
        </w:rPr>
        <w:t>189 570 tis. eur</w:t>
      </w:r>
      <w:r w:rsidRPr="00166DE5">
        <w:rPr>
          <w:rFonts w:ascii="Times New Roman" w:hAnsi="Times New Roman"/>
          <w:szCs w:val="22"/>
        </w:rPr>
        <w:t>. Uvedená rezerva sa vytvorila na zabezpečenie plynulého financovania spoločných p</w:t>
      </w:r>
      <w:r w:rsidR="003523CF">
        <w:rPr>
          <w:rFonts w:ascii="Times New Roman" w:hAnsi="Times New Roman"/>
          <w:szCs w:val="22"/>
        </w:rPr>
        <w:t xml:space="preserve">rogramov Slovenskej republiky a </w:t>
      </w:r>
      <w:r w:rsidRPr="00166DE5">
        <w:rPr>
          <w:rFonts w:ascii="Times New Roman" w:hAnsi="Times New Roman"/>
          <w:szCs w:val="22"/>
        </w:rPr>
        <w:t>Európskej únie. Prostriedky z rez</w:t>
      </w:r>
      <w:r>
        <w:rPr>
          <w:rFonts w:ascii="Times New Roman" w:hAnsi="Times New Roman"/>
          <w:szCs w:val="22"/>
        </w:rPr>
        <w:t>ervy v roku 2017 boli určené na </w:t>
      </w:r>
      <w:r w:rsidRPr="00166DE5">
        <w:rPr>
          <w:rFonts w:ascii="Times New Roman" w:hAnsi="Times New Roman"/>
          <w:szCs w:val="22"/>
        </w:rPr>
        <w:t>rýchlejšiu realizáciu a</w:t>
      </w:r>
      <w:r w:rsidR="003523CF">
        <w:rPr>
          <w:rFonts w:ascii="Times New Roman" w:hAnsi="Times New Roman"/>
          <w:szCs w:val="22"/>
        </w:rPr>
        <w:t xml:space="preserve"> </w:t>
      </w:r>
      <w:r w:rsidRPr="00166DE5">
        <w:rPr>
          <w:rFonts w:ascii="Times New Roman" w:hAnsi="Times New Roman"/>
          <w:szCs w:val="22"/>
        </w:rPr>
        <w:t>väčší počet projektov, ďalšie výdavky súvisiace s fina</w:t>
      </w:r>
      <w:r w:rsidR="003C7FF0">
        <w:rPr>
          <w:rFonts w:ascii="Times New Roman" w:hAnsi="Times New Roman"/>
          <w:szCs w:val="22"/>
        </w:rPr>
        <w:t xml:space="preserve">ncovaním spoločných programov a </w:t>
      </w:r>
      <w:r w:rsidRPr="00166DE5">
        <w:rPr>
          <w:rFonts w:ascii="Times New Roman" w:hAnsi="Times New Roman"/>
          <w:szCs w:val="22"/>
        </w:rPr>
        <w:t xml:space="preserve">na zefektívnenie systému finančného riadenia fondov EÚ a iných finančných nástrojov. </w:t>
      </w:r>
    </w:p>
    <w:p w:rsidR="003014C9" w:rsidRPr="00A339AF" w:rsidP="00FF3CFC">
      <w:pPr>
        <w:bidi w:val="0"/>
        <w:rPr>
          <w:rFonts w:ascii="Times New Roman" w:hAnsi="Times New Roman" w:eastAsiaTheme="majorEastAsia"/>
          <w:b/>
          <w:bCs/>
          <w:sz w:val="24"/>
          <w:szCs w:val="26"/>
          <w:highlight w:val="yellow"/>
        </w:rPr>
      </w:pPr>
      <w:r w:rsidRPr="00593B8F" w:rsidR="00A568CD">
        <w:rPr>
          <w:rFonts w:ascii="Times New Roman" w:hAnsi="Times New Roman"/>
          <w:szCs w:val="22"/>
        </w:rPr>
        <w:t>V </w:t>
      </w:r>
      <w:r w:rsidRPr="00815D35" w:rsidR="00A568CD">
        <w:rPr>
          <w:rFonts w:ascii="Times New Roman" w:hAnsi="Times New Roman"/>
          <w:szCs w:val="22"/>
        </w:rPr>
        <w:t>priebehu roka bola rezerva na prostriedky EÚ a odvody EÚ navýšená o prostr</w:t>
      </w:r>
      <w:r w:rsidR="00A568CD">
        <w:rPr>
          <w:rFonts w:ascii="Times New Roman" w:hAnsi="Times New Roman"/>
          <w:szCs w:val="22"/>
        </w:rPr>
        <w:t>iedky minulých rokov v sume 700 tis. </w:t>
      </w:r>
      <w:r w:rsidRPr="00815D35" w:rsidR="00A568CD">
        <w:rPr>
          <w:rFonts w:ascii="Times New Roman" w:hAnsi="Times New Roman"/>
          <w:szCs w:val="22"/>
        </w:rPr>
        <w:t xml:space="preserve">eur. </w:t>
      </w:r>
      <w:r w:rsidR="00A568CD">
        <w:rPr>
          <w:rFonts w:ascii="Times New Roman" w:hAnsi="Times New Roman"/>
          <w:szCs w:val="22"/>
        </w:rPr>
        <w:t>V roku</w:t>
      </w:r>
      <w:r w:rsidRPr="00815D35" w:rsidR="00A568CD">
        <w:rPr>
          <w:rFonts w:ascii="Times New Roman" w:hAnsi="Times New Roman"/>
          <w:szCs w:val="22"/>
        </w:rPr>
        <w:t xml:space="preserve"> 2017 nedošlo k čerpaniu rezervy prostredníctvom platobných príkazov</w:t>
      </w:r>
      <w:r w:rsidR="00A568CD">
        <w:rPr>
          <w:rFonts w:ascii="Times New Roman" w:hAnsi="Times New Roman"/>
          <w:szCs w:val="22"/>
        </w:rPr>
        <w:t>, avšak došlo k čerpaniu rozpočtovými opatreniami v sume 118 261 tis. eur</w:t>
      </w:r>
      <w:r w:rsidRPr="00815D35" w:rsidR="00A568CD">
        <w:rPr>
          <w:rFonts w:ascii="Times New Roman" w:hAnsi="Times New Roman"/>
          <w:szCs w:val="22"/>
        </w:rPr>
        <w:t xml:space="preserve">. </w:t>
      </w:r>
      <w:r w:rsidR="00A568CD">
        <w:rPr>
          <w:rFonts w:ascii="Times New Roman" w:hAnsi="Times New Roman"/>
          <w:szCs w:val="22"/>
        </w:rPr>
        <w:t xml:space="preserve">Časť rezervy vo výške 15 000 tis. eur bola rozpočtovým opatrením presunutá na novovytvorený výdavkový titul „Výdavky na vybrané investície“. </w:t>
      </w:r>
      <w:r w:rsidRPr="00815D35" w:rsidR="00A568CD">
        <w:rPr>
          <w:rFonts w:ascii="Times New Roman" w:hAnsi="Times New Roman"/>
          <w:szCs w:val="22"/>
        </w:rPr>
        <w:t xml:space="preserve">Zostatok rezervy z roku 2017 vo výške </w:t>
      </w:r>
      <w:r w:rsidR="00A568CD">
        <w:rPr>
          <w:rFonts w:ascii="Times New Roman" w:hAnsi="Times New Roman"/>
          <w:szCs w:val="22"/>
        </w:rPr>
        <w:t>57</w:t>
      </w:r>
      <w:r w:rsidR="003C7FF0">
        <w:rPr>
          <w:rFonts w:ascii="Times New Roman" w:hAnsi="Times New Roman"/>
          <w:szCs w:val="22"/>
        </w:rPr>
        <w:t xml:space="preserve"> 009 tis. eur spolu s </w:t>
      </w:r>
      <w:r w:rsidRPr="00815D35" w:rsidR="00A568CD">
        <w:rPr>
          <w:rFonts w:ascii="Times New Roman" w:hAnsi="Times New Roman"/>
          <w:szCs w:val="22"/>
        </w:rPr>
        <w:t xml:space="preserve">rozviazanými finančnými prostriedkami z predchádzajúcich rokov vo výške 52 </w:t>
      </w:r>
      <w:r w:rsidR="00A568CD">
        <w:rPr>
          <w:rFonts w:ascii="Times New Roman" w:hAnsi="Times New Roman"/>
          <w:szCs w:val="22"/>
        </w:rPr>
        <w:t>0</w:t>
      </w:r>
      <w:r w:rsidRPr="00815D35" w:rsidR="00A568CD">
        <w:rPr>
          <w:rFonts w:ascii="Times New Roman" w:hAnsi="Times New Roman"/>
          <w:szCs w:val="22"/>
        </w:rPr>
        <w:t xml:space="preserve">26 </w:t>
      </w:r>
      <w:r w:rsidR="00A568CD">
        <w:rPr>
          <w:rFonts w:ascii="Times New Roman" w:hAnsi="Times New Roman"/>
          <w:szCs w:val="22"/>
        </w:rPr>
        <w:t xml:space="preserve">tis. eur bol v zmysle zákona </w:t>
      </w:r>
      <w:r w:rsidRPr="00815D35" w:rsidR="00A568CD">
        <w:rPr>
          <w:rFonts w:ascii="Times New Roman" w:hAnsi="Times New Roman"/>
          <w:szCs w:val="22"/>
        </w:rPr>
        <w:t>o rozpočtových pravidlách viazaný na použitie v nasledujúcich rokoch v celkovej výške 1</w:t>
      </w:r>
      <w:r w:rsidR="00A568CD">
        <w:rPr>
          <w:rFonts w:ascii="Times New Roman" w:hAnsi="Times New Roman"/>
          <w:szCs w:val="22"/>
        </w:rPr>
        <w:t>09 035 tis. </w:t>
      </w:r>
      <w:r w:rsidRPr="00815D35" w:rsidR="00A568CD">
        <w:rPr>
          <w:rFonts w:ascii="Times New Roman" w:hAnsi="Times New Roman"/>
          <w:szCs w:val="22"/>
        </w:rPr>
        <w:t>eur.</w:t>
      </w:r>
    </w:p>
    <w:p w:rsidR="00EB7A00">
      <w:pPr>
        <w:bidi w:val="0"/>
        <w:spacing w:after="200" w:line="276" w:lineRule="auto"/>
        <w:jc w:val="left"/>
        <w:rPr>
          <w:rFonts w:ascii="Times New Roman" w:hAnsi="Times New Roman" w:eastAsiaTheme="majorEastAsia"/>
          <w:b/>
          <w:bCs/>
          <w:sz w:val="24"/>
          <w:szCs w:val="26"/>
        </w:rPr>
      </w:pPr>
      <w:r>
        <w:rPr>
          <w:rFonts w:ascii="Times New Roman" w:hAnsi="Times New Roman"/>
        </w:rPr>
        <w:br w:type="page"/>
      </w:r>
    </w:p>
    <w:p w:rsidR="00693173" w:rsidRPr="00B44B20" w:rsidP="00225F21">
      <w:pPr>
        <w:pStyle w:val="Heading2"/>
        <w:numPr>
          <w:ilvl w:val="0"/>
          <w:numId w:val="0"/>
        </w:numPr>
        <w:bidi w:val="0"/>
        <w:ind w:firstLine="0"/>
        <w:rPr>
          <w:rFonts w:hint="default"/>
        </w:rPr>
      </w:pPr>
      <w:bookmarkStart w:id="70" w:name="_Toc512599679"/>
      <w:r w:rsidR="00225F21">
        <w:t xml:space="preserve">3.3  </w:t>
      </w:r>
      <w:r w:rsidRPr="00B44B20">
        <w:rPr>
          <w:rFonts w:hint="default"/>
        </w:rPr>
        <w:t>Š</w:t>
      </w:r>
      <w:r w:rsidRPr="00B44B20">
        <w:rPr>
          <w:rFonts w:hint="default"/>
        </w:rPr>
        <w:t>tá</w:t>
      </w:r>
      <w:r w:rsidRPr="00B44B20">
        <w:rPr>
          <w:rFonts w:hint="default"/>
        </w:rPr>
        <w:t>tne finanč</w:t>
      </w:r>
      <w:r w:rsidRPr="00B44B20">
        <w:rPr>
          <w:rFonts w:hint="default"/>
        </w:rPr>
        <w:t>né</w:t>
      </w:r>
      <w:r w:rsidRPr="00B44B20">
        <w:rPr>
          <w:rFonts w:hint="default"/>
        </w:rPr>
        <w:t xml:space="preserve"> akt</w:t>
      </w:r>
      <w:r w:rsidRPr="00B44B20">
        <w:rPr>
          <w:rFonts w:hint="default"/>
        </w:rPr>
        <w:t>í</w:t>
      </w:r>
      <w:r w:rsidRPr="00B44B20">
        <w:rPr>
          <w:rFonts w:hint="default"/>
        </w:rPr>
        <w:t>va</w:t>
      </w:r>
      <w:bookmarkEnd w:id="69"/>
      <w:bookmarkEnd w:id="70"/>
    </w:p>
    <w:p w:rsidR="00B44B20" w:rsidRPr="002E5018" w:rsidP="00B44B20">
      <w:pPr>
        <w:bidi w:val="0"/>
        <w:contextualSpacing/>
        <w:rPr>
          <w:rFonts w:ascii="Times New Roman" w:hAnsi="Times New Roman"/>
          <w:szCs w:val="22"/>
        </w:rPr>
      </w:pPr>
      <w:bookmarkStart w:id="71" w:name="_Toc479313247"/>
      <w:r w:rsidRPr="002E5018">
        <w:rPr>
          <w:rFonts w:ascii="Times New Roman" w:hAnsi="Times New Roman"/>
          <w:szCs w:val="22"/>
        </w:rPr>
        <w:t>Štátne finančné aktíva</w:t>
      </w:r>
      <w:r>
        <w:rPr>
          <w:rFonts w:ascii="Times New Roman" w:hAnsi="Times New Roman"/>
          <w:szCs w:val="22"/>
        </w:rPr>
        <w:t xml:space="preserve"> rovnako ako aj</w:t>
      </w:r>
      <w:r w:rsidRPr="002E5018">
        <w:rPr>
          <w:rFonts w:ascii="Times New Roman" w:hAnsi="Times New Roman"/>
          <w:szCs w:val="22"/>
        </w:rPr>
        <w:t xml:space="preserve"> štátne finančné pasíva</w:t>
      </w:r>
      <w:r>
        <w:rPr>
          <w:rStyle w:val="FootnoteReference"/>
          <w:rFonts w:ascii="Times New Roman" w:hAnsi="Times New Roman"/>
          <w:szCs w:val="22"/>
          <w:rtl w:val="0"/>
        </w:rPr>
        <w:footnoteReference w:id="21"/>
      </w:r>
      <w:r w:rsidRPr="002E5018">
        <w:rPr>
          <w:rFonts w:ascii="Times New Roman" w:hAnsi="Times New Roman"/>
          <w:szCs w:val="22"/>
        </w:rPr>
        <w:t xml:space="preserve"> sú súčasťou návrhu štátneho rozpočtu na príslušný rok. Finančné operácie so štátnymi finančnými aktívami a iné operácie, ktoré ovplyvňujú stav štátnych finančných aktív, nie sú súčasťou príjmov štátneho rozpočtu a výdavkov štátneho rozpočtu. Správu štátnych finančných aktív vykonáva Ministerstvo financií SR, v rozsahu zákona o rozpočtových pravidlách, pričom na niektoré transakcie sa vyžaduje súhlas vlády a </w:t>
      </w:r>
      <w:r w:rsidR="007370DA">
        <w:rPr>
          <w:rFonts w:ascii="Times New Roman" w:hAnsi="Times New Roman"/>
          <w:szCs w:val="22"/>
        </w:rPr>
        <w:br/>
      </w:r>
      <w:r w:rsidRPr="002E5018">
        <w:rPr>
          <w:rFonts w:ascii="Times New Roman" w:hAnsi="Times New Roman"/>
          <w:szCs w:val="22"/>
        </w:rPr>
        <w:t xml:space="preserve">na niektoré </w:t>
      </w:r>
      <w:r>
        <w:rPr>
          <w:rFonts w:ascii="Times New Roman" w:hAnsi="Times New Roman"/>
          <w:szCs w:val="22"/>
        </w:rPr>
        <w:t>aj</w:t>
      </w:r>
      <w:r w:rsidRPr="002E5018">
        <w:rPr>
          <w:rFonts w:ascii="Times New Roman" w:hAnsi="Times New Roman"/>
          <w:szCs w:val="22"/>
        </w:rPr>
        <w:t xml:space="preserve"> súhlas národnej rady SR</w:t>
      </w:r>
      <w:r>
        <w:rPr>
          <w:rStyle w:val="FootnoteReference"/>
          <w:rFonts w:ascii="Times New Roman" w:hAnsi="Times New Roman"/>
          <w:szCs w:val="22"/>
          <w:rtl w:val="0"/>
        </w:rPr>
        <w:footnoteReference w:id="22"/>
      </w:r>
      <w:r w:rsidRPr="002E5018">
        <w:rPr>
          <w:rFonts w:ascii="Times New Roman" w:hAnsi="Times New Roman"/>
          <w:szCs w:val="22"/>
        </w:rPr>
        <w:t>.</w:t>
      </w:r>
    </w:p>
    <w:p w:rsidR="00B44B20" w:rsidRPr="002E5018" w:rsidP="00B44B20">
      <w:pPr>
        <w:bidi w:val="0"/>
        <w:contextualSpacing/>
        <w:rPr>
          <w:rFonts w:ascii="Times New Roman" w:hAnsi="Times New Roman"/>
          <w:szCs w:val="22"/>
        </w:rPr>
      </w:pPr>
      <w:r w:rsidRPr="002E5018">
        <w:rPr>
          <w:rFonts w:ascii="Times New Roman" w:hAnsi="Times New Roman"/>
          <w:szCs w:val="22"/>
        </w:rPr>
        <w:t>Podľa zákona o rozpočtových pravidlách sú štátnymi finančnými aktívami:</w:t>
      </w:r>
    </w:p>
    <w:p w:rsidR="00B44B20" w:rsidRPr="002E5018"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peňažné prostriedky štátu vytvorené z výsledkov rozpočtového hospodárenia štátneho rozpočtu z minulých rokov,</w:t>
      </w:r>
    </w:p>
    <w:p w:rsidR="00B44B20" w:rsidRPr="002E5018"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peňažné prostriedky štátu zo splácania istín poskytnutých návratných výpomocí a úverov a pôžičiek,</w:t>
      </w:r>
    </w:p>
    <w:p w:rsidR="00B44B20"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majetkové účasti štátu,</w:t>
      </w:r>
    </w:p>
    <w:p w:rsidR="00B44B20" w:rsidRPr="00661243" w:rsidP="00B44B20">
      <w:pPr>
        <w:pStyle w:val="ListParagraph"/>
        <w:numPr>
          <w:numId w:val="6"/>
        </w:numPr>
        <w:tabs>
          <w:tab w:val="left" w:pos="284"/>
        </w:tabs>
        <w:bidi w:val="0"/>
        <w:spacing w:after="120" w:line="336" w:lineRule="auto"/>
        <w:ind w:left="0" w:firstLine="0"/>
        <w:jc w:val="both"/>
        <w:rPr>
          <w:rFonts w:ascii="Times New Roman" w:hAnsi="Times New Roman"/>
        </w:rPr>
      </w:pPr>
      <w:r w:rsidRPr="00661243">
        <w:rPr>
          <w:rFonts w:ascii="Times New Roman" w:hAnsi="Times New Roman"/>
        </w:rPr>
        <w:t xml:space="preserve">peňažné prostriedky v pokladnici a na bežných účtoch štátnych rozpočtových organizácií a štátnych príspevkových organizácií a odvod za porušenie finančnej disciplíny pri nakladaní </w:t>
      </w:r>
      <w:r w:rsidR="007370DA">
        <w:rPr>
          <w:rFonts w:ascii="Times New Roman" w:hAnsi="Times New Roman"/>
        </w:rPr>
        <w:br/>
      </w:r>
      <w:r w:rsidRPr="00661243">
        <w:rPr>
          <w:rFonts w:ascii="Times New Roman" w:hAnsi="Times New Roman"/>
        </w:rPr>
        <w:t>so štátnymi finančnými aktívami,</w:t>
      </w:r>
    </w:p>
    <w:p w:rsidR="00B44B20" w:rsidRPr="002E5018"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cenné papiere vo vlastníctve štátu,</w:t>
      </w:r>
    </w:p>
    <w:p w:rsidR="00B44B20" w:rsidRPr="002E5018"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pohľadávky štátu z poskytnutých návratných finančných výpomocí a úverov a pôžičiek,</w:t>
      </w:r>
    </w:p>
    <w:p w:rsidR="00B44B20" w:rsidRPr="002E5018" w:rsidP="00B44B20">
      <w:pPr>
        <w:pStyle w:val="ListParagraph"/>
        <w:numPr>
          <w:numId w:val="6"/>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ďalšie peňažné prostriedky na základe rozhodnutia vlády alebo národnej rady.</w:t>
      </w:r>
    </w:p>
    <w:p w:rsidR="00B44B20" w:rsidP="00B44B20">
      <w:pPr>
        <w:bidi w:val="0"/>
        <w:rPr>
          <w:rFonts w:ascii="Times New Roman" w:hAnsi="Times New Roman"/>
          <w:szCs w:val="22"/>
        </w:rPr>
      </w:pPr>
      <w:r w:rsidRPr="002E5018">
        <w:rPr>
          <w:rFonts w:ascii="Times New Roman" w:hAnsi="Times New Roman"/>
          <w:szCs w:val="22"/>
        </w:rPr>
        <w:t xml:space="preserve">Štátne finančné aktíva sú vedené na samostatných </w:t>
      </w:r>
      <w:r>
        <w:rPr>
          <w:rFonts w:ascii="Times New Roman" w:hAnsi="Times New Roman"/>
          <w:szCs w:val="22"/>
        </w:rPr>
        <w:t xml:space="preserve">(mimorozpočtových) účtoch v Štátnej pokladnici a </w:t>
      </w:r>
      <w:r w:rsidRPr="002E5018">
        <w:rPr>
          <w:rFonts w:ascii="Times New Roman" w:hAnsi="Times New Roman"/>
          <w:szCs w:val="22"/>
        </w:rPr>
        <w:t xml:space="preserve">ich zostatok prechádza vždy do nasledujúceho rozpočtového roka. Okrem prostriedkov, ktoré vznikajú z operácií súvisiacich so správou štátneho dlhu, sú rozhodujúcimi položkami dividendy </w:t>
      </w:r>
      <w:r w:rsidR="007370DA">
        <w:rPr>
          <w:rFonts w:ascii="Times New Roman" w:hAnsi="Times New Roman"/>
          <w:szCs w:val="22"/>
        </w:rPr>
        <w:br/>
      </w:r>
      <w:r w:rsidRPr="002E5018">
        <w:rPr>
          <w:rFonts w:ascii="Times New Roman" w:hAnsi="Times New Roman"/>
          <w:szCs w:val="22"/>
        </w:rPr>
        <w:t xml:space="preserve">od obchodných spoločností štátu, príjem z predaja </w:t>
      </w:r>
      <w:r>
        <w:rPr>
          <w:rFonts w:ascii="Times New Roman" w:hAnsi="Times New Roman"/>
          <w:szCs w:val="22"/>
        </w:rPr>
        <w:t xml:space="preserve">majetkových </w:t>
      </w:r>
      <w:r w:rsidRPr="002E5018">
        <w:rPr>
          <w:rFonts w:ascii="Times New Roman" w:hAnsi="Times New Roman"/>
          <w:szCs w:val="22"/>
        </w:rPr>
        <w:t>podielov v obchodných spoločnostiach štátu</w:t>
      </w:r>
      <w:r>
        <w:rPr>
          <w:rFonts w:ascii="Times New Roman" w:hAnsi="Times New Roman"/>
          <w:szCs w:val="22"/>
        </w:rPr>
        <w:t xml:space="preserve">, </w:t>
      </w:r>
      <w:r w:rsidRPr="002E5018">
        <w:rPr>
          <w:rFonts w:ascii="Times New Roman" w:hAnsi="Times New Roman"/>
          <w:szCs w:val="22"/>
        </w:rPr>
        <w:t>osobitný odvod vybraných finančných inštitúcií</w:t>
      </w:r>
      <w:r>
        <w:rPr>
          <w:rStyle w:val="FootnoteReference"/>
          <w:rFonts w:ascii="Times New Roman" w:hAnsi="Times New Roman"/>
          <w:szCs w:val="22"/>
          <w:rtl w:val="0"/>
        </w:rPr>
        <w:footnoteReference w:id="23"/>
      </w:r>
      <w:r w:rsidRPr="002E5018">
        <w:rPr>
          <w:rFonts w:ascii="Times New Roman" w:hAnsi="Times New Roman"/>
          <w:szCs w:val="22"/>
        </w:rPr>
        <w:t xml:space="preserve"> a osobitný odvod z podnikania v regulovaných odvetviach</w:t>
      </w:r>
      <w:r>
        <w:rPr>
          <w:rStyle w:val="FootnoteReference"/>
          <w:rFonts w:ascii="Times New Roman" w:hAnsi="Times New Roman"/>
          <w:szCs w:val="22"/>
          <w:rtl w:val="0"/>
        </w:rPr>
        <w:footnoteReference w:id="24"/>
      </w:r>
      <w:r w:rsidRPr="002E5018">
        <w:rPr>
          <w:rFonts w:ascii="Times New Roman" w:hAnsi="Times New Roman"/>
          <w:szCs w:val="22"/>
        </w:rPr>
        <w:t>.</w:t>
      </w:r>
    </w:p>
    <w:p w:rsidR="00B44B20" w:rsidP="00B44B20">
      <w:pPr>
        <w:bidi w:val="0"/>
        <w:rPr>
          <w:rFonts w:ascii="Times New Roman" w:hAnsi="Times New Roman"/>
          <w:szCs w:val="22"/>
        </w:rPr>
      </w:pPr>
      <w:r>
        <w:rPr>
          <w:rFonts w:ascii="Times New Roman" w:hAnsi="Times New Roman"/>
          <w:szCs w:val="22"/>
        </w:rPr>
        <w:t xml:space="preserve">Medzi príjmové finančné operácie štátnych finančných aktív patria </w:t>
      </w:r>
      <w:r w:rsidRPr="002E5018">
        <w:rPr>
          <w:rFonts w:ascii="Times New Roman" w:hAnsi="Times New Roman"/>
          <w:szCs w:val="22"/>
        </w:rPr>
        <w:t>splátky istín z poskytnutých návratných finančných výpomocí</w:t>
      </w:r>
      <w:r>
        <w:rPr>
          <w:rFonts w:ascii="Times New Roman" w:hAnsi="Times New Roman"/>
          <w:szCs w:val="22"/>
        </w:rPr>
        <w:t>.</w:t>
      </w:r>
      <w:r w:rsidRPr="002E5018">
        <w:rPr>
          <w:rFonts w:ascii="Times New Roman" w:hAnsi="Times New Roman"/>
          <w:szCs w:val="22"/>
        </w:rPr>
        <w:t xml:space="preserve"> </w:t>
      </w:r>
      <w:r>
        <w:rPr>
          <w:rFonts w:ascii="Times New Roman" w:hAnsi="Times New Roman"/>
          <w:szCs w:val="22"/>
        </w:rPr>
        <w:t xml:space="preserve">Medzi finančné operácie na strane výdavkov štátnych finančných aktív sa zaraďuje poskytovanie </w:t>
      </w:r>
      <w:r w:rsidRPr="002E5018">
        <w:rPr>
          <w:rFonts w:ascii="Times New Roman" w:hAnsi="Times New Roman"/>
          <w:szCs w:val="22"/>
        </w:rPr>
        <w:t>návratných finančných výpomocí, </w:t>
      </w:r>
      <w:r>
        <w:rPr>
          <w:rFonts w:ascii="Times New Roman" w:hAnsi="Times New Roman"/>
          <w:szCs w:val="22"/>
        </w:rPr>
        <w:t>ú</w:t>
      </w:r>
      <w:r w:rsidRPr="002E5018">
        <w:rPr>
          <w:rFonts w:ascii="Times New Roman" w:hAnsi="Times New Roman"/>
          <w:szCs w:val="22"/>
        </w:rPr>
        <w:t xml:space="preserve">hrada podielov </w:t>
      </w:r>
      <w:r w:rsidR="007370DA">
        <w:rPr>
          <w:rFonts w:ascii="Times New Roman" w:hAnsi="Times New Roman"/>
          <w:szCs w:val="22"/>
        </w:rPr>
        <w:br/>
      </w:r>
      <w:r w:rsidRPr="002E5018">
        <w:rPr>
          <w:rFonts w:ascii="Times New Roman" w:hAnsi="Times New Roman"/>
          <w:szCs w:val="22"/>
        </w:rPr>
        <w:t>na základnom imaní zahraničných finančných inštitúcií (napríklad Európsk</w:t>
      </w:r>
      <w:r>
        <w:rPr>
          <w:rFonts w:ascii="Times New Roman" w:hAnsi="Times New Roman"/>
          <w:szCs w:val="22"/>
        </w:rPr>
        <w:t>ej investičnej</w:t>
      </w:r>
      <w:r w:rsidRPr="002E5018">
        <w:rPr>
          <w:rFonts w:ascii="Times New Roman" w:hAnsi="Times New Roman"/>
          <w:szCs w:val="22"/>
        </w:rPr>
        <w:t xml:space="preserve"> bank</w:t>
      </w:r>
      <w:r>
        <w:rPr>
          <w:rFonts w:ascii="Times New Roman" w:hAnsi="Times New Roman"/>
          <w:szCs w:val="22"/>
        </w:rPr>
        <w:t>y</w:t>
      </w:r>
      <w:r w:rsidRPr="002E5018">
        <w:rPr>
          <w:rFonts w:ascii="Times New Roman" w:hAnsi="Times New Roman"/>
          <w:szCs w:val="22"/>
        </w:rPr>
        <w:t>) a</w:t>
      </w:r>
      <w:r>
        <w:rPr>
          <w:rFonts w:ascii="Times New Roman" w:hAnsi="Times New Roman"/>
          <w:szCs w:val="22"/>
        </w:rPr>
        <w:t xml:space="preserve"> </w:t>
      </w:r>
      <w:r w:rsidRPr="002E5018">
        <w:rPr>
          <w:rFonts w:ascii="Times New Roman" w:hAnsi="Times New Roman"/>
          <w:szCs w:val="22"/>
        </w:rPr>
        <w:t>ďalšie transakcie</w:t>
      </w:r>
      <w:r>
        <w:rPr>
          <w:rFonts w:ascii="Times New Roman" w:hAnsi="Times New Roman"/>
          <w:szCs w:val="22"/>
        </w:rPr>
        <w:t>. V</w:t>
      </w:r>
      <w:r w:rsidRPr="002E5018">
        <w:rPr>
          <w:rFonts w:ascii="Times New Roman" w:hAnsi="Times New Roman"/>
          <w:szCs w:val="22"/>
        </w:rPr>
        <w:t xml:space="preserve">ýdavky predstavujú </w:t>
      </w:r>
      <w:r>
        <w:rPr>
          <w:rFonts w:ascii="Times New Roman" w:hAnsi="Times New Roman"/>
          <w:szCs w:val="22"/>
        </w:rPr>
        <w:t xml:space="preserve">najmä </w:t>
      </w:r>
      <w:r w:rsidRPr="002E5018">
        <w:rPr>
          <w:rFonts w:ascii="Times New Roman" w:hAnsi="Times New Roman"/>
          <w:szCs w:val="22"/>
        </w:rPr>
        <w:t>prevod prostriedkov do príjmov štátneho rozpočtu na realizáciu rozpočtových výdavkov</w:t>
      </w:r>
      <w:r>
        <w:rPr>
          <w:rFonts w:ascii="Times New Roman" w:hAnsi="Times New Roman"/>
          <w:szCs w:val="22"/>
        </w:rPr>
        <w:t>, pričom ich vplyv na bilanciu štátnych finančných aktív je neutrálny.</w:t>
      </w:r>
    </w:p>
    <w:p w:rsidR="00B44B20" w:rsidP="00B44B20">
      <w:pPr>
        <w:bidi w:val="0"/>
        <w:rPr>
          <w:rFonts w:ascii="Times New Roman" w:hAnsi="Times New Roman"/>
          <w:szCs w:val="22"/>
        </w:rPr>
      </w:pPr>
      <w:r>
        <w:rPr>
          <w:rFonts w:ascii="Times New Roman" w:hAnsi="Times New Roman"/>
          <w:szCs w:val="22"/>
        </w:rPr>
        <w:t xml:space="preserve">Nasledovný prehľad štátnych finančných aktív abstrahuje od účtov, ktoré slúžia na operácie </w:t>
      </w:r>
      <w:r w:rsidR="007370DA">
        <w:rPr>
          <w:rFonts w:ascii="Times New Roman" w:hAnsi="Times New Roman"/>
          <w:szCs w:val="22"/>
        </w:rPr>
        <w:br/>
      </w:r>
      <w:r>
        <w:rPr>
          <w:rFonts w:ascii="Times New Roman" w:hAnsi="Times New Roman"/>
          <w:szCs w:val="22"/>
        </w:rPr>
        <w:t xml:space="preserve">so štátnym </w:t>
      </w:r>
      <w:r w:rsidRPr="00D10702">
        <w:rPr>
          <w:rFonts w:ascii="Times New Roman" w:hAnsi="Times New Roman"/>
          <w:szCs w:val="22"/>
        </w:rPr>
        <w:t xml:space="preserve">dlhom z dôvodu </w:t>
      </w:r>
      <w:r>
        <w:rPr>
          <w:rFonts w:ascii="Times New Roman" w:hAnsi="Times New Roman"/>
          <w:szCs w:val="22"/>
        </w:rPr>
        <w:t>komentovania</w:t>
      </w:r>
      <w:r w:rsidRPr="00D10702">
        <w:rPr>
          <w:rFonts w:ascii="Times New Roman" w:hAnsi="Times New Roman"/>
          <w:szCs w:val="22"/>
        </w:rPr>
        <w:t xml:space="preserve"> </w:t>
      </w:r>
      <w:r>
        <w:rPr>
          <w:rFonts w:ascii="Times New Roman" w:hAnsi="Times New Roman"/>
          <w:szCs w:val="22"/>
        </w:rPr>
        <w:t>dlhu rozpočtových organizácií ústrednej správy</w:t>
      </w:r>
      <w:r w:rsidRPr="00D10702">
        <w:rPr>
          <w:rFonts w:ascii="Times New Roman" w:hAnsi="Times New Roman"/>
          <w:szCs w:val="22"/>
        </w:rPr>
        <w:t xml:space="preserve"> </w:t>
      </w:r>
      <w:r w:rsidR="007370DA">
        <w:rPr>
          <w:rFonts w:ascii="Times New Roman" w:hAnsi="Times New Roman"/>
          <w:szCs w:val="22"/>
        </w:rPr>
        <w:br/>
      </w:r>
      <w:r w:rsidRPr="00D10702">
        <w:rPr>
          <w:rFonts w:ascii="Times New Roman" w:hAnsi="Times New Roman"/>
          <w:szCs w:val="22"/>
        </w:rPr>
        <w:t>v</w:t>
      </w:r>
      <w:r>
        <w:rPr>
          <w:rFonts w:ascii="Times New Roman" w:hAnsi="Times New Roman"/>
          <w:szCs w:val="22"/>
        </w:rPr>
        <w:t xml:space="preserve"> </w:t>
      </w:r>
      <w:r w:rsidRPr="00D678A1">
        <w:rPr>
          <w:rFonts w:ascii="Times New Roman" w:hAnsi="Times New Roman"/>
          <w:szCs w:val="22"/>
        </w:rPr>
        <w:t>časti 2.1</w:t>
      </w:r>
      <w:r w:rsidRPr="00D10702">
        <w:rPr>
          <w:rFonts w:ascii="Times New Roman" w:hAnsi="Times New Roman"/>
          <w:szCs w:val="22"/>
        </w:rPr>
        <w:t xml:space="preserve"> Dlh verejnej správy.</w:t>
      </w:r>
    </w:p>
    <w:tbl>
      <w:tblPr>
        <w:tblStyle w:val="TableNormal"/>
        <w:tblpPr w:leftFromText="141" w:rightFromText="141" w:vertAnchor="text" w:horzAnchor="margin" w:tblpXSpec="center" w:tblpY="59"/>
        <w:tblW w:w="8852" w:type="dxa"/>
        <w:tblCellMar>
          <w:left w:w="70" w:type="dxa"/>
          <w:right w:w="70" w:type="dxa"/>
        </w:tblCellMar>
        <w:tblLook w:val="04A0"/>
      </w:tblPr>
      <w:tblGrid>
        <w:gridCol w:w="5032"/>
        <w:gridCol w:w="1276"/>
        <w:gridCol w:w="1271"/>
        <w:gridCol w:w="1273"/>
      </w:tblGrid>
      <w:tr>
        <w:tblPrEx>
          <w:tblW w:w="8852" w:type="dxa"/>
          <w:tblCellMar>
            <w:left w:w="70" w:type="dxa"/>
            <w:right w:w="70" w:type="dxa"/>
          </w:tblCellMar>
          <w:tblLook w:val="04A0"/>
        </w:tblPrEx>
        <w:trPr>
          <w:trHeight w:val="279"/>
        </w:trPr>
        <w:tc>
          <w:tcPr>
            <w:tcW w:w="8852" w:type="dxa"/>
            <w:gridSpan w:val="4"/>
            <w:tcBorders>
              <w:top w:val="single" w:sz="4" w:space="0" w:color="auto"/>
              <w:left w:val="nil"/>
              <w:bottom w:val="nil"/>
              <w:right w:val="nil"/>
            </w:tcBorders>
            <w:shd w:val="clear" w:color="000000" w:fill="000000"/>
            <w:noWrap/>
            <w:textDirection w:val="lrTb"/>
            <w:vAlign w:val="center"/>
          </w:tcPr>
          <w:p w:rsidR="00B44B20" w:rsidRPr="001F655F" w:rsidP="00B44B20">
            <w:pPr>
              <w:bidi w:val="0"/>
              <w:spacing w:after="0" w:line="240" w:lineRule="auto"/>
              <w:jc w:val="left"/>
              <w:rPr>
                <w:rFonts w:ascii="Times New Roman" w:hAnsi="Times New Roman"/>
                <w:b/>
                <w:bCs/>
                <w:color w:val="FFFFFF"/>
                <w:sz w:val="18"/>
                <w:szCs w:val="18"/>
              </w:rPr>
            </w:pPr>
            <w:r w:rsidRPr="001F655F">
              <w:rPr>
                <w:rFonts w:ascii="Times New Roman" w:hAnsi="Times New Roman"/>
                <w:sz w:val="18"/>
                <w:szCs w:val="18"/>
              </w:rPr>
              <w:br w:type="page"/>
            </w:r>
            <w:r w:rsidRPr="00FC075E">
              <w:rPr>
                <w:rFonts w:ascii="Times New Roman" w:hAnsi="Times New Roman"/>
                <w:b/>
                <w:bCs/>
                <w:color w:val="FFFFFF"/>
                <w:sz w:val="18"/>
                <w:szCs w:val="18"/>
                <w:lang w:eastAsia="sk-SK"/>
              </w:rPr>
              <w:t>Vybrané účty štátnych finančných aktív                                                                                                            v tis. eur</w:t>
            </w:r>
          </w:p>
        </w:tc>
      </w:tr>
      <w:tr>
        <w:tblPrEx>
          <w:tblW w:w="8852" w:type="dxa"/>
          <w:tblCellMar>
            <w:left w:w="70" w:type="dxa"/>
            <w:right w:w="70" w:type="dxa"/>
          </w:tblCellMar>
          <w:tblLook w:val="04A0"/>
        </w:tblPrEx>
        <w:trPr>
          <w:trHeight w:hRule="exact" w:val="284"/>
        </w:trPr>
        <w:tc>
          <w:tcPr>
            <w:tcW w:w="8852" w:type="dxa"/>
            <w:gridSpan w:val="4"/>
            <w:tcBorders>
              <w:top w:val="nil"/>
              <w:left w:val="nil"/>
              <w:bottom w:val="none" w:sz="0" w:space="0" w:color="auto"/>
              <w:right w:val="nil"/>
            </w:tcBorders>
            <w:shd w:val="clear" w:color="000000" w:fill="BFBFBF"/>
            <w:noWrap/>
            <w:textDirection w:val="lrTb"/>
            <w:vAlign w:val="center"/>
          </w:tcPr>
          <w:p w:rsidR="00B44B20" w:rsidRPr="001F655F" w:rsidP="00B44B20">
            <w:pPr>
              <w:bidi w:val="0"/>
              <w:spacing w:after="0" w:line="240" w:lineRule="auto"/>
              <w:ind w:firstLine="6804"/>
              <w:rPr>
                <w:rFonts w:ascii="Times New Roman" w:hAnsi="Times New Roman"/>
                <w:b/>
                <w:bCs/>
                <w:color w:val="000000"/>
                <w:sz w:val="18"/>
                <w:szCs w:val="18"/>
              </w:rPr>
            </w:pPr>
            <w:r w:rsidRPr="001F655F">
              <w:rPr>
                <w:rFonts w:ascii="Times New Roman" w:hAnsi="Times New Roman"/>
                <w:b/>
                <w:bCs/>
                <w:color w:val="000000"/>
                <w:sz w:val="18"/>
                <w:szCs w:val="18"/>
              </w:rPr>
              <w:t>Skutočnosť</w:t>
            </w:r>
          </w:p>
        </w:tc>
      </w:tr>
      <w:tr>
        <w:tblPrEx>
          <w:tblW w:w="8852" w:type="dxa"/>
          <w:tblCellMar>
            <w:left w:w="70" w:type="dxa"/>
            <w:right w:w="70" w:type="dxa"/>
          </w:tblCellMar>
          <w:tblLook w:val="04A0"/>
        </w:tblPrEx>
        <w:trPr>
          <w:trHeight w:hRule="exact" w:val="284"/>
        </w:trPr>
        <w:tc>
          <w:tcPr>
            <w:tcW w:w="5032" w:type="dxa"/>
            <w:tcBorders>
              <w:top w:val="nil"/>
              <w:left w:val="nil"/>
              <w:bottom w:val="single" w:sz="4" w:space="0" w:color="auto"/>
              <w:right w:val="nil"/>
            </w:tcBorders>
            <w:shd w:val="clear" w:color="000000" w:fill="BFBFBF"/>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w:t>
            </w:r>
          </w:p>
        </w:tc>
        <w:tc>
          <w:tcPr>
            <w:tcW w:w="1276" w:type="dxa"/>
            <w:tcBorders>
              <w:top w:val="nil"/>
              <w:left w:val="nil"/>
              <w:bottom w:val="single" w:sz="4" w:space="0" w:color="auto"/>
              <w:right w:val="nil"/>
            </w:tcBorders>
            <w:shd w:val="clear" w:color="000000" w:fill="BFBFBF"/>
            <w:noWrap/>
            <w:textDirection w:val="lrTb"/>
            <w:vAlign w:val="center"/>
          </w:tcPr>
          <w:p w:rsidR="00B44B20" w:rsidRPr="001F655F" w:rsidP="00B44B20">
            <w:pPr>
              <w:bidi w:val="0"/>
              <w:spacing w:after="0" w:line="240" w:lineRule="auto"/>
              <w:jc w:val="right"/>
              <w:rPr>
                <w:rFonts w:ascii="Times New Roman" w:hAnsi="Times New Roman"/>
                <w:b/>
                <w:bCs/>
                <w:color w:val="000000"/>
                <w:sz w:val="18"/>
                <w:szCs w:val="18"/>
              </w:rPr>
            </w:pPr>
            <w:r w:rsidRPr="001F655F">
              <w:rPr>
                <w:rFonts w:ascii="Times New Roman" w:hAnsi="Times New Roman"/>
                <w:b/>
                <w:bCs/>
                <w:color w:val="000000"/>
                <w:sz w:val="18"/>
                <w:szCs w:val="18"/>
              </w:rPr>
              <w:t>201</w:t>
            </w:r>
            <w:r>
              <w:rPr>
                <w:rFonts w:ascii="Times New Roman" w:hAnsi="Times New Roman"/>
                <w:b/>
                <w:bCs/>
                <w:color w:val="000000"/>
                <w:sz w:val="18"/>
                <w:szCs w:val="18"/>
              </w:rPr>
              <w:t>5</w:t>
            </w:r>
          </w:p>
        </w:tc>
        <w:tc>
          <w:tcPr>
            <w:tcW w:w="1271" w:type="dxa"/>
            <w:tcBorders>
              <w:top w:val="nil"/>
              <w:left w:val="nil"/>
              <w:bottom w:val="single" w:sz="4" w:space="0" w:color="auto"/>
              <w:right w:val="nil"/>
            </w:tcBorders>
            <w:shd w:val="clear" w:color="000000" w:fill="BFBFBF"/>
            <w:noWrap/>
            <w:textDirection w:val="lrTb"/>
            <w:vAlign w:val="center"/>
          </w:tcPr>
          <w:p w:rsidR="00B44B20" w:rsidRPr="001F655F" w:rsidP="00B44B20">
            <w:pPr>
              <w:bidi w:val="0"/>
              <w:spacing w:after="0" w:line="240" w:lineRule="auto"/>
              <w:jc w:val="right"/>
              <w:rPr>
                <w:rFonts w:ascii="Times New Roman" w:hAnsi="Times New Roman"/>
                <w:b/>
                <w:bCs/>
                <w:color w:val="000000"/>
                <w:sz w:val="18"/>
                <w:szCs w:val="18"/>
              </w:rPr>
            </w:pPr>
            <w:r w:rsidRPr="001F655F">
              <w:rPr>
                <w:rFonts w:ascii="Times New Roman" w:hAnsi="Times New Roman"/>
                <w:b/>
                <w:bCs/>
                <w:color w:val="000000"/>
                <w:sz w:val="18"/>
                <w:szCs w:val="18"/>
              </w:rPr>
              <w:t>2</w:t>
            </w:r>
            <w:r>
              <w:rPr>
                <w:rFonts w:ascii="Times New Roman" w:hAnsi="Times New Roman"/>
                <w:b/>
                <w:bCs/>
                <w:color w:val="000000"/>
                <w:sz w:val="18"/>
                <w:szCs w:val="18"/>
              </w:rPr>
              <w:t>016</w:t>
            </w:r>
          </w:p>
        </w:tc>
        <w:tc>
          <w:tcPr>
            <w:tcW w:w="1273" w:type="dxa"/>
            <w:tcBorders>
              <w:top w:val="nil"/>
              <w:left w:val="nil"/>
              <w:bottom w:val="single" w:sz="4"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bCs/>
                <w:color w:val="000000"/>
                <w:sz w:val="18"/>
                <w:szCs w:val="18"/>
              </w:rPr>
            </w:pPr>
            <w:r w:rsidRPr="001F655F">
              <w:rPr>
                <w:rFonts w:ascii="Times New Roman" w:hAnsi="Times New Roman"/>
                <w:b/>
                <w:bCs/>
                <w:color w:val="000000"/>
                <w:sz w:val="18"/>
                <w:szCs w:val="18"/>
              </w:rPr>
              <w:t>201</w:t>
            </w:r>
            <w:r>
              <w:rPr>
                <w:rFonts w:ascii="Times New Roman" w:hAnsi="Times New Roman"/>
                <w:b/>
                <w:bCs/>
                <w:color w:val="000000"/>
                <w:sz w:val="18"/>
                <w:szCs w:val="18"/>
              </w:rPr>
              <w:t>7</w:t>
            </w:r>
          </w:p>
        </w:tc>
      </w:tr>
      <w:tr>
        <w:tblPrEx>
          <w:tblW w:w="8852" w:type="dxa"/>
          <w:tblCellMar>
            <w:left w:w="70" w:type="dxa"/>
            <w:right w:w="70" w:type="dxa"/>
          </w:tblCellMar>
          <w:tblLook w:val="04A0"/>
        </w:tblPrEx>
        <w:trPr>
          <w:trHeight w:val="300"/>
        </w:trPr>
        <w:tc>
          <w:tcPr>
            <w:tcW w:w="5032"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b/>
                <w:color w:val="000000"/>
                <w:sz w:val="18"/>
                <w:szCs w:val="18"/>
              </w:rPr>
            </w:pPr>
            <w:r w:rsidRPr="001F655F">
              <w:rPr>
                <w:rFonts w:ascii="Times New Roman" w:hAnsi="Times New Roman"/>
                <w:b/>
                <w:color w:val="000000"/>
                <w:sz w:val="18"/>
                <w:szCs w:val="18"/>
              </w:rPr>
              <w:t>Stav k 1.1.</w:t>
            </w:r>
          </w:p>
        </w:tc>
        <w:tc>
          <w:tcPr>
            <w:tcW w:w="1276"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1 006 865</w:t>
            </w:r>
          </w:p>
        </w:tc>
        <w:tc>
          <w:tcPr>
            <w:tcW w:w="1271"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2 123 062</w:t>
            </w:r>
          </w:p>
        </w:tc>
        <w:tc>
          <w:tcPr>
            <w:tcW w:w="1273" w:type="dxa"/>
            <w:tcBorders>
              <w:top w:val="single" w:sz="4"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Pr>
                <w:rFonts w:ascii="Times New Roman" w:hAnsi="Times New Roman"/>
                <w:b/>
                <w:color w:val="000000"/>
                <w:sz w:val="18"/>
                <w:szCs w:val="18"/>
              </w:rPr>
              <w:t>1 958 451</w:t>
            </w:r>
          </w:p>
        </w:tc>
      </w:tr>
      <w:tr>
        <w:tblPrEx>
          <w:tblW w:w="8852" w:type="dxa"/>
          <w:tblCellMar>
            <w:left w:w="70" w:type="dxa"/>
            <w:right w:w="70" w:type="dxa"/>
          </w:tblCellMar>
          <w:tblLook w:val="04A0"/>
        </w:tblPrEx>
        <w:trPr>
          <w:trHeight w:val="300"/>
        </w:trPr>
        <w:tc>
          <w:tcPr>
            <w:tcW w:w="5032"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b/>
                <w:color w:val="000000"/>
                <w:sz w:val="18"/>
                <w:szCs w:val="18"/>
              </w:rPr>
            </w:pPr>
            <w:r w:rsidRPr="001F655F">
              <w:rPr>
                <w:rFonts w:ascii="Times New Roman" w:hAnsi="Times New Roman"/>
                <w:b/>
                <w:color w:val="000000"/>
                <w:sz w:val="18"/>
                <w:szCs w:val="18"/>
              </w:rPr>
              <w:t xml:space="preserve">Príjmy </w:t>
            </w:r>
            <w:r>
              <w:rPr>
                <w:rFonts w:ascii="Times New Roman" w:hAnsi="Times New Roman"/>
                <w:b/>
                <w:color w:val="000000"/>
                <w:sz w:val="18"/>
                <w:szCs w:val="18"/>
              </w:rPr>
              <w:t>ŠFA</w:t>
            </w:r>
          </w:p>
          <w:p w:rsidR="00B44B20" w:rsidRPr="001F655F" w:rsidP="00B44B20">
            <w:pPr>
              <w:bidi w:val="0"/>
              <w:spacing w:after="0" w:line="240" w:lineRule="auto"/>
              <w:rPr>
                <w:rFonts w:ascii="Times New Roman" w:hAnsi="Times New Roman"/>
                <w:b/>
                <w:color w:val="000000"/>
                <w:sz w:val="18"/>
                <w:szCs w:val="18"/>
              </w:rPr>
            </w:pPr>
          </w:p>
        </w:tc>
        <w:tc>
          <w:tcPr>
            <w:tcW w:w="1276"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1 320 393</w:t>
            </w:r>
          </w:p>
        </w:tc>
        <w:tc>
          <w:tcPr>
            <w:tcW w:w="1271" w:type="dxa"/>
            <w:tcBorders>
              <w:top w:val="single" w:sz="4"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224 597</w:t>
            </w:r>
          </w:p>
        </w:tc>
        <w:tc>
          <w:tcPr>
            <w:tcW w:w="1273" w:type="dxa"/>
            <w:tcBorders>
              <w:top w:val="single" w:sz="4"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Pr>
                <w:rFonts w:ascii="Times New Roman" w:hAnsi="Times New Roman"/>
                <w:b/>
                <w:color w:val="000000"/>
                <w:sz w:val="18"/>
                <w:szCs w:val="18"/>
              </w:rPr>
              <w:t>348 988</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z toho:</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účelové prostriedky z</w:t>
            </w:r>
            <w:r>
              <w:rPr>
                <w:rFonts w:ascii="Times New Roman" w:hAnsi="Times New Roman"/>
                <w:color w:val="000000"/>
                <w:sz w:val="18"/>
                <w:szCs w:val="18"/>
              </w:rPr>
              <w:t> </w:t>
            </w:r>
            <w:r w:rsidRPr="001F655F">
              <w:rPr>
                <w:rFonts w:ascii="Times New Roman" w:hAnsi="Times New Roman"/>
                <w:color w:val="000000"/>
                <w:sz w:val="18"/>
                <w:szCs w:val="18"/>
              </w:rPr>
              <w:t>FNM</w:t>
            </w:r>
            <w:r>
              <w:rPr>
                <w:rFonts w:ascii="Times New Roman" w:hAnsi="Times New Roman"/>
                <w:color w:val="000000"/>
                <w:sz w:val="18"/>
                <w:szCs w:val="18"/>
              </w:rPr>
              <w:t>/MH Manažment, a.s.</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808 872</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5 107</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29</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splátky istín návratných finančných výpomocí </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117 372</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9 141</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61 270</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osobitný odvod finančných inštitúcií</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110 289</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119 772</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127 284</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osobitný odvod z podnikania v regulovaných odvetviach</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283 713</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82 252</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159 121</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anonymné vklady</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113</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30</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0</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ostatné</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34</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8 295</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1 284</w:t>
            </w:r>
          </w:p>
        </w:tc>
      </w:tr>
      <w:tr>
        <w:tblPrEx>
          <w:tblW w:w="8852" w:type="dxa"/>
          <w:tblCellMar>
            <w:left w:w="70" w:type="dxa"/>
            <w:right w:w="70" w:type="dxa"/>
          </w:tblCellMar>
          <w:tblLook w:val="04A0"/>
        </w:tblPrEx>
        <w:trPr>
          <w:trHeight w:val="300"/>
        </w:trPr>
        <w:tc>
          <w:tcPr>
            <w:tcW w:w="5032" w:type="dxa"/>
            <w:tcBorders>
              <w:top w:val="nil"/>
              <w:left w:val="nil"/>
              <w:bottom w:val="none" w:sz="0" w:space="0" w:color="auto"/>
              <w:right w:val="nil"/>
            </w:tcBorders>
            <w:noWrap/>
            <w:textDirection w:val="lrTb"/>
            <w:vAlign w:val="center"/>
          </w:tcPr>
          <w:p w:rsidR="00B44B20" w:rsidRPr="001F655F" w:rsidP="00D51A65">
            <w:pPr>
              <w:bidi w:val="0"/>
              <w:spacing w:after="0" w:line="240" w:lineRule="auto"/>
              <w:rPr>
                <w:rFonts w:ascii="Times New Roman" w:hAnsi="Times New Roman"/>
                <w:b/>
                <w:color w:val="000000"/>
                <w:sz w:val="18"/>
                <w:szCs w:val="18"/>
              </w:rPr>
            </w:pPr>
            <w:r w:rsidRPr="001F655F">
              <w:rPr>
                <w:rFonts w:ascii="Times New Roman" w:hAnsi="Times New Roman"/>
                <w:b/>
                <w:color w:val="000000"/>
                <w:sz w:val="18"/>
                <w:szCs w:val="18"/>
              </w:rPr>
              <w:t>Výdavky</w:t>
            </w:r>
            <w:r>
              <w:rPr>
                <w:rFonts w:ascii="Times New Roman" w:hAnsi="Times New Roman"/>
                <w:b/>
                <w:color w:val="000000"/>
                <w:sz w:val="18"/>
                <w:szCs w:val="18"/>
              </w:rPr>
              <w:t xml:space="preserve"> ŠFA</w:t>
            </w:r>
          </w:p>
        </w:tc>
        <w:tc>
          <w:tcPr>
            <w:tcW w:w="1276"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204 196</w:t>
            </w:r>
          </w:p>
        </w:tc>
        <w:tc>
          <w:tcPr>
            <w:tcW w:w="1271" w:type="dxa"/>
            <w:tcBorders>
              <w:top w:val="nil"/>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389 208</w:t>
            </w:r>
          </w:p>
        </w:tc>
        <w:tc>
          <w:tcPr>
            <w:tcW w:w="1273" w:type="dxa"/>
            <w:tcBorders>
              <w:top w:val="nil"/>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Pr>
                <w:rFonts w:ascii="Times New Roman" w:hAnsi="Times New Roman"/>
                <w:b/>
                <w:color w:val="000000"/>
                <w:sz w:val="18"/>
                <w:szCs w:val="18"/>
              </w:rPr>
              <w:t>190 990</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z toho:</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účelové prostriedky z</w:t>
            </w:r>
            <w:r>
              <w:rPr>
                <w:rFonts w:ascii="Times New Roman" w:hAnsi="Times New Roman"/>
                <w:color w:val="000000"/>
                <w:sz w:val="18"/>
                <w:szCs w:val="18"/>
              </w:rPr>
              <w:t> </w:t>
            </w:r>
            <w:r w:rsidRPr="001F655F">
              <w:rPr>
                <w:rFonts w:ascii="Times New Roman" w:hAnsi="Times New Roman"/>
                <w:color w:val="000000"/>
                <w:sz w:val="18"/>
                <w:szCs w:val="18"/>
              </w:rPr>
              <w:t>FNM</w:t>
            </w:r>
            <w:r>
              <w:rPr>
                <w:rFonts w:ascii="Times New Roman" w:hAnsi="Times New Roman"/>
                <w:color w:val="000000"/>
                <w:sz w:val="18"/>
                <w:szCs w:val="18"/>
              </w:rPr>
              <w:t>/ MH Manažment, a.s.</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134 490</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36 483</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32 003</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poskytnutie návratných finančných výpomocí </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49 700</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2 500</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0</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osobitný odvod finančných inštitúcií</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20 000</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0</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0</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osobitný odvod z podnikania v regulovaných odvetviach</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0</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350 000</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158 643</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anonymné vklady</w:t>
            </w:r>
          </w:p>
        </w:tc>
        <w:tc>
          <w:tcPr>
            <w:tcW w:w="1276"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0</w:t>
            </w:r>
          </w:p>
        </w:tc>
        <w:tc>
          <w:tcPr>
            <w:tcW w:w="1271" w:type="dxa"/>
            <w:tcBorders>
              <w:top w:val="none" w:sz="0" w:space="0" w:color="auto"/>
              <w:left w:val="nil"/>
              <w:bottom w:val="none" w:sz="0"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8</w:t>
            </w:r>
          </w:p>
        </w:tc>
        <w:tc>
          <w:tcPr>
            <w:tcW w:w="1273" w:type="dxa"/>
            <w:tcBorders>
              <w:top w:val="none" w:sz="0" w:space="0" w:color="auto"/>
              <w:left w:val="nil"/>
              <w:bottom w:val="none" w:sz="0"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127</w:t>
            </w:r>
          </w:p>
        </w:tc>
      </w:tr>
      <w:tr>
        <w:tblPrEx>
          <w:tblW w:w="8852" w:type="dxa"/>
          <w:tblCellMar>
            <w:left w:w="70" w:type="dxa"/>
            <w:right w:w="70" w:type="dxa"/>
          </w:tblCellMar>
          <w:tblLook w:val="04A0"/>
        </w:tblPrEx>
        <w:trPr>
          <w:trHeight w:val="300"/>
        </w:trPr>
        <w:tc>
          <w:tcPr>
            <w:tcW w:w="5032" w:type="dxa"/>
            <w:tcBorders>
              <w:top w:val="none" w:sz="0" w:space="0" w:color="auto"/>
              <w:left w:val="nil"/>
              <w:bottom w:val="single" w:sz="4" w:space="0" w:color="auto"/>
              <w:right w:val="nil"/>
            </w:tcBorders>
            <w:noWrap/>
            <w:textDirection w:val="lrTb"/>
            <w:vAlign w:val="center"/>
          </w:tcPr>
          <w:p w:rsidR="00B44B20" w:rsidRPr="001F655F" w:rsidP="00B44B20">
            <w:pPr>
              <w:bidi w:val="0"/>
              <w:spacing w:after="0" w:line="240" w:lineRule="auto"/>
              <w:rPr>
                <w:rFonts w:ascii="Times New Roman" w:hAnsi="Times New Roman"/>
                <w:color w:val="000000"/>
                <w:sz w:val="18"/>
                <w:szCs w:val="18"/>
              </w:rPr>
            </w:pPr>
            <w:r w:rsidRPr="001F655F">
              <w:rPr>
                <w:rFonts w:ascii="Times New Roman" w:hAnsi="Times New Roman"/>
                <w:color w:val="000000"/>
                <w:sz w:val="18"/>
                <w:szCs w:val="18"/>
              </w:rPr>
              <w:t xml:space="preserve">   ostatné</w:t>
            </w:r>
          </w:p>
        </w:tc>
        <w:tc>
          <w:tcPr>
            <w:tcW w:w="1276" w:type="dxa"/>
            <w:tcBorders>
              <w:top w:val="none" w:sz="0" w:space="0" w:color="auto"/>
              <w:left w:val="nil"/>
              <w:bottom w:val="single" w:sz="4"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6</w:t>
            </w:r>
          </w:p>
        </w:tc>
        <w:tc>
          <w:tcPr>
            <w:tcW w:w="1271" w:type="dxa"/>
            <w:tcBorders>
              <w:top w:val="none" w:sz="0" w:space="0" w:color="auto"/>
              <w:left w:val="nil"/>
              <w:bottom w:val="single" w:sz="4"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sidRPr="001F655F">
              <w:rPr>
                <w:rFonts w:ascii="Times New Roman" w:hAnsi="Times New Roman"/>
                <w:color w:val="000000"/>
                <w:sz w:val="18"/>
                <w:szCs w:val="18"/>
              </w:rPr>
              <w:t>217</w:t>
            </w:r>
          </w:p>
        </w:tc>
        <w:tc>
          <w:tcPr>
            <w:tcW w:w="1273" w:type="dxa"/>
            <w:tcBorders>
              <w:top w:val="none" w:sz="0" w:space="0" w:color="auto"/>
              <w:left w:val="nil"/>
              <w:bottom w:val="single" w:sz="4"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color w:val="000000"/>
                <w:sz w:val="18"/>
                <w:szCs w:val="18"/>
              </w:rPr>
            </w:pPr>
            <w:r>
              <w:rPr>
                <w:rFonts w:ascii="Times New Roman" w:hAnsi="Times New Roman"/>
                <w:color w:val="000000"/>
                <w:sz w:val="18"/>
                <w:szCs w:val="18"/>
              </w:rPr>
              <w:t>217</w:t>
            </w:r>
          </w:p>
        </w:tc>
      </w:tr>
      <w:tr>
        <w:tblPrEx>
          <w:tblW w:w="8852" w:type="dxa"/>
          <w:tblCellMar>
            <w:left w:w="70" w:type="dxa"/>
            <w:right w:w="70" w:type="dxa"/>
          </w:tblCellMar>
          <w:tblLook w:val="04A0"/>
        </w:tblPrEx>
        <w:trPr>
          <w:trHeight w:val="300"/>
        </w:trPr>
        <w:tc>
          <w:tcPr>
            <w:tcW w:w="5032" w:type="dxa"/>
            <w:tcBorders>
              <w:top w:val="single" w:sz="4" w:space="0" w:color="auto"/>
              <w:left w:val="nil"/>
              <w:bottom w:val="single" w:sz="4" w:space="0" w:color="auto"/>
              <w:right w:val="nil"/>
            </w:tcBorders>
            <w:noWrap/>
            <w:textDirection w:val="lrTb"/>
            <w:vAlign w:val="center"/>
          </w:tcPr>
          <w:p w:rsidR="00B44B20" w:rsidRPr="001F655F" w:rsidP="00B44B20">
            <w:pPr>
              <w:bidi w:val="0"/>
              <w:spacing w:after="0" w:line="240" w:lineRule="auto"/>
              <w:rPr>
                <w:rFonts w:ascii="Times New Roman" w:hAnsi="Times New Roman"/>
                <w:b/>
                <w:bCs/>
                <w:color w:val="000000"/>
                <w:sz w:val="18"/>
                <w:szCs w:val="18"/>
              </w:rPr>
            </w:pPr>
            <w:r w:rsidRPr="001F655F">
              <w:rPr>
                <w:rFonts w:ascii="Times New Roman" w:hAnsi="Times New Roman"/>
                <w:b/>
                <w:bCs/>
                <w:color w:val="000000"/>
                <w:sz w:val="18"/>
                <w:szCs w:val="18"/>
              </w:rPr>
              <w:t>Stav k 31.12.</w:t>
            </w:r>
          </w:p>
        </w:tc>
        <w:tc>
          <w:tcPr>
            <w:tcW w:w="1276" w:type="dxa"/>
            <w:tcBorders>
              <w:top w:val="single" w:sz="4" w:space="0" w:color="auto"/>
              <w:left w:val="nil"/>
              <w:bottom w:val="single" w:sz="4"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2 123 062</w:t>
            </w:r>
          </w:p>
        </w:tc>
        <w:tc>
          <w:tcPr>
            <w:tcW w:w="1271" w:type="dxa"/>
            <w:tcBorders>
              <w:top w:val="single" w:sz="4" w:space="0" w:color="auto"/>
              <w:left w:val="nil"/>
              <w:bottom w:val="single" w:sz="4" w:space="0" w:color="auto"/>
              <w:right w:val="nil"/>
            </w:tcBorders>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sidRPr="001F655F">
              <w:rPr>
                <w:rFonts w:ascii="Times New Roman" w:hAnsi="Times New Roman"/>
                <w:b/>
                <w:color w:val="000000"/>
                <w:sz w:val="18"/>
                <w:szCs w:val="18"/>
              </w:rPr>
              <w:t>1 958 451</w:t>
            </w:r>
          </w:p>
        </w:tc>
        <w:tc>
          <w:tcPr>
            <w:tcW w:w="1273" w:type="dxa"/>
            <w:tcBorders>
              <w:top w:val="single" w:sz="4" w:space="0" w:color="auto"/>
              <w:left w:val="nil"/>
              <w:bottom w:val="single" w:sz="4" w:space="0" w:color="auto"/>
              <w:right w:val="nil"/>
            </w:tcBorders>
            <w:shd w:val="clear" w:color="auto" w:fill="BFBFBF"/>
            <w:noWrap/>
            <w:textDirection w:val="lrTb"/>
            <w:vAlign w:val="center"/>
          </w:tcPr>
          <w:p w:rsidR="00B44B20" w:rsidRPr="001F655F" w:rsidP="00B44B20">
            <w:pPr>
              <w:bidi w:val="0"/>
              <w:spacing w:after="0" w:line="240" w:lineRule="auto"/>
              <w:jc w:val="right"/>
              <w:rPr>
                <w:rFonts w:ascii="Times New Roman" w:hAnsi="Times New Roman"/>
                <w:b/>
                <w:color w:val="000000"/>
                <w:sz w:val="18"/>
                <w:szCs w:val="18"/>
              </w:rPr>
            </w:pPr>
            <w:r>
              <w:rPr>
                <w:rFonts w:ascii="Times New Roman" w:hAnsi="Times New Roman"/>
                <w:b/>
                <w:color w:val="000000"/>
                <w:sz w:val="18"/>
                <w:szCs w:val="18"/>
              </w:rPr>
              <w:t>2 116 449</w:t>
            </w:r>
          </w:p>
        </w:tc>
      </w:tr>
    </w:tbl>
    <w:p w:rsidR="00B44B20" w:rsidP="00B44B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jc w:val="right"/>
        <w:rPr>
          <w:rFonts w:ascii="Times New Roman" w:hAnsi="Times New Roman"/>
          <w:color w:val="000000"/>
          <w:sz w:val="18"/>
          <w:szCs w:val="18"/>
        </w:rPr>
      </w:pPr>
      <w:r>
        <w:rPr>
          <w:rFonts w:ascii="Times New Roman" w:hAnsi="Times New Roman"/>
          <w:color w:val="000000"/>
          <w:sz w:val="18"/>
          <w:szCs w:val="18"/>
        </w:rPr>
        <w:t>Zdroj: MF SR</w:t>
      </w:r>
    </w:p>
    <w:p w:rsidR="00B44B20" w:rsidP="003B7B9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sidRPr="0093244A">
        <w:rPr>
          <w:rFonts w:ascii="Times New Roman" w:hAnsi="Times New Roman"/>
          <w:b/>
          <w:i/>
          <w:szCs w:val="22"/>
        </w:rPr>
        <w:t>Príjmy štátnych finančných aktív</w:t>
      </w:r>
      <w:r>
        <w:rPr>
          <w:rFonts w:ascii="Times New Roman" w:hAnsi="Times New Roman"/>
          <w:szCs w:val="22"/>
        </w:rPr>
        <w:t xml:space="preserve"> pre rok 2017 sa rozpočtovali v sume 339 604 tis. eur, z čoho príjmové finančné operácie tvorili 1 tis. eur. Oproti roku 2016 sa príjmy (spolu s príjmovými finančnými operáciami) rozpočtovali úhrnom vyššie o 114 781 tis. eur, a to najmä z osobitného odvodu z podnikania v regulovaných odvetviach o 135 153 tis. eur a osobitného odvodu vybraných finančných inštitúcií o 12 886 tis. eur. Naopak, nižšie príjmy ako v roku 2016 sa rozpočtovali príjmy zo splátok návratných finančných výpomocí o 33 228 tis. eur.</w:t>
      </w:r>
    </w:p>
    <w:p w:rsidR="00B44B20" w:rsidP="003B7B9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sidRPr="0093244A">
        <w:rPr>
          <w:rFonts w:ascii="Times New Roman" w:hAnsi="Times New Roman"/>
          <w:b/>
          <w:i/>
          <w:szCs w:val="22"/>
        </w:rPr>
        <w:t>Výdavky štátnych finančných aktív</w:t>
      </w:r>
      <w:r>
        <w:rPr>
          <w:rFonts w:ascii="Times New Roman" w:hAnsi="Times New Roman"/>
          <w:szCs w:val="22"/>
        </w:rPr>
        <w:t xml:space="preserve"> pre rok 2017</w:t>
      </w:r>
      <w:r w:rsidRPr="00741964">
        <w:rPr>
          <w:rFonts w:ascii="Times New Roman" w:hAnsi="Times New Roman"/>
          <w:szCs w:val="22"/>
        </w:rPr>
        <w:t xml:space="preserve"> </w:t>
      </w:r>
      <w:r>
        <w:rPr>
          <w:rFonts w:ascii="Times New Roman" w:hAnsi="Times New Roman"/>
          <w:szCs w:val="22"/>
        </w:rPr>
        <w:t>sa rozpočtovali v sume 137 133 tis. eur, z čoho výdavkové finančné operácie tvorili 1 tis. eur. Oproti roku 2016 sa výdavky (spolu s výdavkovými finančnými operáciami) rozpočtovali úhrnom vyššie o 125 006 tis. eur, a</w:t>
      </w:r>
      <w:r w:rsidR="0034534B">
        <w:rPr>
          <w:rFonts w:ascii="Times New Roman" w:hAnsi="Times New Roman"/>
          <w:szCs w:val="22"/>
        </w:rPr>
        <w:t xml:space="preserve"> </w:t>
      </w:r>
      <w:r>
        <w:rPr>
          <w:rFonts w:ascii="Times New Roman" w:hAnsi="Times New Roman"/>
          <w:szCs w:val="22"/>
        </w:rPr>
        <w:t>to najmä z dôvodu kapitálového transferu do základného imania spoločnosti MH Invest vo výške 136 035 tis. eur. V roku 2016 sa nerozpočtovali žiadne vklady do základného imania obchodných spoločností štátu. Ďalej boli medziročne nižšie rozpočtované výdavky na poskytovanie návratných finančných výpomocí, a</w:t>
      </w:r>
      <w:r w:rsidR="0034534B">
        <w:rPr>
          <w:rFonts w:ascii="Times New Roman" w:hAnsi="Times New Roman"/>
          <w:szCs w:val="22"/>
        </w:rPr>
        <w:t xml:space="preserve"> </w:t>
      </w:r>
      <w:r>
        <w:rPr>
          <w:rFonts w:ascii="Times New Roman" w:hAnsi="Times New Roman"/>
          <w:szCs w:val="22"/>
        </w:rPr>
        <w:t>to o 8 000 tis. eur a ostatné výdavkové finančné operácie nižšie o 3 000 tis. eur.</w:t>
      </w:r>
    </w:p>
    <w:p w:rsidR="00B44B20" w:rsidP="003B7B9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rPr>
          <w:rFonts w:ascii="Times New Roman" w:hAnsi="Times New Roman"/>
          <w:szCs w:val="22"/>
        </w:rPr>
      </w:pPr>
      <w:r>
        <w:rPr>
          <w:rFonts w:ascii="Times New Roman" w:hAnsi="Times New Roman"/>
          <w:szCs w:val="22"/>
        </w:rPr>
        <w:t>Celkové saldo príjmov a výdavkov štátnych finančných aktív v roku 2017 sa rozpočtovalo vo výške 202 471 tis. eur a po vylúčení finančných operácií vo výške 202 176 tis. eur.</w:t>
      </w:r>
    </w:p>
    <w:p w:rsidR="001918CC" w:rsidP="003B7B93">
      <w:pPr>
        <w:bidi w:val="0"/>
        <w:rPr>
          <w:rFonts w:ascii="Times New Roman" w:hAnsi="Times New Roman"/>
          <w:szCs w:val="22"/>
        </w:rPr>
      </w:pPr>
      <w:r w:rsidRPr="0093244A" w:rsidR="00B44B20">
        <w:rPr>
          <w:rFonts w:ascii="Times New Roman" w:hAnsi="Times New Roman"/>
          <w:b/>
          <w:i/>
          <w:szCs w:val="22"/>
        </w:rPr>
        <w:t>Účelové prostriedky FNM/MH Manažment, a.s.</w:t>
      </w:r>
      <w:r w:rsidR="00B44B20">
        <w:rPr>
          <w:rFonts w:ascii="Times New Roman" w:hAnsi="Times New Roman"/>
          <w:i/>
          <w:szCs w:val="22"/>
        </w:rPr>
        <w:t xml:space="preserve"> </w:t>
      </w:r>
      <w:r w:rsidR="00B44B20">
        <w:rPr>
          <w:rFonts w:ascii="Times New Roman" w:hAnsi="Times New Roman"/>
          <w:szCs w:val="22"/>
        </w:rPr>
        <w:t>boli v minulosti tvorené najmä prevodom dividend obchodných spoločností, v ktorých podiely spravoval už zrušený Fond národného majetku. V jeho činnosti od 1.1.2016 pokračuje spoločnosť MH Manažment, a.s.</w:t>
      </w:r>
      <w:r w:rsidR="00B44B20">
        <w:rPr>
          <w:rFonts w:ascii="Times New Roman" w:hAnsi="Times New Roman"/>
          <w:i/>
          <w:szCs w:val="22"/>
        </w:rPr>
        <w:t xml:space="preserve"> </w:t>
      </w:r>
      <w:r w:rsidR="00B44B20">
        <w:rPr>
          <w:rFonts w:ascii="Times New Roman" w:hAnsi="Times New Roman"/>
          <w:szCs w:val="22"/>
        </w:rPr>
        <w:t xml:space="preserve">V príjmoch sa realizovali rozpočtované prostriedky vo výške 17 tis. eur, ako dividendy z MH Manažment, a.s. a ďalšie príjmy tvorili splátky z pohľadávok za realizované záruky za odvodové úvery vo výške </w:t>
      </w:r>
      <w:r w:rsidR="007370DA">
        <w:rPr>
          <w:rFonts w:ascii="Times New Roman" w:hAnsi="Times New Roman"/>
          <w:szCs w:val="22"/>
        </w:rPr>
        <w:br/>
      </w:r>
      <w:r>
        <w:rPr>
          <w:rFonts w:ascii="Times New Roman" w:hAnsi="Times New Roman"/>
          <w:szCs w:val="22"/>
        </w:rPr>
        <w:t>12 tis. eur.</w:t>
      </w:r>
    </w:p>
    <w:p w:rsidR="00B44B20" w:rsidRPr="00346ABD" w:rsidP="003B7B93">
      <w:pPr>
        <w:bidi w:val="0"/>
        <w:rPr>
          <w:rFonts w:ascii="Times New Roman" w:hAnsi="Times New Roman"/>
          <w:szCs w:val="22"/>
        </w:rPr>
      </w:pPr>
      <w:r>
        <w:rPr>
          <w:rFonts w:ascii="Times New Roman" w:hAnsi="Times New Roman"/>
          <w:szCs w:val="22"/>
        </w:rPr>
        <w:t>Na strane výdavkov sa uskutočnil prevod 17 tis. eur do príjmov štátneho rozpočtu, vklad do medzinárodnej finančnej inštitúcie IDA vo výške 80 tis. eur, poukázanie finančných prostriedkov SZRB, a.s. za dlžníkov v hodnote 136 tis. eur. Rozhodujúcimi výdavkami v roku 2017 bolo poukázanie finančných prostriedkov Ministerstvu hospodárstva SR na zvýšenie základného imania spoločnosti MH Invest II, s.r.o. vo výške 28 025 tis. eur v súvislosti s realizáciou investičných parkov a usporiadaním vlastníckych vzťahov pre tieto stavby, a poukázanie prostriedkov SZRB Asset Management vo výške 3 330 tis. eur na úhradu investície do Stredoeurópskeho fondu fondov na podporu investičných projektov.</w:t>
      </w:r>
    </w:p>
    <w:p w:rsidR="00B44B20" w:rsidP="003B7B93">
      <w:pPr>
        <w:bidi w:val="0"/>
        <w:rPr>
          <w:rFonts w:ascii="Times New Roman" w:hAnsi="Times New Roman"/>
          <w:szCs w:val="22"/>
        </w:rPr>
      </w:pPr>
      <w:r w:rsidRPr="0093244A">
        <w:rPr>
          <w:rFonts w:ascii="Times New Roman" w:hAnsi="Times New Roman"/>
          <w:b/>
          <w:i/>
          <w:szCs w:val="22"/>
        </w:rPr>
        <w:t>Splátky návratných finančných výpomocí (NFV)</w:t>
      </w:r>
      <w:r>
        <w:rPr>
          <w:rFonts w:ascii="Times New Roman" w:hAnsi="Times New Roman"/>
          <w:i/>
          <w:szCs w:val="22"/>
        </w:rPr>
        <w:t xml:space="preserve"> </w:t>
      </w:r>
      <w:r w:rsidRPr="007F29E2">
        <w:rPr>
          <w:rFonts w:ascii="Times New Roman" w:hAnsi="Times New Roman"/>
          <w:szCs w:val="22"/>
        </w:rPr>
        <w:t>zaznamenali</w:t>
      </w:r>
      <w:r>
        <w:rPr>
          <w:rFonts w:ascii="Times New Roman" w:hAnsi="Times New Roman"/>
          <w:szCs w:val="22"/>
        </w:rPr>
        <w:t xml:space="preserve"> v roku 2017 príjem vo výške 61 270 tis. eur, z čoho takmer celú hodnotu tvorí splátka NFV od Agentúry pre núdzové zásoby ropy a ropných výrobkov (EOSA) vo výške 60 000 tis. eur. Vláda SR </w:t>
      </w:r>
      <w:r w:rsidRPr="006F1D9A">
        <w:rPr>
          <w:rFonts w:ascii="Times New Roman" w:hAnsi="Times New Roman"/>
          <w:szCs w:val="22"/>
        </w:rPr>
        <w:t xml:space="preserve">poskytla </w:t>
      </w:r>
      <w:r>
        <w:rPr>
          <w:rFonts w:ascii="Times New Roman" w:hAnsi="Times New Roman"/>
          <w:szCs w:val="22"/>
        </w:rPr>
        <w:t xml:space="preserve">agentúre </w:t>
      </w:r>
      <w:r w:rsidRPr="006F1D9A">
        <w:rPr>
          <w:rFonts w:ascii="Times New Roman" w:hAnsi="Times New Roman"/>
          <w:szCs w:val="22"/>
        </w:rPr>
        <w:t>v roku 2014 NFV vo výške 520</w:t>
      </w:r>
      <w:r>
        <w:rPr>
          <w:rFonts w:ascii="Times New Roman" w:hAnsi="Times New Roman"/>
          <w:szCs w:val="22"/>
        </w:rPr>
        <w:t xml:space="preserve"> 000 tis. eur, s dohodnutou splatnosťou v decembri 2024, pričom dlžnú sumu je možné splatiť jednorazovo alebo aj po častiach. V roku 2017 bolo vrátených z tejto finančnej výpomoci 60 000 tis. eur. Ďalšie splátky NFV predstavovala suma 1 000 tis. eur </w:t>
      </w:r>
      <w:r w:rsidR="007370DA">
        <w:rPr>
          <w:rFonts w:ascii="Times New Roman" w:hAnsi="Times New Roman"/>
          <w:szCs w:val="22"/>
        </w:rPr>
        <w:br/>
      </w:r>
      <w:r>
        <w:rPr>
          <w:rFonts w:ascii="Times New Roman" w:hAnsi="Times New Roman"/>
          <w:szCs w:val="22"/>
        </w:rPr>
        <w:t xml:space="preserve">od Mesta Košice, 250 tis. eur od Mesta Martin a 20 tis. eur od obce Ľubotice, ktorej celková istina NFV sa znížila v roku 2017 o 100 tis. eur na </w:t>
      </w:r>
      <w:r w:rsidRPr="00087FF2">
        <w:rPr>
          <w:rFonts w:ascii="Times New Roman" w:hAnsi="Times New Roman"/>
          <w:szCs w:val="22"/>
        </w:rPr>
        <w:t>základe uznesenia vlády č. 361/2016 odpustením tejto</w:t>
      </w:r>
      <w:r>
        <w:rPr>
          <w:rFonts w:ascii="Times New Roman" w:hAnsi="Times New Roman"/>
          <w:szCs w:val="22"/>
        </w:rPr>
        <w:t xml:space="preserve"> dlžnej čiastky. Oproti rozpočtu bolo plnenie týchto príjmov lepšie o 60 000 tis. eur. Na strane výdavkov neboli v roku 2017 poskytnuté žiadne návratné finančné výpomoci.</w:t>
      </w:r>
    </w:p>
    <w:p w:rsidR="00B44B20" w:rsidP="003B7B93">
      <w:pPr>
        <w:bidi w:val="0"/>
        <w:rPr>
          <w:rFonts w:ascii="Times New Roman" w:hAnsi="Times New Roman"/>
          <w:szCs w:val="22"/>
        </w:rPr>
      </w:pPr>
      <w:r w:rsidRPr="0093244A">
        <w:rPr>
          <w:rFonts w:ascii="Times New Roman" w:hAnsi="Times New Roman"/>
          <w:b/>
          <w:i/>
          <w:szCs w:val="22"/>
        </w:rPr>
        <w:t>Osobitný odvod finančných inštitúcií</w:t>
      </w:r>
      <w:r w:rsidRPr="0093244A">
        <w:rPr>
          <w:rFonts w:ascii="Times New Roman" w:hAnsi="Times New Roman"/>
          <w:b/>
          <w:szCs w:val="22"/>
        </w:rPr>
        <w:t xml:space="preserve"> </w:t>
      </w:r>
      <w:r w:rsidRPr="00C24538">
        <w:rPr>
          <w:rFonts w:ascii="Times New Roman" w:hAnsi="Times New Roman"/>
          <w:szCs w:val="22"/>
        </w:rPr>
        <w:t>prispieva k vytvoreniu mechanizmov podieľania sa týchto finančných</w:t>
      </w:r>
      <w:r>
        <w:rPr>
          <w:rFonts w:ascii="Times New Roman" w:hAnsi="Times New Roman"/>
          <w:szCs w:val="22"/>
        </w:rPr>
        <w:t xml:space="preserve"> inštitúcií na nákladoch budúcich finančných kríz v bankovom sektore, k zabezpečeniu spravodlivého rozdelenia záťaže a k predchádzaniu vzniku rozsiahlych výdavkov pre daňových poplatníkov, vládu a hospodárstvo v prípade riešenia finančných kríz, k stimulovaniu vybraných </w:t>
      </w:r>
      <w:r w:rsidRPr="00361DD6">
        <w:rPr>
          <w:rFonts w:ascii="Times New Roman" w:hAnsi="Times New Roman"/>
          <w:szCs w:val="22"/>
        </w:rPr>
        <w:t xml:space="preserve">finančných inštitúcií obmedzovať systémové riziká a k ochrane stability finančného sektora Slovenskej republiky. Rozpočet na rok 2017 predpokladal s príjmami </w:t>
      </w:r>
      <w:r w:rsidR="0093244A">
        <w:rPr>
          <w:rFonts w:ascii="Times New Roman" w:hAnsi="Times New Roman"/>
          <w:szCs w:val="22"/>
        </w:rPr>
        <w:t>z tohto odvodu vo výške 126 </w:t>
      </w:r>
      <w:r w:rsidRPr="00361DD6">
        <w:rPr>
          <w:rFonts w:ascii="Times New Roman" w:hAnsi="Times New Roman"/>
          <w:szCs w:val="22"/>
        </w:rPr>
        <w:t>692 tis. eur, čo je o 12 886 tis. eur viac ako v roku 2016. V sku</w:t>
      </w:r>
      <w:r w:rsidR="0093244A">
        <w:rPr>
          <w:rFonts w:ascii="Times New Roman" w:hAnsi="Times New Roman"/>
          <w:szCs w:val="22"/>
        </w:rPr>
        <w:t>točnosti boli prijaté odvody vo </w:t>
      </w:r>
      <w:r w:rsidRPr="00361DD6">
        <w:rPr>
          <w:rFonts w:ascii="Times New Roman" w:hAnsi="Times New Roman"/>
          <w:szCs w:val="22"/>
        </w:rPr>
        <w:t>výške 127 284 tis. eur</w:t>
      </w:r>
      <w:r w:rsidRPr="00D57C10">
        <w:rPr>
          <w:rFonts w:ascii="Times New Roman" w:hAnsi="Times New Roman"/>
          <w:szCs w:val="22"/>
        </w:rPr>
        <w:t xml:space="preserve">. </w:t>
      </w:r>
      <w:r w:rsidRPr="00C660FA">
        <w:rPr>
          <w:rFonts w:ascii="Times New Roman" w:hAnsi="Times New Roman"/>
          <w:szCs w:val="22"/>
        </w:rPr>
        <w:t>Medziročne vyššie príjmy z odvodu, a</w:t>
      </w:r>
      <w:r w:rsidR="0034534B">
        <w:rPr>
          <w:rFonts w:ascii="Times New Roman" w:hAnsi="Times New Roman"/>
          <w:szCs w:val="22"/>
        </w:rPr>
        <w:t xml:space="preserve"> </w:t>
      </w:r>
      <w:r w:rsidRPr="00C660FA">
        <w:rPr>
          <w:rFonts w:ascii="Times New Roman" w:hAnsi="Times New Roman"/>
          <w:szCs w:val="22"/>
        </w:rPr>
        <w:t>to v</w:t>
      </w:r>
      <w:r w:rsidR="0093244A">
        <w:rPr>
          <w:rFonts w:ascii="Times New Roman" w:hAnsi="Times New Roman"/>
          <w:szCs w:val="22"/>
        </w:rPr>
        <w:t xml:space="preserve"> plánovanom </w:t>
      </w:r>
      <w:r w:rsidRPr="00C660FA">
        <w:rPr>
          <w:rFonts w:ascii="Times New Roman" w:hAnsi="Times New Roman"/>
          <w:szCs w:val="22"/>
        </w:rPr>
        <w:t>rozpočte ako aj skutočnosti je možné pripísať rastu efektívnej daňovej sadzby. Výdavky</w:t>
      </w:r>
      <w:r>
        <w:rPr>
          <w:rFonts w:ascii="Times New Roman" w:hAnsi="Times New Roman"/>
          <w:szCs w:val="22"/>
        </w:rPr>
        <w:t xml:space="preserve"> z týchto prostriedkov neboli v roku 2017 realizované.</w:t>
      </w:r>
    </w:p>
    <w:p w:rsidR="003004F9" w:rsidP="003B7B93">
      <w:pPr>
        <w:bidi w:val="0"/>
        <w:rPr>
          <w:rFonts w:ascii="Times New Roman" w:hAnsi="Times New Roman"/>
          <w:szCs w:val="22"/>
        </w:rPr>
      </w:pPr>
      <w:r w:rsidRPr="0093244A" w:rsidR="00B44B20">
        <w:rPr>
          <w:rFonts w:ascii="Times New Roman" w:hAnsi="Times New Roman"/>
          <w:b/>
          <w:i/>
          <w:szCs w:val="22"/>
        </w:rPr>
        <w:t>Prostriedky osobitného odvodu z podnikania v regulovaných odvetviach</w:t>
      </w:r>
      <w:r w:rsidRPr="00B07894" w:rsidR="00B44B20">
        <w:rPr>
          <w:rFonts w:ascii="Times New Roman" w:hAnsi="Times New Roman"/>
          <w:i/>
          <w:szCs w:val="22"/>
        </w:rPr>
        <w:t>,</w:t>
      </w:r>
      <w:r w:rsidR="003B7B93">
        <w:rPr>
          <w:rFonts w:ascii="Times New Roman" w:hAnsi="Times New Roman"/>
          <w:szCs w:val="22"/>
        </w:rPr>
        <w:t xml:space="preserve"> v zmysle zákona č. </w:t>
      </w:r>
      <w:r w:rsidRPr="00B07894" w:rsidR="00B44B20">
        <w:rPr>
          <w:rFonts w:ascii="Times New Roman" w:hAnsi="Times New Roman"/>
          <w:szCs w:val="22"/>
        </w:rPr>
        <w:t xml:space="preserve">235/2012 Z. z., slúžia na perspektívne vytvorenie účelovo určenej osobitnej časti štátnych finančných aktív, z ktorých sa budú financovať prioritné projekty </w:t>
      </w:r>
      <w:r w:rsidRPr="00531BCC" w:rsidR="00B44B20">
        <w:rPr>
          <w:rFonts w:ascii="Times New Roman" w:hAnsi="Times New Roman"/>
          <w:szCs w:val="22"/>
        </w:rPr>
        <w:t xml:space="preserve">vlády. Rozpočet na rok 2017 predpokladal príjem vo výške 211 600 tis. eur, čo je o 135 153 tis. eur viac ako na rok 2016. Skutočné vyinkasované príjmy na účet štátnych finančných aktív z tohto osobitného odvodu boli v hodnote 159 121 tis. eur. Nenaplnenie rozpočtovaných príjmov bolo spôsobené najmä nižšími preddavkami osobitného odvodu platených v roku 2017 a preplatkami zo zúčtovania odvodu </w:t>
      </w:r>
      <w:r w:rsidR="007370DA">
        <w:rPr>
          <w:rFonts w:ascii="Times New Roman" w:hAnsi="Times New Roman"/>
          <w:szCs w:val="22"/>
        </w:rPr>
        <w:br/>
      </w:r>
      <w:r w:rsidRPr="00531BCC" w:rsidR="00B44B20">
        <w:rPr>
          <w:rFonts w:ascii="Times New Roman" w:hAnsi="Times New Roman"/>
          <w:szCs w:val="22"/>
        </w:rPr>
        <w:t>za predchádzajúce obdobie, ktoré boli buď vrátené alebo započítané s aktuálnou povinnosťou platiť odvod v roku 2017.</w:t>
      </w:r>
      <w:r w:rsidR="00B44B20">
        <w:rPr>
          <w:rFonts w:ascii="Times New Roman" w:hAnsi="Times New Roman"/>
          <w:szCs w:val="22"/>
        </w:rPr>
        <w:t xml:space="preserve"> Na strane výdavkov bolo z týchto štátnych finančných aktív použi</w:t>
      </w:r>
      <w:r w:rsidR="0034534B">
        <w:rPr>
          <w:rFonts w:ascii="Times New Roman" w:hAnsi="Times New Roman"/>
          <w:szCs w:val="22"/>
        </w:rPr>
        <w:t xml:space="preserve">tých úhrnom 158 643 tis. eur, a </w:t>
      </w:r>
      <w:r w:rsidR="00B44B20">
        <w:rPr>
          <w:rFonts w:ascii="Times New Roman" w:hAnsi="Times New Roman"/>
          <w:szCs w:val="22"/>
        </w:rPr>
        <w:t>to najmä vo forme kapitálového transferu príslušným kapitolám ŠR na zvýšenie základného imania dcérskych spoločností, a to MH Invest, s.r.o. (118 936 tis. eur), Národnej diaľničnej spoločnosti, a. s. (19 506 tis. eur), Leteckým opravovniam Trenčín (20 000 tis. eur), Letiskovej spoločnosti Žilina (199 tis. eur) a Letis</w:t>
      </w:r>
      <w:r>
        <w:rPr>
          <w:rFonts w:ascii="Times New Roman" w:hAnsi="Times New Roman"/>
          <w:szCs w:val="22"/>
        </w:rPr>
        <w:t>ku M.R. Štefánika (2 tis. eur).</w:t>
      </w:r>
    </w:p>
    <w:p w:rsidR="00B44B20" w:rsidP="003B7B93">
      <w:pPr>
        <w:bidi w:val="0"/>
        <w:rPr>
          <w:rFonts w:ascii="Times New Roman" w:hAnsi="Times New Roman"/>
          <w:szCs w:val="22"/>
        </w:rPr>
      </w:pPr>
      <w:r>
        <w:rPr>
          <w:rFonts w:ascii="Times New Roman" w:hAnsi="Times New Roman"/>
          <w:szCs w:val="22"/>
        </w:rPr>
        <w:t>Rozpočtované výdavky z prostriedkov osobitného odvodu z podnikania v regulovaných odvetviach boli vo výške 136 035 tis. eur, a</w:t>
      </w:r>
      <w:r w:rsidR="003B7B93">
        <w:rPr>
          <w:rFonts w:ascii="Times New Roman" w:hAnsi="Times New Roman"/>
          <w:szCs w:val="22"/>
        </w:rPr>
        <w:t xml:space="preserve"> </w:t>
      </w:r>
      <w:r>
        <w:rPr>
          <w:rFonts w:ascii="Times New Roman" w:hAnsi="Times New Roman"/>
          <w:szCs w:val="22"/>
        </w:rPr>
        <w:t>to na zvýšenie základného imania v spoločnosti MH Invest, s.r.o.</w:t>
      </w:r>
    </w:p>
    <w:p w:rsidR="00B44B20" w:rsidRPr="002E70FE" w:rsidP="003B7B93">
      <w:pPr>
        <w:bidi w:val="0"/>
        <w:rPr>
          <w:rFonts w:ascii="Times New Roman" w:hAnsi="Times New Roman"/>
          <w:szCs w:val="22"/>
          <w:u w:val="single"/>
        </w:rPr>
      </w:pPr>
      <w:r>
        <w:rPr>
          <w:rFonts w:ascii="Times New Roman" w:hAnsi="Times New Roman"/>
          <w:i/>
          <w:szCs w:val="22"/>
          <w:u w:val="single"/>
        </w:rPr>
        <w:t>Zníženie prostriedkov anonymných vkladov</w:t>
      </w:r>
      <w:r w:rsidRPr="002E70FE">
        <w:rPr>
          <w:rFonts w:ascii="Times New Roman" w:hAnsi="Times New Roman"/>
          <w:szCs w:val="22"/>
        </w:rPr>
        <w:t xml:space="preserve"> </w:t>
      </w:r>
      <w:r>
        <w:rPr>
          <w:rFonts w:ascii="Times New Roman" w:hAnsi="Times New Roman"/>
          <w:szCs w:val="22"/>
        </w:rPr>
        <w:t>o</w:t>
      </w:r>
      <w:r w:rsidR="003B7B93">
        <w:rPr>
          <w:rFonts w:ascii="Times New Roman" w:hAnsi="Times New Roman"/>
          <w:szCs w:val="22"/>
        </w:rPr>
        <w:t> </w:t>
      </w:r>
      <w:r w:rsidRPr="003B7B93">
        <w:rPr>
          <w:rFonts w:ascii="Times New Roman" w:hAnsi="Times New Roman"/>
        </w:rPr>
        <w:t>127</w:t>
      </w:r>
      <w:r w:rsidR="003B7B93">
        <w:rPr>
          <w:rFonts w:ascii="Times New Roman" w:hAnsi="Times New Roman"/>
        </w:rPr>
        <w:t> </w:t>
      </w:r>
      <w:r w:rsidRPr="003B7B93">
        <w:rPr>
          <w:rFonts w:ascii="Times New Roman" w:hAnsi="Times New Roman"/>
        </w:rPr>
        <w:t>tis</w:t>
      </w:r>
      <w:r>
        <w:rPr>
          <w:rFonts w:ascii="Times New Roman" w:hAnsi="Times New Roman"/>
          <w:szCs w:val="22"/>
        </w:rPr>
        <w:t>.</w:t>
      </w:r>
      <w:r w:rsidR="003B7B93">
        <w:rPr>
          <w:rFonts w:ascii="Times New Roman" w:hAnsi="Times New Roman"/>
          <w:szCs w:val="22"/>
        </w:rPr>
        <w:t> </w:t>
      </w:r>
      <w:r>
        <w:rPr>
          <w:rFonts w:ascii="Times New Roman" w:hAnsi="Times New Roman"/>
          <w:szCs w:val="22"/>
        </w:rPr>
        <w:t xml:space="preserve">eur </w:t>
      </w:r>
      <w:r w:rsidRPr="002E70FE">
        <w:rPr>
          <w:rFonts w:ascii="Times New Roman" w:hAnsi="Times New Roman"/>
          <w:szCs w:val="22"/>
        </w:rPr>
        <w:t>predstavoval</w:t>
      </w:r>
      <w:r>
        <w:rPr>
          <w:rFonts w:ascii="Times New Roman" w:hAnsi="Times New Roman"/>
          <w:szCs w:val="22"/>
        </w:rPr>
        <w:t>o</w:t>
      </w:r>
      <w:r w:rsidRPr="002E70FE">
        <w:rPr>
          <w:rFonts w:ascii="Times New Roman" w:hAnsi="Times New Roman"/>
          <w:szCs w:val="22"/>
        </w:rPr>
        <w:t xml:space="preserve"> v roku 2017</w:t>
      </w:r>
      <w:r>
        <w:rPr>
          <w:rFonts w:ascii="Times New Roman" w:hAnsi="Times New Roman"/>
          <w:szCs w:val="22"/>
        </w:rPr>
        <w:t xml:space="preserve"> precenenie prostriedkov v cudzej mene.</w:t>
      </w:r>
      <w:r>
        <w:rPr>
          <w:rFonts w:ascii="Times New Roman" w:hAnsi="Times New Roman"/>
          <w:szCs w:val="22"/>
          <w:u w:val="single"/>
        </w:rPr>
        <w:t xml:space="preserve"> </w:t>
      </w:r>
    </w:p>
    <w:p w:rsidR="00693173" w:rsidRPr="00B779DC" w:rsidP="00225F21">
      <w:pPr>
        <w:pStyle w:val="Heading2"/>
        <w:numPr>
          <w:ilvl w:val="0"/>
          <w:numId w:val="0"/>
        </w:numPr>
        <w:bidi w:val="0"/>
        <w:ind w:left="576" w:firstLine="0"/>
        <w:rPr>
          <w:rFonts w:hint="default"/>
        </w:rPr>
      </w:pPr>
      <w:bookmarkStart w:id="72" w:name="_Toc512599680"/>
      <w:r w:rsidR="00225F21">
        <w:t xml:space="preserve">3.4  </w:t>
      </w:r>
      <w:r w:rsidRPr="00B779DC">
        <w:rPr>
          <w:rFonts w:hint="default"/>
        </w:rPr>
        <w:t>Vzť</w:t>
      </w:r>
      <w:r w:rsidRPr="00B779DC">
        <w:rPr>
          <w:rFonts w:hint="default"/>
        </w:rPr>
        <w:t>ahy š</w:t>
      </w:r>
      <w:r w:rsidRPr="00B779DC">
        <w:rPr>
          <w:rFonts w:hint="default"/>
        </w:rPr>
        <w:t>tá</w:t>
      </w:r>
      <w:r w:rsidRPr="00B779DC">
        <w:rPr>
          <w:rFonts w:hint="default"/>
        </w:rPr>
        <w:t>tneho rozpoč</w:t>
      </w:r>
      <w:r w:rsidRPr="00B779DC">
        <w:rPr>
          <w:rFonts w:hint="default"/>
        </w:rPr>
        <w:t>tu k </w:t>
      </w:r>
      <w:r w:rsidRPr="00B779DC">
        <w:rPr>
          <w:rFonts w:hint="default"/>
        </w:rPr>
        <w:t>Euró</w:t>
      </w:r>
      <w:r w:rsidRPr="00B779DC">
        <w:rPr>
          <w:rFonts w:hint="default"/>
        </w:rPr>
        <w:t>pskej ú</w:t>
      </w:r>
      <w:r w:rsidRPr="00B779DC">
        <w:rPr>
          <w:rFonts w:hint="default"/>
        </w:rPr>
        <w:t>nii</w:t>
      </w:r>
      <w:bookmarkEnd w:id="71"/>
      <w:bookmarkEnd w:id="72"/>
    </w:p>
    <w:p w:rsidR="00C80754" w:rsidRPr="005B1BEE" w:rsidP="00FF3CFC">
      <w:pPr>
        <w:tabs>
          <w:tab w:val="left" w:pos="284"/>
        </w:tabs>
        <w:bidi w:val="0"/>
        <w:rPr>
          <w:rFonts w:ascii="Times New Roman" w:hAnsi="Times New Roman"/>
          <w:szCs w:val="22"/>
        </w:rPr>
      </w:pPr>
      <w:r w:rsidRPr="005B1BEE">
        <w:rPr>
          <w:rFonts w:ascii="Times New Roman" w:hAnsi="Times New Roman"/>
          <w:b/>
          <w:szCs w:val="22"/>
        </w:rPr>
        <w:t xml:space="preserve">Príjmy Slovenskej republiky z rozpočtu EÚ </w:t>
      </w:r>
      <w:r w:rsidRPr="005B1BEE">
        <w:rPr>
          <w:rFonts w:ascii="Times New Roman" w:hAnsi="Times New Roman"/>
          <w:szCs w:val="22"/>
        </w:rPr>
        <w:t>tvoria</w:t>
      </w:r>
      <w:r w:rsidRPr="005B1BEE">
        <w:rPr>
          <w:rFonts w:ascii="Times New Roman" w:hAnsi="Times New Roman"/>
          <w:b/>
          <w:szCs w:val="22"/>
        </w:rPr>
        <w:t xml:space="preserve"> </w:t>
      </w:r>
      <w:r w:rsidRPr="005B1BEE">
        <w:rPr>
          <w:rFonts w:ascii="Times New Roman" w:hAnsi="Times New Roman"/>
          <w:szCs w:val="22"/>
        </w:rPr>
        <w:t>zahraničné transfery a zahraničné granty poskytnuté z rozpočtu EÚ. Príjmy zo zahraničných transferov boli rozpočtované v ŠR na rok 2017 vo výške 2 655 927 tis. eur. Rozpočet zahraničných transferov bol upravený na úroveň 1</w:t>
      </w:r>
      <w:r w:rsidR="005F5C4C">
        <w:rPr>
          <w:rFonts w:ascii="Times New Roman" w:hAnsi="Times New Roman"/>
          <w:szCs w:val="22"/>
        </w:rPr>
        <w:t> </w:t>
      </w:r>
      <w:r w:rsidRPr="005B1BEE">
        <w:rPr>
          <w:rFonts w:ascii="Times New Roman" w:hAnsi="Times New Roman"/>
          <w:szCs w:val="22"/>
        </w:rPr>
        <w:t>422</w:t>
      </w:r>
      <w:r w:rsidR="005F5C4C">
        <w:rPr>
          <w:rFonts w:ascii="Times New Roman" w:hAnsi="Times New Roman"/>
          <w:szCs w:val="22"/>
        </w:rPr>
        <w:t> </w:t>
      </w:r>
      <w:r w:rsidRPr="005B1BEE">
        <w:rPr>
          <w:rFonts w:ascii="Times New Roman" w:hAnsi="Times New Roman"/>
          <w:szCs w:val="22"/>
        </w:rPr>
        <w:t>488</w:t>
      </w:r>
      <w:r w:rsidR="005F5C4C">
        <w:rPr>
          <w:rFonts w:ascii="Times New Roman" w:hAnsi="Times New Roman"/>
          <w:szCs w:val="22"/>
        </w:rPr>
        <w:t> </w:t>
      </w:r>
      <w:r w:rsidRPr="005B1BEE">
        <w:rPr>
          <w:rFonts w:ascii="Times New Roman" w:hAnsi="Times New Roman"/>
          <w:szCs w:val="22"/>
        </w:rPr>
        <w:t>tis.</w:t>
      </w:r>
      <w:r w:rsidR="005F5C4C">
        <w:rPr>
          <w:rFonts w:ascii="Times New Roman" w:hAnsi="Times New Roman"/>
          <w:szCs w:val="22"/>
        </w:rPr>
        <w:t> </w:t>
      </w:r>
      <w:r w:rsidRPr="005B1BEE">
        <w:rPr>
          <w:rFonts w:ascii="Times New Roman" w:hAnsi="Times New Roman"/>
          <w:szCs w:val="22"/>
        </w:rPr>
        <w:t>eur. Skutočné plnenie príjmov SR z rozpočtu EÚ bolo vo výške 1 425 572 tis. eur, z toho príjmy za zahraničné transfery sú vo výške 1</w:t>
      </w:r>
      <w:r w:rsidR="005F5C4C">
        <w:rPr>
          <w:rFonts w:ascii="Times New Roman" w:hAnsi="Times New Roman"/>
          <w:szCs w:val="22"/>
        </w:rPr>
        <w:t> </w:t>
      </w:r>
      <w:r w:rsidRPr="005B1BEE">
        <w:rPr>
          <w:rFonts w:ascii="Times New Roman" w:hAnsi="Times New Roman"/>
          <w:szCs w:val="22"/>
        </w:rPr>
        <w:t>422</w:t>
      </w:r>
      <w:r w:rsidR="005F5C4C">
        <w:rPr>
          <w:rFonts w:ascii="Times New Roman" w:hAnsi="Times New Roman"/>
          <w:szCs w:val="22"/>
        </w:rPr>
        <w:t> </w:t>
      </w:r>
      <w:r w:rsidRPr="005B1BEE">
        <w:rPr>
          <w:rFonts w:ascii="Times New Roman" w:hAnsi="Times New Roman"/>
          <w:szCs w:val="22"/>
        </w:rPr>
        <w:t>488</w:t>
      </w:r>
      <w:r w:rsidR="005F5C4C">
        <w:rPr>
          <w:rFonts w:ascii="Times New Roman" w:hAnsi="Times New Roman"/>
          <w:szCs w:val="22"/>
        </w:rPr>
        <w:t> </w:t>
      </w:r>
      <w:r w:rsidRPr="005B1BEE">
        <w:rPr>
          <w:rFonts w:ascii="Times New Roman" w:hAnsi="Times New Roman"/>
          <w:szCs w:val="22"/>
        </w:rPr>
        <w:t>tis.</w:t>
      </w:r>
      <w:r w:rsidR="005F5C4C">
        <w:rPr>
          <w:rFonts w:ascii="Times New Roman" w:hAnsi="Times New Roman"/>
          <w:szCs w:val="22"/>
        </w:rPr>
        <w:t> </w:t>
      </w:r>
      <w:r w:rsidRPr="005B1BEE">
        <w:rPr>
          <w:rFonts w:ascii="Times New Roman" w:hAnsi="Times New Roman"/>
          <w:szCs w:val="22"/>
        </w:rPr>
        <w:t>eur príjmy za zahraničné granty</w:t>
      </w:r>
      <w:r w:rsidR="005F5C4C">
        <w:rPr>
          <w:rFonts w:ascii="Times New Roman" w:hAnsi="Times New Roman"/>
          <w:szCs w:val="22"/>
        </w:rPr>
        <w:t xml:space="preserve"> </w:t>
      </w:r>
      <w:r w:rsidRPr="005B1BEE">
        <w:rPr>
          <w:rFonts w:ascii="Times New Roman" w:hAnsi="Times New Roman"/>
          <w:szCs w:val="22"/>
        </w:rPr>
        <w:t>poskytnuté z rozpočtu EÚ sú vo výške 3 084 tis. eur.</w:t>
      </w:r>
    </w:p>
    <w:p w:rsidR="00C80754" w:rsidRPr="000237A5" w:rsidP="00FF3CFC">
      <w:pPr>
        <w:tabs>
          <w:tab w:val="left" w:pos="284"/>
        </w:tabs>
        <w:bidi w:val="0"/>
        <w:rPr>
          <w:rFonts w:ascii="Times New Roman" w:hAnsi="Times New Roman"/>
          <w:szCs w:val="22"/>
        </w:rPr>
      </w:pPr>
      <w:r w:rsidRPr="000237A5">
        <w:rPr>
          <w:rFonts w:ascii="Times New Roman" w:hAnsi="Times New Roman"/>
          <w:b/>
          <w:szCs w:val="22"/>
        </w:rPr>
        <w:t>Odvody a príspevky do všeobecného rozpočtu EÚ</w:t>
      </w:r>
      <w:r w:rsidRPr="000237A5">
        <w:rPr>
          <w:rFonts w:ascii="Times New Roman" w:hAnsi="Times New Roman"/>
          <w:szCs w:val="22"/>
        </w:rPr>
        <w:t xml:space="preserve"> </w:t>
      </w:r>
      <w:r>
        <w:rPr>
          <w:rFonts w:ascii="Times New Roman" w:hAnsi="Times New Roman"/>
          <w:szCs w:val="22"/>
        </w:rPr>
        <w:t xml:space="preserve">tvoria odvody do rozpočtu EÚ, </w:t>
      </w:r>
      <w:r w:rsidRPr="000237A5">
        <w:rPr>
          <w:rFonts w:ascii="Times New Roman" w:hAnsi="Times New Roman"/>
          <w:szCs w:val="22"/>
        </w:rPr>
        <w:t xml:space="preserve">príspevky </w:t>
      </w:r>
      <w:r w:rsidR="002A7C63">
        <w:rPr>
          <w:rFonts w:ascii="Times New Roman" w:hAnsi="Times New Roman"/>
          <w:szCs w:val="22"/>
        </w:rPr>
        <w:br/>
      </w:r>
      <w:r w:rsidRPr="000237A5">
        <w:rPr>
          <w:rFonts w:ascii="Times New Roman" w:hAnsi="Times New Roman"/>
          <w:szCs w:val="22"/>
        </w:rPr>
        <w:t>do Európskeho rozvojového fondu</w:t>
      </w:r>
      <w:r>
        <w:rPr>
          <w:rFonts w:ascii="Times New Roman" w:hAnsi="Times New Roman"/>
          <w:szCs w:val="22"/>
        </w:rPr>
        <w:t xml:space="preserve"> a príspevok do nástroja pre utečencov v Turecku</w:t>
      </w:r>
      <w:r w:rsidRPr="000237A5">
        <w:rPr>
          <w:rFonts w:ascii="Times New Roman" w:hAnsi="Times New Roman"/>
          <w:szCs w:val="22"/>
        </w:rPr>
        <w:t>. Odvody a príspevky SR do všeobecného rozpočtu EÚ boli rozpočtované na rok 2017 v sume 7</w:t>
      </w:r>
      <w:r>
        <w:rPr>
          <w:rFonts w:ascii="Times New Roman" w:hAnsi="Times New Roman"/>
          <w:szCs w:val="22"/>
        </w:rPr>
        <w:t>92</w:t>
      </w:r>
      <w:r w:rsidR="005F5C4C">
        <w:rPr>
          <w:rFonts w:ascii="Times New Roman" w:hAnsi="Times New Roman"/>
          <w:szCs w:val="22"/>
        </w:rPr>
        <w:t> </w:t>
      </w:r>
      <w:r>
        <w:rPr>
          <w:rFonts w:ascii="Times New Roman" w:hAnsi="Times New Roman"/>
          <w:szCs w:val="22"/>
        </w:rPr>
        <w:t>269</w:t>
      </w:r>
      <w:r w:rsidR="005F5C4C">
        <w:rPr>
          <w:rFonts w:ascii="Times New Roman" w:hAnsi="Times New Roman"/>
          <w:szCs w:val="22"/>
        </w:rPr>
        <w:t> </w:t>
      </w:r>
      <w:r w:rsidRPr="000237A5">
        <w:rPr>
          <w:rFonts w:ascii="Times New Roman" w:hAnsi="Times New Roman"/>
          <w:szCs w:val="22"/>
        </w:rPr>
        <w:t>tis. eur.</w:t>
      </w:r>
    </w:p>
    <w:p w:rsidR="00C80754" w:rsidRPr="00627E0D" w:rsidP="00FF3CFC">
      <w:pPr>
        <w:tabs>
          <w:tab w:val="left" w:pos="284"/>
        </w:tabs>
        <w:bidi w:val="0"/>
        <w:rPr>
          <w:rFonts w:ascii="Times New Roman" w:hAnsi="Times New Roman"/>
          <w:szCs w:val="22"/>
          <w:u w:val="single"/>
        </w:rPr>
      </w:pPr>
      <w:r w:rsidRPr="00725203">
        <w:rPr>
          <w:rFonts w:ascii="Times New Roman" w:hAnsi="Times New Roman"/>
          <w:b/>
          <w:i/>
          <w:szCs w:val="22"/>
        </w:rPr>
        <w:t>Odvody za tradičné vlastné zdroje</w:t>
      </w:r>
      <w:r w:rsidRPr="00725203">
        <w:rPr>
          <w:rFonts w:ascii="Times New Roman" w:hAnsi="Times New Roman"/>
          <w:szCs w:val="22"/>
        </w:rPr>
        <w:t xml:space="preserve"> (80 % z výberu cla a odvodov a poplatkov v sektore cukru) boli rozpočtované v sume 102 000 tis. eur. V priebehu roka 2017 Slovenská republika odviedla </w:t>
      </w:r>
      <w:r>
        <w:rPr>
          <w:rFonts w:ascii="Times New Roman" w:hAnsi="Times New Roman"/>
          <w:szCs w:val="22"/>
        </w:rPr>
        <w:t>91 270</w:t>
      </w:r>
      <w:r w:rsidRPr="00627E0D">
        <w:rPr>
          <w:rFonts w:ascii="Times New Roman" w:hAnsi="Times New Roman"/>
          <w:szCs w:val="22"/>
        </w:rPr>
        <w:t> tis. eur.</w:t>
      </w:r>
    </w:p>
    <w:p w:rsidR="00C80754" w:rsidRPr="00627E0D" w:rsidP="00FF3CFC">
      <w:pPr>
        <w:tabs>
          <w:tab w:val="left" w:pos="284"/>
        </w:tabs>
        <w:bidi w:val="0"/>
        <w:rPr>
          <w:rFonts w:ascii="Times New Roman" w:hAnsi="Times New Roman"/>
          <w:szCs w:val="22"/>
        </w:rPr>
      </w:pPr>
      <w:r w:rsidRPr="00627E0D">
        <w:rPr>
          <w:rFonts w:ascii="Times New Roman" w:hAnsi="Times New Roman"/>
          <w:b/>
          <w:i/>
          <w:szCs w:val="22"/>
        </w:rPr>
        <w:t>Ostatné odvody do rozpočtu EÚ</w:t>
      </w:r>
      <w:r w:rsidRPr="00627E0D">
        <w:rPr>
          <w:rFonts w:ascii="Times New Roman" w:hAnsi="Times New Roman"/>
          <w:szCs w:val="22"/>
        </w:rPr>
        <w:t xml:space="preserve"> (zdroj založený na DPH, zdroj založený na HND, podiel SR </w:t>
      </w:r>
      <w:r w:rsidR="002A7C63">
        <w:rPr>
          <w:rFonts w:ascii="Times New Roman" w:hAnsi="Times New Roman"/>
          <w:szCs w:val="22"/>
        </w:rPr>
        <w:br/>
      </w:r>
      <w:r w:rsidRPr="00627E0D">
        <w:rPr>
          <w:rFonts w:ascii="Times New Roman" w:hAnsi="Times New Roman"/>
          <w:szCs w:val="22"/>
        </w:rPr>
        <w:t>na korekcii Veľkej Británie, podiel SR na korekciách pre Dánsko, Holandsko a Švédsko) boli rozpočtované v sume 673 044 tis. eur, v priebehu roka boli znížené na sumu 634 342 tis. eur. Konečný odvod vlastných zdrojov predstavoval sumu 634 172 tis. eur.</w:t>
      </w:r>
    </w:p>
    <w:p w:rsidR="00C80754" w:rsidP="00FF3CFC">
      <w:pPr>
        <w:tabs>
          <w:tab w:val="left" w:pos="284"/>
        </w:tabs>
        <w:bidi w:val="0"/>
        <w:rPr>
          <w:rFonts w:ascii="Times New Roman" w:hAnsi="Times New Roman"/>
          <w:szCs w:val="22"/>
        </w:rPr>
      </w:pPr>
      <w:r w:rsidRPr="00CB1061">
        <w:rPr>
          <w:rFonts w:ascii="Times New Roman" w:hAnsi="Times New Roman"/>
          <w:b/>
          <w:i/>
          <w:szCs w:val="22"/>
        </w:rPr>
        <w:t>Príspevky Slovenskej republiky do Európskeho rozvojového fondu (ERF)</w:t>
      </w:r>
      <w:r w:rsidRPr="00CB1061">
        <w:rPr>
          <w:rFonts w:ascii="Times New Roman" w:hAnsi="Times New Roman"/>
          <w:b/>
          <w:szCs w:val="22"/>
        </w:rPr>
        <w:t xml:space="preserve"> </w:t>
      </w:r>
      <w:r w:rsidRPr="00CB1061">
        <w:rPr>
          <w:rFonts w:ascii="Times New Roman" w:hAnsi="Times New Roman"/>
          <w:szCs w:val="22"/>
        </w:rPr>
        <w:t>b</w:t>
      </w:r>
      <w:r>
        <w:rPr>
          <w:rFonts w:ascii="Times New Roman" w:hAnsi="Times New Roman"/>
          <w:szCs w:val="22"/>
        </w:rPr>
        <w:t>oli rozpočtované v</w:t>
      </w:r>
      <w:r w:rsidR="005F5C4C">
        <w:rPr>
          <w:rFonts w:ascii="Times New Roman" w:hAnsi="Times New Roman"/>
          <w:szCs w:val="22"/>
        </w:rPr>
        <w:t> </w:t>
      </w:r>
      <w:r>
        <w:rPr>
          <w:rFonts w:ascii="Times New Roman" w:hAnsi="Times New Roman"/>
          <w:szCs w:val="22"/>
        </w:rPr>
        <w:t>sume 12 604</w:t>
      </w:r>
      <w:r w:rsidRPr="00CB1061">
        <w:rPr>
          <w:rFonts w:ascii="Times New Roman" w:hAnsi="Times New Roman"/>
          <w:szCs w:val="22"/>
        </w:rPr>
        <w:t> tis. eur, pričom realizácia dosiahla 12 603 tis. eur. Skutočná výška príspevku SR závisí od absorpčnej kapacity rozvojovej pomoci EÚ v oprávnených štátoch Afriky, Karibiku a</w:t>
      </w:r>
      <w:r w:rsidR="005F5C4C">
        <w:rPr>
          <w:rFonts w:ascii="Times New Roman" w:hAnsi="Times New Roman"/>
          <w:szCs w:val="22"/>
        </w:rPr>
        <w:t xml:space="preserve"> </w:t>
      </w:r>
      <w:r w:rsidRPr="00CB1061">
        <w:rPr>
          <w:rFonts w:ascii="Times New Roman" w:hAnsi="Times New Roman"/>
          <w:szCs w:val="22"/>
        </w:rPr>
        <w:t xml:space="preserve">Tichomoria, zámorských štátov a území. </w:t>
      </w:r>
    </w:p>
    <w:p w:rsidR="00C80754" w:rsidRPr="00524669" w:rsidP="00FF3CFC">
      <w:pPr>
        <w:tabs>
          <w:tab w:val="left" w:pos="284"/>
        </w:tabs>
        <w:bidi w:val="0"/>
        <w:rPr>
          <w:rFonts w:ascii="Times New Roman" w:hAnsi="Times New Roman"/>
          <w:szCs w:val="22"/>
        </w:rPr>
      </w:pPr>
      <w:r w:rsidRPr="00524669">
        <w:rPr>
          <w:rFonts w:ascii="Times New Roman" w:hAnsi="Times New Roman"/>
          <w:b/>
          <w:i/>
          <w:szCs w:val="22"/>
        </w:rPr>
        <w:t xml:space="preserve">Príspevok Slovenskej republiky do nástroja pre utečencov v Turecku </w:t>
      </w:r>
      <w:r w:rsidRPr="00524669">
        <w:rPr>
          <w:rFonts w:ascii="Times New Roman" w:hAnsi="Times New Roman"/>
          <w:szCs w:val="22"/>
        </w:rPr>
        <w:t xml:space="preserve">bol rozpočtovaný v kapitole Ministerstva zahraničných vecí a európskych záležitostí </w:t>
      </w:r>
      <w:r>
        <w:rPr>
          <w:rFonts w:ascii="Times New Roman" w:hAnsi="Times New Roman"/>
          <w:szCs w:val="22"/>
        </w:rPr>
        <w:t xml:space="preserve">SR </w:t>
      </w:r>
      <w:r w:rsidRPr="00524669">
        <w:rPr>
          <w:rFonts w:ascii="Times New Roman" w:hAnsi="Times New Roman"/>
          <w:szCs w:val="22"/>
        </w:rPr>
        <w:t>v sume 4 621 tis. eur, pričom realizácia dosiahla 4 620 tis. eur</w:t>
      </w:r>
      <w:r>
        <w:rPr>
          <w:rFonts w:ascii="Times New Roman" w:hAnsi="Times New Roman"/>
          <w:szCs w:val="22"/>
        </w:rPr>
        <w:t>.</w:t>
      </w:r>
      <w:r w:rsidRPr="00524669">
        <w:rPr>
          <w:rFonts w:ascii="Times New Roman" w:hAnsi="Times New Roman"/>
          <w:szCs w:val="22"/>
        </w:rPr>
        <w:t xml:space="preserve"> </w:t>
      </w:r>
    </w:p>
    <w:p w:rsidR="00EB7A00">
      <w:pPr>
        <w:bidi w:val="0"/>
        <w:spacing w:after="200" w:line="276" w:lineRule="auto"/>
        <w:jc w:val="left"/>
        <w:rPr>
          <w:rFonts w:ascii="Times New Roman" w:hAnsi="Times New Roman"/>
          <w:szCs w:val="22"/>
        </w:rPr>
      </w:pPr>
      <w:r>
        <w:rPr>
          <w:rFonts w:ascii="Times New Roman" w:hAnsi="Times New Roman"/>
          <w:szCs w:val="22"/>
        </w:rPr>
        <w:br w:type="page"/>
      </w:r>
    </w:p>
    <w:p w:rsidR="004D048A" w:rsidP="00FF3CFC">
      <w:pPr>
        <w:tabs>
          <w:tab w:val="left" w:pos="284"/>
        </w:tabs>
        <w:bidi w:val="0"/>
        <w:rPr>
          <w:rFonts w:ascii="Times New Roman" w:hAnsi="Times New Roman"/>
          <w:szCs w:val="22"/>
        </w:rPr>
      </w:pPr>
      <w:r w:rsidRPr="00524669" w:rsidR="00C80754">
        <w:rPr>
          <w:rFonts w:ascii="Times New Roman" w:hAnsi="Times New Roman"/>
          <w:szCs w:val="22"/>
        </w:rPr>
        <w:t>Prehľad o odvodoch a príspevkoch SR do všeobecného rozpočtu EÚ za rok 2017 je uvedený v nasledovnej tabuľke:</w:t>
      </w:r>
    </w:p>
    <w:tbl>
      <w:tblPr>
        <w:tblStyle w:val="TableNormal"/>
        <w:tblW w:w="5042" w:type="pct"/>
        <w:tblLayout w:type="fixed"/>
        <w:tblCellMar>
          <w:left w:w="70" w:type="dxa"/>
          <w:right w:w="70" w:type="dxa"/>
        </w:tblCellMar>
        <w:tblLook w:val="04A0"/>
      </w:tblPr>
      <w:tblGrid>
        <w:gridCol w:w="3067"/>
        <w:gridCol w:w="976"/>
        <w:gridCol w:w="978"/>
        <w:gridCol w:w="978"/>
        <w:gridCol w:w="1118"/>
        <w:gridCol w:w="1034"/>
        <w:gridCol w:w="852"/>
      </w:tblGrid>
      <w:tr>
        <w:tblPrEx>
          <w:tblW w:w="5042" w:type="pct"/>
          <w:tblLayout w:type="fixed"/>
          <w:tblCellMar>
            <w:left w:w="70" w:type="dxa"/>
            <w:right w:w="70" w:type="dxa"/>
          </w:tblCellMar>
          <w:tblLook w:val="04A0"/>
        </w:tblPrEx>
        <w:trPr>
          <w:trHeight w:val="450"/>
        </w:trPr>
        <w:tc>
          <w:tcPr>
            <w:tcW w:w="3953" w:type="pct"/>
            <w:gridSpan w:val="5"/>
            <w:tcBorders>
              <w:top w:val="nil"/>
              <w:left w:val="nil"/>
              <w:bottom w:val="nil"/>
              <w:right w:val="nil"/>
            </w:tcBorders>
            <w:shd w:val="clear" w:color="000000" w:fill="000000"/>
            <w:noWrap/>
            <w:textDirection w:val="lrTb"/>
            <w:vAlign w:val="bottom"/>
            <w:hideMark/>
          </w:tcPr>
          <w:p w:rsidR="00C80754" w:rsidRPr="0093244A" w:rsidP="00C80754">
            <w:pPr>
              <w:bidi w:val="0"/>
              <w:spacing w:after="0" w:line="240" w:lineRule="auto"/>
              <w:jc w:val="left"/>
              <w:rPr>
                <w:rFonts w:ascii="Times New Roman" w:hAnsi="Times New Roman"/>
                <w:b/>
                <w:sz w:val="18"/>
                <w:szCs w:val="18"/>
              </w:rPr>
            </w:pPr>
            <w:r w:rsidRPr="0093244A">
              <w:rPr>
                <w:rFonts w:ascii="Times New Roman" w:hAnsi="Times New Roman"/>
                <w:b/>
                <w:sz w:val="18"/>
                <w:szCs w:val="18"/>
              </w:rPr>
              <w:t>Príjmy z rozpočtu EÚ a odvody a príspevky do všeobecného rozpočtu EÚ</w:t>
            </w:r>
          </w:p>
          <w:p w:rsidR="00C80754" w:rsidRPr="0093244A" w:rsidP="00C80754">
            <w:pPr>
              <w:bidi w:val="0"/>
              <w:spacing w:after="0" w:line="240" w:lineRule="auto"/>
              <w:jc w:val="left"/>
              <w:rPr>
                <w:rFonts w:ascii="Times New Roman" w:hAnsi="Times New Roman"/>
                <w:b/>
                <w:sz w:val="18"/>
                <w:szCs w:val="18"/>
              </w:rPr>
            </w:pPr>
            <w:r w:rsidRPr="0093244A">
              <w:rPr>
                <w:rFonts w:ascii="Times New Roman" w:hAnsi="Times New Roman"/>
                <w:b/>
                <w:sz w:val="18"/>
                <w:szCs w:val="18"/>
              </w:rPr>
              <w:t> </w:t>
            </w:r>
          </w:p>
        </w:tc>
        <w:tc>
          <w:tcPr>
            <w:tcW w:w="1047" w:type="pct"/>
            <w:gridSpan w:val="2"/>
            <w:tcBorders>
              <w:top w:val="nil"/>
              <w:left w:val="nil"/>
              <w:bottom w:val="nil"/>
              <w:right w:val="nil"/>
            </w:tcBorders>
            <w:shd w:val="clear" w:color="000000" w:fill="000000"/>
            <w:noWrap/>
            <w:textDirection w:val="lrTb"/>
            <w:vAlign w:val="top"/>
            <w:hideMark/>
          </w:tcPr>
          <w:p w:rsidR="00C80754" w:rsidRPr="0093244A" w:rsidP="00A504D5">
            <w:pPr>
              <w:bidi w:val="0"/>
              <w:spacing w:after="0" w:line="240" w:lineRule="auto"/>
              <w:jc w:val="right"/>
              <w:rPr>
                <w:rFonts w:ascii="Times New Roman" w:hAnsi="Times New Roman"/>
                <w:b/>
                <w:sz w:val="18"/>
                <w:szCs w:val="18"/>
              </w:rPr>
            </w:pPr>
            <w:r w:rsidRPr="0093244A">
              <w:rPr>
                <w:rFonts w:ascii="Times New Roman" w:hAnsi="Times New Roman"/>
                <w:b/>
                <w:sz w:val="18"/>
                <w:szCs w:val="18"/>
              </w:rPr>
              <w:t>v tis. eur</w:t>
            </w:r>
          </w:p>
        </w:tc>
      </w:tr>
      <w:tr>
        <w:tblPrEx>
          <w:tblW w:w="5042" w:type="pct"/>
          <w:tblLayout w:type="fixed"/>
          <w:tblCellMar>
            <w:left w:w="70" w:type="dxa"/>
            <w:right w:w="70" w:type="dxa"/>
          </w:tblCellMar>
          <w:tblLook w:val="04A0"/>
        </w:tblPrEx>
        <w:trPr>
          <w:trHeight w:val="312"/>
        </w:trPr>
        <w:tc>
          <w:tcPr>
            <w:tcW w:w="1704"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left"/>
              <w:rPr>
                <w:rFonts w:ascii="Times New Roman" w:hAnsi="Times New Roman"/>
                <w:b/>
                <w:sz w:val="18"/>
                <w:szCs w:val="18"/>
              </w:rPr>
            </w:pPr>
            <w:r w:rsidRPr="0093244A">
              <w:rPr>
                <w:rFonts w:ascii="Times New Roman" w:hAnsi="Times New Roman"/>
                <w:b/>
                <w:sz w:val="18"/>
                <w:szCs w:val="18"/>
              </w:rPr>
              <w:t> </w:t>
            </w:r>
          </w:p>
        </w:tc>
        <w:tc>
          <w:tcPr>
            <w:tcW w:w="1085" w:type="pct"/>
            <w:gridSpan w:val="2"/>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Skutočnosť</w:t>
            </w:r>
          </w:p>
        </w:tc>
        <w:tc>
          <w:tcPr>
            <w:tcW w:w="543"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Rozpočet</w:t>
            </w:r>
          </w:p>
        </w:tc>
        <w:tc>
          <w:tcPr>
            <w:tcW w:w="621" w:type="pct"/>
            <w:tcBorders>
              <w:top w:val="nil"/>
              <w:left w:val="nil"/>
              <w:bottom w:val="nil"/>
              <w:right w:val="nil"/>
            </w:tcBorders>
            <w:shd w:val="clear" w:color="000000" w:fill="BFBFBF"/>
            <w:textDirection w:val="lrTb"/>
            <w:vAlign w:val="center"/>
            <w:hideMark/>
          </w:tcPr>
          <w:p w:rsidR="00C80754" w:rsidRPr="0093244A" w:rsidP="00545517">
            <w:pPr>
              <w:bidi w:val="0"/>
              <w:spacing w:after="0" w:line="240" w:lineRule="auto"/>
              <w:jc w:val="center"/>
              <w:rPr>
                <w:rFonts w:ascii="Times New Roman" w:hAnsi="Times New Roman"/>
                <w:b/>
                <w:sz w:val="18"/>
                <w:szCs w:val="18"/>
              </w:rPr>
            </w:pPr>
            <w:r w:rsidRPr="0093244A">
              <w:rPr>
                <w:rFonts w:ascii="Times New Roman" w:hAnsi="Times New Roman"/>
                <w:b/>
                <w:sz w:val="18"/>
                <w:szCs w:val="18"/>
              </w:rPr>
              <w:t>Skutočnosť</w:t>
            </w:r>
          </w:p>
        </w:tc>
        <w:tc>
          <w:tcPr>
            <w:tcW w:w="1047" w:type="pct"/>
            <w:gridSpan w:val="2"/>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Rozdiel</w:t>
            </w:r>
          </w:p>
        </w:tc>
      </w:tr>
      <w:tr>
        <w:tblPrEx>
          <w:tblW w:w="5042" w:type="pct"/>
          <w:tblLayout w:type="fixed"/>
          <w:tblCellMar>
            <w:left w:w="70" w:type="dxa"/>
            <w:right w:w="70" w:type="dxa"/>
          </w:tblCellMar>
          <w:tblLook w:val="04A0"/>
        </w:tblPrEx>
        <w:trPr>
          <w:trHeight w:val="312"/>
        </w:trPr>
        <w:tc>
          <w:tcPr>
            <w:tcW w:w="1704"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left"/>
              <w:rPr>
                <w:rFonts w:ascii="Times New Roman" w:hAnsi="Times New Roman"/>
                <w:b/>
                <w:sz w:val="18"/>
                <w:szCs w:val="18"/>
              </w:rPr>
            </w:pPr>
            <w:r w:rsidRPr="0093244A">
              <w:rPr>
                <w:rFonts w:ascii="Times New Roman" w:hAnsi="Times New Roman"/>
                <w:b/>
                <w:sz w:val="18"/>
                <w:szCs w:val="18"/>
              </w:rPr>
              <w:t> </w:t>
            </w:r>
          </w:p>
        </w:tc>
        <w:tc>
          <w:tcPr>
            <w:tcW w:w="542"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2015</w:t>
            </w:r>
          </w:p>
        </w:tc>
        <w:tc>
          <w:tcPr>
            <w:tcW w:w="543"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2016</w:t>
            </w:r>
          </w:p>
        </w:tc>
        <w:tc>
          <w:tcPr>
            <w:tcW w:w="543"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2017</w:t>
            </w:r>
          </w:p>
        </w:tc>
        <w:tc>
          <w:tcPr>
            <w:tcW w:w="621"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2017</w:t>
            </w:r>
          </w:p>
        </w:tc>
        <w:tc>
          <w:tcPr>
            <w:tcW w:w="574"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left"/>
              <w:rPr>
                <w:rFonts w:ascii="Times New Roman" w:hAnsi="Times New Roman"/>
                <w:b/>
                <w:sz w:val="18"/>
                <w:szCs w:val="18"/>
              </w:rPr>
            </w:pPr>
            <w:r w:rsidRPr="0093244A">
              <w:rPr>
                <w:rFonts w:ascii="Times New Roman" w:hAnsi="Times New Roman"/>
                <w:b/>
                <w:sz w:val="18"/>
                <w:szCs w:val="18"/>
              </w:rPr>
              <w:t xml:space="preserve"> v tis. eur</w:t>
            </w:r>
          </w:p>
        </w:tc>
        <w:tc>
          <w:tcPr>
            <w:tcW w:w="473" w:type="pct"/>
            <w:tcBorders>
              <w:top w:val="nil"/>
              <w:left w:val="nil"/>
              <w:bottom w:val="nil"/>
              <w:right w:val="nil"/>
            </w:tcBorders>
            <w:shd w:val="clear" w:color="000000" w:fill="BFBFBF"/>
            <w:textDirection w:val="lrTb"/>
            <w:vAlign w:val="center"/>
            <w:hideMark/>
          </w:tcPr>
          <w:p w:rsidR="00C80754" w:rsidRPr="0093244A" w:rsidP="00A504D5">
            <w:pPr>
              <w:bidi w:val="0"/>
              <w:spacing w:after="0" w:line="240" w:lineRule="auto"/>
              <w:jc w:val="left"/>
              <w:rPr>
                <w:rFonts w:ascii="Times New Roman" w:hAnsi="Times New Roman"/>
                <w:b/>
                <w:sz w:val="18"/>
                <w:szCs w:val="18"/>
              </w:rPr>
            </w:pPr>
            <w:r w:rsidRPr="0093244A">
              <w:rPr>
                <w:rFonts w:ascii="Times New Roman" w:hAnsi="Times New Roman"/>
                <w:b/>
                <w:sz w:val="18"/>
                <w:szCs w:val="18"/>
              </w:rPr>
              <w:t>v %</w:t>
            </w:r>
          </w:p>
        </w:tc>
      </w:tr>
      <w:tr>
        <w:tblPrEx>
          <w:tblW w:w="5042" w:type="pct"/>
          <w:tblLayout w:type="fixed"/>
          <w:tblCellMar>
            <w:left w:w="70" w:type="dxa"/>
            <w:right w:w="70" w:type="dxa"/>
          </w:tblCellMar>
          <w:tblLook w:val="04A0"/>
        </w:tblPrEx>
        <w:trPr>
          <w:trHeight w:val="312"/>
        </w:trPr>
        <w:tc>
          <w:tcPr>
            <w:tcW w:w="1704"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p>
        </w:tc>
        <w:tc>
          <w:tcPr>
            <w:tcW w:w="542"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1</w:t>
            </w:r>
          </w:p>
        </w:tc>
        <w:tc>
          <w:tcPr>
            <w:tcW w:w="543"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2</w:t>
            </w:r>
          </w:p>
        </w:tc>
        <w:tc>
          <w:tcPr>
            <w:tcW w:w="543"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3</w:t>
            </w:r>
          </w:p>
        </w:tc>
        <w:tc>
          <w:tcPr>
            <w:tcW w:w="621"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4</w:t>
            </w:r>
          </w:p>
        </w:tc>
        <w:tc>
          <w:tcPr>
            <w:tcW w:w="574"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5=4-3</w:t>
            </w:r>
          </w:p>
        </w:tc>
        <w:tc>
          <w:tcPr>
            <w:tcW w:w="473" w:type="pct"/>
            <w:tcBorders>
              <w:top w:val="nil"/>
              <w:left w:val="nil"/>
              <w:bottom w:val="single" w:sz="8" w:space="0" w:color="auto"/>
              <w:right w:val="nil"/>
            </w:tcBorders>
            <w:shd w:val="clear" w:color="000000" w:fill="BFBFBF"/>
            <w:textDirection w:val="lrTb"/>
            <w:vAlign w:val="center"/>
            <w:hideMark/>
          </w:tcPr>
          <w:p w:rsidR="00C80754" w:rsidRPr="0093244A" w:rsidP="00A504D5">
            <w:pPr>
              <w:bidi w:val="0"/>
              <w:spacing w:after="0" w:line="240" w:lineRule="auto"/>
              <w:jc w:val="center"/>
              <w:rPr>
                <w:rFonts w:ascii="Times New Roman" w:hAnsi="Times New Roman"/>
                <w:b/>
                <w:sz w:val="18"/>
                <w:szCs w:val="18"/>
              </w:rPr>
            </w:pPr>
            <w:r w:rsidRPr="0093244A">
              <w:rPr>
                <w:rFonts w:ascii="Times New Roman" w:hAnsi="Times New Roman"/>
                <w:b/>
                <w:sz w:val="18"/>
                <w:szCs w:val="18"/>
              </w:rPr>
              <w:t>6=4-3</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Tradičné vlastné zdroje</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88 910</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94 602</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102 000</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91 270</w:t>
            </w:r>
          </w:p>
        </w:tc>
        <w:tc>
          <w:tcPr>
            <w:tcW w:w="574" w:type="pct"/>
            <w:tcBorders>
              <w:top w:val="nil"/>
              <w:left w:val="nil"/>
              <w:bottom w:val="nil"/>
              <w:right w:val="nil"/>
            </w:tcBorders>
            <w:textDirection w:val="lrTb"/>
            <w:vAlign w:val="center"/>
            <w:hideMark/>
          </w:tcPr>
          <w:p w:rsidR="00C80754" w:rsidRPr="0093244A" w:rsidP="007759B0">
            <w:pPr>
              <w:bidi w:val="0"/>
              <w:jc w:val="right"/>
              <w:rPr>
                <w:rFonts w:ascii="Times New Roman" w:hAnsi="Times New Roman"/>
                <w:color w:val="000000"/>
                <w:sz w:val="18"/>
                <w:szCs w:val="18"/>
              </w:rPr>
            </w:pPr>
            <w:r w:rsidRPr="0093244A">
              <w:rPr>
                <w:rFonts w:ascii="Times New Roman" w:hAnsi="Times New Roman"/>
                <w:color w:val="000000"/>
                <w:sz w:val="18"/>
                <w:szCs w:val="18"/>
              </w:rPr>
              <w:t>-10 730</w:t>
            </w:r>
          </w:p>
        </w:tc>
        <w:tc>
          <w:tcPr>
            <w:tcW w:w="473" w:type="pct"/>
            <w:tcBorders>
              <w:top w:val="nil"/>
              <w:left w:val="nil"/>
              <w:bottom w:val="nil"/>
              <w:right w:val="nil"/>
            </w:tcBorders>
            <w:shd w:val="clear" w:color="000000" w:fill="FFFFFF"/>
            <w:textDirection w:val="lrTb"/>
            <w:vAlign w:val="center"/>
            <w:hideMark/>
          </w:tcPr>
          <w:p w:rsidR="00C80754" w:rsidRPr="0093244A" w:rsidP="007759B0">
            <w:pPr>
              <w:bidi w:val="0"/>
              <w:jc w:val="right"/>
              <w:rPr>
                <w:rFonts w:ascii="Times New Roman" w:hAnsi="Times New Roman"/>
                <w:color w:val="000000"/>
                <w:sz w:val="18"/>
                <w:szCs w:val="18"/>
              </w:rPr>
            </w:pPr>
            <w:r w:rsidRPr="0093244A">
              <w:rPr>
                <w:rFonts w:ascii="Times New Roman" w:hAnsi="Times New Roman"/>
                <w:color w:val="000000"/>
                <w:sz w:val="18"/>
                <w:szCs w:val="18"/>
              </w:rPr>
              <w:t>-10,5</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Odvody SR do rozpočtu EÚ bez tradičných vlastných zdrojov</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599 458</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634 796</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673 044</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634 172</w:t>
            </w:r>
          </w:p>
        </w:tc>
        <w:tc>
          <w:tcPr>
            <w:tcW w:w="574" w:type="pct"/>
            <w:tcBorders>
              <w:top w:val="nil"/>
              <w:left w:val="nil"/>
              <w:bottom w:val="nil"/>
              <w:right w:val="nil"/>
            </w:tcBorders>
            <w:shd w:val="clear" w:color="000000" w:fill="FFFFFF"/>
            <w:noWrap/>
            <w:textDirection w:val="lrTb"/>
            <w:vAlign w:val="center"/>
            <w:hideMark/>
          </w:tcPr>
          <w:p w:rsidR="00C80754" w:rsidRPr="0093244A" w:rsidP="007759B0">
            <w:pPr>
              <w:bidi w:val="0"/>
              <w:jc w:val="right"/>
              <w:rPr>
                <w:rFonts w:ascii="Times New Roman" w:hAnsi="Times New Roman"/>
                <w:color w:val="000000"/>
                <w:sz w:val="18"/>
                <w:szCs w:val="18"/>
              </w:rPr>
            </w:pPr>
            <w:r w:rsidRPr="0093244A">
              <w:rPr>
                <w:rFonts w:ascii="Times New Roman" w:hAnsi="Times New Roman"/>
                <w:color w:val="000000"/>
                <w:sz w:val="18"/>
                <w:szCs w:val="18"/>
              </w:rPr>
              <w:t>-38 872</w:t>
            </w:r>
          </w:p>
        </w:tc>
        <w:tc>
          <w:tcPr>
            <w:tcW w:w="473" w:type="pct"/>
            <w:tcBorders>
              <w:top w:val="nil"/>
              <w:left w:val="nil"/>
              <w:bottom w:val="nil"/>
              <w:right w:val="nil"/>
            </w:tcBorders>
            <w:textDirection w:val="lrTb"/>
            <w:vAlign w:val="center"/>
            <w:hideMark/>
          </w:tcPr>
          <w:p w:rsidR="00C80754" w:rsidRPr="0093244A" w:rsidP="007759B0">
            <w:pPr>
              <w:bidi w:val="0"/>
              <w:jc w:val="right"/>
              <w:rPr>
                <w:rFonts w:ascii="Times New Roman" w:hAnsi="Times New Roman"/>
                <w:color w:val="000000"/>
                <w:sz w:val="18"/>
                <w:szCs w:val="18"/>
              </w:rPr>
            </w:pPr>
            <w:r w:rsidRPr="0093244A">
              <w:rPr>
                <w:rFonts w:ascii="Times New Roman" w:hAnsi="Times New Roman"/>
                <w:color w:val="000000"/>
                <w:sz w:val="18"/>
                <w:szCs w:val="18"/>
              </w:rPr>
              <w:t>-5,8</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Odvody do rozpočtu EÚ spolu</w:t>
            </w:r>
          </w:p>
        </w:tc>
        <w:tc>
          <w:tcPr>
            <w:tcW w:w="542"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688 368</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729 398</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775 044</w:t>
            </w:r>
          </w:p>
        </w:tc>
        <w:tc>
          <w:tcPr>
            <w:tcW w:w="621" w:type="pct"/>
            <w:tcBorders>
              <w:top w:val="nil"/>
              <w:left w:val="nil"/>
              <w:bottom w:val="nil"/>
              <w:right w:val="nil"/>
            </w:tcBorders>
            <w:shd w:val="clear" w:color="auto" w:fill="BFBFB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725 442</w:t>
            </w:r>
          </w:p>
        </w:tc>
        <w:tc>
          <w:tcPr>
            <w:tcW w:w="57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-49 602</w:t>
            </w:r>
          </w:p>
        </w:tc>
        <w:tc>
          <w:tcPr>
            <w:tcW w:w="473"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-6,4</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Príspevky SR do Európskeho rozvojového fondu</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7 140</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10 505</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12 604</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12 603</w:t>
            </w:r>
          </w:p>
        </w:tc>
        <w:tc>
          <w:tcPr>
            <w:tcW w:w="57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w:t>
            </w:r>
          </w:p>
        </w:tc>
        <w:tc>
          <w:tcPr>
            <w:tcW w:w="473"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0,0</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Príspevok SR do nástroja pre utečencov v Turecku*</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0</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3 113</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4 621</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4 620</w:t>
            </w:r>
          </w:p>
        </w:tc>
        <w:tc>
          <w:tcPr>
            <w:tcW w:w="57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w:t>
            </w:r>
          </w:p>
        </w:tc>
        <w:tc>
          <w:tcPr>
            <w:tcW w:w="473"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0,0</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Odvody a príspevky SR spolu</w:t>
            </w:r>
          </w:p>
        </w:tc>
        <w:tc>
          <w:tcPr>
            <w:tcW w:w="542"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695 508</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743 016</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792 269</w:t>
            </w:r>
          </w:p>
        </w:tc>
        <w:tc>
          <w:tcPr>
            <w:tcW w:w="621" w:type="pct"/>
            <w:tcBorders>
              <w:top w:val="nil"/>
              <w:left w:val="nil"/>
              <w:bottom w:val="nil"/>
              <w:right w:val="nil"/>
            </w:tcBorders>
            <w:shd w:val="clear" w:color="auto" w:fill="BFBFB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742 665</w:t>
            </w:r>
          </w:p>
        </w:tc>
        <w:tc>
          <w:tcPr>
            <w:tcW w:w="57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-49 604</w:t>
            </w:r>
          </w:p>
        </w:tc>
        <w:tc>
          <w:tcPr>
            <w:tcW w:w="473"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-6,3</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Zahraničné transfery</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4 280 041</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1 939 785</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2 655 927</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1 422 488</w:t>
            </w:r>
          </w:p>
        </w:tc>
        <w:tc>
          <w:tcPr>
            <w:tcW w:w="57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-1 233 439</w:t>
            </w:r>
          </w:p>
        </w:tc>
        <w:tc>
          <w:tcPr>
            <w:tcW w:w="473"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-46,4</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rPr>
                <w:rFonts w:ascii="Times New Roman" w:hAnsi="Times New Roman"/>
                <w:color w:val="000000"/>
                <w:sz w:val="18"/>
                <w:szCs w:val="18"/>
                <w:lang w:eastAsia="sk-SK"/>
              </w:rPr>
            </w:pPr>
            <w:r w:rsidRPr="0093244A">
              <w:rPr>
                <w:rFonts w:ascii="Times New Roman" w:hAnsi="Times New Roman"/>
                <w:color w:val="000000"/>
                <w:sz w:val="18"/>
                <w:szCs w:val="18"/>
                <w:lang w:eastAsia="sk-SK"/>
              </w:rPr>
              <w:t>Zahraničné granty z rozpočtu EÚ</w:t>
            </w:r>
          </w:p>
        </w:tc>
        <w:tc>
          <w:tcPr>
            <w:tcW w:w="542"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8 832</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7 696</w:t>
            </w:r>
          </w:p>
        </w:tc>
        <w:tc>
          <w:tcPr>
            <w:tcW w:w="543" w:type="pct"/>
            <w:tcBorders>
              <w:top w:val="nil"/>
              <w:left w:val="nil"/>
              <w:bottom w:val="nil"/>
              <w:right w:val="nil"/>
            </w:tcBorders>
            <w:shd w:val="clear" w:color="000000" w:fill="FFFFF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0</w:t>
            </w:r>
          </w:p>
        </w:tc>
        <w:tc>
          <w:tcPr>
            <w:tcW w:w="621" w:type="pct"/>
            <w:tcBorders>
              <w:top w:val="nil"/>
              <w:left w:val="nil"/>
              <w:bottom w:val="nil"/>
              <w:right w:val="nil"/>
            </w:tcBorders>
            <w:shd w:val="clear" w:color="auto" w:fill="BFBFBF"/>
            <w:noWrap/>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3 084</w:t>
            </w:r>
          </w:p>
        </w:tc>
        <w:tc>
          <w:tcPr>
            <w:tcW w:w="574"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3 084</w:t>
            </w:r>
          </w:p>
        </w:tc>
        <w:tc>
          <w:tcPr>
            <w:tcW w:w="473" w:type="pct"/>
            <w:tcBorders>
              <w:top w:val="nil"/>
              <w:left w:val="nil"/>
              <w:bottom w:val="nil"/>
              <w:right w:val="nil"/>
            </w:tcBorders>
            <w:shd w:val="clear" w:color="000000" w:fill="FFFFFF"/>
            <w:textDirection w:val="lrTb"/>
            <w:vAlign w:val="center"/>
            <w:hideMark/>
          </w:tcPr>
          <w:p w:rsidR="00C80754" w:rsidRPr="0093244A" w:rsidP="00545517">
            <w:pPr>
              <w:bidi w:val="0"/>
              <w:spacing w:after="0" w:line="240" w:lineRule="auto"/>
              <w:jc w:val="right"/>
              <w:rPr>
                <w:rFonts w:ascii="Times New Roman" w:hAnsi="Times New Roman"/>
                <w:color w:val="000000"/>
                <w:sz w:val="18"/>
                <w:szCs w:val="18"/>
                <w:lang w:eastAsia="sk-SK"/>
              </w:rPr>
            </w:pPr>
            <w:r w:rsidRPr="0093244A">
              <w:rPr>
                <w:rFonts w:ascii="Times New Roman" w:hAnsi="Times New Roman"/>
                <w:color w:val="000000"/>
                <w:sz w:val="18"/>
                <w:szCs w:val="18"/>
                <w:lang w:eastAsia="sk-SK"/>
              </w:rPr>
              <w:t>-</w:t>
            </w:r>
          </w:p>
        </w:tc>
      </w:tr>
      <w:tr>
        <w:tblPrEx>
          <w:tblW w:w="5042" w:type="pct"/>
          <w:tblLayout w:type="fixed"/>
          <w:tblCellMar>
            <w:left w:w="70" w:type="dxa"/>
            <w:right w:w="70" w:type="dxa"/>
          </w:tblCellMar>
          <w:tblLook w:val="04A0"/>
        </w:tblPrEx>
        <w:trPr>
          <w:trHeight w:val="300"/>
        </w:trPr>
        <w:tc>
          <w:tcPr>
            <w:tcW w:w="170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Spolu príjmy z rozpočtu EÚ</w:t>
            </w:r>
          </w:p>
        </w:tc>
        <w:tc>
          <w:tcPr>
            <w:tcW w:w="542"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4 288 873</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1 947 481</w:t>
            </w:r>
          </w:p>
        </w:tc>
        <w:tc>
          <w:tcPr>
            <w:tcW w:w="543" w:type="pct"/>
            <w:tcBorders>
              <w:top w:val="nil"/>
              <w:left w:val="nil"/>
              <w:bottom w:val="nil"/>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2 655 927</w:t>
            </w:r>
          </w:p>
        </w:tc>
        <w:tc>
          <w:tcPr>
            <w:tcW w:w="621" w:type="pct"/>
            <w:tcBorders>
              <w:top w:val="nil"/>
              <w:left w:val="nil"/>
              <w:bottom w:val="nil"/>
              <w:right w:val="nil"/>
            </w:tcBorders>
            <w:shd w:val="clear" w:color="auto" w:fill="BFBFB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1 425 572</w:t>
            </w:r>
          </w:p>
        </w:tc>
        <w:tc>
          <w:tcPr>
            <w:tcW w:w="574"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-1 230 355</w:t>
            </w:r>
          </w:p>
        </w:tc>
        <w:tc>
          <w:tcPr>
            <w:tcW w:w="473" w:type="pct"/>
            <w:tcBorders>
              <w:top w:val="nil"/>
              <w:left w:val="nil"/>
              <w:bottom w:val="nil"/>
              <w:right w:val="nil"/>
            </w:tcBorders>
            <w:shd w:val="clear" w:color="000000" w:fill="FFFFFF"/>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-46,3</w:t>
            </w:r>
          </w:p>
        </w:tc>
      </w:tr>
      <w:tr>
        <w:tblPrEx>
          <w:tblW w:w="5042" w:type="pct"/>
          <w:tblLayout w:type="fixed"/>
          <w:tblCellMar>
            <w:left w:w="70" w:type="dxa"/>
            <w:right w:w="70" w:type="dxa"/>
          </w:tblCellMar>
          <w:tblLook w:val="04A0"/>
        </w:tblPrEx>
        <w:trPr>
          <w:trHeight w:val="300"/>
        </w:trPr>
        <w:tc>
          <w:tcPr>
            <w:tcW w:w="1704" w:type="pct"/>
            <w:tcBorders>
              <w:top w:val="single" w:sz="4" w:space="0" w:color="auto"/>
              <w:left w:val="nil"/>
              <w:bottom w:val="single" w:sz="8" w:space="0" w:color="auto"/>
              <w:right w:val="nil"/>
            </w:tcBorders>
            <w:shd w:val="clear" w:color="000000" w:fill="FFFFFF"/>
            <w:textDirection w:val="lrTb"/>
            <w:vAlign w:val="center"/>
            <w:hideMark/>
          </w:tcPr>
          <w:p w:rsidR="00C80754"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Čistá finančná pozícia</w:t>
            </w:r>
          </w:p>
        </w:tc>
        <w:tc>
          <w:tcPr>
            <w:tcW w:w="542" w:type="pct"/>
            <w:tcBorders>
              <w:top w:val="single" w:sz="4" w:space="0" w:color="auto"/>
              <w:left w:val="nil"/>
              <w:bottom w:val="single" w:sz="8" w:space="0" w:color="auto"/>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3 593 365</w:t>
            </w:r>
          </w:p>
        </w:tc>
        <w:tc>
          <w:tcPr>
            <w:tcW w:w="543" w:type="pct"/>
            <w:tcBorders>
              <w:top w:val="single" w:sz="4" w:space="0" w:color="auto"/>
              <w:left w:val="nil"/>
              <w:bottom w:val="single" w:sz="8" w:space="0" w:color="auto"/>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1 204 465</w:t>
            </w:r>
          </w:p>
        </w:tc>
        <w:tc>
          <w:tcPr>
            <w:tcW w:w="543" w:type="pct"/>
            <w:tcBorders>
              <w:top w:val="single" w:sz="4" w:space="0" w:color="auto"/>
              <w:left w:val="nil"/>
              <w:bottom w:val="single" w:sz="8" w:space="0" w:color="auto"/>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1 863 658</w:t>
            </w:r>
          </w:p>
        </w:tc>
        <w:tc>
          <w:tcPr>
            <w:tcW w:w="621" w:type="pct"/>
            <w:tcBorders>
              <w:top w:val="single" w:sz="4" w:space="0" w:color="auto"/>
              <w:left w:val="nil"/>
              <w:bottom w:val="single" w:sz="8" w:space="0" w:color="auto"/>
              <w:right w:val="nil"/>
            </w:tcBorders>
            <w:shd w:val="clear" w:color="auto" w:fill="BFBFB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682 907</w:t>
            </w:r>
          </w:p>
        </w:tc>
        <w:tc>
          <w:tcPr>
            <w:tcW w:w="574" w:type="pct"/>
            <w:tcBorders>
              <w:top w:val="single" w:sz="4" w:space="0" w:color="auto"/>
              <w:left w:val="nil"/>
              <w:bottom w:val="single" w:sz="8" w:space="0" w:color="auto"/>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-1 180 751</w:t>
            </w:r>
          </w:p>
        </w:tc>
        <w:tc>
          <w:tcPr>
            <w:tcW w:w="473" w:type="pct"/>
            <w:tcBorders>
              <w:top w:val="single" w:sz="4" w:space="0" w:color="auto"/>
              <w:left w:val="nil"/>
              <w:bottom w:val="single" w:sz="8" w:space="0" w:color="auto"/>
              <w:right w:val="nil"/>
            </w:tcBorders>
            <w:shd w:val="clear" w:color="000000" w:fill="FFFFFF"/>
            <w:noWrap/>
            <w:textDirection w:val="lrTb"/>
            <w:vAlign w:val="center"/>
            <w:hideMark/>
          </w:tcPr>
          <w:p w:rsidR="00C80754"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-63,4</w:t>
            </w:r>
          </w:p>
        </w:tc>
      </w:tr>
      <w:tr>
        <w:tblPrEx>
          <w:tblW w:w="5042" w:type="pct"/>
          <w:tblLayout w:type="fixed"/>
          <w:tblCellMar>
            <w:left w:w="70" w:type="dxa"/>
            <w:right w:w="70" w:type="dxa"/>
          </w:tblCellMar>
          <w:tblLook w:val="04A0"/>
        </w:tblPrEx>
        <w:trPr>
          <w:trHeight w:val="531"/>
        </w:trPr>
        <w:tc>
          <w:tcPr>
            <w:tcW w:w="5000" w:type="pct"/>
            <w:gridSpan w:val="7"/>
            <w:tcBorders>
              <w:top w:val="single" w:sz="8" w:space="0" w:color="auto"/>
              <w:left w:val="nil"/>
              <w:bottom w:val="nil"/>
              <w:right w:val="nil"/>
            </w:tcBorders>
            <w:shd w:val="clear" w:color="000000" w:fill="FFFFFF"/>
            <w:textDirection w:val="lrTb"/>
            <w:vAlign w:val="center"/>
            <w:hideMark/>
          </w:tcPr>
          <w:p w:rsidR="00C80754" w:rsidRPr="0093244A" w:rsidP="0093244A">
            <w:pPr>
              <w:bidi w:val="0"/>
              <w:spacing w:after="0" w:line="240" w:lineRule="auto"/>
              <w:rPr>
                <w:rFonts w:ascii="Times New Roman" w:hAnsi="Times New Roman"/>
                <w:color w:val="000000"/>
                <w:sz w:val="18"/>
                <w:szCs w:val="18"/>
              </w:rPr>
            </w:pPr>
            <w:r w:rsidRPr="0093244A">
              <w:rPr>
                <w:rFonts w:ascii="Times New Roman" w:hAnsi="Times New Roman"/>
                <w:color w:val="000000"/>
                <w:sz w:val="18"/>
                <w:szCs w:val="18"/>
              </w:rPr>
              <w:t>*Rozpočtované a hradené z kapitoly Ministerstva zahraničných vecí a európskych záležitostí SR.</w:t>
            </w:r>
            <w:r w:rsidR="0093244A">
              <w:rPr>
                <w:rFonts w:ascii="Times New Roman" w:hAnsi="Times New Roman"/>
                <w:color w:val="000000"/>
                <w:sz w:val="18"/>
                <w:szCs w:val="18"/>
              </w:rPr>
              <w:t xml:space="preserve">                 </w:t>
            </w:r>
            <w:r w:rsidRPr="0093244A" w:rsidR="0093244A">
              <w:rPr>
                <w:rFonts w:ascii="Times New Roman" w:hAnsi="Times New Roman"/>
                <w:sz w:val="18"/>
                <w:szCs w:val="18"/>
              </w:rPr>
              <w:t>Zdroj: MF SR</w:t>
            </w:r>
          </w:p>
          <w:p w:rsidR="00C80754" w:rsidRPr="0093244A" w:rsidP="0093244A">
            <w:pPr>
              <w:bidi w:val="0"/>
              <w:spacing w:after="0" w:line="240" w:lineRule="auto"/>
              <w:jc w:val="right"/>
              <w:rPr>
                <w:rFonts w:ascii="Times New Roman" w:hAnsi="Times New Roman"/>
                <w:sz w:val="18"/>
                <w:szCs w:val="18"/>
              </w:rPr>
            </w:pPr>
          </w:p>
        </w:tc>
      </w:tr>
    </w:tbl>
    <w:p w:rsidR="00C80754" w:rsidRPr="008E1258" w:rsidP="00FF3CFC">
      <w:pPr>
        <w:bidi w:val="0"/>
        <w:rPr>
          <w:rFonts w:ascii="Times New Roman" w:hAnsi="Times New Roman"/>
          <w:szCs w:val="22"/>
          <w:highlight w:val="yellow"/>
        </w:rPr>
      </w:pPr>
      <w:r w:rsidRPr="0096209B">
        <w:rPr>
          <w:rFonts w:ascii="Times New Roman" w:hAnsi="Times New Roman"/>
          <w:szCs w:val="22"/>
        </w:rPr>
        <w:t>Na základe realizovaných príjmov z rozpočtu EÚ v roku 201</w:t>
      </w:r>
      <w:r>
        <w:rPr>
          <w:rFonts w:ascii="Times New Roman" w:hAnsi="Times New Roman"/>
          <w:szCs w:val="22"/>
        </w:rPr>
        <w:t>7</w:t>
      </w:r>
      <w:r w:rsidRPr="0096209B">
        <w:rPr>
          <w:rFonts w:ascii="Times New Roman" w:hAnsi="Times New Roman"/>
          <w:szCs w:val="22"/>
        </w:rPr>
        <w:t xml:space="preserve"> vo výške 1</w:t>
      </w:r>
      <w:r w:rsidR="00A504D5">
        <w:rPr>
          <w:rFonts w:ascii="Times New Roman" w:hAnsi="Times New Roman"/>
          <w:szCs w:val="22"/>
        </w:rPr>
        <w:t> </w:t>
      </w:r>
      <w:r w:rsidRPr="0096209B">
        <w:rPr>
          <w:rFonts w:ascii="Times New Roman" w:hAnsi="Times New Roman"/>
          <w:szCs w:val="22"/>
        </w:rPr>
        <w:t>425</w:t>
      </w:r>
      <w:r w:rsidR="00A504D5">
        <w:rPr>
          <w:rFonts w:ascii="Times New Roman" w:hAnsi="Times New Roman"/>
          <w:szCs w:val="22"/>
        </w:rPr>
        <w:t> </w:t>
      </w:r>
      <w:r w:rsidRPr="0096209B">
        <w:rPr>
          <w:rFonts w:ascii="Times New Roman" w:hAnsi="Times New Roman"/>
          <w:szCs w:val="22"/>
        </w:rPr>
        <w:t>572 tis. eur a odvodov a príspevkov do všeobecného rozpočtu EÚ vo výške 74</w:t>
      </w:r>
      <w:r>
        <w:rPr>
          <w:rFonts w:ascii="Times New Roman" w:hAnsi="Times New Roman"/>
          <w:szCs w:val="22"/>
        </w:rPr>
        <w:t>2</w:t>
      </w:r>
      <w:r w:rsidRPr="0096209B">
        <w:rPr>
          <w:rFonts w:ascii="Times New Roman" w:hAnsi="Times New Roman"/>
          <w:szCs w:val="22"/>
        </w:rPr>
        <w:t xml:space="preserve"> </w:t>
      </w:r>
      <w:r>
        <w:rPr>
          <w:rFonts w:ascii="Times New Roman" w:hAnsi="Times New Roman"/>
          <w:szCs w:val="22"/>
        </w:rPr>
        <w:t>665</w:t>
      </w:r>
      <w:r w:rsidRPr="0096209B">
        <w:rPr>
          <w:rFonts w:ascii="Times New Roman" w:hAnsi="Times New Roman"/>
          <w:szCs w:val="22"/>
        </w:rPr>
        <w:t xml:space="preserve"> tis. eur predstavuje </w:t>
      </w:r>
      <w:r w:rsidRPr="0096209B">
        <w:rPr>
          <w:rFonts w:ascii="Times New Roman" w:hAnsi="Times New Roman"/>
          <w:b/>
          <w:szCs w:val="22"/>
        </w:rPr>
        <w:t>čistá finančná pozícia Slovenskej republiky voči rozpočtu EÚ za rok 2017 sumu 68</w:t>
      </w:r>
      <w:r>
        <w:rPr>
          <w:rFonts w:ascii="Times New Roman" w:hAnsi="Times New Roman"/>
          <w:b/>
          <w:szCs w:val="22"/>
        </w:rPr>
        <w:t>2</w:t>
      </w:r>
      <w:r w:rsidRPr="0096209B">
        <w:rPr>
          <w:rFonts w:ascii="Times New Roman" w:hAnsi="Times New Roman"/>
          <w:b/>
          <w:szCs w:val="22"/>
        </w:rPr>
        <w:t xml:space="preserve"> </w:t>
      </w:r>
      <w:r>
        <w:rPr>
          <w:rFonts w:ascii="Times New Roman" w:hAnsi="Times New Roman"/>
          <w:b/>
          <w:szCs w:val="22"/>
        </w:rPr>
        <w:t>907</w:t>
      </w:r>
      <w:r w:rsidRPr="0096209B">
        <w:rPr>
          <w:rFonts w:ascii="Times New Roman" w:hAnsi="Times New Roman"/>
          <w:b/>
          <w:szCs w:val="22"/>
        </w:rPr>
        <w:t xml:space="preserve"> tis. eur</w:t>
      </w:r>
      <w:r w:rsidRPr="0096209B">
        <w:rPr>
          <w:rFonts w:ascii="Times New Roman" w:hAnsi="Times New Roman"/>
          <w:szCs w:val="22"/>
        </w:rPr>
        <w:t xml:space="preserve">, </w:t>
      </w:r>
      <w:r w:rsidRPr="00844C87">
        <w:rPr>
          <w:rFonts w:ascii="Times New Roman" w:hAnsi="Times New Roman"/>
          <w:szCs w:val="22"/>
        </w:rPr>
        <w:t>čo predstavuje medziročný pokles o 52</w:t>
      </w:r>
      <w:r>
        <w:rPr>
          <w:rFonts w:ascii="Times New Roman" w:hAnsi="Times New Roman"/>
          <w:szCs w:val="22"/>
        </w:rPr>
        <w:t>1</w:t>
      </w:r>
      <w:r w:rsidRPr="00844C87">
        <w:rPr>
          <w:rFonts w:ascii="Times New Roman" w:hAnsi="Times New Roman"/>
          <w:szCs w:val="22"/>
        </w:rPr>
        <w:t xml:space="preserve"> </w:t>
      </w:r>
      <w:r>
        <w:rPr>
          <w:rFonts w:ascii="Times New Roman" w:hAnsi="Times New Roman"/>
          <w:szCs w:val="22"/>
        </w:rPr>
        <w:t>558</w:t>
      </w:r>
      <w:r w:rsidRPr="00844C87">
        <w:rPr>
          <w:rFonts w:ascii="Times New Roman" w:hAnsi="Times New Roman"/>
          <w:szCs w:val="22"/>
        </w:rPr>
        <w:t xml:space="preserve"> tis. eur. </w:t>
      </w:r>
    </w:p>
    <w:p w:rsidR="00C80754" w:rsidP="00FF3CFC">
      <w:pPr>
        <w:bidi w:val="0"/>
        <w:rPr>
          <w:rFonts w:ascii="Times New Roman" w:hAnsi="Times New Roman"/>
          <w:szCs w:val="22"/>
        </w:rPr>
      </w:pPr>
      <w:r w:rsidRPr="0057709A">
        <w:rPr>
          <w:rFonts w:ascii="Times New Roman" w:hAnsi="Times New Roman"/>
          <w:szCs w:val="22"/>
        </w:rPr>
        <w:t>Prehľad o ročných príjmoch z rozpočtu EÚ a odvodoch a príspevkoch Slovenskej republiky do všeobecného rozpočtu EÚ je uvedený v nasledovnej tabuľke:</w:t>
      </w:r>
    </w:p>
    <w:tbl>
      <w:tblPr>
        <w:tblStyle w:val="TableNormal"/>
        <w:tblW w:w="9072" w:type="dxa"/>
        <w:tblCellMar>
          <w:left w:w="70" w:type="dxa"/>
          <w:right w:w="70" w:type="dxa"/>
        </w:tblCellMar>
        <w:tblLook w:val="04A0"/>
      </w:tblPr>
      <w:tblGrid>
        <w:gridCol w:w="3402"/>
        <w:gridCol w:w="1560"/>
        <w:gridCol w:w="2118"/>
        <w:gridCol w:w="1992"/>
      </w:tblGrid>
      <w:tr>
        <w:tblPrEx>
          <w:tblW w:w="9072" w:type="dxa"/>
          <w:tblCellMar>
            <w:left w:w="70" w:type="dxa"/>
            <w:right w:w="70" w:type="dxa"/>
          </w:tblCellMar>
          <w:tblLook w:val="04A0"/>
        </w:tblPrEx>
        <w:trPr>
          <w:trHeight w:val="525"/>
        </w:trPr>
        <w:tc>
          <w:tcPr>
            <w:tcW w:w="7080" w:type="dxa"/>
            <w:gridSpan w:val="3"/>
            <w:tcBorders>
              <w:top w:val="nil"/>
              <w:left w:val="nil"/>
              <w:bottom w:val="nil"/>
              <w:right w:val="nil"/>
            </w:tcBorders>
            <w:shd w:val="clear" w:color="000000" w:fill="000000"/>
            <w:textDirection w:val="lrTb"/>
            <w:vAlign w:val="bottom"/>
            <w:hideMark/>
          </w:tcPr>
          <w:p w:rsidR="00C80754" w:rsidRPr="003B7B93" w:rsidP="007759B0">
            <w:pPr>
              <w:bidi w:val="0"/>
              <w:rPr>
                <w:rFonts w:ascii="Times New Roman" w:hAnsi="Times New Roman"/>
                <w:b/>
                <w:bCs/>
                <w:color w:val="FFFFFF"/>
                <w:sz w:val="18"/>
                <w:szCs w:val="18"/>
              </w:rPr>
            </w:pPr>
            <w:r w:rsidRPr="003B7B93">
              <w:rPr>
                <w:rFonts w:ascii="Times New Roman" w:hAnsi="Times New Roman"/>
                <w:b/>
                <w:bCs/>
                <w:color w:val="FFFFFF"/>
                <w:sz w:val="18"/>
                <w:szCs w:val="18"/>
              </w:rPr>
              <w:t xml:space="preserve">Prehľad o ročných príjmoch z rozpočtu EÚ a odvodoch a príspevkoch SR do všeobecného rozpočtu EÚ </w:t>
            </w:r>
          </w:p>
        </w:tc>
        <w:tc>
          <w:tcPr>
            <w:tcW w:w="1992" w:type="dxa"/>
            <w:tcBorders>
              <w:top w:val="nil"/>
              <w:left w:val="nil"/>
              <w:bottom w:val="nil"/>
              <w:right w:val="nil"/>
            </w:tcBorders>
            <w:shd w:val="clear" w:color="000000" w:fill="000000"/>
            <w:noWrap/>
            <w:textDirection w:val="lrTb"/>
            <w:vAlign w:val="bottom"/>
            <w:hideMark/>
          </w:tcPr>
          <w:p w:rsidR="00C80754" w:rsidRPr="003B7B93" w:rsidP="007759B0">
            <w:pPr>
              <w:bidi w:val="0"/>
              <w:jc w:val="right"/>
              <w:rPr>
                <w:rFonts w:ascii="Times New Roman" w:hAnsi="Times New Roman"/>
                <w:b/>
                <w:bCs/>
                <w:color w:val="FFFFFF"/>
                <w:sz w:val="18"/>
                <w:szCs w:val="18"/>
              </w:rPr>
            </w:pPr>
            <w:r w:rsidRPr="003B7B93">
              <w:rPr>
                <w:rFonts w:ascii="Times New Roman" w:hAnsi="Times New Roman"/>
                <w:b/>
                <w:bCs/>
                <w:color w:val="FFFFFF"/>
                <w:sz w:val="18"/>
                <w:szCs w:val="18"/>
              </w:rPr>
              <w:t>v tis. eur</w:t>
            </w:r>
          </w:p>
        </w:tc>
      </w:tr>
      <w:tr>
        <w:tblPrEx>
          <w:tblW w:w="9072" w:type="dxa"/>
          <w:tblCellMar>
            <w:left w:w="70" w:type="dxa"/>
            <w:right w:w="70" w:type="dxa"/>
          </w:tblCellMar>
          <w:tblLook w:val="04A0"/>
        </w:tblPrEx>
        <w:trPr>
          <w:trHeight w:val="312"/>
        </w:trPr>
        <w:tc>
          <w:tcPr>
            <w:tcW w:w="3402" w:type="dxa"/>
            <w:tcBorders>
              <w:top w:val="nil"/>
              <w:left w:val="nil"/>
              <w:bottom w:val="single" w:sz="8" w:space="0" w:color="auto"/>
              <w:right w:val="nil"/>
            </w:tcBorders>
            <w:shd w:val="clear" w:color="000000" w:fill="BFBFBF"/>
            <w:textDirection w:val="lrTb"/>
            <w:vAlign w:val="center"/>
            <w:hideMark/>
          </w:tcPr>
          <w:p w:rsidR="00C80754" w:rsidRPr="003B7B93" w:rsidP="007759B0">
            <w:pPr>
              <w:bidi w:val="0"/>
              <w:rPr>
                <w:rFonts w:ascii="Times New Roman" w:hAnsi="Times New Roman"/>
                <w:b/>
                <w:bCs/>
                <w:sz w:val="18"/>
                <w:szCs w:val="18"/>
              </w:rPr>
            </w:pPr>
            <w:r w:rsidRPr="003B7B93">
              <w:rPr>
                <w:rFonts w:ascii="Times New Roman" w:hAnsi="Times New Roman"/>
                <w:b/>
                <w:bCs/>
                <w:sz w:val="18"/>
                <w:szCs w:val="18"/>
              </w:rPr>
              <w:t>Rok</w:t>
            </w:r>
          </w:p>
        </w:tc>
        <w:tc>
          <w:tcPr>
            <w:tcW w:w="1560" w:type="dxa"/>
            <w:tcBorders>
              <w:top w:val="nil"/>
              <w:left w:val="nil"/>
              <w:bottom w:val="single" w:sz="8" w:space="0" w:color="auto"/>
              <w:right w:val="nil"/>
            </w:tcBorders>
            <w:shd w:val="clear" w:color="000000" w:fill="BFBFBF"/>
            <w:textDirection w:val="lrTb"/>
            <w:vAlign w:val="center"/>
            <w:hideMark/>
          </w:tcPr>
          <w:p w:rsidR="00C80754" w:rsidRPr="003B7B93" w:rsidP="007759B0">
            <w:pPr>
              <w:bidi w:val="0"/>
              <w:jc w:val="center"/>
              <w:rPr>
                <w:rFonts w:ascii="Times New Roman" w:hAnsi="Times New Roman"/>
                <w:b/>
                <w:bCs/>
                <w:sz w:val="18"/>
                <w:szCs w:val="18"/>
              </w:rPr>
            </w:pPr>
            <w:r w:rsidRPr="003B7B93">
              <w:rPr>
                <w:rFonts w:ascii="Times New Roman" w:hAnsi="Times New Roman"/>
                <w:b/>
                <w:bCs/>
                <w:sz w:val="18"/>
                <w:szCs w:val="18"/>
              </w:rPr>
              <w:t>Celkové príjmy</w:t>
            </w:r>
          </w:p>
        </w:tc>
        <w:tc>
          <w:tcPr>
            <w:tcW w:w="2118" w:type="dxa"/>
            <w:tcBorders>
              <w:top w:val="nil"/>
              <w:left w:val="nil"/>
              <w:bottom w:val="single" w:sz="8" w:space="0" w:color="auto"/>
              <w:right w:val="nil"/>
            </w:tcBorders>
            <w:shd w:val="clear" w:color="000000" w:fill="BFBFBF"/>
            <w:textDirection w:val="lrTb"/>
            <w:vAlign w:val="center"/>
            <w:hideMark/>
          </w:tcPr>
          <w:p w:rsidR="00C80754" w:rsidRPr="003B7B93" w:rsidP="007759B0">
            <w:pPr>
              <w:bidi w:val="0"/>
              <w:jc w:val="center"/>
              <w:rPr>
                <w:rFonts w:ascii="Times New Roman" w:hAnsi="Times New Roman"/>
                <w:b/>
                <w:bCs/>
                <w:sz w:val="18"/>
                <w:szCs w:val="18"/>
              </w:rPr>
            </w:pPr>
            <w:r w:rsidRPr="003B7B93">
              <w:rPr>
                <w:rFonts w:ascii="Times New Roman" w:hAnsi="Times New Roman"/>
                <w:b/>
                <w:bCs/>
                <w:sz w:val="18"/>
                <w:szCs w:val="18"/>
              </w:rPr>
              <w:t>Celkové odvody a príspevky</w:t>
            </w:r>
          </w:p>
        </w:tc>
        <w:tc>
          <w:tcPr>
            <w:tcW w:w="1992" w:type="dxa"/>
            <w:tcBorders>
              <w:top w:val="nil"/>
              <w:left w:val="nil"/>
              <w:bottom w:val="single" w:sz="8" w:space="0" w:color="auto"/>
              <w:right w:val="nil"/>
            </w:tcBorders>
            <w:shd w:val="clear" w:color="000000" w:fill="BFBFBF"/>
            <w:textDirection w:val="lrTb"/>
            <w:vAlign w:val="center"/>
            <w:hideMark/>
          </w:tcPr>
          <w:p w:rsidR="00C80754" w:rsidRPr="003B7B93" w:rsidP="0058460D">
            <w:pPr>
              <w:bidi w:val="0"/>
              <w:jc w:val="right"/>
              <w:rPr>
                <w:rFonts w:ascii="Times New Roman" w:hAnsi="Times New Roman"/>
                <w:b/>
                <w:bCs/>
                <w:sz w:val="18"/>
                <w:szCs w:val="18"/>
              </w:rPr>
            </w:pPr>
            <w:r w:rsidRPr="003B7B93">
              <w:rPr>
                <w:rFonts w:ascii="Times New Roman" w:hAnsi="Times New Roman"/>
                <w:b/>
                <w:bCs/>
                <w:sz w:val="18"/>
                <w:szCs w:val="18"/>
              </w:rPr>
              <w:t>Čistá finančná pozícia</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2004</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303 990</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290 689</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13 301</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2005</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704 993</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485 614</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219 379</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2006</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893 623</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526 326</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367 297</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2007</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910 838</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589 800</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321 038</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2008</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893 497</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643 374</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250 123</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2009</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1 119 659</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695 726</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423 933</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2010</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1 672 483</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627 529</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1 044 954</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2011</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2 041 093</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704 656</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1 336 437</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2012</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2 137 849</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722 831</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1 415 018</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2013</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2 185 358</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825 098</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1 360 260</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2014</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1 265 091</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785 366</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479 725</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2015</w:t>
            </w:r>
          </w:p>
        </w:tc>
        <w:tc>
          <w:tcPr>
            <w:tcW w:w="1560" w:type="dxa"/>
            <w:tcBorders>
              <w:top w:val="nil"/>
              <w:left w:val="nil"/>
              <w:bottom w:val="nil"/>
              <w:right w:val="nil"/>
            </w:tcBorders>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4 288 873</w:t>
            </w:r>
          </w:p>
        </w:tc>
        <w:tc>
          <w:tcPr>
            <w:tcW w:w="2118"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695 508</w:t>
            </w:r>
          </w:p>
        </w:tc>
        <w:tc>
          <w:tcPr>
            <w:tcW w:w="1992" w:type="dxa"/>
            <w:tcBorders>
              <w:top w:val="nil"/>
              <w:left w:val="nil"/>
              <w:bottom w:val="nil"/>
              <w:right w:val="nil"/>
            </w:tcBorders>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3 593 365</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2016</w:t>
            </w:r>
          </w:p>
        </w:tc>
        <w:tc>
          <w:tcPr>
            <w:tcW w:w="1560"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1 947 481</w:t>
            </w:r>
          </w:p>
        </w:tc>
        <w:tc>
          <w:tcPr>
            <w:tcW w:w="2118" w:type="dxa"/>
            <w:tcBorders>
              <w:top w:val="nil"/>
              <w:left w:val="nil"/>
              <w:bottom w:val="nil"/>
              <w:right w:val="nil"/>
            </w:tcBorders>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743 016</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1 204 465</w:t>
            </w:r>
          </w:p>
        </w:tc>
      </w:tr>
      <w:tr>
        <w:tblPrEx>
          <w:tblW w:w="9072" w:type="dxa"/>
          <w:tblCellMar>
            <w:left w:w="70" w:type="dxa"/>
            <w:right w:w="70" w:type="dxa"/>
          </w:tblCellMar>
          <w:tblLook w:val="04A0"/>
        </w:tblPrEx>
        <w:trPr>
          <w:trHeight w:val="410"/>
        </w:trPr>
        <w:tc>
          <w:tcPr>
            <w:tcW w:w="3402" w:type="dxa"/>
            <w:tcBorders>
              <w:top w:val="nil"/>
              <w:left w:val="nil"/>
              <w:bottom w:val="nil"/>
              <w:right w:val="nil"/>
            </w:tcBorders>
            <w:shd w:val="clear" w:color="000000" w:fill="FFFFFF"/>
            <w:textDirection w:val="lrTb"/>
            <w:vAlign w:val="center"/>
            <w:hideMark/>
          </w:tcPr>
          <w:p w:rsidR="00C80754" w:rsidRPr="003B7B93" w:rsidP="007759B0">
            <w:pPr>
              <w:bidi w:val="0"/>
              <w:rPr>
                <w:rFonts w:ascii="Times New Roman" w:hAnsi="Times New Roman"/>
                <w:color w:val="000000"/>
                <w:sz w:val="18"/>
                <w:szCs w:val="18"/>
              </w:rPr>
            </w:pPr>
            <w:r w:rsidRPr="003B7B93">
              <w:rPr>
                <w:rFonts w:ascii="Times New Roman" w:hAnsi="Times New Roman"/>
                <w:color w:val="000000"/>
                <w:sz w:val="18"/>
                <w:szCs w:val="18"/>
              </w:rPr>
              <w:t>2017</w:t>
            </w:r>
          </w:p>
        </w:tc>
        <w:tc>
          <w:tcPr>
            <w:tcW w:w="1560" w:type="dxa"/>
            <w:tcBorders>
              <w:top w:val="nil"/>
              <w:left w:val="nil"/>
              <w:bottom w:val="nil"/>
              <w:right w:val="nil"/>
            </w:tcBorders>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1 425 572</w:t>
            </w:r>
          </w:p>
        </w:tc>
        <w:tc>
          <w:tcPr>
            <w:tcW w:w="2118" w:type="dxa"/>
            <w:tcBorders>
              <w:top w:val="nil"/>
              <w:left w:val="nil"/>
              <w:bottom w:val="nil"/>
              <w:right w:val="nil"/>
            </w:tcBorders>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742 665</w:t>
            </w:r>
          </w:p>
        </w:tc>
        <w:tc>
          <w:tcPr>
            <w:tcW w:w="1992" w:type="dxa"/>
            <w:tcBorders>
              <w:top w:val="nil"/>
              <w:left w:val="nil"/>
              <w:bottom w:val="nil"/>
              <w:right w:val="nil"/>
            </w:tcBorders>
            <w:shd w:val="clear" w:color="000000" w:fill="FFFFFF"/>
            <w:noWrap/>
            <w:textDirection w:val="lrTb"/>
            <w:vAlign w:val="center"/>
            <w:hideMark/>
          </w:tcPr>
          <w:p w:rsidR="00C80754" w:rsidRPr="003B7B93" w:rsidP="007759B0">
            <w:pPr>
              <w:bidi w:val="0"/>
              <w:jc w:val="right"/>
              <w:rPr>
                <w:rFonts w:ascii="Times New Roman" w:hAnsi="Times New Roman"/>
                <w:color w:val="000000"/>
                <w:sz w:val="18"/>
                <w:szCs w:val="18"/>
              </w:rPr>
            </w:pPr>
            <w:r w:rsidRPr="003B7B93">
              <w:rPr>
                <w:rFonts w:ascii="Times New Roman" w:hAnsi="Times New Roman"/>
                <w:color w:val="000000"/>
                <w:sz w:val="18"/>
                <w:szCs w:val="18"/>
              </w:rPr>
              <w:t>682 907</w:t>
            </w:r>
          </w:p>
        </w:tc>
      </w:tr>
      <w:tr>
        <w:tblPrEx>
          <w:tblW w:w="9072" w:type="dxa"/>
          <w:tblCellMar>
            <w:left w:w="70" w:type="dxa"/>
            <w:right w:w="70" w:type="dxa"/>
          </w:tblCellMar>
          <w:tblLook w:val="04A0"/>
        </w:tblPrEx>
        <w:trPr>
          <w:trHeight w:val="300"/>
        </w:trPr>
        <w:tc>
          <w:tcPr>
            <w:tcW w:w="3402" w:type="dxa"/>
            <w:tcBorders>
              <w:top w:val="single" w:sz="4" w:space="0" w:color="auto"/>
              <w:left w:val="nil"/>
              <w:bottom w:val="single" w:sz="8" w:space="0" w:color="auto"/>
              <w:right w:val="nil"/>
            </w:tcBorders>
            <w:shd w:val="clear" w:color="000000" w:fill="FFFFFF"/>
            <w:textDirection w:val="lrTb"/>
            <w:vAlign w:val="center"/>
            <w:hideMark/>
          </w:tcPr>
          <w:p w:rsidR="00C80754" w:rsidRPr="009E6FAD" w:rsidP="009E6FAD">
            <w:pPr>
              <w:bidi w:val="0"/>
              <w:spacing w:after="0" w:line="240" w:lineRule="auto"/>
              <w:rPr>
                <w:rFonts w:ascii="Times New Roman" w:hAnsi="Times New Roman"/>
                <w:b/>
                <w:bCs/>
                <w:sz w:val="18"/>
                <w:szCs w:val="18"/>
                <w:lang w:eastAsia="sk-SK"/>
              </w:rPr>
            </w:pPr>
            <w:r w:rsidRPr="009E6FAD">
              <w:rPr>
                <w:rFonts w:ascii="Times New Roman" w:hAnsi="Times New Roman"/>
                <w:b/>
                <w:bCs/>
                <w:sz w:val="18"/>
                <w:szCs w:val="18"/>
                <w:lang w:eastAsia="sk-SK"/>
              </w:rPr>
              <w:t>Spolu</w:t>
            </w:r>
          </w:p>
        </w:tc>
        <w:tc>
          <w:tcPr>
            <w:tcW w:w="1560" w:type="dxa"/>
            <w:tcBorders>
              <w:top w:val="single" w:sz="4" w:space="0" w:color="auto"/>
              <w:left w:val="nil"/>
              <w:bottom w:val="single" w:sz="8" w:space="0" w:color="auto"/>
              <w:right w:val="nil"/>
            </w:tcBorders>
            <w:shd w:val="clear" w:color="000000" w:fill="FFFFFF"/>
            <w:noWrap/>
            <w:textDirection w:val="lrTb"/>
            <w:vAlign w:val="center"/>
            <w:hideMark/>
          </w:tcPr>
          <w:p w:rsidR="00C80754"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21 790 400</w:t>
            </w:r>
          </w:p>
        </w:tc>
        <w:tc>
          <w:tcPr>
            <w:tcW w:w="2118" w:type="dxa"/>
            <w:tcBorders>
              <w:top w:val="single" w:sz="4" w:space="0" w:color="auto"/>
              <w:left w:val="nil"/>
              <w:bottom w:val="single" w:sz="8" w:space="0" w:color="auto"/>
              <w:right w:val="nil"/>
            </w:tcBorders>
            <w:shd w:val="clear" w:color="000000" w:fill="FFFFFF"/>
            <w:noWrap/>
            <w:textDirection w:val="lrTb"/>
            <w:vAlign w:val="center"/>
            <w:hideMark/>
          </w:tcPr>
          <w:p w:rsidR="00C80754"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9 078 198</w:t>
            </w:r>
          </w:p>
        </w:tc>
        <w:tc>
          <w:tcPr>
            <w:tcW w:w="1992" w:type="dxa"/>
            <w:tcBorders>
              <w:top w:val="single" w:sz="4" w:space="0" w:color="auto"/>
              <w:left w:val="nil"/>
              <w:bottom w:val="single" w:sz="8" w:space="0" w:color="auto"/>
              <w:right w:val="nil"/>
            </w:tcBorders>
            <w:shd w:val="clear" w:color="000000" w:fill="FFFFFF"/>
            <w:noWrap/>
            <w:textDirection w:val="lrTb"/>
            <w:vAlign w:val="center"/>
            <w:hideMark/>
          </w:tcPr>
          <w:p w:rsidR="00C80754" w:rsidRPr="009E6FAD" w:rsidP="009E6FAD">
            <w:pPr>
              <w:bidi w:val="0"/>
              <w:spacing w:after="0" w:line="240" w:lineRule="auto"/>
              <w:jc w:val="right"/>
              <w:rPr>
                <w:rFonts w:ascii="Times New Roman" w:hAnsi="Times New Roman"/>
                <w:b/>
                <w:bCs/>
                <w:sz w:val="18"/>
                <w:szCs w:val="18"/>
                <w:lang w:eastAsia="sk-SK"/>
              </w:rPr>
            </w:pPr>
            <w:r w:rsidRPr="009E6FAD">
              <w:rPr>
                <w:rFonts w:ascii="Times New Roman" w:hAnsi="Times New Roman"/>
                <w:b/>
                <w:bCs/>
                <w:sz w:val="18"/>
                <w:szCs w:val="18"/>
                <w:lang w:eastAsia="sk-SK"/>
              </w:rPr>
              <w:t>12 712 202</w:t>
            </w:r>
          </w:p>
        </w:tc>
      </w:tr>
    </w:tbl>
    <w:p w:rsidR="00C80754" w:rsidRPr="00C80754" w:rsidP="00C80754">
      <w:pPr>
        <w:bidi w:val="0"/>
        <w:jc w:val="right"/>
        <w:rPr>
          <w:rFonts w:ascii="Times New Roman" w:hAnsi="Times New Roman"/>
          <w:sz w:val="18"/>
          <w:szCs w:val="18"/>
        </w:rPr>
      </w:pPr>
      <w:r w:rsidRPr="00C80754">
        <w:rPr>
          <w:rFonts w:ascii="Times New Roman" w:hAnsi="Times New Roman"/>
          <w:sz w:val="18"/>
          <w:szCs w:val="18"/>
        </w:rPr>
        <w:t>Zdroj: MF SR</w:t>
      </w:r>
    </w:p>
    <w:p w:rsidR="00FA29ED" w:rsidRPr="00A339AF" w:rsidP="00C80754">
      <w:pPr>
        <w:bidi w:val="0"/>
        <w:rPr>
          <w:rFonts w:ascii="Times New Roman" w:hAnsi="Times New Roman"/>
          <w:highlight w:val="yellow"/>
        </w:rPr>
      </w:pPr>
      <w:r w:rsidRPr="00583B38" w:rsidR="00C80754">
        <w:rPr>
          <w:rFonts w:ascii="Times New Roman" w:hAnsi="Times New Roman"/>
          <w:szCs w:val="22"/>
        </w:rPr>
        <w:t>Za obdobie od</w:t>
      </w:r>
      <w:r w:rsidRPr="00583B38" w:rsidR="00C80754">
        <w:rPr>
          <w:rFonts w:ascii="Times New Roman" w:hAnsi="Times New Roman"/>
          <w:b/>
          <w:szCs w:val="22"/>
        </w:rPr>
        <w:t xml:space="preserve"> </w:t>
      </w:r>
      <w:r w:rsidRPr="00583B38" w:rsidR="00C80754">
        <w:rPr>
          <w:rFonts w:ascii="Times New Roman" w:hAnsi="Times New Roman"/>
          <w:szCs w:val="22"/>
        </w:rPr>
        <w:t>vstupu Slovenskej republiky do EÚ</w:t>
      </w:r>
      <w:r w:rsidRPr="00583B38" w:rsidR="00C80754">
        <w:rPr>
          <w:rFonts w:ascii="Times New Roman" w:hAnsi="Times New Roman"/>
          <w:b/>
          <w:szCs w:val="22"/>
        </w:rPr>
        <w:t xml:space="preserve"> </w:t>
      </w:r>
      <w:r w:rsidRPr="00583B38" w:rsidR="00C80754">
        <w:rPr>
          <w:rFonts w:ascii="Times New Roman" w:hAnsi="Times New Roman"/>
          <w:szCs w:val="22"/>
        </w:rPr>
        <w:t>boli celkovo</w:t>
      </w:r>
      <w:r w:rsidRPr="00583B38" w:rsidR="00C80754">
        <w:rPr>
          <w:rFonts w:ascii="Times New Roman" w:hAnsi="Times New Roman"/>
          <w:b/>
          <w:szCs w:val="22"/>
        </w:rPr>
        <w:t xml:space="preserve"> </w:t>
      </w:r>
      <w:r w:rsidRPr="00583B38" w:rsidR="00C80754">
        <w:rPr>
          <w:rFonts w:ascii="Times New Roman" w:hAnsi="Times New Roman"/>
          <w:szCs w:val="22"/>
        </w:rPr>
        <w:t>do rozpočtu Slovenskej republiky prijaté príjmy z EÚ vo výške 21 790 400 tis. eur a Slovenská republika odviedla do všeobecného rozpočtu EÚ sumu vo výške 9 07</w:t>
      </w:r>
      <w:r w:rsidR="00C80754">
        <w:rPr>
          <w:rFonts w:ascii="Times New Roman" w:hAnsi="Times New Roman"/>
          <w:szCs w:val="22"/>
        </w:rPr>
        <w:t>8</w:t>
      </w:r>
      <w:r w:rsidRPr="00583B38" w:rsidR="00C80754">
        <w:rPr>
          <w:rFonts w:ascii="Times New Roman" w:hAnsi="Times New Roman"/>
          <w:szCs w:val="22"/>
        </w:rPr>
        <w:t xml:space="preserve"> </w:t>
      </w:r>
      <w:r w:rsidR="00C80754">
        <w:rPr>
          <w:rFonts w:ascii="Times New Roman" w:hAnsi="Times New Roman"/>
          <w:szCs w:val="22"/>
        </w:rPr>
        <w:t>1</w:t>
      </w:r>
      <w:r w:rsidRPr="00583B38" w:rsidR="00C80754">
        <w:rPr>
          <w:rFonts w:ascii="Times New Roman" w:hAnsi="Times New Roman"/>
          <w:szCs w:val="22"/>
        </w:rPr>
        <w:t xml:space="preserve">98 tis. eur, na základe čoho </w:t>
      </w:r>
      <w:r w:rsidRPr="00583B38" w:rsidR="00C80754">
        <w:rPr>
          <w:rFonts w:ascii="Times New Roman" w:hAnsi="Times New Roman"/>
          <w:b/>
          <w:szCs w:val="22"/>
        </w:rPr>
        <w:t>čistá finančná pozícia voči EÚ dosiahla 12 71</w:t>
      </w:r>
      <w:r w:rsidR="00C80754">
        <w:rPr>
          <w:rFonts w:ascii="Times New Roman" w:hAnsi="Times New Roman"/>
          <w:b/>
          <w:szCs w:val="22"/>
        </w:rPr>
        <w:t>2 2</w:t>
      </w:r>
      <w:r w:rsidRPr="00583B38" w:rsidR="00C80754">
        <w:rPr>
          <w:rFonts w:ascii="Times New Roman" w:hAnsi="Times New Roman"/>
          <w:b/>
          <w:szCs w:val="22"/>
        </w:rPr>
        <w:t>02 tis. eur</w:t>
      </w:r>
      <w:r w:rsidRPr="00583B38" w:rsidR="00C80754">
        <w:rPr>
          <w:rFonts w:ascii="Times New Roman" w:hAnsi="Times New Roman"/>
          <w:szCs w:val="22"/>
        </w:rPr>
        <w:t>.</w:t>
      </w:r>
      <w:r w:rsidRPr="00583B38" w:rsidR="00C80754">
        <w:rPr>
          <w:rFonts w:ascii="Times New Roman" w:hAnsi="Times New Roman"/>
          <w:b/>
          <w:szCs w:val="22"/>
        </w:rPr>
        <w:t xml:space="preserve"> </w:t>
      </w:r>
      <w:r w:rsidRPr="00126902" w:rsidR="00C80754">
        <w:rPr>
          <w:rFonts w:ascii="Times New Roman" w:hAnsi="Times New Roman"/>
          <w:szCs w:val="22"/>
        </w:rPr>
        <w:t>Od roku 2004 Slovenská republika prijala z rozpočtu EÚ 2,4 násobok prostriedkov, ktoré do rozpočtu odviedla.</w:t>
      </w:r>
    </w:p>
    <w:p w:rsidR="00693173" w:rsidRPr="00B44B20" w:rsidP="00225F21">
      <w:pPr>
        <w:pStyle w:val="Heading3"/>
        <w:numPr>
          <w:ilvl w:val="0"/>
          <w:numId w:val="0"/>
        </w:numPr>
        <w:bidi w:val="0"/>
        <w:ind w:left="709" w:firstLine="0"/>
        <w:rPr>
          <w:rFonts w:hint="default"/>
        </w:rPr>
      </w:pPr>
      <w:bookmarkStart w:id="73" w:name="_Toc479313248"/>
      <w:bookmarkStart w:id="74" w:name="_Toc512599681"/>
      <w:r w:rsidR="00225F21">
        <w:t xml:space="preserve">3.4.1  </w:t>
      </w:r>
      <w:r w:rsidRPr="00B44B20">
        <w:t>Pr</w:t>
      </w:r>
      <w:r w:rsidRPr="00B44B20">
        <w:rPr>
          <w:rFonts w:hint="default"/>
          <w:szCs w:val="26"/>
        </w:rPr>
        <w:t>í</w:t>
      </w:r>
      <w:r w:rsidRPr="00B44B20">
        <w:t>jmy z </w:t>
      </w:r>
      <w:r w:rsidRPr="00B44B20">
        <w:rPr>
          <w:rFonts w:hint="default"/>
        </w:rPr>
        <w:t>rozpoč</w:t>
      </w:r>
      <w:r w:rsidRPr="00B44B20">
        <w:rPr>
          <w:rFonts w:hint="default"/>
        </w:rPr>
        <w:t>tu Euró</w:t>
      </w:r>
      <w:r w:rsidRPr="00B44B20">
        <w:rPr>
          <w:rFonts w:hint="default"/>
        </w:rPr>
        <w:t>pskej ú</w:t>
      </w:r>
      <w:r w:rsidRPr="00B44B20">
        <w:rPr>
          <w:rFonts w:hint="default"/>
        </w:rPr>
        <w:t>nie</w:t>
      </w:r>
      <w:bookmarkEnd w:id="73"/>
      <w:bookmarkEnd w:id="74"/>
    </w:p>
    <w:p w:rsidR="0058460D" w:rsidRPr="00F26C05" w:rsidP="0058460D">
      <w:pPr>
        <w:bidi w:val="0"/>
        <w:rPr>
          <w:rFonts w:ascii="Times New Roman" w:hAnsi="Times New Roman"/>
          <w:szCs w:val="22"/>
        </w:rPr>
      </w:pPr>
      <w:bookmarkStart w:id="75" w:name="_Toc479313249"/>
      <w:r w:rsidRPr="002459EE">
        <w:rPr>
          <w:rFonts w:ascii="Times New Roman" w:hAnsi="Times New Roman"/>
          <w:szCs w:val="22"/>
        </w:rPr>
        <w:t>Príjmy z rozpočtu EÚ sa roz</w:t>
      </w:r>
      <w:r>
        <w:rPr>
          <w:rFonts w:ascii="Times New Roman" w:hAnsi="Times New Roman"/>
          <w:szCs w:val="22"/>
        </w:rPr>
        <w:t>počtujú pod ekonomickou klasifikáciou zahraničné transfery</w:t>
      </w:r>
      <w:r w:rsidRPr="002459EE">
        <w:rPr>
          <w:rFonts w:ascii="Times New Roman" w:hAnsi="Times New Roman"/>
          <w:szCs w:val="22"/>
        </w:rPr>
        <w:t xml:space="preserve"> </w:t>
      </w:r>
      <w:r>
        <w:rPr>
          <w:rFonts w:ascii="Times New Roman" w:hAnsi="Times New Roman"/>
          <w:szCs w:val="22"/>
        </w:rPr>
        <w:t xml:space="preserve">– 341 Prostriedky z rozpočtu Európskej únie pre programy, ktoré </w:t>
      </w:r>
      <w:r w:rsidRPr="00F26C05">
        <w:rPr>
          <w:rFonts w:ascii="Times New Roman" w:hAnsi="Times New Roman"/>
          <w:szCs w:val="22"/>
        </w:rPr>
        <w:t>sa v Slovenskej republike poskytujú prostredníctvom certifikačného orgánu</w:t>
      </w:r>
      <w:r>
        <w:rPr>
          <w:rFonts w:ascii="Times New Roman" w:hAnsi="Times New Roman"/>
          <w:szCs w:val="22"/>
        </w:rPr>
        <w:t xml:space="preserve"> (Ministerstva financií SR a Ministerstva práce, sociálnych vecí a rodiny SR)</w:t>
      </w:r>
      <w:r w:rsidRPr="00F26C05">
        <w:rPr>
          <w:rFonts w:ascii="Times New Roman" w:hAnsi="Times New Roman"/>
          <w:szCs w:val="22"/>
        </w:rPr>
        <w:t xml:space="preserve"> alebo Ministerstva pôdohospodárstva a rozvoja vidieka S</w:t>
      </w:r>
      <w:r w:rsidR="001D5E8A">
        <w:rPr>
          <w:rFonts w:ascii="Times New Roman" w:hAnsi="Times New Roman"/>
          <w:szCs w:val="22"/>
        </w:rPr>
        <w:t>R.</w:t>
      </w:r>
      <w:r w:rsidRPr="00F26C05">
        <w:rPr>
          <w:rFonts w:ascii="Times New Roman" w:hAnsi="Times New Roman"/>
          <w:szCs w:val="22"/>
        </w:rPr>
        <w:t xml:space="preserve"> </w:t>
      </w:r>
    </w:p>
    <w:p w:rsidR="0058460D" w:rsidP="0058460D">
      <w:pPr>
        <w:bidi w:val="0"/>
        <w:rPr>
          <w:rFonts w:ascii="Times New Roman" w:hAnsi="Times New Roman"/>
          <w:szCs w:val="22"/>
        </w:rPr>
      </w:pPr>
      <w:r w:rsidRPr="001F44C9">
        <w:rPr>
          <w:rFonts w:ascii="Times New Roman" w:hAnsi="Times New Roman"/>
          <w:b/>
          <w:szCs w:val="22"/>
        </w:rPr>
        <w:t>Príjmy zo zahraničných transferov</w:t>
      </w:r>
      <w:r w:rsidRPr="001F44C9">
        <w:rPr>
          <w:rFonts w:ascii="Times New Roman" w:hAnsi="Times New Roman"/>
          <w:szCs w:val="22"/>
        </w:rPr>
        <w:t xml:space="preserve"> sa rozpočtujú v rámci jednotlivých kapitol na úrovni platobných jednotiek, Pôdohospodárskej platobnej agentúry a</w:t>
      </w:r>
      <w:r w:rsidR="001D5E8A">
        <w:rPr>
          <w:rFonts w:ascii="Times New Roman" w:hAnsi="Times New Roman"/>
          <w:szCs w:val="22"/>
        </w:rPr>
        <w:t xml:space="preserve"> </w:t>
      </w:r>
      <w:r w:rsidRPr="001F44C9">
        <w:rPr>
          <w:rFonts w:ascii="Times New Roman" w:hAnsi="Times New Roman"/>
          <w:szCs w:val="22"/>
        </w:rPr>
        <w:t>Ministerstva práce</w:t>
      </w:r>
      <w:r w:rsidR="001D5E8A">
        <w:rPr>
          <w:rFonts w:ascii="Times New Roman" w:hAnsi="Times New Roman"/>
          <w:szCs w:val="22"/>
        </w:rPr>
        <w:t>,</w:t>
      </w:r>
      <w:r w:rsidRPr="001F44C9">
        <w:rPr>
          <w:rFonts w:ascii="Times New Roman" w:hAnsi="Times New Roman"/>
          <w:szCs w:val="22"/>
        </w:rPr>
        <w:t xml:space="preserve"> sociálnych vecí a</w:t>
      </w:r>
      <w:r w:rsidR="001D5E8A">
        <w:rPr>
          <w:rFonts w:ascii="Times New Roman" w:hAnsi="Times New Roman"/>
          <w:szCs w:val="22"/>
        </w:rPr>
        <w:t xml:space="preserve"> </w:t>
      </w:r>
      <w:r w:rsidRPr="001F44C9">
        <w:rPr>
          <w:rFonts w:ascii="Times New Roman" w:hAnsi="Times New Roman"/>
          <w:szCs w:val="22"/>
        </w:rPr>
        <w:t>rodiny SR</w:t>
      </w:r>
      <w:r>
        <w:rPr>
          <w:rFonts w:ascii="Times New Roman" w:hAnsi="Times New Roman"/>
          <w:szCs w:val="22"/>
        </w:rPr>
        <w:t>.</w:t>
      </w:r>
    </w:p>
    <w:p w:rsidR="0058460D" w:rsidRPr="005D40B1" w:rsidP="0058460D">
      <w:pPr>
        <w:bidi w:val="0"/>
        <w:rPr>
          <w:rFonts w:ascii="Times New Roman" w:hAnsi="Times New Roman"/>
          <w:b/>
          <w:szCs w:val="22"/>
        </w:rPr>
      </w:pPr>
      <w:r>
        <w:rPr>
          <w:rFonts w:ascii="Times New Roman" w:hAnsi="Times New Roman"/>
          <w:b/>
          <w:szCs w:val="22"/>
        </w:rPr>
        <w:t>Prostriedky za š</w:t>
      </w:r>
      <w:r w:rsidRPr="005D40B1">
        <w:rPr>
          <w:rFonts w:ascii="Times New Roman" w:hAnsi="Times New Roman"/>
          <w:b/>
          <w:szCs w:val="22"/>
        </w:rPr>
        <w:t>trukturálne operácie</w:t>
      </w:r>
      <w:r>
        <w:rPr>
          <w:rFonts w:ascii="Times New Roman" w:hAnsi="Times New Roman"/>
          <w:b/>
          <w:szCs w:val="22"/>
        </w:rPr>
        <w:t xml:space="preserve"> </w:t>
      </w:r>
      <w:r>
        <w:rPr>
          <w:rFonts w:ascii="Times New Roman" w:hAnsi="Times New Roman"/>
          <w:szCs w:val="22"/>
        </w:rPr>
        <w:t>boli v roku 2017</w:t>
      </w:r>
      <w:r w:rsidRPr="002570C1">
        <w:rPr>
          <w:rFonts w:ascii="Times New Roman" w:hAnsi="Times New Roman"/>
          <w:szCs w:val="22"/>
        </w:rPr>
        <w:t xml:space="preserve"> rozpočtované za programy 3.</w:t>
      </w:r>
      <w:r>
        <w:rPr>
          <w:rFonts w:ascii="Times New Roman" w:hAnsi="Times New Roman"/>
          <w:szCs w:val="22"/>
        </w:rPr>
        <w:t> </w:t>
      </w:r>
      <w:r w:rsidRPr="002570C1">
        <w:rPr>
          <w:rFonts w:ascii="Times New Roman" w:hAnsi="Times New Roman"/>
          <w:szCs w:val="22"/>
        </w:rPr>
        <w:t>programového obdobia 2014-2020, a to za fondy</w:t>
      </w:r>
      <w:r>
        <w:rPr>
          <w:rFonts w:ascii="Times New Roman" w:hAnsi="Times New Roman"/>
          <w:szCs w:val="22"/>
        </w:rPr>
        <w:t xml:space="preserve"> - </w:t>
      </w:r>
      <w:r w:rsidRPr="002570C1">
        <w:rPr>
          <w:rFonts w:ascii="Times New Roman" w:hAnsi="Times New Roman"/>
          <w:szCs w:val="22"/>
        </w:rPr>
        <w:t>Európsky fond regionálneho rozvoja</w:t>
      </w:r>
      <w:r>
        <w:rPr>
          <w:rFonts w:ascii="Times New Roman" w:hAnsi="Times New Roman"/>
          <w:szCs w:val="22"/>
        </w:rPr>
        <w:t xml:space="preserve"> (vrátane programov </w:t>
      </w:r>
      <w:r w:rsidRPr="002570C1">
        <w:rPr>
          <w:rFonts w:ascii="Times New Roman" w:hAnsi="Times New Roman"/>
          <w:szCs w:val="22"/>
        </w:rPr>
        <w:t xml:space="preserve">európskej územnej spolupráce pre ktoré </w:t>
      </w:r>
      <w:r>
        <w:rPr>
          <w:rFonts w:ascii="Times New Roman" w:hAnsi="Times New Roman"/>
          <w:szCs w:val="22"/>
        </w:rPr>
        <w:t>je Ministerstvo financií</w:t>
      </w:r>
      <w:r w:rsidRPr="002570C1">
        <w:rPr>
          <w:rFonts w:ascii="Times New Roman" w:hAnsi="Times New Roman"/>
          <w:szCs w:val="22"/>
        </w:rPr>
        <w:t xml:space="preserve"> SR certifikačným orgánom</w:t>
      </w:r>
      <w:r>
        <w:rPr>
          <w:rFonts w:ascii="Times New Roman" w:hAnsi="Times New Roman"/>
          <w:szCs w:val="22"/>
        </w:rPr>
        <w:t xml:space="preserve"> -</w:t>
      </w:r>
      <w:r w:rsidRPr="002570C1">
        <w:rPr>
          <w:rFonts w:ascii="Times New Roman" w:hAnsi="Times New Roman"/>
          <w:szCs w:val="22"/>
        </w:rPr>
        <w:t xml:space="preserve"> Interreg V-A SK-AT 2014-2020, Interreg V-A SK-CZ 2014-2020),</w:t>
      </w:r>
      <w:r>
        <w:rPr>
          <w:rFonts w:ascii="Times New Roman" w:hAnsi="Times New Roman"/>
          <w:szCs w:val="22"/>
        </w:rPr>
        <w:t xml:space="preserve"> Európsky sociálny fond, </w:t>
      </w:r>
      <w:r w:rsidRPr="002570C1">
        <w:rPr>
          <w:rFonts w:ascii="Times New Roman" w:hAnsi="Times New Roman"/>
          <w:szCs w:val="22"/>
        </w:rPr>
        <w:t>Iniciatíva na podporu zamestnanosti mladých ľudí</w:t>
      </w:r>
      <w:r>
        <w:rPr>
          <w:rFonts w:ascii="Times New Roman" w:hAnsi="Times New Roman"/>
          <w:szCs w:val="22"/>
        </w:rPr>
        <w:t xml:space="preserve">, </w:t>
      </w:r>
      <w:r w:rsidRPr="002570C1">
        <w:rPr>
          <w:rFonts w:ascii="Times New Roman" w:hAnsi="Times New Roman"/>
          <w:szCs w:val="22"/>
        </w:rPr>
        <w:t>Kohézny fond</w:t>
      </w:r>
      <w:r>
        <w:rPr>
          <w:rFonts w:ascii="Times New Roman" w:hAnsi="Times New Roman"/>
          <w:szCs w:val="22"/>
        </w:rPr>
        <w:t>,</w:t>
      </w:r>
      <w:r w:rsidRPr="005D40B1">
        <w:rPr>
          <w:rFonts w:ascii="Times New Roman" w:hAnsi="Times New Roman"/>
          <w:szCs w:val="22"/>
        </w:rPr>
        <w:t xml:space="preserve"> Európsky námorný a rybársky fond</w:t>
      </w:r>
      <w:r>
        <w:rPr>
          <w:rFonts w:ascii="Times New Roman" w:hAnsi="Times New Roman"/>
          <w:szCs w:val="22"/>
        </w:rPr>
        <w:t xml:space="preserve"> a Fond európskej pomoci pre najodkázanejšie osoby.</w:t>
      </w:r>
    </w:p>
    <w:p w:rsidR="0058460D" w:rsidRPr="005D40B1" w:rsidP="0058460D">
      <w:pPr>
        <w:bidi w:val="0"/>
        <w:rPr>
          <w:rFonts w:ascii="Times New Roman" w:hAnsi="Times New Roman"/>
          <w:szCs w:val="22"/>
        </w:rPr>
      </w:pPr>
      <w:r w:rsidRPr="005D40B1">
        <w:rPr>
          <w:rFonts w:ascii="Times New Roman" w:hAnsi="Times New Roman"/>
          <w:b/>
          <w:szCs w:val="22"/>
        </w:rPr>
        <w:t>Prostriedky za poľnohospodárske fondy</w:t>
      </w:r>
      <w:r>
        <w:rPr>
          <w:rFonts w:ascii="Times New Roman" w:hAnsi="Times New Roman"/>
          <w:szCs w:val="22"/>
        </w:rPr>
        <w:t xml:space="preserve"> boli v roku 2017</w:t>
      </w:r>
      <w:r w:rsidRPr="005D40B1">
        <w:rPr>
          <w:rFonts w:ascii="Times New Roman" w:hAnsi="Times New Roman"/>
          <w:szCs w:val="22"/>
        </w:rPr>
        <w:t xml:space="preserve"> </w:t>
      </w:r>
      <w:r>
        <w:rPr>
          <w:rFonts w:ascii="Times New Roman" w:hAnsi="Times New Roman"/>
          <w:szCs w:val="22"/>
        </w:rPr>
        <w:t xml:space="preserve">rozpočtované </w:t>
      </w:r>
      <w:r w:rsidRPr="005D40B1">
        <w:rPr>
          <w:rFonts w:ascii="Times New Roman" w:hAnsi="Times New Roman"/>
          <w:szCs w:val="22"/>
        </w:rPr>
        <w:t>za Európsky</w:t>
      </w:r>
      <w:r>
        <w:rPr>
          <w:rFonts w:ascii="Times New Roman" w:hAnsi="Times New Roman"/>
          <w:szCs w:val="22"/>
        </w:rPr>
        <w:t xml:space="preserve"> poľnohospodársky záručný fond (Priame platby a Trhovo orientované výdavky) a</w:t>
      </w:r>
      <w:r w:rsidR="001D5E8A">
        <w:rPr>
          <w:rFonts w:ascii="Times New Roman" w:hAnsi="Times New Roman"/>
          <w:szCs w:val="22"/>
        </w:rPr>
        <w:t xml:space="preserve"> </w:t>
      </w:r>
      <w:r>
        <w:rPr>
          <w:rFonts w:ascii="Times New Roman" w:hAnsi="Times New Roman"/>
          <w:szCs w:val="22"/>
        </w:rPr>
        <w:t xml:space="preserve">za </w:t>
      </w:r>
      <w:r w:rsidRPr="005D40B1">
        <w:rPr>
          <w:rFonts w:ascii="Times New Roman" w:hAnsi="Times New Roman"/>
          <w:szCs w:val="22"/>
        </w:rPr>
        <w:t>Európsky poľnohospodársky fond pre rozvoj vidieka</w:t>
      </w:r>
      <w:r>
        <w:rPr>
          <w:rFonts w:ascii="Times New Roman" w:hAnsi="Times New Roman"/>
          <w:szCs w:val="22"/>
        </w:rPr>
        <w:t xml:space="preserve"> (Program rozvoja vidieka).</w:t>
      </w:r>
    </w:p>
    <w:p w:rsidR="0058460D" w:rsidRPr="002459EE" w:rsidP="0058460D">
      <w:pPr>
        <w:bidi w:val="0"/>
        <w:rPr>
          <w:rFonts w:ascii="Times New Roman" w:hAnsi="Times New Roman"/>
          <w:szCs w:val="22"/>
        </w:rPr>
      </w:pPr>
      <w:r w:rsidRPr="002459EE">
        <w:rPr>
          <w:rFonts w:ascii="Times New Roman" w:hAnsi="Times New Roman"/>
          <w:szCs w:val="22"/>
        </w:rPr>
        <w:t>Schválený rozpočet príjmov zo zahraničných transferov na rok 2017 bol vo výške 2</w:t>
      </w:r>
      <w:r>
        <w:rPr>
          <w:rFonts w:ascii="Times New Roman" w:hAnsi="Times New Roman"/>
          <w:szCs w:val="22"/>
        </w:rPr>
        <w:t> </w:t>
      </w:r>
      <w:r w:rsidRPr="002459EE">
        <w:rPr>
          <w:rFonts w:ascii="Times New Roman" w:hAnsi="Times New Roman"/>
          <w:szCs w:val="22"/>
        </w:rPr>
        <w:t>655</w:t>
      </w:r>
      <w:r>
        <w:rPr>
          <w:rFonts w:ascii="Times New Roman" w:hAnsi="Times New Roman"/>
          <w:szCs w:val="22"/>
        </w:rPr>
        <w:t> </w:t>
      </w:r>
      <w:r w:rsidRPr="002459EE">
        <w:rPr>
          <w:rFonts w:ascii="Times New Roman" w:hAnsi="Times New Roman"/>
          <w:szCs w:val="22"/>
        </w:rPr>
        <w:t>927 tis. eur. Do skutočnosti príjmov z rozpočtu EÚ vstupujú aj príjmy zo zahraničných grantov, ktoré sa nerozpočtujú, nakoľko nie je možné predpokladať ich výšku od jednotlivých poskytovateľov. Skutočné plnenie príjmov SR z rozpočtu EÚ je vo výške 1</w:t>
      </w:r>
      <w:r w:rsidR="001D5E8A">
        <w:rPr>
          <w:rFonts w:ascii="Times New Roman" w:hAnsi="Times New Roman"/>
          <w:szCs w:val="22"/>
        </w:rPr>
        <w:t> </w:t>
      </w:r>
      <w:r>
        <w:rPr>
          <w:rFonts w:ascii="Times New Roman" w:hAnsi="Times New Roman"/>
          <w:szCs w:val="22"/>
        </w:rPr>
        <w:t>425</w:t>
      </w:r>
      <w:r w:rsidR="001D5E8A">
        <w:rPr>
          <w:rFonts w:ascii="Times New Roman" w:hAnsi="Times New Roman"/>
          <w:szCs w:val="22"/>
        </w:rPr>
        <w:t> </w:t>
      </w:r>
      <w:r>
        <w:rPr>
          <w:rFonts w:ascii="Times New Roman" w:hAnsi="Times New Roman"/>
          <w:szCs w:val="22"/>
        </w:rPr>
        <w:t>572</w:t>
      </w:r>
      <w:r w:rsidR="001D5E8A">
        <w:rPr>
          <w:rFonts w:ascii="Times New Roman" w:hAnsi="Times New Roman"/>
          <w:szCs w:val="22"/>
        </w:rPr>
        <w:t> </w:t>
      </w:r>
      <w:r w:rsidRPr="002459EE">
        <w:rPr>
          <w:rFonts w:ascii="Times New Roman" w:hAnsi="Times New Roman"/>
          <w:szCs w:val="22"/>
        </w:rPr>
        <w:t>tis.</w:t>
      </w:r>
      <w:r w:rsidR="001D5E8A">
        <w:rPr>
          <w:rFonts w:ascii="Times New Roman" w:hAnsi="Times New Roman"/>
          <w:szCs w:val="22"/>
        </w:rPr>
        <w:t> </w:t>
      </w:r>
      <w:r w:rsidRPr="002459EE">
        <w:rPr>
          <w:rFonts w:ascii="Times New Roman" w:hAnsi="Times New Roman"/>
          <w:szCs w:val="22"/>
        </w:rPr>
        <w:t>eur, z toho príjmy zo zahraničných transferov sú vo výške 1 422 488 tis. eur a príjmy zo zahraničných grantov sú vo výške 3</w:t>
      </w:r>
      <w:r w:rsidR="001D5E8A">
        <w:rPr>
          <w:rFonts w:ascii="Times New Roman" w:hAnsi="Times New Roman"/>
          <w:szCs w:val="22"/>
        </w:rPr>
        <w:t> </w:t>
      </w:r>
      <w:r w:rsidRPr="002459EE">
        <w:rPr>
          <w:rFonts w:ascii="Times New Roman" w:hAnsi="Times New Roman"/>
          <w:szCs w:val="22"/>
        </w:rPr>
        <w:t>084</w:t>
      </w:r>
      <w:r w:rsidR="001D5E8A">
        <w:rPr>
          <w:rFonts w:ascii="Times New Roman" w:hAnsi="Times New Roman"/>
          <w:szCs w:val="22"/>
        </w:rPr>
        <w:t> </w:t>
      </w:r>
      <w:r w:rsidRPr="002459EE">
        <w:rPr>
          <w:rFonts w:ascii="Times New Roman" w:hAnsi="Times New Roman"/>
          <w:szCs w:val="22"/>
        </w:rPr>
        <w:t>tis. eur.</w:t>
      </w:r>
    </w:p>
    <w:p w:rsidR="0058460D" w:rsidRPr="001F44C9" w:rsidP="0058460D">
      <w:pPr>
        <w:bidi w:val="0"/>
        <w:rPr>
          <w:rFonts w:ascii="Times New Roman" w:hAnsi="Times New Roman"/>
          <w:szCs w:val="22"/>
        </w:rPr>
      </w:pPr>
      <w:r w:rsidRPr="001F44C9">
        <w:rPr>
          <w:rFonts w:ascii="Times New Roman" w:hAnsi="Times New Roman"/>
          <w:szCs w:val="22"/>
        </w:rPr>
        <w:t>Rozpočet príjmov za prostriedky EÚ bol v roku 2017 upravený na úroveň 1</w:t>
      </w:r>
      <w:r w:rsidR="001D5E8A">
        <w:rPr>
          <w:rFonts w:ascii="Times New Roman" w:hAnsi="Times New Roman"/>
          <w:szCs w:val="22"/>
        </w:rPr>
        <w:t> </w:t>
      </w:r>
      <w:r w:rsidRPr="001F44C9">
        <w:rPr>
          <w:rFonts w:ascii="Times New Roman" w:hAnsi="Times New Roman"/>
          <w:szCs w:val="22"/>
        </w:rPr>
        <w:t>422</w:t>
      </w:r>
      <w:r w:rsidR="001D5E8A">
        <w:rPr>
          <w:rFonts w:ascii="Times New Roman" w:hAnsi="Times New Roman"/>
          <w:szCs w:val="22"/>
        </w:rPr>
        <w:t> </w:t>
      </w:r>
      <w:r w:rsidRPr="001F44C9">
        <w:rPr>
          <w:rFonts w:ascii="Times New Roman" w:hAnsi="Times New Roman"/>
          <w:szCs w:val="22"/>
        </w:rPr>
        <w:t>488</w:t>
      </w:r>
      <w:r w:rsidR="001D5E8A">
        <w:rPr>
          <w:rFonts w:ascii="Times New Roman" w:hAnsi="Times New Roman"/>
          <w:szCs w:val="22"/>
        </w:rPr>
        <w:t> </w:t>
      </w:r>
      <w:r w:rsidRPr="001F44C9">
        <w:rPr>
          <w:rFonts w:ascii="Times New Roman" w:hAnsi="Times New Roman"/>
          <w:szCs w:val="22"/>
        </w:rPr>
        <w:t>tis.</w:t>
      </w:r>
      <w:r w:rsidR="001D5E8A">
        <w:rPr>
          <w:rFonts w:ascii="Times New Roman" w:hAnsi="Times New Roman"/>
          <w:szCs w:val="22"/>
        </w:rPr>
        <w:t> </w:t>
      </w:r>
      <w:r w:rsidRPr="001F44C9">
        <w:rPr>
          <w:rFonts w:ascii="Times New Roman" w:hAnsi="Times New Roman"/>
          <w:szCs w:val="22"/>
        </w:rPr>
        <w:t>eur. K úpravám došlo v nadväznosti na vysporiadanie finančných prostriedkov za finančné opravy v</w:t>
      </w:r>
      <w:r>
        <w:rPr>
          <w:rFonts w:ascii="Times New Roman" w:hAnsi="Times New Roman"/>
          <w:szCs w:val="22"/>
        </w:rPr>
        <w:t> </w:t>
      </w:r>
      <w:r w:rsidRPr="001F44C9">
        <w:rPr>
          <w:rFonts w:ascii="Times New Roman" w:hAnsi="Times New Roman"/>
          <w:szCs w:val="22"/>
        </w:rPr>
        <w:t>zmysle § 15 zákona o rozpočtových pravidlách, v nadväznosti na prijaté oznámenia o výške prostriedkov, ktoré budú použité v nasledujúcich rokoch v zmysle § 8 zákona o rozpočtových pravidlách a v nadväznosti na ostatné viazania prostriedkov v zmysle § 18 zákona o rozpočtových pravidlách</w:t>
      </w:r>
      <w:r w:rsidR="00BD1913">
        <w:rPr>
          <w:rFonts w:ascii="Times New Roman" w:hAnsi="Times New Roman"/>
          <w:szCs w:val="22"/>
        </w:rPr>
        <w:t>.</w:t>
      </w:r>
    </w:p>
    <w:p w:rsidR="0058460D" w:rsidRPr="000A7E3E" w:rsidP="0058460D">
      <w:pPr>
        <w:bidi w:val="0"/>
        <w:rPr>
          <w:rFonts w:ascii="Times New Roman" w:hAnsi="Times New Roman"/>
          <w:szCs w:val="22"/>
        </w:rPr>
      </w:pPr>
      <w:r w:rsidRPr="000A7E3E">
        <w:rPr>
          <w:rFonts w:ascii="Times New Roman" w:hAnsi="Times New Roman"/>
          <w:szCs w:val="22"/>
        </w:rPr>
        <w:t xml:space="preserve">Skutočné plnenie príjmov </w:t>
      </w:r>
      <w:r w:rsidRPr="00AC5AC2">
        <w:rPr>
          <w:rFonts w:ascii="Times New Roman" w:hAnsi="Times New Roman"/>
          <w:b/>
          <w:szCs w:val="22"/>
        </w:rPr>
        <w:t>zo zahraničných transferov</w:t>
      </w:r>
      <w:r w:rsidRPr="009755DF">
        <w:rPr>
          <w:rFonts w:ascii="Times New Roman" w:hAnsi="Times New Roman"/>
          <w:b/>
          <w:i/>
          <w:szCs w:val="22"/>
        </w:rPr>
        <w:t xml:space="preserve"> </w:t>
      </w:r>
      <w:r w:rsidRPr="009755DF">
        <w:rPr>
          <w:rFonts w:ascii="Times New Roman" w:hAnsi="Times New Roman"/>
          <w:szCs w:val="22"/>
        </w:rPr>
        <w:t>vo výške 1 422 488 tis. eur predstavuje plnenie na úrovni 100 % z upraveného rozpočtu. Príjmy za štrukturálne operácie, pri ktorých plní úlohu certifikačné</w:t>
      </w:r>
      <w:r>
        <w:rPr>
          <w:rFonts w:ascii="Times New Roman" w:hAnsi="Times New Roman"/>
          <w:szCs w:val="22"/>
        </w:rPr>
        <w:t>ho</w:t>
      </w:r>
      <w:r w:rsidRPr="009755DF">
        <w:rPr>
          <w:rFonts w:ascii="Times New Roman" w:hAnsi="Times New Roman"/>
          <w:szCs w:val="22"/>
        </w:rPr>
        <w:t xml:space="preserve"> orgánu Ministerstvo financií SR sú vo výške 826 687 tis. eur (z toho štrukturálne fondy 2. programového obdobia v sume 25 255 tis. eur, štrukturálne fondy 3.</w:t>
      </w:r>
      <w:r>
        <w:rPr>
          <w:rFonts w:ascii="Times New Roman" w:hAnsi="Times New Roman"/>
          <w:szCs w:val="22"/>
        </w:rPr>
        <w:t> </w:t>
      </w:r>
      <w:r w:rsidRPr="009755DF">
        <w:rPr>
          <w:rFonts w:ascii="Times New Roman" w:hAnsi="Times New Roman"/>
          <w:szCs w:val="22"/>
        </w:rPr>
        <w:t>programového obdobia v sume 437 559 tis. eur, Kohézny fond 3. programového obdobia v sume 363 873 tis. eur</w:t>
      </w:r>
      <w:r>
        <w:rPr>
          <w:rFonts w:ascii="Times New Roman" w:hAnsi="Times New Roman"/>
          <w:szCs w:val="22"/>
        </w:rPr>
        <w:t xml:space="preserve">). </w:t>
      </w:r>
      <w:r w:rsidRPr="009755DF">
        <w:rPr>
          <w:rFonts w:ascii="Times New Roman" w:hAnsi="Times New Roman"/>
          <w:szCs w:val="22"/>
        </w:rPr>
        <w:t>Príjmy za štrukturálne operácie, pri ktorých plní úlohu certifikačné</w:t>
      </w:r>
      <w:r>
        <w:rPr>
          <w:rFonts w:ascii="Times New Roman" w:hAnsi="Times New Roman"/>
          <w:szCs w:val="22"/>
        </w:rPr>
        <w:t>ho</w:t>
      </w:r>
      <w:r w:rsidRPr="009755DF">
        <w:rPr>
          <w:rFonts w:ascii="Times New Roman" w:hAnsi="Times New Roman"/>
          <w:szCs w:val="22"/>
        </w:rPr>
        <w:t xml:space="preserve"> orgánu Mini</w:t>
      </w:r>
      <w:r>
        <w:rPr>
          <w:rFonts w:ascii="Times New Roman" w:hAnsi="Times New Roman"/>
          <w:szCs w:val="22"/>
        </w:rPr>
        <w:t>sterstvo práce, sociálnych vecí a rodiny</w:t>
      </w:r>
      <w:r w:rsidRPr="009755DF">
        <w:rPr>
          <w:rFonts w:ascii="Times New Roman" w:hAnsi="Times New Roman"/>
          <w:szCs w:val="22"/>
        </w:rPr>
        <w:t xml:space="preserve"> SR </w:t>
      </w:r>
      <w:r>
        <w:rPr>
          <w:rFonts w:ascii="Times New Roman" w:hAnsi="Times New Roman"/>
          <w:szCs w:val="22"/>
        </w:rPr>
        <w:t xml:space="preserve">sú </w:t>
      </w:r>
      <w:r w:rsidRPr="009755DF">
        <w:rPr>
          <w:rFonts w:ascii="Times New Roman" w:hAnsi="Times New Roman"/>
          <w:szCs w:val="22"/>
        </w:rPr>
        <w:t>v sume 9</w:t>
      </w:r>
      <w:r>
        <w:rPr>
          <w:rFonts w:ascii="Times New Roman" w:hAnsi="Times New Roman"/>
          <w:szCs w:val="22"/>
        </w:rPr>
        <w:t> </w:t>
      </w:r>
      <w:r w:rsidRPr="009755DF">
        <w:rPr>
          <w:rFonts w:ascii="Times New Roman" w:hAnsi="Times New Roman"/>
          <w:szCs w:val="22"/>
        </w:rPr>
        <w:t>123</w:t>
      </w:r>
      <w:r>
        <w:rPr>
          <w:rFonts w:ascii="Times New Roman" w:hAnsi="Times New Roman"/>
          <w:szCs w:val="22"/>
        </w:rPr>
        <w:t> </w:t>
      </w:r>
      <w:r w:rsidRPr="009755DF">
        <w:rPr>
          <w:rFonts w:ascii="Times New Roman" w:hAnsi="Times New Roman"/>
          <w:szCs w:val="22"/>
        </w:rPr>
        <w:t>tis.</w:t>
      </w:r>
      <w:r>
        <w:rPr>
          <w:rFonts w:ascii="Times New Roman" w:hAnsi="Times New Roman"/>
          <w:szCs w:val="22"/>
        </w:rPr>
        <w:t> </w:t>
      </w:r>
      <w:r w:rsidRPr="009755DF">
        <w:rPr>
          <w:rFonts w:ascii="Times New Roman" w:hAnsi="Times New Roman"/>
          <w:szCs w:val="22"/>
        </w:rPr>
        <w:t>eur</w:t>
      </w:r>
      <w:r>
        <w:rPr>
          <w:rFonts w:ascii="Times New Roman" w:hAnsi="Times New Roman"/>
          <w:szCs w:val="22"/>
        </w:rPr>
        <w:t>.</w:t>
      </w:r>
      <w:r w:rsidRPr="009755DF">
        <w:rPr>
          <w:rFonts w:ascii="Times New Roman" w:hAnsi="Times New Roman"/>
          <w:szCs w:val="22"/>
        </w:rPr>
        <w:t xml:space="preserve"> </w:t>
      </w:r>
      <w:r w:rsidRPr="000A7E3E">
        <w:rPr>
          <w:rFonts w:ascii="Times New Roman" w:hAnsi="Times New Roman"/>
          <w:szCs w:val="22"/>
        </w:rPr>
        <w:t xml:space="preserve">Príjmy </w:t>
      </w:r>
      <w:r w:rsidR="002A7C63">
        <w:rPr>
          <w:rFonts w:ascii="Times New Roman" w:hAnsi="Times New Roman"/>
          <w:szCs w:val="22"/>
        </w:rPr>
        <w:br/>
      </w:r>
      <w:r w:rsidRPr="000A7E3E">
        <w:rPr>
          <w:rFonts w:ascii="Times New Roman" w:hAnsi="Times New Roman"/>
          <w:szCs w:val="22"/>
        </w:rPr>
        <w:t>z</w:t>
      </w:r>
      <w:r>
        <w:rPr>
          <w:rFonts w:ascii="Times New Roman" w:hAnsi="Times New Roman"/>
          <w:szCs w:val="22"/>
        </w:rPr>
        <w:t>a poľnohospodárske fondy</w:t>
      </w:r>
      <w:r w:rsidRPr="000A7E3E">
        <w:rPr>
          <w:rFonts w:ascii="Times New Roman" w:hAnsi="Times New Roman"/>
          <w:szCs w:val="22"/>
        </w:rPr>
        <w:t xml:space="preserve"> boli vo výške 586</w:t>
      </w:r>
      <w:r w:rsidR="001D5E8A">
        <w:rPr>
          <w:rFonts w:ascii="Times New Roman" w:hAnsi="Times New Roman"/>
          <w:szCs w:val="22"/>
        </w:rPr>
        <w:t> </w:t>
      </w:r>
      <w:r w:rsidRPr="000A7E3E">
        <w:rPr>
          <w:rFonts w:ascii="Times New Roman" w:hAnsi="Times New Roman"/>
          <w:szCs w:val="22"/>
        </w:rPr>
        <w:t>678</w:t>
      </w:r>
      <w:r w:rsidR="001D5E8A">
        <w:rPr>
          <w:rFonts w:ascii="Times New Roman" w:hAnsi="Times New Roman"/>
          <w:szCs w:val="22"/>
        </w:rPr>
        <w:t> </w:t>
      </w:r>
      <w:r>
        <w:rPr>
          <w:rFonts w:ascii="Times New Roman" w:hAnsi="Times New Roman"/>
          <w:szCs w:val="22"/>
        </w:rPr>
        <w:t>tis.</w:t>
      </w:r>
      <w:r w:rsidR="001D5E8A">
        <w:rPr>
          <w:rFonts w:ascii="Times New Roman" w:hAnsi="Times New Roman"/>
          <w:szCs w:val="22"/>
        </w:rPr>
        <w:t> </w:t>
      </w:r>
      <w:r>
        <w:rPr>
          <w:rFonts w:ascii="Times New Roman" w:hAnsi="Times New Roman"/>
          <w:szCs w:val="22"/>
        </w:rPr>
        <w:t xml:space="preserve">eur (z toho za Európsky poľnohospodársky fond rozvoja vidieka v sume 172 327 tis. eur a za </w:t>
      </w:r>
      <w:r w:rsidRPr="005D40B1">
        <w:rPr>
          <w:rFonts w:ascii="Times New Roman" w:hAnsi="Times New Roman"/>
          <w:szCs w:val="22"/>
        </w:rPr>
        <w:t>Európsky</w:t>
      </w:r>
      <w:r>
        <w:rPr>
          <w:rFonts w:ascii="Times New Roman" w:hAnsi="Times New Roman"/>
          <w:szCs w:val="22"/>
        </w:rPr>
        <w:t xml:space="preserve"> poľnohospodársky záručný fond v sume 414 351 tis. eur)</w:t>
      </w:r>
      <w:r w:rsidRPr="000A7E3E">
        <w:rPr>
          <w:rFonts w:ascii="Times New Roman" w:hAnsi="Times New Roman"/>
          <w:szCs w:val="22"/>
        </w:rPr>
        <w:t xml:space="preserve">. </w:t>
      </w:r>
    </w:p>
    <w:p w:rsidR="0058460D" w:rsidRPr="004C5C6E" w:rsidP="0058460D">
      <w:pPr>
        <w:bidi w:val="0"/>
        <w:rPr>
          <w:rFonts w:ascii="Times New Roman" w:hAnsi="Times New Roman"/>
          <w:szCs w:val="22"/>
        </w:rPr>
      </w:pPr>
      <w:r w:rsidRPr="004C5C6E">
        <w:rPr>
          <w:rFonts w:ascii="Times New Roman" w:hAnsi="Times New Roman"/>
          <w:szCs w:val="22"/>
        </w:rPr>
        <w:t>Skutočné plnenie</w:t>
      </w:r>
      <w:r w:rsidRPr="004C5C6E">
        <w:rPr>
          <w:rFonts w:ascii="Times New Roman" w:hAnsi="Times New Roman"/>
          <w:b/>
          <w:szCs w:val="22"/>
        </w:rPr>
        <w:t xml:space="preserve"> príjmov zo zahraničných grantov</w:t>
      </w:r>
      <w:r w:rsidRPr="004C5C6E">
        <w:rPr>
          <w:rFonts w:ascii="Times New Roman" w:hAnsi="Times New Roman"/>
          <w:szCs w:val="22"/>
        </w:rPr>
        <w:t xml:space="preserve"> poskytnutých z rozpočtu EÚ v roku 2017 bolo vo výške 3</w:t>
      </w:r>
      <w:r w:rsidR="001D5E8A">
        <w:rPr>
          <w:rFonts w:ascii="Times New Roman" w:hAnsi="Times New Roman"/>
          <w:szCs w:val="22"/>
        </w:rPr>
        <w:t> </w:t>
      </w:r>
      <w:r w:rsidRPr="004C5C6E">
        <w:rPr>
          <w:rFonts w:ascii="Times New Roman" w:hAnsi="Times New Roman"/>
          <w:szCs w:val="22"/>
        </w:rPr>
        <w:t>084</w:t>
      </w:r>
      <w:r w:rsidR="001D5E8A">
        <w:rPr>
          <w:rFonts w:ascii="Times New Roman" w:hAnsi="Times New Roman"/>
          <w:szCs w:val="22"/>
        </w:rPr>
        <w:t> </w:t>
      </w:r>
      <w:r w:rsidRPr="004C5C6E">
        <w:rPr>
          <w:rFonts w:ascii="Times New Roman" w:hAnsi="Times New Roman"/>
          <w:szCs w:val="22"/>
        </w:rPr>
        <w:t>tis. eur. V rámci zahraničných grantov sú uvedené výlučne zahraničné granty poskytnuté z rozpočtu EÚ, ktorých poskytovanie riadi EÚ centralizovaným spôsobom. Tieto príjmy zo zahraničných grantov z prostriedkov EÚ boli použité najmä na programy cezhraničnej spolupráce, programy v oblasti vzdelávania, výskumu, zdravia a</w:t>
      </w:r>
      <w:r>
        <w:rPr>
          <w:rFonts w:ascii="Times New Roman" w:hAnsi="Times New Roman"/>
          <w:szCs w:val="22"/>
        </w:rPr>
        <w:t xml:space="preserve"> </w:t>
      </w:r>
      <w:r w:rsidRPr="004C5C6E">
        <w:rPr>
          <w:rFonts w:ascii="Times New Roman" w:hAnsi="Times New Roman"/>
          <w:szCs w:val="22"/>
        </w:rPr>
        <w:t>ochrany spotrebiteľa a</w:t>
      </w:r>
      <w:r>
        <w:rPr>
          <w:rFonts w:ascii="Times New Roman" w:hAnsi="Times New Roman"/>
          <w:szCs w:val="22"/>
        </w:rPr>
        <w:t xml:space="preserve"> </w:t>
      </w:r>
      <w:r w:rsidRPr="004C5C6E">
        <w:rPr>
          <w:rFonts w:ascii="Times New Roman" w:hAnsi="Times New Roman"/>
          <w:szCs w:val="22"/>
        </w:rPr>
        <w:t>v oblasti bezpečnosti, migrácie osôb a</w:t>
      </w:r>
      <w:r w:rsidR="001D5E8A">
        <w:rPr>
          <w:rFonts w:ascii="Times New Roman" w:hAnsi="Times New Roman"/>
          <w:szCs w:val="22"/>
        </w:rPr>
        <w:t xml:space="preserve"> </w:t>
      </w:r>
      <w:r w:rsidRPr="004C5C6E">
        <w:rPr>
          <w:rFonts w:ascii="Times New Roman" w:hAnsi="Times New Roman"/>
          <w:szCs w:val="22"/>
        </w:rPr>
        <w:t>ochrany hraníc.</w:t>
      </w:r>
    </w:p>
    <w:p w:rsidR="0058460D" w:rsidRPr="004C5C6E" w:rsidP="0058460D">
      <w:pPr>
        <w:bidi w:val="0"/>
        <w:rPr>
          <w:rFonts w:ascii="Times New Roman" w:hAnsi="Times New Roman"/>
          <w:szCs w:val="22"/>
        </w:rPr>
      </w:pPr>
      <w:r w:rsidRPr="004C5C6E">
        <w:rPr>
          <w:rFonts w:ascii="Times New Roman" w:hAnsi="Times New Roman"/>
          <w:szCs w:val="22"/>
        </w:rPr>
        <w:t>Prehľad je uvedený v nasledovnej tabuľke:</w:t>
      </w:r>
    </w:p>
    <w:tbl>
      <w:tblPr>
        <w:tblStyle w:val="TableNormal"/>
        <w:tblW w:w="8976" w:type="dxa"/>
        <w:tblCellMar>
          <w:left w:w="70" w:type="dxa"/>
          <w:right w:w="70" w:type="dxa"/>
        </w:tblCellMar>
        <w:tblLook w:val="04A0"/>
      </w:tblPr>
      <w:tblGrid>
        <w:gridCol w:w="3368"/>
        <w:gridCol w:w="968"/>
        <w:gridCol w:w="968"/>
        <w:gridCol w:w="929"/>
        <w:gridCol w:w="1025"/>
        <w:gridCol w:w="999"/>
        <w:gridCol w:w="719"/>
      </w:tblGrid>
      <w:tr>
        <w:tblPrEx>
          <w:tblW w:w="8976" w:type="dxa"/>
          <w:tblCellMar>
            <w:left w:w="70" w:type="dxa"/>
            <w:right w:w="70" w:type="dxa"/>
          </w:tblCellMar>
          <w:tblLook w:val="04A0"/>
        </w:tblPrEx>
        <w:trPr>
          <w:trHeight w:val="323"/>
        </w:trPr>
        <w:tc>
          <w:tcPr>
            <w:tcW w:w="8976" w:type="dxa"/>
            <w:gridSpan w:val="7"/>
            <w:tcBorders>
              <w:top w:val="nil"/>
              <w:left w:val="nil"/>
              <w:bottom w:val="nil"/>
              <w:right w:val="nil"/>
            </w:tcBorders>
            <w:shd w:val="clear" w:color="000000" w:fill="000000"/>
            <w:noWrap/>
            <w:textDirection w:val="lrTb"/>
            <w:vAlign w:val="bottom"/>
            <w:hideMark/>
          </w:tcPr>
          <w:p w:rsidR="00FA0AC7" w:rsidRPr="00FA0AC7" w:rsidP="00FA0AC7">
            <w:pPr>
              <w:bidi w:val="0"/>
              <w:spacing w:after="0" w:line="240" w:lineRule="auto"/>
              <w:rPr>
                <w:rFonts w:ascii="Times New Roman" w:hAnsi="Times New Roman"/>
                <w:b/>
                <w:sz w:val="18"/>
                <w:szCs w:val="18"/>
              </w:rPr>
            </w:pPr>
            <w:r w:rsidRPr="00FA0AC7">
              <w:rPr>
                <w:rFonts w:ascii="Times New Roman" w:hAnsi="Times New Roman"/>
                <w:b/>
                <w:sz w:val="18"/>
                <w:szCs w:val="18"/>
              </w:rPr>
              <w:t>Plnenie príjmov z rozpočtu EÚ  </w:t>
            </w:r>
            <w:r>
              <w:rPr>
                <w:rFonts w:ascii="Times New Roman" w:hAnsi="Times New Roman"/>
                <w:b/>
                <w:sz w:val="18"/>
                <w:szCs w:val="18"/>
              </w:rPr>
              <w:t xml:space="preserve">                                                                                        </w:t>
            </w:r>
            <w:r w:rsidR="002A7C63">
              <w:rPr>
                <w:rFonts w:ascii="Times New Roman" w:hAnsi="Times New Roman"/>
                <w:b/>
                <w:sz w:val="18"/>
                <w:szCs w:val="18"/>
              </w:rPr>
              <w:t xml:space="preserve">                            </w:t>
            </w:r>
            <w:r>
              <w:rPr>
                <w:rFonts w:ascii="Times New Roman" w:hAnsi="Times New Roman"/>
                <w:b/>
                <w:sz w:val="18"/>
                <w:szCs w:val="18"/>
              </w:rPr>
              <w:t xml:space="preserve">          </w:t>
            </w:r>
            <w:r w:rsidRPr="00FA0AC7">
              <w:rPr>
                <w:rFonts w:ascii="Times New Roman" w:hAnsi="Times New Roman"/>
                <w:b/>
                <w:sz w:val="18"/>
                <w:szCs w:val="18"/>
              </w:rPr>
              <w:t>v tis. eur</w:t>
            </w:r>
          </w:p>
        </w:tc>
      </w:tr>
      <w:tr>
        <w:tblPrEx>
          <w:tblW w:w="8976" w:type="dxa"/>
          <w:tblCellMar>
            <w:left w:w="70" w:type="dxa"/>
            <w:right w:w="70" w:type="dxa"/>
          </w:tblCellMar>
          <w:tblLook w:val="04A0"/>
        </w:tblPrEx>
        <w:trPr>
          <w:trHeight w:val="305"/>
        </w:trPr>
        <w:tc>
          <w:tcPr>
            <w:tcW w:w="3387"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left"/>
              <w:rPr>
                <w:rFonts w:ascii="Times New Roman" w:hAnsi="Times New Roman"/>
                <w:b/>
                <w:sz w:val="18"/>
                <w:szCs w:val="18"/>
              </w:rPr>
            </w:pPr>
            <w:r w:rsidRPr="0058460D">
              <w:rPr>
                <w:rFonts w:ascii="Times New Roman" w:hAnsi="Times New Roman"/>
                <w:b/>
                <w:sz w:val="18"/>
                <w:szCs w:val="18"/>
              </w:rPr>
              <w:t> </w:t>
            </w:r>
          </w:p>
        </w:tc>
        <w:tc>
          <w:tcPr>
            <w:tcW w:w="1936" w:type="dxa"/>
            <w:gridSpan w:val="2"/>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Skutočnosť</w:t>
            </w:r>
          </w:p>
        </w:tc>
        <w:tc>
          <w:tcPr>
            <w:tcW w:w="929"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Rozpočet</w:t>
            </w:r>
          </w:p>
        </w:tc>
        <w:tc>
          <w:tcPr>
            <w:tcW w:w="1005"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Skutočnosť</w:t>
            </w:r>
          </w:p>
        </w:tc>
        <w:tc>
          <w:tcPr>
            <w:tcW w:w="1717" w:type="dxa"/>
            <w:gridSpan w:val="2"/>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Rozdiel</w:t>
            </w:r>
          </w:p>
        </w:tc>
      </w:tr>
      <w:tr>
        <w:tblPrEx>
          <w:tblW w:w="8976" w:type="dxa"/>
          <w:tblCellMar>
            <w:left w:w="70" w:type="dxa"/>
            <w:right w:w="70" w:type="dxa"/>
          </w:tblCellMar>
          <w:tblLook w:val="04A0"/>
        </w:tblPrEx>
        <w:trPr>
          <w:trHeight w:val="305"/>
        </w:trPr>
        <w:tc>
          <w:tcPr>
            <w:tcW w:w="3387"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left"/>
              <w:rPr>
                <w:rFonts w:ascii="Times New Roman" w:hAnsi="Times New Roman"/>
                <w:b/>
                <w:sz w:val="18"/>
                <w:szCs w:val="18"/>
              </w:rPr>
            </w:pPr>
            <w:r w:rsidRPr="0058460D">
              <w:rPr>
                <w:rFonts w:ascii="Times New Roman" w:hAnsi="Times New Roman"/>
                <w:b/>
                <w:sz w:val="18"/>
                <w:szCs w:val="18"/>
              </w:rPr>
              <w:t> </w:t>
            </w:r>
          </w:p>
        </w:tc>
        <w:tc>
          <w:tcPr>
            <w:tcW w:w="968"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2015</w:t>
            </w:r>
          </w:p>
        </w:tc>
        <w:tc>
          <w:tcPr>
            <w:tcW w:w="967"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2016</w:t>
            </w:r>
          </w:p>
        </w:tc>
        <w:tc>
          <w:tcPr>
            <w:tcW w:w="929"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2017</w:t>
            </w:r>
          </w:p>
        </w:tc>
        <w:tc>
          <w:tcPr>
            <w:tcW w:w="1005"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2017</w:t>
            </w:r>
          </w:p>
        </w:tc>
        <w:tc>
          <w:tcPr>
            <w:tcW w:w="999"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v tis. eur</w:t>
            </w:r>
          </w:p>
        </w:tc>
        <w:tc>
          <w:tcPr>
            <w:tcW w:w="717" w:type="dxa"/>
            <w:tcBorders>
              <w:top w:val="nil"/>
              <w:left w:val="nil"/>
              <w:bottom w:val="nil"/>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v %</w:t>
            </w:r>
          </w:p>
        </w:tc>
      </w:tr>
      <w:tr>
        <w:tblPrEx>
          <w:tblW w:w="8976" w:type="dxa"/>
          <w:tblCellMar>
            <w:left w:w="70" w:type="dxa"/>
            <w:right w:w="70" w:type="dxa"/>
          </w:tblCellMar>
          <w:tblLook w:val="04A0"/>
        </w:tblPrEx>
        <w:trPr>
          <w:trHeight w:val="305"/>
        </w:trPr>
        <w:tc>
          <w:tcPr>
            <w:tcW w:w="3387"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left"/>
              <w:rPr>
                <w:rFonts w:ascii="Times New Roman" w:hAnsi="Times New Roman"/>
                <w:b/>
                <w:sz w:val="18"/>
                <w:szCs w:val="18"/>
              </w:rPr>
            </w:pPr>
            <w:r w:rsidRPr="0058460D">
              <w:rPr>
                <w:rFonts w:ascii="Times New Roman" w:hAnsi="Times New Roman"/>
                <w:b/>
                <w:sz w:val="18"/>
                <w:szCs w:val="18"/>
              </w:rPr>
              <w:t> </w:t>
            </w:r>
          </w:p>
        </w:tc>
        <w:tc>
          <w:tcPr>
            <w:tcW w:w="968"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1</w:t>
            </w:r>
          </w:p>
        </w:tc>
        <w:tc>
          <w:tcPr>
            <w:tcW w:w="967"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2</w:t>
            </w:r>
          </w:p>
        </w:tc>
        <w:tc>
          <w:tcPr>
            <w:tcW w:w="929"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3</w:t>
            </w:r>
          </w:p>
        </w:tc>
        <w:tc>
          <w:tcPr>
            <w:tcW w:w="1005"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4</w:t>
            </w:r>
          </w:p>
        </w:tc>
        <w:tc>
          <w:tcPr>
            <w:tcW w:w="999"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5=4-3</w:t>
            </w:r>
          </w:p>
        </w:tc>
        <w:tc>
          <w:tcPr>
            <w:tcW w:w="717" w:type="dxa"/>
            <w:tcBorders>
              <w:top w:val="nil"/>
              <w:left w:val="nil"/>
              <w:bottom w:val="single" w:sz="8" w:space="0" w:color="auto"/>
              <w:right w:val="nil"/>
            </w:tcBorders>
            <w:shd w:val="clear" w:color="000000" w:fill="BFBFBF"/>
            <w:textDirection w:val="lrTb"/>
            <w:vAlign w:val="center"/>
            <w:hideMark/>
          </w:tcPr>
          <w:p w:rsidR="0058460D" w:rsidRPr="0058460D" w:rsidP="0058460D">
            <w:pPr>
              <w:bidi w:val="0"/>
              <w:spacing w:after="0" w:line="240" w:lineRule="auto"/>
              <w:jc w:val="center"/>
              <w:rPr>
                <w:rFonts w:ascii="Times New Roman" w:hAnsi="Times New Roman"/>
                <w:b/>
                <w:sz w:val="18"/>
                <w:szCs w:val="18"/>
              </w:rPr>
            </w:pPr>
            <w:r w:rsidRPr="0058460D">
              <w:rPr>
                <w:rFonts w:ascii="Times New Roman" w:hAnsi="Times New Roman"/>
                <w:b/>
                <w:sz w:val="18"/>
                <w:szCs w:val="18"/>
              </w:rPr>
              <w:t>6=4-3</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Poľnohospodárske fondy 2. programové obdobie</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194 265</w:t>
            </w:r>
          </w:p>
        </w:tc>
        <w:tc>
          <w:tcPr>
            <w:tcW w:w="967"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Poľnohospodárske fondy 3. programové obdobie</w:t>
            </w:r>
          </w:p>
        </w:tc>
        <w:tc>
          <w:tcPr>
            <w:tcW w:w="968"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427 555</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528 585</w:t>
            </w:r>
          </w:p>
        </w:tc>
        <w:tc>
          <w:tcPr>
            <w:tcW w:w="929"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810 960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586 678</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-224 282</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-27,7</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Poľnohospodárske fondy spolu - MPRV SR</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621 820</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528 585</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810 960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586 678</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-224 282</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-27,7</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Kohézny fond 1. programové obdobie</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9 209</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 xml:space="preserve">Štrukturálne fondy, Kohézny fond, Európsky fond pre rybné hospodárstvo 2. programové obdobie </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3 649 012</w:t>
            </w:r>
          </w:p>
        </w:tc>
        <w:tc>
          <w:tcPr>
            <w:tcW w:w="967"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853 742</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25 255</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25 255</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 xml:space="preserve">Štrukturálne fondy, Kohézny fond, Európsky námorný a rybársky fond 3. programové obdobie </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557 231</w:t>
            </w:r>
          </w:p>
        </w:tc>
        <w:tc>
          <w:tcPr>
            <w:tcW w:w="929"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1 830 526</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801 432</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-1 029 094</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-56,2</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Programy EÚS 3. programové obdobie (CO MF SR)*</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2 946</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-2 946</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-100,0</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Štrukturálne operácie - MF SR</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3 658 221</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1 410 973</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1 833 472</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826 687</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-1 006 785</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-54,9</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OP Sociálneho začlenenia najodkázanejších osôb - MPSVR SR</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967" w:type="dxa"/>
            <w:tcBorders>
              <w:top w:val="nil"/>
              <w:left w:val="nil"/>
              <w:bottom w:val="nil"/>
              <w:right w:val="nil"/>
            </w:tcBorders>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227</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11 495</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9 123</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-2 372</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-20,6</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Štrukturálne operácie - MPSVR SR</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0</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227</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11 495</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9 123</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-2 372</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-20,6</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Spolu zahraničné transfery</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4 280 041</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1 939 785</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2 655 927</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1 422 488</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-1 233 439</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-46,4</w:t>
            </w:r>
          </w:p>
        </w:tc>
      </w:tr>
      <w:tr>
        <w:tblPrEx>
          <w:tblW w:w="8976" w:type="dxa"/>
          <w:tblCellMar>
            <w:left w:w="70" w:type="dxa"/>
            <w:right w:w="70" w:type="dxa"/>
          </w:tblCellMar>
          <w:tblLook w:val="04A0"/>
        </w:tblPrEx>
        <w:trPr>
          <w:trHeight w:val="293"/>
        </w:trPr>
        <w:tc>
          <w:tcPr>
            <w:tcW w:w="3387" w:type="dxa"/>
            <w:tcBorders>
              <w:top w:val="nil"/>
              <w:left w:val="nil"/>
              <w:bottom w:val="nil"/>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color w:val="000000"/>
                <w:sz w:val="18"/>
                <w:szCs w:val="18"/>
                <w:lang w:eastAsia="sk-SK"/>
              </w:rPr>
            </w:pPr>
            <w:r w:rsidRPr="00545517">
              <w:rPr>
                <w:rFonts w:ascii="Times New Roman" w:hAnsi="Times New Roman"/>
                <w:color w:val="000000"/>
                <w:sz w:val="18"/>
                <w:szCs w:val="18"/>
                <w:lang w:eastAsia="sk-SK"/>
              </w:rPr>
              <w:t>Zahraničné granty z rozpočtu EÚ</w:t>
            </w:r>
          </w:p>
        </w:tc>
        <w:tc>
          <w:tcPr>
            <w:tcW w:w="968"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8 832</w:t>
            </w:r>
          </w:p>
        </w:tc>
        <w:tc>
          <w:tcPr>
            <w:tcW w:w="96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7 696</w:t>
            </w:r>
          </w:p>
        </w:tc>
        <w:tc>
          <w:tcPr>
            <w:tcW w:w="92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0</w:t>
            </w:r>
          </w:p>
        </w:tc>
        <w:tc>
          <w:tcPr>
            <w:tcW w:w="1005" w:type="dxa"/>
            <w:tcBorders>
              <w:top w:val="nil"/>
              <w:left w:val="nil"/>
              <w:bottom w:val="nil"/>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3 084</w:t>
            </w:r>
          </w:p>
        </w:tc>
        <w:tc>
          <w:tcPr>
            <w:tcW w:w="999"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3 084</w:t>
            </w:r>
          </w:p>
        </w:tc>
        <w:tc>
          <w:tcPr>
            <w:tcW w:w="717" w:type="dxa"/>
            <w:tcBorders>
              <w:top w:val="nil"/>
              <w:left w:val="nil"/>
              <w:bottom w:val="nil"/>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color w:val="000000"/>
                <w:sz w:val="18"/>
                <w:szCs w:val="18"/>
                <w:lang w:eastAsia="sk-SK"/>
              </w:rPr>
            </w:pPr>
            <w:r w:rsidRPr="00545517">
              <w:rPr>
                <w:rFonts w:ascii="Times New Roman" w:hAnsi="Times New Roman"/>
                <w:color w:val="000000"/>
                <w:sz w:val="18"/>
                <w:szCs w:val="18"/>
                <w:lang w:eastAsia="sk-SK"/>
              </w:rPr>
              <w:t>-</w:t>
            </w:r>
          </w:p>
        </w:tc>
      </w:tr>
      <w:tr>
        <w:tblPrEx>
          <w:tblW w:w="8976" w:type="dxa"/>
          <w:tblCellMar>
            <w:left w:w="70" w:type="dxa"/>
            <w:right w:w="70" w:type="dxa"/>
          </w:tblCellMar>
          <w:tblLook w:val="04A0"/>
        </w:tblPrEx>
        <w:trPr>
          <w:trHeight w:val="293"/>
        </w:trPr>
        <w:tc>
          <w:tcPr>
            <w:tcW w:w="3387" w:type="dxa"/>
            <w:tcBorders>
              <w:top w:val="single" w:sz="4" w:space="0" w:color="auto"/>
              <w:left w:val="nil"/>
              <w:bottom w:val="single" w:sz="8" w:space="0" w:color="auto"/>
              <w:right w:val="nil"/>
            </w:tcBorders>
            <w:shd w:val="clear" w:color="000000" w:fill="FFFFFF"/>
            <w:textDirection w:val="lrTb"/>
            <w:vAlign w:val="center"/>
            <w:hideMark/>
          </w:tcPr>
          <w:p w:rsidR="0058460D" w:rsidRPr="00545517" w:rsidP="00545517">
            <w:pPr>
              <w:bidi w:val="0"/>
              <w:spacing w:after="0" w:line="240" w:lineRule="auto"/>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Spolu príjmy z rozpočtu EÚ</w:t>
            </w:r>
          </w:p>
        </w:tc>
        <w:tc>
          <w:tcPr>
            <w:tcW w:w="968" w:type="dxa"/>
            <w:tcBorders>
              <w:top w:val="single" w:sz="4" w:space="0" w:color="auto"/>
              <w:left w:val="nil"/>
              <w:bottom w:val="single" w:sz="8" w:space="0" w:color="auto"/>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4 288 873</w:t>
            </w:r>
          </w:p>
        </w:tc>
        <w:tc>
          <w:tcPr>
            <w:tcW w:w="967" w:type="dxa"/>
            <w:tcBorders>
              <w:top w:val="single" w:sz="4" w:space="0" w:color="auto"/>
              <w:left w:val="nil"/>
              <w:bottom w:val="single" w:sz="8" w:space="0" w:color="auto"/>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1 947 481</w:t>
            </w:r>
          </w:p>
        </w:tc>
        <w:tc>
          <w:tcPr>
            <w:tcW w:w="929" w:type="dxa"/>
            <w:tcBorders>
              <w:top w:val="single" w:sz="4" w:space="0" w:color="auto"/>
              <w:left w:val="nil"/>
              <w:bottom w:val="single" w:sz="8" w:space="0" w:color="auto"/>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2 655 927</w:t>
            </w:r>
          </w:p>
        </w:tc>
        <w:tc>
          <w:tcPr>
            <w:tcW w:w="1005" w:type="dxa"/>
            <w:tcBorders>
              <w:top w:val="single" w:sz="4" w:space="0" w:color="auto"/>
              <w:left w:val="nil"/>
              <w:bottom w:val="single" w:sz="8" w:space="0" w:color="auto"/>
              <w:right w:val="nil"/>
            </w:tcBorders>
            <w:shd w:val="clear" w:color="auto" w:fill="BFBFB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1 425 572</w:t>
            </w:r>
          </w:p>
        </w:tc>
        <w:tc>
          <w:tcPr>
            <w:tcW w:w="999" w:type="dxa"/>
            <w:tcBorders>
              <w:top w:val="single" w:sz="4" w:space="0" w:color="auto"/>
              <w:left w:val="nil"/>
              <w:bottom w:val="single" w:sz="8" w:space="0" w:color="auto"/>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-1 230 355</w:t>
            </w:r>
          </w:p>
        </w:tc>
        <w:tc>
          <w:tcPr>
            <w:tcW w:w="717" w:type="dxa"/>
            <w:tcBorders>
              <w:top w:val="single" w:sz="4" w:space="0" w:color="auto"/>
              <w:left w:val="nil"/>
              <w:bottom w:val="single" w:sz="8" w:space="0" w:color="auto"/>
              <w:right w:val="nil"/>
            </w:tcBorders>
            <w:shd w:val="clear" w:color="000000" w:fill="FFFFFF"/>
            <w:noWrap/>
            <w:textDirection w:val="lrTb"/>
            <w:vAlign w:val="center"/>
            <w:hideMark/>
          </w:tcPr>
          <w:p w:rsidR="0058460D" w:rsidRPr="00545517" w:rsidP="00545517">
            <w:pPr>
              <w:bidi w:val="0"/>
              <w:spacing w:after="0" w:line="240" w:lineRule="auto"/>
              <w:jc w:val="right"/>
              <w:rPr>
                <w:rFonts w:ascii="Times New Roman" w:hAnsi="Times New Roman"/>
                <w:b/>
                <w:color w:val="000000"/>
                <w:sz w:val="18"/>
                <w:szCs w:val="18"/>
                <w:lang w:eastAsia="sk-SK"/>
              </w:rPr>
            </w:pPr>
            <w:r w:rsidRPr="00545517">
              <w:rPr>
                <w:rFonts w:ascii="Times New Roman" w:hAnsi="Times New Roman"/>
                <w:b/>
                <w:color w:val="000000"/>
                <w:sz w:val="18"/>
                <w:szCs w:val="18"/>
                <w:lang w:eastAsia="sk-SK"/>
              </w:rPr>
              <w:t>-46,3</w:t>
            </w:r>
          </w:p>
        </w:tc>
      </w:tr>
    </w:tbl>
    <w:p w:rsidR="0058460D" w:rsidP="005468EC">
      <w:pPr>
        <w:bidi w:val="0"/>
        <w:rPr>
          <w:rFonts w:ascii="Times New Roman" w:hAnsi="Times New Roman"/>
          <w:sz w:val="18"/>
          <w:szCs w:val="18"/>
        </w:rPr>
      </w:pPr>
      <w:r w:rsidRPr="001444AA">
        <w:rPr>
          <w:rFonts w:ascii="Times New Roman" w:hAnsi="Times New Roman"/>
          <w:i/>
          <w:sz w:val="18"/>
          <w:szCs w:val="18"/>
        </w:rPr>
        <w:t>*Do kategórie programov Európskej územnej spolupráce, t.j. EÚS (CO MF SR) sú zaradené programy Interreg V-A SK-AT 2014-2020 a Interreg V-A SK-CZ 2014-2020.</w:t>
      </w:r>
      <w:r w:rsidR="005468EC">
        <w:rPr>
          <w:rFonts w:ascii="Times New Roman" w:hAnsi="Times New Roman"/>
          <w:i/>
          <w:sz w:val="18"/>
          <w:szCs w:val="18"/>
        </w:rPr>
        <w:t xml:space="preserve">                                                                                              </w:t>
      </w:r>
      <w:r w:rsidRPr="005468EC">
        <w:rPr>
          <w:rFonts w:ascii="Times New Roman" w:hAnsi="Times New Roman"/>
          <w:sz w:val="18"/>
          <w:szCs w:val="18"/>
        </w:rPr>
        <w:t>Zdroj: MF SR</w:t>
      </w:r>
    </w:p>
    <w:p w:rsidR="00225F21" w:rsidRPr="0058460D" w:rsidP="005468EC">
      <w:pPr>
        <w:bidi w:val="0"/>
        <w:rPr>
          <w:rFonts w:ascii="Times New Roman" w:hAnsi="Times New Roman"/>
          <w:sz w:val="16"/>
          <w:szCs w:val="16"/>
        </w:rPr>
      </w:pPr>
    </w:p>
    <w:p w:rsidR="00693173" w:rsidRPr="00B44B20" w:rsidP="00225F21">
      <w:pPr>
        <w:pStyle w:val="Heading3"/>
        <w:numPr>
          <w:ilvl w:val="0"/>
          <w:numId w:val="0"/>
        </w:numPr>
        <w:bidi w:val="0"/>
        <w:ind w:left="709" w:firstLine="0"/>
        <w:rPr>
          <w:rFonts w:hint="default"/>
        </w:rPr>
      </w:pPr>
      <w:bookmarkStart w:id="76" w:name="_Toc512599682"/>
      <w:r w:rsidR="00225F21">
        <w:t xml:space="preserve">3.4.2 </w:t>
      </w:r>
      <w:r w:rsidRPr="00B44B20">
        <w:rPr>
          <w:rFonts w:hint="default"/>
        </w:rPr>
        <w:t>Vý</w:t>
      </w:r>
      <w:r w:rsidRPr="00B44B20">
        <w:rPr>
          <w:rFonts w:hint="default"/>
        </w:rPr>
        <w:t>davky š</w:t>
      </w:r>
      <w:r w:rsidRPr="00B44B20">
        <w:rPr>
          <w:rFonts w:hint="default"/>
        </w:rPr>
        <w:t>tá</w:t>
      </w:r>
      <w:r w:rsidRPr="00B44B20">
        <w:rPr>
          <w:rFonts w:hint="default"/>
        </w:rPr>
        <w:t>tneho rozpoč</w:t>
      </w:r>
      <w:r w:rsidRPr="00B44B20">
        <w:rPr>
          <w:rFonts w:hint="default"/>
        </w:rPr>
        <w:t>tu rozpoč</w:t>
      </w:r>
      <w:r w:rsidRPr="00B44B20">
        <w:rPr>
          <w:rFonts w:hint="default"/>
        </w:rPr>
        <w:t>tov</w:t>
      </w:r>
      <w:r w:rsidRPr="00B44B20">
        <w:rPr>
          <w:rFonts w:hint="default"/>
        </w:rPr>
        <w:t>ané</w:t>
      </w:r>
      <w:r w:rsidRPr="00B44B20">
        <w:rPr>
          <w:rFonts w:hint="default"/>
        </w:rPr>
        <w:t xml:space="preserve"> vo vä</w:t>
      </w:r>
      <w:r w:rsidRPr="00B44B20">
        <w:rPr>
          <w:rFonts w:hint="default"/>
        </w:rPr>
        <w:t>zbe na prí</w:t>
      </w:r>
      <w:r w:rsidRPr="00B44B20">
        <w:rPr>
          <w:rFonts w:hint="default"/>
        </w:rPr>
        <w:t>jmy z </w:t>
      </w:r>
      <w:r w:rsidRPr="00B44B20">
        <w:rPr>
          <w:rFonts w:hint="default"/>
        </w:rPr>
        <w:t>Euró</w:t>
      </w:r>
      <w:r w:rsidRPr="00B44B20">
        <w:rPr>
          <w:rFonts w:hint="default"/>
        </w:rPr>
        <w:t>pskej ú</w:t>
      </w:r>
      <w:r w:rsidRPr="00B44B20">
        <w:rPr>
          <w:rFonts w:hint="default"/>
        </w:rPr>
        <w:t>nie</w:t>
      </w:r>
      <w:bookmarkEnd w:id="75"/>
      <w:bookmarkEnd w:id="76"/>
    </w:p>
    <w:p w:rsidR="005F5C4C" w:rsidRPr="004B0795" w:rsidP="005F5C4C">
      <w:pPr>
        <w:bidi w:val="0"/>
        <w:rPr>
          <w:rFonts w:ascii="Times New Roman" w:hAnsi="Times New Roman"/>
          <w:szCs w:val="22"/>
        </w:rPr>
      </w:pPr>
      <w:bookmarkStart w:id="77" w:name="_Toc479313250"/>
      <w:r w:rsidRPr="004B0795">
        <w:rPr>
          <w:rFonts w:ascii="Times New Roman" w:hAnsi="Times New Roman"/>
          <w:szCs w:val="22"/>
        </w:rPr>
        <w:t xml:space="preserve">Vo väzbe na príjmy z Európskej únie sa v štátnom rozpočte rozpočtujú výdavky za prostriedky EÚ, k nim zodpovedajúce výdavky na spolufinancovanie zo štátneho rozpočtu. </w:t>
      </w:r>
    </w:p>
    <w:p w:rsidR="005F5C4C" w:rsidRPr="004B0795" w:rsidP="005F5C4C">
      <w:pPr>
        <w:bidi w:val="0"/>
        <w:rPr>
          <w:rFonts w:ascii="Times New Roman" w:hAnsi="Times New Roman"/>
          <w:b/>
          <w:szCs w:val="22"/>
        </w:rPr>
      </w:pPr>
      <w:r w:rsidRPr="004B0795">
        <w:rPr>
          <w:rFonts w:ascii="Times New Roman" w:hAnsi="Times New Roman"/>
          <w:b/>
          <w:szCs w:val="22"/>
        </w:rPr>
        <w:t xml:space="preserve">Výdavky za prostriedky EÚ </w:t>
      </w:r>
    </w:p>
    <w:p w:rsidR="005F5C4C" w:rsidRPr="004B0795" w:rsidP="005F5C4C">
      <w:pPr>
        <w:bidi w:val="0"/>
        <w:rPr>
          <w:rFonts w:ascii="Times New Roman" w:hAnsi="Times New Roman"/>
          <w:szCs w:val="22"/>
        </w:rPr>
      </w:pPr>
      <w:r w:rsidRPr="004B0795">
        <w:rPr>
          <w:rFonts w:ascii="Times New Roman" w:hAnsi="Times New Roman"/>
          <w:szCs w:val="22"/>
        </w:rPr>
        <w:t>Výdavky za prostriedky EÚ boli na rok 2017 rozpočtované vo výške 2 655 927 tis. eur, teda v rovnakej výške ako príjmy z rozpočtu EÚ. Skutočné plnenie výdavkov EÚ je vo výške 1</w:t>
      </w:r>
      <w:r w:rsidR="001D5E8A">
        <w:rPr>
          <w:rFonts w:ascii="Times New Roman" w:hAnsi="Times New Roman"/>
          <w:szCs w:val="22"/>
        </w:rPr>
        <w:t> </w:t>
      </w:r>
      <w:r w:rsidRPr="004B0795">
        <w:rPr>
          <w:rFonts w:ascii="Times New Roman" w:hAnsi="Times New Roman"/>
          <w:szCs w:val="22"/>
        </w:rPr>
        <w:t>432</w:t>
      </w:r>
      <w:r w:rsidR="001D5E8A">
        <w:rPr>
          <w:rFonts w:ascii="Times New Roman" w:hAnsi="Times New Roman"/>
          <w:szCs w:val="22"/>
        </w:rPr>
        <w:t> </w:t>
      </w:r>
      <w:r w:rsidRPr="004B0795">
        <w:rPr>
          <w:rFonts w:ascii="Times New Roman" w:hAnsi="Times New Roman"/>
          <w:szCs w:val="22"/>
        </w:rPr>
        <w:t>122</w:t>
      </w:r>
      <w:r w:rsidR="001D5E8A">
        <w:rPr>
          <w:rFonts w:ascii="Times New Roman" w:hAnsi="Times New Roman"/>
          <w:szCs w:val="22"/>
        </w:rPr>
        <w:t> </w:t>
      </w:r>
      <w:r w:rsidRPr="004B0795">
        <w:rPr>
          <w:rFonts w:ascii="Times New Roman" w:hAnsi="Times New Roman"/>
          <w:szCs w:val="22"/>
        </w:rPr>
        <w:t>tis.</w:t>
      </w:r>
      <w:r w:rsidR="001D5E8A">
        <w:rPr>
          <w:rFonts w:ascii="Times New Roman" w:hAnsi="Times New Roman"/>
          <w:szCs w:val="22"/>
        </w:rPr>
        <w:t> </w:t>
      </w:r>
      <w:r w:rsidRPr="004B0795">
        <w:rPr>
          <w:rFonts w:ascii="Times New Roman" w:hAnsi="Times New Roman"/>
          <w:szCs w:val="22"/>
        </w:rPr>
        <w:t>eur.</w:t>
      </w:r>
    </w:p>
    <w:p w:rsidR="005F5C4C" w:rsidRPr="004B0795" w:rsidP="005F5C4C">
      <w:pPr>
        <w:bidi w:val="0"/>
        <w:rPr>
          <w:rFonts w:ascii="Times New Roman" w:hAnsi="Times New Roman"/>
          <w:szCs w:val="22"/>
        </w:rPr>
      </w:pPr>
      <w:r w:rsidRPr="004B0795">
        <w:rPr>
          <w:rFonts w:ascii="Times New Roman" w:hAnsi="Times New Roman"/>
          <w:szCs w:val="22"/>
        </w:rPr>
        <w:t xml:space="preserve">Na rozdiel od schváleného rozpočtu výdavkov z prostriedkov EÚ, ktoré boli zákonom o štátnom rozpočte na rok 2017 vyčlenené pre kapitoly, v ktorých sa nachádzajú platobné jednotky, Pôdohospodárska platobná agentúra a Ministerstvo práce, sociálnych vecí a rodiny SR za Fond pre najodkázanejšie osoby, skutočné čerpanie výdavkov sa prejavuje tiež v rozpočtových kapitolách, v ktorých sa realizujú projekty na úrovni konečných prijímateľov. Na základe uvedeného, sa v niektorých kapitolách prejavuje negatívne saldo príjmov a výdavkov za prostriedky EÚ. </w:t>
      </w:r>
    </w:p>
    <w:p w:rsidR="005F5C4C" w:rsidRPr="004B0795" w:rsidP="005F5C4C">
      <w:pPr>
        <w:bidi w:val="0"/>
        <w:rPr>
          <w:rFonts w:ascii="Times New Roman" w:hAnsi="Times New Roman"/>
          <w:szCs w:val="22"/>
        </w:rPr>
      </w:pPr>
      <w:r w:rsidRPr="004B0795">
        <w:rPr>
          <w:rFonts w:ascii="Times New Roman" w:hAnsi="Times New Roman"/>
          <w:szCs w:val="22"/>
        </w:rPr>
        <w:t>Rozpočet výdavkov za prostriedky EÚ bol v roku 2017 upravený v nadväznosti na vysporiadanie finančných prostriedkov za finančné opravy v zmysle § 15 zákona o rozpočtových pravidlách, v nadväznosti na prijaté oznámenia o výške prostriedkov, ktoré budú použité v nasledujúcich rokoch v zmysle § 8 zákona o rozpočtových pravidlách a v nadväznosti na ostatné viazania prostriedkov v zmysle § 18 zákona o rozpočtových pravidlách.</w:t>
      </w:r>
    </w:p>
    <w:p w:rsidR="005F5C4C" w:rsidRPr="004B0795" w:rsidP="005F5C4C">
      <w:pPr>
        <w:bidi w:val="0"/>
        <w:rPr>
          <w:rFonts w:ascii="Times New Roman" w:hAnsi="Times New Roman"/>
          <w:szCs w:val="22"/>
        </w:rPr>
      </w:pPr>
      <w:r w:rsidRPr="004B0795">
        <w:rPr>
          <w:rFonts w:ascii="Times New Roman" w:hAnsi="Times New Roman"/>
          <w:szCs w:val="22"/>
        </w:rPr>
        <w:t>Po úpravách dosiahol rozpočet úroveň 1 431 494 tis. eur, pričom celkové čerpanie výdavkov za</w:t>
      </w:r>
      <w:r w:rsidR="001D5E8A">
        <w:rPr>
          <w:rFonts w:ascii="Times New Roman" w:hAnsi="Times New Roman"/>
          <w:szCs w:val="22"/>
        </w:rPr>
        <w:t> </w:t>
      </w:r>
      <w:r w:rsidRPr="004B0795">
        <w:rPr>
          <w:rFonts w:ascii="Times New Roman" w:hAnsi="Times New Roman"/>
          <w:szCs w:val="22"/>
        </w:rPr>
        <w:t>prostriedky EÚ v roku 2017 je mierne vyššie</w:t>
      </w:r>
      <w:r w:rsidR="0034534B">
        <w:rPr>
          <w:rFonts w:ascii="Times New Roman" w:hAnsi="Times New Roman"/>
          <w:szCs w:val="22"/>
        </w:rPr>
        <w:t>,</w:t>
      </w:r>
      <w:r w:rsidRPr="004B0795">
        <w:rPr>
          <w:rFonts w:ascii="Times New Roman" w:hAnsi="Times New Roman"/>
          <w:szCs w:val="22"/>
        </w:rPr>
        <w:t xml:space="preserve"> a</w:t>
      </w:r>
      <w:r w:rsidR="00D42FCB">
        <w:rPr>
          <w:rFonts w:ascii="Times New Roman" w:hAnsi="Times New Roman"/>
          <w:szCs w:val="22"/>
        </w:rPr>
        <w:t xml:space="preserve"> </w:t>
      </w:r>
      <w:r w:rsidRPr="004B0795">
        <w:rPr>
          <w:rFonts w:ascii="Times New Roman" w:hAnsi="Times New Roman"/>
          <w:szCs w:val="22"/>
        </w:rPr>
        <w:t>to vo výške 1</w:t>
      </w:r>
      <w:r w:rsidR="001D5E8A">
        <w:rPr>
          <w:rFonts w:ascii="Times New Roman" w:hAnsi="Times New Roman"/>
          <w:szCs w:val="22"/>
        </w:rPr>
        <w:t> </w:t>
      </w:r>
      <w:r w:rsidRPr="004B0795">
        <w:rPr>
          <w:rFonts w:ascii="Times New Roman" w:hAnsi="Times New Roman"/>
          <w:szCs w:val="22"/>
        </w:rPr>
        <w:t>432</w:t>
      </w:r>
      <w:r w:rsidR="001D5E8A">
        <w:rPr>
          <w:rFonts w:ascii="Times New Roman" w:hAnsi="Times New Roman"/>
          <w:szCs w:val="22"/>
        </w:rPr>
        <w:t> </w:t>
      </w:r>
      <w:r w:rsidRPr="004B0795">
        <w:rPr>
          <w:rFonts w:ascii="Times New Roman" w:hAnsi="Times New Roman"/>
          <w:szCs w:val="22"/>
        </w:rPr>
        <w:t>122 tis. eur.</w:t>
      </w:r>
    </w:p>
    <w:p w:rsidR="005F5C4C" w:rsidRPr="00DA41AE" w:rsidP="005F5C4C">
      <w:pPr>
        <w:bidi w:val="0"/>
        <w:rPr>
          <w:rFonts w:ascii="Times New Roman" w:hAnsi="Times New Roman"/>
          <w:szCs w:val="22"/>
        </w:rPr>
      </w:pPr>
      <w:r w:rsidRPr="00DA41AE">
        <w:rPr>
          <w:rFonts w:ascii="Times New Roman" w:hAnsi="Times New Roman"/>
          <w:szCs w:val="22"/>
        </w:rPr>
        <w:t>Čerpanie výdavkov za prostriedky EÚ v roku 2017 za štrukturálne operácie 2. a</w:t>
      </w:r>
      <w:r w:rsidR="001D5E8A">
        <w:rPr>
          <w:rFonts w:ascii="Times New Roman" w:hAnsi="Times New Roman"/>
          <w:szCs w:val="22"/>
        </w:rPr>
        <w:t xml:space="preserve"> </w:t>
      </w:r>
      <w:r w:rsidRPr="00DA41AE">
        <w:rPr>
          <w:rFonts w:ascii="Times New Roman" w:hAnsi="Times New Roman"/>
          <w:szCs w:val="22"/>
        </w:rPr>
        <w:t>3. programového obdobia je mierne vyššie ako upravený rozpočet a predstavuje sumu 846</w:t>
      </w:r>
      <w:r w:rsidR="001D5E8A">
        <w:rPr>
          <w:rFonts w:ascii="Times New Roman" w:hAnsi="Times New Roman"/>
          <w:szCs w:val="22"/>
        </w:rPr>
        <w:t> </w:t>
      </w:r>
      <w:r w:rsidRPr="00DA41AE">
        <w:rPr>
          <w:rFonts w:ascii="Times New Roman" w:hAnsi="Times New Roman"/>
          <w:szCs w:val="22"/>
        </w:rPr>
        <w:t>396</w:t>
      </w:r>
      <w:r w:rsidR="001D5E8A">
        <w:rPr>
          <w:rFonts w:ascii="Times New Roman" w:hAnsi="Times New Roman"/>
          <w:szCs w:val="22"/>
        </w:rPr>
        <w:t> </w:t>
      </w:r>
      <w:r w:rsidRPr="00DA41AE">
        <w:rPr>
          <w:rFonts w:ascii="Times New Roman" w:hAnsi="Times New Roman"/>
          <w:szCs w:val="22"/>
        </w:rPr>
        <w:t>tis.</w:t>
      </w:r>
      <w:r w:rsidR="001D5E8A">
        <w:rPr>
          <w:rFonts w:ascii="Times New Roman" w:hAnsi="Times New Roman"/>
          <w:szCs w:val="22"/>
        </w:rPr>
        <w:t> </w:t>
      </w:r>
      <w:r w:rsidRPr="00DA41AE">
        <w:rPr>
          <w:rFonts w:ascii="Times New Roman" w:hAnsi="Times New Roman"/>
          <w:szCs w:val="22"/>
        </w:rPr>
        <w:t xml:space="preserve">eur. Vyššie čerpanie oproti upravenému rozpočtu sa prejavilo v kapitolách Ministerstva financií SR, Ministerstva kultúry SR, Ministerstva školstva, vedy, výskumu a športu SR, Ministerstva pôdohospodárstva a rozvoja vidieka SR a Slovenskej akadémie vied vzhľadom k tomu, že jednotlivé rozpočtové organizácie prijali finančné prostriedky od hlavných partnerov projektov </w:t>
      </w:r>
      <w:r w:rsidR="002A7C63">
        <w:rPr>
          <w:rFonts w:ascii="Times New Roman" w:hAnsi="Times New Roman"/>
          <w:szCs w:val="22"/>
        </w:rPr>
        <w:br/>
      </w:r>
      <w:r w:rsidRPr="00DA41AE">
        <w:rPr>
          <w:rFonts w:ascii="Times New Roman" w:hAnsi="Times New Roman"/>
          <w:szCs w:val="22"/>
        </w:rPr>
        <w:t>na mimorozpočtový účet v zmysle § 23 ods.1 písm. c) zákona o rozpočtových pravidlách.</w:t>
      </w:r>
    </w:p>
    <w:p w:rsidR="005F5C4C" w:rsidP="005F5C4C">
      <w:pPr>
        <w:bidi w:val="0"/>
        <w:rPr>
          <w:rFonts w:ascii="Times New Roman" w:hAnsi="Times New Roman"/>
          <w:szCs w:val="22"/>
        </w:rPr>
      </w:pPr>
      <w:r w:rsidRPr="00957859">
        <w:rPr>
          <w:rFonts w:ascii="Times New Roman" w:hAnsi="Times New Roman"/>
          <w:szCs w:val="22"/>
        </w:rPr>
        <w:t xml:space="preserve">Skutočné plnenie výdavkov za </w:t>
      </w:r>
      <w:r w:rsidRPr="00D9125B">
        <w:rPr>
          <w:rFonts w:ascii="Times New Roman" w:hAnsi="Times New Roman"/>
          <w:szCs w:val="22"/>
        </w:rPr>
        <w:t xml:space="preserve">prostriedky EÚ vo výške 1 432 122 tis. eur predstavuje plnenie </w:t>
      </w:r>
      <w:r w:rsidR="002A7C63">
        <w:rPr>
          <w:rFonts w:ascii="Times New Roman" w:hAnsi="Times New Roman"/>
          <w:szCs w:val="22"/>
        </w:rPr>
        <w:br/>
      </w:r>
      <w:r w:rsidRPr="00D9125B">
        <w:rPr>
          <w:rFonts w:ascii="Times New Roman" w:hAnsi="Times New Roman"/>
          <w:szCs w:val="22"/>
        </w:rPr>
        <w:t xml:space="preserve">na úrovni 100 % z upraveného rozpočtu. Výdavky za štrukturálne operácie, pri ktorých plní úlohu certifikačného orgánu Ministerstvo financií SR sú vo výške 834 461 tis. eur (z toho štrukturálne fondy 2. programového obdobia v sume 320 tis. eur, štrukturálne fondy 3. programového obdobia v sume 452 298 tis. eur, Kohézny fond 3. programového obdobia v sume 381 843 tis. eur). </w:t>
      </w:r>
      <w:r>
        <w:rPr>
          <w:rFonts w:ascii="Times New Roman" w:hAnsi="Times New Roman"/>
          <w:szCs w:val="22"/>
        </w:rPr>
        <w:t>Výdavky</w:t>
      </w:r>
      <w:r w:rsidRPr="00D9125B">
        <w:rPr>
          <w:rFonts w:ascii="Times New Roman" w:hAnsi="Times New Roman"/>
          <w:szCs w:val="22"/>
        </w:rPr>
        <w:t xml:space="preserve"> za štrukturálne operácie, pri ktorých plní úlohu certifikačné</w:t>
      </w:r>
      <w:r>
        <w:rPr>
          <w:rFonts w:ascii="Times New Roman" w:hAnsi="Times New Roman"/>
          <w:szCs w:val="22"/>
        </w:rPr>
        <w:t>ho</w:t>
      </w:r>
      <w:r w:rsidRPr="00D9125B">
        <w:rPr>
          <w:rFonts w:ascii="Times New Roman" w:hAnsi="Times New Roman"/>
          <w:szCs w:val="22"/>
        </w:rPr>
        <w:t xml:space="preserve"> orgánu Ministerstvo práce, sociálnych vecí a rodiny SR sú v sume 11 935 tis. eur. </w:t>
      </w:r>
      <w:r>
        <w:rPr>
          <w:rFonts w:ascii="Times New Roman" w:hAnsi="Times New Roman"/>
          <w:szCs w:val="22"/>
        </w:rPr>
        <w:t>Výdavk</w:t>
      </w:r>
      <w:r w:rsidRPr="00D9125B">
        <w:rPr>
          <w:rFonts w:ascii="Times New Roman" w:hAnsi="Times New Roman"/>
          <w:szCs w:val="22"/>
        </w:rPr>
        <w:t>y za poľnohospodárske fondy boli vo výške 585 726 tis. eur (z toho za Európsky poľnohospodársky fond rozvoja vidieka v sume 171</w:t>
      </w:r>
      <w:r w:rsidR="001D5E8A">
        <w:rPr>
          <w:rFonts w:ascii="Times New Roman" w:hAnsi="Times New Roman"/>
          <w:szCs w:val="22"/>
        </w:rPr>
        <w:t> </w:t>
      </w:r>
      <w:r w:rsidRPr="00D9125B">
        <w:rPr>
          <w:rFonts w:ascii="Times New Roman" w:hAnsi="Times New Roman"/>
          <w:szCs w:val="22"/>
        </w:rPr>
        <w:t>437</w:t>
      </w:r>
      <w:r w:rsidR="001D5E8A">
        <w:rPr>
          <w:rFonts w:ascii="Times New Roman" w:hAnsi="Times New Roman"/>
          <w:szCs w:val="22"/>
        </w:rPr>
        <w:t> </w:t>
      </w:r>
      <w:r w:rsidRPr="00D9125B">
        <w:rPr>
          <w:rFonts w:ascii="Times New Roman" w:hAnsi="Times New Roman"/>
          <w:szCs w:val="22"/>
        </w:rPr>
        <w:t>tis.</w:t>
      </w:r>
      <w:r w:rsidR="001D5E8A">
        <w:rPr>
          <w:rFonts w:ascii="Times New Roman" w:hAnsi="Times New Roman"/>
          <w:szCs w:val="22"/>
        </w:rPr>
        <w:t> </w:t>
      </w:r>
      <w:r w:rsidRPr="00D9125B">
        <w:rPr>
          <w:rFonts w:ascii="Times New Roman" w:hAnsi="Times New Roman"/>
          <w:szCs w:val="22"/>
        </w:rPr>
        <w:t>eur a za Európsky poľnohospodársky záručný fond v sume 414 289 tis. eur).</w:t>
      </w:r>
      <w:r w:rsidRPr="000A7E3E">
        <w:rPr>
          <w:rFonts w:ascii="Times New Roman" w:hAnsi="Times New Roman"/>
          <w:szCs w:val="22"/>
        </w:rPr>
        <w:t xml:space="preserve"> </w:t>
      </w:r>
    </w:p>
    <w:p w:rsidR="002A7C63" w:rsidP="005F5C4C">
      <w:pPr>
        <w:bidi w:val="0"/>
        <w:rPr>
          <w:rFonts w:ascii="Times New Roman" w:hAnsi="Times New Roman"/>
          <w:szCs w:val="22"/>
        </w:rPr>
      </w:pPr>
    </w:p>
    <w:tbl>
      <w:tblPr>
        <w:tblStyle w:val="TableNormal"/>
        <w:tblW w:w="4994" w:type="pct"/>
        <w:tblLayout w:type="fixed"/>
        <w:tblCellMar>
          <w:left w:w="70" w:type="dxa"/>
          <w:right w:w="70" w:type="dxa"/>
        </w:tblCellMar>
        <w:tblLook w:val="04A0"/>
      </w:tblPr>
      <w:tblGrid>
        <w:gridCol w:w="3317"/>
        <w:gridCol w:w="1038"/>
        <w:gridCol w:w="968"/>
        <w:gridCol w:w="967"/>
        <w:gridCol w:w="1107"/>
        <w:gridCol w:w="967"/>
        <w:gridCol w:w="553"/>
      </w:tblGrid>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000000"/>
            <w:noWrap/>
            <w:textDirection w:val="lrTb"/>
            <w:vAlign w:val="bottom"/>
            <w:hideMark/>
          </w:tcPr>
          <w:p w:rsidR="00B44B20" w:rsidRPr="00B44B20" w:rsidP="00A53751">
            <w:pPr>
              <w:bidi w:val="0"/>
              <w:spacing w:after="0" w:line="240" w:lineRule="auto"/>
              <w:rPr>
                <w:rFonts w:ascii="Times New Roman" w:hAnsi="Times New Roman"/>
                <w:b/>
                <w:sz w:val="18"/>
                <w:szCs w:val="18"/>
              </w:rPr>
            </w:pPr>
            <w:r w:rsidRPr="00B44B20" w:rsidR="003952AC">
              <w:rPr>
                <w:rFonts w:ascii="Times New Roman" w:hAnsi="Times New Roman"/>
                <w:b/>
                <w:sz w:val="18"/>
                <w:szCs w:val="18"/>
              </w:rPr>
              <w:t>Výdavky za prostriedky EÚ</w:t>
            </w:r>
          </w:p>
        </w:tc>
        <w:tc>
          <w:tcPr>
            <w:tcW w:w="582" w:type="pct"/>
            <w:tcBorders>
              <w:top w:val="nil"/>
              <w:left w:val="nil"/>
              <w:bottom w:val="nil"/>
              <w:right w:val="nil"/>
            </w:tcBorders>
            <w:shd w:val="clear" w:color="000000" w:fill="000000"/>
            <w:noWrap/>
            <w:textDirection w:val="lrTb"/>
            <w:vAlign w:val="bottom"/>
            <w:hideMark/>
          </w:tcPr>
          <w:p w:rsidR="003952AC" w:rsidRPr="00B44B20" w:rsidP="005F5C4C">
            <w:pPr>
              <w:bidi w:val="0"/>
              <w:spacing w:after="0" w:line="240" w:lineRule="auto"/>
              <w:rPr>
                <w:rFonts w:ascii="Times New Roman" w:hAnsi="Times New Roman"/>
                <w:b/>
                <w:sz w:val="18"/>
                <w:szCs w:val="18"/>
              </w:rPr>
            </w:pPr>
          </w:p>
        </w:tc>
        <w:tc>
          <w:tcPr>
            <w:tcW w:w="543" w:type="pct"/>
            <w:tcBorders>
              <w:top w:val="nil"/>
              <w:left w:val="nil"/>
              <w:bottom w:val="nil"/>
              <w:right w:val="nil"/>
            </w:tcBorders>
            <w:shd w:val="clear" w:color="000000" w:fill="000000"/>
            <w:noWrap/>
            <w:textDirection w:val="lrTb"/>
            <w:vAlign w:val="bottom"/>
            <w:hideMark/>
          </w:tcPr>
          <w:p w:rsidR="003952AC" w:rsidRPr="00B44B20" w:rsidP="005F5C4C">
            <w:pPr>
              <w:bidi w:val="0"/>
              <w:spacing w:after="0" w:line="240" w:lineRule="auto"/>
              <w:rPr>
                <w:rFonts w:ascii="Times New Roman" w:hAnsi="Times New Roman"/>
                <w:b/>
                <w:sz w:val="18"/>
                <w:szCs w:val="18"/>
              </w:rPr>
            </w:pPr>
          </w:p>
        </w:tc>
        <w:tc>
          <w:tcPr>
            <w:tcW w:w="542" w:type="pct"/>
            <w:tcBorders>
              <w:top w:val="nil"/>
              <w:left w:val="nil"/>
              <w:bottom w:val="nil"/>
              <w:right w:val="nil"/>
            </w:tcBorders>
            <w:shd w:val="clear" w:color="000000" w:fill="000000"/>
            <w:noWrap/>
            <w:textDirection w:val="lrTb"/>
            <w:vAlign w:val="bottom"/>
            <w:hideMark/>
          </w:tcPr>
          <w:p w:rsidR="003952AC" w:rsidRPr="00B44B20" w:rsidP="005F5C4C">
            <w:pPr>
              <w:bidi w:val="0"/>
              <w:spacing w:after="0" w:line="240" w:lineRule="auto"/>
              <w:rPr>
                <w:rFonts w:ascii="Times New Roman" w:hAnsi="Times New Roman"/>
                <w:b/>
                <w:sz w:val="18"/>
                <w:szCs w:val="18"/>
              </w:rPr>
            </w:pPr>
          </w:p>
        </w:tc>
        <w:tc>
          <w:tcPr>
            <w:tcW w:w="1473" w:type="pct"/>
            <w:gridSpan w:val="3"/>
            <w:tcBorders>
              <w:top w:val="nil"/>
              <w:left w:val="nil"/>
              <w:bottom w:val="nil"/>
              <w:right w:val="nil"/>
            </w:tcBorders>
            <w:shd w:val="clear" w:color="000000" w:fill="000000"/>
            <w:noWrap/>
            <w:textDirection w:val="lrTb"/>
            <w:vAlign w:val="bottom"/>
            <w:hideMark/>
          </w:tcPr>
          <w:p w:rsidR="003952AC" w:rsidRPr="00B44B20" w:rsidP="001D5E8A">
            <w:pPr>
              <w:bidi w:val="0"/>
              <w:spacing w:after="0" w:line="240" w:lineRule="auto"/>
              <w:jc w:val="right"/>
              <w:rPr>
                <w:rFonts w:ascii="Times New Roman" w:hAnsi="Times New Roman"/>
                <w:b/>
                <w:sz w:val="18"/>
                <w:szCs w:val="18"/>
              </w:rPr>
            </w:pPr>
            <w:r w:rsidRPr="00B44B20">
              <w:rPr>
                <w:rFonts w:ascii="Times New Roman" w:hAnsi="Times New Roman"/>
                <w:b/>
                <w:sz w:val="18"/>
                <w:szCs w:val="18"/>
              </w:rPr>
              <w:t>v tis. eur</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1125" w:type="pct"/>
            <w:gridSpan w:val="2"/>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542"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Rozpočet</w:t>
            </w:r>
          </w:p>
        </w:tc>
        <w:tc>
          <w:tcPr>
            <w:tcW w:w="621"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852" w:type="pct"/>
            <w:gridSpan w:val="2"/>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Rozdiel</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582"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2015</w:t>
            </w:r>
          </w:p>
        </w:tc>
        <w:tc>
          <w:tcPr>
            <w:tcW w:w="543"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2016</w:t>
            </w:r>
          </w:p>
        </w:tc>
        <w:tc>
          <w:tcPr>
            <w:tcW w:w="542"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621"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542"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tis. eur</w:t>
            </w:r>
          </w:p>
        </w:tc>
        <w:tc>
          <w:tcPr>
            <w:tcW w:w="310" w:type="pct"/>
            <w:tcBorders>
              <w:top w:val="nil"/>
              <w:left w:val="nil"/>
              <w:bottom w:val="nil"/>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w:t>
            </w:r>
          </w:p>
        </w:tc>
      </w:tr>
      <w:tr>
        <w:tblPrEx>
          <w:tblW w:w="4994" w:type="pct"/>
          <w:tblLayout w:type="fixed"/>
          <w:tblCellMar>
            <w:left w:w="70" w:type="dxa"/>
            <w:right w:w="70" w:type="dxa"/>
          </w:tblCellMar>
          <w:tblLook w:val="04A0"/>
        </w:tblPrEx>
        <w:trPr>
          <w:trHeight w:val="341"/>
        </w:trPr>
        <w:tc>
          <w:tcPr>
            <w:tcW w:w="1860"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582"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1</w:t>
            </w:r>
          </w:p>
        </w:tc>
        <w:tc>
          <w:tcPr>
            <w:tcW w:w="543"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2</w:t>
            </w:r>
          </w:p>
        </w:tc>
        <w:tc>
          <w:tcPr>
            <w:tcW w:w="542"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3</w:t>
            </w:r>
          </w:p>
        </w:tc>
        <w:tc>
          <w:tcPr>
            <w:tcW w:w="621"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4</w:t>
            </w:r>
          </w:p>
        </w:tc>
        <w:tc>
          <w:tcPr>
            <w:tcW w:w="542"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5=4-3</w:t>
            </w:r>
          </w:p>
        </w:tc>
        <w:tc>
          <w:tcPr>
            <w:tcW w:w="310" w:type="pct"/>
            <w:tcBorders>
              <w:top w:val="nil"/>
              <w:left w:val="nil"/>
              <w:bottom w:val="single" w:sz="8" w:space="0" w:color="auto"/>
              <w:right w:val="nil"/>
            </w:tcBorders>
            <w:shd w:val="clear" w:color="000000" w:fill="BFBFBF"/>
            <w:textDirection w:val="lrTb"/>
            <w:vAlign w:val="center"/>
            <w:hideMark/>
          </w:tcPr>
          <w:p w:rsidR="005F5C4C" w:rsidRPr="00B44B20" w:rsidP="001D5E8A">
            <w:pPr>
              <w:bidi w:val="0"/>
              <w:spacing w:after="0" w:line="240" w:lineRule="auto"/>
              <w:jc w:val="center"/>
              <w:rPr>
                <w:rFonts w:ascii="Times New Roman" w:hAnsi="Times New Roman"/>
                <w:b/>
                <w:sz w:val="18"/>
                <w:szCs w:val="18"/>
              </w:rPr>
            </w:pPr>
            <w:r w:rsidRPr="00B44B20">
              <w:rPr>
                <w:rFonts w:ascii="Times New Roman" w:hAnsi="Times New Roman"/>
                <w:b/>
                <w:sz w:val="18"/>
                <w:szCs w:val="18"/>
              </w:rPr>
              <w:t>6=4-3</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Poľnohospodárske fondy 2. programové obdobie</w:t>
            </w:r>
          </w:p>
        </w:tc>
        <w:tc>
          <w:tcPr>
            <w:tcW w:w="58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236 487</w:t>
            </w:r>
          </w:p>
        </w:tc>
        <w:tc>
          <w:tcPr>
            <w:tcW w:w="543"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22</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Poľnohospodárske fondy 3. programové obdobie</w:t>
            </w:r>
          </w:p>
        </w:tc>
        <w:tc>
          <w:tcPr>
            <w:tcW w:w="582"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431 864</w:t>
            </w:r>
          </w:p>
        </w:tc>
        <w:tc>
          <w:tcPr>
            <w:tcW w:w="543"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528 321</w:t>
            </w:r>
          </w:p>
        </w:tc>
        <w:tc>
          <w:tcPr>
            <w:tcW w:w="542"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810 960</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585 726</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-225 234</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-27,8</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A53751" w:rsidP="00545517">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Poľnohospodárske fondy spolu - MPRV SR</w:t>
            </w:r>
          </w:p>
        </w:tc>
        <w:tc>
          <w:tcPr>
            <w:tcW w:w="58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668 351</w:t>
            </w:r>
          </w:p>
        </w:tc>
        <w:tc>
          <w:tcPr>
            <w:tcW w:w="543"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528 343</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810 960</w:t>
            </w:r>
          </w:p>
        </w:tc>
        <w:tc>
          <w:tcPr>
            <w:tcW w:w="621"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585 726</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-225 234</w:t>
            </w:r>
          </w:p>
        </w:tc>
        <w:tc>
          <w:tcPr>
            <w:tcW w:w="31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-27,8</w:t>
            </w:r>
          </w:p>
        </w:tc>
      </w:tr>
      <w:tr>
        <w:tblPrEx>
          <w:tblW w:w="4994" w:type="pct"/>
          <w:tblLayout w:type="fixed"/>
          <w:tblCellMar>
            <w:left w:w="70" w:type="dxa"/>
            <w:right w:w="70" w:type="dxa"/>
          </w:tblCellMar>
          <w:tblLook w:val="04A0"/>
        </w:tblPrEx>
        <w:trPr>
          <w:trHeight w:val="504"/>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 xml:space="preserve">Štrukturálne fondy, Kohézny fond, Európsky fond pre rybné hospodárstvo 2. programové obdobie </w:t>
            </w:r>
          </w:p>
        </w:tc>
        <w:tc>
          <w:tcPr>
            <w:tcW w:w="58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3 612 939</w:t>
            </w:r>
          </w:p>
        </w:tc>
        <w:tc>
          <w:tcPr>
            <w:tcW w:w="543"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663 243</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320</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320</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w:t>
            </w:r>
          </w:p>
        </w:tc>
      </w:tr>
      <w:tr>
        <w:tblPrEx>
          <w:tblW w:w="4994" w:type="pct"/>
          <w:tblLayout w:type="fixed"/>
          <w:tblCellMar>
            <w:left w:w="70" w:type="dxa"/>
            <w:right w:w="70" w:type="dxa"/>
          </w:tblCellMar>
          <w:tblLook w:val="04A0"/>
        </w:tblPrEx>
        <w:trPr>
          <w:trHeight w:val="608"/>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 xml:space="preserve">Štrukturálne fondy, Kohézny fond, Európsky námorný a rybársky fond 3. programové obdobie </w:t>
            </w:r>
          </w:p>
        </w:tc>
        <w:tc>
          <w:tcPr>
            <w:tcW w:w="58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39 076</w:t>
            </w:r>
          </w:p>
        </w:tc>
        <w:tc>
          <w:tcPr>
            <w:tcW w:w="543"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555 159</w:t>
            </w:r>
          </w:p>
        </w:tc>
        <w:tc>
          <w:tcPr>
            <w:tcW w:w="542"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1 830 526</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834 141</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-996 385</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-54,4</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Programy EÚS 3. programové obdobie (CO MF SR)</w:t>
            </w:r>
          </w:p>
        </w:tc>
        <w:tc>
          <w:tcPr>
            <w:tcW w:w="58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543"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2 946</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-2 946</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-100,0</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A53751" w:rsidP="00545517">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Štrukturálne operácie - MF SR</w:t>
            </w:r>
          </w:p>
        </w:tc>
        <w:tc>
          <w:tcPr>
            <w:tcW w:w="58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3 652 015</w:t>
            </w:r>
          </w:p>
        </w:tc>
        <w:tc>
          <w:tcPr>
            <w:tcW w:w="543"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1 218 402</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1 833 472</w:t>
            </w:r>
          </w:p>
        </w:tc>
        <w:tc>
          <w:tcPr>
            <w:tcW w:w="621"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834 461</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-999 011</w:t>
            </w:r>
          </w:p>
        </w:tc>
        <w:tc>
          <w:tcPr>
            <w:tcW w:w="31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-54,5</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B44B20" w:rsidP="00545517">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OP Sociálneho začlenenia najodkázanejších osôb</w:t>
            </w:r>
          </w:p>
        </w:tc>
        <w:tc>
          <w:tcPr>
            <w:tcW w:w="58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543"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6 539</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11 495</w:t>
            </w:r>
          </w:p>
        </w:tc>
        <w:tc>
          <w:tcPr>
            <w:tcW w:w="621"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11 935</w:t>
            </w:r>
          </w:p>
        </w:tc>
        <w:tc>
          <w:tcPr>
            <w:tcW w:w="542"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440</w:t>
            </w:r>
          </w:p>
        </w:tc>
        <w:tc>
          <w:tcPr>
            <w:tcW w:w="31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3,8</w:t>
            </w:r>
          </w:p>
        </w:tc>
      </w:tr>
      <w:tr>
        <w:tblPrEx>
          <w:tblW w:w="4994" w:type="pct"/>
          <w:tblLayout w:type="fixed"/>
          <w:tblCellMar>
            <w:left w:w="70" w:type="dxa"/>
            <w:right w:w="70" w:type="dxa"/>
          </w:tblCellMar>
          <w:tblLook w:val="04A0"/>
        </w:tblPrEx>
        <w:trPr>
          <w:trHeight w:val="326"/>
        </w:trPr>
        <w:tc>
          <w:tcPr>
            <w:tcW w:w="1860" w:type="pct"/>
            <w:tcBorders>
              <w:top w:val="nil"/>
              <w:left w:val="nil"/>
              <w:bottom w:val="nil"/>
              <w:right w:val="nil"/>
            </w:tcBorders>
            <w:shd w:val="clear" w:color="000000" w:fill="FFFFFF"/>
            <w:textDirection w:val="lrTb"/>
            <w:vAlign w:val="center"/>
            <w:hideMark/>
          </w:tcPr>
          <w:p w:rsidR="005F5C4C" w:rsidRPr="00A53751" w:rsidP="00545517">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Štrukturálne operácie - MPSVR SR</w:t>
            </w:r>
          </w:p>
        </w:tc>
        <w:tc>
          <w:tcPr>
            <w:tcW w:w="58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0</w:t>
            </w:r>
          </w:p>
        </w:tc>
        <w:tc>
          <w:tcPr>
            <w:tcW w:w="543"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6 539</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11 495</w:t>
            </w:r>
          </w:p>
        </w:tc>
        <w:tc>
          <w:tcPr>
            <w:tcW w:w="621"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11 935</w:t>
            </w:r>
          </w:p>
        </w:tc>
        <w:tc>
          <w:tcPr>
            <w:tcW w:w="542"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440</w:t>
            </w:r>
          </w:p>
        </w:tc>
        <w:tc>
          <w:tcPr>
            <w:tcW w:w="31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3,8</w:t>
            </w:r>
          </w:p>
        </w:tc>
      </w:tr>
      <w:tr>
        <w:tblPrEx>
          <w:tblW w:w="4994" w:type="pct"/>
          <w:tblLayout w:type="fixed"/>
          <w:tblCellMar>
            <w:left w:w="70" w:type="dxa"/>
            <w:right w:w="70" w:type="dxa"/>
          </w:tblCellMar>
          <w:tblLook w:val="04A0"/>
        </w:tblPrEx>
        <w:trPr>
          <w:trHeight w:val="341"/>
        </w:trPr>
        <w:tc>
          <w:tcPr>
            <w:tcW w:w="1860" w:type="pct"/>
            <w:tcBorders>
              <w:top w:val="single" w:sz="4" w:space="0" w:color="auto"/>
              <w:left w:val="nil"/>
              <w:bottom w:val="single" w:sz="8" w:space="0" w:color="auto"/>
              <w:right w:val="nil"/>
            </w:tcBorders>
            <w:shd w:val="clear" w:color="000000" w:fill="FFFFFF"/>
            <w:textDirection w:val="lrTb"/>
            <w:vAlign w:val="center"/>
            <w:hideMark/>
          </w:tcPr>
          <w:p w:rsidR="005F5C4C" w:rsidRPr="00A53751" w:rsidP="00545517">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Spolu výdavky za prostriedky EÚ</w:t>
            </w:r>
          </w:p>
        </w:tc>
        <w:tc>
          <w:tcPr>
            <w:tcW w:w="582"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4 320 366</w:t>
            </w:r>
          </w:p>
        </w:tc>
        <w:tc>
          <w:tcPr>
            <w:tcW w:w="543"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1 753 284</w:t>
            </w:r>
          </w:p>
        </w:tc>
        <w:tc>
          <w:tcPr>
            <w:tcW w:w="542"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2 655 927</w:t>
            </w:r>
          </w:p>
        </w:tc>
        <w:tc>
          <w:tcPr>
            <w:tcW w:w="621" w:type="pct"/>
            <w:tcBorders>
              <w:top w:val="single" w:sz="4" w:space="0" w:color="auto"/>
              <w:left w:val="nil"/>
              <w:bottom w:val="single" w:sz="8" w:space="0" w:color="auto"/>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1 432 122</w:t>
            </w:r>
          </w:p>
        </w:tc>
        <w:tc>
          <w:tcPr>
            <w:tcW w:w="542"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-1 223 805</w:t>
            </w:r>
          </w:p>
        </w:tc>
        <w:tc>
          <w:tcPr>
            <w:tcW w:w="310"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-46,1</w:t>
            </w:r>
          </w:p>
        </w:tc>
      </w:tr>
    </w:tbl>
    <w:p w:rsidR="005F5C4C" w:rsidRPr="003952AC" w:rsidP="005F5C4C">
      <w:pPr>
        <w:bidi w:val="0"/>
        <w:jc w:val="right"/>
        <w:rPr>
          <w:rFonts w:ascii="Times New Roman" w:hAnsi="Times New Roman"/>
          <w:b/>
          <w:szCs w:val="22"/>
        </w:rPr>
      </w:pPr>
      <w:r w:rsidRPr="003952AC">
        <w:rPr>
          <w:rFonts w:ascii="Times New Roman" w:hAnsi="Times New Roman"/>
          <w:sz w:val="18"/>
          <w:szCs w:val="18"/>
        </w:rPr>
        <w:t>Zdroj: MF SR</w:t>
      </w:r>
      <w:r w:rsidRPr="003952AC">
        <w:rPr>
          <w:rFonts w:ascii="Times New Roman" w:hAnsi="Times New Roman"/>
          <w:b/>
          <w:szCs w:val="22"/>
        </w:rPr>
        <w:t xml:space="preserve"> </w:t>
      </w:r>
    </w:p>
    <w:p w:rsidR="005F5C4C" w:rsidRPr="00801CCB" w:rsidP="005F5C4C">
      <w:pPr>
        <w:tabs>
          <w:tab w:val="left" w:pos="284"/>
        </w:tabs>
        <w:bidi w:val="0"/>
        <w:rPr>
          <w:rFonts w:ascii="Times New Roman" w:hAnsi="Times New Roman"/>
          <w:b/>
          <w:szCs w:val="22"/>
        </w:rPr>
      </w:pPr>
      <w:r w:rsidRPr="00801CCB">
        <w:rPr>
          <w:rFonts w:ascii="Times New Roman" w:hAnsi="Times New Roman"/>
          <w:b/>
          <w:szCs w:val="22"/>
        </w:rPr>
        <w:t xml:space="preserve">Výdavky na spolufinancovanie zo ŠR </w:t>
      </w:r>
    </w:p>
    <w:p w:rsidR="005F5C4C" w:rsidRPr="008E1258" w:rsidP="005F5C4C">
      <w:pPr>
        <w:bidi w:val="0"/>
        <w:rPr>
          <w:rFonts w:ascii="Times New Roman" w:hAnsi="Times New Roman"/>
          <w:szCs w:val="22"/>
          <w:highlight w:val="yellow"/>
        </w:rPr>
      </w:pPr>
      <w:r w:rsidRPr="00801CCB">
        <w:rPr>
          <w:rFonts w:ascii="Times New Roman" w:hAnsi="Times New Roman"/>
          <w:szCs w:val="22"/>
        </w:rPr>
        <w:t>boli rozpočtované vo výške 530 859 tis. eur, z toho prostriedky na spolufinancovanie zo ŠR k</w:t>
      </w:r>
      <w:r w:rsidR="003952AC">
        <w:rPr>
          <w:rFonts w:ascii="Times New Roman" w:hAnsi="Times New Roman"/>
          <w:szCs w:val="22"/>
        </w:rPr>
        <w:t> </w:t>
      </w:r>
      <w:r w:rsidRPr="00801CCB">
        <w:rPr>
          <w:rFonts w:ascii="Times New Roman" w:hAnsi="Times New Roman"/>
          <w:szCs w:val="22"/>
        </w:rPr>
        <w:t xml:space="preserve">prostriedkom EÚ vo výške </w:t>
      </w:r>
      <w:r>
        <w:rPr>
          <w:rFonts w:ascii="Times New Roman" w:hAnsi="Times New Roman"/>
          <w:szCs w:val="22"/>
        </w:rPr>
        <w:t xml:space="preserve">523 </w:t>
      </w:r>
      <w:r w:rsidRPr="00801CCB">
        <w:rPr>
          <w:rFonts w:ascii="Times New Roman" w:hAnsi="Times New Roman"/>
          <w:szCs w:val="22"/>
        </w:rPr>
        <w:t>390 tis. eur, prostriedky na spolufinancovanie k zahraničným grantom a prostriedkom poskytnutým na základe medzinárodných zmlúv vo výške 4</w:t>
      </w:r>
      <w:r w:rsidR="003952AC">
        <w:rPr>
          <w:rFonts w:ascii="Times New Roman" w:hAnsi="Times New Roman"/>
          <w:szCs w:val="22"/>
        </w:rPr>
        <w:t> </w:t>
      </w:r>
      <w:r w:rsidRPr="00801CCB">
        <w:rPr>
          <w:rFonts w:ascii="Times New Roman" w:hAnsi="Times New Roman"/>
          <w:szCs w:val="22"/>
        </w:rPr>
        <w:t>647</w:t>
      </w:r>
      <w:r w:rsidR="003952AC">
        <w:rPr>
          <w:rFonts w:ascii="Times New Roman" w:hAnsi="Times New Roman"/>
          <w:szCs w:val="22"/>
        </w:rPr>
        <w:t> </w:t>
      </w:r>
      <w:r w:rsidRPr="00801CCB">
        <w:rPr>
          <w:rFonts w:ascii="Times New Roman" w:hAnsi="Times New Roman"/>
          <w:szCs w:val="22"/>
        </w:rPr>
        <w:t>tis. eur a prostriedky na spolufinancovanie vnútorných politík v sume 2</w:t>
      </w:r>
      <w:r w:rsidR="003952AC">
        <w:rPr>
          <w:rFonts w:ascii="Times New Roman" w:hAnsi="Times New Roman"/>
          <w:szCs w:val="22"/>
        </w:rPr>
        <w:t> </w:t>
      </w:r>
      <w:r w:rsidRPr="00801CCB">
        <w:rPr>
          <w:rFonts w:ascii="Times New Roman" w:hAnsi="Times New Roman"/>
          <w:szCs w:val="22"/>
        </w:rPr>
        <w:t>822</w:t>
      </w:r>
      <w:r w:rsidR="003952AC">
        <w:rPr>
          <w:rFonts w:ascii="Times New Roman" w:hAnsi="Times New Roman"/>
          <w:szCs w:val="22"/>
        </w:rPr>
        <w:t> </w:t>
      </w:r>
      <w:r w:rsidRPr="00801CCB">
        <w:rPr>
          <w:rFonts w:ascii="Times New Roman" w:hAnsi="Times New Roman"/>
          <w:szCs w:val="22"/>
        </w:rPr>
        <w:t>tis. eur. Skutočné plnenie výdavkov na spolufinancovanie zo ŠR je vo výške 231</w:t>
      </w:r>
      <w:r w:rsidR="003952AC">
        <w:rPr>
          <w:rFonts w:ascii="Times New Roman" w:hAnsi="Times New Roman"/>
          <w:szCs w:val="22"/>
        </w:rPr>
        <w:t> </w:t>
      </w:r>
      <w:r w:rsidRPr="00801CCB">
        <w:rPr>
          <w:rFonts w:ascii="Times New Roman" w:hAnsi="Times New Roman"/>
          <w:szCs w:val="22"/>
        </w:rPr>
        <w:t>143</w:t>
      </w:r>
      <w:r w:rsidR="003952AC">
        <w:rPr>
          <w:rFonts w:ascii="Times New Roman" w:hAnsi="Times New Roman"/>
          <w:szCs w:val="22"/>
        </w:rPr>
        <w:t> </w:t>
      </w:r>
      <w:r w:rsidRPr="00801CCB">
        <w:rPr>
          <w:rFonts w:ascii="Times New Roman" w:hAnsi="Times New Roman"/>
          <w:szCs w:val="22"/>
        </w:rPr>
        <w:t>tis.</w:t>
      </w:r>
      <w:r w:rsidR="003952AC">
        <w:rPr>
          <w:rFonts w:ascii="Times New Roman" w:hAnsi="Times New Roman"/>
          <w:szCs w:val="22"/>
        </w:rPr>
        <w:t> </w:t>
      </w:r>
      <w:r w:rsidRPr="00801CCB">
        <w:rPr>
          <w:rFonts w:ascii="Times New Roman" w:hAnsi="Times New Roman"/>
          <w:szCs w:val="22"/>
        </w:rPr>
        <w:t xml:space="preserve">eur, z toho prostriedky </w:t>
      </w:r>
      <w:r w:rsidR="00C47CF1">
        <w:rPr>
          <w:rFonts w:ascii="Times New Roman" w:hAnsi="Times New Roman"/>
          <w:szCs w:val="22"/>
        </w:rPr>
        <w:br/>
      </w:r>
      <w:r w:rsidRPr="00801CCB">
        <w:rPr>
          <w:rFonts w:ascii="Times New Roman" w:hAnsi="Times New Roman"/>
          <w:szCs w:val="22"/>
        </w:rPr>
        <w:t xml:space="preserve">na spolufinancovanie zo ŠR k prostriedkom EÚ vo výške 227 034 tis. eur, prostriedky </w:t>
      </w:r>
      <w:r w:rsidR="00C47CF1">
        <w:rPr>
          <w:rFonts w:ascii="Times New Roman" w:hAnsi="Times New Roman"/>
          <w:szCs w:val="22"/>
        </w:rPr>
        <w:br/>
      </w:r>
      <w:r w:rsidRPr="00801CCB">
        <w:rPr>
          <w:rFonts w:ascii="Times New Roman" w:hAnsi="Times New Roman"/>
          <w:szCs w:val="22"/>
        </w:rPr>
        <w:t>na spolufinancovanie k zahraničným grantom a prostriedkom poskytnutým na základe medzinárodných zmlúv vo výške 2 613 tis. eur a prostriedky na spolufinancovanie vnútorných politík v sume 1 496 tis. eur.</w:t>
      </w:r>
    </w:p>
    <w:p w:rsidR="005F5C4C" w:rsidRPr="00801CCB" w:rsidP="00AC5AC2">
      <w:pPr>
        <w:tabs>
          <w:tab w:val="left" w:pos="284"/>
        </w:tabs>
        <w:bidi w:val="0"/>
        <w:rPr>
          <w:rFonts w:ascii="Times New Roman" w:hAnsi="Times New Roman"/>
          <w:b/>
          <w:szCs w:val="22"/>
        </w:rPr>
      </w:pPr>
      <w:r w:rsidRPr="00801CCB">
        <w:rPr>
          <w:rFonts w:ascii="Times New Roman" w:hAnsi="Times New Roman"/>
          <w:b/>
          <w:szCs w:val="22"/>
        </w:rPr>
        <w:t>Spolufinancovanie zo štátneho rozpočtu k prostriedkom EÚ</w:t>
      </w:r>
    </w:p>
    <w:p w:rsidR="005F5C4C" w:rsidRPr="00801CCB" w:rsidP="005F5C4C">
      <w:pPr>
        <w:bidi w:val="0"/>
        <w:rPr>
          <w:rFonts w:ascii="Times New Roman" w:hAnsi="Times New Roman"/>
          <w:szCs w:val="22"/>
        </w:rPr>
      </w:pPr>
      <w:r w:rsidRPr="00801CCB">
        <w:rPr>
          <w:rFonts w:ascii="Times New Roman" w:hAnsi="Times New Roman"/>
          <w:szCs w:val="22"/>
        </w:rPr>
        <w:t xml:space="preserve">Z rovnakého dôvodu ako pri úprave výdavkov z prostriedkov EÚ došlo k úprave rozpočtu </w:t>
      </w:r>
      <w:r w:rsidR="00C47CF1">
        <w:rPr>
          <w:rFonts w:ascii="Times New Roman" w:hAnsi="Times New Roman"/>
          <w:szCs w:val="22"/>
        </w:rPr>
        <w:br/>
      </w:r>
      <w:r w:rsidRPr="00801CCB">
        <w:rPr>
          <w:rFonts w:ascii="Times New Roman" w:hAnsi="Times New Roman"/>
          <w:szCs w:val="22"/>
        </w:rPr>
        <w:t>na spolufinancovanie zo štátneho rozpočtu na sumu vo výške 22</w:t>
      </w:r>
      <w:r>
        <w:rPr>
          <w:rFonts w:ascii="Times New Roman" w:hAnsi="Times New Roman"/>
          <w:szCs w:val="22"/>
        </w:rPr>
        <w:t>6</w:t>
      </w:r>
      <w:r w:rsidRPr="00801CCB">
        <w:rPr>
          <w:rFonts w:ascii="Times New Roman" w:hAnsi="Times New Roman"/>
          <w:szCs w:val="22"/>
        </w:rPr>
        <w:t xml:space="preserve"> </w:t>
      </w:r>
      <w:r>
        <w:rPr>
          <w:rFonts w:ascii="Times New Roman" w:hAnsi="Times New Roman"/>
          <w:szCs w:val="22"/>
        </w:rPr>
        <w:t>986</w:t>
      </w:r>
      <w:r w:rsidRPr="00801CCB">
        <w:rPr>
          <w:rFonts w:ascii="Times New Roman" w:hAnsi="Times New Roman"/>
          <w:szCs w:val="22"/>
        </w:rPr>
        <w:t xml:space="preserve"> tis. eur. </w:t>
      </w:r>
    </w:p>
    <w:p w:rsidR="005F5C4C" w:rsidRPr="00801CCB" w:rsidP="005F5C4C">
      <w:pPr>
        <w:bidi w:val="0"/>
        <w:rPr>
          <w:rFonts w:ascii="Times New Roman" w:hAnsi="Times New Roman"/>
          <w:szCs w:val="22"/>
        </w:rPr>
      </w:pPr>
      <w:r w:rsidRPr="00801CCB">
        <w:rPr>
          <w:rFonts w:ascii="Times New Roman" w:hAnsi="Times New Roman"/>
          <w:szCs w:val="22"/>
        </w:rPr>
        <w:t>Čerpanie výdavkov na spolufinancovanie zo ŠR k prostriedkom EÚ v roku 2017 za štrukturálne operácie 2. a 3. programového obdobia je mierne vyššie ako upravený rozpočet a predstavuje sumu 22</w:t>
      </w:r>
      <w:r>
        <w:rPr>
          <w:rFonts w:ascii="Times New Roman" w:hAnsi="Times New Roman"/>
          <w:szCs w:val="22"/>
        </w:rPr>
        <w:t>7</w:t>
      </w:r>
      <w:r w:rsidR="003952AC">
        <w:rPr>
          <w:rFonts w:ascii="Times New Roman" w:hAnsi="Times New Roman"/>
          <w:szCs w:val="22"/>
        </w:rPr>
        <w:t> </w:t>
      </w:r>
      <w:r>
        <w:rPr>
          <w:rFonts w:ascii="Times New Roman" w:hAnsi="Times New Roman"/>
          <w:szCs w:val="22"/>
        </w:rPr>
        <w:t>034</w:t>
      </w:r>
      <w:r w:rsidR="003952AC">
        <w:rPr>
          <w:rFonts w:ascii="Times New Roman" w:hAnsi="Times New Roman"/>
          <w:szCs w:val="22"/>
        </w:rPr>
        <w:t> </w:t>
      </w:r>
      <w:r w:rsidRPr="00801CCB">
        <w:rPr>
          <w:rFonts w:ascii="Times New Roman" w:hAnsi="Times New Roman"/>
          <w:szCs w:val="22"/>
        </w:rPr>
        <w:t>tis.</w:t>
      </w:r>
      <w:r w:rsidR="003952AC">
        <w:rPr>
          <w:rFonts w:ascii="Times New Roman" w:hAnsi="Times New Roman"/>
          <w:szCs w:val="22"/>
        </w:rPr>
        <w:t> </w:t>
      </w:r>
      <w:r w:rsidRPr="00801CCB">
        <w:rPr>
          <w:rFonts w:ascii="Times New Roman" w:hAnsi="Times New Roman"/>
          <w:szCs w:val="22"/>
        </w:rPr>
        <w:t>eur. Vyššie čerpanie oproti upravenému rozpočtu sa prejavilo v kapitole Slovenskej akadémie vied z rovnakého dôvodu, ako pri výdavkoch EÚ.</w:t>
      </w:r>
    </w:p>
    <w:p w:rsidR="005F5C4C" w:rsidRPr="008E1258" w:rsidP="005F5C4C">
      <w:pPr>
        <w:bidi w:val="0"/>
        <w:rPr>
          <w:rFonts w:ascii="Times New Roman" w:hAnsi="Times New Roman"/>
          <w:szCs w:val="22"/>
          <w:highlight w:val="yellow"/>
        </w:rPr>
      </w:pPr>
      <w:r w:rsidRPr="00801CCB">
        <w:rPr>
          <w:rFonts w:ascii="Times New Roman" w:hAnsi="Times New Roman"/>
          <w:szCs w:val="22"/>
        </w:rPr>
        <w:t>Skutočné plnenie výdavkov na spolufinancovanie zo ŠR vo výške 22</w:t>
      </w:r>
      <w:r>
        <w:rPr>
          <w:rFonts w:ascii="Times New Roman" w:hAnsi="Times New Roman"/>
          <w:szCs w:val="22"/>
        </w:rPr>
        <w:t>7</w:t>
      </w:r>
      <w:r w:rsidRPr="00801CCB">
        <w:rPr>
          <w:rFonts w:ascii="Times New Roman" w:hAnsi="Times New Roman"/>
          <w:szCs w:val="22"/>
        </w:rPr>
        <w:t xml:space="preserve"> </w:t>
      </w:r>
      <w:r>
        <w:rPr>
          <w:rFonts w:ascii="Times New Roman" w:hAnsi="Times New Roman"/>
          <w:szCs w:val="22"/>
        </w:rPr>
        <w:t>034</w:t>
      </w:r>
      <w:r w:rsidRPr="00801CCB">
        <w:rPr>
          <w:rFonts w:ascii="Times New Roman" w:hAnsi="Times New Roman"/>
          <w:szCs w:val="22"/>
        </w:rPr>
        <w:t xml:space="preserve"> tis. eur predstavuje plnenie na úrovni 100 % z </w:t>
      </w:r>
      <w:r w:rsidRPr="00D9125B">
        <w:rPr>
          <w:rFonts w:ascii="Times New Roman" w:hAnsi="Times New Roman"/>
          <w:szCs w:val="22"/>
        </w:rPr>
        <w:t>upraveného rozpočtu. Výdavky za štrukturálne operácie, pri ktorých plní úlohu certifikačného orgánu Ministerstvo financií SR sú vo výške 150 885 tis. eur (z toho štrukturálne fondy 2. programového obdobia v sume 12 tis. eur, štrukturálne fondy 3.</w:t>
      </w:r>
      <w:r w:rsidR="003952AC">
        <w:rPr>
          <w:rFonts w:ascii="Times New Roman" w:hAnsi="Times New Roman"/>
          <w:szCs w:val="22"/>
        </w:rPr>
        <w:t> </w:t>
      </w:r>
      <w:r w:rsidRPr="00D9125B">
        <w:rPr>
          <w:rFonts w:ascii="Times New Roman" w:hAnsi="Times New Roman"/>
          <w:szCs w:val="22"/>
        </w:rPr>
        <w:t>programového obdobia v sume 94 181 tis. eur, Kohézny fond 3. programového obdobia v sume 56</w:t>
      </w:r>
      <w:r w:rsidR="003952AC">
        <w:rPr>
          <w:rFonts w:ascii="Times New Roman" w:hAnsi="Times New Roman"/>
          <w:szCs w:val="22"/>
        </w:rPr>
        <w:t> </w:t>
      </w:r>
      <w:r w:rsidRPr="00D9125B">
        <w:rPr>
          <w:rFonts w:ascii="Times New Roman" w:hAnsi="Times New Roman"/>
          <w:szCs w:val="22"/>
        </w:rPr>
        <w:t xml:space="preserve">692 tis. eur). </w:t>
      </w:r>
      <w:r>
        <w:rPr>
          <w:rFonts w:ascii="Times New Roman" w:hAnsi="Times New Roman"/>
          <w:szCs w:val="22"/>
        </w:rPr>
        <w:t>Výdavky</w:t>
      </w:r>
      <w:r w:rsidRPr="00D9125B">
        <w:rPr>
          <w:rFonts w:ascii="Times New Roman" w:hAnsi="Times New Roman"/>
          <w:szCs w:val="22"/>
        </w:rPr>
        <w:t xml:space="preserve"> za štrukturálne operácie, pri </w:t>
      </w:r>
      <w:r w:rsidRPr="008D57FE">
        <w:rPr>
          <w:rFonts w:ascii="Times New Roman" w:hAnsi="Times New Roman"/>
          <w:szCs w:val="22"/>
        </w:rPr>
        <w:t>ktorých plní úlohu certifikačné</w:t>
      </w:r>
      <w:r>
        <w:rPr>
          <w:rFonts w:ascii="Times New Roman" w:hAnsi="Times New Roman"/>
          <w:szCs w:val="22"/>
        </w:rPr>
        <w:t>ho</w:t>
      </w:r>
      <w:r w:rsidRPr="008D57FE">
        <w:rPr>
          <w:rFonts w:ascii="Times New Roman" w:hAnsi="Times New Roman"/>
          <w:szCs w:val="22"/>
        </w:rPr>
        <w:t xml:space="preserve"> orgánu Ministerstvo práce, sociálnych vecí a rodiny SR sú v sume 2</w:t>
      </w:r>
      <w:r w:rsidR="00B779DC">
        <w:rPr>
          <w:rFonts w:ascii="Times New Roman" w:hAnsi="Times New Roman"/>
          <w:szCs w:val="22"/>
        </w:rPr>
        <w:t> </w:t>
      </w:r>
      <w:r w:rsidRPr="008D57FE">
        <w:rPr>
          <w:rFonts w:ascii="Times New Roman" w:hAnsi="Times New Roman"/>
          <w:szCs w:val="22"/>
        </w:rPr>
        <w:t>106</w:t>
      </w:r>
      <w:r w:rsidR="00B779DC">
        <w:rPr>
          <w:rFonts w:ascii="Times New Roman" w:hAnsi="Times New Roman"/>
          <w:szCs w:val="22"/>
        </w:rPr>
        <w:t> </w:t>
      </w:r>
      <w:r w:rsidRPr="008D57FE">
        <w:rPr>
          <w:rFonts w:ascii="Times New Roman" w:hAnsi="Times New Roman"/>
          <w:szCs w:val="22"/>
        </w:rPr>
        <w:t>tis.</w:t>
      </w:r>
      <w:r w:rsidR="00B779DC">
        <w:rPr>
          <w:rFonts w:ascii="Times New Roman" w:hAnsi="Times New Roman"/>
          <w:szCs w:val="22"/>
        </w:rPr>
        <w:t> </w:t>
      </w:r>
      <w:r w:rsidRPr="008D57FE">
        <w:rPr>
          <w:rFonts w:ascii="Times New Roman" w:hAnsi="Times New Roman"/>
          <w:szCs w:val="22"/>
        </w:rPr>
        <w:t xml:space="preserve">eur. Výdavky </w:t>
      </w:r>
      <w:r w:rsidR="00C47CF1">
        <w:rPr>
          <w:rFonts w:ascii="Times New Roman" w:hAnsi="Times New Roman"/>
          <w:szCs w:val="22"/>
        </w:rPr>
        <w:br/>
      </w:r>
      <w:r w:rsidRPr="008D57FE">
        <w:rPr>
          <w:rFonts w:ascii="Times New Roman" w:hAnsi="Times New Roman"/>
          <w:szCs w:val="22"/>
        </w:rPr>
        <w:t>za poľnohospodárske fondy boli vo výške 74 043 tis. eur (z toho za Európsky poľnohospodársky fond rozvoja vidieka v sume 60 514 tis. eur a za Európsky poľnohospodársky záručný fond v sume 13</w:t>
      </w:r>
      <w:r w:rsidR="003952AC">
        <w:rPr>
          <w:rFonts w:ascii="Times New Roman" w:hAnsi="Times New Roman"/>
          <w:szCs w:val="22"/>
        </w:rPr>
        <w:t> </w:t>
      </w:r>
      <w:r w:rsidRPr="008D57FE">
        <w:rPr>
          <w:rFonts w:ascii="Times New Roman" w:hAnsi="Times New Roman"/>
          <w:szCs w:val="22"/>
        </w:rPr>
        <w:t>529</w:t>
      </w:r>
      <w:r w:rsidR="003952AC">
        <w:rPr>
          <w:rFonts w:ascii="Times New Roman" w:hAnsi="Times New Roman"/>
          <w:szCs w:val="22"/>
        </w:rPr>
        <w:t> </w:t>
      </w:r>
      <w:r w:rsidRPr="008D57FE">
        <w:rPr>
          <w:rFonts w:ascii="Times New Roman" w:hAnsi="Times New Roman"/>
          <w:szCs w:val="22"/>
        </w:rPr>
        <w:t>tis. eur).</w:t>
      </w:r>
    </w:p>
    <w:tbl>
      <w:tblPr>
        <w:tblStyle w:val="TableNormal"/>
        <w:tblW w:w="5011" w:type="pct"/>
        <w:tblLayout w:type="fixed"/>
        <w:tblCellMar>
          <w:left w:w="70" w:type="dxa"/>
          <w:right w:w="70" w:type="dxa"/>
        </w:tblCellMar>
        <w:tblLook w:val="04A0"/>
      </w:tblPr>
      <w:tblGrid>
        <w:gridCol w:w="3534"/>
        <w:gridCol w:w="1110"/>
        <w:gridCol w:w="836"/>
        <w:gridCol w:w="830"/>
        <w:gridCol w:w="1110"/>
        <w:gridCol w:w="830"/>
        <w:gridCol w:w="698"/>
      </w:tblGrid>
      <w:tr>
        <w:tblPrEx>
          <w:tblW w:w="5011" w:type="pct"/>
          <w:tblLayout w:type="fixed"/>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noWrap/>
            <w:textDirection w:val="lrTb"/>
            <w:vAlign w:val="bottom"/>
            <w:hideMark/>
          </w:tcPr>
          <w:p w:rsidR="00B44B20" w:rsidRPr="00B44B20" w:rsidP="005468EC">
            <w:pPr>
              <w:bidi w:val="0"/>
              <w:spacing w:after="0" w:line="240" w:lineRule="auto"/>
              <w:rPr>
                <w:rFonts w:ascii="Times New Roman" w:hAnsi="Times New Roman"/>
                <w:b/>
                <w:sz w:val="18"/>
                <w:szCs w:val="18"/>
              </w:rPr>
            </w:pPr>
            <w:bookmarkStart w:id="78" w:name="RANGE!A1:G14"/>
            <w:bookmarkEnd w:id="78"/>
            <w:r w:rsidRPr="00B44B20" w:rsidR="005F5C4C">
              <w:rPr>
                <w:rFonts w:ascii="Times New Roman" w:hAnsi="Times New Roman"/>
                <w:b/>
                <w:sz w:val="18"/>
                <w:szCs w:val="18"/>
              </w:rPr>
              <w:t>Výdavky spolufinancovania zo ŠR k prostriedkom EÚ                                                                                     v tis. eur</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BFBFBF"/>
            <w:textDirection w:val="lrTb"/>
            <w:vAlign w:val="center"/>
            <w:hideMark/>
          </w:tcPr>
          <w:p w:rsidR="005D497E"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1087" w:type="pct"/>
            <w:gridSpan w:val="2"/>
            <w:tcBorders>
              <w:top w:val="nil"/>
              <w:left w:val="nil"/>
              <w:bottom w:val="nil"/>
              <w:right w:val="nil"/>
            </w:tcBorders>
            <w:shd w:val="clear" w:color="000000" w:fill="BFBFBF"/>
            <w:textDirection w:val="lrTb"/>
            <w:vAlign w:val="center"/>
            <w:hideMark/>
          </w:tcPr>
          <w:p w:rsidR="005D497E"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464" w:type="pct"/>
            <w:tcBorders>
              <w:top w:val="nil"/>
              <w:left w:val="nil"/>
              <w:bottom w:val="nil"/>
              <w:right w:val="nil"/>
            </w:tcBorders>
            <w:shd w:val="clear" w:color="000000" w:fill="BFBFBF"/>
            <w:textDirection w:val="lrTb"/>
            <w:vAlign w:val="center"/>
            <w:hideMark/>
          </w:tcPr>
          <w:p w:rsidR="005D497E" w:rsidRPr="00B44B20" w:rsidP="00C47CF1">
            <w:pPr>
              <w:bidi w:val="0"/>
              <w:spacing w:after="0" w:line="240" w:lineRule="auto"/>
              <w:ind w:right="-68"/>
              <w:rPr>
                <w:rFonts w:ascii="Times New Roman" w:hAnsi="Times New Roman"/>
                <w:b/>
                <w:sz w:val="18"/>
                <w:szCs w:val="18"/>
              </w:rPr>
            </w:pPr>
            <w:r w:rsidRPr="00B44B20">
              <w:rPr>
                <w:rFonts w:ascii="Times New Roman" w:hAnsi="Times New Roman"/>
                <w:b/>
                <w:sz w:val="18"/>
                <w:szCs w:val="18"/>
              </w:rPr>
              <w:t>Rozpočet</w:t>
            </w:r>
          </w:p>
        </w:tc>
        <w:tc>
          <w:tcPr>
            <w:tcW w:w="620" w:type="pct"/>
            <w:tcBorders>
              <w:top w:val="nil"/>
              <w:left w:val="nil"/>
              <w:bottom w:val="nil"/>
              <w:right w:val="nil"/>
            </w:tcBorders>
            <w:shd w:val="clear" w:color="000000" w:fill="BFBFBF"/>
            <w:textDirection w:val="lrTb"/>
            <w:vAlign w:val="center"/>
            <w:hideMark/>
          </w:tcPr>
          <w:p w:rsidR="005D497E"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852" w:type="pct"/>
            <w:gridSpan w:val="2"/>
            <w:tcBorders>
              <w:top w:val="nil"/>
              <w:left w:val="nil"/>
              <w:bottom w:val="nil"/>
              <w:right w:val="nil"/>
            </w:tcBorders>
            <w:shd w:val="clear" w:color="000000" w:fill="BFBFBF"/>
            <w:textDirection w:val="lrTb"/>
            <w:vAlign w:val="center"/>
            <w:hideMark/>
          </w:tcPr>
          <w:p w:rsidR="005D497E"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Rozdiel</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620"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2015</w:t>
            </w:r>
          </w:p>
        </w:tc>
        <w:tc>
          <w:tcPr>
            <w:tcW w:w="466"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2016</w:t>
            </w:r>
          </w:p>
        </w:tc>
        <w:tc>
          <w:tcPr>
            <w:tcW w:w="464"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620"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464"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tis. eur</w:t>
            </w:r>
          </w:p>
        </w:tc>
        <w:tc>
          <w:tcPr>
            <w:tcW w:w="387"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w:t>
            </w:r>
          </w:p>
        </w:tc>
      </w:tr>
      <w:tr>
        <w:tblPrEx>
          <w:tblW w:w="5011" w:type="pct"/>
          <w:tblLayout w:type="fixed"/>
          <w:tblCellMar>
            <w:left w:w="70" w:type="dxa"/>
            <w:right w:w="70" w:type="dxa"/>
          </w:tblCellMar>
          <w:tblLook w:val="04A0"/>
        </w:tblPrEx>
        <w:trPr>
          <w:trHeight w:val="345"/>
        </w:trPr>
        <w:tc>
          <w:tcPr>
            <w:tcW w:w="1975"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620"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1</w:t>
            </w:r>
          </w:p>
        </w:tc>
        <w:tc>
          <w:tcPr>
            <w:tcW w:w="466"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w:t>
            </w:r>
          </w:p>
        </w:tc>
        <w:tc>
          <w:tcPr>
            <w:tcW w:w="464"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3</w:t>
            </w:r>
          </w:p>
        </w:tc>
        <w:tc>
          <w:tcPr>
            <w:tcW w:w="620"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4</w:t>
            </w:r>
          </w:p>
        </w:tc>
        <w:tc>
          <w:tcPr>
            <w:tcW w:w="464"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5=4-3</w:t>
            </w:r>
          </w:p>
        </w:tc>
        <w:tc>
          <w:tcPr>
            <w:tcW w:w="387"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6=4-3</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Poľnohospodárske fondy 2. programové obdobie</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77 283</w:t>
            </w:r>
          </w:p>
        </w:tc>
        <w:tc>
          <w:tcPr>
            <w:tcW w:w="466"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Poľnohospodárske fondy 3. programové obdobie</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26 829</w:t>
            </w:r>
          </w:p>
        </w:tc>
        <w:tc>
          <w:tcPr>
            <w:tcW w:w="466"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53 592</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149 882</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74 043</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-75 839</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-50,6</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A53751" w:rsidP="00A53751">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Poľnohospodárske fondy spolu - MPRV SR</w:t>
            </w:r>
          </w:p>
        </w:tc>
        <w:tc>
          <w:tcPr>
            <w:tcW w:w="62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104 112</w:t>
            </w:r>
          </w:p>
        </w:tc>
        <w:tc>
          <w:tcPr>
            <w:tcW w:w="466" w:type="pct"/>
            <w:tcBorders>
              <w:top w:val="nil"/>
              <w:left w:val="nil"/>
              <w:bottom w:val="nil"/>
              <w:right w:val="nil"/>
            </w:tcBorders>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53 592</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149 882</w:t>
            </w:r>
          </w:p>
        </w:tc>
        <w:tc>
          <w:tcPr>
            <w:tcW w:w="620"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74 043</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-75 839</w:t>
            </w:r>
          </w:p>
        </w:tc>
        <w:tc>
          <w:tcPr>
            <w:tcW w:w="387"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-50,6</w:t>
            </w:r>
          </w:p>
        </w:tc>
      </w:tr>
      <w:tr>
        <w:tblPrEx>
          <w:tblW w:w="5011" w:type="pct"/>
          <w:tblLayout w:type="fixed"/>
          <w:tblCellMar>
            <w:left w:w="70" w:type="dxa"/>
            <w:right w:w="70" w:type="dxa"/>
          </w:tblCellMar>
          <w:tblLook w:val="04A0"/>
        </w:tblPrEx>
        <w:trPr>
          <w:trHeight w:val="511"/>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 xml:space="preserve">Štrukturálne fondy, Kohézny fond, Európsky fond pre rybné hospodárstvo 2. programové obdobie </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636 690</w:t>
            </w:r>
          </w:p>
        </w:tc>
        <w:tc>
          <w:tcPr>
            <w:tcW w:w="466"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111 652</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12</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12</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w:t>
            </w:r>
          </w:p>
        </w:tc>
      </w:tr>
      <w:tr>
        <w:tblPrEx>
          <w:tblW w:w="5011" w:type="pct"/>
          <w:tblLayout w:type="fixed"/>
          <w:tblCellMar>
            <w:left w:w="70" w:type="dxa"/>
            <w:right w:w="70" w:type="dxa"/>
          </w:tblCellMar>
          <w:tblLook w:val="04A0"/>
        </w:tblPrEx>
        <w:trPr>
          <w:trHeight w:val="511"/>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 xml:space="preserve">Štrukturálne fondy, Kohézny fond, Európsky námorný a rybársky fond 3. programové obdobie </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7 102</w:t>
            </w:r>
          </w:p>
        </w:tc>
        <w:tc>
          <w:tcPr>
            <w:tcW w:w="466"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102 923</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371 479</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150 873</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-220 606</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-59,4</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Programy EÚS 3. programové obdobie (CO MF SR)</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6"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A53751" w:rsidP="00A53751">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Štrukturálne operácie - MF SR</w:t>
            </w:r>
          </w:p>
        </w:tc>
        <w:tc>
          <w:tcPr>
            <w:tcW w:w="62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643 792</w:t>
            </w:r>
          </w:p>
        </w:tc>
        <w:tc>
          <w:tcPr>
            <w:tcW w:w="466"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214 575</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371 479</w:t>
            </w:r>
          </w:p>
        </w:tc>
        <w:tc>
          <w:tcPr>
            <w:tcW w:w="620"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150 885</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-220 594</w:t>
            </w:r>
          </w:p>
        </w:tc>
        <w:tc>
          <w:tcPr>
            <w:tcW w:w="387"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-59,4</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B44B20" w:rsidP="00A53751">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OP Sociálneho začlenenia najodkázanejších osôb</w:t>
            </w:r>
          </w:p>
        </w:tc>
        <w:tc>
          <w:tcPr>
            <w:tcW w:w="620"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0</w:t>
            </w:r>
          </w:p>
        </w:tc>
        <w:tc>
          <w:tcPr>
            <w:tcW w:w="466" w:type="pct"/>
            <w:tcBorders>
              <w:top w:val="nil"/>
              <w:left w:val="nil"/>
              <w:bottom w:val="nil"/>
              <w:right w:val="nil"/>
            </w:tcBorders>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1 154</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2 029</w:t>
            </w:r>
          </w:p>
        </w:tc>
        <w:tc>
          <w:tcPr>
            <w:tcW w:w="620" w:type="pct"/>
            <w:tcBorders>
              <w:top w:val="nil"/>
              <w:left w:val="nil"/>
              <w:bottom w:val="nil"/>
              <w:right w:val="nil"/>
            </w:tcBorders>
            <w:shd w:val="clear" w:color="auto" w:fill="BFBFB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2 106</w:t>
            </w:r>
          </w:p>
        </w:tc>
        <w:tc>
          <w:tcPr>
            <w:tcW w:w="464"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77</w:t>
            </w:r>
          </w:p>
        </w:tc>
        <w:tc>
          <w:tcPr>
            <w:tcW w:w="387" w:type="pct"/>
            <w:tcBorders>
              <w:top w:val="nil"/>
              <w:left w:val="nil"/>
              <w:bottom w:val="nil"/>
              <w:right w:val="nil"/>
            </w:tcBorders>
            <w:shd w:val="clear" w:color="000000" w:fill="FFFFFF"/>
            <w:noWrap/>
            <w:textDirection w:val="lrTb"/>
            <w:vAlign w:val="center"/>
            <w:hideMark/>
          </w:tcPr>
          <w:p w:rsidR="005F5C4C" w:rsidRPr="00B44B20" w:rsidP="00A53751">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3,8</w:t>
            </w:r>
          </w:p>
        </w:tc>
      </w:tr>
      <w:tr>
        <w:tblPrEx>
          <w:tblW w:w="5011" w:type="pct"/>
          <w:tblLayout w:type="fixed"/>
          <w:tblCellMar>
            <w:left w:w="70" w:type="dxa"/>
            <w:right w:w="70" w:type="dxa"/>
          </w:tblCellMar>
          <w:tblLook w:val="04A0"/>
        </w:tblPrEx>
        <w:trPr>
          <w:trHeight w:val="330"/>
        </w:trPr>
        <w:tc>
          <w:tcPr>
            <w:tcW w:w="1975" w:type="pct"/>
            <w:tcBorders>
              <w:top w:val="nil"/>
              <w:left w:val="nil"/>
              <w:bottom w:val="nil"/>
              <w:right w:val="nil"/>
            </w:tcBorders>
            <w:shd w:val="clear" w:color="000000" w:fill="FFFFFF"/>
            <w:textDirection w:val="lrTb"/>
            <w:vAlign w:val="center"/>
            <w:hideMark/>
          </w:tcPr>
          <w:p w:rsidR="005F5C4C" w:rsidRPr="00A53751" w:rsidP="00A53751">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Štrukturálne operácie - MPSVR SR</w:t>
            </w:r>
          </w:p>
        </w:tc>
        <w:tc>
          <w:tcPr>
            <w:tcW w:w="620"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0</w:t>
            </w:r>
          </w:p>
        </w:tc>
        <w:tc>
          <w:tcPr>
            <w:tcW w:w="466"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1 154</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2 029</w:t>
            </w:r>
          </w:p>
        </w:tc>
        <w:tc>
          <w:tcPr>
            <w:tcW w:w="620" w:type="pct"/>
            <w:tcBorders>
              <w:top w:val="nil"/>
              <w:left w:val="nil"/>
              <w:bottom w:val="nil"/>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2 106</w:t>
            </w:r>
          </w:p>
        </w:tc>
        <w:tc>
          <w:tcPr>
            <w:tcW w:w="464"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77</w:t>
            </w:r>
          </w:p>
        </w:tc>
        <w:tc>
          <w:tcPr>
            <w:tcW w:w="387" w:type="pct"/>
            <w:tcBorders>
              <w:top w:val="nil"/>
              <w:left w:val="nil"/>
              <w:bottom w:val="nil"/>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3,8</w:t>
            </w:r>
          </w:p>
        </w:tc>
      </w:tr>
      <w:tr>
        <w:tblPrEx>
          <w:tblW w:w="5011" w:type="pct"/>
          <w:tblLayout w:type="fixed"/>
          <w:tblCellMar>
            <w:left w:w="70" w:type="dxa"/>
            <w:right w:w="70" w:type="dxa"/>
          </w:tblCellMar>
          <w:tblLook w:val="04A0"/>
        </w:tblPrEx>
        <w:trPr>
          <w:trHeight w:val="345"/>
        </w:trPr>
        <w:tc>
          <w:tcPr>
            <w:tcW w:w="1975" w:type="pct"/>
            <w:tcBorders>
              <w:top w:val="single" w:sz="4" w:space="0" w:color="auto"/>
              <w:left w:val="nil"/>
              <w:bottom w:val="single" w:sz="8" w:space="0" w:color="auto"/>
              <w:right w:val="nil"/>
            </w:tcBorders>
            <w:shd w:val="clear" w:color="000000" w:fill="FFFFFF"/>
            <w:textDirection w:val="lrTb"/>
            <w:vAlign w:val="center"/>
            <w:hideMark/>
          </w:tcPr>
          <w:p w:rsidR="005F5C4C" w:rsidRPr="00A53751" w:rsidP="00A53751">
            <w:pPr>
              <w:bidi w:val="0"/>
              <w:spacing w:after="0" w:line="240" w:lineRule="auto"/>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Spolu výdavky za prostriedky EÚ</w:t>
            </w:r>
          </w:p>
        </w:tc>
        <w:tc>
          <w:tcPr>
            <w:tcW w:w="620"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747 904</w:t>
            </w:r>
          </w:p>
        </w:tc>
        <w:tc>
          <w:tcPr>
            <w:tcW w:w="466"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269 321</w:t>
            </w:r>
          </w:p>
        </w:tc>
        <w:tc>
          <w:tcPr>
            <w:tcW w:w="46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523 390</w:t>
            </w:r>
          </w:p>
        </w:tc>
        <w:tc>
          <w:tcPr>
            <w:tcW w:w="620" w:type="pct"/>
            <w:tcBorders>
              <w:top w:val="single" w:sz="4" w:space="0" w:color="auto"/>
              <w:left w:val="nil"/>
              <w:bottom w:val="single" w:sz="8" w:space="0" w:color="auto"/>
              <w:right w:val="nil"/>
            </w:tcBorders>
            <w:shd w:val="clear" w:color="auto" w:fill="BFBFB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227 034</w:t>
            </w:r>
          </w:p>
        </w:tc>
        <w:tc>
          <w:tcPr>
            <w:tcW w:w="46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-296 356</w:t>
            </w:r>
          </w:p>
        </w:tc>
        <w:tc>
          <w:tcPr>
            <w:tcW w:w="387" w:type="pct"/>
            <w:tcBorders>
              <w:top w:val="single" w:sz="4" w:space="0" w:color="auto"/>
              <w:left w:val="nil"/>
              <w:bottom w:val="single" w:sz="8" w:space="0" w:color="auto"/>
              <w:right w:val="nil"/>
            </w:tcBorders>
            <w:shd w:val="clear" w:color="000000" w:fill="FFFFFF"/>
            <w:noWrap/>
            <w:textDirection w:val="lrTb"/>
            <w:vAlign w:val="center"/>
            <w:hideMark/>
          </w:tcPr>
          <w:p w:rsidR="005F5C4C" w:rsidRPr="00A53751" w:rsidP="00A53751">
            <w:pPr>
              <w:bidi w:val="0"/>
              <w:spacing w:after="0" w:line="240" w:lineRule="auto"/>
              <w:jc w:val="right"/>
              <w:rPr>
                <w:rFonts w:ascii="Times New Roman" w:hAnsi="Times New Roman"/>
                <w:b/>
                <w:color w:val="000000"/>
                <w:sz w:val="18"/>
                <w:szCs w:val="18"/>
                <w:lang w:eastAsia="sk-SK"/>
              </w:rPr>
            </w:pPr>
            <w:r w:rsidRPr="00A53751">
              <w:rPr>
                <w:rFonts w:ascii="Times New Roman" w:hAnsi="Times New Roman"/>
                <w:b/>
                <w:color w:val="000000"/>
                <w:sz w:val="18"/>
                <w:szCs w:val="18"/>
                <w:lang w:eastAsia="sk-SK"/>
              </w:rPr>
              <w:t>-56,6</w:t>
            </w:r>
          </w:p>
        </w:tc>
      </w:tr>
    </w:tbl>
    <w:p w:rsidR="005F5C4C" w:rsidRPr="003952AC" w:rsidP="005F5C4C">
      <w:pPr>
        <w:bidi w:val="0"/>
        <w:jc w:val="right"/>
        <w:rPr>
          <w:rFonts w:ascii="Times New Roman" w:hAnsi="Times New Roman"/>
          <w:sz w:val="18"/>
          <w:szCs w:val="18"/>
        </w:rPr>
      </w:pPr>
      <w:r w:rsidRPr="003952AC">
        <w:rPr>
          <w:rFonts w:ascii="Times New Roman" w:hAnsi="Times New Roman"/>
          <w:sz w:val="18"/>
          <w:szCs w:val="18"/>
        </w:rPr>
        <w:t>Zdroj: MF SR</w:t>
      </w:r>
    </w:p>
    <w:p w:rsidR="005F5C4C" w:rsidRPr="00850BD1" w:rsidP="00A14940">
      <w:pPr>
        <w:tabs>
          <w:tab w:val="left" w:pos="284"/>
        </w:tabs>
        <w:bidi w:val="0"/>
        <w:rPr>
          <w:rFonts w:ascii="Times New Roman" w:hAnsi="Times New Roman"/>
          <w:b/>
          <w:szCs w:val="22"/>
        </w:rPr>
      </w:pPr>
      <w:r w:rsidRPr="00850BD1">
        <w:rPr>
          <w:rFonts w:ascii="Times New Roman" w:hAnsi="Times New Roman"/>
          <w:b/>
          <w:szCs w:val="22"/>
        </w:rPr>
        <w:t>Spolufinancovanie zo štátneho rozpočtu k zahraničným grantom z EÚ a k prostriedkom poskytnutým na základe medzinárodných zmlúv</w:t>
      </w:r>
    </w:p>
    <w:p w:rsidR="005F5C4C" w:rsidRPr="00850BD1" w:rsidP="005F5C4C">
      <w:pPr>
        <w:bidi w:val="0"/>
        <w:rPr>
          <w:rFonts w:ascii="Times New Roman" w:hAnsi="Times New Roman"/>
          <w:szCs w:val="22"/>
        </w:rPr>
      </w:pPr>
      <w:r w:rsidRPr="00850BD1">
        <w:rPr>
          <w:rFonts w:ascii="Times New Roman" w:hAnsi="Times New Roman"/>
          <w:szCs w:val="22"/>
        </w:rPr>
        <w:t>Okrem výdavkov na spolufinancovanie zo ŠR k prostriedkom EÚ sú rozpočtované aj výdavky na spolufinancovanie zo ŠR k zahraničným grantom (finančný nástroj pre životné prostredie LIFE+ a programy európskej územnej spolupráce), k prostriedkom poskytnutým na základe medzinárodných zmlúv (Finančný mechanizmus EHP a Nórsky finančný mechanizmus) a</w:t>
      </w:r>
      <w:r w:rsidR="003952AC">
        <w:rPr>
          <w:rFonts w:ascii="Times New Roman" w:hAnsi="Times New Roman"/>
          <w:szCs w:val="22"/>
        </w:rPr>
        <w:t xml:space="preserve"> </w:t>
      </w:r>
      <w:r w:rsidRPr="00850BD1">
        <w:rPr>
          <w:rFonts w:ascii="Times New Roman" w:hAnsi="Times New Roman"/>
          <w:szCs w:val="22"/>
        </w:rPr>
        <w:t>k</w:t>
      </w:r>
      <w:r w:rsidR="003952AC">
        <w:rPr>
          <w:rFonts w:ascii="Times New Roman" w:hAnsi="Times New Roman"/>
          <w:szCs w:val="22"/>
        </w:rPr>
        <w:t> </w:t>
      </w:r>
      <w:r w:rsidRPr="00850BD1">
        <w:rPr>
          <w:rFonts w:ascii="Times New Roman" w:hAnsi="Times New Roman"/>
          <w:szCs w:val="22"/>
        </w:rPr>
        <w:t xml:space="preserve">prostriedkom na spolufinancovanie </w:t>
      </w:r>
      <w:r w:rsidRPr="00850BD1">
        <w:rPr>
          <w:rFonts w:ascii="Times New Roman" w:hAnsi="Times New Roman"/>
          <w:bCs/>
          <w:szCs w:val="22"/>
        </w:rPr>
        <w:t xml:space="preserve">fondov pre oblasť vnútorných záležitostí na </w:t>
      </w:r>
      <w:r w:rsidRPr="00850BD1">
        <w:rPr>
          <w:rFonts w:ascii="Times New Roman" w:hAnsi="Times New Roman"/>
          <w:szCs w:val="22"/>
        </w:rPr>
        <w:t>roky 2014 - 2020.</w:t>
      </w:r>
    </w:p>
    <w:p w:rsidR="005F5C4C" w:rsidRPr="00850BD1" w:rsidP="005F5C4C">
      <w:pPr>
        <w:bidi w:val="0"/>
        <w:rPr>
          <w:rFonts w:ascii="Times New Roman" w:hAnsi="Times New Roman"/>
          <w:szCs w:val="22"/>
        </w:rPr>
      </w:pPr>
      <w:r w:rsidRPr="00850BD1">
        <w:rPr>
          <w:rFonts w:ascii="Times New Roman" w:hAnsi="Times New Roman"/>
          <w:szCs w:val="22"/>
        </w:rPr>
        <w:t>Čerpanie výdavkov na spolufinancovanie k zahraničným grantom z prostriedkov EÚ v roku 2017 predstavovalo sumu 1 454 tis. eur. Čerpanie výdavkov k prostriedkom poskytnutým na základe medzinárodných zmlúv v roku 2017 predstavovalo sumu 1 159 tis. eur.</w:t>
      </w:r>
    </w:p>
    <w:p w:rsidR="003004F9" w:rsidP="00EB7A00">
      <w:pPr>
        <w:bidi w:val="0"/>
        <w:rPr>
          <w:rFonts w:ascii="Times New Roman" w:hAnsi="Times New Roman"/>
          <w:szCs w:val="22"/>
        </w:rPr>
      </w:pPr>
      <w:r w:rsidRPr="00850BD1" w:rsidR="005F5C4C">
        <w:rPr>
          <w:rFonts w:ascii="Times New Roman" w:hAnsi="Times New Roman"/>
          <w:szCs w:val="22"/>
        </w:rPr>
        <w:t>Prehľad výdavkov na spolufinancovanie zo štátneho rozpočtu k zahraničným grantom z EÚ a</w:t>
      </w:r>
      <w:r w:rsidR="003952AC">
        <w:rPr>
          <w:rFonts w:ascii="Times New Roman" w:hAnsi="Times New Roman"/>
          <w:szCs w:val="22"/>
        </w:rPr>
        <w:t xml:space="preserve"> </w:t>
      </w:r>
      <w:r w:rsidRPr="00850BD1" w:rsidR="005F5C4C">
        <w:rPr>
          <w:rFonts w:ascii="Times New Roman" w:hAnsi="Times New Roman"/>
          <w:szCs w:val="22"/>
        </w:rPr>
        <w:t>k prostriedkom poskytnutým na základe medzinárodných zmlúv je uvedený v nasledovnej tabuľke:</w:t>
      </w:r>
    </w:p>
    <w:p w:rsidR="003004F9" w:rsidP="003004F9">
      <w:pPr>
        <w:bidi w:val="0"/>
        <w:rPr>
          <w:rFonts w:ascii="Times New Roman" w:hAnsi="Times New Roman"/>
        </w:rPr>
      </w:pPr>
      <w:r>
        <w:rPr>
          <w:rFonts w:ascii="Times New Roman" w:hAnsi="Times New Roman"/>
        </w:rPr>
        <w:br w:type="page"/>
      </w:r>
    </w:p>
    <w:tbl>
      <w:tblPr>
        <w:tblStyle w:val="TableNormal"/>
        <w:tblW w:w="5000" w:type="pct"/>
        <w:tblLayout w:type="fixed"/>
        <w:tblCellMar>
          <w:left w:w="70" w:type="dxa"/>
          <w:right w:w="70" w:type="dxa"/>
        </w:tblCellMar>
        <w:tblLook w:val="04A0"/>
      </w:tblPr>
      <w:tblGrid>
        <w:gridCol w:w="3612"/>
        <w:gridCol w:w="850"/>
        <w:gridCol w:w="854"/>
        <w:gridCol w:w="852"/>
        <w:gridCol w:w="1134"/>
        <w:gridCol w:w="791"/>
        <w:gridCol w:w="96"/>
        <w:gridCol w:w="739"/>
      </w:tblGrid>
      <w:tr>
        <w:tblPrEx>
          <w:tblW w:w="5000" w:type="pct"/>
          <w:tblLayout w:type="fixed"/>
          <w:tblCellMar>
            <w:left w:w="70" w:type="dxa"/>
            <w:right w:w="70" w:type="dxa"/>
          </w:tblCellMar>
          <w:tblLook w:val="04A0"/>
        </w:tblPrEx>
        <w:trPr>
          <w:trHeight w:val="330"/>
        </w:trPr>
        <w:tc>
          <w:tcPr>
            <w:tcW w:w="4532" w:type="pct"/>
            <w:gridSpan w:val="6"/>
            <w:tcBorders>
              <w:top w:val="nil"/>
              <w:left w:val="nil"/>
              <w:bottom w:val="nil"/>
              <w:right w:val="nil"/>
            </w:tcBorders>
            <w:shd w:val="clear" w:color="000000" w:fill="000000"/>
            <w:noWrap/>
            <w:textDirection w:val="lrTb"/>
            <w:vAlign w:val="bottom"/>
            <w:hideMark/>
          </w:tcPr>
          <w:p w:rsidR="00B44B20" w:rsidRPr="00B44B20" w:rsidP="00B44B20">
            <w:pPr>
              <w:bidi w:val="0"/>
              <w:spacing w:after="0" w:line="240" w:lineRule="auto"/>
              <w:rPr>
                <w:rFonts w:ascii="Times New Roman" w:hAnsi="Times New Roman"/>
                <w:b/>
                <w:sz w:val="18"/>
                <w:szCs w:val="18"/>
              </w:rPr>
            </w:pPr>
            <w:bookmarkStart w:id="79" w:name="RANGE!A2:G12"/>
            <w:bookmarkEnd w:id="79"/>
            <w:r w:rsidRPr="00B44B20" w:rsidR="005F5C4C">
              <w:rPr>
                <w:rFonts w:ascii="Times New Roman" w:hAnsi="Times New Roman"/>
                <w:b/>
                <w:sz w:val="18"/>
                <w:szCs w:val="18"/>
              </w:rPr>
              <w:t xml:space="preserve">Spolufinancovanie zo ŠR k zahraničným grantom/k prostriedkom poskytnutým na základe medzinárodných zmlúv </w:t>
            </w:r>
          </w:p>
        </w:tc>
        <w:tc>
          <w:tcPr>
            <w:tcW w:w="468" w:type="pct"/>
            <w:gridSpan w:val="2"/>
            <w:tcBorders>
              <w:top w:val="nil"/>
              <w:left w:val="nil"/>
              <w:bottom w:val="nil"/>
              <w:right w:val="nil"/>
            </w:tcBorders>
            <w:shd w:val="clear" w:color="000000" w:fill="000000"/>
            <w:noWrap/>
            <w:textDirection w:val="lrTb"/>
            <w:vAlign w:val="bottom"/>
            <w:hideMark/>
          </w:tcPr>
          <w:p w:rsidR="005F5C4C" w:rsidRPr="00B44B20" w:rsidP="005F5C4C">
            <w:pPr>
              <w:bidi w:val="0"/>
              <w:spacing w:after="0" w:line="240" w:lineRule="auto"/>
              <w:rPr>
                <w:rFonts w:ascii="Times New Roman" w:hAnsi="Times New Roman"/>
                <w:b/>
                <w:sz w:val="18"/>
                <w:szCs w:val="18"/>
              </w:rPr>
            </w:pPr>
            <w:r w:rsidRPr="00B44B20">
              <w:rPr>
                <w:rFonts w:ascii="Times New Roman" w:hAnsi="Times New Roman"/>
                <w:b/>
                <w:sz w:val="18"/>
                <w:szCs w:val="18"/>
              </w:rPr>
              <w:t>v tis. eur</w:t>
            </w:r>
          </w:p>
        </w:tc>
      </w:tr>
      <w:tr>
        <w:tblPrEx>
          <w:tblW w:w="5000" w:type="pct"/>
          <w:tblLayout w:type="fixed"/>
          <w:tblCellMar>
            <w:left w:w="70" w:type="dxa"/>
            <w:right w:w="70" w:type="dxa"/>
          </w:tblCellMar>
          <w:tblLook w:val="04A0"/>
        </w:tblPrEx>
        <w:trPr>
          <w:trHeight w:val="330"/>
        </w:trPr>
        <w:tc>
          <w:tcPr>
            <w:tcW w:w="2023"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954" w:type="pct"/>
            <w:gridSpan w:val="2"/>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477"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Rozpočet</w:t>
            </w:r>
          </w:p>
        </w:tc>
        <w:tc>
          <w:tcPr>
            <w:tcW w:w="635"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Skutočnosť</w:t>
            </w:r>
          </w:p>
        </w:tc>
        <w:tc>
          <w:tcPr>
            <w:tcW w:w="911" w:type="pct"/>
            <w:gridSpan w:val="3"/>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Rozdiel</w:t>
            </w:r>
          </w:p>
        </w:tc>
      </w:tr>
      <w:tr>
        <w:tblPrEx>
          <w:tblW w:w="5000" w:type="pct"/>
          <w:tblLayout w:type="fixed"/>
          <w:tblCellMar>
            <w:left w:w="70" w:type="dxa"/>
            <w:right w:w="70" w:type="dxa"/>
          </w:tblCellMar>
          <w:tblLook w:val="04A0"/>
        </w:tblPrEx>
        <w:trPr>
          <w:trHeight w:val="330"/>
        </w:trPr>
        <w:tc>
          <w:tcPr>
            <w:tcW w:w="2023"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476"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2015</w:t>
            </w:r>
          </w:p>
        </w:tc>
        <w:tc>
          <w:tcPr>
            <w:tcW w:w="478"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2016</w:t>
            </w:r>
          </w:p>
        </w:tc>
        <w:tc>
          <w:tcPr>
            <w:tcW w:w="477"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635"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2017</w:t>
            </w:r>
          </w:p>
        </w:tc>
        <w:tc>
          <w:tcPr>
            <w:tcW w:w="497" w:type="pct"/>
            <w:gridSpan w:val="2"/>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tis. eur</w:t>
            </w:r>
          </w:p>
        </w:tc>
        <w:tc>
          <w:tcPr>
            <w:tcW w:w="414" w:type="pct"/>
            <w:tcBorders>
              <w:top w:val="nil"/>
              <w:left w:val="nil"/>
              <w:bottom w:val="nil"/>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v %</w:t>
            </w:r>
          </w:p>
        </w:tc>
      </w:tr>
      <w:tr>
        <w:tblPrEx>
          <w:tblW w:w="5000" w:type="pct"/>
          <w:tblLayout w:type="fixed"/>
          <w:tblCellMar>
            <w:left w:w="70" w:type="dxa"/>
            <w:right w:w="70" w:type="dxa"/>
          </w:tblCellMar>
          <w:tblLook w:val="04A0"/>
        </w:tblPrEx>
        <w:trPr>
          <w:trHeight w:val="345"/>
        </w:trPr>
        <w:tc>
          <w:tcPr>
            <w:tcW w:w="2023"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left"/>
              <w:rPr>
                <w:rFonts w:ascii="Times New Roman" w:hAnsi="Times New Roman"/>
                <w:b/>
                <w:sz w:val="18"/>
                <w:szCs w:val="18"/>
              </w:rPr>
            </w:pPr>
            <w:r w:rsidRPr="00B44B20">
              <w:rPr>
                <w:rFonts w:ascii="Times New Roman" w:hAnsi="Times New Roman"/>
                <w:b/>
                <w:sz w:val="18"/>
                <w:szCs w:val="18"/>
              </w:rPr>
              <w:t> </w:t>
            </w:r>
          </w:p>
        </w:tc>
        <w:tc>
          <w:tcPr>
            <w:tcW w:w="476"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1</w:t>
            </w:r>
          </w:p>
        </w:tc>
        <w:tc>
          <w:tcPr>
            <w:tcW w:w="478"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2</w:t>
            </w:r>
          </w:p>
        </w:tc>
        <w:tc>
          <w:tcPr>
            <w:tcW w:w="477"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3</w:t>
            </w:r>
          </w:p>
        </w:tc>
        <w:tc>
          <w:tcPr>
            <w:tcW w:w="635"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4</w:t>
            </w:r>
          </w:p>
        </w:tc>
        <w:tc>
          <w:tcPr>
            <w:tcW w:w="497" w:type="pct"/>
            <w:gridSpan w:val="2"/>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5=4-3</w:t>
            </w:r>
          </w:p>
        </w:tc>
        <w:tc>
          <w:tcPr>
            <w:tcW w:w="414" w:type="pct"/>
            <w:tcBorders>
              <w:top w:val="nil"/>
              <w:left w:val="nil"/>
              <w:bottom w:val="single" w:sz="8" w:space="0" w:color="auto"/>
              <w:right w:val="nil"/>
            </w:tcBorders>
            <w:shd w:val="clear" w:color="000000" w:fill="BFBFBF"/>
            <w:textDirection w:val="lrTb"/>
            <w:vAlign w:val="center"/>
            <w:hideMark/>
          </w:tcPr>
          <w:p w:rsidR="005F5C4C" w:rsidRPr="00B44B20" w:rsidP="003952AC">
            <w:pPr>
              <w:bidi w:val="0"/>
              <w:spacing w:after="0" w:line="240" w:lineRule="auto"/>
              <w:jc w:val="center"/>
              <w:rPr>
                <w:rFonts w:ascii="Times New Roman" w:hAnsi="Times New Roman"/>
                <w:b/>
                <w:sz w:val="18"/>
                <w:szCs w:val="18"/>
              </w:rPr>
            </w:pPr>
            <w:r w:rsidRPr="00B44B20">
              <w:rPr>
                <w:rFonts w:ascii="Times New Roman" w:hAnsi="Times New Roman"/>
                <w:b/>
                <w:sz w:val="18"/>
                <w:szCs w:val="18"/>
              </w:rPr>
              <w:t>6=4-3</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B44B20" w:rsidP="005468EC">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 xml:space="preserve">Finančný nástroj pre životné prostredie </w:t>
              <w:br/>
              <w:t>LIFE + (2. a 3. programové obdobie)</w:t>
            </w:r>
          </w:p>
        </w:tc>
        <w:tc>
          <w:tcPr>
            <w:tcW w:w="476"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2 576</w:t>
            </w:r>
          </w:p>
        </w:tc>
        <w:tc>
          <w:tcPr>
            <w:tcW w:w="478"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1 501</w:t>
            </w:r>
          </w:p>
        </w:tc>
        <w:tc>
          <w:tcPr>
            <w:tcW w:w="477"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3 500</w:t>
            </w:r>
          </w:p>
        </w:tc>
        <w:tc>
          <w:tcPr>
            <w:tcW w:w="635" w:type="pct"/>
            <w:tcBorders>
              <w:top w:val="nil"/>
              <w:left w:val="nil"/>
              <w:bottom w:val="nil"/>
              <w:right w:val="nil"/>
            </w:tcBorders>
            <w:shd w:val="clear" w:color="auto" w:fill="BFBFB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958</w:t>
            </w:r>
          </w:p>
        </w:tc>
        <w:tc>
          <w:tcPr>
            <w:tcW w:w="497" w:type="pct"/>
            <w:gridSpan w:val="2"/>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-2 542</w:t>
            </w:r>
          </w:p>
        </w:tc>
        <w:tc>
          <w:tcPr>
            <w:tcW w:w="414"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-72,6</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B44B20" w:rsidP="005468EC">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Programy EÚS (2. a 3. programové obdobie)</w:t>
            </w:r>
          </w:p>
        </w:tc>
        <w:tc>
          <w:tcPr>
            <w:tcW w:w="476"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5 682</w:t>
            </w:r>
          </w:p>
        </w:tc>
        <w:tc>
          <w:tcPr>
            <w:tcW w:w="478" w:type="pct"/>
            <w:tcBorders>
              <w:top w:val="nil"/>
              <w:left w:val="nil"/>
              <w:bottom w:val="nil"/>
              <w:right w:val="nil"/>
            </w:tcBorders>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3 556</w:t>
            </w:r>
          </w:p>
        </w:tc>
        <w:tc>
          <w:tcPr>
            <w:tcW w:w="477"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88</w:t>
            </w:r>
          </w:p>
        </w:tc>
        <w:tc>
          <w:tcPr>
            <w:tcW w:w="635" w:type="pct"/>
            <w:tcBorders>
              <w:top w:val="nil"/>
              <w:left w:val="nil"/>
              <w:bottom w:val="nil"/>
              <w:right w:val="nil"/>
            </w:tcBorders>
            <w:shd w:val="clear" w:color="auto" w:fill="BFBFB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496</w:t>
            </w:r>
          </w:p>
        </w:tc>
        <w:tc>
          <w:tcPr>
            <w:tcW w:w="497" w:type="pct"/>
            <w:gridSpan w:val="2"/>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408</w:t>
            </w:r>
          </w:p>
        </w:tc>
        <w:tc>
          <w:tcPr>
            <w:tcW w:w="414"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463,6</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5468EC" w:rsidP="005468EC">
            <w:pPr>
              <w:bidi w:val="0"/>
              <w:spacing w:after="0" w:line="240" w:lineRule="auto"/>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Spolu spolufinancovanie k zahraničným grantom z prostriedkov EÚ</w:t>
            </w:r>
          </w:p>
        </w:tc>
        <w:tc>
          <w:tcPr>
            <w:tcW w:w="476"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8 258</w:t>
            </w:r>
          </w:p>
        </w:tc>
        <w:tc>
          <w:tcPr>
            <w:tcW w:w="478"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5 057</w:t>
            </w:r>
          </w:p>
        </w:tc>
        <w:tc>
          <w:tcPr>
            <w:tcW w:w="477"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3 588</w:t>
            </w:r>
          </w:p>
        </w:tc>
        <w:tc>
          <w:tcPr>
            <w:tcW w:w="635"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1 454</w:t>
            </w:r>
          </w:p>
        </w:tc>
        <w:tc>
          <w:tcPr>
            <w:tcW w:w="497" w:type="pct"/>
            <w:gridSpan w:val="2"/>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-2 134</w:t>
            </w:r>
          </w:p>
        </w:tc>
        <w:tc>
          <w:tcPr>
            <w:tcW w:w="414"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-59,5</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B44B20" w:rsidP="005468EC">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Finančný mechanizmus EHP</w:t>
            </w:r>
          </w:p>
        </w:tc>
        <w:tc>
          <w:tcPr>
            <w:tcW w:w="476"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1 007</w:t>
            </w:r>
          </w:p>
        </w:tc>
        <w:tc>
          <w:tcPr>
            <w:tcW w:w="478"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997</w:t>
            </w:r>
          </w:p>
        </w:tc>
        <w:tc>
          <w:tcPr>
            <w:tcW w:w="477"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477</w:t>
            </w:r>
          </w:p>
        </w:tc>
        <w:tc>
          <w:tcPr>
            <w:tcW w:w="635" w:type="pct"/>
            <w:tcBorders>
              <w:top w:val="nil"/>
              <w:left w:val="nil"/>
              <w:bottom w:val="nil"/>
              <w:right w:val="nil"/>
            </w:tcBorders>
            <w:shd w:val="clear" w:color="auto" w:fill="BFBFB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519</w:t>
            </w:r>
          </w:p>
        </w:tc>
        <w:tc>
          <w:tcPr>
            <w:tcW w:w="497" w:type="pct"/>
            <w:gridSpan w:val="2"/>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42</w:t>
            </w:r>
          </w:p>
        </w:tc>
        <w:tc>
          <w:tcPr>
            <w:tcW w:w="414"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8,8</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B44B20" w:rsidP="005468EC">
            <w:pPr>
              <w:bidi w:val="0"/>
              <w:spacing w:after="0" w:line="240" w:lineRule="auto"/>
              <w:rPr>
                <w:rFonts w:ascii="Times New Roman" w:hAnsi="Times New Roman"/>
                <w:color w:val="000000"/>
                <w:sz w:val="18"/>
                <w:szCs w:val="18"/>
                <w:lang w:eastAsia="sk-SK"/>
              </w:rPr>
            </w:pPr>
            <w:r w:rsidRPr="00B44B20">
              <w:rPr>
                <w:rFonts w:ascii="Times New Roman" w:hAnsi="Times New Roman"/>
                <w:color w:val="000000"/>
                <w:sz w:val="18"/>
                <w:szCs w:val="18"/>
                <w:lang w:eastAsia="sk-SK"/>
              </w:rPr>
              <w:t>Nórsky finančný mechanizmus</w:t>
            </w:r>
          </w:p>
        </w:tc>
        <w:tc>
          <w:tcPr>
            <w:tcW w:w="476"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2 832</w:t>
            </w:r>
          </w:p>
        </w:tc>
        <w:tc>
          <w:tcPr>
            <w:tcW w:w="478"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738</w:t>
            </w:r>
          </w:p>
        </w:tc>
        <w:tc>
          <w:tcPr>
            <w:tcW w:w="477"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582</w:t>
            </w:r>
          </w:p>
        </w:tc>
        <w:tc>
          <w:tcPr>
            <w:tcW w:w="635" w:type="pct"/>
            <w:tcBorders>
              <w:top w:val="nil"/>
              <w:left w:val="nil"/>
              <w:bottom w:val="nil"/>
              <w:right w:val="nil"/>
            </w:tcBorders>
            <w:shd w:val="clear" w:color="auto" w:fill="BFBFB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640</w:t>
            </w:r>
          </w:p>
        </w:tc>
        <w:tc>
          <w:tcPr>
            <w:tcW w:w="497" w:type="pct"/>
            <w:gridSpan w:val="2"/>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58</w:t>
            </w:r>
          </w:p>
        </w:tc>
        <w:tc>
          <w:tcPr>
            <w:tcW w:w="414" w:type="pct"/>
            <w:tcBorders>
              <w:top w:val="nil"/>
              <w:left w:val="nil"/>
              <w:bottom w:val="nil"/>
              <w:right w:val="nil"/>
            </w:tcBorders>
            <w:shd w:val="clear" w:color="000000" w:fill="FFFFFF"/>
            <w:noWrap/>
            <w:textDirection w:val="lrTb"/>
            <w:vAlign w:val="center"/>
            <w:hideMark/>
          </w:tcPr>
          <w:p w:rsidR="005F5C4C" w:rsidRPr="00B44B20" w:rsidP="005468EC">
            <w:pPr>
              <w:bidi w:val="0"/>
              <w:spacing w:after="0" w:line="240" w:lineRule="auto"/>
              <w:jc w:val="right"/>
              <w:rPr>
                <w:rFonts w:ascii="Times New Roman" w:hAnsi="Times New Roman"/>
                <w:color w:val="000000"/>
                <w:sz w:val="18"/>
                <w:szCs w:val="18"/>
                <w:lang w:eastAsia="sk-SK"/>
              </w:rPr>
            </w:pPr>
            <w:r w:rsidRPr="00B44B20">
              <w:rPr>
                <w:rFonts w:ascii="Times New Roman" w:hAnsi="Times New Roman"/>
                <w:color w:val="000000"/>
                <w:sz w:val="18"/>
                <w:szCs w:val="18"/>
                <w:lang w:eastAsia="sk-SK"/>
              </w:rPr>
              <w:t>10,0</w:t>
            </w:r>
          </w:p>
        </w:tc>
      </w:tr>
      <w:tr>
        <w:tblPrEx>
          <w:tblW w:w="5000" w:type="pct"/>
          <w:tblLayout w:type="fixed"/>
          <w:tblCellMar>
            <w:left w:w="70" w:type="dxa"/>
            <w:right w:w="70" w:type="dxa"/>
          </w:tblCellMar>
          <w:tblLook w:val="04A0"/>
        </w:tblPrEx>
        <w:trPr>
          <w:trHeight w:val="300"/>
        </w:trPr>
        <w:tc>
          <w:tcPr>
            <w:tcW w:w="2023" w:type="pct"/>
            <w:tcBorders>
              <w:top w:val="nil"/>
              <w:left w:val="nil"/>
              <w:bottom w:val="nil"/>
              <w:right w:val="nil"/>
            </w:tcBorders>
            <w:shd w:val="clear" w:color="000000" w:fill="FFFFFF"/>
            <w:textDirection w:val="lrTb"/>
            <w:vAlign w:val="center"/>
            <w:hideMark/>
          </w:tcPr>
          <w:p w:rsidR="005F5C4C" w:rsidRPr="005468EC" w:rsidP="005468EC">
            <w:pPr>
              <w:bidi w:val="0"/>
              <w:spacing w:after="0" w:line="240" w:lineRule="auto"/>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Spolu spolufinancovanie k prostriedkom poskytnutým na základe medzinárodných zmlúv</w:t>
            </w:r>
          </w:p>
        </w:tc>
        <w:tc>
          <w:tcPr>
            <w:tcW w:w="476"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3 839</w:t>
            </w:r>
          </w:p>
        </w:tc>
        <w:tc>
          <w:tcPr>
            <w:tcW w:w="478"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1 735</w:t>
            </w:r>
          </w:p>
        </w:tc>
        <w:tc>
          <w:tcPr>
            <w:tcW w:w="477"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1 059</w:t>
            </w:r>
          </w:p>
        </w:tc>
        <w:tc>
          <w:tcPr>
            <w:tcW w:w="635"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1 159</w:t>
            </w:r>
          </w:p>
        </w:tc>
        <w:tc>
          <w:tcPr>
            <w:tcW w:w="497" w:type="pct"/>
            <w:gridSpan w:val="2"/>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100</w:t>
            </w:r>
          </w:p>
        </w:tc>
        <w:tc>
          <w:tcPr>
            <w:tcW w:w="414" w:type="pct"/>
            <w:tcBorders>
              <w:top w:val="nil"/>
              <w:left w:val="nil"/>
              <w:bottom w:val="nil"/>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9,4</w:t>
            </w:r>
          </w:p>
        </w:tc>
      </w:tr>
      <w:tr>
        <w:tblPrEx>
          <w:tblW w:w="5000" w:type="pct"/>
          <w:tblLayout w:type="fixed"/>
          <w:tblCellMar>
            <w:left w:w="70" w:type="dxa"/>
            <w:right w:w="70" w:type="dxa"/>
          </w:tblCellMar>
          <w:tblLook w:val="04A0"/>
        </w:tblPrEx>
        <w:trPr>
          <w:trHeight w:val="300"/>
        </w:trPr>
        <w:tc>
          <w:tcPr>
            <w:tcW w:w="2023" w:type="pct"/>
            <w:tcBorders>
              <w:top w:val="single" w:sz="4" w:space="0" w:color="auto"/>
              <w:left w:val="nil"/>
              <w:bottom w:val="single" w:sz="8" w:space="0" w:color="auto"/>
              <w:right w:val="nil"/>
            </w:tcBorders>
            <w:shd w:val="clear" w:color="000000" w:fill="FFFFFF"/>
            <w:textDirection w:val="lrTb"/>
            <w:vAlign w:val="center"/>
            <w:hideMark/>
          </w:tcPr>
          <w:p w:rsidR="005F5C4C" w:rsidRPr="005468EC" w:rsidP="005468EC">
            <w:pPr>
              <w:bidi w:val="0"/>
              <w:spacing w:after="0" w:line="240" w:lineRule="auto"/>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 xml:space="preserve">Spolu </w:t>
            </w:r>
          </w:p>
        </w:tc>
        <w:tc>
          <w:tcPr>
            <w:tcW w:w="476"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12 097</w:t>
            </w:r>
          </w:p>
        </w:tc>
        <w:tc>
          <w:tcPr>
            <w:tcW w:w="478"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6 792</w:t>
            </w:r>
          </w:p>
        </w:tc>
        <w:tc>
          <w:tcPr>
            <w:tcW w:w="477"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4 647</w:t>
            </w:r>
          </w:p>
        </w:tc>
        <w:tc>
          <w:tcPr>
            <w:tcW w:w="635" w:type="pct"/>
            <w:tcBorders>
              <w:top w:val="single" w:sz="4" w:space="0" w:color="auto"/>
              <w:left w:val="nil"/>
              <w:bottom w:val="single" w:sz="8" w:space="0" w:color="auto"/>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2 613</w:t>
            </w:r>
          </w:p>
        </w:tc>
        <w:tc>
          <w:tcPr>
            <w:tcW w:w="497" w:type="pct"/>
            <w:gridSpan w:val="2"/>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-2 034</w:t>
            </w:r>
          </w:p>
        </w:tc>
        <w:tc>
          <w:tcPr>
            <w:tcW w:w="41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-43,8</w:t>
            </w:r>
          </w:p>
        </w:tc>
      </w:tr>
    </w:tbl>
    <w:p w:rsidR="005F5C4C" w:rsidRPr="00B779DC" w:rsidP="005F5C4C">
      <w:pPr>
        <w:bidi w:val="0"/>
        <w:jc w:val="right"/>
        <w:rPr>
          <w:rFonts w:ascii="Times New Roman" w:hAnsi="Times New Roman"/>
          <w:sz w:val="18"/>
          <w:szCs w:val="18"/>
        </w:rPr>
      </w:pPr>
      <w:r w:rsidRPr="00B779DC">
        <w:rPr>
          <w:rFonts w:ascii="Times New Roman" w:hAnsi="Times New Roman"/>
          <w:sz w:val="18"/>
          <w:szCs w:val="18"/>
        </w:rPr>
        <w:t>Zdroj: MF SR</w:t>
      </w:r>
    </w:p>
    <w:p w:rsidR="005F5C4C" w:rsidP="005F5C4C">
      <w:pPr>
        <w:bidi w:val="0"/>
        <w:rPr>
          <w:rFonts w:ascii="Times New Roman" w:hAnsi="Times New Roman"/>
          <w:szCs w:val="22"/>
        </w:rPr>
      </w:pPr>
      <w:r w:rsidRPr="006D0B3D">
        <w:rPr>
          <w:rFonts w:ascii="Times New Roman" w:hAnsi="Times New Roman"/>
          <w:szCs w:val="22"/>
        </w:rPr>
        <w:t xml:space="preserve">Celkový prehľad výdavkov na spolufinancovanie zo štátneho rozpočtu k prostriedkom EÚ, </w:t>
      </w:r>
      <w:r w:rsidR="004854EA">
        <w:rPr>
          <w:rFonts w:ascii="Times New Roman" w:hAnsi="Times New Roman"/>
          <w:szCs w:val="22"/>
        </w:rPr>
        <w:t>k </w:t>
      </w:r>
      <w:r w:rsidRPr="006D0B3D">
        <w:rPr>
          <w:rFonts w:ascii="Times New Roman" w:hAnsi="Times New Roman"/>
          <w:szCs w:val="22"/>
        </w:rPr>
        <w:t>zahraničným grantom z prostriedkov EÚ a k prostriedkom poskytnutým na základe medzinárodných zmlúv vrátane vnútorných politík EÚ je uvedený v nasledovnej tabuľke:</w:t>
      </w:r>
    </w:p>
    <w:tbl>
      <w:tblPr>
        <w:tblStyle w:val="TableNormal"/>
        <w:tblW w:w="5053" w:type="pct"/>
        <w:tblLayout w:type="fixed"/>
        <w:tblCellMar>
          <w:left w:w="70" w:type="dxa"/>
          <w:right w:w="70" w:type="dxa"/>
        </w:tblCellMar>
        <w:tblLook w:val="04A0"/>
      </w:tblPr>
      <w:tblGrid>
        <w:gridCol w:w="3560"/>
        <w:gridCol w:w="841"/>
        <w:gridCol w:w="839"/>
        <w:gridCol w:w="984"/>
        <w:gridCol w:w="1119"/>
        <w:gridCol w:w="982"/>
        <w:gridCol w:w="698"/>
      </w:tblGrid>
      <w:tr>
        <w:tblPrEx>
          <w:tblW w:w="5053" w:type="pct"/>
          <w:tblLayout w:type="fixed"/>
          <w:tblCellMar>
            <w:left w:w="70" w:type="dxa"/>
            <w:right w:w="70" w:type="dxa"/>
          </w:tblCellMar>
          <w:tblLook w:val="04A0"/>
        </w:tblPrEx>
        <w:trPr>
          <w:trHeight w:val="326"/>
        </w:trPr>
        <w:tc>
          <w:tcPr>
            <w:tcW w:w="3449" w:type="pct"/>
            <w:gridSpan w:val="4"/>
            <w:tcBorders>
              <w:top w:val="nil"/>
              <w:left w:val="nil"/>
              <w:bottom w:val="nil"/>
              <w:right w:val="nil"/>
            </w:tcBorders>
            <w:shd w:val="clear" w:color="000000" w:fill="000000"/>
            <w:noWrap/>
            <w:textDirection w:val="lrTb"/>
            <w:vAlign w:val="bottom"/>
            <w:hideMark/>
          </w:tcPr>
          <w:p w:rsidR="005F5C4C" w:rsidRPr="005F5C4C" w:rsidP="005F5C4C">
            <w:pPr>
              <w:bidi w:val="0"/>
              <w:spacing w:after="0" w:line="240" w:lineRule="auto"/>
              <w:rPr>
                <w:rFonts w:ascii="Times New Roman" w:hAnsi="Times New Roman"/>
                <w:b/>
                <w:sz w:val="18"/>
                <w:szCs w:val="18"/>
              </w:rPr>
            </w:pPr>
            <w:bookmarkStart w:id="80" w:name="RANGE!A2:G11"/>
            <w:bookmarkEnd w:id="80"/>
            <w:r w:rsidRPr="005F5C4C">
              <w:rPr>
                <w:rFonts w:ascii="Times New Roman" w:hAnsi="Times New Roman"/>
                <w:b/>
                <w:sz w:val="18"/>
                <w:szCs w:val="18"/>
              </w:rPr>
              <w:t xml:space="preserve">Celkový prehľad spolufinancovania zo ŠR vrátane vnútorných politík EÚ </w:t>
            </w:r>
          </w:p>
        </w:tc>
        <w:tc>
          <w:tcPr>
            <w:tcW w:w="620" w:type="pct"/>
            <w:tcBorders>
              <w:top w:val="nil"/>
              <w:left w:val="nil"/>
              <w:bottom w:val="nil"/>
              <w:right w:val="nil"/>
            </w:tcBorders>
            <w:shd w:val="clear" w:color="000000" w:fill="000000"/>
            <w:noWrap/>
            <w:textDirection w:val="lrTb"/>
            <w:vAlign w:val="bottom"/>
            <w:hideMark/>
          </w:tcPr>
          <w:p w:rsidR="005F5C4C" w:rsidRPr="005F5C4C" w:rsidP="005F5C4C">
            <w:pPr>
              <w:bidi w:val="0"/>
              <w:spacing w:after="0" w:line="240" w:lineRule="auto"/>
              <w:rPr>
                <w:rFonts w:ascii="Times New Roman" w:hAnsi="Times New Roman"/>
                <w:b/>
                <w:sz w:val="18"/>
                <w:szCs w:val="18"/>
              </w:rPr>
            </w:pPr>
            <w:r w:rsidRPr="005F5C4C">
              <w:rPr>
                <w:rFonts w:ascii="Times New Roman" w:hAnsi="Times New Roman"/>
                <w:b/>
                <w:sz w:val="18"/>
                <w:szCs w:val="18"/>
              </w:rPr>
              <w:t> </w:t>
            </w:r>
          </w:p>
        </w:tc>
        <w:tc>
          <w:tcPr>
            <w:tcW w:w="931" w:type="pct"/>
            <w:gridSpan w:val="2"/>
            <w:tcBorders>
              <w:top w:val="nil"/>
              <w:left w:val="nil"/>
              <w:bottom w:val="nil"/>
              <w:right w:val="nil"/>
            </w:tcBorders>
            <w:shd w:val="clear" w:color="000000" w:fill="000000"/>
            <w:noWrap/>
            <w:textDirection w:val="lrTb"/>
            <w:vAlign w:val="bottom"/>
            <w:hideMark/>
          </w:tcPr>
          <w:p w:rsidR="005F5C4C" w:rsidRPr="005F5C4C" w:rsidP="00B44B20">
            <w:pPr>
              <w:bidi w:val="0"/>
              <w:spacing w:after="0" w:line="240" w:lineRule="auto"/>
              <w:rPr>
                <w:rFonts w:ascii="Times New Roman" w:hAnsi="Times New Roman"/>
                <w:b/>
                <w:sz w:val="18"/>
                <w:szCs w:val="18"/>
              </w:rPr>
            </w:pPr>
            <w:r w:rsidRPr="005F5C4C">
              <w:rPr>
                <w:rFonts w:ascii="Times New Roman" w:hAnsi="Times New Roman"/>
                <w:b/>
                <w:sz w:val="18"/>
                <w:szCs w:val="18"/>
              </w:rPr>
              <w:t> </w:t>
            </w:r>
            <w:r w:rsidR="001C3186">
              <w:rPr>
                <w:rFonts w:ascii="Times New Roman" w:hAnsi="Times New Roman"/>
                <w:b/>
                <w:sz w:val="18"/>
                <w:szCs w:val="18"/>
              </w:rPr>
              <w:t xml:space="preserve">                 </w:t>
            </w:r>
            <w:r w:rsidRPr="005F5C4C">
              <w:rPr>
                <w:rFonts w:ascii="Times New Roman" w:hAnsi="Times New Roman"/>
                <w:b/>
                <w:sz w:val="18"/>
                <w:szCs w:val="18"/>
              </w:rPr>
              <w:t>v tis. eur</w:t>
            </w:r>
          </w:p>
        </w:tc>
      </w:tr>
      <w:tr>
        <w:tblPrEx>
          <w:tblW w:w="5053" w:type="pct"/>
          <w:tblLayout w:type="fixed"/>
          <w:tblCellMar>
            <w:left w:w="70" w:type="dxa"/>
            <w:right w:w="70" w:type="dxa"/>
          </w:tblCellMar>
          <w:tblLook w:val="04A0"/>
        </w:tblPrEx>
        <w:trPr>
          <w:trHeight w:val="308"/>
        </w:trPr>
        <w:tc>
          <w:tcPr>
            <w:tcW w:w="1973"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left"/>
              <w:rPr>
                <w:rFonts w:ascii="Times New Roman" w:hAnsi="Times New Roman"/>
                <w:b/>
                <w:sz w:val="18"/>
                <w:szCs w:val="18"/>
              </w:rPr>
            </w:pPr>
            <w:r w:rsidRPr="000E7228">
              <w:rPr>
                <w:rFonts w:ascii="Times New Roman" w:hAnsi="Times New Roman"/>
                <w:b/>
                <w:sz w:val="18"/>
                <w:szCs w:val="18"/>
              </w:rPr>
              <w:t> </w:t>
            </w:r>
          </w:p>
        </w:tc>
        <w:tc>
          <w:tcPr>
            <w:tcW w:w="931" w:type="pct"/>
            <w:gridSpan w:val="2"/>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Skutočnosť</w:t>
            </w:r>
          </w:p>
        </w:tc>
        <w:tc>
          <w:tcPr>
            <w:tcW w:w="544"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Rozpočet</w:t>
            </w:r>
          </w:p>
        </w:tc>
        <w:tc>
          <w:tcPr>
            <w:tcW w:w="620"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Skutočnosť</w:t>
            </w:r>
          </w:p>
        </w:tc>
        <w:tc>
          <w:tcPr>
            <w:tcW w:w="931" w:type="pct"/>
            <w:gridSpan w:val="2"/>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Rozdiel</w:t>
            </w:r>
          </w:p>
        </w:tc>
      </w:tr>
      <w:tr>
        <w:tblPrEx>
          <w:tblW w:w="5053" w:type="pct"/>
          <w:tblLayout w:type="fixed"/>
          <w:tblCellMar>
            <w:left w:w="70" w:type="dxa"/>
            <w:right w:w="70" w:type="dxa"/>
          </w:tblCellMar>
          <w:tblLook w:val="04A0"/>
        </w:tblPrEx>
        <w:trPr>
          <w:trHeight w:val="308"/>
        </w:trPr>
        <w:tc>
          <w:tcPr>
            <w:tcW w:w="1973"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left"/>
              <w:rPr>
                <w:rFonts w:ascii="Times New Roman" w:hAnsi="Times New Roman"/>
                <w:b/>
                <w:sz w:val="18"/>
                <w:szCs w:val="18"/>
              </w:rPr>
            </w:pPr>
            <w:r w:rsidRPr="000E7228">
              <w:rPr>
                <w:rFonts w:ascii="Times New Roman" w:hAnsi="Times New Roman"/>
                <w:b/>
                <w:sz w:val="18"/>
                <w:szCs w:val="18"/>
              </w:rPr>
              <w:t> </w:t>
            </w:r>
          </w:p>
        </w:tc>
        <w:tc>
          <w:tcPr>
            <w:tcW w:w="466"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2015</w:t>
            </w:r>
          </w:p>
        </w:tc>
        <w:tc>
          <w:tcPr>
            <w:tcW w:w="464"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2016</w:t>
            </w:r>
          </w:p>
        </w:tc>
        <w:tc>
          <w:tcPr>
            <w:tcW w:w="544"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2017</w:t>
            </w:r>
          </w:p>
        </w:tc>
        <w:tc>
          <w:tcPr>
            <w:tcW w:w="620"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2017</w:t>
            </w:r>
          </w:p>
        </w:tc>
        <w:tc>
          <w:tcPr>
            <w:tcW w:w="544"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v tis. eur</w:t>
            </w:r>
          </w:p>
        </w:tc>
        <w:tc>
          <w:tcPr>
            <w:tcW w:w="387" w:type="pct"/>
            <w:tcBorders>
              <w:top w:val="nil"/>
              <w:left w:val="nil"/>
              <w:bottom w:val="nil"/>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v %</w:t>
            </w:r>
          </w:p>
        </w:tc>
      </w:tr>
      <w:tr>
        <w:tblPrEx>
          <w:tblW w:w="5053" w:type="pct"/>
          <w:tblLayout w:type="fixed"/>
          <w:tblCellMar>
            <w:left w:w="70" w:type="dxa"/>
            <w:right w:w="70" w:type="dxa"/>
          </w:tblCellMar>
          <w:tblLook w:val="04A0"/>
        </w:tblPrEx>
        <w:trPr>
          <w:trHeight w:val="308"/>
        </w:trPr>
        <w:tc>
          <w:tcPr>
            <w:tcW w:w="1973"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left"/>
              <w:rPr>
                <w:rFonts w:ascii="Times New Roman" w:hAnsi="Times New Roman"/>
                <w:b/>
                <w:sz w:val="18"/>
                <w:szCs w:val="18"/>
              </w:rPr>
            </w:pPr>
            <w:r w:rsidRPr="000E7228">
              <w:rPr>
                <w:rFonts w:ascii="Times New Roman" w:hAnsi="Times New Roman"/>
                <w:b/>
                <w:sz w:val="18"/>
                <w:szCs w:val="18"/>
              </w:rPr>
              <w:t> </w:t>
            </w:r>
          </w:p>
        </w:tc>
        <w:tc>
          <w:tcPr>
            <w:tcW w:w="466"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1</w:t>
            </w:r>
          </w:p>
        </w:tc>
        <w:tc>
          <w:tcPr>
            <w:tcW w:w="464"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2</w:t>
            </w:r>
          </w:p>
        </w:tc>
        <w:tc>
          <w:tcPr>
            <w:tcW w:w="544"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3</w:t>
            </w:r>
          </w:p>
        </w:tc>
        <w:tc>
          <w:tcPr>
            <w:tcW w:w="620"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4</w:t>
            </w:r>
          </w:p>
        </w:tc>
        <w:tc>
          <w:tcPr>
            <w:tcW w:w="544"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5=4-3</w:t>
            </w:r>
          </w:p>
        </w:tc>
        <w:tc>
          <w:tcPr>
            <w:tcW w:w="387" w:type="pct"/>
            <w:tcBorders>
              <w:top w:val="nil"/>
              <w:left w:val="nil"/>
              <w:bottom w:val="single" w:sz="8" w:space="0" w:color="auto"/>
              <w:right w:val="nil"/>
            </w:tcBorders>
            <w:shd w:val="clear" w:color="000000" w:fill="BFBFBF"/>
            <w:textDirection w:val="lrTb"/>
            <w:vAlign w:val="center"/>
            <w:hideMark/>
          </w:tcPr>
          <w:p w:rsidR="005F5C4C" w:rsidRPr="000E7228" w:rsidP="000E7228">
            <w:pPr>
              <w:bidi w:val="0"/>
              <w:spacing w:after="0" w:line="240" w:lineRule="auto"/>
              <w:jc w:val="center"/>
              <w:rPr>
                <w:rFonts w:ascii="Times New Roman" w:hAnsi="Times New Roman"/>
                <w:b/>
                <w:sz w:val="18"/>
                <w:szCs w:val="18"/>
              </w:rPr>
            </w:pPr>
            <w:r w:rsidRPr="000E7228">
              <w:rPr>
                <w:rFonts w:ascii="Times New Roman" w:hAnsi="Times New Roman"/>
                <w:b/>
                <w:sz w:val="18"/>
                <w:szCs w:val="18"/>
              </w:rPr>
              <w:t>6=4-3</w:t>
            </w:r>
          </w:p>
        </w:tc>
      </w:tr>
      <w:tr>
        <w:tblPrEx>
          <w:tblW w:w="5053" w:type="pct"/>
          <w:tblLayout w:type="fixed"/>
          <w:tblCellMar>
            <w:left w:w="70" w:type="dxa"/>
            <w:right w:w="70" w:type="dxa"/>
          </w:tblCellMar>
          <w:tblLook w:val="04A0"/>
        </w:tblPrEx>
        <w:trPr>
          <w:trHeight w:val="296"/>
        </w:trPr>
        <w:tc>
          <w:tcPr>
            <w:tcW w:w="1973" w:type="pct"/>
            <w:tcBorders>
              <w:top w:val="single" w:sz="4" w:space="0" w:color="auto"/>
              <w:left w:val="nil"/>
              <w:bottom w:val="nil"/>
              <w:right w:val="nil"/>
            </w:tcBorders>
            <w:textDirection w:val="lrTb"/>
            <w:vAlign w:val="center"/>
            <w:hideMark/>
          </w:tcPr>
          <w:p w:rsidR="005F5C4C" w:rsidRPr="005468EC" w:rsidP="005468EC">
            <w:pPr>
              <w:bidi w:val="0"/>
              <w:spacing w:after="0" w:line="240" w:lineRule="auto"/>
              <w:rPr>
                <w:rFonts w:ascii="Times New Roman" w:hAnsi="Times New Roman"/>
                <w:color w:val="000000"/>
                <w:sz w:val="18"/>
                <w:szCs w:val="18"/>
                <w:lang w:eastAsia="sk-SK"/>
              </w:rPr>
            </w:pPr>
            <w:r w:rsidRPr="005468EC">
              <w:rPr>
                <w:rFonts w:ascii="Times New Roman" w:hAnsi="Times New Roman"/>
                <w:color w:val="000000"/>
                <w:sz w:val="18"/>
                <w:szCs w:val="18"/>
                <w:lang w:eastAsia="sk-SK"/>
              </w:rPr>
              <w:t>Spolufinancovanie k prostriedkom EÚ (štrukturálne operácie, poľnohospodárske fondy)</w:t>
            </w:r>
          </w:p>
        </w:tc>
        <w:tc>
          <w:tcPr>
            <w:tcW w:w="466" w:type="pct"/>
            <w:tcBorders>
              <w:top w:val="single" w:sz="4" w:space="0" w:color="auto"/>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747 904</w:t>
            </w:r>
          </w:p>
        </w:tc>
        <w:tc>
          <w:tcPr>
            <w:tcW w:w="46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269 321</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523 390</w:t>
            </w:r>
          </w:p>
        </w:tc>
        <w:tc>
          <w:tcPr>
            <w:tcW w:w="620"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227 034</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-296 356</w:t>
            </w:r>
          </w:p>
        </w:tc>
        <w:tc>
          <w:tcPr>
            <w:tcW w:w="387" w:type="pct"/>
            <w:tcBorders>
              <w:top w:val="single" w:sz="4" w:space="0" w:color="auto"/>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-56,6</w:t>
            </w:r>
          </w:p>
        </w:tc>
      </w:tr>
      <w:tr>
        <w:tblPrEx>
          <w:tblW w:w="5053" w:type="pct"/>
          <w:tblLayout w:type="fixed"/>
          <w:tblCellMar>
            <w:left w:w="70" w:type="dxa"/>
            <w:right w:w="70" w:type="dxa"/>
          </w:tblCellMar>
          <w:tblLook w:val="04A0"/>
        </w:tblPrEx>
        <w:trPr>
          <w:trHeight w:val="296"/>
        </w:trPr>
        <w:tc>
          <w:tcPr>
            <w:tcW w:w="1973" w:type="pct"/>
            <w:tcBorders>
              <w:top w:val="nil"/>
              <w:left w:val="nil"/>
              <w:bottom w:val="nil"/>
              <w:right w:val="nil"/>
            </w:tcBorders>
            <w:textDirection w:val="lrTb"/>
            <w:vAlign w:val="center"/>
            <w:hideMark/>
          </w:tcPr>
          <w:p w:rsidR="005F5C4C" w:rsidRPr="005468EC" w:rsidP="005468EC">
            <w:pPr>
              <w:bidi w:val="0"/>
              <w:spacing w:after="0" w:line="240" w:lineRule="auto"/>
              <w:rPr>
                <w:rFonts w:ascii="Times New Roman" w:hAnsi="Times New Roman"/>
                <w:color w:val="000000"/>
                <w:sz w:val="18"/>
                <w:szCs w:val="18"/>
                <w:lang w:eastAsia="sk-SK"/>
              </w:rPr>
            </w:pPr>
            <w:r w:rsidRPr="005468EC">
              <w:rPr>
                <w:rFonts w:ascii="Times New Roman" w:hAnsi="Times New Roman"/>
                <w:color w:val="000000"/>
                <w:sz w:val="18"/>
                <w:szCs w:val="18"/>
                <w:lang w:eastAsia="sk-SK"/>
              </w:rPr>
              <w:t>Spolufinancovanie k zahraničným grantom z prostriedkov EÚ (EÚS, LIFE +)</w:t>
            </w:r>
          </w:p>
        </w:tc>
        <w:tc>
          <w:tcPr>
            <w:tcW w:w="466"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8 258</w:t>
            </w:r>
          </w:p>
        </w:tc>
        <w:tc>
          <w:tcPr>
            <w:tcW w:w="46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5 057</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3 588</w:t>
            </w:r>
          </w:p>
        </w:tc>
        <w:tc>
          <w:tcPr>
            <w:tcW w:w="620"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1 454</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-2 134</w:t>
            </w:r>
          </w:p>
        </w:tc>
        <w:tc>
          <w:tcPr>
            <w:tcW w:w="387"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-59,5</w:t>
            </w:r>
          </w:p>
        </w:tc>
      </w:tr>
      <w:tr>
        <w:tblPrEx>
          <w:tblW w:w="5053" w:type="pct"/>
          <w:tblLayout w:type="fixed"/>
          <w:tblCellMar>
            <w:left w:w="70" w:type="dxa"/>
            <w:right w:w="70" w:type="dxa"/>
          </w:tblCellMar>
          <w:tblLook w:val="04A0"/>
        </w:tblPrEx>
        <w:trPr>
          <w:trHeight w:val="296"/>
        </w:trPr>
        <w:tc>
          <w:tcPr>
            <w:tcW w:w="1973" w:type="pct"/>
            <w:tcBorders>
              <w:top w:val="nil"/>
              <w:left w:val="nil"/>
              <w:bottom w:val="nil"/>
              <w:right w:val="nil"/>
            </w:tcBorders>
            <w:textDirection w:val="lrTb"/>
            <w:vAlign w:val="center"/>
            <w:hideMark/>
          </w:tcPr>
          <w:p w:rsidR="005F5C4C" w:rsidRPr="005468EC" w:rsidP="005468EC">
            <w:pPr>
              <w:bidi w:val="0"/>
              <w:spacing w:after="0" w:line="240" w:lineRule="auto"/>
              <w:rPr>
                <w:rFonts w:ascii="Times New Roman" w:hAnsi="Times New Roman"/>
                <w:color w:val="000000"/>
                <w:sz w:val="18"/>
                <w:szCs w:val="18"/>
                <w:lang w:eastAsia="sk-SK"/>
              </w:rPr>
            </w:pPr>
            <w:r w:rsidRPr="005468EC">
              <w:rPr>
                <w:rFonts w:ascii="Times New Roman" w:hAnsi="Times New Roman"/>
                <w:color w:val="000000"/>
                <w:sz w:val="18"/>
                <w:szCs w:val="18"/>
                <w:lang w:eastAsia="sk-SK"/>
              </w:rPr>
              <w:t>Spolufinancovanie k prostriedkom poskytnutým na základe medzinárodných zmlúv (EHP, NFM)</w:t>
            </w:r>
          </w:p>
        </w:tc>
        <w:tc>
          <w:tcPr>
            <w:tcW w:w="466"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3 839</w:t>
            </w:r>
          </w:p>
        </w:tc>
        <w:tc>
          <w:tcPr>
            <w:tcW w:w="46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1 735</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1 059</w:t>
            </w:r>
          </w:p>
        </w:tc>
        <w:tc>
          <w:tcPr>
            <w:tcW w:w="620"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1 159</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100</w:t>
            </w:r>
          </w:p>
        </w:tc>
        <w:tc>
          <w:tcPr>
            <w:tcW w:w="387"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9,4</w:t>
            </w:r>
          </w:p>
        </w:tc>
      </w:tr>
      <w:tr>
        <w:tblPrEx>
          <w:tblW w:w="5053" w:type="pct"/>
          <w:tblLayout w:type="fixed"/>
          <w:tblCellMar>
            <w:left w:w="70" w:type="dxa"/>
            <w:right w:w="70" w:type="dxa"/>
          </w:tblCellMar>
          <w:tblLook w:val="04A0"/>
        </w:tblPrEx>
        <w:trPr>
          <w:trHeight w:val="296"/>
        </w:trPr>
        <w:tc>
          <w:tcPr>
            <w:tcW w:w="1973" w:type="pct"/>
            <w:tcBorders>
              <w:top w:val="nil"/>
              <w:left w:val="nil"/>
              <w:bottom w:val="nil"/>
              <w:right w:val="nil"/>
            </w:tcBorders>
            <w:textDirection w:val="lrTb"/>
            <w:vAlign w:val="center"/>
            <w:hideMark/>
          </w:tcPr>
          <w:p w:rsidR="005F5C4C" w:rsidRPr="005468EC" w:rsidP="005468EC">
            <w:pPr>
              <w:bidi w:val="0"/>
              <w:spacing w:after="0" w:line="240" w:lineRule="auto"/>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Spolu</w:t>
            </w:r>
          </w:p>
        </w:tc>
        <w:tc>
          <w:tcPr>
            <w:tcW w:w="466"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760 001</w:t>
            </w:r>
          </w:p>
        </w:tc>
        <w:tc>
          <w:tcPr>
            <w:tcW w:w="46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276 113</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528 037</w:t>
            </w:r>
          </w:p>
        </w:tc>
        <w:tc>
          <w:tcPr>
            <w:tcW w:w="620"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229 647</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-298 390</w:t>
            </w:r>
          </w:p>
        </w:tc>
        <w:tc>
          <w:tcPr>
            <w:tcW w:w="387"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-56,5</w:t>
            </w:r>
          </w:p>
        </w:tc>
      </w:tr>
      <w:tr>
        <w:tblPrEx>
          <w:tblW w:w="5053" w:type="pct"/>
          <w:tblLayout w:type="fixed"/>
          <w:tblCellMar>
            <w:left w:w="70" w:type="dxa"/>
            <w:right w:w="70" w:type="dxa"/>
          </w:tblCellMar>
          <w:tblLook w:val="04A0"/>
        </w:tblPrEx>
        <w:trPr>
          <w:trHeight w:val="296"/>
        </w:trPr>
        <w:tc>
          <w:tcPr>
            <w:tcW w:w="1973" w:type="pct"/>
            <w:tcBorders>
              <w:top w:val="nil"/>
              <w:left w:val="nil"/>
              <w:bottom w:val="nil"/>
              <w:right w:val="nil"/>
            </w:tcBorders>
            <w:textDirection w:val="lrTb"/>
            <w:vAlign w:val="center"/>
            <w:hideMark/>
          </w:tcPr>
          <w:p w:rsidR="005F5C4C" w:rsidRPr="005468EC" w:rsidP="005468EC">
            <w:pPr>
              <w:bidi w:val="0"/>
              <w:spacing w:after="0" w:line="240" w:lineRule="auto"/>
              <w:rPr>
                <w:rFonts w:ascii="Times New Roman" w:hAnsi="Times New Roman"/>
                <w:color w:val="000000"/>
                <w:sz w:val="18"/>
                <w:szCs w:val="18"/>
                <w:lang w:eastAsia="sk-SK"/>
              </w:rPr>
            </w:pPr>
            <w:r w:rsidRPr="005468EC">
              <w:rPr>
                <w:rFonts w:ascii="Times New Roman" w:hAnsi="Times New Roman"/>
                <w:color w:val="000000"/>
                <w:sz w:val="18"/>
                <w:szCs w:val="18"/>
                <w:lang w:eastAsia="sk-SK"/>
              </w:rPr>
              <w:t>Vnútorné politiky EÚ</w:t>
            </w:r>
          </w:p>
        </w:tc>
        <w:tc>
          <w:tcPr>
            <w:tcW w:w="466"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2 236</w:t>
            </w:r>
          </w:p>
        </w:tc>
        <w:tc>
          <w:tcPr>
            <w:tcW w:w="46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919</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2 822</w:t>
            </w:r>
          </w:p>
        </w:tc>
        <w:tc>
          <w:tcPr>
            <w:tcW w:w="620" w:type="pct"/>
            <w:tcBorders>
              <w:top w:val="nil"/>
              <w:left w:val="nil"/>
              <w:bottom w:val="nil"/>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1 496</w:t>
            </w:r>
          </w:p>
        </w:tc>
        <w:tc>
          <w:tcPr>
            <w:tcW w:w="544"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-1 326</w:t>
            </w:r>
          </w:p>
        </w:tc>
        <w:tc>
          <w:tcPr>
            <w:tcW w:w="387" w:type="pct"/>
            <w:tcBorders>
              <w:top w:val="nil"/>
              <w:left w:val="nil"/>
              <w:bottom w:val="nil"/>
              <w:right w:val="nil"/>
            </w:tcBorders>
            <w:noWrap/>
            <w:textDirection w:val="lrTb"/>
            <w:vAlign w:val="center"/>
            <w:hideMark/>
          </w:tcPr>
          <w:p w:rsidR="005F5C4C" w:rsidRPr="005468EC" w:rsidP="005468EC">
            <w:pPr>
              <w:bidi w:val="0"/>
              <w:spacing w:after="0" w:line="240" w:lineRule="auto"/>
              <w:jc w:val="right"/>
              <w:rPr>
                <w:rFonts w:ascii="Times New Roman" w:hAnsi="Times New Roman"/>
                <w:color w:val="000000"/>
                <w:sz w:val="18"/>
                <w:szCs w:val="18"/>
                <w:lang w:eastAsia="sk-SK"/>
              </w:rPr>
            </w:pPr>
            <w:r w:rsidRPr="005468EC">
              <w:rPr>
                <w:rFonts w:ascii="Times New Roman" w:hAnsi="Times New Roman"/>
                <w:color w:val="000000"/>
                <w:sz w:val="18"/>
                <w:szCs w:val="18"/>
                <w:lang w:eastAsia="sk-SK"/>
              </w:rPr>
              <w:t>-47,0</w:t>
            </w:r>
          </w:p>
        </w:tc>
      </w:tr>
      <w:tr>
        <w:tblPrEx>
          <w:tblW w:w="5053" w:type="pct"/>
          <w:tblLayout w:type="fixed"/>
          <w:tblCellMar>
            <w:left w:w="70" w:type="dxa"/>
            <w:right w:w="70" w:type="dxa"/>
          </w:tblCellMar>
          <w:tblLook w:val="04A0"/>
        </w:tblPrEx>
        <w:trPr>
          <w:trHeight w:val="296"/>
        </w:trPr>
        <w:tc>
          <w:tcPr>
            <w:tcW w:w="1973" w:type="pct"/>
            <w:tcBorders>
              <w:top w:val="single" w:sz="4" w:space="0" w:color="auto"/>
              <w:left w:val="nil"/>
              <w:bottom w:val="single" w:sz="8" w:space="0" w:color="auto"/>
              <w:right w:val="nil"/>
            </w:tcBorders>
            <w:shd w:val="clear" w:color="000000" w:fill="FFFFFF"/>
            <w:textDirection w:val="lrTb"/>
            <w:vAlign w:val="center"/>
            <w:hideMark/>
          </w:tcPr>
          <w:p w:rsidR="005F5C4C" w:rsidRPr="005468EC" w:rsidP="005468EC">
            <w:pPr>
              <w:bidi w:val="0"/>
              <w:spacing w:after="0" w:line="240" w:lineRule="auto"/>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Spolu (vrátane vnútorných politík EÚ)</w:t>
            </w:r>
          </w:p>
        </w:tc>
        <w:tc>
          <w:tcPr>
            <w:tcW w:w="466"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762 237</w:t>
            </w:r>
          </w:p>
        </w:tc>
        <w:tc>
          <w:tcPr>
            <w:tcW w:w="46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277 032</w:t>
            </w:r>
          </w:p>
        </w:tc>
        <w:tc>
          <w:tcPr>
            <w:tcW w:w="54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530 859</w:t>
            </w:r>
          </w:p>
        </w:tc>
        <w:tc>
          <w:tcPr>
            <w:tcW w:w="620" w:type="pct"/>
            <w:tcBorders>
              <w:top w:val="single" w:sz="4" w:space="0" w:color="auto"/>
              <w:left w:val="nil"/>
              <w:bottom w:val="single" w:sz="8" w:space="0" w:color="auto"/>
              <w:right w:val="nil"/>
            </w:tcBorders>
            <w:shd w:val="clear" w:color="auto" w:fill="BFBFB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231 143</w:t>
            </w:r>
          </w:p>
        </w:tc>
        <w:tc>
          <w:tcPr>
            <w:tcW w:w="544"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-299 716</w:t>
            </w:r>
          </w:p>
        </w:tc>
        <w:tc>
          <w:tcPr>
            <w:tcW w:w="387" w:type="pct"/>
            <w:tcBorders>
              <w:top w:val="single" w:sz="4" w:space="0" w:color="auto"/>
              <w:left w:val="nil"/>
              <w:bottom w:val="single" w:sz="8" w:space="0" w:color="auto"/>
              <w:right w:val="nil"/>
            </w:tcBorders>
            <w:shd w:val="clear" w:color="000000" w:fill="FFFFFF"/>
            <w:noWrap/>
            <w:textDirection w:val="lrTb"/>
            <w:vAlign w:val="center"/>
            <w:hideMark/>
          </w:tcPr>
          <w:p w:rsidR="005F5C4C" w:rsidRPr="005468EC" w:rsidP="005468EC">
            <w:pPr>
              <w:bidi w:val="0"/>
              <w:spacing w:after="0" w:line="240" w:lineRule="auto"/>
              <w:jc w:val="right"/>
              <w:rPr>
                <w:rFonts w:ascii="Times New Roman" w:hAnsi="Times New Roman"/>
                <w:b/>
                <w:color w:val="000000"/>
                <w:sz w:val="18"/>
                <w:szCs w:val="18"/>
                <w:lang w:eastAsia="sk-SK"/>
              </w:rPr>
            </w:pPr>
            <w:r w:rsidRPr="005468EC">
              <w:rPr>
                <w:rFonts w:ascii="Times New Roman" w:hAnsi="Times New Roman"/>
                <w:b/>
                <w:color w:val="000000"/>
                <w:sz w:val="18"/>
                <w:szCs w:val="18"/>
                <w:lang w:eastAsia="sk-SK"/>
              </w:rPr>
              <w:t>-56,5</w:t>
            </w:r>
          </w:p>
        </w:tc>
      </w:tr>
    </w:tbl>
    <w:p w:rsidR="005F5C4C" w:rsidRPr="000E7228" w:rsidP="005F5C4C">
      <w:pPr>
        <w:bidi w:val="0"/>
        <w:jc w:val="right"/>
        <w:rPr>
          <w:rFonts w:ascii="Times New Roman" w:hAnsi="Times New Roman"/>
          <w:sz w:val="18"/>
          <w:szCs w:val="18"/>
        </w:rPr>
      </w:pPr>
      <w:r w:rsidRPr="000E7228">
        <w:rPr>
          <w:rFonts w:ascii="Times New Roman" w:hAnsi="Times New Roman"/>
          <w:sz w:val="18"/>
          <w:szCs w:val="18"/>
        </w:rPr>
        <w:t>Zdroj: MF SR</w:t>
      </w:r>
    </w:p>
    <w:p w:rsidR="003004F9" w:rsidP="003004F9">
      <w:pPr>
        <w:bidi w:val="0"/>
        <w:rPr>
          <w:rFonts w:ascii="Times New Roman" w:hAnsi="Times New Roman"/>
          <w:i/>
          <w:szCs w:val="22"/>
        </w:rPr>
      </w:pPr>
      <w:r w:rsidRPr="004854EA" w:rsidR="005F5C4C">
        <w:rPr>
          <w:rFonts w:ascii="Times New Roman" w:hAnsi="Times New Roman"/>
          <w:b/>
          <w:i/>
          <w:szCs w:val="22"/>
        </w:rPr>
        <w:t>Plnenie príjmov z prostriedkov EÚ a čerpanie výdavkov z prostriedkov EÚ je uvedené v tabuľke č. 16. Čerpanie výdavkov na spolufinancovanie zo štátneho rozpočtu k prostriedkom EÚ, k zahraničným grantom z prostriedkov EÚ a k prostriedkom poskytnutým na základe medzinárodných zmlúv bez vnútorných politík EÚ je uvedené v tabuľke č. 17</w:t>
      </w:r>
      <w:r w:rsidRPr="006D0B3D" w:rsidR="005F5C4C">
        <w:rPr>
          <w:rFonts w:ascii="Times New Roman" w:hAnsi="Times New Roman"/>
          <w:i/>
          <w:szCs w:val="22"/>
        </w:rPr>
        <w:t>.</w:t>
      </w:r>
      <w:bookmarkStart w:id="81" w:name="_Toc512599683"/>
    </w:p>
    <w:p w:rsidR="003004F9" w:rsidP="003004F9">
      <w:pPr>
        <w:bidi w:val="0"/>
        <w:rPr>
          <w:rFonts w:ascii="Times New Roman" w:hAnsi="Times New Roman" w:eastAsiaTheme="majorEastAsia"/>
          <w:b/>
          <w:bCs/>
          <w:sz w:val="24"/>
        </w:rPr>
      </w:pPr>
    </w:p>
    <w:p w:rsidR="00CD1534" w:rsidRPr="00B779DC" w:rsidP="00225F21">
      <w:pPr>
        <w:pStyle w:val="Heading3"/>
        <w:numPr>
          <w:ilvl w:val="0"/>
          <w:numId w:val="0"/>
        </w:numPr>
        <w:bidi w:val="0"/>
        <w:ind w:left="284" w:firstLine="0"/>
        <w:rPr>
          <w:rFonts w:hint="default"/>
        </w:rPr>
      </w:pPr>
      <w:r w:rsidR="00225F21">
        <w:t xml:space="preserve">3.4.3  </w:t>
      </w:r>
      <w:r w:rsidRPr="00B779DC">
        <w:rPr>
          <w:rFonts w:hint="default"/>
        </w:rPr>
        <w:t>Prostriedky poskytnuté</w:t>
      </w:r>
      <w:r w:rsidRPr="00B779DC" w:rsidR="0016117A">
        <w:t xml:space="preserve"> SR a</w:t>
      </w:r>
      <w:r w:rsidR="00545517">
        <w:t xml:space="preserve"> </w:t>
      </w:r>
      <w:r w:rsidRPr="00B779DC" w:rsidR="0016117A">
        <w:rPr>
          <w:rFonts w:hint="default"/>
        </w:rPr>
        <w:t>použí</w:t>
      </w:r>
      <w:r w:rsidRPr="00B779DC" w:rsidR="0016117A">
        <w:rPr>
          <w:rFonts w:hint="default"/>
        </w:rPr>
        <w:t>vané</w:t>
      </w:r>
      <w:r w:rsidRPr="00B779DC" w:rsidR="0016117A">
        <w:rPr>
          <w:rFonts w:hint="default"/>
        </w:rPr>
        <w:t xml:space="preserve"> prostrední</w:t>
      </w:r>
      <w:r w:rsidRPr="00B779DC" w:rsidR="0016117A">
        <w:rPr>
          <w:rFonts w:hint="default"/>
        </w:rPr>
        <w:t>ctvom</w:t>
      </w:r>
      <w:r w:rsidRPr="00B779DC" w:rsidR="008439D7">
        <w:t xml:space="preserve"> </w:t>
      </w:r>
      <w:r w:rsidRPr="00B779DC">
        <w:rPr>
          <w:rFonts w:hint="default"/>
        </w:rPr>
        <w:t>mimorozpoč</w:t>
      </w:r>
      <w:r w:rsidRPr="00B779DC">
        <w:rPr>
          <w:rFonts w:hint="default"/>
        </w:rPr>
        <w:t>tový</w:t>
      </w:r>
      <w:r w:rsidRPr="00B779DC">
        <w:rPr>
          <w:rFonts w:hint="default"/>
        </w:rPr>
        <w:t>ch úč</w:t>
      </w:r>
      <w:r w:rsidRPr="00B779DC">
        <w:rPr>
          <w:rFonts w:hint="default"/>
        </w:rPr>
        <w:t>tov</w:t>
      </w:r>
      <w:bookmarkEnd w:id="77"/>
      <w:bookmarkEnd w:id="81"/>
    </w:p>
    <w:p w:rsidR="000E7228" w:rsidRPr="001D1709" w:rsidP="000E7228">
      <w:pPr>
        <w:bidi w:val="0"/>
        <w:rPr>
          <w:rFonts w:ascii="Times New Roman" w:hAnsi="Times New Roman"/>
          <w:b/>
          <w:szCs w:val="22"/>
        </w:rPr>
      </w:pPr>
      <w:r w:rsidRPr="001D1709">
        <w:rPr>
          <w:rFonts w:ascii="Times New Roman" w:hAnsi="Times New Roman"/>
          <w:szCs w:val="22"/>
        </w:rPr>
        <w:t>Časť finančných prostriedkov z rozpočtu EÚ a prostriedkov poskytnutých Slovenskej republike na</w:t>
      </w:r>
      <w:r w:rsidR="008439D7">
        <w:rPr>
          <w:rFonts w:ascii="Times New Roman" w:hAnsi="Times New Roman"/>
          <w:szCs w:val="22"/>
        </w:rPr>
        <w:t> </w:t>
      </w:r>
      <w:r w:rsidRPr="001D1709">
        <w:rPr>
          <w:rFonts w:ascii="Times New Roman" w:hAnsi="Times New Roman"/>
          <w:szCs w:val="22"/>
        </w:rPr>
        <w:t xml:space="preserve">základe medzinárodných zmlúv, ktorými je Slovenská republika viazaná, používajú štátne rozpočtové organizácie </w:t>
      </w:r>
      <w:r w:rsidRPr="001D1709">
        <w:rPr>
          <w:rFonts w:ascii="Times New Roman" w:hAnsi="Times New Roman"/>
          <w:b/>
          <w:szCs w:val="22"/>
        </w:rPr>
        <w:t>prostredníctvom mimorozpočtových účtov:</w:t>
      </w:r>
    </w:p>
    <w:p w:rsidR="000E7228" w:rsidRPr="008E1258" w:rsidP="000E7228">
      <w:pPr>
        <w:shd w:val="clear" w:color="auto" w:fill="FFFFFF"/>
        <w:bidi w:val="0"/>
        <w:rPr>
          <w:rFonts w:ascii="Times New Roman" w:hAnsi="Times New Roman"/>
          <w:szCs w:val="22"/>
          <w:highlight w:val="yellow"/>
        </w:rPr>
      </w:pPr>
      <w:r w:rsidRPr="00275A4B">
        <w:rPr>
          <w:rFonts w:ascii="Times New Roman" w:hAnsi="Times New Roman"/>
          <w:szCs w:val="22"/>
        </w:rPr>
        <w:t xml:space="preserve">V rámci programov </w:t>
      </w:r>
      <w:r w:rsidRPr="00275A4B">
        <w:rPr>
          <w:rFonts w:ascii="Times New Roman" w:hAnsi="Times New Roman"/>
          <w:b/>
          <w:i/>
          <w:szCs w:val="22"/>
        </w:rPr>
        <w:t>Európskej územnej spolupráce</w:t>
      </w:r>
      <w:r w:rsidRPr="00275A4B">
        <w:rPr>
          <w:rFonts w:ascii="Times New Roman" w:hAnsi="Times New Roman"/>
          <w:szCs w:val="22"/>
        </w:rPr>
        <w:t xml:space="preserve"> prijala Slovenská republika prostredníctvom certifikačného orgánu MF SR príspevky EÚ vo výške </w:t>
      </w:r>
      <w:r>
        <w:rPr>
          <w:rFonts w:ascii="Times New Roman" w:hAnsi="Times New Roman"/>
          <w:szCs w:val="22"/>
        </w:rPr>
        <w:t>3 703</w:t>
      </w:r>
      <w:r w:rsidRPr="00275A4B">
        <w:rPr>
          <w:rFonts w:ascii="Times New Roman" w:hAnsi="Times New Roman"/>
          <w:szCs w:val="22"/>
        </w:rPr>
        <w:t xml:space="preserve"> tis. eur a</w:t>
      </w:r>
      <w:r w:rsidR="008439D7">
        <w:rPr>
          <w:rFonts w:ascii="Times New Roman" w:hAnsi="Times New Roman"/>
          <w:szCs w:val="22"/>
        </w:rPr>
        <w:t xml:space="preserve"> </w:t>
      </w:r>
      <w:r w:rsidRPr="00275A4B">
        <w:rPr>
          <w:rFonts w:ascii="Times New Roman" w:hAnsi="Times New Roman"/>
          <w:szCs w:val="22"/>
        </w:rPr>
        <w:t xml:space="preserve">prispievajúcich členských štátov EÚ vo výške </w:t>
      </w:r>
      <w:r>
        <w:rPr>
          <w:rFonts w:ascii="Times New Roman" w:hAnsi="Times New Roman"/>
          <w:szCs w:val="22"/>
        </w:rPr>
        <w:t>679</w:t>
      </w:r>
      <w:r w:rsidRPr="00275A4B">
        <w:rPr>
          <w:rFonts w:ascii="Times New Roman" w:hAnsi="Times New Roman"/>
          <w:szCs w:val="22"/>
        </w:rPr>
        <w:t xml:space="preserve"> tis. eur na financovanie Operačných programov INTERACT II 2007 – 2013 a OP INTERACT III 2014-2020. Na financovanie programov </w:t>
      </w:r>
      <w:r w:rsidRPr="00E347BF">
        <w:rPr>
          <w:rFonts w:ascii="Times New Roman" w:hAnsi="Times New Roman"/>
          <w:szCs w:val="22"/>
        </w:rPr>
        <w:t>bolo použitých 4</w:t>
      </w:r>
      <w:r w:rsidR="008439D7">
        <w:rPr>
          <w:rFonts w:ascii="Times New Roman" w:hAnsi="Times New Roman"/>
          <w:szCs w:val="22"/>
        </w:rPr>
        <w:t> </w:t>
      </w:r>
      <w:r w:rsidRPr="00E347BF">
        <w:rPr>
          <w:rFonts w:ascii="Times New Roman" w:hAnsi="Times New Roman"/>
          <w:szCs w:val="22"/>
        </w:rPr>
        <w:t>879</w:t>
      </w:r>
      <w:r w:rsidR="008439D7">
        <w:rPr>
          <w:rFonts w:ascii="Times New Roman" w:hAnsi="Times New Roman"/>
          <w:szCs w:val="22"/>
        </w:rPr>
        <w:t> </w:t>
      </w:r>
      <w:r w:rsidRPr="00E347BF">
        <w:rPr>
          <w:rFonts w:ascii="Times New Roman" w:hAnsi="Times New Roman"/>
          <w:szCs w:val="22"/>
        </w:rPr>
        <w:t xml:space="preserve">tis. eur </w:t>
      </w:r>
      <w:r w:rsidR="007223ED">
        <w:rPr>
          <w:rFonts w:ascii="Times New Roman" w:hAnsi="Times New Roman"/>
          <w:szCs w:val="22"/>
        </w:rPr>
        <w:br/>
      </w:r>
      <w:r w:rsidRPr="00E347BF">
        <w:rPr>
          <w:rFonts w:ascii="Times New Roman" w:hAnsi="Times New Roman"/>
          <w:szCs w:val="22"/>
        </w:rPr>
        <w:t>za prostriedky EÚ a 861 tis. eur za spolufinancovanie z príspevkov členských štátov EÚ.</w:t>
      </w:r>
    </w:p>
    <w:p w:rsidR="000E7228" w:rsidRPr="00E347BF" w:rsidP="000E7228">
      <w:pPr>
        <w:bidi w:val="0"/>
        <w:rPr>
          <w:rFonts w:ascii="Times New Roman" w:hAnsi="Times New Roman"/>
          <w:szCs w:val="22"/>
        </w:rPr>
      </w:pPr>
      <w:r w:rsidRPr="00E347BF">
        <w:rPr>
          <w:rFonts w:ascii="Times New Roman" w:hAnsi="Times New Roman"/>
          <w:szCs w:val="22"/>
        </w:rPr>
        <w:t>Z Úradu pre finančné mechanizmy v Bruseli boli Slovenskej republi</w:t>
      </w:r>
      <w:r w:rsidR="00997F71">
        <w:rPr>
          <w:rFonts w:ascii="Times New Roman" w:hAnsi="Times New Roman"/>
          <w:szCs w:val="22"/>
        </w:rPr>
        <w:t xml:space="preserve">ke v rámci programového obdobia </w:t>
      </w:r>
      <w:r w:rsidRPr="00E347BF">
        <w:rPr>
          <w:rFonts w:ascii="Times New Roman" w:hAnsi="Times New Roman"/>
          <w:szCs w:val="22"/>
        </w:rPr>
        <w:t xml:space="preserve">2009 - 2014 poukázané prostriedky z </w:t>
      </w:r>
      <w:r w:rsidRPr="00E347BF">
        <w:rPr>
          <w:rFonts w:ascii="Times New Roman" w:hAnsi="Times New Roman"/>
          <w:b/>
          <w:i/>
          <w:szCs w:val="22"/>
        </w:rPr>
        <w:t>Finančného mechanizmu EHP a</w:t>
      </w:r>
      <w:r w:rsidR="00997F71">
        <w:rPr>
          <w:rFonts w:ascii="Times New Roman" w:hAnsi="Times New Roman"/>
          <w:b/>
          <w:i/>
          <w:szCs w:val="22"/>
        </w:rPr>
        <w:t xml:space="preserve"> </w:t>
      </w:r>
      <w:r w:rsidRPr="00E347BF">
        <w:rPr>
          <w:rFonts w:ascii="Times New Roman" w:hAnsi="Times New Roman"/>
          <w:b/>
          <w:i/>
          <w:szCs w:val="22"/>
        </w:rPr>
        <w:t>Nórskeho finančného mechanizmu</w:t>
      </w:r>
      <w:r w:rsidRPr="00E347BF">
        <w:rPr>
          <w:rFonts w:ascii="Times New Roman" w:hAnsi="Times New Roman"/>
          <w:b/>
          <w:szCs w:val="22"/>
        </w:rPr>
        <w:t xml:space="preserve"> </w:t>
      </w:r>
      <w:r w:rsidRPr="00E347BF">
        <w:rPr>
          <w:rFonts w:ascii="Times New Roman" w:hAnsi="Times New Roman"/>
          <w:szCs w:val="22"/>
        </w:rPr>
        <w:t>vo výške 4 936 tis. eur. Správcom programu boli prevedené prostriedky vo výške 4</w:t>
      </w:r>
      <w:r>
        <w:rPr>
          <w:rFonts w:ascii="Times New Roman" w:hAnsi="Times New Roman"/>
          <w:szCs w:val="22"/>
        </w:rPr>
        <w:t> </w:t>
      </w:r>
      <w:r w:rsidRPr="00E347BF">
        <w:rPr>
          <w:rFonts w:ascii="Times New Roman" w:hAnsi="Times New Roman"/>
          <w:szCs w:val="22"/>
        </w:rPr>
        <w:t>936 tis. eur.</w:t>
      </w:r>
    </w:p>
    <w:p w:rsidR="000E7228" w:rsidP="000E7228">
      <w:pPr>
        <w:bidi w:val="0"/>
        <w:rPr>
          <w:rFonts w:ascii="Times New Roman" w:hAnsi="Times New Roman"/>
          <w:szCs w:val="22"/>
        </w:rPr>
      </w:pPr>
      <w:r w:rsidRPr="00E347BF">
        <w:rPr>
          <w:rFonts w:ascii="Times New Roman" w:hAnsi="Times New Roman"/>
          <w:szCs w:val="22"/>
        </w:rPr>
        <w:t xml:space="preserve">Slovenskej republike boli v roku 2017 v rámci </w:t>
      </w:r>
      <w:r w:rsidRPr="00E347BF">
        <w:rPr>
          <w:rFonts w:ascii="Times New Roman" w:hAnsi="Times New Roman"/>
          <w:b/>
          <w:i/>
          <w:szCs w:val="22"/>
        </w:rPr>
        <w:t>finančnej obálky</w:t>
      </w:r>
      <w:r w:rsidRPr="00E347BF">
        <w:rPr>
          <w:rFonts w:ascii="Times New Roman" w:hAnsi="Times New Roman"/>
          <w:szCs w:val="22"/>
        </w:rPr>
        <w:t xml:space="preserve"> poskytnuté prostriedky na úhradu cestovných výdavkov súvisiacich s účasťou zástupcov Slovenskej rep</w:t>
      </w:r>
      <w:r w:rsidR="00545517">
        <w:rPr>
          <w:rFonts w:ascii="Times New Roman" w:hAnsi="Times New Roman"/>
          <w:szCs w:val="22"/>
        </w:rPr>
        <w:t xml:space="preserve">ubliky na zasadaniach výborov a </w:t>
      </w:r>
      <w:r w:rsidRPr="00E347BF">
        <w:rPr>
          <w:rFonts w:ascii="Times New Roman" w:hAnsi="Times New Roman"/>
          <w:szCs w:val="22"/>
        </w:rPr>
        <w:t>pracovných skupín Rady EÚ vo výške 931 tis. eur, finančné prostriedky na finančnú obálku, vrátane zdrojov z predchádzajúcich rokov, boli z mimorozpočtového účtu Ministerstva financií SR použité vo výške 797 tis. eur na úhradu oprávnených výdavkov zamestnancov ústredných orgánov štátnej správy a iných oprávnených inštitúcií.</w:t>
      </w:r>
    </w:p>
    <w:p w:rsidR="003004F9" w:rsidRPr="008E1258" w:rsidP="000E7228">
      <w:pPr>
        <w:bidi w:val="0"/>
        <w:rPr>
          <w:rFonts w:ascii="Times New Roman" w:hAnsi="Times New Roman"/>
          <w:szCs w:val="22"/>
          <w:highlight w:val="yellow"/>
        </w:rPr>
      </w:pPr>
    </w:p>
    <w:p w:rsidR="00693173" w:rsidRPr="00B779DC" w:rsidP="00225F21">
      <w:pPr>
        <w:pStyle w:val="Heading2"/>
        <w:numPr>
          <w:ilvl w:val="0"/>
          <w:numId w:val="0"/>
        </w:numPr>
        <w:bidi w:val="0"/>
        <w:ind w:left="576" w:firstLine="0"/>
      </w:pPr>
      <w:bookmarkStart w:id="82" w:name="_Toc479313251"/>
      <w:bookmarkStart w:id="83" w:name="_Toc512599684"/>
      <w:r w:rsidR="00225F21">
        <w:t xml:space="preserve">3.5   </w:t>
      </w:r>
      <w:r w:rsidRPr="00B779DC">
        <w:rPr>
          <w:rFonts w:hint="default"/>
        </w:rPr>
        <w:t>Zhrnutie č</w:t>
      </w:r>
      <w:r w:rsidRPr="00B779DC">
        <w:rPr>
          <w:rFonts w:hint="default"/>
        </w:rPr>
        <w:t>erpania zá</w:t>
      </w:r>
      <w:r w:rsidRPr="00B779DC">
        <w:rPr>
          <w:rFonts w:hint="default"/>
        </w:rPr>
        <w:t>vä</w:t>
      </w:r>
      <w:r w:rsidRPr="00B779DC">
        <w:rPr>
          <w:rFonts w:hint="default"/>
        </w:rPr>
        <w:t>zkov programový</w:t>
      </w:r>
      <w:r w:rsidRPr="00B779DC">
        <w:rPr>
          <w:rFonts w:hint="default"/>
        </w:rPr>
        <w:t>ch období</w:t>
      </w:r>
      <w:r w:rsidRPr="00B779DC">
        <w:rPr>
          <w:rFonts w:hint="default"/>
        </w:rPr>
        <w:t xml:space="preserve"> po vstupe SR do E</w:t>
      </w:r>
      <w:r w:rsidRPr="00B779DC" w:rsidR="001624CB">
        <w:rPr>
          <w:rFonts w:hint="default"/>
        </w:rPr>
        <w:t>Ú</w:t>
      </w:r>
      <w:bookmarkEnd w:id="82"/>
      <w:bookmarkEnd w:id="83"/>
    </w:p>
    <w:p w:rsidR="008439D7" w:rsidRPr="00E347BF" w:rsidP="008439D7">
      <w:pPr>
        <w:bidi w:val="0"/>
        <w:rPr>
          <w:rFonts w:ascii="Times New Roman" w:hAnsi="Times New Roman"/>
          <w:szCs w:val="22"/>
        </w:rPr>
      </w:pPr>
      <w:r w:rsidRPr="00E347BF">
        <w:rPr>
          <w:rFonts w:ascii="Times New Roman" w:hAnsi="Times New Roman"/>
          <w:szCs w:val="22"/>
        </w:rPr>
        <w:t>Slovenská republika čerpá prostriedky z rozpočtu EÚ v rámci troch nadväzujúcich programových období:</w:t>
      </w:r>
    </w:p>
    <w:p w:rsidR="008439D7" w:rsidRPr="00E347BF" w:rsidP="008439D7">
      <w:pPr>
        <w:bidi w:val="0"/>
        <w:rPr>
          <w:rFonts w:ascii="Times New Roman" w:hAnsi="Times New Roman"/>
          <w:szCs w:val="22"/>
        </w:rPr>
      </w:pPr>
      <w:r w:rsidRPr="00E347BF">
        <w:rPr>
          <w:rFonts w:ascii="Times New Roman" w:hAnsi="Times New Roman"/>
          <w:szCs w:val="22"/>
        </w:rPr>
        <w:t>V rámci 1. programového obdobia 2004 - 2006 sa osobitnými programovými dokumentmi realizovali programy štrukturálnych fondov a</w:t>
      </w:r>
      <w:r w:rsidR="00545517">
        <w:rPr>
          <w:rFonts w:ascii="Times New Roman" w:hAnsi="Times New Roman"/>
          <w:szCs w:val="22"/>
        </w:rPr>
        <w:t xml:space="preserve"> </w:t>
      </w:r>
      <w:r w:rsidRPr="00E347BF">
        <w:rPr>
          <w:rFonts w:ascii="Times New Roman" w:hAnsi="Times New Roman"/>
          <w:szCs w:val="22"/>
        </w:rPr>
        <w:t>Kohézneho fondu. Celkové čerpanie k 31.12.201</w:t>
      </w:r>
      <w:r>
        <w:rPr>
          <w:rFonts w:ascii="Times New Roman" w:hAnsi="Times New Roman"/>
          <w:szCs w:val="22"/>
        </w:rPr>
        <w:t>7</w:t>
      </w:r>
      <w:r w:rsidRPr="00E347BF">
        <w:rPr>
          <w:rFonts w:ascii="Times New Roman" w:hAnsi="Times New Roman"/>
          <w:szCs w:val="22"/>
        </w:rPr>
        <w:t xml:space="preserve"> </w:t>
      </w:r>
      <w:r w:rsidR="00150B75">
        <w:rPr>
          <w:rFonts w:ascii="Times New Roman" w:hAnsi="Times New Roman"/>
          <w:szCs w:val="22"/>
        </w:rPr>
        <w:br/>
      </w:r>
      <w:r w:rsidRPr="00E347BF">
        <w:rPr>
          <w:rFonts w:ascii="Times New Roman" w:hAnsi="Times New Roman"/>
          <w:szCs w:val="22"/>
        </w:rPr>
        <w:t>za programy štrukturálnych fondov dosiahlo 1 164 053 tis. eur, čo predstavuje 99,6 % zo záväzku 2004 – 2006 a</w:t>
      </w:r>
      <w:r>
        <w:rPr>
          <w:rFonts w:ascii="Times New Roman" w:hAnsi="Times New Roman"/>
          <w:szCs w:val="22"/>
        </w:rPr>
        <w:t xml:space="preserve"> </w:t>
      </w:r>
      <w:r w:rsidRPr="00E347BF">
        <w:rPr>
          <w:rFonts w:ascii="Times New Roman" w:hAnsi="Times New Roman"/>
          <w:szCs w:val="22"/>
        </w:rPr>
        <w:t>za programy Kohézneho fondu 405 035 tis. eur, čo predstavuje 100</w:t>
      </w:r>
      <w:r w:rsidR="0080791D">
        <w:rPr>
          <w:rFonts w:ascii="Times New Roman" w:hAnsi="Times New Roman"/>
          <w:szCs w:val="22"/>
        </w:rPr>
        <w:t> </w:t>
      </w:r>
      <w:r w:rsidRPr="00E347BF">
        <w:rPr>
          <w:rFonts w:ascii="Times New Roman" w:hAnsi="Times New Roman"/>
          <w:szCs w:val="22"/>
        </w:rPr>
        <w:t>% záväzku. Z pohľadu čerpania výdavkov a plnenia príjmov štátneho rozpočtu sa dané programové obdobie považuje za uzatvorené.</w:t>
      </w:r>
    </w:p>
    <w:p w:rsidR="003004F9" w:rsidP="008439D7">
      <w:pPr>
        <w:bidi w:val="0"/>
        <w:rPr>
          <w:rFonts w:ascii="Times New Roman" w:hAnsi="Times New Roman"/>
          <w:szCs w:val="22"/>
        </w:rPr>
      </w:pPr>
      <w:r w:rsidRPr="00E347BF" w:rsidR="008439D7">
        <w:rPr>
          <w:rFonts w:ascii="Times New Roman" w:hAnsi="Times New Roman"/>
          <w:szCs w:val="22"/>
        </w:rPr>
        <w:t xml:space="preserve">V rámci 2. programového obdobia 2007 – 2013 bolo k 31.12.2015 ukončené oprávnené obdobie pre realizáciu </w:t>
      </w:r>
      <w:r w:rsidRPr="00D50586" w:rsidR="008439D7">
        <w:rPr>
          <w:rFonts w:ascii="Times New Roman" w:hAnsi="Times New Roman"/>
          <w:szCs w:val="22"/>
        </w:rPr>
        <w:t>výdavkov na úrovni prijímateľov. V roku 2016 prebiehalo dočerpanie prostriedkov a</w:t>
      </w:r>
      <w:r w:rsidR="008439D7">
        <w:rPr>
          <w:rFonts w:ascii="Times New Roman" w:hAnsi="Times New Roman"/>
          <w:szCs w:val="22"/>
        </w:rPr>
        <w:t xml:space="preserve"> </w:t>
      </w:r>
      <w:r w:rsidRPr="00D50586" w:rsidR="008439D7">
        <w:rPr>
          <w:rFonts w:ascii="Times New Roman" w:hAnsi="Times New Roman"/>
          <w:szCs w:val="22"/>
        </w:rPr>
        <w:t>zaslaním záverečnej dokumentácie k 31. marcu 2017 začal s EK proces uzatvárania tohto programového obdobia. Z celkového záväzku 2. programového obdobia 2007 - 2013 v rámci 14 operačných programov vyčerpala SR k 31.12.201</w:t>
      </w:r>
      <w:r w:rsidR="008439D7">
        <w:rPr>
          <w:rFonts w:ascii="Times New Roman" w:hAnsi="Times New Roman"/>
          <w:szCs w:val="22"/>
        </w:rPr>
        <w:t>7</w:t>
      </w:r>
      <w:r w:rsidRPr="00D50586" w:rsidR="008439D7">
        <w:rPr>
          <w:rFonts w:ascii="Times New Roman" w:hAnsi="Times New Roman"/>
          <w:szCs w:val="22"/>
        </w:rPr>
        <w:t xml:space="preserve"> prostriedky vo výške 11 253 273 tis. eur, </w:t>
      </w:r>
      <w:r w:rsidR="0029468B">
        <w:rPr>
          <w:rFonts w:ascii="Times New Roman" w:hAnsi="Times New Roman"/>
          <w:szCs w:val="22"/>
        </w:rPr>
        <w:br/>
      </w:r>
      <w:r w:rsidRPr="00D50586" w:rsidR="008439D7">
        <w:rPr>
          <w:rFonts w:ascii="Times New Roman" w:hAnsi="Times New Roman"/>
          <w:szCs w:val="22"/>
        </w:rPr>
        <w:t xml:space="preserve">čo predstavuje čerpanie na úrovni 96,9 % záväzku, pričom výsledné čerpanie bude známe po uzavretí obdobia zo strany EK. </w:t>
      </w:r>
    </w:p>
    <w:p w:rsidR="008439D7" w:rsidRPr="00150B75" w:rsidP="008439D7">
      <w:pPr>
        <w:bidi w:val="0"/>
        <w:rPr>
          <w:rFonts w:ascii="Times New Roman" w:hAnsi="Times New Roman"/>
          <w:szCs w:val="22"/>
          <w:highlight w:val="yellow"/>
        </w:rPr>
      </w:pPr>
      <w:r w:rsidRPr="009C04BA">
        <w:rPr>
          <w:rFonts w:ascii="Times New Roman" w:hAnsi="Times New Roman"/>
          <w:szCs w:val="22"/>
        </w:rPr>
        <w:t xml:space="preserve">V rámci 3. programového obdobia 2014 – 2020 z celkového záväzku 11 operačných programov vyčerpala SR k 31.12.2017 prostriedky vo výške 1 357 060 tis. eur, čo predstavuje čerpanie </w:t>
      </w:r>
      <w:r w:rsidR="0029468B">
        <w:rPr>
          <w:rFonts w:ascii="Times New Roman" w:hAnsi="Times New Roman"/>
          <w:szCs w:val="22"/>
        </w:rPr>
        <w:br/>
      </w:r>
      <w:r w:rsidRPr="009C04BA">
        <w:rPr>
          <w:rFonts w:ascii="Times New Roman" w:hAnsi="Times New Roman"/>
          <w:szCs w:val="22"/>
        </w:rPr>
        <w:t>na úrovni 9,7 % záväzku.</w:t>
      </w:r>
    </w:p>
    <w:p w:rsidR="00EB7A00">
      <w:pPr>
        <w:bidi w:val="0"/>
        <w:spacing w:after="200" w:line="276" w:lineRule="auto"/>
        <w:jc w:val="left"/>
        <w:rPr>
          <w:rFonts w:ascii="Times New Roman" w:hAnsi="Times New Roman"/>
          <w:highlight w:val="yellow"/>
        </w:rPr>
      </w:pPr>
      <w:r>
        <w:rPr>
          <w:rFonts w:ascii="Times New Roman" w:hAnsi="Times New Roman"/>
          <w:highlight w:val="yellow"/>
        </w:rPr>
        <w:br w:type="page"/>
      </w:r>
    </w:p>
    <w:p w:rsidR="00CD1534" w:rsidRPr="00A339AF" w:rsidP="004135D2">
      <w:pPr>
        <w:bidi w:val="0"/>
        <w:rPr>
          <w:rFonts w:ascii="Times New Roman" w:hAnsi="Times New Roman"/>
          <w:highlight w:val="yellow"/>
        </w:rPr>
      </w:pPr>
    </w:p>
    <w:p w:rsidR="00FA29ED"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A339AF" w:rsidP="00FA29ED">
      <w:pPr>
        <w:bidi w:val="0"/>
        <w:rPr>
          <w:rFonts w:ascii="Times New Roman" w:hAnsi="Times New Roman"/>
          <w:highlight w:val="yellow"/>
        </w:rPr>
      </w:pPr>
    </w:p>
    <w:p w:rsidR="00C02589" w:rsidRPr="00B779DC" w:rsidP="00FA29ED">
      <w:pPr>
        <w:bidi w:val="0"/>
        <w:rPr>
          <w:rFonts w:ascii="Times New Roman" w:hAnsi="Times New Roman"/>
        </w:rPr>
      </w:pPr>
    </w:p>
    <w:p w:rsidR="00693173" w:rsidRPr="00B779DC" w:rsidP="003E2C97">
      <w:pPr>
        <w:pStyle w:val="Heading1"/>
        <w:bidi w:val="0"/>
        <w:rPr>
          <w:rFonts w:ascii="Times New Roman" w:hAnsi="Times New Roman"/>
        </w:rPr>
      </w:pPr>
      <w:bookmarkStart w:id="84" w:name="_Toc479313252"/>
      <w:bookmarkStart w:id="85" w:name="_Toc512599685"/>
      <w:r w:rsidR="00225F21">
        <w:rPr>
          <w:rFonts w:ascii="Times New Roman" w:hAnsi="Times New Roman"/>
        </w:rPr>
        <w:t xml:space="preserve">4  </w:t>
      </w:r>
      <w:r w:rsidRPr="00B779DC">
        <w:rPr>
          <w:rFonts w:ascii="Times New Roman" w:hAnsi="Times New Roman"/>
        </w:rPr>
        <w:t>Tabuľková príloha</w:t>
      </w:r>
      <w:bookmarkEnd w:id="84"/>
      <w:bookmarkEnd w:id="85"/>
    </w:p>
    <w:p w:rsidR="00C02589" w:rsidRPr="00B779DC" w:rsidP="00C02589">
      <w:pPr>
        <w:bidi w:val="0"/>
        <w:rPr>
          <w:rFonts w:ascii="Times New Roman" w:hAnsi="Times New Roman"/>
        </w:rPr>
      </w:pPr>
    </w:p>
    <w:p w:rsidR="00C02589" w:rsidRPr="00B779DC" w:rsidP="00C02589">
      <w:pPr>
        <w:bidi w:val="0"/>
        <w:rPr>
          <w:rFonts w:ascii="Times New Roman" w:hAnsi="Times New Roman"/>
        </w:rPr>
      </w:pPr>
    </w:p>
    <w:p w:rsidR="00D53C3D" w:rsidP="00C02589">
      <w:pPr>
        <w:bidi w:val="0"/>
        <w:jc w:val="center"/>
        <w:rPr>
          <w:rFonts w:ascii="Times New Roman" w:hAnsi="Times New Roman"/>
          <w:b/>
          <w:sz w:val="24"/>
          <w:szCs w:val="24"/>
        </w:rPr>
      </w:pPr>
      <w:r w:rsidRPr="00B779DC" w:rsidR="00C02589">
        <w:rPr>
          <w:rFonts w:ascii="Times New Roman" w:hAnsi="Times New Roman"/>
          <w:b/>
          <w:sz w:val="24"/>
          <w:szCs w:val="24"/>
        </w:rPr>
        <w:t>Návrhu štátneho záverečného účtu Slovenskej republiky za rok 201</w:t>
      </w:r>
      <w:r w:rsidRPr="00B779DC" w:rsidR="00B779DC">
        <w:rPr>
          <w:rFonts w:ascii="Times New Roman" w:hAnsi="Times New Roman"/>
          <w:b/>
          <w:sz w:val="24"/>
          <w:szCs w:val="24"/>
        </w:rPr>
        <w:t>7</w:t>
      </w:r>
    </w:p>
    <w:p w:rsidR="00D53C3D" w:rsidP="00D53C3D">
      <w:pPr>
        <w:bidi w:val="0"/>
        <w:rPr>
          <w:rFonts w:ascii="Times New Roman" w:hAnsi="Times New Roman"/>
        </w:rPr>
      </w:pPr>
      <w:r>
        <w:rPr>
          <w:rFonts w:ascii="Times New Roman" w:hAnsi="Times New Roman"/>
        </w:rPr>
        <w:br w:type="page"/>
      </w:r>
    </w:p>
    <w:tbl>
      <w:tblPr>
        <w:tblStyle w:val="TableNormal"/>
        <w:tblW w:w="9920" w:type="dxa"/>
        <w:jc w:val="center"/>
        <w:tblLayout w:type="fixed"/>
        <w:tblLook w:val="01E0"/>
      </w:tblPr>
      <w:tblGrid>
        <w:gridCol w:w="1065"/>
        <w:gridCol w:w="8855"/>
      </w:tblGrid>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br w:type="page"/>
              <w:t>Tab. 1</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Bilancia príjmov a výdavkov štátneho rozpočtu za rok 201</w:t>
            </w:r>
            <w:r>
              <w:rPr>
                <w:rFonts w:ascii="Times New Roman" w:hAnsi="Times New Roman"/>
                <w:szCs w:val="22"/>
              </w:rPr>
              <w:t>7</w:t>
            </w:r>
            <w:r w:rsidRPr="006E50E2">
              <w:rPr>
                <w:rFonts w:ascii="Times New Roman" w:hAnsi="Times New Roman"/>
                <w:szCs w:val="22"/>
              </w:rPr>
              <w:t xml:space="preserve"> </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Daňové príjmy štátneho rozpočtu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3</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Nedaňové príjmy štátneho rozpočtu, granty a transfery za rok 201</w:t>
            </w:r>
            <w:r>
              <w:rPr>
                <w:rFonts w:ascii="Times New Roman" w:hAnsi="Times New Roman"/>
                <w:szCs w:val="22"/>
              </w:rPr>
              <w:t>7</w:t>
            </w:r>
            <w:r w:rsidRPr="006E50E2">
              <w:rPr>
                <w:rFonts w:ascii="Times New Roman" w:hAnsi="Times New Roman"/>
                <w:szCs w:val="22"/>
              </w:rPr>
              <w:t xml:space="preserve"> </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4</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Príjmy kapitol ŠR za rok 201</w:t>
            </w:r>
            <w:r>
              <w:rPr>
                <w:rFonts w:ascii="Times New Roman" w:hAnsi="Times New Roman"/>
                <w:szCs w:val="22"/>
              </w:rPr>
              <w:t>7</w:t>
            </w:r>
            <w:r w:rsidRPr="006E50E2">
              <w:rPr>
                <w:rFonts w:ascii="Times New Roman" w:hAnsi="Times New Roman"/>
                <w:szCs w:val="22"/>
              </w:rPr>
              <w:t xml:space="preserve"> – záväzné ukazovatele </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5</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Príjmy štátneho rozpočtu podľa kategórií a kapitol ŠR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6</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bCs/>
                <w:szCs w:val="22"/>
              </w:rPr>
              <w:t xml:space="preserve">Príjmy štátneho rozpočtu podľa zdrojov v roku </w:t>
            </w:r>
            <w:r w:rsidRPr="006E50E2">
              <w:rPr>
                <w:rFonts w:ascii="Times New Roman" w:hAnsi="Times New Roman"/>
                <w:szCs w:val="22"/>
              </w:rPr>
              <w:t>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7</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štátneho rozpočtu podľa kategórií a kapitol ŠR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8</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Bežné transfery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9</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Kapitálové výdavky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10</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Finančné operácie na mimorozpočtových účtoch štátnych rozpočtových organizácií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11</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štátneho rozpočtu podľa funkčnej klasifikácie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12</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bCs/>
                <w:szCs w:val="22"/>
              </w:rPr>
              <w:t xml:space="preserve">Výdavky štátneho rozpočtu podľa kapitol ŠR a zdrojov v roku </w:t>
            </w:r>
            <w:r w:rsidRPr="006E50E2">
              <w:rPr>
                <w:rFonts w:ascii="Times New Roman" w:hAnsi="Times New Roman"/>
                <w:szCs w:val="22"/>
              </w:rPr>
              <w:t>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13</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štátneho rozpočtu na vedu a techniku podľa kapitol ŠR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14</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štátneho rozpočtu na vedu a techniku podľa funkčnej klasifikácie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15</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Prehľad výdavkov štátneho rozpočtu na realizáciu programov za rok 201</w:t>
            </w:r>
            <w:r>
              <w:rPr>
                <w:rFonts w:ascii="Times New Roman" w:hAnsi="Times New Roman"/>
                <w:szCs w:val="22"/>
              </w:rPr>
              <w:t>7</w:t>
            </w:r>
          </w:p>
        </w:tc>
      </w:tr>
      <w:tr>
        <w:tblPrEx>
          <w:tblW w:w="9920" w:type="dxa"/>
          <w:jc w:val="center"/>
          <w:tblLayout w:type="fixed"/>
          <w:tblLook w:val="01E0"/>
        </w:tblPrEx>
        <w:trPr>
          <w:trHeight w:val="678"/>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16</w:t>
            </w:r>
          </w:p>
          <w:p w:rsidR="00D53C3D" w:rsidRPr="006E50E2" w:rsidP="00D53C3D">
            <w:pPr>
              <w:bidi w:val="0"/>
              <w:spacing w:after="0" w:line="240" w:lineRule="auto"/>
              <w:rPr>
                <w:rFonts w:ascii="Times New Roman" w:hAnsi="Times New Roman"/>
                <w:szCs w:val="22"/>
              </w:rPr>
            </w:pP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Prehľad príjmov a výdavkov z rozpočtu Európskej únie zaradených do príjmov a výdavkov štátneho rozpočtu podľa kapitol ŠR</w:t>
            </w:r>
          </w:p>
        </w:tc>
      </w:tr>
      <w:tr>
        <w:tblPrEx>
          <w:tblW w:w="9920" w:type="dxa"/>
          <w:jc w:val="center"/>
          <w:tblLayout w:type="fixed"/>
          <w:tblLook w:val="01E0"/>
        </w:tblPrEx>
        <w:trPr>
          <w:trHeight w:val="716"/>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17</w:t>
            </w:r>
          </w:p>
          <w:p w:rsidR="00D53C3D" w:rsidRPr="006E50E2" w:rsidP="00D53C3D">
            <w:pPr>
              <w:bidi w:val="0"/>
              <w:spacing w:after="0" w:line="240" w:lineRule="auto"/>
              <w:rPr>
                <w:rFonts w:ascii="Times New Roman" w:hAnsi="Times New Roman"/>
                <w:szCs w:val="22"/>
              </w:rPr>
            </w:pP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Prostriedky štátneho rozpočtu na financovanie spoločných programov Slovenskej republiky a EÚ podľa kapitol ŠR</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tabs>
                <w:tab w:val="left" w:pos="1310"/>
              </w:tabs>
              <w:bidi w:val="0"/>
              <w:spacing w:after="0" w:line="240" w:lineRule="auto"/>
              <w:ind w:right="34"/>
              <w:rPr>
                <w:rFonts w:ascii="Times New Roman" w:hAnsi="Times New Roman"/>
                <w:szCs w:val="22"/>
              </w:rPr>
            </w:pPr>
            <w:r w:rsidRPr="006E50E2">
              <w:rPr>
                <w:rFonts w:ascii="Times New Roman" w:hAnsi="Times New Roman"/>
                <w:szCs w:val="22"/>
              </w:rPr>
              <w:t>Tab. 18</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Prehľad vzťahu jednotlivých kapitol ŠR k štátnemu rozpočtu za rok 201</w:t>
            </w:r>
            <w:r>
              <w:rPr>
                <w:rFonts w:ascii="Times New Roman" w:hAnsi="Times New Roman"/>
                <w:szCs w:val="22"/>
              </w:rPr>
              <w:t>7</w:t>
            </w:r>
            <w:r w:rsidRPr="006E50E2">
              <w:rPr>
                <w:rFonts w:ascii="Times New Roman" w:hAnsi="Times New Roman"/>
                <w:szCs w:val="22"/>
              </w:rPr>
              <w:t xml:space="preserve"> </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19</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Vývoj príjmov a výdavkov štátneho rozpočtu v rokoch 201</w:t>
            </w:r>
            <w:r>
              <w:rPr>
                <w:rFonts w:ascii="Times New Roman" w:hAnsi="Times New Roman"/>
                <w:szCs w:val="22"/>
              </w:rPr>
              <w:t>7</w:t>
            </w:r>
            <w:r w:rsidRPr="006E50E2">
              <w:rPr>
                <w:rFonts w:ascii="Times New Roman" w:hAnsi="Times New Roman"/>
                <w:szCs w:val="22"/>
              </w:rPr>
              <w:t xml:space="preserve"> a</w:t>
            </w:r>
            <w:r>
              <w:rPr>
                <w:rFonts w:ascii="Times New Roman" w:hAnsi="Times New Roman"/>
                <w:szCs w:val="22"/>
              </w:rPr>
              <w:t> </w:t>
            </w:r>
            <w:r w:rsidRPr="006E50E2">
              <w:rPr>
                <w:rFonts w:ascii="Times New Roman" w:hAnsi="Times New Roman"/>
                <w:szCs w:val="22"/>
              </w:rPr>
              <w:t>201</w:t>
            </w:r>
            <w:r>
              <w:rPr>
                <w:rFonts w:ascii="Times New Roman" w:hAnsi="Times New Roman"/>
                <w:szCs w:val="22"/>
              </w:rPr>
              <w:t>6</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20</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Záväzné limity dotácií zo ŠR obciam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21</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Záväzné limity dotácií zo ŠR vyšším územným celkom za rok 201</w:t>
            </w:r>
            <w:r>
              <w:rPr>
                <w:rFonts w:ascii="Times New Roman" w:hAnsi="Times New Roman"/>
                <w:szCs w:val="22"/>
              </w:rPr>
              <w:t>7</w:t>
            </w:r>
          </w:p>
        </w:tc>
      </w:tr>
      <w:tr>
        <w:tblPrEx>
          <w:tblW w:w="9920" w:type="dxa"/>
          <w:jc w:val="center"/>
          <w:tblLayout w:type="fixed"/>
          <w:tblLook w:val="01E0"/>
        </w:tblPrEx>
        <w:trPr>
          <w:trHeight w:val="836"/>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22</w:t>
            </w:r>
          </w:p>
          <w:p w:rsidR="00D53C3D" w:rsidRPr="006E50E2" w:rsidP="00D53C3D">
            <w:pPr>
              <w:bidi w:val="0"/>
              <w:spacing w:after="0" w:line="240" w:lineRule="auto"/>
              <w:rPr>
                <w:rFonts w:ascii="Times New Roman" w:hAnsi="Times New Roman"/>
                <w:szCs w:val="22"/>
              </w:rPr>
            </w:pP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Prehľad o plnení limitu počtu zamestnancov, miezd, platov, služobných príjmov a ostatných osobných vyrovnaní v kapitolách ŠR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23</w:t>
            </w:r>
          </w:p>
          <w:p w:rsidR="00D53C3D" w:rsidRPr="006E50E2" w:rsidP="00D53C3D">
            <w:pPr>
              <w:bidi w:val="0"/>
              <w:spacing w:after="0" w:line="240" w:lineRule="auto"/>
              <w:rPr>
                <w:rFonts w:ascii="Times New Roman" w:hAnsi="Times New Roman"/>
                <w:szCs w:val="22"/>
              </w:rPr>
            </w:pP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Prehľad o čerpaní miezd, platov, služobných príjmov a ostatných osobných vyrovnaní v kapitolách ŠR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24</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Systemizácia colníkov v štátnej službe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25</w:t>
            </w:r>
          </w:p>
          <w:p w:rsidR="00D53C3D" w:rsidRPr="006E50E2" w:rsidP="00D53C3D">
            <w:pPr>
              <w:bidi w:val="0"/>
              <w:spacing w:after="0" w:line="240" w:lineRule="auto"/>
              <w:rPr>
                <w:rFonts w:ascii="Times New Roman" w:hAnsi="Times New Roman"/>
                <w:szCs w:val="22"/>
              </w:rPr>
            </w:pP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color w:val="000000"/>
                <w:szCs w:val="22"/>
              </w:rPr>
              <w:t xml:space="preserve">Systemizácia príslušníkov Hasičského záchranného zboru a príslušníkov Hasičskej záchrannej služby v štátnej službe za rok </w:t>
            </w:r>
            <w:r w:rsidRPr="006E50E2">
              <w:rPr>
                <w:rFonts w:ascii="Times New Roman" w:hAnsi="Times New Roman"/>
                <w:szCs w:val="22"/>
              </w:rPr>
              <w:t>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26</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Systemizácia policajtov v štátnej službe za rok 201</w:t>
            </w:r>
            <w:r>
              <w:rPr>
                <w:rFonts w:ascii="Times New Roman" w:hAnsi="Times New Roman"/>
                <w:szCs w:val="22"/>
              </w:rPr>
              <w:t>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Pr>
                <w:rFonts w:ascii="Times New Roman" w:hAnsi="Times New Roman"/>
                <w:szCs w:val="22"/>
              </w:rPr>
              <w:t>Tab. 27</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P="00D53C3D">
            <w:pPr>
              <w:bidi w:val="0"/>
              <w:spacing w:after="0" w:line="240" w:lineRule="auto"/>
              <w:rPr>
                <w:rFonts w:ascii="Times New Roman" w:hAnsi="Times New Roman"/>
                <w:szCs w:val="22"/>
              </w:rPr>
            </w:pPr>
            <w:r>
              <w:rPr>
                <w:rFonts w:ascii="Times New Roman" w:hAnsi="Times New Roman"/>
                <w:szCs w:val="22"/>
              </w:rPr>
              <w:t>Systemizácia profesionálnych vojakov v štátnej službe za rok 2017</w:t>
            </w:r>
          </w:p>
        </w:tc>
      </w:tr>
      <w:tr>
        <w:tblPrEx>
          <w:tblW w:w="9920" w:type="dxa"/>
          <w:jc w:val="center"/>
          <w:tblLayout w:type="fixed"/>
          <w:tblLook w:val="01E0"/>
        </w:tblPrEx>
        <w:trPr>
          <w:trHeight w:val="39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w:t>
            </w:r>
            <w:r>
              <w:rPr>
                <w:rFonts w:ascii="Times New Roman" w:hAnsi="Times New Roman"/>
                <w:szCs w:val="22"/>
              </w:rPr>
              <w:t>8</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Príjmy štátnych príspevkových organizácií podľa kategórií a kapitol ŠR za rok 201</w:t>
            </w:r>
            <w:r>
              <w:rPr>
                <w:rFonts w:ascii="Times New Roman" w:hAnsi="Times New Roman"/>
                <w:szCs w:val="22"/>
              </w:rPr>
              <w:t>7</w:t>
            </w:r>
          </w:p>
        </w:tc>
      </w:tr>
      <w:tr>
        <w:tblPrEx>
          <w:tblW w:w="9920" w:type="dxa"/>
          <w:jc w:val="center"/>
          <w:tblLayout w:type="fixed"/>
          <w:tblLook w:val="01E0"/>
        </w:tblPrEx>
        <w:trPr>
          <w:cantSplit/>
          <w:trHeight w:val="432"/>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2</w:t>
            </w:r>
            <w:r>
              <w:rPr>
                <w:rFonts w:ascii="Times New Roman" w:hAnsi="Times New Roman"/>
                <w:szCs w:val="22"/>
              </w:rPr>
              <w:t>9</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štátnych príspevkových organizácií podľa funkčnej klasifikácie za rok 201</w:t>
            </w:r>
            <w:r>
              <w:rPr>
                <w:rFonts w:ascii="Times New Roman" w:hAnsi="Times New Roman"/>
                <w:szCs w:val="22"/>
              </w:rPr>
              <w:t>7</w:t>
            </w:r>
          </w:p>
        </w:tc>
      </w:tr>
      <w:tr>
        <w:tblPrEx>
          <w:tblW w:w="9920" w:type="dxa"/>
          <w:jc w:val="center"/>
          <w:tblLayout w:type="fixed"/>
          <w:tblLook w:val="01E0"/>
        </w:tblPrEx>
        <w:trPr>
          <w:cantSplit/>
          <w:trHeight w:val="408"/>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 xml:space="preserve">Tab. </w:t>
            </w:r>
            <w:r>
              <w:rPr>
                <w:rFonts w:ascii="Times New Roman" w:hAnsi="Times New Roman"/>
                <w:szCs w:val="22"/>
              </w:rPr>
              <w:t>30</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Výdavky štátnych príspevkových organizácií podľa kategórií a kapitol ŠR za rok 201</w:t>
            </w:r>
            <w:r>
              <w:rPr>
                <w:rFonts w:ascii="Times New Roman" w:hAnsi="Times New Roman"/>
                <w:szCs w:val="22"/>
              </w:rPr>
              <w:t>7</w:t>
            </w:r>
          </w:p>
        </w:tc>
      </w:tr>
      <w:tr>
        <w:tblPrEx>
          <w:tblW w:w="9920" w:type="dxa"/>
          <w:jc w:val="center"/>
          <w:tblLayout w:type="fixed"/>
          <w:tblLook w:val="01E0"/>
        </w:tblPrEx>
        <w:trPr>
          <w:cantSplit/>
          <w:trHeight w:val="428"/>
          <w:jc w:val="center"/>
        </w:trPr>
        <w:tc>
          <w:tcPr>
            <w:tcW w:w="1065"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Tab. 3</w:t>
            </w:r>
            <w:r>
              <w:rPr>
                <w:rFonts w:ascii="Times New Roman" w:hAnsi="Times New Roman"/>
                <w:szCs w:val="22"/>
              </w:rPr>
              <w:t>1</w:t>
            </w:r>
          </w:p>
        </w:tc>
        <w:tc>
          <w:tcPr>
            <w:tcW w:w="8855" w:type="dxa"/>
            <w:tcBorders>
              <w:top w:val="none" w:sz="0" w:space="0" w:color="auto"/>
              <w:left w:val="none" w:sz="0" w:space="0" w:color="auto"/>
              <w:bottom w:val="none" w:sz="0" w:space="0" w:color="auto"/>
              <w:right w:val="none" w:sz="0" w:space="0" w:color="auto"/>
            </w:tcBorders>
            <w:textDirection w:val="lrTb"/>
            <w:vAlign w:val="center"/>
          </w:tcPr>
          <w:p w:rsidR="00D53C3D" w:rsidRPr="006E50E2" w:rsidP="00D53C3D">
            <w:pPr>
              <w:bidi w:val="0"/>
              <w:spacing w:after="0" w:line="240" w:lineRule="auto"/>
              <w:rPr>
                <w:rFonts w:ascii="Times New Roman" w:hAnsi="Times New Roman"/>
                <w:szCs w:val="22"/>
              </w:rPr>
            </w:pPr>
            <w:r w:rsidRPr="006E50E2">
              <w:rPr>
                <w:rFonts w:ascii="Times New Roman" w:hAnsi="Times New Roman"/>
                <w:szCs w:val="22"/>
              </w:rPr>
              <w:t>Finančné operácie štátnych príspevkových organizácií za rok 201</w:t>
            </w:r>
            <w:r>
              <w:rPr>
                <w:rFonts w:ascii="Times New Roman" w:hAnsi="Times New Roman"/>
                <w:szCs w:val="22"/>
              </w:rPr>
              <w:t>7</w:t>
            </w:r>
          </w:p>
        </w:tc>
      </w:tr>
    </w:tbl>
    <w:p w:rsidR="00D53C3D" w:rsidP="00D53C3D">
      <w:pPr>
        <w:bidi w:val="0"/>
        <w:rPr>
          <w:rFonts w:ascii="Times New Roman" w:hAnsi="Times New Roman"/>
        </w:rPr>
      </w:pPr>
    </w:p>
    <w:p w:rsidR="00C02589" w:rsidRPr="00C02589" w:rsidP="00C02589">
      <w:pPr>
        <w:bidi w:val="0"/>
        <w:jc w:val="center"/>
        <w:rPr>
          <w:rFonts w:ascii="Times New Roman" w:hAnsi="Times New Roman"/>
          <w:b/>
          <w:sz w:val="24"/>
          <w:szCs w:val="24"/>
        </w:rPr>
      </w:pPr>
    </w:p>
    <w:sectPr w:rsidSect="006C34FE">
      <w:footerReference w:type="default" r:id="rId12"/>
      <w:pgSz w:w="11906" w:h="16838" w:code="9"/>
      <w:pgMar w:top="851" w:right="1416" w:bottom="1134" w:left="284" w:header="709" w:footer="433" w:gutter="1418"/>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Arial Narrow">
    <w:altName w:val="Arial Narrow"/>
    <w:panose1 w:val="020B0606020202030204"/>
    <w:charset w:val="EE"/>
    <w:family w:val="swiss"/>
    <w:pitch w:val="variable"/>
    <w:sig w:usb0="00000000" w:usb1="00000000" w:usb2="00000000" w:usb3="00000000" w:csb0="0000009F" w:csb1="00000000"/>
  </w:font>
  <w:font w:name="NeueHaasGroteskDisp W02 Bd">
    <w:panose1 w:val="020B0804020202020204"/>
    <w:charset w:val="EE"/>
    <w:family w:val="swiss"/>
    <w:pitch w:val="variable"/>
    <w:sig w:usb0="00000000" w:usb1="00000000" w:usb2="00000000" w:usb3="00000000" w:csb0="00000013"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Dutch801 SWC">
    <w:altName w:val="Times New Roman"/>
    <w:panose1 w:val="00000000000000000000"/>
    <w:charset w:val="00"/>
    <w:family w:val="roman"/>
    <w:pitch w:val="variable"/>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icomoon">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Roboto">
    <w:panose1 w:val="00000000000000000000"/>
    <w:charset w:val="00"/>
    <w:family w:val="auto"/>
    <w:pitch w:val="default"/>
    <w:sig w:usb0="00000000" w:usb1="00000000" w:usb2="00000000" w:usb3="00000000" w:csb0="00000001" w:csb1="00000000"/>
  </w:font>
  <w:font w:name="FontAwesome">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
    <w:panose1 w:val="02010600030101010101"/>
    <w:charset w:val="86"/>
    <w:family w:val="auto"/>
    <w:pitch w:val="variable"/>
    <w:sig w:usb0="00000000" w:usb1="00000000" w:usb2="00000000" w:usb3="00000000" w:csb0="0004000F" w:csb1="00000000"/>
  </w:font>
  <w:font w:name="Segoe UI Emoji">
    <w:panose1 w:val="00000000000000000000"/>
    <w:charset w:val="00"/>
    <w:family w:val="swiss"/>
    <w:pitch w:val="variable"/>
    <w:sig w:usb0="00000000" w:usb1="00000000" w:usb2="00000000" w:usb3="00000000" w:csb0="00000001" w:csb1="00000000"/>
  </w:font>
  <w:font w:name="AT* Times New Roman">
    <w:altName w:val="Courier New"/>
    <w:panose1 w:val="00000000000000000000"/>
    <w:charset w:val="00"/>
    <w:family w:val="roman"/>
    <w:pitch w:val="variable"/>
    <w:sig w:usb0="00000000" w:usb1="00000000" w:usb2="00000000" w:usb3="00000000" w:csb0="00000001" w:csb1="00000000"/>
  </w:font>
  <w:font w:name="Univers">
    <w:panose1 w:val="00000000000000000000"/>
    <w:charset w:val="EE"/>
    <w:family w:val="swiss"/>
    <w:pitch w:val="variable"/>
    <w:sig w:usb0="00000000" w:usb1="00000000" w:usb2="00000000" w:usb3="00000000" w:csb0="0000000F" w:csb1="00000000"/>
  </w:font>
  <w:font w:name="MT Extra">
    <w:panose1 w:val="05050102010205020202"/>
    <w:charset w:val="02"/>
    <w:family w:val="roman"/>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rial-BoldMT">
    <w:panose1 w:val="00000000000000000000"/>
    <w:charset w:val="00"/>
    <w:family w:val="roman"/>
    <w:pitch w:val="default"/>
    <w:sig w:usb0="00000000" w:usb1="00000000" w:usb2="00000000" w:usb3="00000000" w:csb0="00000001" w:csb1="00000000"/>
  </w:font>
  <w:font w:name="SF Optimized">
    <w:panose1 w:val="00000000000000000000"/>
    <w:charset w:val="00"/>
    <w:family w:val="auto"/>
    <w:pitch w:val="default"/>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Roboto-Regular">
    <w:panose1 w:val="00000000000000000000"/>
    <w:charset w:val="00"/>
    <w:family w:val="roman"/>
    <w:pitch w:val="default"/>
    <w:sig w:usb0="00000000" w:usb1="00000000" w:usb2="00000000" w:usb3="00000000" w:csb0="00000001" w:csb1="00000000"/>
  </w:font>
  <w:font w:name="atlasIconFont">
    <w:panose1 w:val="00000000000000000000"/>
    <w:charset w:val="00"/>
    <w:family w:val="auto"/>
    <w:pitch w:val="default"/>
    <w:sig w:usb0="00000000" w:usb1="00000000" w:usb2="00000000" w:usb3="00000000" w:csb0="00000001" w:csb1="00000000"/>
  </w:font>
  <w:font w:name="ArialMT">
    <w:panose1 w:val="00000000000000000000"/>
    <w:charset w:val="00"/>
    <w:family w:val="roman"/>
    <w:pitch w:val="default"/>
    <w:sig w:usb0="00000000" w:usb1="00000000" w:usb2="00000000" w:usb3="00000000" w:csb0="00000001" w:csb1="00000000"/>
  </w:font>
  <w:font w:name="Helvetica-Bold">
    <w:panose1 w:val="00000000000000000000"/>
    <w:charset w:val="00"/>
    <w:family w:val="roman"/>
    <w:pitch w:val="default"/>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Tabac-Sans">
    <w:altName w:val="Times New Roman"/>
    <w:panose1 w:val="00000000000000000000"/>
    <w:charset w:val="00"/>
    <w:family w:val="auto"/>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SansSerif">
    <w:altName w:val="Times New Roman"/>
    <w:panose1 w:val="00000000000000000000"/>
    <w:charset w:val="00"/>
    <w:family w:val="roman"/>
    <w:pitch w:val="default"/>
    <w:sig w:usb0="00000000" w:usb1="00000000" w:usb2="00000000" w:usb3="00000000" w:csb0="00000001" w:csb1="00000000"/>
  </w:font>
  <w:font w:name="IAGlyphs">
    <w:panose1 w:val="00000000000000000000"/>
    <w:charset w:val="00"/>
    <w:family w:val="auto"/>
    <w:pitch w:val="default"/>
    <w:sig w:usb0="00000000" w:usb1="00000000" w:usb2="00000000" w:usb3="00000000" w:csb0="00000001" w:csb1="00000000"/>
  </w:font>
  <w:font w:name="SFUIText-Regular">
    <w:panose1 w:val="00000000000000000000"/>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HelveticaNeue-Bold">
    <w:panose1 w:val="00000000000000000000"/>
    <w:charset w:val="00"/>
    <w:family w:val="roman"/>
    <w:pitch w:val="default"/>
    <w:sig w:usb0="00000000" w:usb1="00000000" w:usb2="00000000" w:usb3="00000000" w:csb0="00000001" w:csb1="00000000"/>
  </w:font>
  <w:font w:name="Raleway ExtraBold">
    <w:panose1 w:val="00000000000000000000"/>
    <w:charset w:val="00"/>
    <w:family w:val="auto"/>
    <w:pitch w:val="default"/>
    <w:sig w:usb0="00000000" w:usb1="00000000" w:usb2="00000000" w:usb3="00000000" w:csb0="00000001" w:csb1="00000000"/>
  </w:font>
  <w:font w:name="Asap Condensed Medium">
    <w:panose1 w:val="00000000000000000000"/>
    <w:charset w:val="00"/>
    <w:family w:val="auto"/>
    <w:pitch w:val="default"/>
    <w:sig w:usb0="00000000" w:usb1="00000000" w:usb2="00000000" w:usb3="00000000" w:csb0="00000001" w:csb1="00000000"/>
  </w:font>
  <w:font w:name="Montserrat Regular">
    <w:panose1 w:val="00000000000000000000"/>
    <w:charset w:val="00"/>
    <w:family w:val="auto"/>
    <w:pitch w:val="default"/>
    <w:sig w:usb0="00000000" w:usb1="00000000" w:usb2="00000000" w:usb3="00000000" w:csb0="00000001" w:csb1="00000000"/>
  </w:font>
  <w:font w:name="Noto Serif Bold">
    <w:panose1 w:val="00000000000000000000"/>
    <w:charset w:val="00"/>
    <w:family w:val="auto"/>
    <w:pitch w:val="default"/>
    <w:sig w:usb0="00000000" w:usb1="00000000" w:usb2="00000000" w:usb3="00000000" w:csb0="00000001" w:csb1="00000000"/>
  </w:font>
  <w:font w:name="Roboto Slab Bold">
    <w:panose1 w:val="00000000000000000000"/>
    <w:charset w:val="00"/>
    <w:family w:val="auto"/>
    <w:pitch w:val="default"/>
    <w:sig w:usb0="00000000" w:usb1="00000000" w:usb2="00000000" w:usb3="00000000" w:csb0="00000001" w:csb1="00000000"/>
  </w:font>
  <w:font w:name="Fredoka One Regular">
    <w:panose1 w:val="00000000000000000000"/>
    <w:charset w:val="00"/>
    <w:family w:val="auto"/>
    <w:pitch w:val="default"/>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Source Sans Pro">
    <w:altName w:val="Times New Roman"/>
    <w:panose1 w:val="00000000000000000000"/>
    <w:charset w:val="00"/>
    <w:family w:val="auto"/>
    <w:pitch w:val="default"/>
    <w:sig w:usb0="00000000" w:usb1="00000000" w:usb2="00000000" w:usb3="00000000" w:csb0="00000001" w:csb1="00000000"/>
  </w:font>
  <w:font w:name="NeueHaasGroteskText W02">
    <w:altName w:val="Calibri"/>
    <w:panose1 w:val="020B0504020202020204"/>
    <w:charset w:val="EE"/>
    <w:family w:val="swiss"/>
    <w:pitch w:val="variable"/>
    <w:sig w:usb0="00000000" w:usb1="00000000" w:usb2="00000000" w:usb3="00000000" w:csb0="00000093" w:csb1="00000000"/>
  </w:font>
  <w:font w:name="Bahnschrift Light">
    <w:panose1 w:val="020B0502040204020203"/>
    <w:charset w:val="00"/>
    <w:family w:val="swiss"/>
    <w:pitch w:val="variable"/>
    <w:sig w:usb0="00000000" w:usb1="00000000" w:usb2="00000000" w:usb3="00000000" w:csb0="00000001" w:csb1="00000000"/>
  </w:font>
  <w:font w:name="Bahnschrift SemiLight">
    <w:panose1 w:val="020B0502040204020203"/>
    <w:charset w:val="00"/>
    <w:family w:val="swiss"/>
    <w:pitch w:val="variable"/>
    <w:sig w:usb0="00000000" w:usb1="00000000" w:usb2="00000000" w:usb3="00000000" w:csb0="00000001" w:csb1="00000000"/>
  </w:font>
  <w:font w:name="Bahnschrift">
    <w:panose1 w:val="020B0502040204020203"/>
    <w:charset w:val="00"/>
    <w:family w:val="swiss"/>
    <w:pitch w:val="variable"/>
    <w:sig w:usb0="00000000" w:usb1="00000000" w:usb2="00000000" w:usb3="00000000" w:csb0="00000001" w:csb1="00000000"/>
  </w:font>
  <w:font w:name="Bahnschrift SemiBold">
    <w:panose1 w:val="020B0502040204020203"/>
    <w:charset w:val="00"/>
    <w:family w:val="swiss"/>
    <w:pitch w:val="variable"/>
    <w:sig w:usb0="00000000" w:usb1="00000000" w:usb2="00000000" w:usb3="00000000" w:csb0="00000001"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DE"/>
    <w:family w:val="swiss"/>
    <w:pitch w:val="variable"/>
    <w:sig w:usb0="00000000" w:usb1="00000000" w:usb2="00000000" w:usb3="00000000" w:csb0="00010001" w:csb1="00000000"/>
  </w:font>
  <w:font w:name="Malgun Gothic Semilight">
    <w:panose1 w:val="020B0502040204020203"/>
    <w:charset w:val="81"/>
    <w:family w:val="swiss"/>
    <w:pitch w:val="variable"/>
    <w:sig w:usb0="00000000" w:usb1="00000000" w:usb2="00000000" w:usb3="00000000" w:csb0="0008009D" w:csb1="00000000"/>
  </w:font>
  <w:font w:name="@Malgun Gothic Semilight">
    <w:panose1 w:val="00000000000000000000"/>
    <w:charset w:val="80"/>
    <w:family w:val="swiss"/>
    <w:pitch w:val="variable"/>
    <w:sig w:usb0="00000000" w:usb1="00000000" w:usb2="00000000" w:usb3="00000000" w:csb0="0002009C" w:csb1="00000000"/>
  </w:font>
  <w:font w:name="Microsoft JhengHei Light">
    <w:panose1 w:val="020B0304030504040204"/>
    <w:charset w:val="88"/>
    <w:family w:val="swiss"/>
    <w:pitch w:val="variable"/>
    <w:sig w:usb0="00000000" w:usb1="00000000" w:usb2="00000000" w:usb3="00000000" w:csb0="00100008" w:csb1="00000000"/>
  </w:font>
  <w:font w:name="@Microsoft JhengHei Light">
    <w:panose1 w:val="00000000000000000000"/>
    <w:charset w:val="88"/>
    <w:family w:val="swiss"/>
    <w:pitch w:val="variable"/>
    <w:sig w:usb0="00000000" w:usb1="00000000" w:usb2="00000000" w:usb3="00000000" w:csb0="00100008" w:csb1="00000000"/>
  </w:font>
  <w:font w:name="Microsoft JhengHei UI Light">
    <w:panose1 w:val="020B0304030504040204"/>
    <w:charset w:val="88"/>
    <w:family w:val="swiss"/>
    <w:pitch w:val="variable"/>
    <w:sig w:usb0="00000000" w:usb1="00000000" w:usb2="00000000" w:usb3="00000000" w:csb0="00100000" w:csb1="00000000"/>
  </w:font>
  <w:font w:name="@Microsoft JhengHei UI Light">
    <w:panose1 w:val="00000000000000000000"/>
    <w:charset w:val="88"/>
    <w:family w:val="swiss"/>
    <w:pitch w:val="variable"/>
    <w:sig w:usb0="00000000" w:usb1="00000000" w:usb2="00000000" w:usb3="00000000" w:csb0="00100000" w:csb1="00000000"/>
  </w:font>
  <w:font w:name="Microsoft YaHei Light">
    <w:panose1 w:val="020B0502040204020203"/>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20B0502040204020203"/>
    <w:charset w:val="86"/>
    <w:family w:val="swiss"/>
    <w:pitch w:val="variable"/>
    <w:sig w:usb0="00000000" w:usb1="00000000" w:usb2="00000000" w:usb3="00000000" w:csb0="0004001E" w:csb1="00000000"/>
  </w:font>
  <w:font w:name="@Microsoft YaHei UI Light">
    <w:panose1 w:val="00000000000000000000"/>
    <w:charset w:val="86"/>
    <w:family w:val="swiss"/>
    <w:pitch w:val="variable"/>
    <w:sig w:usb0="00000000" w:usb1="00000000" w:usb2="00000000" w:usb3="00000000" w:csb0="0004001E" w:csb1="00000000"/>
  </w:font>
  <w:font w:name="Myanmar Text">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Segoe MDL2 Assets">
    <w:panose1 w:val="050A0102010101010101"/>
    <w:charset w:val="00"/>
    <w:family w:val="roman"/>
    <w:pitch w:val="variable"/>
    <w:sig w:usb0="00000000" w:usb1="00000000" w:usb2="00000000" w:usb3="00000000" w:csb0="00000001" w:csb1="00000000"/>
  </w:font>
  <w:font w:name="Segoe UI Black">
    <w:panose1 w:val="020B0A02040204020203"/>
    <w:charset w:val="EE"/>
    <w:family w:val="swiss"/>
    <w:pitch w:val="variable"/>
    <w:sig w:usb0="00000000" w:usb1="00000000" w:usb2="00000000" w:usb3="00000000" w:csb0="0000019F"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HoloLens MDL2 Assets">
    <w:panose1 w:val="050A0102010101010101"/>
    <w:charset w:val="00"/>
    <w:family w:val="roman"/>
    <w:pitch w:val="variable"/>
    <w:sig w:usb0="00000000" w:usb1="00000000" w:usb2="00000000" w:usb3="00000000" w:csb0="00000001" w:csb1="00000000"/>
  </w:font>
  <w:font w:name="Microsoft Office Preview Font">
    <w:panose1 w:val="00000000000000000000"/>
    <w:charset w:val="00"/>
    <w:family w:val="swiss"/>
    <w:pitch w:val="variable"/>
    <w:sig w:usb0="00000000" w:usb1="00000000" w:usb2="00000000" w:usb3="00000000" w:csb0="00000001" w:csb1="00000000"/>
  </w:font>
  <w:font w:name="MS Office Symbol Regular">
    <w:panose1 w:val="01000000000000000000"/>
    <w:charset w:val="00"/>
    <w:family w:val="auto"/>
    <w:pitch w:val="variable"/>
    <w:sig w:usb0="00000000" w:usb1="00000000" w:usb2="00000000" w:usb3="00000000" w:csb0="00000001" w:csb1="00000000"/>
  </w:font>
  <w:font w:name="MS Office Symbol (sk-sk) Bold">
    <w:panose1 w:val="01000000000000000000"/>
    <w:charset w:val="00"/>
    <w:family w:val="auto"/>
    <w:pitch w:val="variable"/>
    <w:sig w:usb0="00000000" w:usb1="00000000" w:usb2="00000000" w:usb3="00000000" w:csb0="00000001" w:csb1="00000000"/>
  </w:font>
  <w:font w:name="MS Office Symbol (sk-sk) Light">
    <w:panose1 w:val="01000000000000000000"/>
    <w:charset w:val="00"/>
    <w:family w:val="auto"/>
    <w:pitch w:val="variable"/>
    <w:sig w:usb0="00000000" w:usb1="00000000" w:usb2="00000000" w:usb3="00000000" w:csb0="00000001" w:csb1="00000000"/>
  </w:font>
  <w:font w:name="MS Office Symbol Semibold">
    <w:panose1 w:val="01000000000000000000"/>
    <w:charset w:val="00"/>
    <w:family w:val="auto"/>
    <w:pitch w:val="variable"/>
    <w:sig w:usb0="00000000" w:usb1="00000000" w:usb2="00000000" w:usb3="00000000" w:csb0="00000001" w:csb1="00000000"/>
  </w:font>
  <w:font w:name="MS Office Symbol Semilight">
    <w:panose1 w:val="01000000000000000000"/>
    <w:charset w:val="00"/>
    <w:family w:val="auto"/>
    <w:pitch w:val="variable"/>
    <w:sig w:usb0="00000000" w:usb1="00000000" w:usb2="00000000" w:usb3="00000000" w:csb0="00000001" w:csb1="00000000"/>
  </w:font>
  <w:font w:name="MS Office Symbol Extralight">
    <w:panose1 w:val="01000000000000000000"/>
    <w:charset w:val="00"/>
    <w:family w:val="auto"/>
    <w:pitch w:val="variable"/>
    <w:sig w:usb0="00000000" w:usb1="00000000" w:usb2="00000000" w:usb3="00000000" w:csb0="00000001" w:csb1="00000000"/>
  </w:font>
  <w:font w:name="Dubai">
    <w:panose1 w:val="020B0503030403030204"/>
    <w:charset w:val="B2"/>
    <w:family w:val="swiss"/>
    <w:pitch w:val="variable"/>
    <w:sig w:usb0="00000000" w:usb1="00000000" w:usb2="00000000" w:usb3="00000000" w:csb0="00000041" w:csb1="00000000"/>
  </w:font>
  <w:font w:name="Dubai Light">
    <w:panose1 w:val="020B0303030403030204"/>
    <w:charset w:val="B2"/>
    <w:family w:val="swiss"/>
    <w:pitch w:val="variable"/>
    <w:sig w:usb0="00000000" w:usb1="00000000" w:usb2="00000000" w:usb3="00000000" w:csb0="00000041" w:csb1="00000000"/>
  </w:font>
  <w:font w:name="Dubai Medium">
    <w:panose1 w:val="020B0603030403030204"/>
    <w:charset w:val="B2"/>
    <w:family w:val="swiss"/>
    <w:pitch w:val="variable"/>
    <w:sig w:usb0="00000000" w:usb1="00000000" w:usb2="00000000" w:usb3="00000000" w:csb0="00000041"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0" w:csb1="00000000"/>
  </w:font>
  <w:font w:name="Arial Nova">
    <w:panose1 w:val="00000000000000000000"/>
    <w:charset w:val="EE"/>
    <w:family w:val="swiss"/>
    <w:pitch w:val="variable"/>
    <w:sig w:usb0="00000000" w:usb1="00000000" w:usb2="00000000" w:usb3="00000000" w:csb0="0000009F" w:csb1="00000000"/>
  </w:font>
  <w:font w:name="Arial Nova Cond">
    <w:panose1 w:val="00000000000000000000"/>
    <w:charset w:val="EE"/>
    <w:family w:val="swiss"/>
    <w:pitch w:val="variable"/>
    <w:sig w:usb0="00000000" w:usb1="00000000" w:usb2="00000000" w:usb3="00000000" w:csb0="0000009F" w:csb1="00000000"/>
  </w:font>
  <w:font w:name="Arial Nova Cond Light">
    <w:panose1 w:val="00000000000000000000"/>
    <w:charset w:val="EE"/>
    <w:family w:val="swiss"/>
    <w:pitch w:val="variable"/>
    <w:sig w:usb0="00000000" w:usb1="00000000" w:usb2="00000000" w:usb3="00000000" w:csb0="0000009F" w:csb1="00000000"/>
  </w:font>
  <w:font w:name="Arial Nova Light">
    <w:panose1 w:val="00000000000000000000"/>
    <w:charset w:val="EE"/>
    <w:family w:val="swiss"/>
    <w:pitch w:val="variable"/>
    <w:sig w:usb0="00000000" w:usb1="00000000" w:usb2="00000000" w:usb3="00000000" w:csb0="0000019F" w:csb1="00000000"/>
  </w:font>
  <w:font w:name="Bembo">
    <w:panose1 w:val="00000000000000000000"/>
    <w:charset w:val="00"/>
    <w:family w:val="roman"/>
    <w:pitch w:val="variable"/>
    <w:sig w:usb0="00000000" w:usb1="00000000" w:usb2="00000000" w:usb3="00000000" w:csb0="00000001" w:csb1="00000000"/>
  </w:font>
  <w:font w:name="Dante">
    <w:panose1 w:val="00000000000000000000"/>
    <w:charset w:val="00"/>
    <w:family w:val="roman"/>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Georgia Pro">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Light">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00"/>
    <w:family w:val="swiss"/>
    <w:pitch w:val="variable"/>
    <w:sig w:usb0="00000000" w:usb1="00000000" w:usb2="00000000" w:usb3="00000000" w:csb0="00000001"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1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HGGothicE">
    <w:panose1 w:val="00000000000000000000"/>
    <w:charset w:val="80"/>
    <w:family w:val="modern"/>
    <w:pitch w:val="fixed"/>
    <w:sig w:usb0="00000000" w:usb1="00000000" w:usb2="00000000" w:usb3="00000000" w:csb0="0002009F" w:csb1="00000000"/>
  </w:font>
  <w:font w:name="HGMaruGothicMPRO">
    <w:panose1 w:val="00000000000000000000"/>
    <w:charset w:val="80"/>
    <w:family w:val="swiss"/>
    <w:pitch w:val="variable"/>
    <w:sig w:usb0="00000000" w:usb1="00000000" w:usb2="00000000" w:usb3="00000000" w:csb0="0002009F" w:csb1="00000000"/>
  </w:font>
  <w:font w:name="HGMinchoE">
    <w:panose1 w:val="00000000000000000000"/>
    <w:charset w:val="80"/>
    <w:family w:val="modern"/>
    <w:pitch w:val="fixed"/>
    <w:sig w:usb0="00000000" w:usb1="00000000" w:usb2="00000000" w:usb3="00000000" w:csb0="0002009F" w:csb1="00000000"/>
  </w:font>
  <w:font w:name="HGPGothicE">
    <w:panose1 w:val="00000000000000000000"/>
    <w:charset w:val="80"/>
    <w:family w:val="swiss"/>
    <w:pitch w:val="variable"/>
    <w:sig w:usb0="00000000" w:usb1="00000000" w:usb2="00000000" w:usb3="00000000" w:csb0="0002009F" w:csb1="00000000"/>
  </w:font>
  <w:font w:name="HGPMinchoE">
    <w:panose1 w:val="00000000000000000000"/>
    <w:charset w:val="80"/>
    <w:family w:val="roman"/>
    <w:pitch w:val="variable"/>
    <w:sig w:usb0="00000000" w:usb1="00000000" w:usb2="00000000" w:usb3="00000000" w:csb0="0002009F" w:csb1="00000000"/>
  </w:font>
  <w:font w:name="HGPSoeiKakugothicUB">
    <w:panose1 w:val="00000000000000000000"/>
    <w:charset w:val="80"/>
    <w:family w:val="swiss"/>
    <w:pitch w:val="variable"/>
    <w:sig w:usb0="00000000" w:usb1="00000000" w:usb2="00000000" w:usb3="00000000" w:csb0="0002009F" w:csb1="00000000"/>
  </w:font>
  <w:font w:name="HGSGothicE">
    <w:panose1 w:val="00000000000000000000"/>
    <w:charset w:val="80"/>
    <w:family w:val="swiss"/>
    <w:pitch w:val="variable"/>
    <w:sig w:usb0="00000000" w:usb1="00000000" w:usb2="00000000" w:usb3="00000000" w:csb0="0002009F" w:csb1="00000000"/>
  </w:font>
  <w:font w:name="HGSMinchoE">
    <w:panose1 w:val="00000000000000000000"/>
    <w:charset w:val="80"/>
    <w:family w:val="roman"/>
    <w:pitch w:val="variable"/>
    <w:sig w:usb0="00000000" w:usb1="00000000" w:usb2="00000000" w:usb3="00000000" w:csb0="0002009F" w:csb1="00000000"/>
  </w:font>
  <w:font w:name="HGSoeiKakugothicUB">
    <w:panose1 w:val="00000000000000000000"/>
    <w:charset w:val="80"/>
    <w:family w:val="modern"/>
    <w:pitch w:val="fixed"/>
    <w:sig w:usb0="00000000" w:usb1="00000000" w:usb2="00000000" w:usb3="00000000" w:csb0="0002009F" w:csb1="00000000"/>
  </w:font>
  <w:font w:name="HGSSoeiKakugothicUB">
    <w:panose1 w:val="00000000000000000000"/>
    <w:charset w:val="80"/>
    <w:family w:val="swiss"/>
    <w:pitch w:val="variable"/>
    <w:sig w:usb0="00000000" w:usb1="00000000" w:usb2="00000000" w:usb3="00000000" w:csb0="0002009F" w:csb1="00000000"/>
  </w:font>
  <w:font w:name="NeueHaasGroteskText Pro">
    <w:panose1 w:val="00000000000000000000"/>
    <w:charset w:val="EE"/>
    <w:family w:val="swiss"/>
    <w:pitch w:val="variable"/>
    <w:sig w:usb0="00000000" w:usb1="00000000" w:usb2="00000000" w:usb3="00000000" w:csb0="00000093" w:csb1="00000000"/>
  </w:font>
  <w:font w:name="News Gothic MT">
    <w:panose1 w:val="00000000000000000000"/>
    <w:charset w:val="00"/>
    <w:family w:val="swiss"/>
    <w:pitch w:val="variable"/>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Rockwell Light">
    <w:panose1 w:val="00000000000000000000"/>
    <w:charset w:val="EE"/>
    <w:family w:val="roman"/>
    <w:pitch w:val="variable"/>
    <w:sig w:usb0="00000000" w:usb1="00000000" w:usb2="00000000" w:usb3="00000000" w:csb0="0000000F"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Sanskrit Text">
    <w:panose1 w:val="00000000000000000000"/>
    <w:charset w:val="00"/>
    <w:family w:val="roman"/>
    <w:pitch w:val="variable"/>
    <w:sig w:usb0="00000000" w:usb1="00000000" w:usb2="00000000" w:usb3="00000000" w:csb0="00000001"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Verdana Pro">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Light">
    <w:panose1 w:val="00000000000000000000"/>
    <w:charset w:val="EE"/>
    <w:family w:val="swiss"/>
    <w:pitch w:val="variable"/>
    <w:sig w:usb0="00000000" w:usb1="00000000" w:usb2="00000000" w:usb3="00000000" w:csb0="0000009F" w:csb1="00000000"/>
  </w:font>
  <w:font w:name="Yu Mincho">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Malgun Gothic Semilight Wester">
    <w:panose1 w:val="00000000000000000000"/>
    <w:charset w:val="00"/>
    <w:family w:val="swiss"/>
    <w:pitch w:val="variable"/>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CG Times">
    <w:altName w:val="Times New Roman"/>
    <w:panose1 w:val="00000000000000000000"/>
    <w:charset w:val="00"/>
    <w:family w:val="roman"/>
    <w:pitch w:val="variable"/>
    <w:sig w:usb0="00000000" w:usb1="00000000" w:usb2="00000000" w:usb3="00000000" w:csb0="00000001" w:csb1="00000000"/>
  </w:font>
  <w:font w:name="MinionPro-Regular">
    <w:altName w:val="Times New Roman"/>
    <w:panose1 w:val="00000000000000000000"/>
    <w:charset w:val="4D"/>
    <w:family w:val="auto"/>
    <w:pitch w:val="default"/>
    <w:sig w:usb0="00000000" w:usb1="00000000" w:usb2="00000000" w:usb3="00000000" w:csb0="00000000" w:csb1="00000000"/>
  </w:font>
  <w:font w:name="Minion Pro">
    <w:panose1 w:val="00000000000000000000"/>
    <w:charset w:val="EE"/>
    <w:family w:val="roman"/>
    <w:pitch w:val="variable"/>
    <w:sig w:usb0="00000000" w:usb1="00000000" w:usb2="00000000" w:usb3="00000000" w:csb0="0000019F" w:csb1="00000000"/>
  </w:font>
  <w:font w:name="Calibri-Bold">
    <w:altName w:val="Calibri"/>
    <w:panose1 w:val="00000000000000000000"/>
    <w:charset w:val="4D"/>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T78Fo00">
    <w:altName w:val="Times New Roman"/>
    <w:panose1 w:val="00000000000000000000"/>
    <w:charset w:val="00"/>
    <w:family w:val="auto"/>
    <w:pitch w:val="default"/>
    <w:sig w:usb0="00000000" w:usb1="00000000" w:usb2="00000000" w:usb3="00000000" w:csb0="00000001" w:csb1="00000000"/>
  </w:font>
  <w:font w:name="fontawesome-alloy">
    <w:panose1 w:val="00000000000000000000"/>
    <w:charset w:val="00"/>
    <w:family w:val="auto"/>
    <w:pitch w:val="default"/>
    <w:sig w:usb0="00000000" w:usb1="00000000" w:usb2="00000000" w:usb3="00000000" w:csb0="00000001" w:csb1="00000000"/>
  </w:font>
  <w:font w:name="NeueHaasGroteskDisp W02 Bd Balt">
    <w:panose1 w:val="00000000000000000000"/>
    <w:charset w:val="BA"/>
    <w:family w:val="swiss"/>
    <w:pitch w:val="variable"/>
    <w:sig w:usb0="00000000" w:usb1="00000000" w:usb2="00000000" w:usb3="00000000" w:csb0="00000080"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Franklin Got Itc TCE">
    <w:altName w:val="Franklin Got Itc TCE"/>
    <w:panose1 w:val="00000000000000000000"/>
    <w:charset w:val="EE"/>
    <w:family w:val="swiss"/>
    <w:pitch w:val="default"/>
    <w:sig w:usb0="00000000" w:usb1="00000000" w:usb2="00000000" w:usb3="00000000" w:csb0="00000003"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D8" w:rsidRPr="00A54EDF">
    <w:pPr>
      <w:pStyle w:val="Footer"/>
      <w:bidi w:val="0"/>
      <w:jc w:val="center"/>
      <w:rPr>
        <w:rFonts w:ascii="Times New Roman" w:hAnsi="Times New Roman"/>
        <w:sz w:val="22"/>
        <w:szCs w:val="22"/>
      </w:rPr>
    </w:pPr>
    <w:r w:rsidRPr="00A54EDF">
      <w:rPr>
        <w:rFonts w:ascii="Times New Roman" w:hAnsi="Times New Roman"/>
        <w:sz w:val="22"/>
        <w:szCs w:val="22"/>
      </w:rPr>
      <w:fldChar w:fldCharType="begin"/>
    </w:r>
    <w:r w:rsidRPr="00A54EDF">
      <w:rPr>
        <w:rFonts w:ascii="Times New Roman" w:hAnsi="Times New Roman"/>
        <w:sz w:val="22"/>
        <w:szCs w:val="22"/>
      </w:rPr>
      <w:instrText>PAGE   \* MERGEFORMAT</w:instrText>
    </w:r>
    <w:r w:rsidRPr="00A54EDF">
      <w:rPr>
        <w:rFonts w:ascii="Times New Roman" w:hAnsi="Times New Roman"/>
        <w:sz w:val="22"/>
        <w:szCs w:val="22"/>
      </w:rPr>
      <w:fldChar w:fldCharType="separate"/>
    </w:r>
    <w:r w:rsidR="00D53C3D">
      <w:rPr>
        <w:rFonts w:ascii="Times New Roman" w:hAnsi="Times New Roman"/>
        <w:noProof/>
        <w:sz w:val="22"/>
        <w:szCs w:val="22"/>
      </w:rPr>
      <w:t>90</w:t>
    </w:r>
    <w:r w:rsidRPr="00A54EDF">
      <w:rPr>
        <w:rFonts w:ascii="Times New Roman" w:hAnsi="Times New Roman"/>
        <w:sz w:val="22"/>
        <w:szCs w:val="22"/>
      </w:rPr>
      <w:fldChar w:fldCharType="end"/>
    </w:r>
  </w:p>
  <w:p w:rsidR="004F5AD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5E" w:rsidP="00652926">
      <w:pPr>
        <w:bidi w:val="0"/>
        <w:spacing w:after="0" w:line="240" w:lineRule="auto"/>
        <w:rPr>
          <w:rFonts w:ascii="Times New Roman" w:hAnsi="Times New Roman"/>
        </w:rPr>
      </w:pPr>
      <w:r>
        <w:rPr>
          <w:rFonts w:ascii="Times New Roman" w:hAnsi="Times New Roman"/>
        </w:rPr>
        <w:separator/>
      </w:r>
    </w:p>
  </w:footnote>
  <w:footnote w:type="continuationSeparator" w:id="1">
    <w:p w:rsidR="0070295E" w:rsidP="00652926">
      <w:pPr>
        <w:bidi w:val="0"/>
        <w:spacing w:after="0" w:line="240" w:lineRule="auto"/>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Pr="002E4DE0" w:rsidR="004F5AD8">
        <w:rPr>
          <w:rStyle w:val="FootnoteReference"/>
          <w:rFonts w:ascii="Times New Roman" w:hAnsi="Times New Roman"/>
          <w:sz w:val="18"/>
          <w:szCs w:val="18"/>
        </w:rPr>
        <w:footnoteRef/>
      </w:r>
      <w:r w:rsidRPr="002E4DE0" w:rsidR="004F5AD8">
        <w:rPr>
          <w:rFonts w:ascii="Times New Roman" w:hAnsi="Times New Roman"/>
          <w:sz w:val="18"/>
          <w:szCs w:val="18"/>
        </w:rPr>
        <w:t xml:space="preserve"> Návrh rozpočtu verejnej správy na roky 2017 – 2019 (http://www.finance.gov.sk/Default.aspx?CatID=11224</w:t>
      </w:r>
      <w:r w:rsidR="004F5AD8">
        <w:rPr>
          <w:rFonts w:ascii="Times New Roman" w:hAnsi="Times New Roman"/>
          <w:sz w:val="18"/>
          <w:szCs w:val="18"/>
        </w:rPr>
        <w:t>)</w:t>
      </w:r>
    </w:p>
  </w:footnote>
  <w:footnote w:id="3">
    <w:p w:rsidP="00F36078">
      <w:pPr>
        <w:pStyle w:val="FootnoteText"/>
        <w:bidi w:val="0"/>
        <w:jc w:val="both"/>
        <w:rPr>
          <w:rFonts w:ascii="Times New Roman" w:hAnsi="Times New Roman"/>
        </w:rPr>
      </w:pPr>
      <w:r w:rsidRPr="00D55563" w:rsidR="004F5AD8">
        <w:rPr>
          <w:rStyle w:val="FootnoteReference"/>
          <w:rFonts w:ascii="Times New Roman" w:hAnsi="Times New Roman" w:eastAsiaTheme="majorEastAsia"/>
          <w:sz w:val="18"/>
          <w:szCs w:val="18"/>
        </w:rPr>
        <w:footnoteRef/>
      </w:r>
      <w:r w:rsidRPr="00D55563" w:rsidR="004F5AD8">
        <w:rPr>
          <w:rFonts w:ascii="Times New Roman" w:hAnsi="Times New Roman"/>
          <w:sz w:val="18"/>
          <w:szCs w:val="18"/>
        </w:rPr>
        <w:t xml:space="preserve"> V rozpočte verejnej správy (RVS) na roky 2017 až 2019 je nad rámec prognózy schválenej Výborom pre daňové prognózy (VpDP) zapracovaná aj  legislatívna zmena týkajúca sa zrušenia maximálnych vymeriavacích základov pre zdravotné odvody. Uvedené opatrenie zvyšuje výnos zdravotných odvodov v rokoch 2017 až 2019 o 90 až 100 mil. eur. Zároveň znamená nižší výnos dane z príjmov právnických a fyzických osôb v celkovej sume 17 až 19 mil. eur.</w:t>
      </w:r>
    </w:p>
  </w:footnote>
  <w:footnote w:id="4">
    <w:p w:rsidP="00F36078">
      <w:pPr>
        <w:pStyle w:val="FootnoteText"/>
        <w:bidi w:val="0"/>
        <w:jc w:val="both"/>
        <w:rPr>
          <w:rFonts w:ascii="Times New Roman" w:hAnsi="Times New Roman"/>
        </w:rPr>
      </w:pPr>
      <w:r w:rsidRPr="006109EE" w:rsidR="004F5AD8">
        <w:rPr>
          <w:rStyle w:val="FootnoteReference"/>
          <w:rFonts w:ascii="Times New Roman" w:hAnsi="Times New Roman" w:eastAsiaTheme="majorEastAsia"/>
          <w:sz w:val="18"/>
          <w:szCs w:val="18"/>
        </w:rPr>
        <w:footnoteRef/>
      </w:r>
      <w:r w:rsidRPr="006109EE" w:rsidR="004F5AD8">
        <w:rPr>
          <w:rFonts w:ascii="Times New Roman" w:hAnsi="Times New Roman"/>
          <w:sz w:val="18"/>
          <w:szCs w:val="18"/>
        </w:rPr>
        <w:t xml:space="preserve"> Výnos DPFO z podnikania za rok 201</w:t>
      </w:r>
      <w:r w:rsidR="004F5AD8">
        <w:rPr>
          <w:rFonts w:ascii="Times New Roman" w:hAnsi="Times New Roman"/>
          <w:sz w:val="18"/>
          <w:szCs w:val="18"/>
        </w:rPr>
        <w:t>7</w:t>
      </w:r>
      <w:r w:rsidRPr="006109EE" w:rsidR="004F5AD8">
        <w:rPr>
          <w:rFonts w:ascii="Times New Roman" w:hAnsi="Times New Roman"/>
          <w:sz w:val="18"/>
          <w:szCs w:val="18"/>
        </w:rPr>
        <w:t xml:space="preserve"> je len odhad, pret</w:t>
      </w:r>
      <w:r w:rsidR="004F5AD8">
        <w:rPr>
          <w:rFonts w:ascii="Times New Roman" w:hAnsi="Times New Roman"/>
          <w:sz w:val="18"/>
          <w:szCs w:val="18"/>
        </w:rPr>
        <w:t>ože daňové priznania za rok 2017</w:t>
      </w:r>
      <w:r w:rsidRPr="006109EE" w:rsidR="004F5AD8">
        <w:rPr>
          <w:rFonts w:ascii="Times New Roman" w:hAnsi="Times New Roman"/>
          <w:sz w:val="18"/>
          <w:szCs w:val="18"/>
        </w:rPr>
        <w:t xml:space="preserve"> sa podávajú v roku 201</w:t>
      </w:r>
      <w:r w:rsidR="004F5AD8">
        <w:rPr>
          <w:rFonts w:ascii="Times New Roman" w:hAnsi="Times New Roman"/>
          <w:sz w:val="18"/>
          <w:szCs w:val="18"/>
        </w:rPr>
        <w:t>8</w:t>
      </w:r>
      <w:r w:rsidRPr="006109EE" w:rsidR="004F5AD8">
        <w:rPr>
          <w:rFonts w:ascii="Times New Roman" w:hAnsi="Times New Roman"/>
          <w:sz w:val="18"/>
          <w:szCs w:val="18"/>
        </w:rPr>
        <w:t xml:space="preserve"> a skutočný výnos dane bude známy až na začiatku roka 201</w:t>
      </w:r>
      <w:r w:rsidR="004F5AD8">
        <w:rPr>
          <w:rFonts w:ascii="Times New Roman" w:hAnsi="Times New Roman"/>
          <w:sz w:val="18"/>
          <w:szCs w:val="18"/>
        </w:rPr>
        <w:t>9</w:t>
      </w:r>
      <w:r w:rsidRPr="006109EE" w:rsidR="004F5AD8">
        <w:rPr>
          <w:rFonts w:ascii="Times New Roman" w:hAnsi="Times New Roman"/>
          <w:sz w:val="18"/>
          <w:szCs w:val="18"/>
        </w:rPr>
        <w:t>.</w:t>
      </w:r>
    </w:p>
  </w:footnote>
  <w:footnote w:id="5">
    <w:p w:rsidP="00F36078">
      <w:pPr>
        <w:pStyle w:val="FootnoteText"/>
        <w:bidi w:val="0"/>
        <w:jc w:val="both"/>
        <w:rPr>
          <w:rFonts w:ascii="Times New Roman" w:hAnsi="Times New Roman"/>
        </w:rPr>
      </w:pPr>
      <w:r w:rsidRPr="006109EE" w:rsidR="004F5AD8">
        <w:rPr>
          <w:rStyle w:val="FootnoteReference"/>
          <w:rFonts w:ascii="Times New Roman" w:hAnsi="Times New Roman" w:eastAsiaTheme="majorEastAsia"/>
          <w:sz w:val="18"/>
          <w:szCs w:val="18"/>
        </w:rPr>
        <w:footnoteRef/>
      </w:r>
      <w:r w:rsidRPr="006109EE" w:rsidR="004F5AD8">
        <w:rPr>
          <w:rFonts w:ascii="Times New Roman" w:hAnsi="Times New Roman"/>
          <w:sz w:val="18"/>
          <w:szCs w:val="18"/>
        </w:rPr>
        <w:t xml:space="preserve"> Výnos DPPO </w:t>
      </w:r>
      <w:r w:rsidR="004F5AD8">
        <w:rPr>
          <w:rFonts w:ascii="Times New Roman" w:hAnsi="Times New Roman"/>
          <w:sz w:val="18"/>
          <w:szCs w:val="18"/>
        </w:rPr>
        <w:t>za rok 2017</w:t>
      </w:r>
      <w:r w:rsidRPr="006109EE" w:rsidR="004F5AD8">
        <w:rPr>
          <w:rFonts w:ascii="Times New Roman" w:hAnsi="Times New Roman"/>
          <w:sz w:val="18"/>
          <w:szCs w:val="18"/>
        </w:rPr>
        <w:t xml:space="preserve"> je len odhad, pret</w:t>
      </w:r>
      <w:r w:rsidR="004F5AD8">
        <w:rPr>
          <w:rFonts w:ascii="Times New Roman" w:hAnsi="Times New Roman"/>
          <w:sz w:val="18"/>
          <w:szCs w:val="18"/>
        </w:rPr>
        <w:t>ože daňové priznania za rok 2017</w:t>
      </w:r>
      <w:r w:rsidRPr="006109EE" w:rsidR="004F5AD8">
        <w:rPr>
          <w:rFonts w:ascii="Times New Roman" w:hAnsi="Times New Roman"/>
          <w:sz w:val="18"/>
          <w:szCs w:val="18"/>
        </w:rPr>
        <w:t xml:space="preserve"> sa </w:t>
      </w:r>
      <w:r w:rsidR="004F5AD8">
        <w:rPr>
          <w:rFonts w:ascii="Times New Roman" w:hAnsi="Times New Roman"/>
          <w:sz w:val="18"/>
          <w:szCs w:val="18"/>
        </w:rPr>
        <w:t>podávajú v roku 2018</w:t>
      </w:r>
      <w:r w:rsidRPr="006109EE" w:rsidR="004F5AD8">
        <w:rPr>
          <w:rFonts w:ascii="Times New Roman" w:hAnsi="Times New Roman"/>
          <w:sz w:val="18"/>
          <w:szCs w:val="18"/>
        </w:rPr>
        <w:t xml:space="preserve"> a skutočný výnos dane bude známy až na začiatku roka 201</w:t>
      </w:r>
      <w:r w:rsidR="004F5AD8">
        <w:rPr>
          <w:rFonts w:ascii="Times New Roman" w:hAnsi="Times New Roman"/>
          <w:sz w:val="18"/>
          <w:szCs w:val="18"/>
        </w:rPr>
        <w:t>9</w:t>
      </w:r>
      <w:r w:rsidRPr="006109EE" w:rsidR="004F5AD8">
        <w:rPr>
          <w:rFonts w:ascii="Times New Roman" w:hAnsi="Times New Roman"/>
          <w:sz w:val="18"/>
          <w:szCs w:val="18"/>
        </w:rPr>
        <w:t>.</w:t>
      </w:r>
      <w:r w:rsidR="004F5AD8">
        <w:rPr>
          <w:rFonts w:ascii="Times New Roman" w:hAnsi="Times New Roman"/>
          <w:sz w:val="18"/>
          <w:szCs w:val="18"/>
        </w:rPr>
        <w:t xml:space="preserve"> Komentovaná hodnota je bez osobitného odvodu regulovaných odvetví.</w:t>
      </w:r>
    </w:p>
  </w:footnote>
  <w:footnote w:id="6">
    <w:p w:rsidP="00F36078">
      <w:pPr>
        <w:pStyle w:val="FootnoteText"/>
        <w:bidi w:val="0"/>
        <w:rPr>
          <w:rFonts w:ascii="Times New Roman" w:hAnsi="Times New Roman"/>
        </w:rPr>
      </w:pPr>
      <w:r w:rsidRPr="006109EE" w:rsidR="004F5AD8">
        <w:rPr>
          <w:rStyle w:val="FootnoteReference"/>
          <w:rFonts w:ascii="Times New Roman" w:hAnsi="Times New Roman" w:eastAsiaTheme="majorEastAsia"/>
          <w:sz w:val="18"/>
          <w:szCs w:val="18"/>
        </w:rPr>
        <w:footnoteRef/>
      </w:r>
      <w:r w:rsidRPr="006109EE" w:rsidR="004F5AD8">
        <w:rPr>
          <w:rFonts w:ascii="Times New Roman" w:hAnsi="Times New Roman"/>
          <w:sz w:val="18"/>
          <w:szCs w:val="18"/>
        </w:rPr>
        <w:t xml:space="preserve"> </w:t>
      </w:r>
      <w:r w:rsidR="004F5AD8">
        <w:rPr>
          <w:rFonts w:ascii="Times New Roman" w:hAnsi="Times New Roman"/>
          <w:sz w:val="18"/>
          <w:szCs w:val="18"/>
        </w:rPr>
        <w:t>Výnos DPH za rok 2017</w:t>
      </w:r>
      <w:r w:rsidRPr="006109EE" w:rsidR="004F5AD8">
        <w:rPr>
          <w:rFonts w:ascii="Times New Roman" w:hAnsi="Times New Roman"/>
          <w:sz w:val="18"/>
          <w:szCs w:val="18"/>
        </w:rPr>
        <w:t xml:space="preserve"> je len odhad.</w:t>
      </w:r>
      <w:r w:rsidR="004F5AD8">
        <w:rPr>
          <w:rFonts w:ascii="Times New Roman" w:hAnsi="Times New Roman"/>
          <w:sz w:val="18"/>
          <w:szCs w:val="18"/>
        </w:rPr>
        <w:t xml:space="preserve"> Skutočnosť bude známa v apríli 2018.</w:t>
      </w:r>
    </w:p>
  </w:footnote>
  <w:footnote w:id="7">
    <w:p w:rsidR="004F5AD8" w:rsidRPr="007E06C0" w:rsidP="00F36078">
      <w:pPr>
        <w:pStyle w:val="FootnoteText"/>
        <w:bidi w:val="0"/>
        <w:rPr>
          <w:rFonts w:ascii="Times New Roman" w:hAnsi="Times New Roman"/>
          <w:sz w:val="18"/>
          <w:szCs w:val="18"/>
        </w:rPr>
      </w:pPr>
      <w:r w:rsidRPr="007E06C0">
        <w:rPr>
          <w:rStyle w:val="FootnoteReference"/>
          <w:rFonts w:ascii="Times New Roman" w:hAnsi="Times New Roman" w:eastAsiaTheme="majorEastAsia"/>
          <w:sz w:val="18"/>
          <w:szCs w:val="18"/>
        </w:rPr>
        <w:footnoteRef/>
      </w:r>
      <w:r w:rsidRPr="007E06C0">
        <w:rPr>
          <w:rFonts w:ascii="Times New Roman" w:hAnsi="Times New Roman"/>
          <w:sz w:val="18"/>
          <w:szCs w:val="18"/>
        </w:rPr>
        <w:t xml:space="preserve"> Výnos </w:t>
      </w:r>
      <w:r>
        <w:rPr>
          <w:rFonts w:ascii="Times New Roman" w:hAnsi="Times New Roman"/>
          <w:sz w:val="18"/>
          <w:szCs w:val="18"/>
        </w:rPr>
        <w:t>osobitného odvodu z regulovaných odvetví</w:t>
      </w:r>
      <w:r w:rsidRPr="007E06C0">
        <w:rPr>
          <w:rFonts w:ascii="Times New Roman" w:hAnsi="Times New Roman"/>
          <w:sz w:val="18"/>
          <w:szCs w:val="18"/>
        </w:rPr>
        <w:t xml:space="preserve"> za rok 2017 je len odhad, pretože daňové priznania za rok 2017 sa podávajú v roku 2018 a skutočný výnos dane bude známy až na začiatku roka 2019.</w:t>
      </w:r>
    </w:p>
    <w:p w:rsidP="00F36078">
      <w:pPr>
        <w:pStyle w:val="FootnoteText"/>
        <w:bidi w:val="0"/>
        <w:rPr>
          <w:rFonts w:ascii="Times New Roman" w:hAnsi="Times New Roman"/>
        </w:rPr>
      </w:pPr>
    </w:p>
  </w:footnote>
  <w:footnote w:id="8">
    <w:p w:rsidP="00496E50">
      <w:pPr>
        <w:pStyle w:val="FootnoteText"/>
        <w:bidi w:val="0"/>
        <w:rPr>
          <w:rFonts w:ascii="Times New Roman" w:hAnsi="Times New Roman"/>
        </w:rPr>
      </w:pPr>
      <w:r w:rsidR="004F5AD8">
        <w:rPr>
          <w:rStyle w:val="FootnoteReference"/>
          <w:rFonts w:ascii="Times New Roman" w:hAnsi="Times New Roman"/>
        </w:rPr>
        <w:footnoteRef/>
      </w:r>
      <w:r w:rsidR="004F5AD8">
        <w:rPr>
          <w:rFonts w:ascii="Times New Roman" w:hAnsi="Times New Roman"/>
        </w:rPr>
        <w:t xml:space="preserve"> </w:t>
      </w:r>
      <w:r w:rsidRPr="00420E49" w:rsidR="004F5AD8">
        <w:rPr>
          <w:rFonts w:ascii="Times New Roman" w:hAnsi="Times New Roman"/>
          <w:sz w:val="18"/>
          <w:szCs w:val="18"/>
        </w:rPr>
        <w:t>Systémová korekcia vzniká v dôsledku opakujúceho sa nedostatku zisteného v rámci viacerých projektov, je dôsledkom závažného nedostatku účinného fungovania systémov riadenia a kontroly, a to vrátane nestanovenia vhodných postupov.</w:t>
      </w:r>
    </w:p>
  </w:footnote>
  <w:footnote w:id="9">
    <w:p w:rsidP="00496E50">
      <w:pPr>
        <w:pStyle w:val="FootnoteText"/>
        <w:bidi w:val="0"/>
        <w:rPr>
          <w:rFonts w:ascii="Times New Roman" w:hAnsi="Times New Roman"/>
        </w:rPr>
      </w:pPr>
      <w:r w:rsidR="004F5AD8">
        <w:rPr>
          <w:rStyle w:val="FootnoteReference"/>
          <w:rFonts w:ascii="Times New Roman" w:hAnsi="Times New Roman"/>
        </w:rPr>
        <w:footnoteRef/>
      </w:r>
      <w:r w:rsidR="004F5AD8">
        <w:rPr>
          <w:rFonts w:ascii="Times New Roman" w:hAnsi="Times New Roman"/>
        </w:rPr>
        <w:t xml:space="preserve"> </w:t>
      </w:r>
      <w:r w:rsidRPr="00420E49" w:rsidR="004F5AD8">
        <w:rPr>
          <w:rFonts w:ascii="Times New Roman" w:hAnsi="Times New Roman"/>
          <w:sz w:val="18"/>
          <w:szCs w:val="18"/>
        </w:rPr>
        <w:t>Individuálna nezrovnalosť je zistený nedostatok (jednorazová chyba), ktorý sa viaže k jednej operácii, resp. k jednému projektu a je nezávislý od iných chýb alebo nedostatkov v systéme riadenia a kontroly.</w:t>
      </w:r>
    </w:p>
  </w:footnote>
  <w:footnote w:id="10">
    <w:p w:rsidP="00256F5F">
      <w:pPr>
        <w:pStyle w:val="FootnoteText"/>
        <w:bidi w:val="0"/>
        <w:rPr>
          <w:rFonts w:ascii="Times New Roman" w:hAnsi="Times New Roman"/>
        </w:rPr>
      </w:pPr>
      <w:r w:rsidRPr="00912632" w:rsidR="004F5AD8">
        <w:rPr>
          <w:rStyle w:val="FootnoteReference"/>
          <w:rFonts w:ascii="Times New Roman" w:hAnsi="Times New Roman"/>
          <w:sz w:val="20"/>
          <w:szCs w:val="20"/>
        </w:rPr>
        <w:footnoteRef/>
      </w:r>
      <w:r w:rsidRPr="00912632" w:rsidR="004F5AD8">
        <w:rPr>
          <w:rFonts w:ascii="Times New Roman" w:hAnsi="Times New Roman"/>
          <w:sz w:val="20"/>
          <w:szCs w:val="20"/>
        </w:rPr>
        <w:t xml:space="preserve"> Rozpočet verejnej správy na roky 2017</w:t>
      </w:r>
      <w:r w:rsidR="004F5AD8">
        <w:rPr>
          <w:rFonts w:ascii="Times New Roman" w:hAnsi="Times New Roman"/>
          <w:sz w:val="20"/>
          <w:szCs w:val="20"/>
        </w:rPr>
        <w:t xml:space="preserve"> až </w:t>
      </w:r>
      <w:r w:rsidRPr="00912632" w:rsidR="004F5AD8">
        <w:rPr>
          <w:rFonts w:ascii="Times New Roman" w:hAnsi="Times New Roman"/>
          <w:sz w:val="20"/>
          <w:szCs w:val="20"/>
        </w:rPr>
        <w:t xml:space="preserve">2019; </w:t>
      </w:r>
      <w:hyperlink r:id="rId1" w:history="1">
        <w:r w:rsidRPr="00912632" w:rsidR="004F5AD8">
          <w:rPr>
            <w:rStyle w:val="Hyperlink"/>
            <w:rFonts w:ascii="Times New Roman" w:hAnsi="Times New Roman"/>
            <w:sz w:val="20"/>
            <w:szCs w:val="20"/>
          </w:rPr>
          <w:t>www.finance.gov.sk</w:t>
        </w:r>
      </w:hyperlink>
      <w:r w:rsidRPr="00912632" w:rsidR="004F5AD8">
        <w:rPr>
          <w:rFonts w:ascii="Times New Roman" w:hAnsi="Times New Roman"/>
          <w:sz w:val="20"/>
          <w:szCs w:val="20"/>
        </w:rPr>
        <w:t xml:space="preserve"> </w:t>
      </w:r>
    </w:p>
  </w:footnote>
  <w:footnote w:id="11">
    <w:p w:rsidP="00EA6427">
      <w:pPr>
        <w:pStyle w:val="FootnoteText"/>
        <w:bidi w:val="0"/>
        <w:jc w:val="both"/>
        <w:rPr>
          <w:rFonts w:ascii="Times New Roman" w:hAnsi="Times New Roman"/>
        </w:rPr>
      </w:pPr>
      <w:r w:rsidRPr="00274987" w:rsidR="004F5AD8">
        <w:rPr>
          <w:rStyle w:val="FootnoteReference"/>
          <w:rFonts w:ascii="Times New Roman" w:hAnsi="Times New Roman"/>
          <w:sz w:val="18"/>
          <w:szCs w:val="18"/>
        </w:rPr>
        <w:footnoteRef/>
      </w:r>
      <w:r w:rsidRPr="00274987" w:rsidR="004F5AD8">
        <w:rPr>
          <w:rFonts w:ascii="Times New Roman" w:hAnsi="Times New Roman"/>
          <w:sz w:val="18"/>
          <w:szCs w:val="18"/>
        </w:rPr>
        <w:t xml:space="preserve"> Ide o čerpanie </w:t>
      </w:r>
      <w:r w:rsidR="004F5AD8">
        <w:rPr>
          <w:rFonts w:ascii="Times New Roman" w:hAnsi="Times New Roman"/>
          <w:sz w:val="18"/>
          <w:szCs w:val="18"/>
        </w:rPr>
        <w:t xml:space="preserve">ďalšej tranže </w:t>
      </w:r>
      <w:r w:rsidRPr="00274987" w:rsidR="004F5AD8">
        <w:rPr>
          <w:rFonts w:ascii="Times New Roman" w:hAnsi="Times New Roman"/>
          <w:sz w:val="18"/>
          <w:szCs w:val="18"/>
        </w:rPr>
        <w:t>úverov od Európsk</w:t>
      </w:r>
      <w:r w:rsidR="004F5AD8">
        <w:rPr>
          <w:rFonts w:ascii="Times New Roman" w:hAnsi="Times New Roman"/>
          <w:sz w:val="18"/>
          <w:szCs w:val="18"/>
        </w:rPr>
        <w:t>ej</w:t>
      </w:r>
      <w:r w:rsidRPr="00274987" w:rsidR="004F5AD8">
        <w:rPr>
          <w:rFonts w:ascii="Times New Roman" w:hAnsi="Times New Roman"/>
          <w:sz w:val="18"/>
          <w:szCs w:val="18"/>
        </w:rPr>
        <w:t xml:space="preserve"> investičn</w:t>
      </w:r>
      <w:r w:rsidR="004F5AD8">
        <w:rPr>
          <w:rFonts w:ascii="Times New Roman" w:hAnsi="Times New Roman"/>
          <w:sz w:val="18"/>
          <w:szCs w:val="18"/>
        </w:rPr>
        <w:t>ej banky (EIB)</w:t>
      </w:r>
      <w:r w:rsidRPr="00274987" w:rsidR="004F5AD8">
        <w:rPr>
          <w:rFonts w:ascii="Times New Roman" w:hAnsi="Times New Roman"/>
          <w:sz w:val="18"/>
          <w:szCs w:val="18"/>
        </w:rPr>
        <w:t>, prostredníctvom ktorých sa spolufinancujú národné projekty v oblasti cestnej dopravy, životného prostredia, priemyslu, informatizácie a podobne.</w:t>
      </w:r>
    </w:p>
  </w:footnote>
  <w:footnote w:id="12">
    <w:p>
      <w:pPr>
        <w:pStyle w:val="FootnoteText"/>
        <w:bidi w:val="0"/>
        <w:rPr>
          <w:rFonts w:ascii="Times New Roman" w:hAnsi="Times New Roman"/>
        </w:rPr>
      </w:pPr>
      <w:r w:rsidRPr="001F5B67" w:rsidR="004F5AD8">
        <w:rPr>
          <w:rStyle w:val="FootnoteReference"/>
          <w:rFonts w:ascii="Times New Roman" w:hAnsi="Times New Roman"/>
          <w:sz w:val="18"/>
          <w:szCs w:val="18"/>
        </w:rPr>
        <w:footnoteRef/>
      </w:r>
      <w:r w:rsidRPr="001F5B67" w:rsidR="004F5AD8">
        <w:rPr>
          <w:rFonts w:ascii="Times New Roman" w:hAnsi="Times New Roman"/>
          <w:sz w:val="18"/>
          <w:szCs w:val="18"/>
        </w:rPr>
        <w:t xml:space="preserve"> </w:t>
      </w:r>
      <w:r w:rsidR="004F5AD8">
        <w:rPr>
          <w:rFonts w:ascii="Times New Roman" w:hAnsi="Times New Roman"/>
          <w:sz w:val="18"/>
          <w:szCs w:val="18"/>
        </w:rPr>
        <w:t>Z</w:t>
      </w:r>
      <w:r w:rsidRPr="001F5B67" w:rsidR="004F5AD8">
        <w:rPr>
          <w:rFonts w:ascii="Times New Roman" w:hAnsi="Times New Roman"/>
          <w:sz w:val="18"/>
          <w:szCs w:val="18"/>
        </w:rPr>
        <w:t>ákon č. 361/2014 Z. z. o dani z motorových vozidiel a</w:t>
      </w:r>
      <w:r w:rsidR="004F5AD8">
        <w:rPr>
          <w:rFonts w:ascii="Times New Roman" w:hAnsi="Times New Roman"/>
          <w:sz w:val="18"/>
          <w:szCs w:val="18"/>
        </w:rPr>
        <w:t xml:space="preserve"> </w:t>
      </w:r>
      <w:r w:rsidRPr="001F5B67" w:rsidR="004F5AD8">
        <w:rPr>
          <w:rFonts w:ascii="Times New Roman" w:hAnsi="Times New Roman"/>
          <w:sz w:val="18"/>
          <w:szCs w:val="18"/>
        </w:rPr>
        <w:t>o zmene a</w:t>
      </w:r>
      <w:r w:rsidR="004F5AD8">
        <w:rPr>
          <w:rFonts w:ascii="Times New Roman" w:hAnsi="Times New Roman"/>
          <w:sz w:val="18"/>
          <w:szCs w:val="18"/>
        </w:rPr>
        <w:t xml:space="preserve"> </w:t>
      </w:r>
      <w:r w:rsidRPr="001F5B67" w:rsidR="004F5AD8">
        <w:rPr>
          <w:rFonts w:ascii="Times New Roman" w:hAnsi="Times New Roman"/>
          <w:sz w:val="18"/>
          <w:szCs w:val="18"/>
        </w:rPr>
        <w:t>doplnení niektorých zákonov</w:t>
      </w:r>
    </w:p>
  </w:footnote>
  <w:footnote w:id="13">
    <w:p>
      <w:pPr>
        <w:pStyle w:val="FootnoteText"/>
        <w:bidi w:val="0"/>
        <w:rPr>
          <w:rFonts w:ascii="Times New Roman" w:hAnsi="Times New Roman"/>
        </w:rPr>
      </w:pPr>
      <w:r w:rsidRPr="0087329E" w:rsidR="004F5AD8">
        <w:rPr>
          <w:rStyle w:val="FootnoteReference"/>
          <w:rFonts w:ascii="Times New Roman" w:hAnsi="Times New Roman"/>
          <w:sz w:val="18"/>
          <w:szCs w:val="18"/>
        </w:rPr>
        <w:footnoteRef/>
      </w:r>
      <w:r w:rsidRPr="0087329E" w:rsidR="004F5AD8">
        <w:rPr>
          <w:rFonts w:ascii="Times New Roman" w:hAnsi="Times New Roman"/>
          <w:sz w:val="18"/>
          <w:szCs w:val="18"/>
        </w:rPr>
        <w:t xml:space="preserve"> § 50 zákona č. 595/2003 Z. z. o dani z príjmov v znení neskorších predpisov</w:t>
      </w:r>
    </w:p>
  </w:footnote>
  <w:footnote w:id="14">
    <w:p w:rsidR="004F5AD8" w:rsidRPr="00726BA0" w:rsidP="00F16F14">
      <w:pPr>
        <w:bidi w:val="0"/>
        <w:spacing w:line="240" w:lineRule="auto"/>
        <w:rPr>
          <w:rFonts w:ascii="Times New Roman" w:hAnsi="Times New Roman"/>
          <w:sz w:val="18"/>
          <w:szCs w:val="18"/>
        </w:rPr>
      </w:pPr>
      <w:r w:rsidRPr="00726BA0">
        <w:rPr>
          <w:rStyle w:val="FootnoteReference"/>
          <w:rFonts w:ascii="Times New Roman" w:hAnsi="Times New Roman"/>
          <w:sz w:val="18"/>
          <w:szCs w:val="18"/>
        </w:rPr>
        <w:footnoteRef/>
      </w:r>
      <w:r w:rsidRPr="00726BA0">
        <w:rPr>
          <w:rFonts w:ascii="Times New Roman" w:hAnsi="Times New Roman"/>
          <w:sz w:val="18"/>
          <w:szCs w:val="18"/>
        </w:rPr>
        <w:t xml:space="preserve"> Fytosanitárne úkony zahŕňajú činnosti súvisiace s kontrolou rastlín, rastlinných produktov a iných predmetov pri ich výrobe, dovoze a preprave za účelom zistenia výskytu karanténnych škodlivých organizmov, ktoré predstavujú významné hospodárske riziko pre pestovanie a biodiverzitu v rámci krajiny. Okrem toho</w:t>
      </w:r>
      <w:r>
        <w:rPr>
          <w:rFonts w:ascii="Times New Roman" w:hAnsi="Times New Roman"/>
          <w:sz w:val="18"/>
          <w:szCs w:val="18"/>
        </w:rPr>
        <w:t>,</w:t>
      </w:r>
      <w:r w:rsidRPr="00726BA0">
        <w:rPr>
          <w:rFonts w:ascii="Times New Roman" w:hAnsi="Times New Roman"/>
          <w:sz w:val="18"/>
          <w:szCs w:val="18"/>
        </w:rPr>
        <w:t xml:space="preserve"> sa kontrola zameriava aj na hospodársky významné škodlivé organizmy, ktoré sa bežne vyskytujú v poľnohospodárskej krajine a spôsobujú zníženie množstva alebo kvality úrody. Ďalej sem patria aj kontroly používania a skladovania prípravkov na ochranu rastlín a pomocných prípravkov, ktoré sa používajú na ochranu proti škodlivým organizmom a na zníženie ich škodlivosti. Výsledkom týchto kontrol sú opatrenia na minimalizovanie rizika pri výskyte škodlivých organizmov alebo na eliminovanie škôd pri nesprávnom použití prípravkov na ochranu rastlín.</w:t>
      </w:r>
    </w:p>
    <w:p w:rsidP="00F16F14">
      <w:pPr>
        <w:bidi w:val="0"/>
        <w:spacing w:line="240" w:lineRule="auto"/>
        <w:rPr>
          <w:rFonts w:ascii="Times New Roman" w:hAnsi="Times New Roman"/>
        </w:rPr>
      </w:pPr>
    </w:p>
  </w:footnote>
  <w:footnote w:id="15">
    <w:p w:rsidP="007F3A7C">
      <w:pPr>
        <w:pStyle w:val="FootnoteText"/>
        <w:bidi w:val="0"/>
        <w:jc w:val="both"/>
        <w:rPr>
          <w:rFonts w:ascii="Times New Roman" w:hAnsi="Times New Roman"/>
        </w:rPr>
      </w:pPr>
      <w:r w:rsidRPr="00073F56" w:rsidR="004F5AD8">
        <w:rPr>
          <w:rStyle w:val="FootnoteReference"/>
          <w:rFonts w:ascii="Times New Roman" w:hAnsi="Times New Roman"/>
          <w:sz w:val="18"/>
          <w:szCs w:val="18"/>
        </w:rPr>
        <w:footnoteRef/>
      </w:r>
      <w:r w:rsidRPr="00073F56" w:rsidR="004F5AD8">
        <w:rPr>
          <w:rFonts w:ascii="Times New Roman" w:hAnsi="Times New Roman"/>
          <w:sz w:val="18"/>
          <w:szCs w:val="18"/>
        </w:rPr>
        <w:t xml:space="preserve"> Nakoľko sú</w:t>
      </w:r>
      <w:r w:rsidR="004F5AD8">
        <w:rPr>
          <w:rFonts w:ascii="Times New Roman" w:hAnsi="Times New Roman"/>
        </w:rPr>
        <w:t xml:space="preserve"> </w:t>
      </w:r>
      <w:r w:rsidR="004F5AD8">
        <w:rPr>
          <w:rFonts w:ascii="Times New Roman" w:hAnsi="Times New Roman"/>
          <w:sz w:val="18"/>
          <w:szCs w:val="18"/>
        </w:rPr>
        <w:t>finančné prostriedky poukázané</w:t>
      </w:r>
      <w:r w:rsidRPr="00073F56" w:rsidR="004F5AD8">
        <w:rPr>
          <w:rFonts w:ascii="Times New Roman" w:hAnsi="Times New Roman"/>
          <w:sz w:val="18"/>
          <w:szCs w:val="18"/>
        </w:rPr>
        <w:t xml:space="preserve"> Národn</w:t>
      </w:r>
      <w:r w:rsidR="004F5AD8">
        <w:rPr>
          <w:rFonts w:ascii="Times New Roman" w:hAnsi="Times New Roman"/>
          <w:sz w:val="18"/>
          <w:szCs w:val="18"/>
        </w:rPr>
        <w:t>ému</w:t>
      </w:r>
      <w:r w:rsidRPr="00073F56" w:rsidR="004F5AD8">
        <w:rPr>
          <w:rFonts w:ascii="Times New Roman" w:hAnsi="Times New Roman"/>
          <w:sz w:val="18"/>
          <w:szCs w:val="18"/>
        </w:rPr>
        <w:t xml:space="preserve"> jadro</w:t>
      </w:r>
      <w:r w:rsidR="004F5AD8">
        <w:rPr>
          <w:rFonts w:ascii="Times New Roman" w:hAnsi="Times New Roman"/>
          <w:sz w:val="18"/>
          <w:szCs w:val="18"/>
        </w:rPr>
        <w:t>vému</w:t>
      </w:r>
      <w:r w:rsidRPr="00073F56" w:rsidR="004F5AD8">
        <w:rPr>
          <w:rFonts w:ascii="Times New Roman" w:hAnsi="Times New Roman"/>
          <w:sz w:val="18"/>
          <w:szCs w:val="18"/>
        </w:rPr>
        <w:t xml:space="preserve"> fond</w:t>
      </w:r>
      <w:r w:rsidR="004F5AD8">
        <w:rPr>
          <w:rFonts w:ascii="Times New Roman" w:hAnsi="Times New Roman"/>
          <w:sz w:val="18"/>
          <w:szCs w:val="18"/>
        </w:rPr>
        <w:t>u</w:t>
      </w:r>
      <w:r w:rsidRPr="00073F56" w:rsidR="004F5AD8">
        <w:rPr>
          <w:rFonts w:ascii="Times New Roman" w:hAnsi="Times New Roman"/>
          <w:sz w:val="18"/>
          <w:szCs w:val="18"/>
        </w:rPr>
        <w:t xml:space="preserve"> na </w:t>
      </w:r>
      <w:r w:rsidR="004F5AD8">
        <w:rPr>
          <w:rFonts w:ascii="Times New Roman" w:hAnsi="Times New Roman"/>
          <w:sz w:val="18"/>
          <w:szCs w:val="18"/>
        </w:rPr>
        <w:t>úhradu výdavkov na nakladanie s </w:t>
      </w:r>
      <w:r w:rsidRPr="00073F56" w:rsidR="004F5AD8">
        <w:rPr>
          <w:rFonts w:ascii="Times New Roman" w:hAnsi="Times New Roman"/>
          <w:sz w:val="18"/>
          <w:szCs w:val="18"/>
        </w:rPr>
        <w:t>jadrovými materiálmi a rádioaktívnymi odpadm</w:t>
      </w:r>
      <w:r w:rsidR="004F5AD8">
        <w:rPr>
          <w:rFonts w:ascii="Times New Roman" w:hAnsi="Times New Roman"/>
          <w:sz w:val="18"/>
          <w:szCs w:val="18"/>
        </w:rPr>
        <w:t>i, ktorých pôvodca nie je známy, vyskytujú sa tieto aj na strane výdavkov v rámci bežných a kapitálových transferov.</w:t>
      </w:r>
    </w:p>
  </w:footnote>
  <w:footnote w:id="16">
    <w:p w:rsidP="009E729F">
      <w:pPr>
        <w:pStyle w:val="FootnoteText"/>
        <w:bidi w:val="0"/>
        <w:jc w:val="both"/>
        <w:rPr>
          <w:rFonts w:ascii="Times New Roman" w:hAnsi="Times New Roman"/>
        </w:rPr>
      </w:pPr>
      <w:r w:rsidR="004F5AD8">
        <w:rPr>
          <w:rStyle w:val="FootnoteReference"/>
          <w:rFonts w:ascii="Times New Roman" w:hAnsi="Times New Roman"/>
        </w:rPr>
        <w:footnoteRef/>
      </w:r>
      <w:r w:rsidR="004F5AD8">
        <w:rPr>
          <w:rFonts w:ascii="Times New Roman" w:hAnsi="Times New Roman"/>
        </w:rPr>
        <w:t xml:space="preserve"> </w:t>
      </w:r>
      <w:r w:rsidRPr="009D224D" w:rsidR="004F5AD8">
        <w:rPr>
          <w:rFonts w:ascii="Times New Roman" w:hAnsi="Times New Roman"/>
          <w:sz w:val="18"/>
          <w:szCs w:val="18"/>
        </w:rPr>
        <w:t>Pravidlá poskytovania priamych platieb upravuje nariadenie Európskeho parlamentu a Rady (EÚ) č. 1307/2013 v platnom znení.</w:t>
      </w:r>
    </w:p>
  </w:footnote>
  <w:footnote w:id="17">
    <w:p>
      <w:pPr>
        <w:pStyle w:val="FootnoteText"/>
        <w:bidi w:val="0"/>
        <w:rPr>
          <w:rFonts w:ascii="Times New Roman" w:hAnsi="Times New Roman"/>
        </w:rPr>
      </w:pPr>
      <w:r w:rsidR="004F5AD8">
        <w:rPr>
          <w:rStyle w:val="FootnoteReference"/>
          <w:rFonts w:ascii="Times New Roman" w:hAnsi="Times New Roman"/>
        </w:rPr>
        <w:footnoteRef/>
      </w:r>
      <w:r w:rsidR="004F5AD8">
        <w:rPr>
          <w:rFonts w:ascii="Times New Roman" w:hAnsi="Times New Roman"/>
        </w:rPr>
        <w:t xml:space="preserve"> </w:t>
      </w:r>
      <w:r w:rsidRPr="00E0337D" w:rsidR="004F5AD8">
        <w:rPr>
          <w:rFonts w:ascii="Times New Roman" w:hAnsi="Times New Roman"/>
          <w:sz w:val="18"/>
          <w:szCs w:val="18"/>
        </w:rPr>
        <w:t>U</w:t>
      </w:r>
      <w:r w:rsidRPr="00E0337D" w:rsidR="004F5AD8">
        <w:rPr>
          <w:rFonts w:ascii="Times New Roman" w:hAnsi="Times New Roman"/>
          <w:bCs/>
          <w:sz w:val="18"/>
          <w:szCs w:val="18"/>
        </w:rPr>
        <w:t>znesenie vlády SR č. 181/2017</w:t>
      </w:r>
      <w:r w:rsidR="004F5AD8">
        <w:rPr>
          <w:rFonts w:ascii="Times New Roman" w:hAnsi="Times New Roman"/>
          <w:bCs/>
          <w:sz w:val="18"/>
          <w:szCs w:val="18"/>
        </w:rPr>
        <w:t xml:space="preserve"> k </w:t>
      </w:r>
      <w:r w:rsidRPr="00E0337D" w:rsidR="004F5AD8">
        <w:rPr>
          <w:rFonts w:ascii="Times New Roman" w:hAnsi="Times New Roman"/>
          <w:bCs/>
          <w:sz w:val="18"/>
          <w:szCs w:val="18"/>
        </w:rPr>
        <w:t>Analýz</w:t>
      </w:r>
      <w:r w:rsidR="004F5AD8">
        <w:rPr>
          <w:rFonts w:ascii="Times New Roman" w:hAnsi="Times New Roman"/>
          <w:bCs/>
          <w:sz w:val="18"/>
          <w:szCs w:val="18"/>
        </w:rPr>
        <w:t>e</w:t>
      </w:r>
      <w:r w:rsidRPr="00E0337D" w:rsidR="004F5AD8">
        <w:rPr>
          <w:rFonts w:ascii="Times New Roman" w:hAnsi="Times New Roman"/>
          <w:bCs/>
          <w:sz w:val="18"/>
          <w:szCs w:val="18"/>
        </w:rPr>
        <w:t xml:space="preserve"> stavu a určenie počtu administratívnych kapacít pre európske štrukturálne a investičné fondy v programovom období 2014 - 2020</w:t>
      </w:r>
    </w:p>
  </w:footnote>
  <w:footnote w:id="18">
    <w:p w:rsidP="00D1034F">
      <w:pPr>
        <w:pStyle w:val="FootnoteText"/>
        <w:bidi w:val="0"/>
        <w:spacing w:after="0" w:line="240" w:lineRule="auto"/>
        <w:jc w:val="both"/>
        <w:rPr>
          <w:rFonts w:ascii="Times New Roman" w:hAnsi="Times New Roman"/>
        </w:rPr>
      </w:pPr>
      <w:r w:rsidRPr="0016445C" w:rsidR="004F5AD8">
        <w:rPr>
          <w:rStyle w:val="FootnoteReference"/>
          <w:rFonts w:ascii="Times New Roman" w:hAnsi="Times New Roman"/>
          <w:sz w:val="18"/>
          <w:szCs w:val="18"/>
        </w:rPr>
        <w:footnoteRef/>
      </w:r>
      <w:r w:rsidRPr="0016445C" w:rsidR="004F5AD8">
        <w:rPr>
          <w:rFonts w:ascii="Times New Roman" w:hAnsi="Times New Roman"/>
          <w:sz w:val="18"/>
          <w:szCs w:val="18"/>
        </w:rPr>
        <w:t xml:space="preserve"> Napríklad zákon č. 580/2004 Z. z. o zdravotnom poistení v znení neskorších predp</w:t>
      </w:r>
      <w:r w:rsidR="004F5AD8">
        <w:rPr>
          <w:rFonts w:ascii="Times New Roman" w:hAnsi="Times New Roman"/>
          <w:sz w:val="18"/>
          <w:szCs w:val="18"/>
        </w:rPr>
        <w:t>isov, zákon č. 461/2003 Z. z. o </w:t>
      </w:r>
      <w:r w:rsidRPr="0016445C" w:rsidR="004F5AD8">
        <w:rPr>
          <w:rFonts w:ascii="Times New Roman" w:hAnsi="Times New Roman"/>
          <w:sz w:val="18"/>
          <w:szCs w:val="18"/>
        </w:rPr>
        <w:t>sociálnom poistení v znení neskorších predpisov</w:t>
      </w:r>
    </w:p>
  </w:footnote>
  <w:footnote w:id="19">
    <w:p w:rsidP="005E3BB0">
      <w:pPr>
        <w:pStyle w:val="FootnoteText"/>
        <w:bidi w:val="0"/>
        <w:jc w:val="both"/>
        <w:rPr>
          <w:rFonts w:ascii="Times New Roman" w:hAnsi="Times New Roman"/>
        </w:rPr>
      </w:pPr>
      <w:r w:rsidR="004F5AD8">
        <w:rPr>
          <w:rStyle w:val="FootnoteReference"/>
          <w:rFonts w:ascii="Times New Roman" w:hAnsi="Times New Roman"/>
        </w:rPr>
        <w:footnoteRef/>
      </w:r>
      <w:r w:rsidR="004F5AD8">
        <w:rPr>
          <w:rFonts w:ascii="Times New Roman" w:hAnsi="Times New Roman"/>
        </w:rPr>
        <w:t xml:space="preserve"> </w:t>
      </w:r>
      <w:r w:rsidRPr="005E3BB0" w:rsidR="004F5AD8">
        <w:rPr>
          <w:rFonts w:ascii="Times New Roman" w:hAnsi="Times New Roman"/>
          <w:sz w:val="18"/>
          <w:szCs w:val="18"/>
        </w:rPr>
        <w:t>v súlade s Nariadením Ministerstva vnútra SR č. 64/2017, o vybraných platových náležitostiach príslušníkov. Novelou tohto nariadenia účinnou od 1. júla 2017 sa rozšíril okruh policajtov, ktorým sa priznáva peňažný príspevok na bývanie</w:t>
      </w:r>
      <w:r w:rsidR="004F5AD8">
        <w:rPr>
          <w:rFonts w:ascii="Times New Roman" w:hAnsi="Times New Roman"/>
          <w:sz w:val="18"/>
          <w:szCs w:val="18"/>
        </w:rPr>
        <w:t>.</w:t>
      </w:r>
    </w:p>
  </w:footnote>
  <w:footnote w:id="20">
    <w:p w:rsidP="00FD5465">
      <w:pPr>
        <w:pStyle w:val="FootnoteText"/>
        <w:bidi w:val="0"/>
        <w:jc w:val="both"/>
        <w:rPr>
          <w:rFonts w:ascii="Times New Roman" w:hAnsi="Times New Roman"/>
        </w:rPr>
      </w:pPr>
      <w:r w:rsidRPr="00B60C54" w:rsidR="004F5AD8">
        <w:rPr>
          <w:rStyle w:val="FootnoteReference"/>
          <w:rFonts w:ascii="Times New Roman" w:hAnsi="Times New Roman"/>
          <w:sz w:val="18"/>
          <w:szCs w:val="18"/>
        </w:rPr>
        <w:footnoteRef/>
      </w:r>
      <w:r w:rsidRPr="00B60C54" w:rsidR="004F5AD8">
        <w:rPr>
          <w:rFonts w:ascii="Times New Roman" w:hAnsi="Times New Roman"/>
          <w:sz w:val="18"/>
          <w:szCs w:val="18"/>
        </w:rPr>
        <w:t>Od roku 2012 je saldo príjmových a výdavkových transakcií vzťahujúcich sa k finančným operáciám ARDAL - u presunuté do výdavkovej rozpočtovej položky transfer rozpočtovej organizácii</w:t>
      </w:r>
    </w:p>
  </w:footnote>
  <w:footnote w:id="21">
    <w:p w:rsidP="001918CC">
      <w:pPr>
        <w:pStyle w:val="FootnoteText"/>
        <w:bidi w:val="0"/>
        <w:jc w:val="both"/>
        <w:rPr>
          <w:rFonts w:ascii="Times New Roman" w:hAnsi="Times New Roman"/>
        </w:rPr>
      </w:pPr>
      <w:r w:rsidRPr="001F75DF" w:rsidR="004F5AD8">
        <w:rPr>
          <w:rStyle w:val="FootnoteReference"/>
          <w:rFonts w:ascii="Times New Roman" w:hAnsi="Times New Roman"/>
          <w:sz w:val="16"/>
          <w:szCs w:val="16"/>
        </w:rPr>
        <w:footnoteRef/>
      </w:r>
      <w:r w:rsidRPr="001F75DF" w:rsidR="004F5AD8">
        <w:rPr>
          <w:rFonts w:ascii="Times New Roman" w:hAnsi="Times New Roman"/>
          <w:sz w:val="16"/>
          <w:szCs w:val="16"/>
        </w:rPr>
        <w:t xml:space="preserve"> Štátne finančné pasíva, ktorými sú najmä záväzky z vydaných štátnych dlhopisov a pokladničných poukážok, záväzky z prijatých vládnych</w:t>
      </w:r>
      <w:r w:rsidR="004F5AD8">
        <w:rPr>
          <w:rFonts w:ascii="Times New Roman" w:hAnsi="Times New Roman"/>
          <w:sz w:val="16"/>
          <w:szCs w:val="16"/>
        </w:rPr>
        <w:t xml:space="preserve"> úverov sú bližšie hodnotené v Súhrnnej účtovnej závierke, keďže ide o stavovú veličinu. Výdavky na splátky istín a úrokov z týchto záväzkov sú predmetom hotovostného plnenie štátneho rozpočtu opisovaného v tomto Štátnom záverečnom účte.</w:t>
      </w:r>
      <w:r w:rsidRPr="001F75DF" w:rsidR="004F5AD8">
        <w:rPr>
          <w:rFonts w:ascii="Times New Roman" w:hAnsi="Times New Roman"/>
          <w:sz w:val="16"/>
          <w:szCs w:val="16"/>
        </w:rPr>
        <w:t xml:space="preserve"> </w:t>
      </w:r>
    </w:p>
  </w:footnote>
  <w:footnote w:id="22">
    <w:p w:rsidP="001918CC">
      <w:pPr>
        <w:pStyle w:val="FootnoteText"/>
        <w:bidi w:val="0"/>
        <w:jc w:val="both"/>
        <w:rPr>
          <w:rFonts w:ascii="Times New Roman" w:hAnsi="Times New Roman"/>
        </w:rPr>
      </w:pPr>
      <w:r w:rsidRPr="00EF7A18" w:rsidR="004F5AD8">
        <w:rPr>
          <w:rStyle w:val="FootnoteReference"/>
          <w:rFonts w:ascii="Times New Roman" w:hAnsi="Times New Roman" w:eastAsiaTheme="majorEastAsia"/>
          <w:sz w:val="16"/>
          <w:szCs w:val="16"/>
        </w:rPr>
        <w:footnoteRef/>
      </w:r>
      <w:r w:rsidRPr="00EF7A18" w:rsidR="004F5AD8">
        <w:rPr>
          <w:rFonts w:ascii="Times New Roman" w:hAnsi="Times New Roman"/>
          <w:sz w:val="16"/>
          <w:szCs w:val="16"/>
        </w:rPr>
        <w:t xml:space="preserve"> § 13 zákona č. 523/2004 Z. z. o rozpočtových pravidlách verejnej správy a o zmene a doplnení niektorých zákonov</w:t>
      </w:r>
      <w:r w:rsidR="004F5AD8">
        <w:rPr>
          <w:rFonts w:ascii="Times New Roman" w:hAnsi="Times New Roman"/>
          <w:sz w:val="16"/>
          <w:szCs w:val="16"/>
        </w:rPr>
        <w:t xml:space="preserve"> v z.n.p</w:t>
      </w:r>
      <w:r w:rsidRPr="00EF7A18" w:rsidR="004F5AD8">
        <w:rPr>
          <w:rFonts w:ascii="Times New Roman" w:hAnsi="Times New Roman"/>
          <w:sz w:val="16"/>
          <w:szCs w:val="16"/>
        </w:rPr>
        <w:t>.</w:t>
      </w:r>
    </w:p>
  </w:footnote>
  <w:footnote w:id="23">
    <w:p w:rsidP="001918CC">
      <w:pPr>
        <w:pStyle w:val="FootnoteText"/>
        <w:bidi w:val="0"/>
        <w:jc w:val="both"/>
        <w:rPr>
          <w:rFonts w:ascii="Times New Roman" w:hAnsi="Times New Roman"/>
        </w:rPr>
      </w:pPr>
      <w:r w:rsidRPr="00EF7A18" w:rsidR="004F5AD8">
        <w:rPr>
          <w:rStyle w:val="FootnoteReference"/>
          <w:rFonts w:ascii="Times New Roman" w:hAnsi="Times New Roman" w:eastAsiaTheme="majorEastAsia"/>
          <w:sz w:val="16"/>
          <w:szCs w:val="16"/>
        </w:rPr>
        <w:footnoteRef/>
      </w:r>
      <w:r w:rsidRPr="00EF7A18" w:rsidR="004F5AD8">
        <w:rPr>
          <w:rFonts w:ascii="Times New Roman" w:hAnsi="Times New Roman"/>
          <w:sz w:val="16"/>
          <w:szCs w:val="16"/>
        </w:rPr>
        <w:t xml:space="preserve"> Zákon č. 384/2011 Z. z. o osobitnom odvode vybraných finančných inštitúcií </w:t>
      </w:r>
      <w:r w:rsidR="004F5AD8">
        <w:rPr>
          <w:rFonts w:ascii="Times New Roman" w:hAnsi="Times New Roman"/>
          <w:sz w:val="16"/>
          <w:szCs w:val="16"/>
        </w:rPr>
        <w:t>a o doplnení niektorých zákonov v z.n.p.</w:t>
      </w:r>
    </w:p>
  </w:footnote>
  <w:footnote w:id="24">
    <w:p w:rsidP="001918CC">
      <w:pPr>
        <w:pStyle w:val="FootnoteText"/>
        <w:bidi w:val="0"/>
        <w:jc w:val="both"/>
        <w:rPr>
          <w:rFonts w:ascii="Times New Roman" w:hAnsi="Times New Roman"/>
        </w:rPr>
      </w:pPr>
      <w:r w:rsidRPr="00EF7A18" w:rsidR="004F5AD8">
        <w:rPr>
          <w:rStyle w:val="FootnoteReference"/>
          <w:rFonts w:ascii="Times New Roman" w:hAnsi="Times New Roman" w:eastAsiaTheme="majorEastAsia"/>
          <w:sz w:val="16"/>
          <w:szCs w:val="16"/>
        </w:rPr>
        <w:footnoteRef/>
      </w:r>
      <w:r w:rsidRPr="00EF7A18" w:rsidR="004F5AD8">
        <w:rPr>
          <w:rFonts w:ascii="Times New Roman" w:hAnsi="Times New Roman"/>
          <w:sz w:val="16"/>
          <w:szCs w:val="16"/>
        </w:rPr>
        <w:t xml:space="preserve"> Zákon č. 235/2012 Z. z. o osobitnom odvode z podnikania v regulovaných odvetviach a o zmen</w:t>
      </w:r>
      <w:r w:rsidR="004F5AD8">
        <w:rPr>
          <w:rFonts w:ascii="Times New Roman" w:hAnsi="Times New Roman"/>
          <w:sz w:val="16"/>
          <w:szCs w:val="16"/>
        </w:rPr>
        <w:t>e a doplnení niektorých zákonov v z.n.p.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9D7"/>
    <w:multiLevelType w:val="hybridMultilevel"/>
    <w:tmpl w:val="B8D8CE84"/>
    <w:lvl w:ilvl="0">
      <w:start w:val="1"/>
      <w:numFmt w:val="bullet"/>
      <w:lvlText w:val=""/>
      <w:lvlJc w:val="left"/>
      <w:pPr>
        <w:ind w:left="501" w:hanging="360"/>
      </w:pPr>
      <w:rPr>
        <w:rFonts w:ascii="Wingdings" w:hAnsi="Wingdings"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
    <w:nsid w:val="1926049F"/>
    <w:multiLevelType w:val="hybridMultilevel"/>
    <w:tmpl w:val="EB965C88"/>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D811F48"/>
    <w:multiLevelType w:val="hybridMultilevel"/>
    <w:tmpl w:val="AA9814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1C58B9"/>
    <w:multiLevelType w:val="hybridMultilevel"/>
    <w:tmpl w:val="01C2C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2D6907"/>
    <w:multiLevelType w:val="hybridMultilevel"/>
    <w:tmpl w:val="E4B6CE3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307D608E"/>
    <w:multiLevelType w:val="hybridMultilevel"/>
    <w:tmpl w:val="378C69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4247E20"/>
    <w:multiLevelType w:val="hybridMultilevel"/>
    <w:tmpl w:val="79E6D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E1E4BBE"/>
    <w:multiLevelType w:val="hybridMultilevel"/>
    <w:tmpl w:val="21CE4998"/>
    <w:lvl w:ilvl="0">
      <w:start w:val="1"/>
      <w:numFmt w:val="bullet"/>
      <w:lvlText w:val=""/>
      <w:lvlJc w:val="left"/>
      <w:pPr>
        <w:ind w:left="1287" w:hanging="360"/>
      </w:pPr>
      <w:rPr>
        <w:rFonts w:ascii="Symbol" w:hAnsi="Symbol" w:hint="default"/>
      </w:rPr>
    </w:lvl>
    <w:lvl w:ilvl="1">
      <w:start w:val="1"/>
      <w:numFmt w:val="bullet"/>
      <w:lvlText w:val=""/>
      <w:lvlJc w:val="left"/>
      <w:pPr>
        <w:ind w:left="1353"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2"/>
      <w:numFmt w:val="bullet"/>
      <w:lvlText w:val="-"/>
      <w:lvlJc w:val="left"/>
      <w:pPr>
        <w:ind w:left="3447" w:hanging="360"/>
      </w:pPr>
      <w:rPr>
        <w:rFonts w:ascii="Times New Roman" w:eastAsia="Times New Roman" w:hAnsi="Times New Roman"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
    <w:nsid w:val="3EA46160"/>
    <w:multiLevelType w:val="hybridMultilevel"/>
    <w:tmpl w:val="A894B8EC"/>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92317CF"/>
    <w:multiLevelType w:val="hybridMultilevel"/>
    <w:tmpl w:val="0FD83DE4"/>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C3A1A70"/>
    <w:multiLevelType w:val="hybridMultilevel"/>
    <w:tmpl w:val="DCA8DBF6"/>
    <w:lvl w:ilvl="0">
      <w:start w:val="1"/>
      <w:numFmt w:val="bullet"/>
      <w:lvlText w:val=""/>
      <w:lvlJc w:val="left"/>
      <w:pPr>
        <w:ind w:left="2487" w:hanging="360"/>
      </w:pPr>
      <w:rPr>
        <w:rFonts w:ascii="Wingdings" w:hAnsi="Wingdings" w:hint="default"/>
      </w:rPr>
    </w:lvl>
    <w:lvl w:ilvl="1">
      <w:start w:val="1"/>
      <w:numFmt w:val="bullet"/>
      <w:lvlText w:val="o"/>
      <w:lvlJc w:val="left"/>
      <w:pPr>
        <w:ind w:left="3207" w:hanging="360"/>
      </w:pPr>
      <w:rPr>
        <w:rFonts w:ascii="Courier New" w:hAnsi="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hint="default"/>
      </w:rPr>
    </w:lvl>
    <w:lvl w:ilvl="8">
      <w:start w:val="1"/>
      <w:numFmt w:val="bullet"/>
      <w:lvlText w:val=""/>
      <w:lvlJc w:val="left"/>
      <w:pPr>
        <w:ind w:left="8247" w:hanging="360"/>
      </w:pPr>
      <w:rPr>
        <w:rFonts w:ascii="Wingdings" w:hAnsi="Wingdings" w:hint="default"/>
      </w:rPr>
    </w:lvl>
  </w:abstractNum>
  <w:abstractNum w:abstractNumId="11">
    <w:nsid w:val="565826BB"/>
    <w:multiLevelType w:val="hybridMultilevel"/>
    <w:tmpl w:val="E3FE22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A23473E"/>
    <w:multiLevelType w:val="hybridMultilevel"/>
    <w:tmpl w:val="C994E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E0351CB"/>
    <w:multiLevelType w:val="hybridMultilevel"/>
    <w:tmpl w:val="24145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3296CFC"/>
    <w:multiLevelType w:val="multilevel"/>
    <w:tmpl w:val="9C68BA8A"/>
    <w:lvl w:ilvl="0">
      <w:start w:val="1"/>
      <w:numFmt w:val="decimal"/>
      <w:lvlText w:val="%1"/>
      <w:lvlJc w:val="left"/>
      <w:pPr>
        <w:ind w:left="8087" w:hanging="432"/>
      </w:pPr>
      <w:rPr>
        <w:rFonts w:cs="Times New Roman"/>
        <w:rtl w:val="0"/>
        <w:cs w:val="0"/>
      </w:rPr>
    </w:lvl>
    <w:lvl w:ilvl="1">
      <w:start w:val="1"/>
      <w:numFmt w:val="decimal"/>
      <w:pStyle w:val="Heading2"/>
      <w:lvlText w:val="%1.%2"/>
      <w:lvlJc w:val="left"/>
      <w:pPr>
        <w:ind w:left="576" w:hanging="576"/>
      </w:pPr>
      <w:rPr>
        <w:rFonts w:cs="Times New Roman"/>
        <w:rtl w:val="0"/>
        <w:cs w:val="0"/>
      </w:rPr>
    </w:lvl>
    <w:lvl w:ilvl="2">
      <w:start w:val="1"/>
      <w:numFmt w:val="decimal"/>
      <w:pStyle w:val="Heading3"/>
      <w:lvlText w:val="%1.%2.%3"/>
      <w:lvlJc w:val="left"/>
      <w:pPr>
        <w:ind w:left="7950" w:hanging="720"/>
      </w:pPr>
      <w:rPr>
        <w:rFonts w:cs="Times New Roman"/>
        <w:rtl w:val="0"/>
        <w:cs w:val="0"/>
      </w:rPr>
    </w:lvl>
    <w:lvl w:ilvl="3">
      <w:start w:val="1"/>
      <w:numFmt w:val="decimal"/>
      <w:pStyle w:val="Heading4"/>
      <w:lvlText w:val="%1.%2.%3.%4"/>
      <w:lvlJc w:val="left"/>
      <w:pPr>
        <w:ind w:left="9510" w:hanging="864"/>
      </w:pPr>
      <w:rPr>
        <w:rFonts w:cs="Times New Roman"/>
        <w:rtl w:val="0"/>
        <w:cs w:val="0"/>
      </w:rPr>
    </w:lvl>
    <w:lvl w:ilvl="4">
      <w:start w:val="1"/>
      <w:numFmt w:val="decimal"/>
      <w:pStyle w:val="Heading5"/>
      <w:lvlText w:val="%1.%2.%3.%4.%5"/>
      <w:lvlJc w:val="left"/>
      <w:pPr>
        <w:ind w:left="1008" w:hanging="1008"/>
      </w:pPr>
      <w:rPr>
        <w:rFonts w:cs="Times New Roman"/>
        <w:rtl w:val="0"/>
        <w:cs w:val="0"/>
      </w:rPr>
    </w:lvl>
    <w:lvl w:ilvl="5">
      <w:start w:val="1"/>
      <w:numFmt w:val="decimal"/>
      <w:pStyle w:val="Heading6"/>
      <w:lvlText w:val="%1.%2.%3.%4.%5.%6"/>
      <w:lvlJc w:val="left"/>
      <w:pPr>
        <w:ind w:left="1152" w:hanging="1152"/>
      </w:pPr>
      <w:rPr>
        <w:rFonts w:cs="Times New Roman"/>
        <w:rtl w:val="0"/>
        <w:cs w:val="0"/>
      </w:rPr>
    </w:lvl>
    <w:lvl w:ilvl="6">
      <w:start w:val="1"/>
      <w:numFmt w:val="decimal"/>
      <w:pStyle w:val="Heading7"/>
      <w:lvlText w:val="%1.%2.%3.%4.%5.%6.%7"/>
      <w:lvlJc w:val="left"/>
      <w:pPr>
        <w:ind w:left="1296" w:hanging="1296"/>
      </w:pPr>
      <w:rPr>
        <w:rFonts w:cs="Times New Roman"/>
        <w:rtl w:val="0"/>
        <w:cs w:val="0"/>
      </w:rPr>
    </w:lvl>
    <w:lvl w:ilvl="7">
      <w:start w:val="1"/>
      <w:numFmt w:val="decimal"/>
      <w:pStyle w:val="Heading8"/>
      <w:lvlText w:val="%1.%2.%3.%4.%5.%6.%7.%8"/>
      <w:lvlJc w:val="left"/>
      <w:pPr>
        <w:ind w:left="1440" w:hanging="1440"/>
      </w:pPr>
      <w:rPr>
        <w:rFonts w:cs="Times New Roman"/>
        <w:rtl w:val="0"/>
        <w:cs w:val="0"/>
      </w:rPr>
    </w:lvl>
    <w:lvl w:ilvl="8">
      <w:start w:val="1"/>
      <w:numFmt w:val="decimal"/>
      <w:pStyle w:val="Heading9"/>
      <w:lvlText w:val="%1.%2.%3.%4.%5.%6.%7.%8.%9"/>
      <w:lvlJc w:val="left"/>
      <w:pPr>
        <w:ind w:left="1584" w:hanging="1584"/>
      </w:pPr>
      <w:rPr>
        <w:rFonts w:cs="Times New Roman"/>
        <w:rtl w:val="0"/>
        <w:cs w:val="0"/>
      </w:rPr>
    </w:lvl>
  </w:abstractNum>
  <w:abstractNum w:abstractNumId="15">
    <w:nsid w:val="6BFA1DF4"/>
    <w:multiLevelType w:val="hybridMultilevel"/>
    <w:tmpl w:val="C0FAE3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E22678B"/>
    <w:multiLevelType w:val="hybridMultilevel"/>
    <w:tmpl w:val="39D2BF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15E7579"/>
    <w:multiLevelType w:val="multilevel"/>
    <w:tmpl w:val="45C635FC"/>
    <w:lvl w:ilvl="0">
      <w:start w:val="2"/>
      <w:numFmt w:val="decimal"/>
      <w:lvlText w:val="%1."/>
      <w:lvlJc w:val="left"/>
      <w:pPr>
        <w:ind w:left="720" w:hanging="360"/>
      </w:pPr>
      <w:rPr>
        <w:rFonts w:cs="Times New Roman" w:hint="default"/>
        <w:rtl w:val="0"/>
        <w:cs w:val="0"/>
      </w:rPr>
    </w:lvl>
    <w:lvl w:ilvl="1">
      <w:start w:val="2"/>
      <w:numFmt w:val="decimal"/>
      <w:isLgl/>
      <w:lvlText w:val="%1.%2."/>
      <w:lvlJc w:val="left"/>
      <w:pPr>
        <w:ind w:left="927"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8">
    <w:nsid w:val="779E33DB"/>
    <w:multiLevelType w:val="hybridMultilevel"/>
    <w:tmpl w:val="422AD43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19">
    <w:nsid w:val="785775C6"/>
    <w:multiLevelType w:val="hybridMultilevel"/>
    <w:tmpl w:val="D8F82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C995993"/>
    <w:multiLevelType w:val="hybridMultilevel"/>
    <w:tmpl w:val="4F421B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10"/>
  </w:num>
  <w:num w:numId="5">
    <w:abstractNumId w:val="16"/>
  </w:num>
  <w:num w:numId="6">
    <w:abstractNumId w:val="8"/>
  </w:num>
  <w:num w:numId="7">
    <w:abstractNumId w:val="11"/>
  </w:num>
  <w:num w:numId="8">
    <w:abstractNumId w:val="5"/>
  </w:num>
  <w:num w:numId="9">
    <w:abstractNumId w:val="7"/>
  </w:num>
  <w:num w:numId="10">
    <w:abstractNumId w:val="0"/>
  </w:num>
  <w:num w:numId="11">
    <w:abstractNumId w:val="6"/>
  </w:num>
  <w:num w:numId="12">
    <w:abstractNumId w:val="20"/>
  </w:num>
  <w:num w:numId="13">
    <w:abstractNumId w:val="17"/>
  </w:num>
  <w:num w:numId="14">
    <w:abstractNumId w:val="2"/>
  </w:num>
  <w:num w:numId="15">
    <w:abstractNumId w:val="19"/>
  </w:num>
  <w:num w:numId="16">
    <w:abstractNumId w:val="4"/>
  </w:num>
  <w:num w:numId="17">
    <w:abstractNumId w:val="3"/>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097DCF"/>
    <w:rsid w:val="00000278"/>
    <w:rsid w:val="00000F56"/>
    <w:rsid w:val="000018E4"/>
    <w:rsid w:val="000022B9"/>
    <w:rsid w:val="00002760"/>
    <w:rsid w:val="00002E4C"/>
    <w:rsid w:val="000032ED"/>
    <w:rsid w:val="00003A59"/>
    <w:rsid w:val="0000558A"/>
    <w:rsid w:val="0000666F"/>
    <w:rsid w:val="00007113"/>
    <w:rsid w:val="00007AAE"/>
    <w:rsid w:val="00010E6B"/>
    <w:rsid w:val="000113B6"/>
    <w:rsid w:val="00011F58"/>
    <w:rsid w:val="00012E11"/>
    <w:rsid w:val="000133A4"/>
    <w:rsid w:val="000133E0"/>
    <w:rsid w:val="00013601"/>
    <w:rsid w:val="0001382B"/>
    <w:rsid w:val="00013985"/>
    <w:rsid w:val="00014E5A"/>
    <w:rsid w:val="000152A0"/>
    <w:rsid w:val="000155FA"/>
    <w:rsid w:val="000176AC"/>
    <w:rsid w:val="00017EF2"/>
    <w:rsid w:val="00021417"/>
    <w:rsid w:val="0002195F"/>
    <w:rsid w:val="00023521"/>
    <w:rsid w:val="000237A5"/>
    <w:rsid w:val="00025004"/>
    <w:rsid w:val="00025982"/>
    <w:rsid w:val="00025E33"/>
    <w:rsid w:val="00025F86"/>
    <w:rsid w:val="00026BDA"/>
    <w:rsid w:val="00027096"/>
    <w:rsid w:val="000270C2"/>
    <w:rsid w:val="00027342"/>
    <w:rsid w:val="00031F8F"/>
    <w:rsid w:val="00032766"/>
    <w:rsid w:val="00034032"/>
    <w:rsid w:val="000343FE"/>
    <w:rsid w:val="00034DD6"/>
    <w:rsid w:val="0003591D"/>
    <w:rsid w:val="0003598A"/>
    <w:rsid w:val="00040B40"/>
    <w:rsid w:val="00042331"/>
    <w:rsid w:val="00046420"/>
    <w:rsid w:val="00046B9A"/>
    <w:rsid w:val="00047061"/>
    <w:rsid w:val="00047491"/>
    <w:rsid w:val="00050CB5"/>
    <w:rsid w:val="00051374"/>
    <w:rsid w:val="0005352D"/>
    <w:rsid w:val="00054610"/>
    <w:rsid w:val="000547AA"/>
    <w:rsid w:val="00054BE4"/>
    <w:rsid w:val="00056265"/>
    <w:rsid w:val="000567A7"/>
    <w:rsid w:val="0005775B"/>
    <w:rsid w:val="00061005"/>
    <w:rsid w:val="00061886"/>
    <w:rsid w:val="0006204A"/>
    <w:rsid w:val="000622D4"/>
    <w:rsid w:val="00062F31"/>
    <w:rsid w:val="00063780"/>
    <w:rsid w:val="0006713C"/>
    <w:rsid w:val="000672E1"/>
    <w:rsid w:val="00070348"/>
    <w:rsid w:val="00071300"/>
    <w:rsid w:val="00072F83"/>
    <w:rsid w:val="00073345"/>
    <w:rsid w:val="0007366A"/>
    <w:rsid w:val="00073F56"/>
    <w:rsid w:val="00075693"/>
    <w:rsid w:val="00075A41"/>
    <w:rsid w:val="00077A98"/>
    <w:rsid w:val="00077C56"/>
    <w:rsid w:val="00077EAC"/>
    <w:rsid w:val="000811B0"/>
    <w:rsid w:val="00081C7A"/>
    <w:rsid w:val="00083133"/>
    <w:rsid w:val="000836FF"/>
    <w:rsid w:val="000857E1"/>
    <w:rsid w:val="000861E8"/>
    <w:rsid w:val="00087FF2"/>
    <w:rsid w:val="00092B3C"/>
    <w:rsid w:val="00093292"/>
    <w:rsid w:val="00094792"/>
    <w:rsid w:val="00094CD6"/>
    <w:rsid w:val="00094DD3"/>
    <w:rsid w:val="0009576A"/>
    <w:rsid w:val="00096492"/>
    <w:rsid w:val="00096D37"/>
    <w:rsid w:val="00097785"/>
    <w:rsid w:val="00097DCF"/>
    <w:rsid w:val="000A162C"/>
    <w:rsid w:val="000A195A"/>
    <w:rsid w:val="000A3596"/>
    <w:rsid w:val="000A51A9"/>
    <w:rsid w:val="000A693A"/>
    <w:rsid w:val="000A7E3E"/>
    <w:rsid w:val="000B0251"/>
    <w:rsid w:val="000B08E0"/>
    <w:rsid w:val="000B3DD8"/>
    <w:rsid w:val="000B5744"/>
    <w:rsid w:val="000B7BFB"/>
    <w:rsid w:val="000B7C78"/>
    <w:rsid w:val="000B7DCF"/>
    <w:rsid w:val="000C13F8"/>
    <w:rsid w:val="000C1651"/>
    <w:rsid w:val="000C2A0C"/>
    <w:rsid w:val="000C2CB4"/>
    <w:rsid w:val="000C3448"/>
    <w:rsid w:val="000C422A"/>
    <w:rsid w:val="000C4AAE"/>
    <w:rsid w:val="000C5420"/>
    <w:rsid w:val="000C54FB"/>
    <w:rsid w:val="000C7553"/>
    <w:rsid w:val="000D0753"/>
    <w:rsid w:val="000D2656"/>
    <w:rsid w:val="000D41BC"/>
    <w:rsid w:val="000D4E9E"/>
    <w:rsid w:val="000D52B3"/>
    <w:rsid w:val="000D69A5"/>
    <w:rsid w:val="000D7C2A"/>
    <w:rsid w:val="000E094A"/>
    <w:rsid w:val="000E0F2B"/>
    <w:rsid w:val="000E1273"/>
    <w:rsid w:val="000E16FD"/>
    <w:rsid w:val="000E26D6"/>
    <w:rsid w:val="000E3183"/>
    <w:rsid w:val="000E4633"/>
    <w:rsid w:val="000E5270"/>
    <w:rsid w:val="000E5A2F"/>
    <w:rsid w:val="000E6005"/>
    <w:rsid w:val="000E65CB"/>
    <w:rsid w:val="000E7228"/>
    <w:rsid w:val="000F0918"/>
    <w:rsid w:val="000F0B7A"/>
    <w:rsid w:val="000F1D56"/>
    <w:rsid w:val="000F2ECF"/>
    <w:rsid w:val="000F3290"/>
    <w:rsid w:val="000F38A8"/>
    <w:rsid w:val="000F54BC"/>
    <w:rsid w:val="000F6B30"/>
    <w:rsid w:val="000F6E4C"/>
    <w:rsid w:val="000F73C2"/>
    <w:rsid w:val="00102534"/>
    <w:rsid w:val="00103C6F"/>
    <w:rsid w:val="001047DF"/>
    <w:rsid w:val="00104B2E"/>
    <w:rsid w:val="00104D52"/>
    <w:rsid w:val="001053DD"/>
    <w:rsid w:val="00105EC9"/>
    <w:rsid w:val="00106500"/>
    <w:rsid w:val="00110264"/>
    <w:rsid w:val="001102D4"/>
    <w:rsid w:val="001107F4"/>
    <w:rsid w:val="00110962"/>
    <w:rsid w:val="00111F29"/>
    <w:rsid w:val="00113B6B"/>
    <w:rsid w:val="001150D1"/>
    <w:rsid w:val="00115972"/>
    <w:rsid w:val="00121897"/>
    <w:rsid w:val="001221D3"/>
    <w:rsid w:val="001222C2"/>
    <w:rsid w:val="0012261B"/>
    <w:rsid w:val="0012327D"/>
    <w:rsid w:val="00124191"/>
    <w:rsid w:val="0012502D"/>
    <w:rsid w:val="0012604A"/>
    <w:rsid w:val="0012635A"/>
    <w:rsid w:val="00126902"/>
    <w:rsid w:val="00127449"/>
    <w:rsid w:val="00127817"/>
    <w:rsid w:val="00127BEB"/>
    <w:rsid w:val="00130717"/>
    <w:rsid w:val="00130FFC"/>
    <w:rsid w:val="00131082"/>
    <w:rsid w:val="00131365"/>
    <w:rsid w:val="00133210"/>
    <w:rsid w:val="00136094"/>
    <w:rsid w:val="00137718"/>
    <w:rsid w:val="001420D7"/>
    <w:rsid w:val="00143B8D"/>
    <w:rsid w:val="00143E83"/>
    <w:rsid w:val="001444AA"/>
    <w:rsid w:val="00145512"/>
    <w:rsid w:val="001455F3"/>
    <w:rsid w:val="001457BC"/>
    <w:rsid w:val="001457BD"/>
    <w:rsid w:val="00150B75"/>
    <w:rsid w:val="0015313D"/>
    <w:rsid w:val="001532D4"/>
    <w:rsid w:val="00153FE4"/>
    <w:rsid w:val="001545D9"/>
    <w:rsid w:val="001550F7"/>
    <w:rsid w:val="00156DBA"/>
    <w:rsid w:val="00157B93"/>
    <w:rsid w:val="00160253"/>
    <w:rsid w:val="00160677"/>
    <w:rsid w:val="00161154"/>
    <w:rsid w:val="0016117A"/>
    <w:rsid w:val="001624CB"/>
    <w:rsid w:val="00162A12"/>
    <w:rsid w:val="00162C60"/>
    <w:rsid w:val="0016341E"/>
    <w:rsid w:val="00163AA9"/>
    <w:rsid w:val="0016445C"/>
    <w:rsid w:val="00166DE5"/>
    <w:rsid w:val="001671AE"/>
    <w:rsid w:val="00170390"/>
    <w:rsid w:val="00171F4C"/>
    <w:rsid w:val="00172321"/>
    <w:rsid w:val="00172989"/>
    <w:rsid w:val="00172A54"/>
    <w:rsid w:val="00172B36"/>
    <w:rsid w:val="00172C4D"/>
    <w:rsid w:val="0017548D"/>
    <w:rsid w:val="00175C85"/>
    <w:rsid w:val="001765FE"/>
    <w:rsid w:val="00176D70"/>
    <w:rsid w:val="00177389"/>
    <w:rsid w:val="00177EBF"/>
    <w:rsid w:val="001800D4"/>
    <w:rsid w:val="0018106C"/>
    <w:rsid w:val="001827A8"/>
    <w:rsid w:val="00182802"/>
    <w:rsid w:val="00183379"/>
    <w:rsid w:val="00184D3F"/>
    <w:rsid w:val="00184EF4"/>
    <w:rsid w:val="001858F1"/>
    <w:rsid w:val="00185F58"/>
    <w:rsid w:val="00186A74"/>
    <w:rsid w:val="001907BA"/>
    <w:rsid w:val="001914AC"/>
    <w:rsid w:val="001918CC"/>
    <w:rsid w:val="00195E6A"/>
    <w:rsid w:val="00196D30"/>
    <w:rsid w:val="00197311"/>
    <w:rsid w:val="00197B16"/>
    <w:rsid w:val="001A0B42"/>
    <w:rsid w:val="001A172C"/>
    <w:rsid w:val="001A1D00"/>
    <w:rsid w:val="001A21C4"/>
    <w:rsid w:val="001A246E"/>
    <w:rsid w:val="001A3F4B"/>
    <w:rsid w:val="001A40B9"/>
    <w:rsid w:val="001A53B8"/>
    <w:rsid w:val="001A568F"/>
    <w:rsid w:val="001A594D"/>
    <w:rsid w:val="001A65D0"/>
    <w:rsid w:val="001A707B"/>
    <w:rsid w:val="001A73AD"/>
    <w:rsid w:val="001B1701"/>
    <w:rsid w:val="001B1E6D"/>
    <w:rsid w:val="001B3328"/>
    <w:rsid w:val="001B333E"/>
    <w:rsid w:val="001B3685"/>
    <w:rsid w:val="001B45E5"/>
    <w:rsid w:val="001B4817"/>
    <w:rsid w:val="001B4B6F"/>
    <w:rsid w:val="001B4D03"/>
    <w:rsid w:val="001B6654"/>
    <w:rsid w:val="001B676B"/>
    <w:rsid w:val="001B67A9"/>
    <w:rsid w:val="001B69B3"/>
    <w:rsid w:val="001B6AA7"/>
    <w:rsid w:val="001B6CB5"/>
    <w:rsid w:val="001C0EB3"/>
    <w:rsid w:val="001C1C49"/>
    <w:rsid w:val="001C2227"/>
    <w:rsid w:val="001C265B"/>
    <w:rsid w:val="001C3186"/>
    <w:rsid w:val="001C52CA"/>
    <w:rsid w:val="001C56DD"/>
    <w:rsid w:val="001C71A2"/>
    <w:rsid w:val="001D1312"/>
    <w:rsid w:val="001D13C4"/>
    <w:rsid w:val="001D1709"/>
    <w:rsid w:val="001D5055"/>
    <w:rsid w:val="001D52D8"/>
    <w:rsid w:val="001D5471"/>
    <w:rsid w:val="001D5E8A"/>
    <w:rsid w:val="001D644F"/>
    <w:rsid w:val="001D7CE5"/>
    <w:rsid w:val="001E17CD"/>
    <w:rsid w:val="001E312F"/>
    <w:rsid w:val="001E47F9"/>
    <w:rsid w:val="001E6DE1"/>
    <w:rsid w:val="001F0274"/>
    <w:rsid w:val="001F0F90"/>
    <w:rsid w:val="001F2499"/>
    <w:rsid w:val="001F4232"/>
    <w:rsid w:val="001F44C9"/>
    <w:rsid w:val="001F47DB"/>
    <w:rsid w:val="001F5B67"/>
    <w:rsid w:val="001F655F"/>
    <w:rsid w:val="001F6987"/>
    <w:rsid w:val="001F72E0"/>
    <w:rsid w:val="001F75DF"/>
    <w:rsid w:val="00200260"/>
    <w:rsid w:val="00200912"/>
    <w:rsid w:val="00200987"/>
    <w:rsid w:val="002017C5"/>
    <w:rsid w:val="00202296"/>
    <w:rsid w:val="00204B4F"/>
    <w:rsid w:val="00204FC5"/>
    <w:rsid w:val="0020500F"/>
    <w:rsid w:val="0020587A"/>
    <w:rsid w:val="00205F63"/>
    <w:rsid w:val="00206BB7"/>
    <w:rsid w:val="00206F3F"/>
    <w:rsid w:val="002075E9"/>
    <w:rsid w:val="0021044C"/>
    <w:rsid w:val="00211BC5"/>
    <w:rsid w:val="00212631"/>
    <w:rsid w:val="00212AB8"/>
    <w:rsid w:val="00212C44"/>
    <w:rsid w:val="00212F27"/>
    <w:rsid w:val="00213AFA"/>
    <w:rsid w:val="00213CB7"/>
    <w:rsid w:val="0021616A"/>
    <w:rsid w:val="002168FE"/>
    <w:rsid w:val="00217725"/>
    <w:rsid w:val="002178DD"/>
    <w:rsid w:val="00221DB8"/>
    <w:rsid w:val="00223682"/>
    <w:rsid w:val="0022487C"/>
    <w:rsid w:val="00225F21"/>
    <w:rsid w:val="002263FB"/>
    <w:rsid w:val="00226A37"/>
    <w:rsid w:val="00230CD3"/>
    <w:rsid w:val="002323F1"/>
    <w:rsid w:val="00233644"/>
    <w:rsid w:val="002339C0"/>
    <w:rsid w:val="0023471D"/>
    <w:rsid w:val="002362FE"/>
    <w:rsid w:val="00237F26"/>
    <w:rsid w:val="00240912"/>
    <w:rsid w:val="00241947"/>
    <w:rsid w:val="00243CBD"/>
    <w:rsid w:val="002451B5"/>
    <w:rsid w:val="00245606"/>
    <w:rsid w:val="00245711"/>
    <w:rsid w:val="002459EE"/>
    <w:rsid w:val="00247E52"/>
    <w:rsid w:val="002518F2"/>
    <w:rsid w:val="002519CC"/>
    <w:rsid w:val="00251C7F"/>
    <w:rsid w:val="00252E24"/>
    <w:rsid w:val="00253B4E"/>
    <w:rsid w:val="00256F5F"/>
    <w:rsid w:val="002570C1"/>
    <w:rsid w:val="0025730D"/>
    <w:rsid w:val="002574EC"/>
    <w:rsid w:val="00257E01"/>
    <w:rsid w:val="00262CA5"/>
    <w:rsid w:val="0026409E"/>
    <w:rsid w:val="0026410C"/>
    <w:rsid w:val="00264359"/>
    <w:rsid w:val="0026555D"/>
    <w:rsid w:val="002674D3"/>
    <w:rsid w:val="00267545"/>
    <w:rsid w:val="002677A8"/>
    <w:rsid w:val="00270A05"/>
    <w:rsid w:val="00270D30"/>
    <w:rsid w:val="002711DD"/>
    <w:rsid w:val="00271667"/>
    <w:rsid w:val="00274089"/>
    <w:rsid w:val="00274987"/>
    <w:rsid w:val="00275967"/>
    <w:rsid w:val="00275A4B"/>
    <w:rsid w:val="00277C8E"/>
    <w:rsid w:val="00277E48"/>
    <w:rsid w:val="00280406"/>
    <w:rsid w:val="0028203B"/>
    <w:rsid w:val="0028471A"/>
    <w:rsid w:val="00285DB8"/>
    <w:rsid w:val="00286489"/>
    <w:rsid w:val="002901A8"/>
    <w:rsid w:val="00290336"/>
    <w:rsid w:val="002904E3"/>
    <w:rsid w:val="0029076D"/>
    <w:rsid w:val="00290D48"/>
    <w:rsid w:val="00291352"/>
    <w:rsid w:val="00292D0F"/>
    <w:rsid w:val="0029348E"/>
    <w:rsid w:val="0029468B"/>
    <w:rsid w:val="00297E91"/>
    <w:rsid w:val="002A18B9"/>
    <w:rsid w:val="002A1A57"/>
    <w:rsid w:val="002A297C"/>
    <w:rsid w:val="002A311E"/>
    <w:rsid w:val="002A3555"/>
    <w:rsid w:val="002A44A4"/>
    <w:rsid w:val="002A49E9"/>
    <w:rsid w:val="002A5103"/>
    <w:rsid w:val="002A64A9"/>
    <w:rsid w:val="002A78D7"/>
    <w:rsid w:val="002A7C63"/>
    <w:rsid w:val="002B0054"/>
    <w:rsid w:val="002B0F96"/>
    <w:rsid w:val="002B12FF"/>
    <w:rsid w:val="002B1CD9"/>
    <w:rsid w:val="002B3410"/>
    <w:rsid w:val="002B3C9B"/>
    <w:rsid w:val="002B7434"/>
    <w:rsid w:val="002C0340"/>
    <w:rsid w:val="002C0A4A"/>
    <w:rsid w:val="002C0BA5"/>
    <w:rsid w:val="002C24F4"/>
    <w:rsid w:val="002C26E4"/>
    <w:rsid w:val="002C2C50"/>
    <w:rsid w:val="002C2F17"/>
    <w:rsid w:val="002C33FB"/>
    <w:rsid w:val="002C46C2"/>
    <w:rsid w:val="002C4B85"/>
    <w:rsid w:val="002C553F"/>
    <w:rsid w:val="002C58A0"/>
    <w:rsid w:val="002C5DE9"/>
    <w:rsid w:val="002C6ECE"/>
    <w:rsid w:val="002C6FC4"/>
    <w:rsid w:val="002C7DF8"/>
    <w:rsid w:val="002D0490"/>
    <w:rsid w:val="002D158A"/>
    <w:rsid w:val="002D1C50"/>
    <w:rsid w:val="002D1ED8"/>
    <w:rsid w:val="002D29DA"/>
    <w:rsid w:val="002D36C7"/>
    <w:rsid w:val="002D3859"/>
    <w:rsid w:val="002D4299"/>
    <w:rsid w:val="002D4C52"/>
    <w:rsid w:val="002D77FC"/>
    <w:rsid w:val="002E15D0"/>
    <w:rsid w:val="002E1EA5"/>
    <w:rsid w:val="002E30E8"/>
    <w:rsid w:val="002E3BA7"/>
    <w:rsid w:val="002E3DFF"/>
    <w:rsid w:val="002E4DE0"/>
    <w:rsid w:val="002E5018"/>
    <w:rsid w:val="002E533C"/>
    <w:rsid w:val="002E6A90"/>
    <w:rsid w:val="002E6E34"/>
    <w:rsid w:val="002E70FE"/>
    <w:rsid w:val="002E712F"/>
    <w:rsid w:val="002E7FB0"/>
    <w:rsid w:val="002F087F"/>
    <w:rsid w:val="002F0E7E"/>
    <w:rsid w:val="002F1080"/>
    <w:rsid w:val="002F32D1"/>
    <w:rsid w:val="002F64BA"/>
    <w:rsid w:val="002F6A40"/>
    <w:rsid w:val="002F6FF1"/>
    <w:rsid w:val="002F77DF"/>
    <w:rsid w:val="003004F9"/>
    <w:rsid w:val="00300A72"/>
    <w:rsid w:val="00300B68"/>
    <w:rsid w:val="00301193"/>
    <w:rsid w:val="003014C9"/>
    <w:rsid w:val="00301892"/>
    <w:rsid w:val="00302E5B"/>
    <w:rsid w:val="00304522"/>
    <w:rsid w:val="00305D6F"/>
    <w:rsid w:val="003066EE"/>
    <w:rsid w:val="00310666"/>
    <w:rsid w:val="00310D21"/>
    <w:rsid w:val="003113A1"/>
    <w:rsid w:val="0031157B"/>
    <w:rsid w:val="00313084"/>
    <w:rsid w:val="00313160"/>
    <w:rsid w:val="0031373C"/>
    <w:rsid w:val="0031386F"/>
    <w:rsid w:val="00313E3E"/>
    <w:rsid w:val="00314133"/>
    <w:rsid w:val="00314E8E"/>
    <w:rsid w:val="00314FE3"/>
    <w:rsid w:val="003151D5"/>
    <w:rsid w:val="003208E6"/>
    <w:rsid w:val="00320CC0"/>
    <w:rsid w:val="00321A77"/>
    <w:rsid w:val="003229BC"/>
    <w:rsid w:val="00323DEA"/>
    <w:rsid w:val="0032410D"/>
    <w:rsid w:val="003249B2"/>
    <w:rsid w:val="003263B1"/>
    <w:rsid w:val="0033083E"/>
    <w:rsid w:val="00330D57"/>
    <w:rsid w:val="003339D1"/>
    <w:rsid w:val="00333A45"/>
    <w:rsid w:val="00334D4B"/>
    <w:rsid w:val="00334E48"/>
    <w:rsid w:val="003354CE"/>
    <w:rsid w:val="003354F8"/>
    <w:rsid w:val="0033608E"/>
    <w:rsid w:val="00336AFD"/>
    <w:rsid w:val="0034144C"/>
    <w:rsid w:val="00341DEC"/>
    <w:rsid w:val="003435B8"/>
    <w:rsid w:val="0034534B"/>
    <w:rsid w:val="0034578C"/>
    <w:rsid w:val="00345F38"/>
    <w:rsid w:val="00346ABD"/>
    <w:rsid w:val="00350C7F"/>
    <w:rsid w:val="003523CF"/>
    <w:rsid w:val="003532E3"/>
    <w:rsid w:val="00354C41"/>
    <w:rsid w:val="0035507F"/>
    <w:rsid w:val="00356016"/>
    <w:rsid w:val="0035623E"/>
    <w:rsid w:val="0035704D"/>
    <w:rsid w:val="00361DD6"/>
    <w:rsid w:val="003620C0"/>
    <w:rsid w:val="00362940"/>
    <w:rsid w:val="00362C8F"/>
    <w:rsid w:val="0036454A"/>
    <w:rsid w:val="0036530F"/>
    <w:rsid w:val="00366890"/>
    <w:rsid w:val="00366AA9"/>
    <w:rsid w:val="00366F27"/>
    <w:rsid w:val="00367E47"/>
    <w:rsid w:val="00370AD5"/>
    <w:rsid w:val="00371430"/>
    <w:rsid w:val="003714CB"/>
    <w:rsid w:val="0037168D"/>
    <w:rsid w:val="00373D83"/>
    <w:rsid w:val="00374199"/>
    <w:rsid w:val="003742D7"/>
    <w:rsid w:val="00374E52"/>
    <w:rsid w:val="003754FE"/>
    <w:rsid w:val="00375EBE"/>
    <w:rsid w:val="00376F1F"/>
    <w:rsid w:val="00376F5F"/>
    <w:rsid w:val="00376FF2"/>
    <w:rsid w:val="003776A3"/>
    <w:rsid w:val="003778B6"/>
    <w:rsid w:val="00377C4D"/>
    <w:rsid w:val="00377E5C"/>
    <w:rsid w:val="003820E7"/>
    <w:rsid w:val="0038303F"/>
    <w:rsid w:val="0038307C"/>
    <w:rsid w:val="00383343"/>
    <w:rsid w:val="00383598"/>
    <w:rsid w:val="00384272"/>
    <w:rsid w:val="003847C4"/>
    <w:rsid w:val="00386072"/>
    <w:rsid w:val="003864B8"/>
    <w:rsid w:val="003873AD"/>
    <w:rsid w:val="00390536"/>
    <w:rsid w:val="00390DFA"/>
    <w:rsid w:val="00391277"/>
    <w:rsid w:val="003921B2"/>
    <w:rsid w:val="00392B49"/>
    <w:rsid w:val="00393E07"/>
    <w:rsid w:val="0039461C"/>
    <w:rsid w:val="003952AC"/>
    <w:rsid w:val="00397EA1"/>
    <w:rsid w:val="003A05D8"/>
    <w:rsid w:val="003A0FEE"/>
    <w:rsid w:val="003A119C"/>
    <w:rsid w:val="003A3C2A"/>
    <w:rsid w:val="003A462F"/>
    <w:rsid w:val="003A46DE"/>
    <w:rsid w:val="003A49AA"/>
    <w:rsid w:val="003A5324"/>
    <w:rsid w:val="003A54DA"/>
    <w:rsid w:val="003A5994"/>
    <w:rsid w:val="003A5A4B"/>
    <w:rsid w:val="003A66A7"/>
    <w:rsid w:val="003A7AE0"/>
    <w:rsid w:val="003A7F9E"/>
    <w:rsid w:val="003B1275"/>
    <w:rsid w:val="003B1ACF"/>
    <w:rsid w:val="003B201E"/>
    <w:rsid w:val="003B334A"/>
    <w:rsid w:val="003B3430"/>
    <w:rsid w:val="003B4BFD"/>
    <w:rsid w:val="003B629D"/>
    <w:rsid w:val="003B655A"/>
    <w:rsid w:val="003B6B6A"/>
    <w:rsid w:val="003B722E"/>
    <w:rsid w:val="003B7B93"/>
    <w:rsid w:val="003B7E74"/>
    <w:rsid w:val="003C0828"/>
    <w:rsid w:val="003C1B7A"/>
    <w:rsid w:val="003C3A42"/>
    <w:rsid w:val="003C4348"/>
    <w:rsid w:val="003C537C"/>
    <w:rsid w:val="003C555D"/>
    <w:rsid w:val="003C6B64"/>
    <w:rsid w:val="003C7BAF"/>
    <w:rsid w:val="003C7FF0"/>
    <w:rsid w:val="003D05E7"/>
    <w:rsid w:val="003D06B0"/>
    <w:rsid w:val="003D1AD9"/>
    <w:rsid w:val="003D4589"/>
    <w:rsid w:val="003D4D62"/>
    <w:rsid w:val="003D4E27"/>
    <w:rsid w:val="003D5917"/>
    <w:rsid w:val="003D5F24"/>
    <w:rsid w:val="003E0012"/>
    <w:rsid w:val="003E1919"/>
    <w:rsid w:val="003E2578"/>
    <w:rsid w:val="003E2B7D"/>
    <w:rsid w:val="003E2C97"/>
    <w:rsid w:val="003E3755"/>
    <w:rsid w:val="003E6CEF"/>
    <w:rsid w:val="003E7C64"/>
    <w:rsid w:val="003F05C0"/>
    <w:rsid w:val="003F087A"/>
    <w:rsid w:val="003F0967"/>
    <w:rsid w:val="003F0CCF"/>
    <w:rsid w:val="003F272C"/>
    <w:rsid w:val="003F4588"/>
    <w:rsid w:val="003F4D85"/>
    <w:rsid w:val="003F6AB4"/>
    <w:rsid w:val="003F6C50"/>
    <w:rsid w:val="003F7249"/>
    <w:rsid w:val="003F728C"/>
    <w:rsid w:val="004001FC"/>
    <w:rsid w:val="004013E1"/>
    <w:rsid w:val="00401C4D"/>
    <w:rsid w:val="004032FE"/>
    <w:rsid w:val="00403AF7"/>
    <w:rsid w:val="00404630"/>
    <w:rsid w:val="004058E9"/>
    <w:rsid w:val="00406053"/>
    <w:rsid w:val="00410F7B"/>
    <w:rsid w:val="004115F2"/>
    <w:rsid w:val="004117F4"/>
    <w:rsid w:val="004118B3"/>
    <w:rsid w:val="00412A22"/>
    <w:rsid w:val="004135D2"/>
    <w:rsid w:val="00413A90"/>
    <w:rsid w:val="00413DBE"/>
    <w:rsid w:val="00413E06"/>
    <w:rsid w:val="004142C3"/>
    <w:rsid w:val="004145D0"/>
    <w:rsid w:val="00414960"/>
    <w:rsid w:val="00415165"/>
    <w:rsid w:val="004167DC"/>
    <w:rsid w:val="004174F6"/>
    <w:rsid w:val="0041752D"/>
    <w:rsid w:val="004175A8"/>
    <w:rsid w:val="004179B8"/>
    <w:rsid w:val="00420E49"/>
    <w:rsid w:val="0042460A"/>
    <w:rsid w:val="00424C65"/>
    <w:rsid w:val="00425028"/>
    <w:rsid w:val="004256E8"/>
    <w:rsid w:val="00425E24"/>
    <w:rsid w:val="004270DD"/>
    <w:rsid w:val="004306BC"/>
    <w:rsid w:val="00430C6A"/>
    <w:rsid w:val="004319AD"/>
    <w:rsid w:val="004320CE"/>
    <w:rsid w:val="00432836"/>
    <w:rsid w:val="00433275"/>
    <w:rsid w:val="004345EA"/>
    <w:rsid w:val="00435192"/>
    <w:rsid w:val="00436202"/>
    <w:rsid w:val="00436F81"/>
    <w:rsid w:val="00440073"/>
    <w:rsid w:val="0044046D"/>
    <w:rsid w:val="00442E9A"/>
    <w:rsid w:val="004457C9"/>
    <w:rsid w:val="00446A3C"/>
    <w:rsid w:val="00447087"/>
    <w:rsid w:val="00447D7B"/>
    <w:rsid w:val="00450885"/>
    <w:rsid w:val="00450DAF"/>
    <w:rsid w:val="004511A9"/>
    <w:rsid w:val="00452A45"/>
    <w:rsid w:val="004542A0"/>
    <w:rsid w:val="00454BB7"/>
    <w:rsid w:val="0045541C"/>
    <w:rsid w:val="0045730D"/>
    <w:rsid w:val="00457987"/>
    <w:rsid w:val="00457ECB"/>
    <w:rsid w:val="00457F55"/>
    <w:rsid w:val="00457F6F"/>
    <w:rsid w:val="004606AB"/>
    <w:rsid w:val="00462791"/>
    <w:rsid w:val="0046552A"/>
    <w:rsid w:val="004666DD"/>
    <w:rsid w:val="00470FCA"/>
    <w:rsid w:val="00470FFE"/>
    <w:rsid w:val="0047167F"/>
    <w:rsid w:val="004717E4"/>
    <w:rsid w:val="00472DA8"/>
    <w:rsid w:val="00472F1D"/>
    <w:rsid w:val="0047311F"/>
    <w:rsid w:val="004759BA"/>
    <w:rsid w:val="0047719C"/>
    <w:rsid w:val="00480961"/>
    <w:rsid w:val="004816C1"/>
    <w:rsid w:val="004822BA"/>
    <w:rsid w:val="00482A32"/>
    <w:rsid w:val="004854E2"/>
    <w:rsid w:val="004854EA"/>
    <w:rsid w:val="00490C27"/>
    <w:rsid w:val="004911CD"/>
    <w:rsid w:val="00491AE1"/>
    <w:rsid w:val="00491CD6"/>
    <w:rsid w:val="00492527"/>
    <w:rsid w:val="00492660"/>
    <w:rsid w:val="0049279F"/>
    <w:rsid w:val="00492D84"/>
    <w:rsid w:val="004948B4"/>
    <w:rsid w:val="00495133"/>
    <w:rsid w:val="00496633"/>
    <w:rsid w:val="00496E50"/>
    <w:rsid w:val="004A0E7A"/>
    <w:rsid w:val="004A18AC"/>
    <w:rsid w:val="004A26F1"/>
    <w:rsid w:val="004A3428"/>
    <w:rsid w:val="004A39A8"/>
    <w:rsid w:val="004A7287"/>
    <w:rsid w:val="004B0795"/>
    <w:rsid w:val="004B1438"/>
    <w:rsid w:val="004B1507"/>
    <w:rsid w:val="004B1A71"/>
    <w:rsid w:val="004B2558"/>
    <w:rsid w:val="004B2B19"/>
    <w:rsid w:val="004B302E"/>
    <w:rsid w:val="004B38EB"/>
    <w:rsid w:val="004B3E7F"/>
    <w:rsid w:val="004B44D9"/>
    <w:rsid w:val="004B6E10"/>
    <w:rsid w:val="004C1168"/>
    <w:rsid w:val="004C2B68"/>
    <w:rsid w:val="004C351E"/>
    <w:rsid w:val="004C3728"/>
    <w:rsid w:val="004C52C0"/>
    <w:rsid w:val="004C5C6E"/>
    <w:rsid w:val="004C7A4E"/>
    <w:rsid w:val="004D048A"/>
    <w:rsid w:val="004D12BC"/>
    <w:rsid w:val="004D13AB"/>
    <w:rsid w:val="004D1484"/>
    <w:rsid w:val="004D19E0"/>
    <w:rsid w:val="004D26D6"/>
    <w:rsid w:val="004D2B4B"/>
    <w:rsid w:val="004D4275"/>
    <w:rsid w:val="004D565E"/>
    <w:rsid w:val="004D57AA"/>
    <w:rsid w:val="004D5EAA"/>
    <w:rsid w:val="004D6274"/>
    <w:rsid w:val="004D669A"/>
    <w:rsid w:val="004D6DEF"/>
    <w:rsid w:val="004D7520"/>
    <w:rsid w:val="004D79E7"/>
    <w:rsid w:val="004E1F00"/>
    <w:rsid w:val="004E2D5A"/>
    <w:rsid w:val="004E508D"/>
    <w:rsid w:val="004E60BF"/>
    <w:rsid w:val="004E6F14"/>
    <w:rsid w:val="004E73A0"/>
    <w:rsid w:val="004F12C3"/>
    <w:rsid w:val="004F1FBD"/>
    <w:rsid w:val="004F3316"/>
    <w:rsid w:val="004F3386"/>
    <w:rsid w:val="004F39C7"/>
    <w:rsid w:val="004F4777"/>
    <w:rsid w:val="004F49DB"/>
    <w:rsid w:val="004F5AD8"/>
    <w:rsid w:val="004F7BA5"/>
    <w:rsid w:val="004F7F7A"/>
    <w:rsid w:val="00500399"/>
    <w:rsid w:val="00501267"/>
    <w:rsid w:val="0050132B"/>
    <w:rsid w:val="00501D65"/>
    <w:rsid w:val="005045CC"/>
    <w:rsid w:val="00504D39"/>
    <w:rsid w:val="005056AE"/>
    <w:rsid w:val="0050628D"/>
    <w:rsid w:val="005064A2"/>
    <w:rsid w:val="005067CD"/>
    <w:rsid w:val="005103EA"/>
    <w:rsid w:val="00511102"/>
    <w:rsid w:val="00511310"/>
    <w:rsid w:val="00511508"/>
    <w:rsid w:val="00513BB1"/>
    <w:rsid w:val="00514307"/>
    <w:rsid w:val="00514BF6"/>
    <w:rsid w:val="00514FA3"/>
    <w:rsid w:val="0051537F"/>
    <w:rsid w:val="00515C93"/>
    <w:rsid w:val="00516CBD"/>
    <w:rsid w:val="00516EC3"/>
    <w:rsid w:val="005208F8"/>
    <w:rsid w:val="0052172C"/>
    <w:rsid w:val="00524638"/>
    <w:rsid w:val="00524669"/>
    <w:rsid w:val="005257BF"/>
    <w:rsid w:val="00525A4D"/>
    <w:rsid w:val="00525B93"/>
    <w:rsid w:val="005264D1"/>
    <w:rsid w:val="00526558"/>
    <w:rsid w:val="005273BE"/>
    <w:rsid w:val="00527715"/>
    <w:rsid w:val="0053000D"/>
    <w:rsid w:val="0053092C"/>
    <w:rsid w:val="00530BED"/>
    <w:rsid w:val="00531BCC"/>
    <w:rsid w:val="00531D02"/>
    <w:rsid w:val="005343D2"/>
    <w:rsid w:val="00534DAC"/>
    <w:rsid w:val="0053771B"/>
    <w:rsid w:val="00540FFA"/>
    <w:rsid w:val="0054161F"/>
    <w:rsid w:val="00541C82"/>
    <w:rsid w:val="0054217B"/>
    <w:rsid w:val="005425F2"/>
    <w:rsid w:val="005428AD"/>
    <w:rsid w:val="00542A18"/>
    <w:rsid w:val="00542AE6"/>
    <w:rsid w:val="00542B22"/>
    <w:rsid w:val="00542F8F"/>
    <w:rsid w:val="005437EF"/>
    <w:rsid w:val="00544FF5"/>
    <w:rsid w:val="00545517"/>
    <w:rsid w:val="005468EC"/>
    <w:rsid w:val="00546B84"/>
    <w:rsid w:val="00547178"/>
    <w:rsid w:val="00547587"/>
    <w:rsid w:val="00554657"/>
    <w:rsid w:val="0055563E"/>
    <w:rsid w:val="0055565C"/>
    <w:rsid w:val="005564D8"/>
    <w:rsid w:val="00556C7C"/>
    <w:rsid w:val="00557118"/>
    <w:rsid w:val="00561260"/>
    <w:rsid w:val="00561DC7"/>
    <w:rsid w:val="00564332"/>
    <w:rsid w:val="00565524"/>
    <w:rsid w:val="00565814"/>
    <w:rsid w:val="005665DE"/>
    <w:rsid w:val="00566F4F"/>
    <w:rsid w:val="00571340"/>
    <w:rsid w:val="00574B63"/>
    <w:rsid w:val="00574D72"/>
    <w:rsid w:val="00575053"/>
    <w:rsid w:val="005756A0"/>
    <w:rsid w:val="005764AC"/>
    <w:rsid w:val="00576554"/>
    <w:rsid w:val="0057709A"/>
    <w:rsid w:val="00577FE0"/>
    <w:rsid w:val="00582834"/>
    <w:rsid w:val="00582DC9"/>
    <w:rsid w:val="00583B38"/>
    <w:rsid w:val="00584362"/>
    <w:rsid w:val="0058460D"/>
    <w:rsid w:val="00584A16"/>
    <w:rsid w:val="00584B07"/>
    <w:rsid w:val="005861E5"/>
    <w:rsid w:val="005866DB"/>
    <w:rsid w:val="005869E7"/>
    <w:rsid w:val="00586DC0"/>
    <w:rsid w:val="0059031C"/>
    <w:rsid w:val="00590D29"/>
    <w:rsid w:val="00591669"/>
    <w:rsid w:val="00591E91"/>
    <w:rsid w:val="00593B8F"/>
    <w:rsid w:val="00594851"/>
    <w:rsid w:val="00595644"/>
    <w:rsid w:val="005974A5"/>
    <w:rsid w:val="005A0616"/>
    <w:rsid w:val="005A14FE"/>
    <w:rsid w:val="005A2A78"/>
    <w:rsid w:val="005A5220"/>
    <w:rsid w:val="005A5952"/>
    <w:rsid w:val="005A703A"/>
    <w:rsid w:val="005A7CE7"/>
    <w:rsid w:val="005B0697"/>
    <w:rsid w:val="005B1B78"/>
    <w:rsid w:val="005B1BEE"/>
    <w:rsid w:val="005B2666"/>
    <w:rsid w:val="005B2FD3"/>
    <w:rsid w:val="005B32AC"/>
    <w:rsid w:val="005B3BF9"/>
    <w:rsid w:val="005B5E0A"/>
    <w:rsid w:val="005B68D7"/>
    <w:rsid w:val="005C2132"/>
    <w:rsid w:val="005C2404"/>
    <w:rsid w:val="005C2C4E"/>
    <w:rsid w:val="005C2E67"/>
    <w:rsid w:val="005C3337"/>
    <w:rsid w:val="005C44D8"/>
    <w:rsid w:val="005C4F5B"/>
    <w:rsid w:val="005C60FB"/>
    <w:rsid w:val="005C6436"/>
    <w:rsid w:val="005C64E2"/>
    <w:rsid w:val="005C6EB9"/>
    <w:rsid w:val="005D02A2"/>
    <w:rsid w:val="005D18AA"/>
    <w:rsid w:val="005D2306"/>
    <w:rsid w:val="005D40B1"/>
    <w:rsid w:val="005D46D9"/>
    <w:rsid w:val="005D497E"/>
    <w:rsid w:val="005D4BFB"/>
    <w:rsid w:val="005D5953"/>
    <w:rsid w:val="005D5BDB"/>
    <w:rsid w:val="005D78BC"/>
    <w:rsid w:val="005E2343"/>
    <w:rsid w:val="005E321D"/>
    <w:rsid w:val="005E3BB0"/>
    <w:rsid w:val="005E40D3"/>
    <w:rsid w:val="005E44A9"/>
    <w:rsid w:val="005E4658"/>
    <w:rsid w:val="005E551A"/>
    <w:rsid w:val="005E6AA8"/>
    <w:rsid w:val="005E6C1C"/>
    <w:rsid w:val="005E79DD"/>
    <w:rsid w:val="005E7BD2"/>
    <w:rsid w:val="005E7F31"/>
    <w:rsid w:val="005F2EC5"/>
    <w:rsid w:val="005F316C"/>
    <w:rsid w:val="005F367C"/>
    <w:rsid w:val="005F3A00"/>
    <w:rsid w:val="005F3FBF"/>
    <w:rsid w:val="005F45B2"/>
    <w:rsid w:val="005F48D3"/>
    <w:rsid w:val="005F5C0D"/>
    <w:rsid w:val="005F5C4C"/>
    <w:rsid w:val="005F6874"/>
    <w:rsid w:val="005F7DB7"/>
    <w:rsid w:val="005F7DD0"/>
    <w:rsid w:val="006013BA"/>
    <w:rsid w:val="006021E8"/>
    <w:rsid w:val="00602B22"/>
    <w:rsid w:val="006030EF"/>
    <w:rsid w:val="00603422"/>
    <w:rsid w:val="00604357"/>
    <w:rsid w:val="0060607D"/>
    <w:rsid w:val="006068E7"/>
    <w:rsid w:val="00607EFA"/>
    <w:rsid w:val="006109EE"/>
    <w:rsid w:val="00611941"/>
    <w:rsid w:val="00613FDF"/>
    <w:rsid w:val="00616695"/>
    <w:rsid w:val="00617AD8"/>
    <w:rsid w:val="006205ED"/>
    <w:rsid w:val="00620F01"/>
    <w:rsid w:val="00621E98"/>
    <w:rsid w:val="00622B41"/>
    <w:rsid w:val="00622E51"/>
    <w:rsid w:val="00623E4D"/>
    <w:rsid w:val="00625B62"/>
    <w:rsid w:val="00626DA1"/>
    <w:rsid w:val="006275AC"/>
    <w:rsid w:val="0062790F"/>
    <w:rsid w:val="00627E0D"/>
    <w:rsid w:val="00630583"/>
    <w:rsid w:val="006305DE"/>
    <w:rsid w:val="00631A80"/>
    <w:rsid w:val="00631D96"/>
    <w:rsid w:val="00632751"/>
    <w:rsid w:val="006335B0"/>
    <w:rsid w:val="00633B8B"/>
    <w:rsid w:val="00634083"/>
    <w:rsid w:val="00634123"/>
    <w:rsid w:val="00634DC3"/>
    <w:rsid w:val="006367F6"/>
    <w:rsid w:val="00636DC7"/>
    <w:rsid w:val="00637766"/>
    <w:rsid w:val="00641865"/>
    <w:rsid w:val="006422CF"/>
    <w:rsid w:val="00643331"/>
    <w:rsid w:val="0064349F"/>
    <w:rsid w:val="006436EF"/>
    <w:rsid w:val="00644CE6"/>
    <w:rsid w:val="00644D43"/>
    <w:rsid w:val="0064529F"/>
    <w:rsid w:val="00646CFA"/>
    <w:rsid w:val="00647B42"/>
    <w:rsid w:val="00650921"/>
    <w:rsid w:val="00650EFD"/>
    <w:rsid w:val="00652262"/>
    <w:rsid w:val="00652910"/>
    <w:rsid w:val="00652926"/>
    <w:rsid w:val="0065488C"/>
    <w:rsid w:val="006549A6"/>
    <w:rsid w:val="006564C5"/>
    <w:rsid w:val="00656D35"/>
    <w:rsid w:val="006611AB"/>
    <w:rsid w:val="00661243"/>
    <w:rsid w:val="0066124B"/>
    <w:rsid w:val="00661931"/>
    <w:rsid w:val="00661B56"/>
    <w:rsid w:val="0066537E"/>
    <w:rsid w:val="00665667"/>
    <w:rsid w:val="00665942"/>
    <w:rsid w:val="00670DA4"/>
    <w:rsid w:val="00671FAA"/>
    <w:rsid w:val="0068117C"/>
    <w:rsid w:val="00681527"/>
    <w:rsid w:val="00681F57"/>
    <w:rsid w:val="00682D71"/>
    <w:rsid w:val="00684D7E"/>
    <w:rsid w:val="00685649"/>
    <w:rsid w:val="00687A65"/>
    <w:rsid w:val="00690A88"/>
    <w:rsid w:val="00690EA1"/>
    <w:rsid w:val="00690F9F"/>
    <w:rsid w:val="00692589"/>
    <w:rsid w:val="006926C3"/>
    <w:rsid w:val="00693173"/>
    <w:rsid w:val="00693D5D"/>
    <w:rsid w:val="00693D7F"/>
    <w:rsid w:val="006943FB"/>
    <w:rsid w:val="00694E06"/>
    <w:rsid w:val="00695BBD"/>
    <w:rsid w:val="0069655F"/>
    <w:rsid w:val="00696A2A"/>
    <w:rsid w:val="00696EB0"/>
    <w:rsid w:val="0069718D"/>
    <w:rsid w:val="006A0B33"/>
    <w:rsid w:val="006A20B0"/>
    <w:rsid w:val="006A21D5"/>
    <w:rsid w:val="006A3486"/>
    <w:rsid w:val="006A36D8"/>
    <w:rsid w:val="006A4A5F"/>
    <w:rsid w:val="006A5FA7"/>
    <w:rsid w:val="006A7DBF"/>
    <w:rsid w:val="006B1C46"/>
    <w:rsid w:val="006B2518"/>
    <w:rsid w:val="006B48C0"/>
    <w:rsid w:val="006B49A5"/>
    <w:rsid w:val="006B67C4"/>
    <w:rsid w:val="006B7714"/>
    <w:rsid w:val="006B7BD8"/>
    <w:rsid w:val="006C0244"/>
    <w:rsid w:val="006C13F2"/>
    <w:rsid w:val="006C1658"/>
    <w:rsid w:val="006C1748"/>
    <w:rsid w:val="006C1C0D"/>
    <w:rsid w:val="006C2912"/>
    <w:rsid w:val="006C33A0"/>
    <w:rsid w:val="006C34FE"/>
    <w:rsid w:val="006C3951"/>
    <w:rsid w:val="006D0B3D"/>
    <w:rsid w:val="006D0B6D"/>
    <w:rsid w:val="006D0FF7"/>
    <w:rsid w:val="006D1051"/>
    <w:rsid w:val="006D202D"/>
    <w:rsid w:val="006D31FC"/>
    <w:rsid w:val="006D328E"/>
    <w:rsid w:val="006D3F2E"/>
    <w:rsid w:val="006D4757"/>
    <w:rsid w:val="006D4939"/>
    <w:rsid w:val="006D56E2"/>
    <w:rsid w:val="006D604E"/>
    <w:rsid w:val="006E0724"/>
    <w:rsid w:val="006E0A6B"/>
    <w:rsid w:val="006E0DBE"/>
    <w:rsid w:val="006E1A48"/>
    <w:rsid w:val="006E2EAA"/>
    <w:rsid w:val="006E442B"/>
    <w:rsid w:val="006E50E2"/>
    <w:rsid w:val="006E5DB8"/>
    <w:rsid w:val="006E6F58"/>
    <w:rsid w:val="006E70FB"/>
    <w:rsid w:val="006F19D0"/>
    <w:rsid w:val="006F1A9E"/>
    <w:rsid w:val="006F1D9A"/>
    <w:rsid w:val="006F38BD"/>
    <w:rsid w:val="006F6BAD"/>
    <w:rsid w:val="006F7F47"/>
    <w:rsid w:val="007019E6"/>
    <w:rsid w:val="00702547"/>
    <w:rsid w:val="0070295E"/>
    <w:rsid w:val="00702FCD"/>
    <w:rsid w:val="00705007"/>
    <w:rsid w:val="0070555F"/>
    <w:rsid w:val="0070579F"/>
    <w:rsid w:val="007058B8"/>
    <w:rsid w:val="00706857"/>
    <w:rsid w:val="007069CF"/>
    <w:rsid w:val="00707610"/>
    <w:rsid w:val="00707C9E"/>
    <w:rsid w:val="00707F29"/>
    <w:rsid w:val="00707FC8"/>
    <w:rsid w:val="0071290A"/>
    <w:rsid w:val="007133F4"/>
    <w:rsid w:val="007134A1"/>
    <w:rsid w:val="00713BFE"/>
    <w:rsid w:val="00714A5C"/>
    <w:rsid w:val="0071570D"/>
    <w:rsid w:val="00715E46"/>
    <w:rsid w:val="00715FD8"/>
    <w:rsid w:val="007162D2"/>
    <w:rsid w:val="00717229"/>
    <w:rsid w:val="00717E97"/>
    <w:rsid w:val="00720031"/>
    <w:rsid w:val="00720B30"/>
    <w:rsid w:val="00721F08"/>
    <w:rsid w:val="007223ED"/>
    <w:rsid w:val="0072350C"/>
    <w:rsid w:val="00723E55"/>
    <w:rsid w:val="007244DD"/>
    <w:rsid w:val="00724BD7"/>
    <w:rsid w:val="00724F42"/>
    <w:rsid w:val="00725203"/>
    <w:rsid w:val="007263EE"/>
    <w:rsid w:val="0072654F"/>
    <w:rsid w:val="00726BA0"/>
    <w:rsid w:val="00726F5D"/>
    <w:rsid w:val="00727553"/>
    <w:rsid w:val="00733E26"/>
    <w:rsid w:val="0073452D"/>
    <w:rsid w:val="00734E8B"/>
    <w:rsid w:val="00734FD2"/>
    <w:rsid w:val="00735DBE"/>
    <w:rsid w:val="00736CB2"/>
    <w:rsid w:val="007370DA"/>
    <w:rsid w:val="007400B1"/>
    <w:rsid w:val="007404BE"/>
    <w:rsid w:val="00740B77"/>
    <w:rsid w:val="00740DE5"/>
    <w:rsid w:val="007412B2"/>
    <w:rsid w:val="00741964"/>
    <w:rsid w:val="007424C5"/>
    <w:rsid w:val="0074252E"/>
    <w:rsid w:val="00743502"/>
    <w:rsid w:val="007439E5"/>
    <w:rsid w:val="00743B51"/>
    <w:rsid w:val="007447D0"/>
    <w:rsid w:val="00744BD4"/>
    <w:rsid w:val="0074520F"/>
    <w:rsid w:val="007454A3"/>
    <w:rsid w:val="007456EA"/>
    <w:rsid w:val="007474D9"/>
    <w:rsid w:val="007507AB"/>
    <w:rsid w:val="00750978"/>
    <w:rsid w:val="0075122A"/>
    <w:rsid w:val="007520E3"/>
    <w:rsid w:val="007526D9"/>
    <w:rsid w:val="007537C9"/>
    <w:rsid w:val="00753935"/>
    <w:rsid w:val="00753A9F"/>
    <w:rsid w:val="007552AD"/>
    <w:rsid w:val="00755715"/>
    <w:rsid w:val="007578AE"/>
    <w:rsid w:val="00757F2D"/>
    <w:rsid w:val="00760A29"/>
    <w:rsid w:val="007616D4"/>
    <w:rsid w:val="007639B1"/>
    <w:rsid w:val="00763D99"/>
    <w:rsid w:val="00764300"/>
    <w:rsid w:val="00764D0F"/>
    <w:rsid w:val="00765689"/>
    <w:rsid w:val="00766B27"/>
    <w:rsid w:val="00767F52"/>
    <w:rsid w:val="00771ADC"/>
    <w:rsid w:val="00772F99"/>
    <w:rsid w:val="007751CA"/>
    <w:rsid w:val="007759B0"/>
    <w:rsid w:val="00775F90"/>
    <w:rsid w:val="00776512"/>
    <w:rsid w:val="0077663A"/>
    <w:rsid w:val="007771D9"/>
    <w:rsid w:val="00777A2A"/>
    <w:rsid w:val="00780A4F"/>
    <w:rsid w:val="007817CB"/>
    <w:rsid w:val="00781E59"/>
    <w:rsid w:val="007843FF"/>
    <w:rsid w:val="0078631D"/>
    <w:rsid w:val="00786C3D"/>
    <w:rsid w:val="0078701F"/>
    <w:rsid w:val="00791249"/>
    <w:rsid w:val="00794E5A"/>
    <w:rsid w:val="007955B6"/>
    <w:rsid w:val="007967D7"/>
    <w:rsid w:val="00796DE9"/>
    <w:rsid w:val="00797EFB"/>
    <w:rsid w:val="007A1BD2"/>
    <w:rsid w:val="007A2044"/>
    <w:rsid w:val="007A32CA"/>
    <w:rsid w:val="007A4077"/>
    <w:rsid w:val="007A4B66"/>
    <w:rsid w:val="007A58F7"/>
    <w:rsid w:val="007A5E7F"/>
    <w:rsid w:val="007A6104"/>
    <w:rsid w:val="007A6F9D"/>
    <w:rsid w:val="007A75A1"/>
    <w:rsid w:val="007B1844"/>
    <w:rsid w:val="007B2991"/>
    <w:rsid w:val="007B29FB"/>
    <w:rsid w:val="007B2D1B"/>
    <w:rsid w:val="007B3A16"/>
    <w:rsid w:val="007B4440"/>
    <w:rsid w:val="007B57D4"/>
    <w:rsid w:val="007C07D4"/>
    <w:rsid w:val="007C0BB5"/>
    <w:rsid w:val="007C0F0E"/>
    <w:rsid w:val="007C1B45"/>
    <w:rsid w:val="007C3D5E"/>
    <w:rsid w:val="007C5ABB"/>
    <w:rsid w:val="007C6120"/>
    <w:rsid w:val="007C79CA"/>
    <w:rsid w:val="007C7ABE"/>
    <w:rsid w:val="007D1502"/>
    <w:rsid w:val="007D158D"/>
    <w:rsid w:val="007D19BF"/>
    <w:rsid w:val="007D1CBA"/>
    <w:rsid w:val="007D25E5"/>
    <w:rsid w:val="007D5107"/>
    <w:rsid w:val="007D530E"/>
    <w:rsid w:val="007D67F4"/>
    <w:rsid w:val="007D682B"/>
    <w:rsid w:val="007E06C0"/>
    <w:rsid w:val="007E0DDF"/>
    <w:rsid w:val="007E3256"/>
    <w:rsid w:val="007E39D2"/>
    <w:rsid w:val="007E6230"/>
    <w:rsid w:val="007E62A2"/>
    <w:rsid w:val="007E665A"/>
    <w:rsid w:val="007E6900"/>
    <w:rsid w:val="007E7AB1"/>
    <w:rsid w:val="007F08A9"/>
    <w:rsid w:val="007F08CF"/>
    <w:rsid w:val="007F0DB1"/>
    <w:rsid w:val="007F1845"/>
    <w:rsid w:val="007F1C67"/>
    <w:rsid w:val="007F29E2"/>
    <w:rsid w:val="007F3A7C"/>
    <w:rsid w:val="007F4BA6"/>
    <w:rsid w:val="007F51A3"/>
    <w:rsid w:val="007F543C"/>
    <w:rsid w:val="007F5E25"/>
    <w:rsid w:val="007F6745"/>
    <w:rsid w:val="007F72FE"/>
    <w:rsid w:val="007F7507"/>
    <w:rsid w:val="00800AB2"/>
    <w:rsid w:val="00800ED6"/>
    <w:rsid w:val="00801CCB"/>
    <w:rsid w:val="0080250B"/>
    <w:rsid w:val="008051FB"/>
    <w:rsid w:val="00805621"/>
    <w:rsid w:val="00806CB0"/>
    <w:rsid w:val="0080791D"/>
    <w:rsid w:val="00810482"/>
    <w:rsid w:val="008122C5"/>
    <w:rsid w:val="00812961"/>
    <w:rsid w:val="00814563"/>
    <w:rsid w:val="00814BCA"/>
    <w:rsid w:val="00814DDD"/>
    <w:rsid w:val="008153BD"/>
    <w:rsid w:val="00815D35"/>
    <w:rsid w:val="0081797C"/>
    <w:rsid w:val="00817B2E"/>
    <w:rsid w:val="00817E6C"/>
    <w:rsid w:val="0082039C"/>
    <w:rsid w:val="00820DC1"/>
    <w:rsid w:val="00822C6A"/>
    <w:rsid w:val="008253E8"/>
    <w:rsid w:val="00826D6C"/>
    <w:rsid w:val="00830822"/>
    <w:rsid w:val="00831E4B"/>
    <w:rsid w:val="00831E58"/>
    <w:rsid w:val="008321A5"/>
    <w:rsid w:val="00833BF2"/>
    <w:rsid w:val="0083455E"/>
    <w:rsid w:val="00835D70"/>
    <w:rsid w:val="00837866"/>
    <w:rsid w:val="00840831"/>
    <w:rsid w:val="00840A65"/>
    <w:rsid w:val="00843964"/>
    <w:rsid w:val="008439D7"/>
    <w:rsid w:val="00844C87"/>
    <w:rsid w:val="00845E7A"/>
    <w:rsid w:val="00847598"/>
    <w:rsid w:val="00850BD1"/>
    <w:rsid w:val="008512BB"/>
    <w:rsid w:val="00852DC5"/>
    <w:rsid w:val="0085423E"/>
    <w:rsid w:val="0085692D"/>
    <w:rsid w:val="0085693E"/>
    <w:rsid w:val="00857AB1"/>
    <w:rsid w:val="008607E9"/>
    <w:rsid w:val="008613E3"/>
    <w:rsid w:val="008615FE"/>
    <w:rsid w:val="008636D2"/>
    <w:rsid w:val="0086618B"/>
    <w:rsid w:val="008668D9"/>
    <w:rsid w:val="008676B4"/>
    <w:rsid w:val="008703C5"/>
    <w:rsid w:val="0087089A"/>
    <w:rsid w:val="00870C13"/>
    <w:rsid w:val="00870D19"/>
    <w:rsid w:val="00872214"/>
    <w:rsid w:val="0087329E"/>
    <w:rsid w:val="00875747"/>
    <w:rsid w:val="00875C4A"/>
    <w:rsid w:val="00875FE3"/>
    <w:rsid w:val="00876052"/>
    <w:rsid w:val="008762A9"/>
    <w:rsid w:val="00876AC8"/>
    <w:rsid w:val="0088046E"/>
    <w:rsid w:val="00880587"/>
    <w:rsid w:val="00882ABB"/>
    <w:rsid w:val="00884B01"/>
    <w:rsid w:val="0088506F"/>
    <w:rsid w:val="00885399"/>
    <w:rsid w:val="008858AA"/>
    <w:rsid w:val="0088651E"/>
    <w:rsid w:val="00887CF9"/>
    <w:rsid w:val="00891A14"/>
    <w:rsid w:val="00891DFA"/>
    <w:rsid w:val="0089258B"/>
    <w:rsid w:val="008937FF"/>
    <w:rsid w:val="00894BE1"/>
    <w:rsid w:val="00897281"/>
    <w:rsid w:val="008979BC"/>
    <w:rsid w:val="008A09E1"/>
    <w:rsid w:val="008A0AD2"/>
    <w:rsid w:val="008A0E0C"/>
    <w:rsid w:val="008A23B1"/>
    <w:rsid w:val="008A3E7B"/>
    <w:rsid w:val="008A6513"/>
    <w:rsid w:val="008A6739"/>
    <w:rsid w:val="008A6AD1"/>
    <w:rsid w:val="008A6F20"/>
    <w:rsid w:val="008A7337"/>
    <w:rsid w:val="008B075B"/>
    <w:rsid w:val="008B16AA"/>
    <w:rsid w:val="008B2A31"/>
    <w:rsid w:val="008B30F9"/>
    <w:rsid w:val="008B34AE"/>
    <w:rsid w:val="008B54D3"/>
    <w:rsid w:val="008B5EFD"/>
    <w:rsid w:val="008B7DEB"/>
    <w:rsid w:val="008C047D"/>
    <w:rsid w:val="008C17E7"/>
    <w:rsid w:val="008C1D81"/>
    <w:rsid w:val="008C2388"/>
    <w:rsid w:val="008C31D8"/>
    <w:rsid w:val="008C4152"/>
    <w:rsid w:val="008C5107"/>
    <w:rsid w:val="008C68F8"/>
    <w:rsid w:val="008C7B9C"/>
    <w:rsid w:val="008C7CB9"/>
    <w:rsid w:val="008D1647"/>
    <w:rsid w:val="008D1B5A"/>
    <w:rsid w:val="008D2CC9"/>
    <w:rsid w:val="008D3415"/>
    <w:rsid w:val="008D3A43"/>
    <w:rsid w:val="008D4AA3"/>
    <w:rsid w:val="008D5149"/>
    <w:rsid w:val="008D57FE"/>
    <w:rsid w:val="008D62EF"/>
    <w:rsid w:val="008E0766"/>
    <w:rsid w:val="008E0F4F"/>
    <w:rsid w:val="008E10DF"/>
    <w:rsid w:val="008E1258"/>
    <w:rsid w:val="008E1798"/>
    <w:rsid w:val="008E3594"/>
    <w:rsid w:val="008E51CD"/>
    <w:rsid w:val="008E68A9"/>
    <w:rsid w:val="008E7504"/>
    <w:rsid w:val="008F0E9C"/>
    <w:rsid w:val="008F23D7"/>
    <w:rsid w:val="008F2884"/>
    <w:rsid w:val="008F2931"/>
    <w:rsid w:val="008F2B99"/>
    <w:rsid w:val="008F5609"/>
    <w:rsid w:val="008F730A"/>
    <w:rsid w:val="008F7D2F"/>
    <w:rsid w:val="00900214"/>
    <w:rsid w:val="00900598"/>
    <w:rsid w:val="009014A6"/>
    <w:rsid w:val="00903BE2"/>
    <w:rsid w:val="0090487F"/>
    <w:rsid w:val="0090568F"/>
    <w:rsid w:val="00905E28"/>
    <w:rsid w:val="00905FDC"/>
    <w:rsid w:val="009063F7"/>
    <w:rsid w:val="00906579"/>
    <w:rsid w:val="00910C52"/>
    <w:rsid w:val="00911802"/>
    <w:rsid w:val="00911FB6"/>
    <w:rsid w:val="00912632"/>
    <w:rsid w:val="00914F37"/>
    <w:rsid w:val="009154B0"/>
    <w:rsid w:val="0091642A"/>
    <w:rsid w:val="009179B3"/>
    <w:rsid w:val="00920739"/>
    <w:rsid w:val="0092373E"/>
    <w:rsid w:val="00923A09"/>
    <w:rsid w:val="0092416E"/>
    <w:rsid w:val="00924A54"/>
    <w:rsid w:val="00925F4F"/>
    <w:rsid w:val="00927F24"/>
    <w:rsid w:val="00930138"/>
    <w:rsid w:val="00930233"/>
    <w:rsid w:val="0093244A"/>
    <w:rsid w:val="009339B4"/>
    <w:rsid w:val="00936B80"/>
    <w:rsid w:val="00940D2B"/>
    <w:rsid w:val="00941A7B"/>
    <w:rsid w:val="00943644"/>
    <w:rsid w:val="009449B1"/>
    <w:rsid w:val="00951FD0"/>
    <w:rsid w:val="009523E2"/>
    <w:rsid w:val="00954B9D"/>
    <w:rsid w:val="00954D4D"/>
    <w:rsid w:val="00956AE6"/>
    <w:rsid w:val="00956ED0"/>
    <w:rsid w:val="009572E4"/>
    <w:rsid w:val="00957859"/>
    <w:rsid w:val="0096103B"/>
    <w:rsid w:val="009612A3"/>
    <w:rsid w:val="00961385"/>
    <w:rsid w:val="00961BF4"/>
    <w:rsid w:val="0096209B"/>
    <w:rsid w:val="009631F4"/>
    <w:rsid w:val="00963818"/>
    <w:rsid w:val="009638F5"/>
    <w:rsid w:val="00964D3E"/>
    <w:rsid w:val="009651D7"/>
    <w:rsid w:val="0097020C"/>
    <w:rsid w:val="00972560"/>
    <w:rsid w:val="009740E4"/>
    <w:rsid w:val="009747E6"/>
    <w:rsid w:val="009755DF"/>
    <w:rsid w:val="00977A0D"/>
    <w:rsid w:val="00977CD5"/>
    <w:rsid w:val="00980428"/>
    <w:rsid w:val="009805A2"/>
    <w:rsid w:val="00981096"/>
    <w:rsid w:val="0098293D"/>
    <w:rsid w:val="00983FB3"/>
    <w:rsid w:val="0098593D"/>
    <w:rsid w:val="00985A23"/>
    <w:rsid w:val="0098712D"/>
    <w:rsid w:val="00987AA6"/>
    <w:rsid w:val="00991255"/>
    <w:rsid w:val="00991FBA"/>
    <w:rsid w:val="009924A7"/>
    <w:rsid w:val="00992CD9"/>
    <w:rsid w:val="009930C1"/>
    <w:rsid w:val="00994E63"/>
    <w:rsid w:val="00997C00"/>
    <w:rsid w:val="00997F71"/>
    <w:rsid w:val="009A0E15"/>
    <w:rsid w:val="009A12D6"/>
    <w:rsid w:val="009A17F3"/>
    <w:rsid w:val="009A2101"/>
    <w:rsid w:val="009A31E3"/>
    <w:rsid w:val="009A3341"/>
    <w:rsid w:val="009A3B8A"/>
    <w:rsid w:val="009A5BA6"/>
    <w:rsid w:val="009A768C"/>
    <w:rsid w:val="009A7ADE"/>
    <w:rsid w:val="009B00CA"/>
    <w:rsid w:val="009B0648"/>
    <w:rsid w:val="009B1230"/>
    <w:rsid w:val="009B22EE"/>
    <w:rsid w:val="009B232D"/>
    <w:rsid w:val="009B2F62"/>
    <w:rsid w:val="009B5CC9"/>
    <w:rsid w:val="009B6C4A"/>
    <w:rsid w:val="009B6CCC"/>
    <w:rsid w:val="009B702C"/>
    <w:rsid w:val="009B76E2"/>
    <w:rsid w:val="009B7FCF"/>
    <w:rsid w:val="009C04BA"/>
    <w:rsid w:val="009C113F"/>
    <w:rsid w:val="009C27B0"/>
    <w:rsid w:val="009C2DF6"/>
    <w:rsid w:val="009C42DA"/>
    <w:rsid w:val="009C4CBC"/>
    <w:rsid w:val="009C5730"/>
    <w:rsid w:val="009C7DFD"/>
    <w:rsid w:val="009D0366"/>
    <w:rsid w:val="009D224D"/>
    <w:rsid w:val="009D2A0B"/>
    <w:rsid w:val="009D3BC8"/>
    <w:rsid w:val="009D5A0B"/>
    <w:rsid w:val="009D60C1"/>
    <w:rsid w:val="009D63B0"/>
    <w:rsid w:val="009D7DE5"/>
    <w:rsid w:val="009E03F2"/>
    <w:rsid w:val="009E0A9C"/>
    <w:rsid w:val="009E159A"/>
    <w:rsid w:val="009E1A07"/>
    <w:rsid w:val="009E28D5"/>
    <w:rsid w:val="009E4FAB"/>
    <w:rsid w:val="009E6FAD"/>
    <w:rsid w:val="009E7062"/>
    <w:rsid w:val="009E729F"/>
    <w:rsid w:val="009E7943"/>
    <w:rsid w:val="009E7DA7"/>
    <w:rsid w:val="009E7EC4"/>
    <w:rsid w:val="009F0A17"/>
    <w:rsid w:val="009F0FB2"/>
    <w:rsid w:val="009F20ED"/>
    <w:rsid w:val="009F2B21"/>
    <w:rsid w:val="009F48B0"/>
    <w:rsid w:val="009F5821"/>
    <w:rsid w:val="009F6786"/>
    <w:rsid w:val="009F678F"/>
    <w:rsid w:val="009F6FF0"/>
    <w:rsid w:val="009F7CAF"/>
    <w:rsid w:val="00A01553"/>
    <w:rsid w:val="00A056F5"/>
    <w:rsid w:val="00A06DFD"/>
    <w:rsid w:val="00A1090F"/>
    <w:rsid w:val="00A1276B"/>
    <w:rsid w:val="00A127A7"/>
    <w:rsid w:val="00A13702"/>
    <w:rsid w:val="00A13D36"/>
    <w:rsid w:val="00A14940"/>
    <w:rsid w:val="00A14A85"/>
    <w:rsid w:val="00A15EED"/>
    <w:rsid w:val="00A163F3"/>
    <w:rsid w:val="00A164E9"/>
    <w:rsid w:val="00A171BC"/>
    <w:rsid w:val="00A174A2"/>
    <w:rsid w:val="00A17BBA"/>
    <w:rsid w:val="00A21FDB"/>
    <w:rsid w:val="00A2269F"/>
    <w:rsid w:val="00A23085"/>
    <w:rsid w:val="00A241D8"/>
    <w:rsid w:val="00A25152"/>
    <w:rsid w:val="00A273E0"/>
    <w:rsid w:val="00A3085D"/>
    <w:rsid w:val="00A30A95"/>
    <w:rsid w:val="00A31014"/>
    <w:rsid w:val="00A31D3C"/>
    <w:rsid w:val="00A33164"/>
    <w:rsid w:val="00A334AF"/>
    <w:rsid w:val="00A335E8"/>
    <w:rsid w:val="00A339AF"/>
    <w:rsid w:val="00A34D72"/>
    <w:rsid w:val="00A3635E"/>
    <w:rsid w:val="00A36565"/>
    <w:rsid w:val="00A37AFC"/>
    <w:rsid w:val="00A4187D"/>
    <w:rsid w:val="00A41E07"/>
    <w:rsid w:val="00A44725"/>
    <w:rsid w:val="00A47344"/>
    <w:rsid w:val="00A473ED"/>
    <w:rsid w:val="00A478ED"/>
    <w:rsid w:val="00A504D5"/>
    <w:rsid w:val="00A5086A"/>
    <w:rsid w:val="00A50DAF"/>
    <w:rsid w:val="00A50E29"/>
    <w:rsid w:val="00A51867"/>
    <w:rsid w:val="00A53751"/>
    <w:rsid w:val="00A542B8"/>
    <w:rsid w:val="00A54970"/>
    <w:rsid w:val="00A54E1B"/>
    <w:rsid w:val="00A54EDF"/>
    <w:rsid w:val="00A56288"/>
    <w:rsid w:val="00A568CD"/>
    <w:rsid w:val="00A57B98"/>
    <w:rsid w:val="00A57C5E"/>
    <w:rsid w:val="00A60ADC"/>
    <w:rsid w:val="00A60F0F"/>
    <w:rsid w:val="00A62627"/>
    <w:rsid w:val="00A63247"/>
    <w:rsid w:val="00A63BD7"/>
    <w:rsid w:val="00A63BF5"/>
    <w:rsid w:val="00A648B6"/>
    <w:rsid w:val="00A6590F"/>
    <w:rsid w:val="00A7010C"/>
    <w:rsid w:val="00A71433"/>
    <w:rsid w:val="00A7152F"/>
    <w:rsid w:val="00A7187F"/>
    <w:rsid w:val="00A73487"/>
    <w:rsid w:val="00A73CF6"/>
    <w:rsid w:val="00A77769"/>
    <w:rsid w:val="00A77A5A"/>
    <w:rsid w:val="00A8025E"/>
    <w:rsid w:val="00A80E1F"/>
    <w:rsid w:val="00A81D4E"/>
    <w:rsid w:val="00A81FA7"/>
    <w:rsid w:val="00A82E14"/>
    <w:rsid w:val="00A83AC7"/>
    <w:rsid w:val="00A84DDF"/>
    <w:rsid w:val="00A84E39"/>
    <w:rsid w:val="00A85D35"/>
    <w:rsid w:val="00A86342"/>
    <w:rsid w:val="00A86664"/>
    <w:rsid w:val="00A869E3"/>
    <w:rsid w:val="00A91030"/>
    <w:rsid w:val="00A93EC0"/>
    <w:rsid w:val="00A94DF6"/>
    <w:rsid w:val="00A952FF"/>
    <w:rsid w:val="00A9634F"/>
    <w:rsid w:val="00A97BC6"/>
    <w:rsid w:val="00AA44D1"/>
    <w:rsid w:val="00AA5B2A"/>
    <w:rsid w:val="00AA61EC"/>
    <w:rsid w:val="00AA63A3"/>
    <w:rsid w:val="00AA6D7D"/>
    <w:rsid w:val="00AA6DC8"/>
    <w:rsid w:val="00AA6E0D"/>
    <w:rsid w:val="00AA7B43"/>
    <w:rsid w:val="00AA7DB7"/>
    <w:rsid w:val="00AB1A34"/>
    <w:rsid w:val="00AB2DE3"/>
    <w:rsid w:val="00AB3F8F"/>
    <w:rsid w:val="00AB3FC5"/>
    <w:rsid w:val="00AB5363"/>
    <w:rsid w:val="00AB667F"/>
    <w:rsid w:val="00AB6BFF"/>
    <w:rsid w:val="00AC006E"/>
    <w:rsid w:val="00AC01AD"/>
    <w:rsid w:val="00AC0431"/>
    <w:rsid w:val="00AC0ED9"/>
    <w:rsid w:val="00AC2042"/>
    <w:rsid w:val="00AC3249"/>
    <w:rsid w:val="00AC36A6"/>
    <w:rsid w:val="00AC3DA1"/>
    <w:rsid w:val="00AC4241"/>
    <w:rsid w:val="00AC5A5B"/>
    <w:rsid w:val="00AC5AC2"/>
    <w:rsid w:val="00AC6731"/>
    <w:rsid w:val="00AC7A22"/>
    <w:rsid w:val="00AC7B82"/>
    <w:rsid w:val="00AD0444"/>
    <w:rsid w:val="00AD139F"/>
    <w:rsid w:val="00AD13E4"/>
    <w:rsid w:val="00AD1919"/>
    <w:rsid w:val="00AD2D3A"/>
    <w:rsid w:val="00AD2DE1"/>
    <w:rsid w:val="00AD3554"/>
    <w:rsid w:val="00AD5980"/>
    <w:rsid w:val="00AE043B"/>
    <w:rsid w:val="00AE0F15"/>
    <w:rsid w:val="00AE35BD"/>
    <w:rsid w:val="00AE3D58"/>
    <w:rsid w:val="00AE4332"/>
    <w:rsid w:val="00AE58C8"/>
    <w:rsid w:val="00AE5F6D"/>
    <w:rsid w:val="00AE70A1"/>
    <w:rsid w:val="00AE731F"/>
    <w:rsid w:val="00AF076D"/>
    <w:rsid w:val="00AF1542"/>
    <w:rsid w:val="00AF195C"/>
    <w:rsid w:val="00B0080B"/>
    <w:rsid w:val="00B043BC"/>
    <w:rsid w:val="00B04B7E"/>
    <w:rsid w:val="00B0548D"/>
    <w:rsid w:val="00B05CAB"/>
    <w:rsid w:val="00B07042"/>
    <w:rsid w:val="00B07894"/>
    <w:rsid w:val="00B10352"/>
    <w:rsid w:val="00B11EC0"/>
    <w:rsid w:val="00B125E1"/>
    <w:rsid w:val="00B13397"/>
    <w:rsid w:val="00B135E6"/>
    <w:rsid w:val="00B14039"/>
    <w:rsid w:val="00B140C2"/>
    <w:rsid w:val="00B1460F"/>
    <w:rsid w:val="00B17334"/>
    <w:rsid w:val="00B211E7"/>
    <w:rsid w:val="00B213AD"/>
    <w:rsid w:val="00B220A6"/>
    <w:rsid w:val="00B22499"/>
    <w:rsid w:val="00B2266F"/>
    <w:rsid w:val="00B22795"/>
    <w:rsid w:val="00B22E73"/>
    <w:rsid w:val="00B23511"/>
    <w:rsid w:val="00B245FD"/>
    <w:rsid w:val="00B24C71"/>
    <w:rsid w:val="00B26D4A"/>
    <w:rsid w:val="00B26E5F"/>
    <w:rsid w:val="00B274A2"/>
    <w:rsid w:val="00B3158C"/>
    <w:rsid w:val="00B31C7B"/>
    <w:rsid w:val="00B32C15"/>
    <w:rsid w:val="00B33DC8"/>
    <w:rsid w:val="00B34AC5"/>
    <w:rsid w:val="00B363C6"/>
    <w:rsid w:val="00B365FF"/>
    <w:rsid w:val="00B36C2C"/>
    <w:rsid w:val="00B37125"/>
    <w:rsid w:val="00B3771B"/>
    <w:rsid w:val="00B37D3B"/>
    <w:rsid w:val="00B37EBE"/>
    <w:rsid w:val="00B40D43"/>
    <w:rsid w:val="00B41B57"/>
    <w:rsid w:val="00B42FDB"/>
    <w:rsid w:val="00B4356F"/>
    <w:rsid w:val="00B44B20"/>
    <w:rsid w:val="00B44B47"/>
    <w:rsid w:val="00B4648E"/>
    <w:rsid w:val="00B47744"/>
    <w:rsid w:val="00B47AE4"/>
    <w:rsid w:val="00B50573"/>
    <w:rsid w:val="00B538EC"/>
    <w:rsid w:val="00B54105"/>
    <w:rsid w:val="00B55F23"/>
    <w:rsid w:val="00B562E8"/>
    <w:rsid w:val="00B57169"/>
    <w:rsid w:val="00B60C54"/>
    <w:rsid w:val="00B6190D"/>
    <w:rsid w:val="00B62CFC"/>
    <w:rsid w:val="00B63CDD"/>
    <w:rsid w:val="00B6567B"/>
    <w:rsid w:val="00B6587F"/>
    <w:rsid w:val="00B6600E"/>
    <w:rsid w:val="00B704D5"/>
    <w:rsid w:val="00B70585"/>
    <w:rsid w:val="00B70D8A"/>
    <w:rsid w:val="00B71CE9"/>
    <w:rsid w:val="00B73C22"/>
    <w:rsid w:val="00B73C7B"/>
    <w:rsid w:val="00B74549"/>
    <w:rsid w:val="00B75BFC"/>
    <w:rsid w:val="00B76748"/>
    <w:rsid w:val="00B7758B"/>
    <w:rsid w:val="00B77962"/>
    <w:rsid w:val="00B779DC"/>
    <w:rsid w:val="00B804EB"/>
    <w:rsid w:val="00B80640"/>
    <w:rsid w:val="00B81030"/>
    <w:rsid w:val="00B81766"/>
    <w:rsid w:val="00B83FB6"/>
    <w:rsid w:val="00B83FD4"/>
    <w:rsid w:val="00B849C8"/>
    <w:rsid w:val="00B84D51"/>
    <w:rsid w:val="00B8559D"/>
    <w:rsid w:val="00B86B9E"/>
    <w:rsid w:val="00B87136"/>
    <w:rsid w:val="00B911C3"/>
    <w:rsid w:val="00B91AF0"/>
    <w:rsid w:val="00B941AE"/>
    <w:rsid w:val="00B95FF4"/>
    <w:rsid w:val="00BA058B"/>
    <w:rsid w:val="00BA0B82"/>
    <w:rsid w:val="00BA1260"/>
    <w:rsid w:val="00BA2CF2"/>
    <w:rsid w:val="00BA3A27"/>
    <w:rsid w:val="00BA3E4A"/>
    <w:rsid w:val="00BA4AD2"/>
    <w:rsid w:val="00BA6939"/>
    <w:rsid w:val="00BA6F11"/>
    <w:rsid w:val="00BA7107"/>
    <w:rsid w:val="00BA7D6D"/>
    <w:rsid w:val="00BB08FC"/>
    <w:rsid w:val="00BB2484"/>
    <w:rsid w:val="00BB255C"/>
    <w:rsid w:val="00BB40A7"/>
    <w:rsid w:val="00BB4A7D"/>
    <w:rsid w:val="00BB4C9F"/>
    <w:rsid w:val="00BB4F01"/>
    <w:rsid w:val="00BB5F1C"/>
    <w:rsid w:val="00BB626D"/>
    <w:rsid w:val="00BB75E6"/>
    <w:rsid w:val="00BC01A1"/>
    <w:rsid w:val="00BC050E"/>
    <w:rsid w:val="00BC1333"/>
    <w:rsid w:val="00BC4AA7"/>
    <w:rsid w:val="00BC61AE"/>
    <w:rsid w:val="00BD00B0"/>
    <w:rsid w:val="00BD03AE"/>
    <w:rsid w:val="00BD1913"/>
    <w:rsid w:val="00BD28F2"/>
    <w:rsid w:val="00BD35AF"/>
    <w:rsid w:val="00BD37EA"/>
    <w:rsid w:val="00BD70C9"/>
    <w:rsid w:val="00BD72E6"/>
    <w:rsid w:val="00BE0A82"/>
    <w:rsid w:val="00BE0BB7"/>
    <w:rsid w:val="00BE0C43"/>
    <w:rsid w:val="00BE1154"/>
    <w:rsid w:val="00BE213D"/>
    <w:rsid w:val="00BE220F"/>
    <w:rsid w:val="00BE2236"/>
    <w:rsid w:val="00BE4066"/>
    <w:rsid w:val="00BE4EE4"/>
    <w:rsid w:val="00BE5678"/>
    <w:rsid w:val="00BE63A7"/>
    <w:rsid w:val="00BE7350"/>
    <w:rsid w:val="00BF08FD"/>
    <w:rsid w:val="00BF0B79"/>
    <w:rsid w:val="00BF13C6"/>
    <w:rsid w:val="00BF2946"/>
    <w:rsid w:val="00BF3C31"/>
    <w:rsid w:val="00BF3E36"/>
    <w:rsid w:val="00BF491D"/>
    <w:rsid w:val="00BF54F5"/>
    <w:rsid w:val="00C020BB"/>
    <w:rsid w:val="00C02589"/>
    <w:rsid w:val="00C037D8"/>
    <w:rsid w:val="00C03AF0"/>
    <w:rsid w:val="00C07336"/>
    <w:rsid w:val="00C1105E"/>
    <w:rsid w:val="00C1122D"/>
    <w:rsid w:val="00C1609C"/>
    <w:rsid w:val="00C16FD0"/>
    <w:rsid w:val="00C1713C"/>
    <w:rsid w:val="00C20995"/>
    <w:rsid w:val="00C23979"/>
    <w:rsid w:val="00C241E8"/>
    <w:rsid w:val="00C24538"/>
    <w:rsid w:val="00C269DF"/>
    <w:rsid w:val="00C32B33"/>
    <w:rsid w:val="00C343DD"/>
    <w:rsid w:val="00C35918"/>
    <w:rsid w:val="00C35A1D"/>
    <w:rsid w:val="00C4066D"/>
    <w:rsid w:val="00C418E1"/>
    <w:rsid w:val="00C42756"/>
    <w:rsid w:val="00C438A7"/>
    <w:rsid w:val="00C4499D"/>
    <w:rsid w:val="00C44EC1"/>
    <w:rsid w:val="00C46BF4"/>
    <w:rsid w:val="00C47CF1"/>
    <w:rsid w:val="00C5066A"/>
    <w:rsid w:val="00C514D8"/>
    <w:rsid w:val="00C54251"/>
    <w:rsid w:val="00C55201"/>
    <w:rsid w:val="00C568DA"/>
    <w:rsid w:val="00C56D1C"/>
    <w:rsid w:val="00C61ED7"/>
    <w:rsid w:val="00C63705"/>
    <w:rsid w:val="00C64B85"/>
    <w:rsid w:val="00C6519C"/>
    <w:rsid w:val="00C660FA"/>
    <w:rsid w:val="00C66540"/>
    <w:rsid w:val="00C66BB9"/>
    <w:rsid w:val="00C708D1"/>
    <w:rsid w:val="00C71CEE"/>
    <w:rsid w:val="00C7326E"/>
    <w:rsid w:val="00C737C7"/>
    <w:rsid w:val="00C7487E"/>
    <w:rsid w:val="00C74F42"/>
    <w:rsid w:val="00C76D97"/>
    <w:rsid w:val="00C76F8D"/>
    <w:rsid w:val="00C776DD"/>
    <w:rsid w:val="00C80663"/>
    <w:rsid w:val="00C80754"/>
    <w:rsid w:val="00C81602"/>
    <w:rsid w:val="00C90437"/>
    <w:rsid w:val="00C92830"/>
    <w:rsid w:val="00C92BF7"/>
    <w:rsid w:val="00C9335D"/>
    <w:rsid w:val="00C93493"/>
    <w:rsid w:val="00C93EF1"/>
    <w:rsid w:val="00C943F5"/>
    <w:rsid w:val="00C947C7"/>
    <w:rsid w:val="00C95CAB"/>
    <w:rsid w:val="00C961C4"/>
    <w:rsid w:val="00C96B9A"/>
    <w:rsid w:val="00C96DC5"/>
    <w:rsid w:val="00C96F44"/>
    <w:rsid w:val="00C975D5"/>
    <w:rsid w:val="00C97BB6"/>
    <w:rsid w:val="00CA0094"/>
    <w:rsid w:val="00CA0974"/>
    <w:rsid w:val="00CA2320"/>
    <w:rsid w:val="00CA3546"/>
    <w:rsid w:val="00CA6A9E"/>
    <w:rsid w:val="00CA7B29"/>
    <w:rsid w:val="00CB043A"/>
    <w:rsid w:val="00CB1061"/>
    <w:rsid w:val="00CB1BED"/>
    <w:rsid w:val="00CB21A7"/>
    <w:rsid w:val="00CB42A3"/>
    <w:rsid w:val="00CB7848"/>
    <w:rsid w:val="00CB7A91"/>
    <w:rsid w:val="00CC16EF"/>
    <w:rsid w:val="00CC21FB"/>
    <w:rsid w:val="00CC25AD"/>
    <w:rsid w:val="00CC36E9"/>
    <w:rsid w:val="00CC5988"/>
    <w:rsid w:val="00CC65B4"/>
    <w:rsid w:val="00CC67DB"/>
    <w:rsid w:val="00CD0232"/>
    <w:rsid w:val="00CD02BE"/>
    <w:rsid w:val="00CD0C82"/>
    <w:rsid w:val="00CD1534"/>
    <w:rsid w:val="00CD1956"/>
    <w:rsid w:val="00CD2967"/>
    <w:rsid w:val="00CD3D58"/>
    <w:rsid w:val="00CD44F4"/>
    <w:rsid w:val="00CD494B"/>
    <w:rsid w:val="00CD6A04"/>
    <w:rsid w:val="00CD6B99"/>
    <w:rsid w:val="00CE03B9"/>
    <w:rsid w:val="00CE3584"/>
    <w:rsid w:val="00CE4642"/>
    <w:rsid w:val="00CE518C"/>
    <w:rsid w:val="00CE788A"/>
    <w:rsid w:val="00CE7ECE"/>
    <w:rsid w:val="00CF0F9D"/>
    <w:rsid w:val="00CF1AF9"/>
    <w:rsid w:val="00CF28C7"/>
    <w:rsid w:val="00CF2A02"/>
    <w:rsid w:val="00CF4027"/>
    <w:rsid w:val="00CF4BD0"/>
    <w:rsid w:val="00CF5A05"/>
    <w:rsid w:val="00CF684D"/>
    <w:rsid w:val="00CF6B79"/>
    <w:rsid w:val="00CF6D6F"/>
    <w:rsid w:val="00CF6F47"/>
    <w:rsid w:val="00CF71D6"/>
    <w:rsid w:val="00CF72D3"/>
    <w:rsid w:val="00CF7B74"/>
    <w:rsid w:val="00CF7BF1"/>
    <w:rsid w:val="00D00713"/>
    <w:rsid w:val="00D009E8"/>
    <w:rsid w:val="00D01292"/>
    <w:rsid w:val="00D02259"/>
    <w:rsid w:val="00D025C9"/>
    <w:rsid w:val="00D02B50"/>
    <w:rsid w:val="00D04AB9"/>
    <w:rsid w:val="00D04DA2"/>
    <w:rsid w:val="00D05409"/>
    <w:rsid w:val="00D05D7D"/>
    <w:rsid w:val="00D062FC"/>
    <w:rsid w:val="00D1034F"/>
    <w:rsid w:val="00D106F9"/>
    <w:rsid w:val="00D10702"/>
    <w:rsid w:val="00D11127"/>
    <w:rsid w:val="00D11FB2"/>
    <w:rsid w:val="00D12560"/>
    <w:rsid w:val="00D138EC"/>
    <w:rsid w:val="00D13C65"/>
    <w:rsid w:val="00D13EB7"/>
    <w:rsid w:val="00D156F9"/>
    <w:rsid w:val="00D1597A"/>
    <w:rsid w:val="00D15ADB"/>
    <w:rsid w:val="00D1639E"/>
    <w:rsid w:val="00D16B93"/>
    <w:rsid w:val="00D17CA5"/>
    <w:rsid w:val="00D205C7"/>
    <w:rsid w:val="00D2063D"/>
    <w:rsid w:val="00D2090A"/>
    <w:rsid w:val="00D22DB7"/>
    <w:rsid w:val="00D233BB"/>
    <w:rsid w:val="00D24C21"/>
    <w:rsid w:val="00D2501B"/>
    <w:rsid w:val="00D2738E"/>
    <w:rsid w:val="00D2795E"/>
    <w:rsid w:val="00D30494"/>
    <w:rsid w:val="00D30A80"/>
    <w:rsid w:val="00D31521"/>
    <w:rsid w:val="00D3362A"/>
    <w:rsid w:val="00D3426C"/>
    <w:rsid w:val="00D351D6"/>
    <w:rsid w:val="00D3630E"/>
    <w:rsid w:val="00D41C79"/>
    <w:rsid w:val="00D42BB8"/>
    <w:rsid w:val="00D42FCB"/>
    <w:rsid w:val="00D43F30"/>
    <w:rsid w:val="00D44749"/>
    <w:rsid w:val="00D44CDD"/>
    <w:rsid w:val="00D451F5"/>
    <w:rsid w:val="00D456C3"/>
    <w:rsid w:val="00D470AD"/>
    <w:rsid w:val="00D5042F"/>
    <w:rsid w:val="00D50586"/>
    <w:rsid w:val="00D51A65"/>
    <w:rsid w:val="00D52DEA"/>
    <w:rsid w:val="00D52F1B"/>
    <w:rsid w:val="00D52F9D"/>
    <w:rsid w:val="00D53C3D"/>
    <w:rsid w:val="00D546A4"/>
    <w:rsid w:val="00D55045"/>
    <w:rsid w:val="00D5535D"/>
    <w:rsid w:val="00D55563"/>
    <w:rsid w:val="00D5602E"/>
    <w:rsid w:val="00D560DF"/>
    <w:rsid w:val="00D56554"/>
    <w:rsid w:val="00D57C10"/>
    <w:rsid w:val="00D61E4F"/>
    <w:rsid w:val="00D6331E"/>
    <w:rsid w:val="00D63938"/>
    <w:rsid w:val="00D63A96"/>
    <w:rsid w:val="00D678A1"/>
    <w:rsid w:val="00D72369"/>
    <w:rsid w:val="00D73B6F"/>
    <w:rsid w:val="00D76417"/>
    <w:rsid w:val="00D77976"/>
    <w:rsid w:val="00D77AEE"/>
    <w:rsid w:val="00D800DD"/>
    <w:rsid w:val="00D81040"/>
    <w:rsid w:val="00D82A7F"/>
    <w:rsid w:val="00D8316A"/>
    <w:rsid w:val="00D8359B"/>
    <w:rsid w:val="00D836FD"/>
    <w:rsid w:val="00D842CD"/>
    <w:rsid w:val="00D85447"/>
    <w:rsid w:val="00D85556"/>
    <w:rsid w:val="00D85B82"/>
    <w:rsid w:val="00D867EB"/>
    <w:rsid w:val="00D86ECF"/>
    <w:rsid w:val="00D87018"/>
    <w:rsid w:val="00D9084F"/>
    <w:rsid w:val="00D9125B"/>
    <w:rsid w:val="00D91500"/>
    <w:rsid w:val="00D91565"/>
    <w:rsid w:val="00D917B2"/>
    <w:rsid w:val="00D9196E"/>
    <w:rsid w:val="00D93442"/>
    <w:rsid w:val="00D93696"/>
    <w:rsid w:val="00D94029"/>
    <w:rsid w:val="00D95B42"/>
    <w:rsid w:val="00DA0358"/>
    <w:rsid w:val="00DA0827"/>
    <w:rsid w:val="00DA0F6B"/>
    <w:rsid w:val="00DA41AE"/>
    <w:rsid w:val="00DA6BFE"/>
    <w:rsid w:val="00DA7B3F"/>
    <w:rsid w:val="00DB0AB7"/>
    <w:rsid w:val="00DB0E74"/>
    <w:rsid w:val="00DB1D2B"/>
    <w:rsid w:val="00DB309D"/>
    <w:rsid w:val="00DB3E29"/>
    <w:rsid w:val="00DB4E0D"/>
    <w:rsid w:val="00DB6338"/>
    <w:rsid w:val="00DB6965"/>
    <w:rsid w:val="00DB7BC3"/>
    <w:rsid w:val="00DC1853"/>
    <w:rsid w:val="00DC1E1A"/>
    <w:rsid w:val="00DC297F"/>
    <w:rsid w:val="00DC3B47"/>
    <w:rsid w:val="00DC5336"/>
    <w:rsid w:val="00DC5ADB"/>
    <w:rsid w:val="00DC781B"/>
    <w:rsid w:val="00DD1989"/>
    <w:rsid w:val="00DD2BD6"/>
    <w:rsid w:val="00DD3490"/>
    <w:rsid w:val="00DD36EA"/>
    <w:rsid w:val="00DD4807"/>
    <w:rsid w:val="00DD4B31"/>
    <w:rsid w:val="00DD503C"/>
    <w:rsid w:val="00DD5605"/>
    <w:rsid w:val="00DD5B2B"/>
    <w:rsid w:val="00DD67A8"/>
    <w:rsid w:val="00DD6BB5"/>
    <w:rsid w:val="00DD7B28"/>
    <w:rsid w:val="00DE04DB"/>
    <w:rsid w:val="00DE087C"/>
    <w:rsid w:val="00DE0EE3"/>
    <w:rsid w:val="00DE23F6"/>
    <w:rsid w:val="00DE2A01"/>
    <w:rsid w:val="00DE3351"/>
    <w:rsid w:val="00DE3DF3"/>
    <w:rsid w:val="00DE47DE"/>
    <w:rsid w:val="00DE4B00"/>
    <w:rsid w:val="00DE4CD3"/>
    <w:rsid w:val="00DE6262"/>
    <w:rsid w:val="00DE6B2B"/>
    <w:rsid w:val="00DE7E17"/>
    <w:rsid w:val="00DF1A1A"/>
    <w:rsid w:val="00DF1D56"/>
    <w:rsid w:val="00DF3560"/>
    <w:rsid w:val="00DF38C4"/>
    <w:rsid w:val="00DF5151"/>
    <w:rsid w:val="00DF5E5A"/>
    <w:rsid w:val="00DF7CEC"/>
    <w:rsid w:val="00E006CE"/>
    <w:rsid w:val="00E0138C"/>
    <w:rsid w:val="00E03032"/>
    <w:rsid w:val="00E0337D"/>
    <w:rsid w:val="00E04431"/>
    <w:rsid w:val="00E04A72"/>
    <w:rsid w:val="00E10B05"/>
    <w:rsid w:val="00E1118D"/>
    <w:rsid w:val="00E11334"/>
    <w:rsid w:val="00E11890"/>
    <w:rsid w:val="00E1199C"/>
    <w:rsid w:val="00E11BF8"/>
    <w:rsid w:val="00E12781"/>
    <w:rsid w:val="00E12A3D"/>
    <w:rsid w:val="00E12ABC"/>
    <w:rsid w:val="00E137D0"/>
    <w:rsid w:val="00E138CB"/>
    <w:rsid w:val="00E1613B"/>
    <w:rsid w:val="00E1651C"/>
    <w:rsid w:val="00E165C2"/>
    <w:rsid w:val="00E16E12"/>
    <w:rsid w:val="00E2012F"/>
    <w:rsid w:val="00E2168B"/>
    <w:rsid w:val="00E218A3"/>
    <w:rsid w:val="00E22DF3"/>
    <w:rsid w:val="00E237D7"/>
    <w:rsid w:val="00E2476D"/>
    <w:rsid w:val="00E253FF"/>
    <w:rsid w:val="00E257B4"/>
    <w:rsid w:val="00E25E8F"/>
    <w:rsid w:val="00E26963"/>
    <w:rsid w:val="00E26FE9"/>
    <w:rsid w:val="00E31884"/>
    <w:rsid w:val="00E3200E"/>
    <w:rsid w:val="00E331A1"/>
    <w:rsid w:val="00E3394B"/>
    <w:rsid w:val="00E33FC6"/>
    <w:rsid w:val="00E34565"/>
    <w:rsid w:val="00E347BF"/>
    <w:rsid w:val="00E34FCD"/>
    <w:rsid w:val="00E37F6B"/>
    <w:rsid w:val="00E4060E"/>
    <w:rsid w:val="00E407C0"/>
    <w:rsid w:val="00E411F0"/>
    <w:rsid w:val="00E4137D"/>
    <w:rsid w:val="00E413AB"/>
    <w:rsid w:val="00E42735"/>
    <w:rsid w:val="00E43626"/>
    <w:rsid w:val="00E44B31"/>
    <w:rsid w:val="00E450CC"/>
    <w:rsid w:val="00E46909"/>
    <w:rsid w:val="00E47430"/>
    <w:rsid w:val="00E50301"/>
    <w:rsid w:val="00E50D0E"/>
    <w:rsid w:val="00E51230"/>
    <w:rsid w:val="00E513CD"/>
    <w:rsid w:val="00E518AD"/>
    <w:rsid w:val="00E51944"/>
    <w:rsid w:val="00E532A8"/>
    <w:rsid w:val="00E53FB3"/>
    <w:rsid w:val="00E54583"/>
    <w:rsid w:val="00E547FF"/>
    <w:rsid w:val="00E56608"/>
    <w:rsid w:val="00E569C5"/>
    <w:rsid w:val="00E57EE6"/>
    <w:rsid w:val="00E60D84"/>
    <w:rsid w:val="00E61936"/>
    <w:rsid w:val="00E637AE"/>
    <w:rsid w:val="00E645EA"/>
    <w:rsid w:val="00E651B0"/>
    <w:rsid w:val="00E656FE"/>
    <w:rsid w:val="00E67253"/>
    <w:rsid w:val="00E71939"/>
    <w:rsid w:val="00E7520C"/>
    <w:rsid w:val="00E76119"/>
    <w:rsid w:val="00E77972"/>
    <w:rsid w:val="00E77A0C"/>
    <w:rsid w:val="00E80760"/>
    <w:rsid w:val="00E807DE"/>
    <w:rsid w:val="00E83448"/>
    <w:rsid w:val="00E83B3F"/>
    <w:rsid w:val="00E83CA3"/>
    <w:rsid w:val="00E846EE"/>
    <w:rsid w:val="00E84D12"/>
    <w:rsid w:val="00E85DC0"/>
    <w:rsid w:val="00E8607B"/>
    <w:rsid w:val="00E87CE6"/>
    <w:rsid w:val="00E905CB"/>
    <w:rsid w:val="00E9071D"/>
    <w:rsid w:val="00E90755"/>
    <w:rsid w:val="00E90AB4"/>
    <w:rsid w:val="00E90B3F"/>
    <w:rsid w:val="00E918D2"/>
    <w:rsid w:val="00E949C9"/>
    <w:rsid w:val="00E94A9D"/>
    <w:rsid w:val="00E9698F"/>
    <w:rsid w:val="00E97095"/>
    <w:rsid w:val="00E9715B"/>
    <w:rsid w:val="00E97C61"/>
    <w:rsid w:val="00E97DC7"/>
    <w:rsid w:val="00E97E61"/>
    <w:rsid w:val="00E97F18"/>
    <w:rsid w:val="00EA0080"/>
    <w:rsid w:val="00EA04F9"/>
    <w:rsid w:val="00EA10AE"/>
    <w:rsid w:val="00EA14FA"/>
    <w:rsid w:val="00EA2971"/>
    <w:rsid w:val="00EA313C"/>
    <w:rsid w:val="00EA43FE"/>
    <w:rsid w:val="00EA5808"/>
    <w:rsid w:val="00EA5A57"/>
    <w:rsid w:val="00EA5BFA"/>
    <w:rsid w:val="00EA5F2A"/>
    <w:rsid w:val="00EA6427"/>
    <w:rsid w:val="00EA7710"/>
    <w:rsid w:val="00EB27BC"/>
    <w:rsid w:val="00EB2DD6"/>
    <w:rsid w:val="00EB3FEB"/>
    <w:rsid w:val="00EB52A1"/>
    <w:rsid w:val="00EB5CFB"/>
    <w:rsid w:val="00EB65A8"/>
    <w:rsid w:val="00EB735B"/>
    <w:rsid w:val="00EB7894"/>
    <w:rsid w:val="00EB7920"/>
    <w:rsid w:val="00EB7A00"/>
    <w:rsid w:val="00EB7C6E"/>
    <w:rsid w:val="00EB7D80"/>
    <w:rsid w:val="00EC05D6"/>
    <w:rsid w:val="00EC2169"/>
    <w:rsid w:val="00EC3963"/>
    <w:rsid w:val="00EC5BF3"/>
    <w:rsid w:val="00EC6E42"/>
    <w:rsid w:val="00EC7997"/>
    <w:rsid w:val="00ED1DF2"/>
    <w:rsid w:val="00ED3686"/>
    <w:rsid w:val="00ED53ED"/>
    <w:rsid w:val="00ED5F20"/>
    <w:rsid w:val="00EE4323"/>
    <w:rsid w:val="00EE4A45"/>
    <w:rsid w:val="00EE58E9"/>
    <w:rsid w:val="00EE7589"/>
    <w:rsid w:val="00EF0284"/>
    <w:rsid w:val="00EF07A1"/>
    <w:rsid w:val="00EF19D4"/>
    <w:rsid w:val="00EF29A0"/>
    <w:rsid w:val="00EF2BB7"/>
    <w:rsid w:val="00EF2DFF"/>
    <w:rsid w:val="00EF2E4E"/>
    <w:rsid w:val="00EF4684"/>
    <w:rsid w:val="00EF537A"/>
    <w:rsid w:val="00EF5743"/>
    <w:rsid w:val="00EF77A7"/>
    <w:rsid w:val="00EF7A18"/>
    <w:rsid w:val="00EF7C64"/>
    <w:rsid w:val="00F00339"/>
    <w:rsid w:val="00F00BCE"/>
    <w:rsid w:val="00F021B8"/>
    <w:rsid w:val="00F03E09"/>
    <w:rsid w:val="00F04C6F"/>
    <w:rsid w:val="00F064AA"/>
    <w:rsid w:val="00F10E01"/>
    <w:rsid w:val="00F112D4"/>
    <w:rsid w:val="00F11CAA"/>
    <w:rsid w:val="00F11E63"/>
    <w:rsid w:val="00F12BEE"/>
    <w:rsid w:val="00F12D69"/>
    <w:rsid w:val="00F13D23"/>
    <w:rsid w:val="00F14419"/>
    <w:rsid w:val="00F14B3B"/>
    <w:rsid w:val="00F15075"/>
    <w:rsid w:val="00F152FF"/>
    <w:rsid w:val="00F16082"/>
    <w:rsid w:val="00F16436"/>
    <w:rsid w:val="00F16F14"/>
    <w:rsid w:val="00F17076"/>
    <w:rsid w:val="00F17E8A"/>
    <w:rsid w:val="00F202B6"/>
    <w:rsid w:val="00F20C2A"/>
    <w:rsid w:val="00F20DAA"/>
    <w:rsid w:val="00F22186"/>
    <w:rsid w:val="00F233ED"/>
    <w:rsid w:val="00F2346D"/>
    <w:rsid w:val="00F2369D"/>
    <w:rsid w:val="00F23D98"/>
    <w:rsid w:val="00F241F8"/>
    <w:rsid w:val="00F24609"/>
    <w:rsid w:val="00F2571E"/>
    <w:rsid w:val="00F263E7"/>
    <w:rsid w:val="00F26C05"/>
    <w:rsid w:val="00F27B69"/>
    <w:rsid w:val="00F3087B"/>
    <w:rsid w:val="00F31FB7"/>
    <w:rsid w:val="00F32E3C"/>
    <w:rsid w:val="00F332F9"/>
    <w:rsid w:val="00F34A9F"/>
    <w:rsid w:val="00F3564D"/>
    <w:rsid w:val="00F3566B"/>
    <w:rsid w:val="00F36078"/>
    <w:rsid w:val="00F368C6"/>
    <w:rsid w:val="00F406AF"/>
    <w:rsid w:val="00F414FD"/>
    <w:rsid w:val="00F4185C"/>
    <w:rsid w:val="00F43670"/>
    <w:rsid w:val="00F43898"/>
    <w:rsid w:val="00F4408F"/>
    <w:rsid w:val="00F450D2"/>
    <w:rsid w:val="00F46BD9"/>
    <w:rsid w:val="00F4735A"/>
    <w:rsid w:val="00F477E9"/>
    <w:rsid w:val="00F47829"/>
    <w:rsid w:val="00F517E5"/>
    <w:rsid w:val="00F52D5C"/>
    <w:rsid w:val="00F53366"/>
    <w:rsid w:val="00F53FD2"/>
    <w:rsid w:val="00F56775"/>
    <w:rsid w:val="00F60060"/>
    <w:rsid w:val="00F6143F"/>
    <w:rsid w:val="00F61D8C"/>
    <w:rsid w:val="00F62778"/>
    <w:rsid w:val="00F633F1"/>
    <w:rsid w:val="00F64A69"/>
    <w:rsid w:val="00F65CC8"/>
    <w:rsid w:val="00F67016"/>
    <w:rsid w:val="00F676B6"/>
    <w:rsid w:val="00F72C24"/>
    <w:rsid w:val="00F74B90"/>
    <w:rsid w:val="00F75F0E"/>
    <w:rsid w:val="00F75F8E"/>
    <w:rsid w:val="00F76B20"/>
    <w:rsid w:val="00F775BC"/>
    <w:rsid w:val="00F81280"/>
    <w:rsid w:val="00F84017"/>
    <w:rsid w:val="00F84A55"/>
    <w:rsid w:val="00F86D89"/>
    <w:rsid w:val="00F92A80"/>
    <w:rsid w:val="00F92A9B"/>
    <w:rsid w:val="00F93E59"/>
    <w:rsid w:val="00F958EB"/>
    <w:rsid w:val="00F95968"/>
    <w:rsid w:val="00F97E28"/>
    <w:rsid w:val="00FA0020"/>
    <w:rsid w:val="00FA0AC7"/>
    <w:rsid w:val="00FA2518"/>
    <w:rsid w:val="00FA29ED"/>
    <w:rsid w:val="00FA2B3D"/>
    <w:rsid w:val="00FA32D8"/>
    <w:rsid w:val="00FA3B58"/>
    <w:rsid w:val="00FA41AE"/>
    <w:rsid w:val="00FA41B4"/>
    <w:rsid w:val="00FA4422"/>
    <w:rsid w:val="00FA4B3A"/>
    <w:rsid w:val="00FA5525"/>
    <w:rsid w:val="00FA5A7D"/>
    <w:rsid w:val="00FA5FBD"/>
    <w:rsid w:val="00FA77B5"/>
    <w:rsid w:val="00FB0708"/>
    <w:rsid w:val="00FB0C4C"/>
    <w:rsid w:val="00FB16CE"/>
    <w:rsid w:val="00FB3B91"/>
    <w:rsid w:val="00FB43B5"/>
    <w:rsid w:val="00FC075E"/>
    <w:rsid w:val="00FC0B38"/>
    <w:rsid w:val="00FC1A1B"/>
    <w:rsid w:val="00FC1CBF"/>
    <w:rsid w:val="00FC1E08"/>
    <w:rsid w:val="00FC28A0"/>
    <w:rsid w:val="00FC2B06"/>
    <w:rsid w:val="00FC4C05"/>
    <w:rsid w:val="00FC55A2"/>
    <w:rsid w:val="00FC5F21"/>
    <w:rsid w:val="00FC6F33"/>
    <w:rsid w:val="00FC76C5"/>
    <w:rsid w:val="00FC7C66"/>
    <w:rsid w:val="00FD21A0"/>
    <w:rsid w:val="00FD3335"/>
    <w:rsid w:val="00FD5465"/>
    <w:rsid w:val="00FE0294"/>
    <w:rsid w:val="00FE0816"/>
    <w:rsid w:val="00FE1E7D"/>
    <w:rsid w:val="00FE3037"/>
    <w:rsid w:val="00FE4427"/>
    <w:rsid w:val="00FE4E2D"/>
    <w:rsid w:val="00FF31D6"/>
    <w:rsid w:val="00FF38CD"/>
    <w:rsid w:val="00FF3CFC"/>
    <w:rsid w:val="00FF6188"/>
    <w:rsid w:val="00FF6828"/>
  </w:rsids>
  <m:mathPr>
    <m:mathFont m:val="Cambria Math"/>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CF"/>
    <w:pPr>
      <w:framePr w:wrap="auto"/>
      <w:widowControl/>
      <w:autoSpaceDE/>
      <w:autoSpaceDN/>
      <w:adjustRightInd/>
      <w:spacing w:after="120" w:line="336" w:lineRule="auto"/>
      <w:ind w:left="0" w:right="0"/>
      <w:jc w:val="both"/>
      <w:textAlignment w:val="auto"/>
    </w:pPr>
    <w:rPr>
      <w:rFonts w:cs="Times New Roman"/>
      <w:sz w:val="22"/>
      <w:szCs w:val="36"/>
      <w:rtl w:val="0"/>
      <w:cs w:val="0"/>
      <w:lang w:val="sk-SK" w:eastAsia="en-US" w:bidi="ar-SA"/>
    </w:rPr>
  </w:style>
  <w:style w:type="paragraph" w:styleId="Heading1">
    <w:name w:val="heading 1"/>
    <w:basedOn w:val="Normal"/>
    <w:next w:val="Normal"/>
    <w:link w:val="Nadpis1Char"/>
    <w:autoRedefine/>
    <w:uiPriority w:val="9"/>
    <w:qFormat/>
    <w:rsid w:val="003E2C97"/>
    <w:pPr>
      <w:keepNext/>
      <w:keepLines/>
      <w:ind w:left="431" w:hanging="431"/>
      <w:jc w:val="center"/>
      <w:outlineLvl w:val="0"/>
    </w:pPr>
    <w:rPr>
      <w:b/>
      <w:sz w:val="28"/>
      <w:szCs w:val="28"/>
    </w:rPr>
  </w:style>
  <w:style w:type="paragraph" w:styleId="Heading2">
    <w:name w:val="heading 2"/>
    <w:basedOn w:val="Normal"/>
    <w:next w:val="Normal"/>
    <w:link w:val="Nadpis2Char"/>
    <w:uiPriority w:val="9"/>
    <w:unhideWhenUsed/>
    <w:qFormat/>
    <w:rsid w:val="006D31FC"/>
    <w:pPr>
      <w:keepNext/>
      <w:keepLines/>
      <w:numPr>
        <w:ilvl w:val="1"/>
        <w:numId w:val="1"/>
      </w:numPr>
      <w:ind w:left="576" w:hanging="576"/>
      <w:jc w:val="center"/>
      <w:outlineLvl w:val="1"/>
    </w:pPr>
    <w:rPr>
      <w:rFonts w:ascii="Times New Roman" w:hAnsi="Times New Roman" w:eastAsiaTheme="majorEastAsia"/>
      <w:b/>
      <w:bCs/>
      <w:sz w:val="24"/>
      <w:szCs w:val="26"/>
    </w:rPr>
  </w:style>
  <w:style w:type="paragraph" w:styleId="Heading3">
    <w:name w:val="heading 3"/>
    <w:basedOn w:val="Normal"/>
    <w:next w:val="Normal"/>
    <w:link w:val="Nadpis3Char"/>
    <w:uiPriority w:val="9"/>
    <w:unhideWhenUsed/>
    <w:qFormat/>
    <w:rsid w:val="00285DB8"/>
    <w:pPr>
      <w:keepNext/>
      <w:keepLines/>
      <w:numPr>
        <w:ilvl w:val="2"/>
        <w:numId w:val="1"/>
      </w:numPr>
      <w:ind w:left="7950" w:hanging="720"/>
      <w:jc w:val="center"/>
      <w:outlineLvl w:val="2"/>
    </w:pPr>
    <w:rPr>
      <w:rFonts w:ascii="Times New Roman" w:hAnsi="Times New Roman" w:eastAsiaTheme="majorEastAsia"/>
      <w:b/>
      <w:bCs/>
      <w:sz w:val="24"/>
    </w:rPr>
  </w:style>
  <w:style w:type="paragraph" w:styleId="Heading4">
    <w:name w:val="heading 4"/>
    <w:basedOn w:val="Normal"/>
    <w:next w:val="Normal"/>
    <w:link w:val="Nadpis4Char"/>
    <w:uiPriority w:val="9"/>
    <w:unhideWhenUsed/>
    <w:qFormat/>
    <w:rsid w:val="00285DB8"/>
    <w:pPr>
      <w:keepNext/>
      <w:keepLines/>
      <w:numPr>
        <w:ilvl w:val="3"/>
        <w:numId w:val="1"/>
      </w:numPr>
      <w:spacing w:before="120"/>
      <w:ind w:left="864" w:hanging="864"/>
      <w:jc w:val="center"/>
      <w:outlineLvl w:val="3"/>
    </w:pPr>
    <w:rPr>
      <w:rFonts w:ascii="Times New Roman" w:hAnsi="Times New Roman" w:eastAsiaTheme="majorEastAsia"/>
      <w:b/>
      <w:bCs/>
      <w:iCs/>
      <w:sz w:val="24"/>
    </w:rPr>
  </w:style>
  <w:style w:type="paragraph" w:styleId="Heading5">
    <w:name w:val="heading 5"/>
    <w:basedOn w:val="Normal"/>
    <w:next w:val="Normal"/>
    <w:link w:val="Nadpis5Char"/>
    <w:uiPriority w:val="9"/>
    <w:semiHidden/>
    <w:unhideWhenUsed/>
    <w:qFormat/>
    <w:rsid w:val="006D31FC"/>
    <w:pPr>
      <w:keepNext/>
      <w:keepLines/>
      <w:numPr>
        <w:ilvl w:val="4"/>
        <w:numId w:val="1"/>
      </w:numPr>
      <w:spacing w:before="200" w:after="0"/>
      <w:ind w:left="1008" w:hanging="1008"/>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Nadpis6Char"/>
    <w:uiPriority w:val="9"/>
    <w:semiHidden/>
    <w:unhideWhenUsed/>
    <w:qFormat/>
    <w:rsid w:val="006D31FC"/>
    <w:pPr>
      <w:keepNext/>
      <w:keepLines/>
      <w:numPr>
        <w:ilvl w:val="5"/>
        <w:numId w:val="1"/>
      </w:numPr>
      <w:spacing w:before="200" w:after="0"/>
      <w:ind w:left="1152" w:hanging="1152"/>
      <w:jc w:val="both"/>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Nadpis7Char"/>
    <w:uiPriority w:val="9"/>
    <w:semiHidden/>
    <w:unhideWhenUsed/>
    <w:qFormat/>
    <w:rsid w:val="006D31FC"/>
    <w:pPr>
      <w:keepNext/>
      <w:keepLines/>
      <w:numPr>
        <w:ilvl w:val="6"/>
        <w:numId w:val="1"/>
      </w:numPr>
      <w:spacing w:before="200" w:after="0"/>
      <w:ind w:left="1296" w:hanging="1296"/>
      <w:jc w:val="both"/>
      <w:outlineLvl w:val="6"/>
    </w:pPr>
    <w:rPr>
      <w:rFonts w:asciiTheme="majorHAnsi" w:eastAsiaTheme="majorEastAsia" w:hAnsiTheme="majorHAnsi"/>
      <w:i/>
      <w:iCs/>
      <w:color w:val="404040" w:themeColor="tx1" w:themeShade="FF" w:themeTint="BF"/>
    </w:rPr>
  </w:style>
  <w:style w:type="paragraph" w:styleId="Heading8">
    <w:name w:val="heading 8"/>
    <w:basedOn w:val="Normal"/>
    <w:next w:val="Normal"/>
    <w:link w:val="Nadpis8Char"/>
    <w:uiPriority w:val="9"/>
    <w:semiHidden/>
    <w:unhideWhenUsed/>
    <w:qFormat/>
    <w:rsid w:val="006D31FC"/>
    <w:pPr>
      <w:keepNext/>
      <w:keepLines/>
      <w:numPr>
        <w:ilvl w:val="7"/>
        <w:numId w:val="1"/>
      </w:numPr>
      <w:spacing w:before="200" w:after="0"/>
      <w:ind w:left="1440" w:hanging="1440"/>
      <w:jc w:val="both"/>
      <w:outlineLvl w:val="7"/>
    </w:pPr>
    <w:rPr>
      <w:rFonts w:asciiTheme="majorHAnsi" w:eastAsiaTheme="majorEastAsia" w:hAnsiTheme="majorHAnsi"/>
      <w:color w:val="404040" w:themeColor="tx1" w:themeShade="FF" w:themeTint="BF"/>
      <w:sz w:val="20"/>
      <w:szCs w:val="20"/>
    </w:rPr>
  </w:style>
  <w:style w:type="paragraph" w:styleId="Heading9">
    <w:name w:val="heading 9"/>
    <w:basedOn w:val="Normal"/>
    <w:next w:val="Normal"/>
    <w:link w:val="Nadpis9Char"/>
    <w:uiPriority w:val="9"/>
    <w:semiHidden/>
    <w:unhideWhenUsed/>
    <w:qFormat/>
    <w:rsid w:val="006D31FC"/>
    <w:pPr>
      <w:keepNext/>
      <w:keepLines/>
      <w:numPr>
        <w:ilvl w:val="8"/>
        <w:numId w:val="1"/>
      </w:numPr>
      <w:spacing w:before="200" w:after="0"/>
      <w:ind w:left="1584" w:hanging="1584"/>
      <w:jc w:val="both"/>
      <w:outlineLvl w:val="8"/>
    </w:pPr>
    <w:rPr>
      <w:rFonts w:asciiTheme="majorHAnsi" w:eastAsiaTheme="majorEastAsia" w:hAnsiTheme="majorHAnsi"/>
      <w:i/>
      <w:iCs/>
      <w:color w:val="404040" w:themeColor="tx1" w:themeShade="FF"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E2C97"/>
    <w:rPr>
      <w:rFonts w:ascii="Times New Roman" w:hAnsi="Times New Roman" w:cs="Times New Roman"/>
      <w:b/>
      <w:sz w:val="28"/>
      <w:szCs w:val="28"/>
      <w:rtl w:val="0"/>
      <w:cs w:val="0"/>
    </w:rPr>
  </w:style>
  <w:style w:type="character" w:customStyle="1" w:styleId="Nadpis2Char">
    <w:name w:val="Nadpis 2 Char"/>
    <w:basedOn w:val="DefaultParagraphFont"/>
    <w:link w:val="Heading2"/>
    <w:uiPriority w:val="9"/>
    <w:locked/>
    <w:rsid w:val="006D31FC"/>
    <w:rPr>
      <w:rFonts w:ascii="Times New Roman" w:hAnsi="Times New Roman" w:eastAsiaTheme="majorEastAsia" w:cs="Times New Roman"/>
      <w:b/>
      <w:bCs/>
      <w:sz w:val="26"/>
      <w:szCs w:val="26"/>
      <w:rtl w:val="0"/>
      <w:cs w:val="0"/>
    </w:rPr>
  </w:style>
  <w:style w:type="character" w:customStyle="1" w:styleId="Nadpis3Char">
    <w:name w:val="Nadpis 3 Char"/>
    <w:basedOn w:val="DefaultParagraphFont"/>
    <w:link w:val="Heading3"/>
    <w:uiPriority w:val="9"/>
    <w:locked/>
    <w:rsid w:val="00285DB8"/>
    <w:rPr>
      <w:rFonts w:ascii="Times New Roman" w:hAnsi="Times New Roman" w:eastAsiaTheme="majorEastAsia" w:cs="Times New Roman"/>
      <w:b/>
      <w:bCs/>
      <w:sz w:val="36"/>
      <w:szCs w:val="36"/>
      <w:rtl w:val="0"/>
      <w:cs w:val="0"/>
    </w:rPr>
  </w:style>
  <w:style w:type="character" w:customStyle="1" w:styleId="Nadpis4Char">
    <w:name w:val="Nadpis 4 Char"/>
    <w:basedOn w:val="DefaultParagraphFont"/>
    <w:link w:val="Heading4"/>
    <w:uiPriority w:val="9"/>
    <w:locked/>
    <w:rsid w:val="00285DB8"/>
    <w:rPr>
      <w:rFonts w:ascii="Times New Roman" w:hAnsi="Times New Roman" w:eastAsiaTheme="majorEastAsia" w:cs="Times New Roman"/>
      <w:b/>
      <w:bCs/>
      <w:iCs/>
      <w:sz w:val="36"/>
      <w:szCs w:val="36"/>
      <w:rtl w:val="0"/>
      <w:cs w:val="0"/>
    </w:rPr>
  </w:style>
  <w:style w:type="character" w:customStyle="1" w:styleId="Nadpis5Char">
    <w:name w:val="Nadpis 5 Char"/>
    <w:basedOn w:val="DefaultParagraphFont"/>
    <w:link w:val="Heading5"/>
    <w:uiPriority w:val="9"/>
    <w:semiHidden/>
    <w:locked/>
    <w:rsid w:val="006D31FC"/>
    <w:rPr>
      <w:rFonts w:asciiTheme="majorHAnsi" w:eastAsiaTheme="majorEastAsia" w:hAnsiTheme="majorHAnsi" w:cs="Times New Roman"/>
      <w:color w:val="243F60" w:themeColor="accent1" w:themeShade="7F"/>
      <w:sz w:val="36"/>
      <w:szCs w:val="36"/>
      <w:rtl w:val="0"/>
      <w:cs w:val="0"/>
    </w:rPr>
  </w:style>
  <w:style w:type="character" w:customStyle="1" w:styleId="Nadpis6Char">
    <w:name w:val="Nadpis 6 Char"/>
    <w:basedOn w:val="DefaultParagraphFont"/>
    <w:link w:val="Heading6"/>
    <w:uiPriority w:val="9"/>
    <w:semiHidden/>
    <w:locked/>
    <w:rsid w:val="006D31FC"/>
    <w:rPr>
      <w:rFonts w:asciiTheme="majorHAnsi" w:eastAsiaTheme="majorEastAsia" w:hAnsiTheme="majorHAnsi" w:cs="Times New Roman"/>
      <w:i/>
      <w:iCs/>
      <w:color w:val="243F60" w:themeColor="accent1" w:themeShade="7F"/>
      <w:sz w:val="36"/>
      <w:szCs w:val="36"/>
      <w:rtl w:val="0"/>
      <w:cs w:val="0"/>
    </w:rPr>
  </w:style>
  <w:style w:type="character" w:customStyle="1" w:styleId="Nadpis7Char">
    <w:name w:val="Nadpis 7 Char"/>
    <w:basedOn w:val="DefaultParagraphFont"/>
    <w:link w:val="Heading7"/>
    <w:uiPriority w:val="9"/>
    <w:semiHidden/>
    <w:locked/>
    <w:rsid w:val="006D31FC"/>
    <w:rPr>
      <w:rFonts w:asciiTheme="majorHAnsi" w:eastAsiaTheme="majorEastAsia" w:hAnsiTheme="majorHAnsi" w:cs="Times New Roman"/>
      <w:i/>
      <w:iCs/>
      <w:color w:val="404040" w:themeColor="tx1" w:themeShade="FF" w:themeTint="BF"/>
      <w:sz w:val="36"/>
      <w:szCs w:val="36"/>
      <w:rtl w:val="0"/>
      <w:cs w:val="0"/>
    </w:rPr>
  </w:style>
  <w:style w:type="character" w:customStyle="1" w:styleId="Nadpis8Char">
    <w:name w:val="Nadpis 8 Char"/>
    <w:basedOn w:val="DefaultParagraphFont"/>
    <w:link w:val="Heading8"/>
    <w:uiPriority w:val="9"/>
    <w:semiHidden/>
    <w:locked/>
    <w:rsid w:val="006D31FC"/>
    <w:rPr>
      <w:rFonts w:asciiTheme="majorHAnsi" w:eastAsiaTheme="majorEastAsia" w:hAnsiTheme="majorHAnsi" w:cs="Times New Roman"/>
      <w:color w:val="404040" w:themeColor="tx1" w:themeShade="FF" w:themeTint="BF"/>
      <w:sz w:val="20"/>
      <w:szCs w:val="20"/>
      <w:rtl w:val="0"/>
      <w:cs w:val="0"/>
    </w:rPr>
  </w:style>
  <w:style w:type="character" w:customStyle="1" w:styleId="Nadpis9Char">
    <w:name w:val="Nadpis 9 Char"/>
    <w:basedOn w:val="DefaultParagraphFont"/>
    <w:link w:val="Heading9"/>
    <w:uiPriority w:val="9"/>
    <w:semiHidden/>
    <w:locked/>
    <w:rsid w:val="006D31FC"/>
    <w:rPr>
      <w:rFonts w:asciiTheme="majorHAnsi" w:eastAsiaTheme="majorEastAsia" w:hAnsiTheme="majorHAnsi" w:cs="Times New Roman"/>
      <w:i/>
      <w:iCs/>
      <w:color w:val="404040" w:themeColor="tx1" w:themeShade="FF" w:themeTint="BF"/>
      <w:sz w:val="20"/>
      <w:szCs w:val="20"/>
      <w:rtl w:val="0"/>
      <w:cs w:val="0"/>
    </w:rPr>
  </w:style>
  <w:style w:type="paragraph" w:styleId="TOC1">
    <w:name w:val="toc 1"/>
    <w:basedOn w:val="Normal"/>
    <w:next w:val="Normal"/>
    <w:autoRedefine/>
    <w:uiPriority w:val="39"/>
    <w:unhideWhenUsed/>
    <w:rsid w:val="00C568DA"/>
    <w:pPr>
      <w:tabs>
        <w:tab w:val="left" w:pos="440"/>
        <w:tab w:val="right" w:leader="dot" w:pos="8786"/>
      </w:tabs>
      <w:spacing w:after="0"/>
      <w:jc w:val="left"/>
    </w:pPr>
    <w:rPr>
      <w:b/>
      <w:bCs/>
      <w:noProof/>
      <w:sz w:val="28"/>
      <w:szCs w:val="28"/>
    </w:rPr>
  </w:style>
  <w:style w:type="paragraph" w:styleId="TOC2">
    <w:name w:val="toc 2"/>
    <w:basedOn w:val="Normal"/>
    <w:next w:val="Normal"/>
    <w:autoRedefine/>
    <w:uiPriority w:val="39"/>
    <w:unhideWhenUsed/>
    <w:rsid w:val="00D2090A"/>
    <w:pPr>
      <w:tabs>
        <w:tab w:val="left" w:pos="660"/>
        <w:tab w:val="right" w:leader="dot" w:pos="8786"/>
      </w:tabs>
      <w:spacing w:after="0"/>
      <w:jc w:val="left"/>
    </w:pPr>
    <w:rPr>
      <w:rFonts w:asciiTheme="minorHAnsi" w:hAnsiTheme="minorHAnsi"/>
      <w:b/>
      <w:bCs/>
      <w:sz w:val="20"/>
      <w:szCs w:val="20"/>
    </w:rPr>
  </w:style>
  <w:style w:type="paragraph" w:styleId="TOC3">
    <w:name w:val="toc 3"/>
    <w:basedOn w:val="Normal"/>
    <w:next w:val="Normal"/>
    <w:autoRedefine/>
    <w:uiPriority w:val="39"/>
    <w:unhideWhenUsed/>
    <w:rsid w:val="00BE0C43"/>
    <w:pPr>
      <w:tabs>
        <w:tab w:val="left" w:pos="880"/>
        <w:tab w:val="right" w:leader="dot" w:pos="8789"/>
      </w:tabs>
      <w:spacing w:after="0"/>
      <w:ind w:left="220" w:right="1415"/>
      <w:jc w:val="left"/>
    </w:pPr>
    <w:rPr>
      <w:rFonts w:asciiTheme="minorHAnsi" w:hAnsiTheme="minorHAnsi"/>
      <w:sz w:val="20"/>
      <w:szCs w:val="20"/>
    </w:rPr>
  </w:style>
  <w:style w:type="paragraph" w:styleId="TOC4">
    <w:name w:val="toc 4"/>
    <w:basedOn w:val="Normal"/>
    <w:next w:val="Normal"/>
    <w:autoRedefine/>
    <w:uiPriority w:val="39"/>
    <w:unhideWhenUsed/>
    <w:rsid w:val="00BB40A7"/>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BB40A7"/>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BB40A7"/>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BB40A7"/>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BB40A7"/>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BB40A7"/>
    <w:pPr>
      <w:spacing w:after="0"/>
      <w:ind w:left="1540"/>
      <w:jc w:val="left"/>
    </w:pPr>
    <w:rPr>
      <w:rFonts w:asciiTheme="minorHAnsi" w:hAnsiTheme="minorHAnsi"/>
      <w:sz w:val="20"/>
      <w:szCs w:val="20"/>
    </w:rPr>
  </w:style>
  <w:style w:type="character" w:styleId="Hyperlink">
    <w:name w:val="Hyperlink"/>
    <w:basedOn w:val="DefaultParagraphFont"/>
    <w:uiPriority w:val="99"/>
    <w:unhideWhenUsed/>
    <w:rsid w:val="00BB40A7"/>
    <w:rPr>
      <w:rFonts w:cs="Times New Roman"/>
      <w:color w:val="0000FF" w:themeColor="hlink" w:themeShade="FF"/>
      <w:u w:val="single"/>
      <w:rtl w:val="0"/>
      <w:cs w:val="0"/>
    </w:rPr>
  </w:style>
  <w:style w:type="paragraph" w:styleId="ListParagraph">
    <w:name w:val="List Paragraph"/>
    <w:basedOn w:val="Normal"/>
    <w:uiPriority w:val="34"/>
    <w:qFormat/>
    <w:rsid w:val="00F24609"/>
    <w:pPr>
      <w:spacing w:after="200" w:line="276" w:lineRule="auto"/>
      <w:ind w:left="720"/>
      <w:contextualSpacing/>
      <w:jc w:val="left"/>
    </w:pPr>
    <w:rPr>
      <w:rFonts w:ascii="Calibri" w:hAnsi="Calibri"/>
      <w:szCs w:val="22"/>
    </w:rPr>
  </w:style>
  <w:style w:type="paragraph" w:customStyle="1" w:styleId="HALVNEPISMOVS">
    <w:name w:val="HALVNEPISMO_VS"/>
    <w:basedOn w:val="Normal"/>
    <w:rsid w:val="00F24609"/>
    <w:pPr>
      <w:spacing w:line="240" w:lineRule="auto"/>
      <w:jc w:val="both"/>
    </w:pPr>
    <w:rPr>
      <w:rFonts w:ascii="Arial Narrow" w:hAnsi="Arial Narrow"/>
      <w:color w:val="000000"/>
      <w:szCs w:val="22"/>
      <w:lang w:eastAsia="sk-SK"/>
    </w:rPr>
  </w:style>
  <w:style w:type="paragraph" w:customStyle="1" w:styleId="HLAVNYVS">
    <w:name w:val="HLAVNY_VS"/>
    <w:basedOn w:val="Normal"/>
    <w:rsid w:val="00F24609"/>
    <w:pPr>
      <w:spacing w:after="0" w:line="240" w:lineRule="auto"/>
      <w:jc w:val="left"/>
    </w:pPr>
    <w:rPr>
      <w:rFonts w:ascii="Arial Narrow" w:hAnsi="Arial Narrow"/>
      <w:b/>
      <w:bCs/>
      <w:caps/>
      <w:color w:val="000080"/>
      <w:szCs w:val="22"/>
      <w:lang w:eastAsia="sk-SK"/>
    </w:rPr>
  </w:style>
  <w:style w:type="paragraph" w:styleId="BalloonText">
    <w:name w:val="Balloon Text"/>
    <w:basedOn w:val="Normal"/>
    <w:link w:val="TextbublinyChar"/>
    <w:uiPriority w:val="99"/>
    <w:unhideWhenUsed/>
    <w:rsid w:val="00FA4422"/>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FA4422"/>
    <w:rPr>
      <w:rFonts w:ascii="Tahoma" w:hAnsi="Tahoma" w:cs="Tahoma"/>
      <w:sz w:val="16"/>
      <w:szCs w:val="16"/>
      <w:rtl w:val="0"/>
      <w:cs w:val="0"/>
    </w:rPr>
  </w:style>
  <w:style w:type="paragraph" w:styleId="Footer">
    <w:name w:val="footer"/>
    <w:basedOn w:val="Normal"/>
    <w:link w:val="PtaChar"/>
    <w:uiPriority w:val="99"/>
    <w:rsid w:val="00584B07"/>
    <w:pPr>
      <w:tabs>
        <w:tab w:val="center" w:pos="4536"/>
        <w:tab w:val="right" w:pos="9072"/>
      </w:tabs>
      <w:spacing w:after="0" w:line="240" w:lineRule="auto"/>
      <w:jc w:val="left"/>
    </w:pPr>
    <w:rPr>
      <w:sz w:val="24"/>
      <w:szCs w:val="20"/>
      <w:lang w:eastAsia="sk-SK"/>
    </w:rPr>
  </w:style>
  <w:style w:type="character" w:customStyle="1" w:styleId="PtaChar">
    <w:name w:val="Päta Char"/>
    <w:basedOn w:val="DefaultParagraphFont"/>
    <w:link w:val="Footer"/>
    <w:uiPriority w:val="99"/>
    <w:locked/>
    <w:rsid w:val="00584B07"/>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unhideWhenUsed/>
    <w:rsid w:val="00652926"/>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652926"/>
    <w:rPr>
      <w:rFonts w:ascii="Times New Roman" w:hAnsi="Times New Roman" w:cs="Times New Roman"/>
      <w:rtl w:val="0"/>
      <w:cs w:val="0"/>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TextpoznmkypodiarouChar"/>
    <w:uiPriority w:val="99"/>
    <w:semiHidden/>
    <w:rsid w:val="00FA29ED"/>
    <w:pPr>
      <w:spacing w:after="0" w:line="240" w:lineRule="auto"/>
      <w:jc w:val="left"/>
    </w:pPr>
    <w:rPr>
      <w:sz w:val="24"/>
      <w:szCs w:val="24"/>
      <w:lang w:eastAsia="cs-CZ"/>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
    <w:basedOn w:val="DefaultParagraphFont"/>
    <w:link w:val="FootnoteText"/>
    <w:uiPriority w:val="99"/>
    <w:semiHidden/>
    <w:locked/>
    <w:rsid w:val="00FA29ED"/>
    <w:rPr>
      <w:rFonts w:ascii="Times New Roman" w:hAnsi="Times New Roman" w:cs="Times New Roman"/>
      <w:sz w:val="24"/>
      <w:szCs w:val="24"/>
      <w:rtl w:val="0"/>
      <w:cs w:val="0"/>
      <w:lang w:val="x-none" w:eastAsia="cs-CZ"/>
    </w:rPr>
  </w:style>
  <w:style w:type="character" w:styleId="FootnoteReference">
    <w:name w:val="footnote reference"/>
    <w:basedOn w:val="DefaultParagraphFont"/>
    <w:uiPriority w:val="99"/>
    <w:semiHidden/>
    <w:rsid w:val="00FA29ED"/>
    <w:rPr>
      <w:rFonts w:cs="Times New Roman"/>
      <w:vertAlign w:val="superscript"/>
      <w:rtl w:val="0"/>
      <w:cs w:val="0"/>
    </w:rPr>
  </w:style>
  <w:style w:type="paragraph" w:customStyle="1" w:styleId="Zkladntext1">
    <w:name w:val="Základný text1"/>
    <w:rsid w:val="001F655F"/>
    <w:pPr>
      <w:framePr w:wrap="auto"/>
      <w:widowControl/>
      <w:autoSpaceDE/>
      <w:autoSpaceDN/>
      <w:adjustRightInd/>
      <w:ind w:left="0" w:right="0"/>
      <w:jc w:val="left"/>
      <w:textAlignment w:val="auto"/>
    </w:pPr>
    <w:rPr>
      <w:rFonts w:ascii="Dutch801 SWC" w:hAnsi="Dutch801 SWC" w:cs="Times New Roman"/>
      <w:color w:val="000000"/>
      <w:sz w:val="24"/>
      <w:szCs w:val="20"/>
      <w:rtl w:val="0"/>
      <w:cs w:val="0"/>
      <w:lang w:val="en-US" w:eastAsia="sk-SK" w:bidi="ar-SA"/>
    </w:rPr>
  </w:style>
  <w:style w:type="character" w:styleId="PageNumber">
    <w:name w:val="page number"/>
    <w:basedOn w:val="DefaultParagraphFont"/>
    <w:uiPriority w:val="99"/>
    <w:rsid w:val="00233644"/>
    <w:rPr>
      <w:rFonts w:cs="Times New Roman"/>
      <w:rtl w:val="0"/>
      <w:cs w:val="0"/>
    </w:rPr>
  </w:style>
  <w:style w:type="paragraph" w:customStyle="1" w:styleId="Zakladnmtext">
    <w:name w:val="Z&lt;/a&gt;kladn&lt;/m&gt; text"/>
    <w:rsid w:val="00233644"/>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character" w:customStyle="1" w:styleId="ZkladntextChar">
    <w:name w:val="Základný text Char"/>
    <w:basedOn w:val="DefaultParagraphFont"/>
    <w:link w:val="BodyText"/>
    <w:uiPriority w:val="99"/>
    <w:semiHidden/>
    <w:locked/>
    <w:rsid w:val="00233644"/>
    <w:rPr>
      <w:rFonts w:ascii="Times New Roman" w:hAnsi="Times New Roman" w:cs="Times New Roman"/>
      <w:sz w:val="24"/>
      <w:szCs w:val="24"/>
      <w:rtl w:val="0"/>
      <w:cs w:val="0"/>
      <w:lang w:val="x-none" w:eastAsia="x-none"/>
    </w:rPr>
  </w:style>
  <w:style w:type="paragraph" w:styleId="BodyText">
    <w:name w:val="Body Text"/>
    <w:basedOn w:val="Normal"/>
    <w:link w:val="ZkladntextChar"/>
    <w:uiPriority w:val="99"/>
    <w:semiHidden/>
    <w:unhideWhenUsed/>
    <w:rsid w:val="00233644"/>
    <w:pPr>
      <w:spacing w:line="240" w:lineRule="auto"/>
      <w:jc w:val="left"/>
    </w:pPr>
    <w:rPr>
      <w:sz w:val="24"/>
      <w:szCs w:val="24"/>
    </w:rPr>
  </w:style>
  <w:style w:type="character" w:customStyle="1" w:styleId="ZkladntextChar1">
    <w:name w:val="Základný text Char1"/>
    <w:basedOn w:val="DefaultParagraphFont"/>
    <w:uiPriority w:val="99"/>
    <w:semiHidden/>
    <w:rPr>
      <w:rFonts w:ascii="Times New Roman" w:hAnsi="Times New Roman" w:cs="Times New Roman"/>
      <w:sz w:val="36"/>
      <w:szCs w:val="36"/>
      <w:rtl w:val="0"/>
      <w:cs w:val="0"/>
    </w:rPr>
  </w:style>
  <w:style w:type="character" w:customStyle="1" w:styleId="ZkladntextChar178">
    <w:name w:val="Základný text Char178"/>
    <w:basedOn w:val="DefaultParagraphFont"/>
    <w:uiPriority w:val="99"/>
    <w:semiHidden/>
    <w:rPr>
      <w:rFonts w:ascii="Times New Roman" w:hAnsi="Times New Roman" w:cs="Times New Roman"/>
      <w:sz w:val="36"/>
      <w:szCs w:val="36"/>
      <w:rtl w:val="0"/>
      <w:cs w:val="0"/>
    </w:rPr>
  </w:style>
  <w:style w:type="character" w:customStyle="1" w:styleId="ZkladntextChar177">
    <w:name w:val="Základný text Char177"/>
    <w:basedOn w:val="DefaultParagraphFont"/>
    <w:uiPriority w:val="99"/>
    <w:semiHidden/>
    <w:rPr>
      <w:rFonts w:ascii="Times New Roman" w:hAnsi="Times New Roman" w:cs="Times New Roman"/>
      <w:sz w:val="36"/>
      <w:szCs w:val="36"/>
      <w:rtl w:val="0"/>
      <w:cs w:val="0"/>
    </w:rPr>
  </w:style>
  <w:style w:type="character" w:customStyle="1" w:styleId="ZkladntextChar176">
    <w:name w:val="Základný text Char176"/>
    <w:basedOn w:val="DefaultParagraphFont"/>
    <w:uiPriority w:val="99"/>
    <w:semiHidden/>
    <w:rPr>
      <w:rFonts w:ascii="Times New Roman" w:hAnsi="Times New Roman" w:cs="Times New Roman"/>
      <w:sz w:val="36"/>
      <w:szCs w:val="36"/>
      <w:rtl w:val="0"/>
      <w:cs w:val="0"/>
    </w:rPr>
  </w:style>
  <w:style w:type="character" w:customStyle="1" w:styleId="ZkladntextChar175">
    <w:name w:val="Základný text Char175"/>
    <w:basedOn w:val="DefaultParagraphFont"/>
    <w:uiPriority w:val="99"/>
    <w:semiHidden/>
    <w:rPr>
      <w:rFonts w:ascii="Times New Roman" w:hAnsi="Times New Roman" w:cs="Times New Roman"/>
      <w:sz w:val="36"/>
      <w:szCs w:val="36"/>
      <w:rtl w:val="0"/>
      <w:cs w:val="0"/>
    </w:rPr>
  </w:style>
  <w:style w:type="character" w:customStyle="1" w:styleId="ZkladntextChar174">
    <w:name w:val="Základný text Char174"/>
    <w:basedOn w:val="DefaultParagraphFont"/>
    <w:uiPriority w:val="99"/>
    <w:semiHidden/>
    <w:rPr>
      <w:rFonts w:ascii="Times New Roman" w:hAnsi="Times New Roman" w:cs="Times New Roman"/>
      <w:sz w:val="36"/>
      <w:szCs w:val="36"/>
      <w:rtl w:val="0"/>
      <w:cs w:val="0"/>
    </w:rPr>
  </w:style>
  <w:style w:type="character" w:customStyle="1" w:styleId="ZkladntextChar173">
    <w:name w:val="Základný text Char173"/>
    <w:basedOn w:val="DefaultParagraphFont"/>
    <w:uiPriority w:val="99"/>
    <w:semiHidden/>
    <w:rPr>
      <w:rFonts w:ascii="Times New Roman" w:hAnsi="Times New Roman" w:cs="Times New Roman"/>
      <w:sz w:val="36"/>
      <w:szCs w:val="36"/>
      <w:rtl w:val="0"/>
      <w:cs w:val="0"/>
    </w:rPr>
  </w:style>
  <w:style w:type="character" w:customStyle="1" w:styleId="ZkladntextChar172">
    <w:name w:val="Základný text Char172"/>
    <w:basedOn w:val="DefaultParagraphFont"/>
    <w:uiPriority w:val="99"/>
    <w:semiHidden/>
    <w:rPr>
      <w:rFonts w:ascii="Times New Roman" w:hAnsi="Times New Roman" w:cs="Times New Roman"/>
      <w:sz w:val="36"/>
      <w:szCs w:val="36"/>
      <w:rtl w:val="0"/>
      <w:cs w:val="0"/>
    </w:rPr>
  </w:style>
  <w:style w:type="character" w:customStyle="1" w:styleId="ZkladntextChar171">
    <w:name w:val="Základný text Char171"/>
    <w:basedOn w:val="DefaultParagraphFont"/>
    <w:uiPriority w:val="99"/>
    <w:semiHidden/>
    <w:rPr>
      <w:rFonts w:ascii="Times New Roman" w:hAnsi="Times New Roman" w:cs="Times New Roman"/>
      <w:sz w:val="36"/>
      <w:szCs w:val="36"/>
      <w:rtl w:val="0"/>
      <w:cs w:val="0"/>
    </w:rPr>
  </w:style>
  <w:style w:type="character" w:customStyle="1" w:styleId="ZkladntextChar170">
    <w:name w:val="Základný text Char170"/>
    <w:basedOn w:val="DefaultParagraphFont"/>
    <w:uiPriority w:val="99"/>
    <w:semiHidden/>
    <w:rPr>
      <w:rFonts w:ascii="Times New Roman" w:hAnsi="Times New Roman" w:cs="Times New Roman"/>
      <w:sz w:val="36"/>
      <w:szCs w:val="36"/>
      <w:rtl w:val="0"/>
      <w:cs w:val="0"/>
    </w:rPr>
  </w:style>
  <w:style w:type="character" w:customStyle="1" w:styleId="ZkladntextChar169">
    <w:name w:val="Základný text Char169"/>
    <w:basedOn w:val="DefaultParagraphFont"/>
    <w:uiPriority w:val="99"/>
    <w:semiHidden/>
    <w:rPr>
      <w:rFonts w:ascii="Times New Roman" w:hAnsi="Times New Roman" w:cs="Times New Roman"/>
      <w:sz w:val="36"/>
      <w:szCs w:val="36"/>
      <w:rtl w:val="0"/>
      <w:cs w:val="0"/>
    </w:rPr>
  </w:style>
  <w:style w:type="character" w:customStyle="1" w:styleId="ZkladntextChar168">
    <w:name w:val="Základný text Char168"/>
    <w:basedOn w:val="DefaultParagraphFont"/>
    <w:uiPriority w:val="99"/>
    <w:semiHidden/>
    <w:rPr>
      <w:rFonts w:ascii="Times New Roman" w:hAnsi="Times New Roman" w:cs="Times New Roman"/>
      <w:sz w:val="36"/>
      <w:szCs w:val="36"/>
      <w:rtl w:val="0"/>
      <w:cs w:val="0"/>
    </w:rPr>
  </w:style>
  <w:style w:type="character" w:customStyle="1" w:styleId="ZkladntextChar167">
    <w:name w:val="Základný text Char167"/>
    <w:basedOn w:val="DefaultParagraphFont"/>
    <w:uiPriority w:val="99"/>
    <w:semiHidden/>
    <w:rPr>
      <w:rFonts w:ascii="Times New Roman" w:hAnsi="Times New Roman" w:cs="Times New Roman"/>
      <w:sz w:val="36"/>
      <w:szCs w:val="36"/>
      <w:rtl w:val="0"/>
      <w:cs w:val="0"/>
    </w:rPr>
  </w:style>
  <w:style w:type="character" w:customStyle="1" w:styleId="ZkladntextChar166">
    <w:name w:val="Základný text Char166"/>
    <w:basedOn w:val="DefaultParagraphFont"/>
    <w:uiPriority w:val="99"/>
    <w:semiHidden/>
    <w:rPr>
      <w:rFonts w:ascii="Times New Roman" w:hAnsi="Times New Roman" w:cs="Times New Roman"/>
      <w:sz w:val="36"/>
      <w:szCs w:val="36"/>
      <w:rtl w:val="0"/>
      <w:cs w:val="0"/>
    </w:rPr>
  </w:style>
  <w:style w:type="character" w:customStyle="1" w:styleId="ZkladntextChar165">
    <w:name w:val="Základný text Char165"/>
    <w:basedOn w:val="DefaultParagraphFont"/>
    <w:uiPriority w:val="99"/>
    <w:semiHidden/>
    <w:rPr>
      <w:rFonts w:ascii="Times New Roman" w:hAnsi="Times New Roman" w:cs="Times New Roman"/>
      <w:sz w:val="36"/>
      <w:szCs w:val="36"/>
      <w:rtl w:val="0"/>
      <w:cs w:val="0"/>
    </w:rPr>
  </w:style>
  <w:style w:type="character" w:customStyle="1" w:styleId="ZkladntextChar164">
    <w:name w:val="Základný text Char164"/>
    <w:basedOn w:val="DefaultParagraphFont"/>
    <w:uiPriority w:val="99"/>
    <w:semiHidden/>
    <w:rPr>
      <w:rFonts w:ascii="Times New Roman" w:hAnsi="Times New Roman" w:cs="Times New Roman"/>
      <w:sz w:val="36"/>
      <w:szCs w:val="36"/>
      <w:rtl w:val="0"/>
      <w:cs w:val="0"/>
    </w:rPr>
  </w:style>
  <w:style w:type="character" w:customStyle="1" w:styleId="ZkladntextChar163">
    <w:name w:val="Základný text Char163"/>
    <w:basedOn w:val="DefaultParagraphFont"/>
    <w:uiPriority w:val="99"/>
    <w:semiHidden/>
    <w:rPr>
      <w:rFonts w:ascii="Times New Roman" w:hAnsi="Times New Roman" w:cs="Times New Roman"/>
      <w:sz w:val="36"/>
      <w:szCs w:val="36"/>
      <w:rtl w:val="0"/>
      <w:cs w:val="0"/>
    </w:rPr>
  </w:style>
  <w:style w:type="character" w:customStyle="1" w:styleId="ZkladntextChar162">
    <w:name w:val="Základný text Char162"/>
    <w:basedOn w:val="DefaultParagraphFont"/>
    <w:uiPriority w:val="99"/>
    <w:semiHidden/>
    <w:rPr>
      <w:rFonts w:ascii="Times New Roman" w:hAnsi="Times New Roman" w:cs="Times New Roman"/>
      <w:sz w:val="36"/>
      <w:szCs w:val="36"/>
      <w:rtl w:val="0"/>
      <w:cs w:val="0"/>
    </w:rPr>
  </w:style>
  <w:style w:type="character" w:customStyle="1" w:styleId="ZkladntextChar161">
    <w:name w:val="Základný text Char161"/>
    <w:basedOn w:val="DefaultParagraphFont"/>
    <w:uiPriority w:val="99"/>
    <w:semiHidden/>
    <w:rPr>
      <w:rFonts w:ascii="Times New Roman" w:hAnsi="Times New Roman" w:cs="Times New Roman"/>
      <w:sz w:val="36"/>
      <w:szCs w:val="36"/>
      <w:rtl w:val="0"/>
      <w:cs w:val="0"/>
    </w:rPr>
  </w:style>
  <w:style w:type="character" w:customStyle="1" w:styleId="ZkladntextChar160">
    <w:name w:val="Základný text Char160"/>
    <w:basedOn w:val="DefaultParagraphFont"/>
    <w:uiPriority w:val="99"/>
    <w:semiHidden/>
    <w:rPr>
      <w:rFonts w:ascii="Times New Roman" w:hAnsi="Times New Roman" w:cs="Times New Roman"/>
      <w:sz w:val="36"/>
      <w:szCs w:val="36"/>
      <w:rtl w:val="0"/>
      <w:cs w:val="0"/>
    </w:rPr>
  </w:style>
  <w:style w:type="character" w:customStyle="1" w:styleId="ZkladntextChar159">
    <w:name w:val="Základný text Char159"/>
    <w:basedOn w:val="DefaultParagraphFont"/>
    <w:uiPriority w:val="99"/>
    <w:semiHidden/>
    <w:rPr>
      <w:rFonts w:ascii="Times New Roman" w:hAnsi="Times New Roman" w:cs="Times New Roman"/>
      <w:sz w:val="36"/>
      <w:szCs w:val="36"/>
      <w:rtl w:val="0"/>
      <w:cs w:val="0"/>
    </w:rPr>
  </w:style>
  <w:style w:type="character" w:customStyle="1" w:styleId="ZkladntextChar158">
    <w:name w:val="Základný text Char158"/>
    <w:basedOn w:val="DefaultParagraphFont"/>
    <w:uiPriority w:val="99"/>
    <w:semiHidden/>
    <w:rPr>
      <w:rFonts w:ascii="Times New Roman" w:hAnsi="Times New Roman" w:cs="Times New Roman"/>
      <w:sz w:val="36"/>
      <w:szCs w:val="36"/>
      <w:rtl w:val="0"/>
      <w:cs w:val="0"/>
    </w:rPr>
  </w:style>
  <w:style w:type="character" w:customStyle="1" w:styleId="ZkladntextChar157">
    <w:name w:val="Základný text Char157"/>
    <w:basedOn w:val="DefaultParagraphFont"/>
    <w:uiPriority w:val="99"/>
    <w:semiHidden/>
    <w:rPr>
      <w:rFonts w:ascii="Times New Roman" w:hAnsi="Times New Roman" w:cs="Times New Roman"/>
      <w:sz w:val="36"/>
      <w:szCs w:val="36"/>
      <w:rtl w:val="0"/>
      <w:cs w:val="0"/>
    </w:rPr>
  </w:style>
  <w:style w:type="character" w:customStyle="1" w:styleId="ZkladntextChar156">
    <w:name w:val="Základný text Char156"/>
    <w:basedOn w:val="DefaultParagraphFont"/>
    <w:uiPriority w:val="99"/>
    <w:semiHidden/>
    <w:rPr>
      <w:rFonts w:ascii="Times New Roman" w:hAnsi="Times New Roman" w:cs="Times New Roman"/>
      <w:sz w:val="36"/>
      <w:szCs w:val="36"/>
      <w:rtl w:val="0"/>
      <w:cs w:val="0"/>
    </w:rPr>
  </w:style>
  <w:style w:type="character" w:customStyle="1" w:styleId="ZkladntextChar155">
    <w:name w:val="Základný text Char155"/>
    <w:basedOn w:val="DefaultParagraphFont"/>
    <w:uiPriority w:val="99"/>
    <w:semiHidden/>
    <w:rPr>
      <w:rFonts w:ascii="Times New Roman" w:hAnsi="Times New Roman" w:cs="Times New Roman"/>
      <w:sz w:val="36"/>
      <w:szCs w:val="36"/>
      <w:rtl w:val="0"/>
      <w:cs w:val="0"/>
    </w:rPr>
  </w:style>
  <w:style w:type="character" w:customStyle="1" w:styleId="ZkladntextChar154">
    <w:name w:val="Základný text Char154"/>
    <w:basedOn w:val="DefaultParagraphFont"/>
    <w:uiPriority w:val="99"/>
    <w:semiHidden/>
    <w:rPr>
      <w:rFonts w:ascii="Times New Roman" w:hAnsi="Times New Roman" w:cs="Times New Roman"/>
      <w:sz w:val="36"/>
      <w:szCs w:val="36"/>
      <w:rtl w:val="0"/>
      <w:cs w:val="0"/>
    </w:rPr>
  </w:style>
  <w:style w:type="character" w:customStyle="1" w:styleId="ZkladntextChar153">
    <w:name w:val="Základný text Char153"/>
    <w:basedOn w:val="DefaultParagraphFont"/>
    <w:uiPriority w:val="99"/>
    <w:semiHidden/>
    <w:rPr>
      <w:rFonts w:ascii="Times New Roman" w:hAnsi="Times New Roman" w:cs="Times New Roman"/>
      <w:sz w:val="36"/>
      <w:szCs w:val="36"/>
      <w:rtl w:val="0"/>
      <w:cs w:val="0"/>
    </w:rPr>
  </w:style>
  <w:style w:type="character" w:customStyle="1" w:styleId="ZkladntextChar152">
    <w:name w:val="Základný text Char152"/>
    <w:basedOn w:val="DefaultParagraphFont"/>
    <w:uiPriority w:val="99"/>
    <w:semiHidden/>
    <w:rPr>
      <w:rFonts w:ascii="Times New Roman" w:hAnsi="Times New Roman" w:cs="Times New Roman"/>
      <w:sz w:val="36"/>
      <w:szCs w:val="36"/>
      <w:rtl w:val="0"/>
      <w:cs w:val="0"/>
    </w:rPr>
  </w:style>
  <w:style w:type="character" w:customStyle="1" w:styleId="ZkladntextChar151">
    <w:name w:val="Základný text Char151"/>
    <w:basedOn w:val="DefaultParagraphFont"/>
    <w:uiPriority w:val="99"/>
    <w:semiHidden/>
    <w:rPr>
      <w:rFonts w:ascii="Times New Roman" w:hAnsi="Times New Roman" w:cs="Times New Roman"/>
      <w:sz w:val="36"/>
      <w:szCs w:val="36"/>
      <w:rtl w:val="0"/>
      <w:cs w:val="0"/>
    </w:rPr>
  </w:style>
  <w:style w:type="character" w:customStyle="1" w:styleId="ZkladntextChar150">
    <w:name w:val="Základný text Char150"/>
    <w:basedOn w:val="DefaultParagraphFont"/>
    <w:uiPriority w:val="99"/>
    <w:semiHidden/>
    <w:rPr>
      <w:rFonts w:ascii="Times New Roman" w:hAnsi="Times New Roman" w:cs="Times New Roman"/>
      <w:sz w:val="36"/>
      <w:szCs w:val="36"/>
      <w:rtl w:val="0"/>
      <w:cs w:val="0"/>
    </w:rPr>
  </w:style>
  <w:style w:type="character" w:customStyle="1" w:styleId="ZkladntextChar149">
    <w:name w:val="Základný text Char149"/>
    <w:basedOn w:val="DefaultParagraphFont"/>
    <w:uiPriority w:val="99"/>
    <w:semiHidden/>
    <w:rPr>
      <w:rFonts w:ascii="Times New Roman" w:hAnsi="Times New Roman" w:cs="Times New Roman"/>
      <w:sz w:val="36"/>
      <w:szCs w:val="36"/>
      <w:rtl w:val="0"/>
      <w:cs w:val="0"/>
    </w:rPr>
  </w:style>
  <w:style w:type="character" w:customStyle="1" w:styleId="ZkladntextChar148">
    <w:name w:val="Základný text Char148"/>
    <w:basedOn w:val="DefaultParagraphFont"/>
    <w:uiPriority w:val="99"/>
    <w:semiHidden/>
    <w:rPr>
      <w:rFonts w:ascii="Times New Roman" w:hAnsi="Times New Roman" w:cs="Times New Roman"/>
      <w:sz w:val="36"/>
      <w:szCs w:val="36"/>
      <w:rtl w:val="0"/>
      <w:cs w:val="0"/>
    </w:rPr>
  </w:style>
  <w:style w:type="character" w:customStyle="1" w:styleId="ZkladntextChar147">
    <w:name w:val="Základný text Char147"/>
    <w:basedOn w:val="DefaultParagraphFont"/>
    <w:uiPriority w:val="99"/>
    <w:semiHidden/>
    <w:rPr>
      <w:rFonts w:ascii="Times New Roman" w:hAnsi="Times New Roman" w:cs="Times New Roman"/>
      <w:sz w:val="36"/>
      <w:szCs w:val="36"/>
      <w:rtl w:val="0"/>
      <w:cs w:val="0"/>
    </w:rPr>
  </w:style>
  <w:style w:type="character" w:customStyle="1" w:styleId="ZkladntextChar146">
    <w:name w:val="Základný text Char146"/>
    <w:basedOn w:val="DefaultParagraphFont"/>
    <w:uiPriority w:val="99"/>
    <w:semiHidden/>
    <w:rPr>
      <w:rFonts w:ascii="Times New Roman" w:hAnsi="Times New Roman" w:cs="Times New Roman"/>
      <w:sz w:val="36"/>
      <w:szCs w:val="36"/>
      <w:rtl w:val="0"/>
      <w:cs w:val="0"/>
    </w:rPr>
  </w:style>
  <w:style w:type="character" w:customStyle="1" w:styleId="ZkladntextChar145">
    <w:name w:val="Základný text Char145"/>
    <w:basedOn w:val="DefaultParagraphFont"/>
    <w:uiPriority w:val="99"/>
    <w:semiHidden/>
    <w:rPr>
      <w:rFonts w:ascii="Times New Roman" w:hAnsi="Times New Roman" w:cs="Times New Roman"/>
      <w:sz w:val="36"/>
      <w:szCs w:val="36"/>
      <w:rtl w:val="0"/>
      <w:cs w:val="0"/>
    </w:rPr>
  </w:style>
  <w:style w:type="character" w:customStyle="1" w:styleId="ZkladntextChar144">
    <w:name w:val="Základný text Char144"/>
    <w:basedOn w:val="DefaultParagraphFont"/>
    <w:uiPriority w:val="99"/>
    <w:semiHidden/>
    <w:rPr>
      <w:rFonts w:ascii="Times New Roman" w:hAnsi="Times New Roman" w:cs="Times New Roman"/>
      <w:sz w:val="36"/>
      <w:szCs w:val="36"/>
      <w:rtl w:val="0"/>
      <w:cs w:val="0"/>
    </w:rPr>
  </w:style>
  <w:style w:type="character" w:customStyle="1" w:styleId="ZkladntextChar143">
    <w:name w:val="Základný text Char143"/>
    <w:basedOn w:val="DefaultParagraphFont"/>
    <w:uiPriority w:val="99"/>
    <w:semiHidden/>
    <w:rPr>
      <w:rFonts w:ascii="Times New Roman" w:hAnsi="Times New Roman" w:cs="Times New Roman"/>
      <w:sz w:val="36"/>
      <w:szCs w:val="36"/>
      <w:rtl w:val="0"/>
      <w:cs w:val="0"/>
    </w:rPr>
  </w:style>
  <w:style w:type="character" w:customStyle="1" w:styleId="ZkladntextChar142">
    <w:name w:val="Základný text Char142"/>
    <w:basedOn w:val="DefaultParagraphFont"/>
    <w:uiPriority w:val="99"/>
    <w:semiHidden/>
    <w:rPr>
      <w:rFonts w:ascii="Times New Roman" w:hAnsi="Times New Roman" w:cs="Times New Roman"/>
      <w:sz w:val="36"/>
      <w:szCs w:val="36"/>
      <w:rtl w:val="0"/>
      <w:cs w:val="0"/>
    </w:rPr>
  </w:style>
  <w:style w:type="character" w:customStyle="1" w:styleId="ZkladntextChar141">
    <w:name w:val="Základný text Char141"/>
    <w:basedOn w:val="DefaultParagraphFont"/>
    <w:uiPriority w:val="99"/>
    <w:semiHidden/>
    <w:rPr>
      <w:rFonts w:ascii="Times New Roman" w:hAnsi="Times New Roman" w:cs="Times New Roman"/>
      <w:sz w:val="36"/>
      <w:szCs w:val="36"/>
      <w:rtl w:val="0"/>
      <w:cs w:val="0"/>
    </w:rPr>
  </w:style>
  <w:style w:type="character" w:customStyle="1" w:styleId="ZkladntextChar140">
    <w:name w:val="Základný text Char140"/>
    <w:basedOn w:val="DefaultParagraphFont"/>
    <w:uiPriority w:val="99"/>
    <w:semiHidden/>
    <w:rPr>
      <w:rFonts w:ascii="Times New Roman" w:hAnsi="Times New Roman" w:cs="Times New Roman"/>
      <w:sz w:val="36"/>
      <w:szCs w:val="36"/>
      <w:rtl w:val="0"/>
      <w:cs w:val="0"/>
    </w:rPr>
  </w:style>
  <w:style w:type="character" w:customStyle="1" w:styleId="ZkladntextChar139">
    <w:name w:val="Základný text Char139"/>
    <w:basedOn w:val="DefaultParagraphFont"/>
    <w:uiPriority w:val="99"/>
    <w:semiHidden/>
    <w:rPr>
      <w:rFonts w:ascii="Times New Roman" w:hAnsi="Times New Roman" w:cs="Times New Roman"/>
      <w:sz w:val="36"/>
      <w:szCs w:val="36"/>
      <w:rtl w:val="0"/>
      <w:cs w:val="0"/>
    </w:rPr>
  </w:style>
  <w:style w:type="character" w:customStyle="1" w:styleId="ZkladntextChar138">
    <w:name w:val="Základný text Char138"/>
    <w:basedOn w:val="DefaultParagraphFont"/>
    <w:uiPriority w:val="99"/>
    <w:semiHidden/>
    <w:rPr>
      <w:rFonts w:ascii="Times New Roman" w:hAnsi="Times New Roman" w:cs="Times New Roman"/>
      <w:sz w:val="36"/>
      <w:szCs w:val="36"/>
      <w:rtl w:val="0"/>
      <w:cs w:val="0"/>
    </w:rPr>
  </w:style>
  <w:style w:type="character" w:customStyle="1" w:styleId="ZkladntextChar137">
    <w:name w:val="Základný text Char137"/>
    <w:basedOn w:val="DefaultParagraphFont"/>
    <w:uiPriority w:val="99"/>
    <w:semiHidden/>
    <w:rPr>
      <w:rFonts w:ascii="Times New Roman" w:hAnsi="Times New Roman" w:cs="Times New Roman"/>
      <w:sz w:val="36"/>
      <w:szCs w:val="36"/>
      <w:rtl w:val="0"/>
      <w:cs w:val="0"/>
    </w:rPr>
  </w:style>
  <w:style w:type="character" w:customStyle="1" w:styleId="ZkladntextChar136">
    <w:name w:val="Základný text Char136"/>
    <w:basedOn w:val="DefaultParagraphFont"/>
    <w:uiPriority w:val="99"/>
    <w:semiHidden/>
    <w:rPr>
      <w:rFonts w:ascii="Times New Roman" w:hAnsi="Times New Roman" w:cs="Times New Roman"/>
      <w:sz w:val="36"/>
      <w:szCs w:val="36"/>
      <w:rtl w:val="0"/>
      <w:cs w:val="0"/>
    </w:rPr>
  </w:style>
  <w:style w:type="character" w:customStyle="1" w:styleId="ZkladntextChar135">
    <w:name w:val="Základný text Char135"/>
    <w:basedOn w:val="DefaultParagraphFont"/>
    <w:uiPriority w:val="99"/>
    <w:semiHidden/>
    <w:rPr>
      <w:rFonts w:ascii="Times New Roman" w:hAnsi="Times New Roman" w:cs="Times New Roman"/>
      <w:sz w:val="36"/>
      <w:szCs w:val="36"/>
      <w:rtl w:val="0"/>
      <w:cs w:val="0"/>
    </w:rPr>
  </w:style>
  <w:style w:type="character" w:customStyle="1" w:styleId="ZkladntextChar134">
    <w:name w:val="Základný text Char134"/>
    <w:basedOn w:val="DefaultParagraphFont"/>
    <w:uiPriority w:val="99"/>
    <w:semiHidden/>
    <w:rPr>
      <w:rFonts w:ascii="Times New Roman" w:hAnsi="Times New Roman" w:cs="Times New Roman"/>
      <w:sz w:val="36"/>
      <w:szCs w:val="36"/>
      <w:rtl w:val="0"/>
      <w:cs w:val="0"/>
    </w:rPr>
  </w:style>
  <w:style w:type="character" w:customStyle="1" w:styleId="ZkladntextChar133">
    <w:name w:val="Základný text Char133"/>
    <w:basedOn w:val="DefaultParagraphFont"/>
    <w:uiPriority w:val="99"/>
    <w:semiHidden/>
    <w:rPr>
      <w:rFonts w:ascii="Times New Roman" w:hAnsi="Times New Roman" w:cs="Times New Roman"/>
      <w:sz w:val="36"/>
      <w:szCs w:val="36"/>
      <w:rtl w:val="0"/>
      <w:cs w:val="0"/>
    </w:rPr>
  </w:style>
  <w:style w:type="character" w:customStyle="1" w:styleId="ZkladntextChar132">
    <w:name w:val="Základný text Char132"/>
    <w:basedOn w:val="DefaultParagraphFont"/>
    <w:uiPriority w:val="99"/>
    <w:semiHidden/>
    <w:rPr>
      <w:rFonts w:ascii="Times New Roman" w:hAnsi="Times New Roman" w:cs="Times New Roman"/>
      <w:sz w:val="36"/>
      <w:szCs w:val="36"/>
      <w:rtl w:val="0"/>
      <w:cs w:val="0"/>
    </w:rPr>
  </w:style>
  <w:style w:type="character" w:customStyle="1" w:styleId="ZkladntextChar131">
    <w:name w:val="Základný text Char131"/>
    <w:basedOn w:val="DefaultParagraphFont"/>
    <w:uiPriority w:val="99"/>
    <w:semiHidden/>
    <w:rPr>
      <w:rFonts w:ascii="Times New Roman" w:hAnsi="Times New Roman" w:cs="Times New Roman"/>
      <w:sz w:val="36"/>
      <w:szCs w:val="36"/>
      <w:rtl w:val="0"/>
      <w:cs w:val="0"/>
    </w:rPr>
  </w:style>
  <w:style w:type="character" w:customStyle="1" w:styleId="ZkladntextChar130">
    <w:name w:val="Základný text Char130"/>
    <w:basedOn w:val="DefaultParagraphFont"/>
    <w:uiPriority w:val="99"/>
    <w:semiHidden/>
    <w:rPr>
      <w:rFonts w:ascii="Times New Roman" w:hAnsi="Times New Roman" w:cs="Times New Roman"/>
      <w:sz w:val="36"/>
      <w:szCs w:val="36"/>
      <w:rtl w:val="0"/>
      <w:cs w:val="0"/>
    </w:rPr>
  </w:style>
  <w:style w:type="character" w:customStyle="1" w:styleId="ZkladntextChar129">
    <w:name w:val="Základný text Char129"/>
    <w:basedOn w:val="DefaultParagraphFont"/>
    <w:uiPriority w:val="99"/>
    <w:semiHidden/>
    <w:rPr>
      <w:rFonts w:ascii="Times New Roman" w:hAnsi="Times New Roman" w:cs="Times New Roman"/>
      <w:sz w:val="36"/>
      <w:szCs w:val="36"/>
      <w:rtl w:val="0"/>
      <w:cs w:val="0"/>
    </w:rPr>
  </w:style>
  <w:style w:type="character" w:customStyle="1" w:styleId="ZkladntextChar128">
    <w:name w:val="Základný text Char128"/>
    <w:basedOn w:val="DefaultParagraphFont"/>
    <w:uiPriority w:val="99"/>
    <w:semiHidden/>
    <w:rPr>
      <w:rFonts w:ascii="Times New Roman" w:hAnsi="Times New Roman" w:cs="Times New Roman"/>
      <w:sz w:val="36"/>
      <w:szCs w:val="36"/>
      <w:rtl w:val="0"/>
      <w:cs w:val="0"/>
    </w:rPr>
  </w:style>
  <w:style w:type="character" w:customStyle="1" w:styleId="ZkladntextChar127">
    <w:name w:val="Základný text Char127"/>
    <w:basedOn w:val="DefaultParagraphFont"/>
    <w:uiPriority w:val="99"/>
    <w:semiHidden/>
    <w:rPr>
      <w:rFonts w:ascii="Times New Roman" w:hAnsi="Times New Roman" w:cs="Times New Roman"/>
      <w:sz w:val="36"/>
      <w:szCs w:val="36"/>
      <w:rtl w:val="0"/>
      <w:cs w:val="0"/>
    </w:rPr>
  </w:style>
  <w:style w:type="character" w:customStyle="1" w:styleId="ZkladntextChar126">
    <w:name w:val="Základný text Char126"/>
    <w:basedOn w:val="DefaultParagraphFont"/>
    <w:uiPriority w:val="99"/>
    <w:semiHidden/>
    <w:rPr>
      <w:rFonts w:ascii="Times New Roman" w:hAnsi="Times New Roman" w:cs="Times New Roman"/>
      <w:sz w:val="36"/>
      <w:szCs w:val="36"/>
      <w:rtl w:val="0"/>
      <w:cs w:val="0"/>
    </w:rPr>
  </w:style>
  <w:style w:type="character" w:customStyle="1" w:styleId="ZkladntextChar125">
    <w:name w:val="Základný text Char125"/>
    <w:basedOn w:val="DefaultParagraphFont"/>
    <w:uiPriority w:val="99"/>
    <w:semiHidden/>
    <w:rPr>
      <w:rFonts w:ascii="Times New Roman" w:hAnsi="Times New Roman" w:cs="Times New Roman"/>
      <w:sz w:val="36"/>
      <w:szCs w:val="36"/>
      <w:rtl w:val="0"/>
      <w:cs w:val="0"/>
    </w:rPr>
  </w:style>
  <w:style w:type="character" w:customStyle="1" w:styleId="ZkladntextChar124">
    <w:name w:val="Základný text Char124"/>
    <w:basedOn w:val="DefaultParagraphFont"/>
    <w:uiPriority w:val="99"/>
    <w:semiHidden/>
    <w:rPr>
      <w:rFonts w:ascii="Times New Roman" w:hAnsi="Times New Roman" w:cs="Times New Roman"/>
      <w:sz w:val="36"/>
      <w:szCs w:val="36"/>
      <w:rtl w:val="0"/>
      <w:cs w:val="0"/>
    </w:rPr>
  </w:style>
  <w:style w:type="character" w:customStyle="1" w:styleId="ZkladntextChar123">
    <w:name w:val="Základný text Char123"/>
    <w:basedOn w:val="DefaultParagraphFont"/>
    <w:uiPriority w:val="99"/>
    <w:semiHidden/>
    <w:rPr>
      <w:rFonts w:ascii="Times New Roman" w:hAnsi="Times New Roman" w:cs="Times New Roman"/>
      <w:sz w:val="36"/>
      <w:szCs w:val="36"/>
      <w:rtl w:val="0"/>
      <w:cs w:val="0"/>
    </w:rPr>
  </w:style>
  <w:style w:type="character" w:customStyle="1" w:styleId="ZkladntextChar122">
    <w:name w:val="Základný text Char122"/>
    <w:basedOn w:val="DefaultParagraphFont"/>
    <w:uiPriority w:val="99"/>
    <w:semiHidden/>
    <w:rPr>
      <w:rFonts w:ascii="Times New Roman" w:hAnsi="Times New Roman" w:cs="Times New Roman"/>
      <w:sz w:val="36"/>
      <w:szCs w:val="36"/>
      <w:rtl w:val="0"/>
      <w:cs w:val="0"/>
    </w:rPr>
  </w:style>
  <w:style w:type="character" w:customStyle="1" w:styleId="ZkladntextChar121">
    <w:name w:val="Základný text Char121"/>
    <w:basedOn w:val="DefaultParagraphFont"/>
    <w:uiPriority w:val="99"/>
    <w:semiHidden/>
    <w:rPr>
      <w:rFonts w:ascii="Times New Roman" w:hAnsi="Times New Roman" w:cs="Times New Roman"/>
      <w:sz w:val="36"/>
      <w:szCs w:val="36"/>
      <w:rtl w:val="0"/>
      <w:cs w:val="0"/>
    </w:rPr>
  </w:style>
  <w:style w:type="character" w:customStyle="1" w:styleId="ZkladntextChar120">
    <w:name w:val="Základný text Char120"/>
    <w:basedOn w:val="DefaultParagraphFont"/>
    <w:uiPriority w:val="99"/>
    <w:semiHidden/>
    <w:rPr>
      <w:rFonts w:ascii="Times New Roman" w:hAnsi="Times New Roman" w:cs="Times New Roman"/>
      <w:sz w:val="36"/>
      <w:szCs w:val="36"/>
      <w:rtl w:val="0"/>
      <w:cs w:val="0"/>
    </w:rPr>
  </w:style>
  <w:style w:type="character" w:customStyle="1" w:styleId="ZkladntextChar119">
    <w:name w:val="Základný text Char119"/>
    <w:basedOn w:val="DefaultParagraphFont"/>
    <w:uiPriority w:val="99"/>
    <w:semiHidden/>
    <w:rPr>
      <w:rFonts w:ascii="Times New Roman" w:hAnsi="Times New Roman" w:cs="Times New Roman"/>
      <w:sz w:val="36"/>
      <w:szCs w:val="36"/>
      <w:rtl w:val="0"/>
      <w:cs w:val="0"/>
    </w:rPr>
  </w:style>
  <w:style w:type="character" w:customStyle="1" w:styleId="ZkladntextChar118">
    <w:name w:val="Základný text Char118"/>
    <w:basedOn w:val="DefaultParagraphFont"/>
    <w:uiPriority w:val="99"/>
    <w:semiHidden/>
    <w:rPr>
      <w:rFonts w:ascii="Times New Roman" w:hAnsi="Times New Roman" w:cs="Times New Roman"/>
      <w:sz w:val="36"/>
      <w:szCs w:val="36"/>
      <w:rtl w:val="0"/>
      <w:cs w:val="0"/>
    </w:rPr>
  </w:style>
  <w:style w:type="character" w:customStyle="1" w:styleId="ZkladntextChar117">
    <w:name w:val="Základný text Char117"/>
    <w:basedOn w:val="DefaultParagraphFont"/>
    <w:uiPriority w:val="99"/>
    <w:semiHidden/>
    <w:rPr>
      <w:rFonts w:ascii="Times New Roman" w:hAnsi="Times New Roman" w:cs="Times New Roman"/>
      <w:sz w:val="36"/>
      <w:szCs w:val="36"/>
      <w:rtl w:val="0"/>
      <w:cs w:val="0"/>
    </w:rPr>
  </w:style>
  <w:style w:type="character" w:customStyle="1" w:styleId="ZkladntextChar116">
    <w:name w:val="Základný text Char116"/>
    <w:basedOn w:val="DefaultParagraphFont"/>
    <w:uiPriority w:val="99"/>
    <w:semiHidden/>
    <w:rPr>
      <w:rFonts w:ascii="Times New Roman" w:hAnsi="Times New Roman" w:cs="Times New Roman"/>
      <w:sz w:val="36"/>
      <w:szCs w:val="36"/>
      <w:rtl w:val="0"/>
      <w:cs w:val="0"/>
    </w:rPr>
  </w:style>
  <w:style w:type="character" w:customStyle="1" w:styleId="ZkladntextChar115">
    <w:name w:val="Základný text Char115"/>
    <w:basedOn w:val="DefaultParagraphFont"/>
    <w:uiPriority w:val="99"/>
    <w:semiHidden/>
    <w:rPr>
      <w:rFonts w:ascii="Times New Roman" w:hAnsi="Times New Roman" w:cs="Times New Roman"/>
      <w:sz w:val="36"/>
      <w:szCs w:val="36"/>
      <w:rtl w:val="0"/>
      <w:cs w:val="0"/>
    </w:rPr>
  </w:style>
  <w:style w:type="character" w:customStyle="1" w:styleId="ZkladntextChar114">
    <w:name w:val="Základný text Char114"/>
    <w:basedOn w:val="DefaultParagraphFont"/>
    <w:uiPriority w:val="99"/>
    <w:semiHidden/>
    <w:rPr>
      <w:rFonts w:ascii="Times New Roman" w:hAnsi="Times New Roman" w:cs="Times New Roman"/>
      <w:sz w:val="36"/>
      <w:szCs w:val="36"/>
      <w:rtl w:val="0"/>
      <w:cs w:val="0"/>
    </w:rPr>
  </w:style>
  <w:style w:type="character" w:customStyle="1" w:styleId="ZkladntextChar113">
    <w:name w:val="Základný text Char113"/>
    <w:basedOn w:val="DefaultParagraphFont"/>
    <w:uiPriority w:val="99"/>
    <w:semiHidden/>
    <w:rPr>
      <w:rFonts w:ascii="Times New Roman" w:hAnsi="Times New Roman" w:cs="Times New Roman"/>
      <w:sz w:val="36"/>
      <w:szCs w:val="36"/>
      <w:rtl w:val="0"/>
      <w:cs w:val="0"/>
    </w:rPr>
  </w:style>
  <w:style w:type="character" w:customStyle="1" w:styleId="ZkladntextChar112">
    <w:name w:val="Základný text Char112"/>
    <w:basedOn w:val="DefaultParagraphFont"/>
    <w:uiPriority w:val="99"/>
    <w:semiHidden/>
    <w:rPr>
      <w:rFonts w:ascii="Times New Roman" w:hAnsi="Times New Roman" w:cs="Times New Roman"/>
      <w:sz w:val="36"/>
      <w:szCs w:val="36"/>
      <w:rtl w:val="0"/>
      <w:cs w:val="0"/>
    </w:rPr>
  </w:style>
  <w:style w:type="character" w:customStyle="1" w:styleId="ZkladntextChar111">
    <w:name w:val="Základný text Char111"/>
    <w:basedOn w:val="DefaultParagraphFont"/>
    <w:uiPriority w:val="99"/>
    <w:semiHidden/>
    <w:rPr>
      <w:rFonts w:ascii="Times New Roman" w:hAnsi="Times New Roman" w:cs="Times New Roman"/>
      <w:sz w:val="36"/>
      <w:szCs w:val="36"/>
      <w:rtl w:val="0"/>
      <w:cs w:val="0"/>
    </w:rPr>
  </w:style>
  <w:style w:type="character" w:customStyle="1" w:styleId="ZkladntextChar110">
    <w:name w:val="Základný text Char110"/>
    <w:basedOn w:val="DefaultParagraphFont"/>
    <w:uiPriority w:val="99"/>
    <w:semiHidden/>
    <w:rPr>
      <w:rFonts w:ascii="Times New Roman" w:hAnsi="Times New Roman" w:cs="Times New Roman"/>
      <w:sz w:val="36"/>
      <w:szCs w:val="36"/>
      <w:rtl w:val="0"/>
      <w:cs w:val="0"/>
    </w:rPr>
  </w:style>
  <w:style w:type="character" w:customStyle="1" w:styleId="ZkladntextChar19">
    <w:name w:val="Základný text Char19"/>
    <w:basedOn w:val="DefaultParagraphFont"/>
    <w:uiPriority w:val="99"/>
    <w:semiHidden/>
    <w:rPr>
      <w:rFonts w:ascii="Times New Roman" w:hAnsi="Times New Roman" w:cs="Times New Roman"/>
      <w:sz w:val="36"/>
      <w:szCs w:val="36"/>
      <w:rtl w:val="0"/>
      <w:cs w:val="0"/>
    </w:rPr>
  </w:style>
  <w:style w:type="character" w:customStyle="1" w:styleId="ZkladntextChar18">
    <w:name w:val="Základný text Char18"/>
    <w:basedOn w:val="DefaultParagraphFont"/>
    <w:uiPriority w:val="99"/>
    <w:semiHidden/>
    <w:rPr>
      <w:rFonts w:ascii="Times New Roman" w:hAnsi="Times New Roman" w:cs="Times New Roman"/>
      <w:sz w:val="36"/>
      <w:szCs w:val="36"/>
      <w:rtl w:val="0"/>
      <w:cs w:val="0"/>
    </w:rPr>
  </w:style>
  <w:style w:type="character" w:customStyle="1" w:styleId="ZkladntextChar17">
    <w:name w:val="Základný text Char17"/>
    <w:basedOn w:val="DefaultParagraphFont"/>
    <w:uiPriority w:val="99"/>
    <w:semiHidden/>
    <w:rPr>
      <w:rFonts w:ascii="Times New Roman" w:hAnsi="Times New Roman" w:cs="Times New Roman"/>
      <w:sz w:val="36"/>
      <w:szCs w:val="36"/>
      <w:rtl w:val="0"/>
      <w:cs w:val="0"/>
    </w:rPr>
  </w:style>
  <w:style w:type="character" w:customStyle="1" w:styleId="ZkladntextChar16">
    <w:name w:val="Základný text Char16"/>
    <w:basedOn w:val="DefaultParagraphFont"/>
    <w:uiPriority w:val="99"/>
    <w:semiHidden/>
    <w:rPr>
      <w:rFonts w:ascii="Times New Roman" w:hAnsi="Times New Roman" w:cs="Times New Roman"/>
      <w:sz w:val="36"/>
      <w:szCs w:val="36"/>
      <w:rtl w:val="0"/>
      <w:cs w:val="0"/>
    </w:rPr>
  </w:style>
  <w:style w:type="character" w:customStyle="1" w:styleId="ZkladntextChar15">
    <w:name w:val="Základný text Char15"/>
    <w:basedOn w:val="DefaultParagraphFont"/>
    <w:uiPriority w:val="99"/>
    <w:semiHidden/>
    <w:rPr>
      <w:rFonts w:ascii="Times New Roman" w:hAnsi="Times New Roman" w:cs="Times New Roman"/>
      <w:sz w:val="36"/>
      <w:szCs w:val="36"/>
      <w:rtl w:val="0"/>
      <w:cs w:val="0"/>
    </w:rPr>
  </w:style>
  <w:style w:type="character" w:customStyle="1" w:styleId="ZkladntextChar14">
    <w:name w:val="Základný text Char14"/>
    <w:basedOn w:val="DefaultParagraphFont"/>
    <w:uiPriority w:val="99"/>
    <w:semiHidden/>
    <w:rPr>
      <w:rFonts w:ascii="Times New Roman" w:hAnsi="Times New Roman" w:cs="Times New Roman"/>
      <w:sz w:val="36"/>
      <w:szCs w:val="36"/>
      <w:rtl w:val="0"/>
      <w:cs w:val="0"/>
    </w:rPr>
  </w:style>
  <w:style w:type="character" w:customStyle="1" w:styleId="ZkladntextChar13">
    <w:name w:val="Základný text Char13"/>
    <w:basedOn w:val="DefaultParagraphFont"/>
    <w:uiPriority w:val="99"/>
    <w:semiHidden/>
    <w:rPr>
      <w:rFonts w:ascii="Times New Roman" w:hAnsi="Times New Roman" w:cs="Times New Roman"/>
      <w:sz w:val="36"/>
      <w:szCs w:val="36"/>
      <w:rtl w:val="0"/>
      <w:cs w:val="0"/>
    </w:rPr>
  </w:style>
  <w:style w:type="character" w:customStyle="1" w:styleId="ZkladntextChar12">
    <w:name w:val="Základný text Char12"/>
    <w:basedOn w:val="DefaultParagraphFont"/>
    <w:uiPriority w:val="99"/>
    <w:semiHidden/>
    <w:rPr>
      <w:rFonts w:ascii="Times New Roman" w:hAnsi="Times New Roman" w:cs="Times New Roman"/>
      <w:sz w:val="36"/>
      <w:szCs w:val="36"/>
      <w:rtl w:val="0"/>
      <w:cs w:val="0"/>
    </w:rPr>
  </w:style>
  <w:style w:type="character" w:customStyle="1" w:styleId="ZkladntextChar11">
    <w:name w:val="Základný text Char11"/>
    <w:basedOn w:val="DefaultParagraphFont"/>
    <w:uiPriority w:val="99"/>
    <w:semiHidden/>
    <w:rPr>
      <w:rFonts w:ascii="Times New Roman" w:hAnsi="Times New Roman" w:cs="Times New Roman"/>
      <w:sz w:val="36"/>
      <w:szCs w:val="36"/>
      <w:rtl w:val="0"/>
      <w:cs w:val="0"/>
    </w:rPr>
  </w:style>
  <w:style w:type="paragraph" w:styleId="BodyTextIndent">
    <w:name w:val="Body Text Indent"/>
    <w:basedOn w:val="Normal"/>
    <w:link w:val="ZarkazkladnhotextuChar"/>
    <w:uiPriority w:val="99"/>
    <w:rsid w:val="00233644"/>
    <w:pPr>
      <w:spacing w:line="240" w:lineRule="auto"/>
      <w:ind w:left="283"/>
      <w:jc w:val="left"/>
    </w:pPr>
    <w:rPr>
      <w:sz w:val="24"/>
      <w:szCs w:val="20"/>
    </w:rPr>
  </w:style>
  <w:style w:type="character" w:customStyle="1" w:styleId="ZarkazkladnhotextuChar">
    <w:name w:val="Zarážka základného textu Char"/>
    <w:basedOn w:val="DefaultParagraphFont"/>
    <w:link w:val="BodyTextIndent"/>
    <w:uiPriority w:val="99"/>
    <w:locked/>
    <w:rsid w:val="00233644"/>
    <w:rPr>
      <w:rFonts w:ascii="Times New Roman" w:hAnsi="Times New Roman" w:cs="Times New Roman"/>
      <w:sz w:val="20"/>
      <w:szCs w:val="20"/>
      <w:rtl w:val="0"/>
      <w:cs w:val="0"/>
      <w:lang w:val="x-none" w:eastAsia="x-none"/>
    </w:rPr>
  </w:style>
  <w:style w:type="paragraph" w:customStyle="1" w:styleId="Zkladntext">
    <w:name w:val="Základní text"/>
    <w:rsid w:val="00233644"/>
    <w:pPr>
      <w:framePr w:wrap="auto"/>
      <w:widowControl w:val="0"/>
      <w:autoSpaceDE/>
      <w:autoSpaceDN/>
      <w:adjustRightInd/>
      <w:ind w:left="0" w:right="0"/>
      <w:jc w:val="left"/>
      <w:textAlignment w:val="auto"/>
    </w:pPr>
    <w:rPr>
      <w:rFonts w:cs="Times New Roman"/>
      <w:color w:val="000000"/>
      <w:sz w:val="26"/>
      <w:szCs w:val="20"/>
      <w:rtl w:val="0"/>
      <w:cs w:val="0"/>
      <w:lang w:val="sk-SK" w:eastAsia="sk-SK" w:bidi="ar-SA"/>
    </w:rPr>
  </w:style>
  <w:style w:type="paragraph" w:styleId="BodyText2">
    <w:name w:val="Body Text 2"/>
    <w:basedOn w:val="Normal"/>
    <w:link w:val="Zkladntext2Char"/>
    <w:uiPriority w:val="99"/>
    <w:unhideWhenUsed/>
    <w:rsid w:val="00233644"/>
    <w:pPr>
      <w:spacing w:line="480" w:lineRule="auto"/>
      <w:jc w:val="left"/>
    </w:pPr>
    <w:rPr>
      <w:sz w:val="24"/>
      <w:szCs w:val="20"/>
    </w:rPr>
  </w:style>
  <w:style w:type="character" w:customStyle="1" w:styleId="Zkladntext2Char">
    <w:name w:val="Základný text 2 Char"/>
    <w:basedOn w:val="DefaultParagraphFont"/>
    <w:link w:val="BodyText2"/>
    <w:uiPriority w:val="99"/>
    <w:locked/>
    <w:rsid w:val="00233644"/>
    <w:rPr>
      <w:rFonts w:ascii="Times New Roman" w:hAnsi="Times New Roman" w:cs="Times New Roman"/>
      <w:sz w:val="20"/>
      <w:szCs w:val="20"/>
      <w:rtl w:val="0"/>
      <w:cs w:val="0"/>
      <w:lang w:val="x-none" w:eastAsia="x-none"/>
    </w:rPr>
  </w:style>
  <w:style w:type="paragraph" w:styleId="NoSpacing">
    <w:name w:val="No Spacing"/>
    <w:uiPriority w:val="1"/>
    <w:qFormat/>
    <w:rsid w:val="00233644"/>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CommentText">
    <w:name w:val="annotation text"/>
    <w:basedOn w:val="Normal"/>
    <w:link w:val="TextkomentraChar"/>
    <w:uiPriority w:val="99"/>
    <w:unhideWhenUsed/>
    <w:rsid w:val="00233644"/>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locked/>
    <w:rsid w:val="00233644"/>
    <w:rPr>
      <w:rFonts w:ascii="Times New Roman" w:hAnsi="Times New Roman" w:cs="Times New Roman"/>
      <w:sz w:val="20"/>
      <w:szCs w:val="20"/>
      <w:rtl w:val="0"/>
      <w:cs w:val="0"/>
      <w:lang w:val="x-none" w:eastAsia="sk-SK"/>
    </w:rPr>
  </w:style>
  <w:style w:type="character" w:customStyle="1" w:styleId="PredmetkomentraChar">
    <w:name w:val="Predmet komentára Char"/>
    <w:basedOn w:val="TextkomentraChar"/>
    <w:link w:val="CommentSubject"/>
    <w:uiPriority w:val="99"/>
    <w:semiHidden/>
    <w:locked/>
    <w:rsid w:val="00233644"/>
    <w:rPr>
      <w:b/>
      <w:bCs/>
    </w:rPr>
  </w:style>
  <w:style w:type="paragraph" w:styleId="CommentSubject">
    <w:name w:val="annotation subject"/>
    <w:basedOn w:val="CommentText"/>
    <w:next w:val="CommentText"/>
    <w:link w:val="PredmetkomentraChar"/>
    <w:uiPriority w:val="99"/>
    <w:semiHidden/>
    <w:unhideWhenUsed/>
    <w:rsid w:val="00233644"/>
    <w:pPr>
      <w:spacing w:after="0" w:line="240" w:lineRule="auto"/>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78">
    <w:name w:val="Predmet komentára Char178"/>
    <w:basedOn w:val="TextkomentraChar"/>
    <w:uiPriority w:val="99"/>
    <w:semiHidden/>
    <w:rPr>
      <w:b/>
      <w:bCs/>
    </w:rPr>
  </w:style>
  <w:style w:type="character" w:customStyle="1" w:styleId="PredmetkomentraChar177">
    <w:name w:val="Predmet komentára Char177"/>
    <w:basedOn w:val="TextkomentraChar"/>
    <w:uiPriority w:val="99"/>
    <w:semiHidden/>
    <w:rPr>
      <w:b/>
      <w:bCs/>
    </w:rPr>
  </w:style>
  <w:style w:type="character" w:customStyle="1" w:styleId="PredmetkomentraChar176">
    <w:name w:val="Predmet komentára Char176"/>
    <w:basedOn w:val="TextkomentraChar"/>
    <w:uiPriority w:val="99"/>
    <w:semiHidden/>
    <w:rPr>
      <w:b/>
      <w:bCs/>
    </w:rPr>
  </w:style>
  <w:style w:type="character" w:customStyle="1" w:styleId="PredmetkomentraChar175">
    <w:name w:val="Predmet komentára Char175"/>
    <w:basedOn w:val="TextkomentraChar"/>
    <w:uiPriority w:val="99"/>
    <w:semiHidden/>
    <w:rPr>
      <w:b/>
      <w:bCs/>
    </w:rPr>
  </w:style>
  <w:style w:type="character" w:customStyle="1" w:styleId="PredmetkomentraChar174">
    <w:name w:val="Predmet komentára Char174"/>
    <w:basedOn w:val="TextkomentraChar"/>
    <w:uiPriority w:val="99"/>
    <w:semiHidden/>
    <w:rPr>
      <w:b/>
      <w:bCs/>
    </w:rPr>
  </w:style>
  <w:style w:type="character" w:customStyle="1" w:styleId="PredmetkomentraChar173">
    <w:name w:val="Predmet komentára Char173"/>
    <w:basedOn w:val="TextkomentraChar"/>
    <w:uiPriority w:val="99"/>
    <w:semiHidden/>
    <w:rPr>
      <w:b/>
      <w:bCs/>
    </w:rPr>
  </w:style>
  <w:style w:type="character" w:customStyle="1" w:styleId="PredmetkomentraChar172">
    <w:name w:val="Predmet komentára Char172"/>
    <w:basedOn w:val="TextkomentraChar"/>
    <w:uiPriority w:val="99"/>
    <w:semiHidden/>
    <w:rPr>
      <w:b/>
      <w:bCs/>
    </w:rPr>
  </w:style>
  <w:style w:type="character" w:customStyle="1" w:styleId="PredmetkomentraChar171">
    <w:name w:val="Predmet komentára Char171"/>
    <w:basedOn w:val="TextkomentraChar"/>
    <w:uiPriority w:val="99"/>
    <w:semiHidden/>
    <w:rPr>
      <w:b/>
      <w:bCs/>
    </w:rPr>
  </w:style>
  <w:style w:type="character" w:customStyle="1" w:styleId="PredmetkomentraChar170">
    <w:name w:val="Predmet komentára Char170"/>
    <w:basedOn w:val="TextkomentraChar"/>
    <w:uiPriority w:val="99"/>
    <w:semiHidden/>
    <w:rPr>
      <w:b/>
      <w:bCs/>
    </w:rPr>
  </w:style>
  <w:style w:type="character" w:customStyle="1" w:styleId="PredmetkomentraChar169">
    <w:name w:val="Predmet komentára Char169"/>
    <w:basedOn w:val="TextkomentraChar"/>
    <w:uiPriority w:val="99"/>
    <w:semiHidden/>
    <w:rPr>
      <w:b/>
      <w:bCs/>
    </w:rPr>
  </w:style>
  <w:style w:type="character" w:customStyle="1" w:styleId="PredmetkomentraChar168">
    <w:name w:val="Predmet komentára Char168"/>
    <w:basedOn w:val="TextkomentraChar"/>
    <w:uiPriority w:val="99"/>
    <w:semiHidden/>
    <w:rPr>
      <w:b/>
      <w:bCs/>
    </w:rPr>
  </w:style>
  <w:style w:type="character" w:customStyle="1" w:styleId="PredmetkomentraChar167">
    <w:name w:val="Predmet komentára Char167"/>
    <w:basedOn w:val="TextkomentraChar"/>
    <w:uiPriority w:val="99"/>
    <w:semiHidden/>
    <w:rPr>
      <w:b/>
      <w:bCs/>
    </w:rPr>
  </w:style>
  <w:style w:type="character" w:customStyle="1" w:styleId="PredmetkomentraChar166">
    <w:name w:val="Predmet komentára Char166"/>
    <w:basedOn w:val="TextkomentraChar"/>
    <w:uiPriority w:val="99"/>
    <w:semiHidden/>
    <w:rPr>
      <w:b/>
      <w:bCs/>
    </w:rPr>
  </w:style>
  <w:style w:type="character" w:customStyle="1" w:styleId="PredmetkomentraChar165">
    <w:name w:val="Predmet komentára Char165"/>
    <w:basedOn w:val="TextkomentraChar"/>
    <w:uiPriority w:val="99"/>
    <w:semiHidden/>
    <w:rPr>
      <w:b/>
      <w:bCs/>
    </w:rPr>
  </w:style>
  <w:style w:type="character" w:customStyle="1" w:styleId="PredmetkomentraChar164">
    <w:name w:val="Predmet komentára Char164"/>
    <w:basedOn w:val="TextkomentraChar"/>
    <w:uiPriority w:val="99"/>
    <w:semiHidden/>
    <w:rPr>
      <w:b/>
      <w:bCs/>
    </w:rPr>
  </w:style>
  <w:style w:type="character" w:customStyle="1" w:styleId="PredmetkomentraChar163">
    <w:name w:val="Predmet komentára Char163"/>
    <w:basedOn w:val="TextkomentraChar"/>
    <w:uiPriority w:val="99"/>
    <w:semiHidden/>
    <w:rPr>
      <w:b/>
      <w:bCs/>
    </w:rPr>
  </w:style>
  <w:style w:type="character" w:customStyle="1" w:styleId="PredmetkomentraChar162">
    <w:name w:val="Predmet komentára Char162"/>
    <w:basedOn w:val="TextkomentraChar"/>
    <w:uiPriority w:val="99"/>
    <w:semiHidden/>
    <w:rPr>
      <w:b/>
      <w:bCs/>
    </w:rPr>
  </w:style>
  <w:style w:type="character" w:customStyle="1" w:styleId="PredmetkomentraChar161">
    <w:name w:val="Predmet komentára Char161"/>
    <w:basedOn w:val="TextkomentraChar"/>
    <w:uiPriority w:val="99"/>
    <w:semiHidden/>
    <w:rPr>
      <w:b/>
      <w:bCs/>
    </w:rPr>
  </w:style>
  <w:style w:type="character" w:customStyle="1" w:styleId="PredmetkomentraChar160">
    <w:name w:val="Predmet komentára Char160"/>
    <w:basedOn w:val="TextkomentraChar"/>
    <w:uiPriority w:val="99"/>
    <w:semiHidden/>
    <w:rPr>
      <w:b/>
      <w:bCs/>
    </w:rPr>
  </w:style>
  <w:style w:type="character" w:customStyle="1" w:styleId="PredmetkomentraChar159">
    <w:name w:val="Predmet komentára Char159"/>
    <w:basedOn w:val="TextkomentraChar"/>
    <w:uiPriority w:val="99"/>
    <w:semiHidden/>
    <w:rPr>
      <w:b/>
      <w:bCs/>
    </w:rPr>
  </w:style>
  <w:style w:type="character" w:customStyle="1" w:styleId="PredmetkomentraChar158">
    <w:name w:val="Predmet komentára Char158"/>
    <w:basedOn w:val="TextkomentraChar"/>
    <w:uiPriority w:val="99"/>
    <w:semiHidden/>
    <w:rPr>
      <w:b/>
      <w:bCs/>
    </w:rPr>
  </w:style>
  <w:style w:type="character" w:customStyle="1" w:styleId="PredmetkomentraChar157">
    <w:name w:val="Predmet komentára Char157"/>
    <w:basedOn w:val="TextkomentraChar"/>
    <w:uiPriority w:val="99"/>
    <w:semiHidden/>
    <w:rPr>
      <w:b/>
      <w:bCs/>
    </w:rPr>
  </w:style>
  <w:style w:type="character" w:customStyle="1" w:styleId="PredmetkomentraChar156">
    <w:name w:val="Predmet komentára Char156"/>
    <w:basedOn w:val="TextkomentraChar"/>
    <w:uiPriority w:val="99"/>
    <w:semiHidden/>
    <w:rPr>
      <w:b/>
      <w:bCs/>
    </w:rPr>
  </w:style>
  <w:style w:type="character" w:customStyle="1" w:styleId="PredmetkomentraChar155">
    <w:name w:val="Predmet komentára Char155"/>
    <w:basedOn w:val="TextkomentraChar"/>
    <w:uiPriority w:val="99"/>
    <w:semiHidden/>
    <w:rPr>
      <w:b/>
      <w:bCs/>
    </w:rPr>
  </w:style>
  <w:style w:type="character" w:customStyle="1" w:styleId="PredmetkomentraChar154">
    <w:name w:val="Predmet komentára Char154"/>
    <w:basedOn w:val="TextkomentraChar"/>
    <w:uiPriority w:val="99"/>
    <w:semiHidden/>
    <w:rPr>
      <w:b/>
      <w:bCs/>
    </w:rPr>
  </w:style>
  <w:style w:type="character" w:customStyle="1" w:styleId="PredmetkomentraChar153">
    <w:name w:val="Predmet komentára Char153"/>
    <w:basedOn w:val="TextkomentraChar"/>
    <w:uiPriority w:val="99"/>
    <w:semiHidden/>
    <w:rPr>
      <w:b/>
      <w:bCs/>
    </w:rPr>
  </w:style>
  <w:style w:type="character" w:customStyle="1" w:styleId="PredmetkomentraChar152">
    <w:name w:val="Predmet komentára Char152"/>
    <w:basedOn w:val="TextkomentraChar"/>
    <w:uiPriority w:val="99"/>
    <w:semiHidden/>
    <w:rPr>
      <w:b/>
      <w:bCs/>
    </w:rPr>
  </w:style>
  <w:style w:type="character" w:customStyle="1" w:styleId="PredmetkomentraChar151">
    <w:name w:val="Predmet komentára Char151"/>
    <w:basedOn w:val="TextkomentraChar"/>
    <w:uiPriority w:val="99"/>
    <w:semiHidden/>
    <w:rPr>
      <w:b/>
      <w:bCs/>
    </w:rPr>
  </w:style>
  <w:style w:type="character" w:customStyle="1" w:styleId="PredmetkomentraChar150">
    <w:name w:val="Predmet komentára Char150"/>
    <w:basedOn w:val="TextkomentraChar"/>
    <w:uiPriority w:val="99"/>
    <w:semiHidden/>
    <w:rPr>
      <w:b/>
      <w:bCs/>
    </w:rPr>
  </w:style>
  <w:style w:type="character" w:customStyle="1" w:styleId="PredmetkomentraChar149">
    <w:name w:val="Predmet komentára Char149"/>
    <w:basedOn w:val="TextkomentraChar"/>
    <w:uiPriority w:val="99"/>
    <w:semiHidden/>
    <w:rPr>
      <w:b/>
      <w:bCs/>
    </w:rPr>
  </w:style>
  <w:style w:type="character" w:customStyle="1" w:styleId="PredmetkomentraChar148">
    <w:name w:val="Predmet komentára Char148"/>
    <w:basedOn w:val="TextkomentraChar"/>
    <w:uiPriority w:val="99"/>
    <w:semiHidden/>
    <w:rPr>
      <w:b/>
      <w:bCs/>
    </w:rPr>
  </w:style>
  <w:style w:type="character" w:customStyle="1" w:styleId="PredmetkomentraChar147">
    <w:name w:val="Predmet komentára Char147"/>
    <w:basedOn w:val="TextkomentraChar"/>
    <w:uiPriority w:val="99"/>
    <w:semiHidden/>
    <w:rPr>
      <w:b/>
      <w:bCs/>
    </w:rPr>
  </w:style>
  <w:style w:type="character" w:customStyle="1" w:styleId="PredmetkomentraChar146">
    <w:name w:val="Predmet komentára Char146"/>
    <w:basedOn w:val="TextkomentraChar"/>
    <w:uiPriority w:val="99"/>
    <w:semiHidden/>
    <w:rPr>
      <w:b/>
      <w:bCs/>
    </w:rPr>
  </w:style>
  <w:style w:type="character" w:customStyle="1" w:styleId="PredmetkomentraChar145">
    <w:name w:val="Predmet komentára Char145"/>
    <w:basedOn w:val="TextkomentraChar"/>
    <w:uiPriority w:val="99"/>
    <w:semiHidden/>
    <w:rPr>
      <w:b/>
      <w:bCs/>
    </w:rPr>
  </w:style>
  <w:style w:type="character" w:customStyle="1" w:styleId="PredmetkomentraChar144">
    <w:name w:val="Predmet komentára Char144"/>
    <w:basedOn w:val="TextkomentraChar"/>
    <w:uiPriority w:val="99"/>
    <w:semiHidden/>
    <w:rPr>
      <w:b/>
      <w:bCs/>
    </w:rPr>
  </w:style>
  <w:style w:type="character" w:customStyle="1" w:styleId="PredmetkomentraChar143">
    <w:name w:val="Predmet komentára Char143"/>
    <w:basedOn w:val="TextkomentraChar"/>
    <w:uiPriority w:val="99"/>
    <w:semiHidden/>
    <w:rPr>
      <w:b/>
      <w:bCs/>
    </w:rPr>
  </w:style>
  <w:style w:type="character" w:customStyle="1" w:styleId="PredmetkomentraChar142">
    <w:name w:val="Predmet komentára Char142"/>
    <w:basedOn w:val="TextkomentraChar"/>
    <w:uiPriority w:val="99"/>
    <w:semiHidden/>
    <w:rPr>
      <w:b/>
      <w:bCs/>
    </w:rPr>
  </w:style>
  <w:style w:type="character" w:customStyle="1" w:styleId="PredmetkomentraChar141">
    <w:name w:val="Predmet komentára Char141"/>
    <w:basedOn w:val="TextkomentraChar"/>
    <w:uiPriority w:val="99"/>
    <w:semiHidden/>
    <w:rPr>
      <w:b/>
      <w:bCs/>
    </w:rPr>
  </w:style>
  <w:style w:type="character" w:customStyle="1" w:styleId="PredmetkomentraChar140">
    <w:name w:val="Predmet komentára Char140"/>
    <w:basedOn w:val="TextkomentraChar"/>
    <w:uiPriority w:val="99"/>
    <w:semiHidden/>
    <w:rPr>
      <w:b/>
      <w:bCs/>
    </w:rPr>
  </w:style>
  <w:style w:type="character" w:customStyle="1" w:styleId="PredmetkomentraChar139">
    <w:name w:val="Predmet komentára Char139"/>
    <w:basedOn w:val="TextkomentraChar"/>
    <w:uiPriority w:val="99"/>
    <w:semiHidden/>
    <w:rPr>
      <w:b/>
      <w:bCs/>
    </w:rPr>
  </w:style>
  <w:style w:type="character" w:customStyle="1" w:styleId="PredmetkomentraChar138">
    <w:name w:val="Predmet komentára Char138"/>
    <w:basedOn w:val="TextkomentraChar"/>
    <w:uiPriority w:val="99"/>
    <w:semiHidden/>
    <w:rPr>
      <w:b/>
      <w:bCs/>
    </w:rPr>
  </w:style>
  <w:style w:type="character" w:customStyle="1" w:styleId="PredmetkomentraChar137">
    <w:name w:val="Predmet komentára Char137"/>
    <w:basedOn w:val="TextkomentraChar"/>
    <w:uiPriority w:val="99"/>
    <w:semiHidden/>
    <w:rPr>
      <w:b/>
      <w:bCs/>
    </w:rPr>
  </w:style>
  <w:style w:type="character" w:customStyle="1" w:styleId="PredmetkomentraChar136">
    <w:name w:val="Predmet komentára Char136"/>
    <w:basedOn w:val="TextkomentraChar"/>
    <w:uiPriority w:val="99"/>
    <w:semiHidden/>
    <w:rPr>
      <w:b/>
      <w:bCs/>
    </w:rPr>
  </w:style>
  <w:style w:type="character" w:customStyle="1" w:styleId="PredmetkomentraChar135">
    <w:name w:val="Predmet komentára Char135"/>
    <w:basedOn w:val="TextkomentraChar"/>
    <w:uiPriority w:val="99"/>
    <w:semiHidden/>
    <w:rPr>
      <w:b/>
      <w:bCs/>
    </w:rPr>
  </w:style>
  <w:style w:type="character" w:customStyle="1" w:styleId="PredmetkomentraChar134">
    <w:name w:val="Predmet komentára Char134"/>
    <w:basedOn w:val="TextkomentraChar"/>
    <w:uiPriority w:val="99"/>
    <w:semiHidden/>
    <w:rPr>
      <w:b/>
      <w:bCs/>
    </w:rPr>
  </w:style>
  <w:style w:type="character" w:customStyle="1" w:styleId="PredmetkomentraChar133">
    <w:name w:val="Predmet komentára Char133"/>
    <w:basedOn w:val="TextkomentraChar"/>
    <w:uiPriority w:val="99"/>
    <w:semiHidden/>
    <w:rPr>
      <w:b/>
      <w:bCs/>
    </w:rPr>
  </w:style>
  <w:style w:type="character" w:customStyle="1" w:styleId="PredmetkomentraChar132">
    <w:name w:val="Predmet komentára Char132"/>
    <w:basedOn w:val="TextkomentraChar"/>
    <w:uiPriority w:val="99"/>
    <w:semiHidden/>
    <w:rPr>
      <w:b/>
      <w:bCs/>
    </w:rPr>
  </w:style>
  <w:style w:type="character" w:customStyle="1" w:styleId="PredmetkomentraChar131">
    <w:name w:val="Predmet komentára Char131"/>
    <w:basedOn w:val="TextkomentraChar"/>
    <w:uiPriority w:val="99"/>
    <w:semiHidden/>
    <w:rPr>
      <w:b/>
      <w:bCs/>
    </w:rPr>
  </w:style>
  <w:style w:type="character" w:customStyle="1" w:styleId="PredmetkomentraChar130">
    <w:name w:val="Predmet komentára Char130"/>
    <w:basedOn w:val="TextkomentraChar"/>
    <w:uiPriority w:val="99"/>
    <w:semiHidden/>
    <w:rPr>
      <w:b/>
      <w:bCs/>
    </w:rPr>
  </w:style>
  <w:style w:type="character" w:customStyle="1" w:styleId="PredmetkomentraChar129">
    <w:name w:val="Predmet komentára Char129"/>
    <w:basedOn w:val="TextkomentraChar"/>
    <w:uiPriority w:val="99"/>
    <w:semiHidden/>
    <w:rPr>
      <w:b/>
      <w:bCs/>
    </w:rPr>
  </w:style>
  <w:style w:type="character" w:customStyle="1" w:styleId="PredmetkomentraChar128">
    <w:name w:val="Predmet komentára Char128"/>
    <w:basedOn w:val="TextkomentraChar"/>
    <w:uiPriority w:val="99"/>
    <w:semiHidden/>
    <w:rPr>
      <w:b/>
      <w:bCs/>
    </w:rPr>
  </w:style>
  <w:style w:type="character" w:customStyle="1" w:styleId="PredmetkomentraChar127">
    <w:name w:val="Predmet komentára Char127"/>
    <w:basedOn w:val="TextkomentraChar"/>
    <w:uiPriority w:val="99"/>
    <w:semiHidden/>
    <w:rPr>
      <w:b/>
      <w:bCs/>
    </w:rPr>
  </w:style>
  <w:style w:type="character" w:customStyle="1" w:styleId="PredmetkomentraChar126">
    <w:name w:val="Predmet komentára Char126"/>
    <w:basedOn w:val="TextkomentraChar"/>
    <w:uiPriority w:val="99"/>
    <w:semiHidden/>
    <w:rPr>
      <w:b/>
      <w:bCs/>
    </w:rPr>
  </w:style>
  <w:style w:type="character" w:customStyle="1" w:styleId="PredmetkomentraChar125">
    <w:name w:val="Predmet komentára Char125"/>
    <w:basedOn w:val="TextkomentraChar"/>
    <w:uiPriority w:val="99"/>
    <w:semiHidden/>
    <w:rPr>
      <w:b/>
      <w:bCs/>
    </w:rPr>
  </w:style>
  <w:style w:type="character" w:customStyle="1" w:styleId="PredmetkomentraChar124">
    <w:name w:val="Predmet komentára Char124"/>
    <w:basedOn w:val="TextkomentraChar"/>
    <w:uiPriority w:val="99"/>
    <w:semiHidden/>
    <w:rPr>
      <w:b/>
      <w:bCs/>
    </w:rPr>
  </w:style>
  <w:style w:type="character" w:customStyle="1" w:styleId="PredmetkomentraChar123">
    <w:name w:val="Predmet komentára Char123"/>
    <w:basedOn w:val="TextkomentraChar"/>
    <w:uiPriority w:val="99"/>
    <w:semiHidden/>
    <w:rPr>
      <w:b/>
      <w:bCs/>
    </w:rPr>
  </w:style>
  <w:style w:type="character" w:customStyle="1" w:styleId="PredmetkomentraChar122">
    <w:name w:val="Predmet komentára Char122"/>
    <w:basedOn w:val="TextkomentraChar"/>
    <w:uiPriority w:val="99"/>
    <w:semiHidden/>
    <w:rPr>
      <w:b/>
      <w:bCs/>
    </w:rPr>
  </w:style>
  <w:style w:type="character" w:customStyle="1" w:styleId="PredmetkomentraChar121">
    <w:name w:val="Predmet komentára Char121"/>
    <w:basedOn w:val="TextkomentraChar"/>
    <w:uiPriority w:val="99"/>
    <w:semiHidden/>
    <w:rPr>
      <w:b/>
      <w:bCs/>
    </w:rPr>
  </w:style>
  <w:style w:type="character" w:customStyle="1" w:styleId="PredmetkomentraChar120">
    <w:name w:val="Predmet komentára Char120"/>
    <w:basedOn w:val="TextkomentraChar"/>
    <w:uiPriority w:val="99"/>
    <w:semiHidden/>
    <w:rPr>
      <w:b/>
      <w:bCs/>
    </w:rPr>
  </w:style>
  <w:style w:type="character" w:customStyle="1" w:styleId="PredmetkomentraChar119">
    <w:name w:val="Predmet komentára Char119"/>
    <w:basedOn w:val="TextkomentraChar"/>
    <w:uiPriority w:val="99"/>
    <w:semiHidden/>
    <w:rPr>
      <w:b/>
      <w:bCs/>
    </w:rPr>
  </w:style>
  <w:style w:type="character" w:customStyle="1" w:styleId="PredmetkomentraChar118">
    <w:name w:val="Predmet komentára Char118"/>
    <w:basedOn w:val="TextkomentraChar"/>
    <w:uiPriority w:val="99"/>
    <w:semiHidden/>
    <w:rPr>
      <w:b/>
      <w:bCs/>
    </w:rPr>
  </w:style>
  <w:style w:type="character" w:customStyle="1" w:styleId="PredmetkomentraChar117">
    <w:name w:val="Predmet komentára Char117"/>
    <w:basedOn w:val="TextkomentraChar"/>
    <w:uiPriority w:val="99"/>
    <w:semiHidden/>
    <w:rPr>
      <w:b/>
      <w:bCs/>
    </w:rPr>
  </w:style>
  <w:style w:type="character" w:customStyle="1" w:styleId="PredmetkomentraChar116">
    <w:name w:val="Predmet komentára Char116"/>
    <w:basedOn w:val="TextkomentraChar"/>
    <w:uiPriority w:val="99"/>
    <w:semiHidden/>
    <w:rPr>
      <w:b/>
      <w:bCs/>
    </w:rPr>
  </w:style>
  <w:style w:type="character" w:customStyle="1" w:styleId="PredmetkomentraChar115">
    <w:name w:val="Predmet komentára Char115"/>
    <w:basedOn w:val="TextkomentraChar"/>
    <w:uiPriority w:val="99"/>
    <w:semiHidden/>
    <w:rPr>
      <w:b/>
      <w:bCs/>
    </w:rPr>
  </w:style>
  <w:style w:type="character" w:customStyle="1" w:styleId="PredmetkomentraChar114">
    <w:name w:val="Predmet komentára Char114"/>
    <w:basedOn w:val="TextkomentraChar"/>
    <w:uiPriority w:val="99"/>
    <w:semiHidden/>
    <w:rPr>
      <w:b/>
      <w:bCs/>
    </w:rPr>
  </w:style>
  <w:style w:type="character" w:customStyle="1" w:styleId="PredmetkomentraChar113">
    <w:name w:val="Predmet komentára Char113"/>
    <w:basedOn w:val="TextkomentraChar"/>
    <w:uiPriority w:val="99"/>
    <w:semiHidden/>
    <w:rPr>
      <w:b/>
      <w:bCs/>
    </w:rPr>
  </w:style>
  <w:style w:type="character" w:customStyle="1" w:styleId="PredmetkomentraChar112">
    <w:name w:val="Predmet komentára Char112"/>
    <w:basedOn w:val="TextkomentraChar"/>
    <w:uiPriority w:val="99"/>
    <w:semiHidden/>
    <w:rPr>
      <w:b/>
      <w:bCs/>
    </w:rPr>
  </w:style>
  <w:style w:type="character" w:customStyle="1" w:styleId="PredmetkomentraChar111">
    <w:name w:val="Predmet komentára Char111"/>
    <w:basedOn w:val="TextkomentraChar"/>
    <w:uiPriority w:val="99"/>
    <w:semiHidden/>
    <w:rPr>
      <w:b/>
      <w:bCs/>
    </w:rPr>
  </w:style>
  <w:style w:type="character" w:customStyle="1" w:styleId="PredmetkomentraChar110">
    <w:name w:val="Predmet komentára Char110"/>
    <w:basedOn w:val="TextkomentraChar"/>
    <w:uiPriority w:val="99"/>
    <w:semiHidden/>
    <w:rPr>
      <w:b/>
      <w:bCs/>
    </w:rPr>
  </w:style>
  <w:style w:type="character" w:customStyle="1" w:styleId="PredmetkomentraChar19">
    <w:name w:val="Predmet komentára Char19"/>
    <w:basedOn w:val="TextkomentraChar"/>
    <w:uiPriority w:val="99"/>
    <w:semiHidden/>
    <w:rPr>
      <w:b/>
      <w:bCs/>
    </w:rPr>
  </w:style>
  <w:style w:type="character" w:customStyle="1" w:styleId="PredmetkomentraChar18">
    <w:name w:val="Predmet komentára Char18"/>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 w:type="paragraph" w:customStyle="1" w:styleId="Default">
    <w:name w:val="Default"/>
    <w:rsid w:val="00233644"/>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Strong">
    <w:name w:val="Strong"/>
    <w:basedOn w:val="DefaultParagraphFont"/>
    <w:uiPriority w:val="22"/>
    <w:qFormat/>
    <w:rsid w:val="00233644"/>
    <w:rPr>
      <w:rFonts w:cs="Times New Roman"/>
      <w:b/>
      <w:rtl w:val="0"/>
      <w:cs w:val="0"/>
    </w:rPr>
  </w:style>
  <w:style w:type="character" w:customStyle="1" w:styleId="TextvysvetlivkyChar">
    <w:name w:val="Text vysvetlivky Char"/>
    <w:basedOn w:val="DefaultParagraphFont"/>
    <w:link w:val="EndnoteText"/>
    <w:uiPriority w:val="99"/>
    <w:semiHidden/>
    <w:locked/>
    <w:rsid w:val="00233644"/>
    <w:rPr>
      <w:rFonts w:ascii="Times New Roman" w:hAnsi="Times New Roman" w:cs="Times New Roman"/>
      <w:sz w:val="20"/>
      <w:szCs w:val="20"/>
      <w:rtl w:val="0"/>
      <w:cs w:val="0"/>
      <w:lang w:val="x-none" w:eastAsia="sk-SK"/>
    </w:rPr>
  </w:style>
  <w:style w:type="paragraph" w:styleId="EndnoteText">
    <w:name w:val="endnote text"/>
    <w:basedOn w:val="Normal"/>
    <w:link w:val="TextvysvetlivkyChar"/>
    <w:uiPriority w:val="99"/>
    <w:semiHidden/>
    <w:unhideWhenUsed/>
    <w:rsid w:val="00233644"/>
    <w:pPr>
      <w:spacing w:after="0" w:line="240" w:lineRule="auto"/>
      <w:jc w:val="left"/>
    </w:pPr>
    <w:rPr>
      <w:sz w:val="20"/>
      <w:szCs w:val="20"/>
      <w:lang w:eastAsia="sk-SK"/>
    </w:rPr>
  </w:style>
  <w:style w:type="character" w:customStyle="1" w:styleId="TextvysvetlivkyChar1">
    <w:name w:val="Text vysvetlivky Char1"/>
    <w:basedOn w:val="DefaultParagraphFont"/>
    <w:uiPriority w:val="99"/>
    <w:semiHidden/>
    <w:rPr>
      <w:rFonts w:ascii="Times New Roman" w:hAnsi="Times New Roman" w:cs="Times New Roman"/>
      <w:sz w:val="20"/>
      <w:szCs w:val="20"/>
      <w:rtl w:val="0"/>
      <w:cs w:val="0"/>
    </w:rPr>
  </w:style>
  <w:style w:type="character" w:customStyle="1" w:styleId="TextvysvetlivkyChar178">
    <w:name w:val="Text vysvetlivky Char178"/>
    <w:basedOn w:val="DefaultParagraphFont"/>
    <w:uiPriority w:val="99"/>
    <w:semiHidden/>
    <w:rPr>
      <w:rFonts w:ascii="Times New Roman" w:hAnsi="Times New Roman" w:cs="Times New Roman"/>
      <w:sz w:val="20"/>
      <w:szCs w:val="20"/>
      <w:rtl w:val="0"/>
      <w:cs w:val="0"/>
    </w:rPr>
  </w:style>
  <w:style w:type="character" w:customStyle="1" w:styleId="TextvysvetlivkyChar177">
    <w:name w:val="Text vysvetlivky Char177"/>
    <w:basedOn w:val="DefaultParagraphFont"/>
    <w:uiPriority w:val="99"/>
    <w:semiHidden/>
    <w:rPr>
      <w:rFonts w:ascii="Times New Roman" w:hAnsi="Times New Roman" w:cs="Times New Roman"/>
      <w:sz w:val="20"/>
      <w:szCs w:val="20"/>
      <w:rtl w:val="0"/>
      <w:cs w:val="0"/>
    </w:rPr>
  </w:style>
  <w:style w:type="character" w:customStyle="1" w:styleId="TextvysvetlivkyChar176">
    <w:name w:val="Text vysvetlivky Char176"/>
    <w:basedOn w:val="DefaultParagraphFont"/>
    <w:uiPriority w:val="99"/>
    <w:semiHidden/>
    <w:rPr>
      <w:rFonts w:ascii="Times New Roman" w:hAnsi="Times New Roman" w:cs="Times New Roman"/>
      <w:sz w:val="20"/>
      <w:szCs w:val="20"/>
      <w:rtl w:val="0"/>
      <w:cs w:val="0"/>
    </w:rPr>
  </w:style>
  <w:style w:type="character" w:customStyle="1" w:styleId="TextvysvetlivkyChar175">
    <w:name w:val="Text vysvetlivky Char175"/>
    <w:basedOn w:val="DefaultParagraphFont"/>
    <w:uiPriority w:val="99"/>
    <w:semiHidden/>
    <w:rPr>
      <w:rFonts w:ascii="Times New Roman" w:hAnsi="Times New Roman" w:cs="Times New Roman"/>
      <w:sz w:val="20"/>
      <w:szCs w:val="20"/>
      <w:rtl w:val="0"/>
      <w:cs w:val="0"/>
    </w:rPr>
  </w:style>
  <w:style w:type="character" w:customStyle="1" w:styleId="TextvysvetlivkyChar174">
    <w:name w:val="Text vysvetlivky Char174"/>
    <w:basedOn w:val="DefaultParagraphFont"/>
    <w:uiPriority w:val="99"/>
    <w:semiHidden/>
    <w:rPr>
      <w:rFonts w:ascii="Times New Roman" w:hAnsi="Times New Roman" w:cs="Times New Roman"/>
      <w:sz w:val="20"/>
      <w:szCs w:val="20"/>
      <w:rtl w:val="0"/>
      <w:cs w:val="0"/>
    </w:rPr>
  </w:style>
  <w:style w:type="character" w:customStyle="1" w:styleId="TextvysvetlivkyChar173">
    <w:name w:val="Text vysvetlivky Char173"/>
    <w:basedOn w:val="DefaultParagraphFont"/>
    <w:uiPriority w:val="99"/>
    <w:semiHidden/>
    <w:rPr>
      <w:rFonts w:ascii="Times New Roman" w:hAnsi="Times New Roman" w:cs="Times New Roman"/>
      <w:sz w:val="20"/>
      <w:szCs w:val="20"/>
      <w:rtl w:val="0"/>
      <w:cs w:val="0"/>
    </w:rPr>
  </w:style>
  <w:style w:type="character" w:customStyle="1" w:styleId="TextvysvetlivkyChar172">
    <w:name w:val="Text vysvetlivky Char172"/>
    <w:basedOn w:val="DefaultParagraphFont"/>
    <w:uiPriority w:val="99"/>
    <w:semiHidden/>
    <w:rPr>
      <w:rFonts w:ascii="Times New Roman" w:hAnsi="Times New Roman" w:cs="Times New Roman"/>
      <w:sz w:val="20"/>
      <w:szCs w:val="20"/>
      <w:rtl w:val="0"/>
      <w:cs w:val="0"/>
    </w:rPr>
  </w:style>
  <w:style w:type="character" w:customStyle="1" w:styleId="TextvysvetlivkyChar171">
    <w:name w:val="Text vysvetlivky Char171"/>
    <w:basedOn w:val="DefaultParagraphFont"/>
    <w:uiPriority w:val="99"/>
    <w:semiHidden/>
    <w:rPr>
      <w:rFonts w:ascii="Times New Roman" w:hAnsi="Times New Roman" w:cs="Times New Roman"/>
      <w:sz w:val="20"/>
      <w:szCs w:val="20"/>
      <w:rtl w:val="0"/>
      <w:cs w:val="0"/>
    </w:rPr>
  </w:style>
  <w:style w:type="character" w:customStyle="1" w:styleId="TextvysvetlivkyChar170">
    <w:name w:val="Text vysvetlivky Char170"/>
    <w:basedOn w:val="DefaultParagraphFont"/>
    <w:uiPriority w:val="99"/>
    <w:semiHidden/>
    <w:rPr>
      <w:rFonts w:ascii="Times New Roman" w:hAnsi="Times New Roman" w:cs="Times New Roman"/>
      <w:sz w:val="20"/>
      <w:szCs w:val="20"/>
      <w:rtl w:val="0"/>
      <w:cs w:val="0"/>
    </w:rPr>
  </w:style>
  <w:style w:type="character" w:customStyle="1" w:styleId="TextvysvetlivkyChar169">
    <w:name w:val="Text vysvetlivky Char169"/>
    <w:basedOn w:val="DefaultParagraphFont"/>
    <w:uiPriority w:val="99"/>
    <w:semiHidden/>
    <w:rPr>
      <w:rFonts w:ascii="Times New Roman" w:hAnsi="Times New Roman" w:cs="Times New Roman"/>
      <w:sz w:val="20"/>
      <w:szCs w:val="20"/>
      <w:rtl w:val="0"/>
      <w:cs w:val="0"/>
    </w:rPr>
  </w:style>
  <w:style w:type="character" w:customStyle="1" w:styleId="TextvysvetlivkyChar168">
    <w:name w:val="Text vysvetlivky Char168"/>
    <w:basedOn w:val="DefaultParagraphFont"/>
    <w:uiPriority w:val="99"/>
    <w:semiHidden/>
    <w:rPr>
      <w:rFonts w:ascii="Times New Roman" w:hAnsi="Times New Roman" w:cs="Times New Roman"/>
      <w:sz w:val="20"/>
      <w:szCs w:val="20"/>
      <w:rtl w:val="0"/>
      <w:cs w:val="0"/>
    </w:rPr>
  </w:style>
  <w:style w:type="character" w:customStyle="1" w:styleId="TextvysvetlivkyChar167">
    <w:name w:val="Text vysvetlivky Char167"/>
    <w:basedOn w:val="DefaultParagraphFont"/>
    <w:uiPriority w:val="99"/>
    <w:semiHidden/>
    <w:rPr>
      <w:rFonts w:ascii="Times New Roman" w:hAnsi="Times New Roman" w:cs="Times New Roman"/>
      <w:sz w:val="20"/>
      <w:szCs w:val="20"/>
      <w:rtl w:val="0"/>
      <w:cs w:val="0"/>
    </w:rPr>
  </w:style>
  <w:style w:type="character" w:customStyle="1" w:styleId="TextvysvetlivkyChar166">
    <w:name w:val="Text vysvetlivky Char166"/>
    <w:basedOn w:val="DefaultParagraphFont"/>
    <w:uiPriority w:val="99"/>
    <w:semiHidden/>
    <w:rPr>
      <w:rFonts w:ascii="Times New Roman" w:hAnsi="Times New Roman" w:cs="Times New Roman"/>
      <w:sz w:val="20"/>
      <w:szCs w:val="20"/>
      <w:rtl w:val="0"/>
      <w:cs w:val="0"/>
    </w:rPr>
  </w:style>
  <w:style w:type="character" w:customStyle="1" w:styleId="TextvysvetlivkyChar165">
    <w:name w:val="Text vysvetlivky Char165"/>
    <w:basedOn w:val="DefaultParagraphFont"/>
    <w:uiPriority w:val="99"/>
    <w:semiHidden/>
    <w:rPr>
      <w:rFonts w:ascii="Times New Roman" w:hAnsi="Times New Roman" w:cs="Times New Roman"/>
      <w:sz w:val="20"/>
      <w:szCs w:val="20"/>
      <w:rtl w:val="0"/>
      <w:cs w:val="0"/>
    </w:rPr>
  </w:style>
  <w:style w:type="character" w:customStyle="1" w:styleId="TextvysvetlivkyChar164">
    <w:name w:val="Text vysvetlivky Char164"/>
    <w:basedOn w:val="DefaultParagraphFont"/>
    <w:uiPriority w:val="99"/>
    <w:semiHidden/>
    <w:rPr>
      <w:rFonts w:ascii="Times New Roman" w:hAnsi="Times New Roman" w:cs="Times New Roman"/>
      <w:sz w:val="20"/>
      <w:szCs w:val="20"/>
      <w:rtl w:val="0"/>
      <w:cs w:val="0"/>
    </w:rPr>
  </w:style>
  <w:style w:type="character" w:customStyle="1" w:styleId="TextvysvetlivkyChar163">
    <w:name w:val="Text vysvetlivky Char163"/>
    <w:basedOn w:val="DefaultParagraphFont"/>
    <w:uiPriority w:val="99"/>
    <w:semiHidden/>
    <w:rPr>
      <w:rFonts w:ascii="Times New Roman" w:hAnsi="Times New Roman" w:cs="Times New Roman"/>
      <w:sz w:val="20"/>
      <w:szCs w:val="20"/>
      <w:rtl w:val="0"/>
      <w:cs w:val="0"/>
    </w:rPr>
  </w:style>
  <w:style w:type="character" w:customStyle="1" w:styleId="TextvysvetlivkyChar162">
    <w:name w:val="Text vysvetlivky Char162"/>
    <w:basedOn w:val="DefaultParagraphFont"/>
    <w:uiPriority w:val="99"/>
    <w:semiHidden/>
    <w:rPr>
      <w:rFonts w:ascii="Times New Roman" w:hAnsi="Times New Roman" w:cs="Times New Roman"/>
      <w:sz w:val="20"/>
      <w:szCs w:val="20"/>
      <w:rtl w:val="0"/>
      <w:cs w:val="0"/>
    </w:rPr>
  </w:style>
  <w:style w:type="character" w:customStyle="1" w:styleId="TextvysvetlivkyChar161">
    <w:name w:val="Text vysvetlivky Char161"/>
    <w:basedOn w:val="DefaultParagraphFont"/>
    <w:uiPriority w:val="99"/>
    <w:semiHidden/>
    <w:rPr>
      <w:rFonts w:ascii="Times New Roman" w:hAnsi="Times New Roman" w:cs="Times New Roman"/>
      <w:sz w:val="20"/>
      <w:szCs w:val="20"/>
      <w:rtl w:val="0"/>
      <w:cs w:val="0"/>
    </w:rPr>
  </w:style>
  <w:style w:type="character" w:customStyle="1" w:styleId="TextvysvetlivkyChar160">
    <w:name w:val="Text vysvetlivky Char160"/>
    <w:basedOn w:val="DefaultParagraphFont"/>
    <w:uiPriority w:val="99"/>
    <w:semiHidden/>
    <w:rPr>
      <w:rFonts w:ascii="Times New Roman" w:hAnsi="Times New Roman" w:cs="Times New Roman"/>
      <w:sz w:val="20"/>
      <w:szCs w:val="20"/>
      <w:rtl w:val="0"/>
      <w:cs w:val="0"/>
    </w:rPr>
  </w:style>
  <w:style w:type="character" w:customStyle="1" w:styleId="TextvysvetlivkyChar159">
    <w:name w:val="Text vysvetlivky Char159"/>
    <w:basedOn w:val="DefaultParagraphFont"/>
    <w:uiPriority w:val="99"/>
    <w:semiHidden/>
    <w:rPr>
      <w:rFonts w:ascii="Times New Roman" w:hAnsi="Times New Roman" w:cs="Times New Roman"/>
      <w:sz w:val="20"/>
      <w:szCs w:val="20"/>
      <w:rtl w:val="0"/>
      <w:cs w:val="0"/>
    </w:rPr>
  </w:style>
  <w:style w:type="character" w:customStyle="1" w:styleId="TextvysvetlivkyChar158">
    <w:name w:val="Text vysvetlivky Char158"/>
    <w:basedOn w:val="DefaultParagraphFont"/>
    <w:uiPriority w:val="99"/>
    <w:semiHidden/>
    <w:rPr>
      <w:rFonts w:ascii="Times New Roman" w:hAnsi="Times New Roman" w:cs="Times New Roman"/>
      <w:sz w:val="20"/>
      <w:szCs w:val="20"/>
      <w:rtl w:val="0"/>
      <w:cs w:val="0"/>
    </w:rPr>
  </w:style>
  <w:style w:type="character" w:customStyle="1" w:styleId="TextvysvetlivkyChar157">
    <w:name w:val="Text vysvetlivky Char157"/>
    <w:basedOn w:val="DefaultParagraphFont"/>
    <w:uiPriority w:val="99"/>
    <w:semiHidden/>
    <w:rPr>
      <w:rFonts w:ascii="Times New Roman" w:hAnsi="Times New Roman" w:cs="Times New Roman"/>
      <w:sz w:val="20"/>
      <w:szCs w:val="20"/>
      <w:rtl w:val="0"/>
      <w:cs w:val="0"/>
    </w:rPr>
  </w:style>
  <w:style w:type="character" w:customStyle="1" w:styleId="TextvysvetlivkyChar156">
    <w:name w:val="Text vysvetlivky Char156"/>
    <w:basedOn w:val="DefaultParagraphFont"/>
    <w:uiPriority w:val="99"/>
    <w:semiHidden/>
    <w:rPr>
      <w:rFonts w:ascii="Times New Roman" w:hAnsi="Times New Roman" w:cs="Times New Roman"/>
      <w:sz w:val="20"/>
      <w:szCs w:val="20"/>
      <w:rtl w:val="0"/>
      <w:cs w:val="0"/>
    </w:rPr>
  </w:style>
  <w:style w:type="character" w:customStyle="1" w:styleId="TextvysvetlivkyChar155">
    <w:name w:val="Text vysvetlivky Char155"/>
    <w:basedOn w:val="DefaultParagraphFont"/>
    <w:uiPriority w:val="99"/>
    <w:semiHidden/>
    <w:rPr>
      <w:rFonts w:ascii="Times New Roman" w:hAnsi="Times New Roman" w:cs="Times New Roman"/>
      <w:sz w:val="20"/>
      <w:szCs w:val="20"/>
      <w:rtl w:val="0"/>
      <w:cs w:val="0"/>
    </w:rPr>
  </w:style>
  <w:style w:type="character" w:customStyle="1" w:styleId="TextvysvetlivkyChar154">
    <w:name w:val="Text vysvetlivky Char154"/>
    <w:basedOn w:val="DefaultParagraphFont"/>
    <w:uiPriority w:val="99"/>
    <w:semiHidden/>
    <w:rPr>
      <w:rFonts w:ascii="Times New Roman" w:hAnsi="Times New Roman" w:cs="Times New Roman"/>
      <w:sz w:val="20"/>
      <w:szCs w:val="20"/>
      <w:rtl w:val="0"/>
      <w:cs w:val="0"/>
    </w:rPr>
  </w:style>
  <w:style w:type="character" w:customStyle="1" w:styleId="TextvysvetlivkyChar153">
    <w:name w:val="Text vysvetlivky Char153"/>
    <w:basedOn w:val="DefaultParagraphFont"/>
    <w:uiPriority w:val="99"/>
    <w:semiHidden/>
    <w:rPr>
      <w:rFonts w:ascii="Times New Roman" w:hAnsi="Times New Roman" w:cs="Times New Roman"/>
      <w:sz w:val="20"/>
      <w:szCs w:val="20"/>
      <w:rtl w:val="0"/>
      <w:cs w:val="0"/>
    </w:rPr>
  </w:style>
  <w:style w:type="character" w:customStyle="1" w:styleId="TextvysvetlivkyChar152">
    <w:name w:val="Text vysvetlivky Char152"/>
    <w:basedOn w:val="DefaultParagraphFont"/>
    <w:uiPriority w:val="99"/>
    <w:semiHidden/>
    <w:rPr>
      <w:rFonts w:ascii="Times New Roman" w:hAnsi="Times New Roman" w:cs="Times New Roman"/>
      <w:sz w:val="20"/>
      <w:szCs w:val="20"/>
      <w:rtl w:val="0"/>
      <w:cs w:val="0"/>
    </w:rPr>
  </w:style>
  <w:style w:type="character" w:customStyle="1" w:styleId="TextvysvetlivkyChar151">
    <w:name w:val="Text vysvetlivky Char151"/>
    <w:basedOn w:val="DefaultParagraphFont"/>
    <w:uiPriority w:val="99"/>
    <w:semiHidden/>
    <w:rPr>
      <w:rFonts w:ascii="Times New Roman" w:hAnsi="Times New Roman" w:cs="Times New Roman"/>
      <w:sz w:val="20"/>
      <w:szCs w:val="20"/>
      <w:rtl w:val="0"/>
      <w:cs w:val="0"/>
    </w:rPr>
  </w:style>
  <w:style w:type="character" w:customStyle="1" w:styleId="TextvysvetlivkyChar150">
    <w:name w:val="Text vysvetlivky Char150"/>
    <w:basedOn w:val="DefaultParagraphFont"/>
    <w:uiPriority w:val="99"/>
    <w:semiHidden/>
    <w:rPr>
      <w:rFonts w:ascii="Times New Roman" w:hAnsi="Times New Roman" w:cs="Times New Roman"/>
      <w:sz w:val="20"/>
      <w:szCs w:val="20"/>
      <w:rtl w:val="0"/>
      <w:cs w:val="0"/>
    </w:rPr>
  </w:style>
  <w:style w:type="character" w:customStyle="1" w:styleId="TextvysvetlivkyChar149">
    <w:name w:val="Text vysvetlivky Char149"/>
    <w:basedOn w:val="DefaultParagraphFont"/>
    <w:uiPriority w:val="99"/>
    <w:semiHidden/>
    <w:rPr>
      <w:rFonts w:ascii="Times New Roman" w:hAnsi="Times New Roman" w:cs="Times New Roman"/>
      <w:sz w:val="20"/>
      <w:szCs w:val="20"/>
      <w:rtl w:val="0"/>
      <w:cs w:val="0"/>
    </w:rPr>
  </w:style>
  <w:style w:type="character" w:customStyle="1" w:styleId="TextvysvetlivkyChar148">
    <w:name w:val="Text vysvetlivky Char148"/>
    <w:basedOn w:val="DefaultParagraphFont"/>
    <w:uiPriority w:val="99"/>
    <w:semiHidden/>
    <w:rPr>
      <w:rFonts w:ascii="Times New Roman" w:hAnsi="Times New Roman" w:cs="Times New Roman"/>
      <w:sz w:val="20"/>
      <w:szCs w:val="20"/>
      <w:rtl w:val="0"/>
      <w:cs w:val="0"/>
    </w:rPr>
  </w:style>
  <w:style w:type="character" w:customStyle="1" w:styleId="TextvysvetlivkyChar147">
    <w:name w:val="Text vysvetlivky Char147"/>
    <w:basedOn w:val="DefaultParagraphFont"/>
    <w:uiPriority w:val="99"/>
    <w:semiHidden/>
    <w:rPr>
      <w:rFonts w:ascii="Times New Roman" w:hAnsi="Times New Roman" w:cs="Times New Roman"/>
      <w:sz w:val="20"/>
      <w:szCs w:val="20"/>
      <w:rtl w:val="0"/>
      <w:cs w:val="0"/>
    </w:rPr>
  </w:style>
  <w:style w:type="character" w:customStyle="1" w:styleId="TextvysvetlivkyChar146">
    <w:name w:val="Text vysvetlivky Char146"/>
    <w:basedOn w:val="DefaultParagraphFont"/>
    <w:uiPriority w:val="99"/>
    <w:semiHidden/>
    <w:rPr>
      <w:rFonts w:ascii="Times New Roman" w:hAnsi="Times New Roman" w:cs="Times New Roman"/>
      <w:sz w:val="20"/>
      <w:szCs w:val="20"/>
      <w:rtl w:val="0"/>
      <w:cs w:val="0"/>
    </w:rPr>
  </w:style>
  <w:style w:type="character" w:customStyle="1" w:styleId="TextvysvetlivkyChar145">
    <w:name w:val="Text vysvetlivky Char145"/>
    <w:basedOn w:val="DefaultParagraphFont"/>
    <w:uiPriority w:val="99"/>
    <w:semiHidden/>
    <w:rPr>
      <w:rFonts w:ascii="Times New Roman" w:hAnsi="Times New Roman" w:cs="Times New Roman"/>
      <w:sz w:val="20"/>
      <w:szCs w:val="20"/>
      <w:rtl w:val="0"/>
      <w:cs w:val="0"/>
    </w:rPr>
  </w:style>
  <w:style w:type="character" w:customStyle="1" w:styleId="TextvysvetlivkyChar144">
    <w:name w:val="Text vysvetlivky Char144"/>
    <w:basedOn w:val="DefaultParagraphFont"/>
    <w:uiPriority w:val="99"/>
    <w:semiHidden/>
    <w:rPr>
      <w:rFonts w:ascii="Times New Roman" w:hAnsi="Times New Roman" w:cs="Times New Roman"/>
      <w:sz w:val="20"/>
      <w:szCs w:val="20"/>
      <w:rtl w:val="0"/>
      <w:cs w:val="0"/>
    </w:rPr>
  </w:style>
  <w:style w:type="character" w:customStyle="1" w:styleId="TextvysvetlivkyChar143">
    <w:name w:val="Text vysvetlivky Char143"/>
    <w:basedOn w:val="DefaultParagraphFont"/>
    <w:uiPriority w:val="99"/>
    <w:semiHidden/>
    <w:rPr>
      <w:rFonts w:ascii="Times New Roman" w:hAnsi="Times New Roman" w:cs="Times New Roman"/>
      <w:sz w:val="20"/>
      <w:szCs w:val="20"/>
      <w:rtl w:val="0"/>
      <w:cs w:val="0"/>
    </w:rPr>
  </w:style>
  <w:style w:type="character" w:customStyle="1" w:styleId="TextvysvetlivkyChar142">
    <w:name w:val="Text vysvetlivky Char142"/>
    <w:basedOn w:val="DefaultParagraphFont"/>
    <w:uiPriority w:val="99"/>
    <w:semiHidden/>
    <w:rPr>
      <w:rFonts w:ascii="Times New Roman" w:hAnsi="Times New Roman" w:cs="Times New Roman"/>
      <w:sz w:val="20"/>
      <w:szCs w:val="20"/>
      <w:rtl w:val="0"/>
      <w:cs w:val="0"/>
    </w:rPr>
  </w:style>
  <w:style w:type="character" w:customStyle="1" w:styleId="TextvysvetlivkyChar141">
    <w:name w:val="Text vysvetlivky Char141"/>
    <w:basedOn w:val="DefaultParagraphFont"/>
    <w:uiPriority w:val="99"/>
    <w:semiHidden/>
    <w:rPr>
      <w:rFonts w:ascii="Times New Roman" w:hAnsi="Times New Roman" w:cs="Times New Roman"/>
      <w:sz w:val="20"/>
      <w:szCs w:val="20"/>
      <w:rtl w:val="0"/>
      <w:cs w:val="0"/>
    </w:rPr>
  </w:style>
  <w:style w:type="character" w:customStyle="1" w:styleId="TextvysvetlivkyChar140">
    <w:name w:val="Text vysvetlivky Char140"/>
    <w:basedOn w:val="DefaultParagraphFont"/>
    <w:uiPriority w:val="99"/>
    <w:semiHidden/>
    <w:rPr>
      <w:rFonts w:ascii="Times New Roman" w:hAnsi="Times New Roman" w:cs="Times New Roman"/>
      <w:sz w:val="20"/>
      <w:szCs w:val="20"/>
      <w:rtl w:val="0"/>
      <w:cs w:val="0"/>
    </w:rPr>
  </w:style>
  <w:style w:type="character" w:customStyle="1" w:styleId="TextvysvetlivkyChar139">
    <w:name w:val="Text vysvetlivky Char139"/>
    <w:basedOn w:val="DefaultParagraphFont"/>
    <w:uiPriority w:val="99"/>
    <w:semiHidden/>
    <w:rPr>
      <w:rFonts w:ascii="Times New Roman" w:hAnsi="Times New Roman" w:cs="Times New Roman"/>
      <w:sz w:val="20"/>
      <w:szCs w:val="20"/>
      <w:rtl w:val="0"/>
      <w:cs w:val="0"/>
    </w:rPr>
  </w:style>
  <w:style w:type="character" w:customStyle="1" w:styleId="TextvysvetlivkyChar138">
    <w:name w:val="Text vysvetlivky Char138"/>
    <w:basedOn w:val="DefaultParagraphFont"/>
    <w:uiPriority w:val="99"/>
    <w:semiHidden/>
    <w:rPr>
      <w:rFonts w:ascii="Times New Roman" w:hAnsi="Times New Roman" w:cs="Times New Roman"/>
      <w:sz w:val="20"/>
      <w:szCs w:val="20"/>
      <w:rtl w:val="0"/>
      <w:cs w:val="0"/>
    </w:rPr>
  </w:style>
  <w:style w:type="character" w:customStyle="1" w:styleId="TextvysvetlivkyChar137">
    <w:name w:val="Text vysvetlivky Char137"/>
    <w:basedOn w:val="DefaultParagraphFont"/>
    <w:uiPriority w:val="99"/>
    <w:semiHidden/>
    <w:rPr>
      <w:rFonts w:ascii="Times New Roman" w:hAnsi="Times New Roman" w:cs="Times New Roman"/>
      <w:sz w:val="20"/>
      <w:szCs w:val="20"/>
      <w:rtl w:val="0"/>
      <w:cs w:val="0"/>
    </w:rPr>
  </w:style>
  <w:style w:type="character" w:customStyle="1" w:styleId="TextvysvetlivkyChar136">
    <w:name w:val="Text vysvetlivky Char136"/>
    <w:basedOn w:val="DefaultParagraphFont"/>
    <w:uiPriority w:val="99"/>
    <w:semiHidden/>
    <w:rPr>
      <w:rFonts w:ascii="Times New Roman" w:hAnsi="Times New Roman" w:cs="Times New Roman"/>
      <w:sz w:val="20"/>
      <w:szCs w:val="20"/>
      <w:rtl w:val="0"/>
      <w:cs w:val="0"/>
    </w:rPr>
  </w:style>
  <w:style w:type="character" w:customStyle="1" w:styleId="TextvysvetlivkyChar135">
    <w:name w:val="Text vysvetlivky Char135"/>
    <w:basedOn w:val="DefaultParagraphFont"/>
    <w:uiPriority w:val="99"/>
    <w:semiHidden/>
    <w:rPr>
      <w:rFonts w:ascii="Times New Roman" w:hAnsi="Times New Roman" w:cs="Times New Roman"/>
      <w:sz w:val="20"/>
      <w:szCs w:val="20"/>
      <w:rtl w:val="0"/>
      <w:cs w:val="0"/>
    </w:rPr>
  </w:style>
  <w:style w:type="character" w:customStyle="1" w:styleId="TextvysvetlivkyChar134">
    <w:name w:val="Text vysvetlivky Char134"/>
    <w:basedOn w:val="DefaultParagraphFont"/>
    <w:uiPriority w:val="99"/>
    <w:semiHidden/>
    <w:rPr>
      <w:rFonts w:ascii="Times New Roman" w:hAnsi="Times New Roman" w:cs="Times New Roman"/>
      <w:sz w:val="20"/>
      <w:szCs w:val="20"/>
      <w:rtl w:val="0"/>
      <w:cs w:val="0"/>
    </w:rPr>
  </w:style>
  <w:style w:type="character" w:customStyle="1" w:styleId="TextvysvetlivkyChar133">
    <w:name w:val="Text vysvetlivky Char133"/>
    <w:basedOn w:val="DefaultParagraphFont"/>
    <w:uiPriority w:val="99"/>
    <w:semiHidden/>
    <w:rPr>
      <w:rFonts w:ascii="Times New Roman" w:hAnsi="Times New Roman" w:cs="Times New Roman"/>
      <w:sz w:val="20"/>
      <w:szCs w:val="20"/>
      <w:rtl w:val="0"/>
      <w:cs w:val="0"/>
    </w:rPr>
  </w:style>
  <w:style w:type="character" w:customStyle="1" w:styleId="TextvysvetlivkyChar132">
    <w:name w:val="Text vysvetlivky Char132"/>
    <w:basedOn w:val="DefaultParagraphFont"/>
    <w:uiPriority w:val="99"/>
    <w:semiHidden/>
    <w:rPr>
      <w:rFonts w:ascii="Times New Roman" w:hAnsi="Times New Roman" w:cs="Times New Roman"/>
      <w:sz w:val="20"/>
      <w:szCs w:val="20"/>
      <w:rtl w:val="0"/>
      <w:cs w:val="0"/>
    </w:rPr>
  </w:style>
  <w:style w:type="character" w:customStyle="1" w:styleId="TextvysvetlivkyChar131">
    <w:name w:val="Text vysvetlivky Char131"/>
    <w:basedOn w:val="DefaultParagraphFont"/>
    <w:uiPriority w:val="99"/>
    <w:semiHidden/>
    <w:rPr>
      <w:rFonts w:ascii="Times New Roman" w:hAnsi="Times New Roman" w:cs="Times New Roman"/>
      <w:sz w:val="20"/>
      <w:szCs w:val="20"/>
      <w:rtl w:val="0"/>
      <w:cs w:val="0"/>
    </w:rPr>
  </w:style>
  <w:style w:type="character" w:customStyle="1" w:styleId="TextvysvetlivkyChar130">
    <w:name w:val="Text vysvetlivky Char130"/>
    <w:basedOn w:val="DefaultParagraphFont"/>
    <w:uiPriority w:val="99"/>
    <w:semiHidden/>
    <w:rPr>
      <w:rFonts w:ascii="Times New Roman" w:hAnsi="Times New Roman" w:cs="Times New Roman"/>
      <w:sz w:val="20"/>
      <w:szCs w:val="20"/>
      <w:rtl w:val="0"/>
      <w:cs w:val="0"/>
    </w:rPr>
  </w:style>
  <w:style w:type="character" w:customStyle="1" w:styleId="TextvysvetlivkyChar129">
    <w:name w:val="Text vysvetlivky Char129"/>
    <w:basedOn w:val="DefaultParagraphFont"/>
    <w:uiPriority w:val="99"/>
    <w:semiHidden/>
    <w:rPr>
      <w:rFonts w:ascii="Times New Roman" w:hAnsi="Times New Roman" w:cs="Times New Roman"/>
      <w:sz w:val="20"/>
      <w:szCs w:val="20"/>
      <w:rtl w:val="0"/>
      <w:cs w:val="0"/>
    </w:rPr>
  </w:style>
  <w:style w:type="character" w:customStyle="1" w:styleId="TextvysvetlivkyChar128">
    <w:name w:val="Text vysvetlivky Char128"/>
    <w:basedOn w:val="DefaultParagraphFont"/>
    <w:uiPriority w:val="99"/>
    <w:semiHidden/>
    <w:rPr>
      <w:rFonts w:ascii="Times New Roman" w:hAnsi="Times New Roman" w:cs="Times New Roman"/>
      <w:sz w:val="20"/>
      <w:szCs w:val="20"/>
      <w:rtl w:val="0"/>
      <w:cs w:val="0"/>
    </w:rPr>
  </w:style>
  <w:style w:type="character" w:customStyle="1" w:styleId="TextvysvetlivkyChar127">
    <w:name w:val="Text vysvetlivky Char127"/>
    <w:basedOn w:val="DefaultParagraphFont"/>
    <w:uiPriority w:val="99"/>
    <w:semiHidden/>
    <w:rPr>
      <w:rFonts w:ascii="Times New Roman" w:hAnsi="Times New Roman" w:cs="Times New Roman"/>
      <w:sz w:val="20"/>
      <w:szCs w:val="20"/>
      <w:rtl w:val="0"/>
      <w:cs w:val="0"/>
    </w:rPr>
  </w:style>
  <w:style w:type="character" w:customStyle="1" w:styleId="TextvysvetlivkyChar126">
    <w:name w:val="Text vysvetlivky Char126"/>
    <w:basedOn w:val="DefaultParagraphFont"/>
    <w:uiPriority w:val="99"/>
    <w:semiHidden/>
    <w:rPr>
      <w:rFonts w:ascii="Times New Roman" w:hAnsi="Times New Roman" w:cs="Times New Roman"/>
      <w:sz w:val="20"/>
      <w:szCs w:val="20"/>
      <w:rtl w:val="0"/>
      <w:cs w:val="0"/>
    </w:rPr>
  </w:style>
  <w:style w:type="character" w:customStyle="1" w:styleId="TextvysvetlivkyChar125">
    <w:name w:val="Text vysvetlivky Char125"/>
    <w:basedOn w:val="DefaultParagraphFont"/>
    <w:uiPriority w:val="99"/>
    <w:semiHidden/>
    <w:rPr>
      <w:rFonts w:ascii="Times New Roman" w:hAnsi="Times New Roman" w:cs="Times New Roman"/>
      <w:sz w:val="20"/>
      <w:szCs w:val="20"/>
      <w:rtl w:val="0"/>
      <w:cs w:val="0"/>
    </w:rPr>
  </w:style>
  <w:style w:type="character" w:customStyle="1" w:styleId="TextvysvetlivkyChar124">
    <w:name w:val="Text vysvetlivky Char124"/>
    <w:basedOn w:val="DefaultParagraphFont"/>
    <w:uiPriority w:val="99"/>
    <w:semiHidden/>
    <w:rPr>
      <w:rFonts w:ascii="Times New Roman" w:hAnsi="Times New Roman" w:cs="Times New Roman"/>
      <w:sz w:val="20"/>
      <w:szCs w:val="20"/>
      <w:rtl w:val="0"/>
      <w:cs w:val="0"/>
    </w:rPr>
  </w:style>
  <w:style w:type="character" w:customStyle="1" w:styleId="TextvysvetlivkyChar123">
    <w:name w:val="Text vysvetlivky Char123"/>
    <w:basedOn w:val="DefaultParagraphFont"/>
    <w:uiPriority w:val="99"/>
    <w:semiHidden/>
    <w:rPr>
      <w:rFonts w:ascii="Times New Roman" w:hAnsi="Times New Roman" w:cs="Times New Roman"/>
      <w:sz w:val="20"/>
      <w:szCs w:val="20"/>
      <w:rtl w:val="0"/>
      <w:cs w:val="0"/>
    </w:rPr>
  </w:style>
  <w:style w:type="character" w:customStyle="1" w:styleId="TextvysvetlivkyChar122">
    <w:name w:val="Text vysvetlivky Char122"/>
    <w:basedOn w:val="DefaultParagraphFont"/>
    <w:uiPriority w:val="99"/>
    <w:semiHidden/>
    <w:rPr>
      <w:rFonts w:ascii="Times New Roman" w:hAnsi="Times New Roman" w:cs="Times New Roman"/>
      <w:sz w:val="20"/>
      <w:szCs w:val="20"/>
      <w:rtl w:val="0"/>
      <w:cs w:val="0"/>
    </w:rPr>
  </w:style>
  <w:style w:type="character" w:customStyle="1" w:styleId="TextvysvetlivkyChar121">
    <w:name w:val="Text vysvetlivky Char121"/>
    <w:basedOn w:val="DefaultParagraphFont"/>
    <w:uiPriority w:val="99"/>
    <w:semiHidden/>
    <w:rPr>
      <w:rFonts w:ascii="Times New Roman" w:hAnsi="Times New Roman" w:cs="Times New Roman"/>
      <w:sz w:val="20"/>
      <w:szCs w:val="20"/>
      <w:rtl w:val="0"/>
      <w:cs w:val="0"/>
    </w:rPr>
  </w:style>
  <w:style w:type="character" w:customStyle="1" w:styleId="TextvysvetlivkyChar120">
    <w:name w:val="Text vysvetlivky Char120"/>
    <w:basedOn w:val="DefaultParagraphFont"/>
    <w:uiPriority w:val="99"/>
    <w:semiHidden/>
    <w:rPr>
      <w:rFonts w:ascii="Times New Roman" w:hAnsi="Times New Roman" w:cs="Times New Roman"/>
      <w:sz w:val="20"/>
      <w:szCs w:val="20"/>
      <w:rtl w:val="0"/>
      <w:cs w:val="0"/>
    </w:rPr>
  </w:style>
  <w:style w:type="character" w:customStyle="1" w:styleId="TextvysvetlivkyChar119">
    <w:name w:val="Text vysvetlivky Char119"/>
    <w:basedOn w:val="DefaultParagraphFont"/>
    <w:uiPriority w:val="99"/>
    <w:semiHidden/>
    <w:rPr>
      <w:rFonts w:ascii="Times New Roman" w:hAnsi="Times New Roman" w:cs="Times New Roman"/>
      <w:sz w:val="20"/>
      <w:szCs w:val="20"/>
      <w:rtl w:val="0"/>
      <w:cs w:val="0"/>
    </w:rPr>
  </w:style>
  <w:style w:type="character" w:customStyle="1" w:styleId="TextvysvetlivkyChar118">
    <w:name w:val="Text vysvetlivky Char118"/>
    <w:basedOn w:val="DefaultParagraphFont"/>
    <w:uiPriority w:val="99"/>
    <w:semiHidden/>
    <w:rPr>
      <w:rFonts w:ascii="Times New Roman" w:hAnsi="Times New Roman" w:cs="Times New Roman"/>
      <w:sz w:val="20"/>
      <w:szCs w:val="20"/>
      <w:rtl w:val="0"/>
      <w:cs w:val="0"/>
    </w:rPr>
  </w:style>
  <w:style w:type="character" w:customStyle="1" w:styleId="TextvysvetlivkyChar117">
    <w:name w:val="Text vysvetlivky Char117"/>
    <w:basedOn w:val="DefaultParagraphFont"/>
    <w:uiPriority w:val="99"/>
    <w:semiHidden/>
    <w:rPr>
      <w:rFonts w:ascii="Times New Roman" w:hAnsi="Times New Roman" w:cs="Times New Roman"/>
      <w:sz w:val="20"/>
      <w:szCs w:val="20"/>
      <w:rtl w:val="0"/>
      <w:cs w:val="0"/>
    </w:rPr>
  </w:style>
  <w:style w:type="character" w:customStyle="1" w:styleId="TextvysvetlivkyChar116">
    <w:name w:val="Text vysvetlivky Char116"/>
    <w:basedOn w:val="DefaultParagraphFont"/>
    <w:uiPriority w:val="99"/>
    <w:semiHidden/>
    <w:rPr>
      <w:rFonts w:ascii="Times New Roman" w:hAnsi="Times New Roman" w:cs="Times New Roman"/>
      <w:sz w:val="20"/>
      <w:szCs w:val="20"/>
      <w:rtl w:val="0"/>
      <w:cs w:val="0"/>
    </w:rPr>
  </w:style>
  <w:style w:type="character" w:customStyle="1" w:styleId="TextvysvetlivkyChar115">
    <w:name w:val="Text vysvetlivky Char115"/>
    <w:basedOn w:val="DefaultParagraphFont"/>
    <w:uiPriority w:val="99"/>
    <w:semiHidden/>
    <w:rPr>
      <w:rFonts w:ascii="Times New Roman" w:hAnsi="Times New Roman" w:cs="Times New Roman"/>
      <w:sz w:val="20"/>
      <w:szCs w:val="20"/>
      <w:rtl w:val="0"/>
      <w:cs w:val="0"/>
    </w:rPr>
  </w:style>
  <w:style w:type="character" w:customStyle="1" w:styleId="TextvysvetlivkyChar114">
    <w:name w:val="Text vysvetlivky Char114"/>
    <w:basedOn w:val="DefaultParagraphFont"/>
    <w:uiPriority w:val="99"/>
    <w:semiHidden/>
    <w:rPr>
      <w:rFonts w:ascii="Times New Roman" w:hAnsi="Times New Roman" w:cs="Times New Roman"/>
      <w:sz w:val="20"/>
      <w:szCs w:val="20"/>
      <w:rtl w:val="0"/>
      <w:cs w:val="0"/>
    </w:rPr>
  </w:style>
  <w:style w:type="character" w:customStyle="1" w:styleId="TextvysvetlivkyChar113">
    <w:name w:val="Text vysvetlivky Char113"/>
    <w:basedOn w:val="DefaultParagraphFont"/>
    <w:uiPriority w:val="99"/>
    <w:semiHidden/>
    <w:rPr>
      <w:rFonts w:ascii="Times New Roman" w:hAnsi="Times New Roman" w:cs="Times New Roman"/>
      <w:sz w:val="20"/>
      <w:szCs w:val="20"/>
      <w:rtl w:val="0"/>
      <w:cs w:val="0"/>
    </w:rPr>
  </w:style>
  <w:style w:type="character" w:customStyle="1" w:styleId="TextvysvetlivkyChar112">
    <w:name w:val="Text vysvetlivky Char112"/>
    <w:basedOn w:val="DefaultParagraphFont"/>
    <w:uiPriority w:val="99"/>
    <w:semiHidden/>
    <w:rPr>
      <w:rFonts w:ascii="Times New Roman" w:hAnsi="Times New Roman" w:cs="Times New Roman"/>
      <w:sz w:val="20"/>
      <w:szCs w:val="20"/>
      <w:rtl w:val="0"/>
      <w:cs w:val="0"/>
    </w:rPr>
  </w:style>
  <w:style w:type="character" w:customStyle="1" w:styleId="TextvysvetlivkyChar111">
    <w:name w:val="Text vysvetlivky Char111"/>
    <w:basedOn w:val="DefaultParagraphFont"/>
    <w:uiPriority w:val="99"/>
    <w:semiHidden/>
    <w:rPr>
      <w:rFonts w:ascii="Times New Roman" w:hAnsi="Times New Roman" w:cs="Times New Roman"/>
      <w:sz w:val="20"/>
      <w:szCs w:val="20"/>
      <w:rtl w:val="0"/>
      <w:cs w:val="0"/>
    </w:rPr>
  </w:style>
  <w:style w:type="character" w:customStyle="1" w:styleId="TextvysvetlivkyChar110">
    <w:name w:val="Text vysvetlivky Char110"/>
    <w:basedOn w:val="DefaultParagraphFont"/>
    <w:uiPriority w:val="99"/>
    <w:semiHidden/>
    <w:rPr>
      <w:rFonts w:ascii="Times New Roman" w:hAnsi="Times New Roman" w:cs="Times New Roman"/>
      <w:sz w:val="20"/>
      <w:szCs w:val="20"/>
      <w:rtl w:val="0"/>
      <w:cs w:val="0"/>
    </w:rPr>
  </w:style>
  <w:style w:type="character" w:customStyle="1" w:styleId="TextvysvetlivkyChar19">
    <w:name w:val="Text vysvetlivky Char19"/>
    <w:basedOn w:val="DefaultParagraphFont"/>
    <w:uiPriority w:val="99"/>
    <w:semiHidden/>
    <w:rPr>
      <w:rFonts w:ascii="Times New Roman" w:hAnsi="Times New Roman" w:cs="Times New Roman"/>
      <w:sz w:val="20"/>
      <w:szCs w:val="20"/>
      <w:rtl w:val="0"/>
      <w:cs w:val="0"/>
    </w:rPr>
  </w:style>
  <w:style w:type="character" w:customStyle="1" w:styleId="TextvysvetlivkyChar18">
    <w:name w:val="Text vysvetlivky Char18"/>
    <w:basedOn w:val="DefaultParagraphFont"/>
    <w:uiPriority w:val="99"/>
    <w:semiHidden/>
    <w:rPr>
      <w:rFonts w:ascii="Times New Roman" w:hAnsi="Times New Roman" w:cs="Times New Roman"/>
      <w:sz w:val="20"/>
      <w:szCs w:val="20"/>
      <w:rtl w:val="0"/>
      <w:cs w:val="0"/>
    </w:rPr>
  </w:style>
  <w:style w:type="character" w:customStyle="1" w:styleId="TextvysvetlivkyChar17">
    <w:name w:val="Text vysvetlivky Char17"/>
    <w:basedOn w:val="DefaultParagraphFont"/>
    <w:uiPriority w:val="99"/>
    <w:semiHidden/>
    <w:rPr>
      <w:rFonts w:ascii="Times New Roman" w:hAnsi="Times New Roman" w:cs="Times New Roman"/>
      <w:sz w:val="20"/>
      <w:szCs w:val="20"/>
      <w:rtl w:val="0"/>
      <w:cs w:val="0"/>
    </w:rPr>
  </w:style>
  <w:style w:type="character" w:customStyle="1" w:styleId="TextvysvetlivkyChar16">
    <w:name w:val="Text vysvetlivky Char16"/>
    <w:basedOn w:val="DefaultParagraphFont"/>
    <w:uiPriority w:val="99"/>
    <w:semiHidden/>
    <w:rPr>
      <w:rFonts w:ascii="Times New Roman" w:hAnsi="Times New Roman" w:cs="Times New Roman"/>
      <w:sz w:val="20"/>
      <w:szCs w:val="20"/>
      <w:rtl w:val="0"/>
      <w:cs w:val="0"/>
    </w:rPr>
  </w:style>
  <w:style w:type="character" w:customStyle="1" w:styleId="TextvysvetlivkyChar15">
    <w:name w:val="Text vysvetlivky Char15"/>
    <w:basedOn w:val="DefaultParagraphFont"/>
    <w:uiPriority w:val="99"/>
    <w:semiHidden/>
    <w:rPr>
      <w:rFonts w:ascii="Times New Roman" w:hAnsi="Times New Roman" w:cs="Times New Roman"/>
      <w:sz w:val="20"/>
      <w:szCs w:val="20"/>
      <w:rtl w:val="0"/>
      <w:cs w:val="0"/>
    </w:rPr>
  </w:style>
  <w:style w:type="character" w:customStyle="1" w:styleId="TextvysvetlivkyChar14">
    <w:name w:val="Text vysvetlivky Char14"/>
    <w:basedOn w:val="DefaultParagraphFont"/>
    <w:uiPriority w:val="99"/>
    <w:semiHidden/>
    <w:rPr>
      <w:rFonts w:ascii="Times New Roman" w:hAnsi="Times New Roman" w:cs="Times New Roman"/>
      <w:sz w:val="20"/>
      <w:szCs w:val="20"/>
      <w:rtl w:val="0"/>
      <w:cs w:val="0"/>
    </w:rPr>
  </w:style>
  <w:style w:type="character" w:customStyle="1" w:styleId="TextvysvetlivkyChar13">
    <w:name w:val="Text vysvetlivky Char13"/>
    <w:basedOn w:val="DefaultParagraphFont"/>
    <w:uiPriority w:val="99"/>
    <w:semiHidden/>
    <w:rPr>
      <w:rFonts w:ascii="Times New Roman" w:hAnsi="Times New Roman" w:cs="Times New Roman"/>
      <w:sz w:val="20"/>
      <w:szCs w:val="20"/>
      <w:rtl w:val="0"/>
      <w:cs w:val="0"/>
    </w:rPr>
  </w:style>
  <w:style w:type="character" w:customStyle="1" w:styleId="TextvysvetlivkyChar12">
    <w:name w:val="Text vysvetlivky Char12"/>
    <w:basedOn w:val="DefaultParagraphFont"/>
    <w:uiPriority w:val="99"/>
    <w:semiHidden/>
    <w:rPr>
      <w:rFonts w:ascii="Times New Roman" w:hAnsi="Times New Roman" w:cs="Times New Roman"/>
      <w:sz w:val="20"/>
      <w:szCs w:val="20"/>
      <w:rtl w:val="0"/>
      <w:cs w:val="0"/>
    </w:rPr>
  </w:style>
  <w:style w:type="character" w:customStyle="1" w:styleId="TextvysvetlivkyChar11">
    <w:name w:val="Text vysvetlivky Char11"/>
    <w:basedOn w:val="DefaultParagraphFont"/>
    <w:uiPriority w:val="99"/>
    <w:semiHidden/>
    <w:rPr>
      <w:rFonts w:ascii="Times New Roman" w:hAnsi="Times New Roman" w:cs="Times New Roman"/>
      <w:sz w:val="20"/>
      <w:szCs w:val="20"/>
      <w:rtl w:val="0"/>
      <w:cs w:val="0"/>
    </w:rPr>
  </w:style>
  <w:style w:type="character" w:styleId="IntenseEmphasis">
    <w:name w:val="Intense Emphasis"/>
    <w:basedOn w:val="DefaultParagraphFont"/>
    <w:uiPriority w:val="21"/>
    <w:qFormat/>
    <w:rsid w:val="00CF7B74"/>
    <w:rPr>
      <w:rFonts w:cs="Times New Roman"/>
      <w:i/>
      <w:color w:val="5B9BD5"/>
      <w:rtl w:val="0"/>
      <w:cs w:val="0"/>
    </w:rPr>
  </w:style>
  <w:style w:type="character" w:styleId="CommentReference">
    <w:name w:val="annotation reference"/>
    <w:basedOn w:val="DefaultParagraphFont"/>
    <w:uiPriority w:val="99"/>
    <w:semiHidden/>
    <w:unhideWhenUsed/>
    <w:rsid w:val="00E651B0"/>
    <w:rPr>
      <w:rFonts w:cs="Times New Roman"/>
      <w:sz w:val="16"/>
      <w:szCs w:val="16"/>
      <w:rtl w:val="0"/>
      <w:cs w:val="0"/>
    </w:rPr>
  </w:style>
  <w:style w:type="table" w:styleId="TableGrid">
    <w:name w:val="Table Grid"/>
    <w:basedOn w:val="TableNormal"/>
    <w:uiPriority w:val="59"/>
    <w:rsid w:val="00EF07A1"/>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2BD6"/>
    <w:rPr>
      <w:rFonts w:cs="Times New Roman"/>
      <w:color w:val="800080"/>
      <w:u w:val="single"/>
      <w:rtl w:val="0"/>
      <w:cs w:val="0"/>
    </w:rPr>
  </w:style>
  <w:style w:type="character" w:styleId="EndnoteReference">
    <w:name w:val="endnote reference"/>
    <w:basedOn w:val="DefaultParagraphFont"/>
    <w:uiPriority w:val="99"/>
    <w:semiHidden/>
    <w:unhideWhenUsed/>
    <w:rsid w:val="00DD2BD6"/>
    <w:rPr>
      <w:rFonts w:cs="Times New Roman"/>
      <w:vertAlign w:val="superscript"/>
      <w:rtl w:val="0"/>
      <w:cs w:val="0"/>
    </w:rPr>
  </w:style>
  <w:style w:type="character" w:customStyle="1" w:styleId="spelle">
    <w:name w:val="spelle"/>
    <w:basedOn w:val="DefaultParagraphFont"/>
    <w:rsid w:val="00370AD5"/>
    <w:rPr>
      <w:rFonts w:cs="Times New Roman"/>
      <w:rtl w:val="0"/>
      <w:cs w:val="0"/>
    </w:rPr>
  </w:style>
  <w:style w:type="character" w:customStyle="1" w:styleId="h1a2">
    <w:name w:val="h1a2"/>
    <w:basedOn w:val="DefaultParagraphFont"/>
    <w:rsid w:val="000F2ECF"/>
    <w:rPr>
      <w:rFonts w:cs="Times New Roman"/>
      <w:rtl w:val="0"/>
      <w:cs w:val="0"/>
    </w:rPr>
  </w:style>
  <w:style w:type="paragraph" w:customStyle="1" w:styleId="default0">
    <w:name w:val="default"/>
    <w:basedOn w:val="Normal"/>
    <w:rsid w:val="00496E50"/>
    <w:pPr>
      <w:autoSpaceDE w:val="0"/>
      <w:autoSpaceDN w:val="0"/>
      <w:spacing w:after="0" w:line="240" w:lineRule="auto"/>
      <w:jc w:val="left"/>
    </w:pPr>
    <w:rPr>
      <w:color w:val="000000"/>
      <w:sz w:val="24"/>
      <w:szCs w:val="24"/>
      <w:lang w:eastAsia="sk-SK"/>
    </w:rPr>
  </w:style>
  <w:style w:type="paragraph" w:styleId="Revision">
    <w:name w:val="Revision"/>
    <w:hidden/>
    <w:uiPriority w:val="99"/>
    <w:semiHidden/>
    <w:rsid w:val="00FA32D8"/>
    <w:pPr>
      <w:framePr w:wrap="auto"/>
      <w:widowControl/>
      <w:autoSpaceDE/>
      <w:autoSpaceDN/>
      <w:adjustRightInd/>
      <w:ind w:left="0" w:right="0"/>
      <w:jc w:val="left"/>
      <w:textAlignment w:val="auto"/>
    </w:pPr>
    <w:rPr>
      <w:rFonts w:cs="Times New Roman"/>
      <w:sz w:val="22"/>
      <w:szCs w:val="36"/>
      <w:rtl w:val="0"/>
      <w:cs w:val="0"/>
      <w:lang w:val="sk-SK" w:eastAsia="en-US" w:bidi="ar-SA"/>
    </w:rPr>
  </w:style>
  <w:style w:type="paragraph" w:styleId="TOCHeading">
    <w:name w:val="TOC Heading"/>
    <w:basedOn w:val="Heading1"/>
    <w:next w:val="Normal"/>
    <w:uiPriority w:val="39"/>
    <w:unhideWhenUsed/>
    <w:qFormat/>
    <w:rsid w:val="00613FDF"/>
    <w:pPr>
      <w:spacing w:before="240" w:after="0" w:line="259" w:lineRule="auto"/>
      <w:ind w:left="0" w:firstLine="0"/>
      <w:jc w:val="left"/>
      <w:outlineLvl w:val="9"/>
    </w:pPr>
    <w:rPr>
      <w:rFonts w:asciiTheme="majorHAnsi" w:hAnsiTheme="majorHAnsi"/>
      <w:b w:val="0"/>
      <w:bCs/>
      <w:color w:val="365F91" w:themeColor="accent1" w:themeShade="BF"/>
      <w:sz w:val="32"/>
      <w:szCs w:val="32"/>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image" Target="media/image6.emf"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notes.xml.rels>&#65279;<?xml version="1.0" encoding="utf-8" standalone="yes"?><Relationships xmlns="http://schemas.openxmlformats.org/package/2006/relationships"><Relationship Id="rId1" Type="http://schemas.openxmlformats.org/officeDocument/2006/relationships/hyperlink" Target="http://www.finance.gov.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677B-46B5-4C36-8558-9B3CFE00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3776</TotalTime>
  <Pages>91</Pages>
  <Words>38621</Words>
  <Characters>220144</Characters>
  <Application>Microsoft Office Word</Application>
  <DocSecurity>0</DocSecurity>
  <Lines>0</Lines>
  <Paragraphs>0</Paragraphs>
  <ScaleCrop>false</ScaleCrop>
  <Company>MF SR</Company>
  <LinksUpToDate>false</LinksUpToDate>
  <CharactersWithSpaces>258249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Suttova Jana</dc:creator>
  <cp:lastModifiedBy>Ivanek Peter</cp:lastModifiedBy>
  <cp:revision>321</cp:revision>
  <cp:lastPrinted>2018-04-27T10:34:00Z</cp:lastPrinted>
  <dcterms:created xsi:type="dcterms:W3CDTF">2018-03-21T09:12:00Z</dcterms:created>
  <dcterms:modified xsi:type="dcterms:W3CDTF">2018-04-27T14:08:00Z</dcterms:modified>
</cp:coreProperties>
</file>