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2CA1" w:rsidRPr="008C45D4" w:rsidP="008C45D4">
      <w:pPr>
        <w:pBdr>
          <w:bottom w:val="single" w:sz="12" w:space="1" w:color="00000A"/>
        </w:pBdr>
        <w:bidi w:val="0"/>
        <w:spacing w:before="120" w:after="0"/>
        <w:jc w:val="center"/>
        <w:rPr>
          <w:rFonts w:ascii="Book Antiqua" w:hAnsi="Book Antiqua"/>
          <w:b/>
          <w:spacing w:val="20"/>
        </w:rPr>
      </w:pPr>
      <w:r w:rsidRPr="008C45D4">
        <w:rPr>
          <w:rFonts w:ascii="Book Antiqua" w:hAnsi="Book Antiqua"/>
          <w:b/>
          <w:spacing w:val="20"/>
        </w:rPr>
        <w:t>NÁRODNÁ  RADA  SLOVENSKEJ  REPUBLIKY</w:t>
      </w:r>
    </w:p>
    <w:p w:rsidR="00852CA1" w:rsidRPr="008C45D4" w:rsidP="008C45D4">
      <w:pPr>
        <w:bidi w:val="0"/>
        <w:spacing w:before="120" w:after="0"/>
        <w:jc w:val="center"/>
        <w:rPr>
          <w:rFonts w:ascii="Book Antiqua" w:hAnsi="Book Antiqua"/>
          <w:spacing w:val="20"/>
        </w:rPr>
      </w:pPr>
    </w:p>
    <w:p w:rsidR="00852CA1" w:rsidRPr="008C45D4" w:rsidP="008C45D4">
      <w:pPr>
        <w:bidi w:val="0"/>
        <w:spacing w:before="120" w:after="0"/>
        <w:jc w:val="center"/>
        <w:rPr>
          <w:rFonts w:ascii="Book Antiqua" w:hAnsi="Book Antiqua"/>
          <w:spacing w:val="20"/>
        </w:rPr>
      </w:pPr>
      <w:r w:rsidRPr="008C45D4">
        <w:rPr>
          <w:rFonts w:ascii="Book Antiqua" w:hAnsi="Book Antiqua"/>
          <w:spacing w:val="20"/>
        </w:rPr>
        <w:t>VII. volebné obdobie</w:t>
      </w:r>
    </w:p>
    <w:p w:rsidR="00852CA1" w:rsidRPr="008C45D4" w:rsidP="008C45D4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RPr="008C45D4" w:rsidP="008C45D4">
      <w:pPr>
        <w:bidi w:val="0"/>
        <w:spacing w:before="120" w:after="0"/>
        <w:jc w:val="center"/>
        <w:rPr>
          <w:rFonts w:ascii="Book Antiqua" w:hAnsi="Book Antiqua"/>
          <w:spacing w:val="30"/>
        </w:rPr>
      </w:pPr>
      <w:r w:rsidRPr="008C45D4">
        <w:rPr>
          <w:rFonts w:ascii="Book Antiqua" w:hAnsi="Book Antiqua"/>
          <w:spacing w:val="30"/>
        </w:rPr>
        <w:t>Návrh</w:t>
      </w:r>
    </w:p>
    <w:p w:rsidR="00852CA1" w:rsidRPr="008C45D4" w:rsidP="008C45D4">
      <w:pPr>
        <w:bidi w:val="0"/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RPr="008C45D4" w:rsidP="008C45D4">
      <w:pPr>
        <w:bidi w:val="0"/>
        <w:spacing w:before="120" w:after="0"/>
        <w:jc w:val="center"/>
        <w:rPr>
          <w:rFonts w:ascii="Book Antiqua" w:hAnsi="Book Antiqua"/>
          <w:b/>
          <w:caps/>
          <w:spacing w:val="30"/>
        </w:rPr>
      </w:pPr>
      <w:r w:rsidRPr="008C45D4">
        <w:rPr>
          <w:rFonts w:ascii="Book Antiqua" w:hAnsi="Book Antiqua"/>
          <w:b/>
          <w:caps/>
          <w:spacing w:val="30"/>
        </w:rPr>
        <w:t>zákon</w:t>
      </w:r>
    </w:p>
    <w:p w:rsidR="00852CA1" w:rsidRPr="008C45D4" w:rsidP="008C45D4">
      <w:pPr>
        <w:bidi w:val="0"/>
        <w:spacing w:before="120" w:after="0"/>
        <w:jc w:val="center"/>
        <w:rPr>
          <w:rFonts w:ascii="Book Antiqua" w:hAnsi="Book Antiqua"/>
        </w:rPr>
      </w:pPr>
    </w:p>
    <w:p w:rsidR="00F50A81" w:rsidRPr="008C45D4" w:rsidP="008C45D4">
      <w:pPr>
        <w:bidi w:val="0"/>
        <w:spacing w:before="120" w:after="0"/>
        <w:jc w:val="center"/>
        <w:rPr>
          <w:rFonts w:ascii="Book Antiqua" w:hAnsi="Book Antiqua"/>
        </w:rPr>
      </w:pPr>
      <w:r w:rsidRPr="008C45D4" w:rsidR="00852CA1">
        <w:rPr>
          <w:rFonts w:ascii="Book Antiqua" w:hAnsi="Book Antiqua"/>
        </w:rPr>
        <w:t>z ... 201</w:t>
      </w:r>
      <w:r w:rsidRPr="008C45D4" w:rsidR="00F504F3">
        <w:rPr>
          <w:rFonts w:ascii="Book Antiqua" w:hAnsi="Book Antiqua"/>
        </w:rPr>
        <w:t>8</w:t>
      </w:r>
      <w:r w:rsidRPr="008C45D4" w:rsidR="00852CA1">
        <w:rPr>
          <w:rFonts w:ascii="Book Antiqua" w:hAnsi="Book Antiqua"/>
        </w:rPr>
        <w:t>,</w:t>
      </w:r>
    </w:p>
    <w:p w:rsidR="006F321F" w:rsidRPr="008C45D4" w:rsidP="008C45D4">
      <w:pPr>
        <w:bidi w:val="0"/>
        <w:spacing w:before="120" w:after="0"/>
        <w:rPr>
          <w:rFonts w:ascii="Book Antiqua" w:hAnsi="Book Antiqua"/>
        </w:rPr>
      </w:pPr>
    </w:p>
    <w:p w:rsidR="003B28A1" w:rsidRPr="008C45D4" w:rsidP="008C45D4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8C45D4">
        <w:rPr>
          <w:rFonts w:ascii="Book Antiqua" w:hAnsi="Book Antiqua"/>
          <w:b/>
        </w:rPr>
        <w:t xml:space="preserve">ktorým sa mení a </w:t>
      </w:r>
      <w:r w:rsidRPr="008C45D4">
        <w:rPr>
          <w:rFonts w:ascii="Book Antiqua" w:hAnsi="Book Antiqua"/>
          <w:b/>
          <w:bCs/>
        </w:rPr>
        <w:t>dopĺňa zákon č. 461/2003 Z. z. o sociálnom poistení v znení neskorších predpisov</w:t>
      </w:r>
    </w:p>
    <w:p w:rsidR="006F321F" w:rsidRPr="008C45D4" w:rsidP="008C45D4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8C45D4" w:rsidP="008C45D4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8C45D4">
        <w:rPr>
          <w:rFonts w:ascii="Book Antiqua" w:hAnsi="Book Antiqua"/>
        </w:rPr>
        <w:t>Národná rada Slovenskej republiky sa uzniesla na tomto zákone:</w:t>
      </w:r>
    </w:p>
    <w:p w:rsidR="006F321F" w:rsidRPr="008C45D4" w:rsidP="008C45D4">
      <w:pPr>
        <w:bidi w:val="0"/>
        <w:spacing w:before="120" w:after="0"/>
        <w:jc w:val="both"/>
        <w:rPr>
          <w:rFonts w:ascii="Book Antiqua" w:hAnsi="Book Antiqua"/>
        </w:rPr>
      </w:pPr>
    </w:p>
    <w:p w:rsidR="006F321F" w:rsidRPr="008C45D4" w:rsidP="008C45D4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8C45D4">
        <w:rPr>
          <w:rFonts w:ascii="Book Antiqua" w:hAnsi="Book Antiqua"/>
          <w:b/>
        </w:rPr>
        <w:t>Čl. I</w:t>
      </w:r>
    </w:p>
    <w:p w:rsidR="00CD28C5" w:rsidRPr="00921EC0" w:rsidP="008C45D4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8C45D4" w:rsidR="006F321F">
        <w:rPr>
          <w:rFonts w:ascii="Book Antiqua" w:hAnsi="Book Antiqua"/>
        </w:rPr>
        <w:t>Zákon č</w:t>
      </w:r>
      <w:r w:rsidRPr="008C45D4" w:rsidR="003B28A1">
        <w:rPr>
          <w:rFonts w:ascii="Book Antiqua" w:hAnsi="Book Antiqua"/>
        </w:rPr>
        <w:t xml:space="preserve">. </w:t>
      </w:r>
      <w:r w:rsidRPr="008C45D4" w:rsidR="003B28A1">
        <w:rPr>
          <w:rFonts w:ascii="Book Antiqua" w:hAnsi="Book Antiqua"/>
          <w:bCs/>
        </w:rPr>
        <w:t xml:space="preserve">461/2003 Z. z. o sociálnom poistení </w:t>
      </w:r>
      <w:r w:rsidRPr="008C45D4" w:rsidR="00A84FB8">
        <w:rPr>
          <w:rFonts w:ascii="Book Antiqua" w:hAnsi="Book Antiqua"/>
        </w:rPr>
        <w:t>v znení zákona č.</w:t>
      </w:r>
      <w:r w:rsidRPr="008C45D4" w:rsidR="00B707AB">
        <w:rPr>
          <w:rFonts w:ascii="Book Antiqua" w:hAnsi="Book Antiqua" w:cs="Segoe UI"/>
          <w:shd w:val="clear" w:color="auto" w:fill="FFFFFF"/>
        </w:rPr>
        <w:t xml:space="preserve"> 551/2003 Z. z., zákona č. 600/2003 Z. z., zákona č. 5/2004 Z. z., zákona č. 43/2004 Z. z., zákona č. 186/2004 Z. z., zákona č. 365/2004 Z. z., zákona č. 391/2004 Z. z., zákona č. 439/2004 Z. z., zákona </w:t>
      </w:r>
      <w:r w:rsidRPr="008C45D4"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8C45D4" w:rsidR="00B707AB">
        <w:rPr>
          <w:rFonts w:ascii="Book Antiqua" w:hAnsi="Book Antiqua" w:cs="Segoe UI"/>
          <w:shd w:val="clear" w:color="auto" w:fill="FFFFFF"/>
        </w:rPr>
        <w:t xml:space="preserve">č. 523/2004 Z. z., zákona č. 721/2004 Z. z., zákona č. 82/2005 Z. z., zákona č. 244/2005 Z. z., zákona č. 351/2005 Z. z., zákona č. 534/2005 Z. z., zákona č. 584/2005 Z. z., zákona </w:t>
      </w:r>
      <w:r w:rsidRPr="008C45D4"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8C45D4" w:rsidR="00B707AB">
        <w:rPr>
          <w:rFonts w:ascii="Book Antiqua" w:hAnsi="Book Antiqua" w:cs="Segoe UI"/>
          <w:shd w:val="clear" w:color="auto" w:fill="FFFFFF"/>
        </w:rPr>
        <w:t xml:space="preserve">č. 310/2006 Z. z., nálezu Ústavného súdu Slovenskej republiky č. 460/2006 Z. z., zákona </w:t>
      </w:r>
      <w:r w:rsidRPr="008C45D4" w:rsidR="005214F3">
        <w:rPr>
          <w:rFonts w:ascii="Book Antiqua" w:hAnsi="Book Antiqua" w:cs="Segoe UI"/>
          <w:shd w:val="clear" w:color="auto" w:fill="FFFFFF"/>
        </w:rPr>
        <w:t xml:space="preserve">         </w:t>
      </w:r>
      <w:r w:rsidRPr="008C45D4" w:rsidR="00B707AB">
        <w:rPr>
          <w:rFonts w:ascii="Book Antiqua" w:hAnsi="Book Antiqua" w:cs="Segoe UI"/>
          <w:shd w:val="clear" w:color="auto" w:fill="FFFFFF"/>
        </w:rPr>
        <w:t xml:space="preserve">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</w:t>
      </w:r>
      <w:r w:rsidRPr="008C45D4" w:rsidR="005214F3">
        <w:rPr>
          <w:rFonts w:ascii="Book Antiqua" w:hAnsi="Book Antiqua" w:cs="Segoe UI"/>
          <w:shd w:val="clear" w:color="auto" w:fill="FFFFFF"/>
        </w:rPr>
        <w:t xml:space="preserve">       </w:t>
      </w:r>
      <w:r w:rsidRPr="008C45D4" w:rsidR="00B707AB">
        <w:rPr>
          <w:rFonts w:ascii="Book Antiqua" w:hAnsi="Book Antiqua" w:cs="Segoe UI"/>
          <w:shd w:val="clear" w:color="auto" w:fill="FFFFFF"/>
        </w:rPr>
        <w:t xml:space="preserve">č. 449/2008 Z. z., zákona č. 599/2008 Z. z., zákona č. 108/2009 Z. z., zákona č. 192/2009 Z. z., zákona č. 200/2009 Z. z., zákona č. 285/2009 Z. z., zákona č. 571/2009 Z. z., zákona </w:t>
      </w:r>
      <w:r w:rsidRPr="008C45D4" w:rsidR="005214F3">
        <w:rPr>
          <w:rFonts w:ascii="Book Antiqua" w:hAnsi="Book Antiqua" w:cs="Segoe UI"/>
          <w:shd w:val="clear" w:color="auto" w:fill="FFFFFF"/>
        </w:rPr>
        <w:t xml:space="preserve">               </w:t>
      </w:r>
      <w:r w:rsidRPr="008C45D4" w:rsidR="00B707AB">
        <w:rPr>
          <w:rFonts w:ascii="Book Antiqua" w:hAnsi="Book Antiqua" w:cs="Segoe UI"/>
          <w:shd w:val="clear" w:color="auto" w:fill="FFFFFF"/>
        </w:rPr>
        <w:t xml:space="preserve">č. 572/2009 Z. z., zákona č. 52/2010 Z. z., zákona č. 151/2010 Z. z., zákona č. 403/2010 Z. z., zákona č. 543/2010 Z. z., zákona č. 125/2011 Z. z., zákona č. 223/2011 Z. z., zákona </w:t>
      </w:r>
      <w:r w:rsidRPr="008C45D4" w:rsidR="005214F3">
        <w:rPr>
          <w:rFonts w:ascii="Book Antiqua" w:hAnsi="Book Antiqua" w:cs="Segoe UI"/>
          <w:shd w:val="clear" w:color="auto" w:fill="FFFFFF"/>
        </w:rPr>
        <w:t xml:space="preserve">                </w:t>
      </w:r>
      <w:r w:rsidRPr="008C45D4" w:rsidR="00B707AB">
        <w:rPr>
          <w:rFonts w:ascii="Book Antiqua" w:hAnsi="Book Antiqua" w:cs="Segoe UI"/>
          <w:shd w:val="clear" w:color="auto" w:fill="FFFFFF"/>
        </w:rPr>
        <w:t xml:space="preserve">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</w:t>
      </w:r>
      <w:r w:rsidRPr="008C45D4" w:rsidR="005214F3">
        <w:rPr>
          <w:rFonts w:ascii="Book Antiqua" w:hAnsi="Book Antiqua" w:cs="Segoe UI"/>
          <w:shd w:val="clear" w:color="auto" w:fill="FFFFFF"/>
        </w:rPr>
        <w:t xml:space="preserve">      </w:t>
      </w:r>
      <w:r w:rsidRPr="008C45D4" w:rsidR="00B707AB">
        <w:rPr>
          <w:rFonts w:ascii="Book Antiqua" w:hAnsi="Book Antiqua" w:cs="Segoe UI"/>
          <w:shd w:val="clear" w:color="auto" w:fill="FFFFFF"/>
        </w:rPr>
        <w:t xml:space="preserve">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</w:t>
      </w:r>
      <w:r w:rsidRPr="008C45D4" w:rsidR="005214F3">
        <w:rPr>
          <w:rFonts w:ascii="Book Antiqua" w:hAnsi="Book Antiqua" w:cs="Segoe UI"/>
          <w:shd w:val="clear" w:color="auto" w:fill="FFFFFF"/>
        </w:rPr>
        <w:t xml:space="preserve">             </w:t>
      </w:r>
      <w:r w:rsidRPr="008C45D4" w:rsidR="00B707AB">
        <w:rPr>
          <w:rFonts w:ascii="Book Antiqua" w:hAnsi="Book Antiqua" w:cs="Segoe UI"/>
          <w:shd w:val="clear" w:color="auto" w:fill="FFFFFF"/>
        </w:rPr>
        <w:t>č. 176/2015 Z. z., zákona č. 336/2015 Z. z., zákona č. 378/2015 Z. z., zákona č. 407/2015 Z. z., zákona č. 440/2015 Z. z., zákona č. 125/2016 Z. z., zákona č. 285/2016 Z. z.</w:t>
      </w:r>
      <w:r w:rsidRPr="008C45D4" w:rsidR="00D62FA2">
        <w:rPr>
          <w:rStyle w:val="apple-converted-space"/>
          <w:rFonts w:ascii="Book Antiqua" w:hAnsi="Book Antiqua" w:cs="Segoe UI"/>
          <w:shd w:val="clear" w:color="auto" w:fill="FFFFFF"/>
        </w:rPr>
        <w:t xml:space="preserve">, </w:t>
      </w:r>
      <w:r w:rsidRPr="008C45D4" w:rsidR="00B707AB">
        <w:rPr>
          <w:rStyle w:val="apple-converted-space"/>
          <w:rFonts w:ascii="Book Antiqua" w:hAnsi="Book Antiqua" w:cs="Segoe UI"/>
          <w:shd w:val="clear" w:color="auto" w:fill="FFFFFF"/>
        </w:rPr>
        <w:t xml:space="preserve">zákona </w:t>
      </w:r>
      <w:r w:rsidRPr="008C45D4" w:rsidR="005214F3">
        <w:rPr>
          <w:rStyle w:val="apple-converted-space"/>
          <w:rFonts w:ascii="Book Antiqua" w:hAnsi="Book Antiqua" w:cs="Segoe UI"/>
          <w:shd w:val="clear" w:color="auto" w:fill="FFFFFF"/>
        </w:rPr>
        <w:t xml:space="preserve">               </w:t>
      </w:r>
      <w:r w:rsidRPr="008C45D4" w:rsidR="00B707AB">
        <w:rPr>
          <w:rStyle w:val="apple-converted-space"/>
          <w:rFonts w:ascii="Book Antiqua" w:hAnsi="Book Antiqua" w:cs="Segoe UI"/>
          <w:shd w:val="clear" w:color="auto" w:fill="FFFFFF"/>
        </w:rPr>
        <w:t>č. 310/2016 Z. z.</w:t>
      </w:r>
      <w:r w:rsidRPr="008C45D4" w:rsidR="00D62FA2">
        <w:rPr>
          <w:rStyle w:val="apple-converted-space"/>
          <w:rFonts w:ascii="Book Antiqua" w:hAnsi="Book Antiqua" w:cs="Segoe UI"/>
          <w:shd w:val="clear" w:color="auto" w:fill="FFFFFF"/>
        </w:rPr>
        <w:t>, zákona č. 355/20</w:t>
      </w:r>
      <w:r w:rsidRPr="008C45D4" w:rsidR="00F504F3">
        <w:rPr>
          <w:rStyle w:val="apple-converted-space"/>
          <w:rFonts w:ascii="Book Antiqua" w:hAnsi="Book Antiqua" w:cs="Segoe UI"/>
          <w:shd w:val="clear" w:color="auto" w:fill="FFFFFF"/>
        </w:rPr>
        <w:t xml:space="preserve">16 Z. z., </w:t>
      </w:r>
      <w:r w:rsidRPr="008C45D4" w:rsidR="00D62FA2">
        <w:rPr>
          <w:rStyle w:val="apple-converted-space"/>
          <w:rFonts w:ascii="Book Antiqua" w:hAnsi="Book Antiqua" w:cs="Segoe UI"/>
          <w:shd w:val="clear" w:color="auto" w:fill="FFFFFF"/>
        </w:rPr>
        <w:t>zákona č. 2/2017 Z. z.</w:t>
      </w:r>
      <w:r w:rsidRPr="008C45D4" w:rsidR="00F504F3">
        <w:rPr>
          <w:rStyle w:val="apple-converted-space"/>
          <w:rFonts w:ascii="Book Antiqua" w:hAnsi="Book Antiqua" w:cs="Segoe UI"/>
          <w:shd w:val="clear" w:color="auto" w:fill="FFFFFF"/>
        </w:rPr>
        <w:t xml:space="preserve">, zákona č. 85/2017 Z. z., </w:t>
      </w:r>
      <w:r w:rsidRPr="00921EC0" w:rsidR="00F504F3">
        <w:rPr>
          <w:rStyle w:val="apple-converted-space"/>
          <w:rFonts w:ascii="Book Antiqua" w:hAnsi="Book Antiqua" w:cs="Segoe UI"/>
          <w:shd w:val="clear" w:color="auto" w:fill="FFFFFF"/>
        </w:rPr>
        <w:t xml:space="preserve">zákona č. 184/2017 Z. z., zákona č. 264/2017 Z. z., zákona č. 266/2017 Z. z., zákona </w:t>
      </w:r>
      <w:r w:rsidRPr="00921EC0" w:rsidR="001B0E25">
        <w:rPr>
          <w:rStyle w:val="apple-converted-space"/>
          <w:rFonts w:ascii="Book Antiqua" w:hAnsi="Book Antiqua" w:cs="Segoe UI"/>
          <w:shd w:val="clear" w:color="auto" w:fill="FFFFFF"/>
        </w:rPr>
        <w:t xml:space="preserve">                </w:t>
      </w:r>
      <w:r w:rsidRPr="00921EC0" w:rsidR="00F504F3">
        <w:rPr>
          <w:rStyle w:val="apple-converted-space"/>
          <w:rFonts w:ascii="Book Antiqua" w:hAnsi="Book Antiqua" w:cs="Segoe UI"/>
          <w:shd w:val="clear" w:color="auto" w:fill="FFFFFF"/>
        </w:rPr>
        <w:t>č. 279/2017 Z. z.</w:t>
      </w:r>
      <w:r w:rsidRPr="00921EC0" w:rsidR="00725E10">
        <w:rPr>
          <w:rStyle w:val="apple-converted-space"/>
          <w:rFonts w:ascii="Book Antiqua" w:hAnsi="Book Antiqua" w:cs="Segoe UI"/>
          <w:shd w:val="clear" w:color="auto" w:fill="FFFFFF"/>
        </w:rPr>
        <w:t xml:space="preserve">, zákona č. 63/2018 Z. z. a zákona č. 87/2018 Z. z. </w:t>
      </w:r>
      <w:r w:rsidRPr="00921EC0" w:rsidR="006F321F">
        <w:rPr>
          <w:rFonts w:ascii="Book Antiqua" w:hAnsi="Book Antiqua"/>
        </w:rPr>
        <w:t>sa mení a dopĺňa takto:</w:t>
      </w:r>
    </w:p>
    <w:p w:rsidR="002519DC" w:rsidRPr="00921EC0" w:rsidP="002519DC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 w:cs="Arial"/>
          <w:lang w:eastAsia="sk-SK"/>
        </w:rPr>
      </w:pPr>
      <w:r w:rsidRPr="00921EC0">
        <w:rPr>
          <w:rFonts w:ascii="Book Antiqua" w:hAnsi="Book Antiqua" w:cs="Arial"/>
          <w:lang w:eastAsia="sk-SK"/>
        </w:rPr>
        <w:t>§ 60 sa dopĺňa novým odsekom 11, ktorý znie:</w:t>
      </w:r>
    </w:p>
    <w:p w:rsidR="002519DC" w:rsidRPr="00921EC0" w:rsidP="002519DC">
      <w:pPr>
        <w:tabs>
          <w:tab w:val="left" w:pos="851"/>
        </w:tabs>
        <w:bidi w:val="0"/>
        <w:spacing w:before="120" w:after="0"/>
        <w:ind w:left="851"/>
        <w:jc w:val="both"/>
        <w:rPr>
          <w:rFonts w:ascii="Book Antiqua" w:hAnsi="Book Antiqua" w:cs="Arial"/>
          <w:lang w:eastAsia="sk-SK"/>
        </w:rPr>
      </w:pPr>
      <w:r w:rsidRPr="00921EC0">
        <w:rPr>
          <w:rFonts w:ascii="Book Antiqua" w:hAnsi="Book Antiqua" w:cs="Arial"/>
          <w:lang w:eastAsia="sk-SK"/>
        </w:rPr>
        <w:t xml:space="preserve">„(11) Obdobie </w:t>
      </w:r>
      <w:r w:rsidRPr="00921EC0">
        <w:rPr>
          <w:rFonts w:ascii="Book Antiqua" w:hAnsi="Book Antiqua"/>
        </w:rPr>
        <w:t xml:space="preserve">dôchodkového poistenia je aj obdobie, ktoré by poistenec získal, ak by mu </w:t>
      </w:r>
      <w:r w:rsidRPr="00921EC0">
        <w:rPr>
          <w:rFonts w:ascii="Book Antiqua" w:hAnsi="Book Antiqua" w:cs="Arial"/>
          <w:lang w:eastAsia="sk-SK"/>
        </w:rPr>
        <w:t>dôchodkový vek nebol podľa § 65a ods. 4 a 5 znížený.“.</w:t>
      </w:r>
      <w:r w:rsidRPr="00921EC0">
        <w:rPr>
          <w:rFonts w:ascii="Book Antiqua" w:hAnsi="Book Antiqua"/>
        </w:rPr>
        <w:t xml:space="preserve"> </w:t>
      </w:r>
    </w:p>
    <w:p w:rsidR="00840467" w:rsidRPr="00921EC0" w:rsidP="00F94E63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 w:cs="Arial"/>
          <w:lang w:eastAsia="sk-SK"/>
        </w:rPr>
      </w:pPr>
      <w:r w:rsidRPr="00921EC0" w:rsidR="00442C2F">
        <w:rPr>
          <w:rFonts w:ascii="Book Antiqua" w:hAnsi="Book Antiqua"/>
        </w:rPr>
        <w:t>V §</w:t>
      </w:r>
      <w:r w:rsidRPr="00921EC0" w:rsidR="0005565C">
        <w:rPr>
          <w:rFonts w:ascii="Book Antiqua" w:hAnsi="Book Antiqua"/>
        </w:rPr>
        <w:t xml:space="preserve"> 65 ods. 1 sa na konci pripája táto veta: </w:t>
      </w:r>
      <w:r w:rsidRPr="00921EC0" w:rsidR="00AF33EA">
        <w:rPr>
          <w:rFonts w:ascii="Book Antiqua" w:hAnsi="Book Antiqua"/>
        </w:rPr>
        <w:t>„</w:t>
      </w:r>
      <w:r w:rsidRPr="00921EC0" w:rsidR="002C212F">
        <w:rPr>
          <w:rFonts w:ascii="Book Antiqua" w:hAnsi="Book Antiqua"/>
        </w:rPr>
        <w:t xml:space="preserve">Do obdobia dôchodkového poistenia sa započítava aj obdobie </w:t>
      </w:r>
      <w:r w:rsidRPr="00921EC0">
        <w:rPr>
          <w:rFonts w:ascii="Book Antiqua" w:hAnsi="Book Antiqua"/>
        </w:rPr>
        <w:t>podľa § 60 ods. 11.“.</w:t>
      </w:r>
    </w:p>
    <w:p w:rsidR="006F321F" w:rsidRPr="00921EC0" w:rsidP="008C45D4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921EC0" w:rsidR="00511B5E">
        <w:rPr>
          <w:rFonts w:ascii="Book Antiqua" w:hAnsi="Book Antiqua"/>
        </w:rPr>
        <w:t>V § 65a sa za odsek 3 vklad</w:t>
      </w:r>
      <w:r w:rsidRPr="00921EC0" w:rsidR="00F2562D">
        <w:rPr>
          <w:rFonts w:ascii="Book Antiqua" w:hAnsi="Book Antiqua"/>
        </w:rPr>
        <w:t>ajú</w:t>
      </w:r>
      <w:r w:rsidRPr="00921EC0" w:rsidR="00511B5E">
        <w:rPr>
          <w:rFonts w:ascii="Book Antiqua" w:hAnsi="Book Antiqua"/>
        </w:rPr>
        <w:t xml:space="preserve"> nov</w:t>
      </w:r>
      <w:r w:rsidRPr="00921EC0" w:rsidR="00F2562D">
        <w:rPr>
          <w:rFonts w:ascii="Book Antiqua" w:hAnsi="Book Antiqua"/>
        </w:rPr>
        <w:t>é</w:t>
      </w:r>
      <w:r w:rsidRPr="00921EC0" w:rsidR="00511B5E">
        <w:rPr>
          <w:rFonts w:ascii="Book Antiqua" w:hAnsi="Book Antiqua"/>
        </w:rPr>
        <w:t xml:space="preserve"> odsek</w:t>
      </w:r>
      <w:r w:rsidRPr="00921EC0" w:rsidR="00F2562D">
        <w:rPr>
          <w:rFonts w:ascii="Book Antiqua" w:hAnsi="Book Antiqua"/>
        </w:rPr>
        <w:t>y</w:t>
      </w:r>
      <w:r w:rsidRPr="00921EC0" w:rsidR="00511B5E">
        <w:rPr>
          <w:rFonts w:ascii="Book Antiqua" w:hAnsi="Book Antiqua"/>
        </w:rPr>
        <w:t xml:space="preserve"> 4</w:t>
      </w:r>
      <w:r w:rsidRPr="00921EC0" w:rsidR="00F2562D">
        <w:rPr>
          <w:rFonts w:ascii="Book Antiqua" w:hAnsi="Book Antiqua"/>
        </w:rPr>
        <w:t xml:space="preserve"> a 5, ktoré znejú: </w:t>
      </w:r>
    </w:p>
    <w:p w:rsidR="00F51B1F" w:rsidRPr="008C45D4" w:rsidP="008C45D4">
      <w:pPr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921EC0" w:rsidR="00F2562D">
        <w:rPr>
          <w:rFonts w:ascii="Book Antiqua" w:hAnsi="Book Antiqua"/>
        </w:rPr>
        <w:t xml:space="preserve">„(4) </w:t>
      </w:r>
      <w:r w:rsidRPr="00921EC0" w:rsidR="0082101C">
        <w:rPr>
          <w:rFonts w:ascii="Book Antiqua" w:hAnsi="Book Antiqua"/>
        </w:rPr>
        <w:tab/>
      </w:r>
      <w:r w:rsidRPr="00921EC0" w:rsidR="00B075C9">
        <w:rPr>
          <w:rFonts w:ascii="Book Antiqua" w:hAnsi="Book Antiqua"/>
        </w:rPr>
        <w:t>D</w:t>
      </w:r>
      <w:r w:rsidRPr="00921EC0">
        <w:rPr>
          <w:rFonts w:ascii="Book Antiqua" w:hAnsi="Book Antiqua"/>
        </w:rPr>
        <w:t>ôchodkový vek určený podľa odseku 1 a</w:t>
      </w:r>
      <w:r w:rsidRPr="008C45D4">
        <w:rPr>
          <w:rFonts w:ascii="Book Antiqua" w:hAnsi="Book Antiqua"/>
        </w:rPr>
        <w:t xml:space="preserve"> 3 sa </w:t>
      </w:r>
      <w:r w:rsidRPr="008C45D4" w:rsidR="00B075C9">
        <w:rPr>
          <w:rFonts w:ascii="Book Antiqua" w:hAnsi="Book Antiqua"/>
        </w:rPr>
        <w:t>p</w:t>
      </w:r>
      <w:r w:rsidRPr="008C45D4">
        <w:rPr>
          <w:rFonts w:ascii="Book Antiqua" w:hAnsi="Book Antiqua"/>
        </w:rPr>
        <w:t>oistencovi zníži o jeden rok za každú osobu,</w:t>
      </w:r>
    </w:p>
    <w:p w:rsidR="005675BB" w:rsidRPr="008C45D4" w:rsidP="008C45D4">
      <w:pPr>
        <w:numPr>
          <w:numId w:val="20"/>
        </w:numPr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8C45D4" w:rsidR="00F51B1F">
        <w:rPr>
          <w:rFonts w:ascii="Book Antiqua" w:hAnsi="Book Antiqua"/>
        </w:rPr>
        <w:t>voči ktorej vykonával rodičovské práva a</w:t>
      </w:r>
      <w:r w:rsidRPr="008C45D4" w:rsidR="00471F7C">
        <w:rPr>
          <w:rFonts w:ascii="Book Antiqua" w:hAnsi="Book Antiqua"/>
        </w:rPr>
        <w:t> </w:t>
      </w:r>
      <w:r w:rsidRPr="008C45D4" w:rsidR="00F51B1F">
        <w:rPr>
          <w:rFonts w:ascii="Book Antiqua" w:hAnsi="Book Antiqua"/>
        </w:rPr>
        <w:t>povinnosti</w:t>
      </w:r>
      <w:r w:rsidRPr="008C45D4" w:rsidR="00471F7C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a</w:t>
      </w:r>
      <w:r w:rsidRPr="008C45D4" w:rsidR="00471F7C">
        <w:rPr>
          <w:rFonts w:ascii="Book Antiqua" w:hAnsi="Book Antiqua"/>
          <w:vertAlign w:val="superscript"/>
        </w:rPr>
        <w:t>)</w:t>
      </w:r>
      <w:r w:rsidRPr="008C45D4" w:rsidR="00F51B1F">
        <w:rPr>
          <w:rFonts w:ascii="Book Antiqua" w:hAnsi="Book Antiqua"/>
        </w:rPr>
        <w:t xml:space="preserve"> </w:t>
      </w:r>
      <w:r w:rsidRPr="008C45D4" w:rsidR="00471F7C">
        <w:rPr>
          <w:rFonts w:ascii="Book Antiqua" w:hAnsi="Book Antiqua"/>
        </w:rPr>
        <w:t xml:space="preserve">alebo </w:t>
      </w:r>
      <w:r w:rsidRPr="008C45D4" w:rsidR="00F51B1F">
        <w:rPr>
          <w:rFonts w:ascii="Book Antiqua" w:hAnsi="Book Antiqua"/>
        </w:rPr>
        <w:t>ktorú mal v osobnej starostlivosti</w:t>
      </w:r>
      <w:r w:rsidRPr="008C45D4" w:rsidR="00471F7C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b</w:t>
      </w:r>
      <w:r w:rsidRPr="008C45D4" w:rsidR="00471F7C">
        <w:rPr>
          <w:rFonts w:ascii="Book Antiqua" w:hAnsi="Book Antiqua"/>
          <w:vertAlign w:val="superscript"/>
        </w:rPr>
        <w:t>)</w:t>
      </w:r>
      <w:r w:rsidRPr="008C45D4" w:rsidR="0005736E">
        <w:rPr>
          <w:rFonts w:ascii="Book Antiqua" w:hAnsi="Book Antiqua"/>
        </w:rPr>
        <w:t xml:space="preserve"> </w:t>
      </w:r>
      <w:r w:rsidRPr="008C45D4" w:rsidR="00F51B1F">
        <w:rPr>
          <w:rFonts w:ascii="Book Antiqua" w:hAnsi="Book Antiqua"/>
        </w:rPr>
        <w:t>a</w:t>
      </w:r>
      <w:r w:rsidRPr="008C45D4" w:rsidR="00CE7B58">
        <w:rPr>
          <w:rFonts w:ascii="Book Antiqua" w:hAnsi="Book Antiqua"/>
        </w:rPr>
        <w:t> ktorá zároveň</w:t>
      </w:r>
      <w:r w:rsidRPr="008C45D4" w:rsidR="00F51B1F">
        <w:rPr>
          <w:rFonts w:ascii="Book Antiqua" w:hAnsi="Book Antiqua"/>
        </w:rPr>
        <w:t xml:space="preserve"> ukončila</w:t>
      </w:r>
      <w:r w:rsidRPr="008C45D4" w:rsidR="00F51B1F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c</w:t>
      </w:r>
      <w:r w:rsidRPr="008C45D4" w:rsidR="00F51B1F">
        <w:rPr>
          <w:rFonts w:ascii="Book Antiqua" w:hAnsi="Book Antiqua"/>
          <w:vertAlign w:val="superscript"/>
        </w:rPr>
        <w:t xml:space="preserve">) </w:t>
      </w:r>
      <w:r w:rsidRPr="008C45D4" w:rsidR="00F51B1F">
        <w:rPr>
          <w:rFonts w:ascii="Book Antiqua" w:hAnsi="Book Antiqua"/>
        </w:rPr>
        <w:t>strednú školu</w:t>
      </w:r>
      <w:r w:rsidRPr="008C45D4" w:rsidR="00F51B1F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d</w:t>
      </w:r>
      <w:r w:rsidRPr="008C45D4" w:rsidR="00F51B1F">
        <w:rPr>
          <w:rFonts w:ascii="Book Antiqua" w:hAnsi="Book Antiqua"/>
          <w:vertAlign w:val="superscript"/>
        </w:rPr>
        <w:t>)</w:t>
      </w:r>
      <w:r w:rsidRPr="008C45D4" w:rsidR="00A153A9">
        <w:rPr>
          <w:rFonts w:ascii="Book Antiqua" w:hAnsi="Book Antiqua"/>
          <w:vertAlign w:val="superscript"/>
        </w:rPr>
        <w:t xml:space="preserve"> </w:t>
      </w:r>
      <w:r w:rsidRPr="008C45D4" w:rsidR="00A153A9">
        <w:rPr>
          <w:rFonts w:ascii="Book Antiqua" w:hAnsi="Book Antiqua"/>
        </w:rPr>
        <w:t>alebo je ťažko zdravotne postihnutá</w:t>
      </w:r>
      <w:r w:rsidRPr="008C45D4" w:rsidR="00471F7C">
        <w:rPr>
          <w:rFonts w:ascii="Book Antiqua" w:hAnsi="Book Antiqua"/>
        </w:rPr>
        <w:t xml:space="preserve">; </w:t>
      </w:r>
      <w:r w:rsidRPr="008C45D4" w:rsidR="00110AED">
        <w:rPr>
          <w:rFonts w:ascii="Book Antiqua" w:hAnsi="Book Antiqua"/>
        </w:rPr>
        <w:t>ak vykonávali</w:t>
      </w:r>
      <w:r w:rsidRPr="008C45D4" w:rsidR="00B075C9">
        <w:rPr>
          <w:rFonts w:ascii="Book Antiqua" w:hAnsi="Book Antiqua"/>
        </w:rPr>
        <w:t xml:space="preserve"> rodičovské práva a povinnosti </w:t>
      </w:r>
      <w:r w:rsidRPr="008C45D4" w:rsidR="00F37407">
        <w:rPr>
          <w:rFonts w:ascii="Book Antiqua" w:hAnsi="Book Antiqua"/>
        </w:rPr>
        <w:t xml:space="preserve">alebo striedavú osobnú starostlivosť </w:t>
      </w:r>
      <w:r w:rsidRPr="008C45D4" w:rsidR="004D5719">
        <w:rPr>
          <w:rFonts w:ascii="Book Antiqua" w:hAnsi="Book Antiqua"/>
        </w:rPr>
        <w:t xml:space="preserve">v tom istom čase </w:t>
      </w:r>
      <w:r w:rsidRPr="008C45D4" w:rsidR="00B075C9">
        <w:rPr>
          <w:rFonts w:ascii="Book Antiqua" w:hAnsi="Book Antiqua"/>
        </w:rPr>
        <w:t xml:space="preserve">dvaja poistenci, dôchodkový vek sa </w:t>
      </w:r>
      <w:r w:rsidRPr="008C45D4" w:rsidR="00F37407">
        <w:rPr>
          <w:rFonts w:ascii="Book Antiqua" w:hAnsi="Book Antiqua"/>
        </w:rPr>
        <w:t xml:space="preserve">za uvedené obdobie </w:t>
      </w:r>
      <w:r w:rsidRPr="008C45D4" w:rsidR="00B075C9">
        <w:rPr>
          <w:rFonts w:ascii="Book Antiqua" w:hAnsi="Book Antiqua"/>
        </w:rPr>
        <w:t xml:space="preserve">zníži </w:t>
      </w:r>
      <w:r w:rsidRPr="008C45D4" w:rsidR="004D5719">
        <w:rPr>
          <w:rFonts w:ascii="Book Antiqua" w:hAnsi="Book Antiqua"/>
        </w:rPr>
        <w:t xml:space="preserve">len </w:t>
      </w:r>
      <w:r w:rsidRPr="008C45D4" w:rsidR="00B075C9">
        <w:rPr>
          <w:rFonts w:ascii="Book Antiqua" w:hAnsi="Book Antiqua"/>
        </w:rPr>
        <w:t>p</w:t>
      </w:r>
      <w:r w:rsidRPr="008C45D4" w:rsidR="004D5719">
        <w:rPr>
          <w:rFonts w:ascii="Book Antiqua" w:hAnsi="Book Antiqua"/>
        </w:rPr>
        <w:t>oistenkyni, ktorá dieťa porodila</w:t>
      </w:r>
      <w:r w:rsidRPr="008C45D4" w:rsidR="00A90597">
        <w:rPr>
          <w:rFonts w:ascii="Book Antiqua" w:hAnsi="Book Antiqua"/>
        </w:rPr>
        <w:t>,</w:t>
      </w:r>
    </w:p>
    <w:p w:rsidR="00255B07" w:rsidRPr="008C45D4" w:rsidP="008C45D4">
      <w:pPr>
        <w:numPr>
          <w:numId w:val="20"/>
        </w:numPr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8C45D4" w:rsidR="00034E83">
        <w:rPr>
          <w:rFonts w:ascii="Book Antiqua" w:hAnsi="Book Antiqua"/>
        </w:rPr>
        <w:t xml:space="preserve">ktorú </w:t>
      </w:r>
      <w:r w:rsidRPr="008C45D4" w:rsidR="00F51B1F">
        <w:rPr>
          <w:rFonts w:ascii="Book Antiqua" w:hAnsi="Book Antiqua"/>
        </w:rPr>
        <w:t>si osvojil</w:t>
      </w:r>
      <w:r w:rsidRPr="008C45D4" w:rsidR="00B075C9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e</w:t>
      </w:r>
      <w:r w:rsidRPr="008C45D4" w:rsidR="00B075C9">
        <w:rPr>
          <w:rFonts w:ascii="Book Antiqua" w:hAnsi="Book Antiqua"/>
          <w:vertAlign w:val="superscript"/>
        </w:rPr>
        <w:t xml:space="preserve">) </w:t>
      </w:r>
      <w:r w:rsidRPr="008C45D4" w:rsidR="00034E83">
        <w:rPr>
          <w:rFonts w:ascii="Book Antiqua" w:hAnsi="Book Antiqua"/>
        </w:rPr>
        <w:t xml:space="preserve">a </w:t>
      </w:r>
      <w:r w:rsidRPr="008C45D4" w:rsidR="00B075C9">
        <w:rPr>
          <w:rFonts w:ascii="Book Antiqua" w:hAnsi="Book Antiqua"/>
        </w:rPr>
        <w:t>voči ktorej vykonával rodičovské práva a povinnosti</w:t>
      </w:r>
      <w:r w:rsidRPr="008C45D4" w:rsidR="00B075C9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a</w:t>
      </w:r>
      <w:r w:rsidRPr="008C45D4" w:rsidR="00B075C9">
        <w:rPr>
          <w:rFonts w:ascii="Book Antiqua" w:hAnsi="Book Antiqua"/>
          <w:vertAlign w:val="superscript"/>
        </w:rPr>
        <w:t>)</w:t>
      </w:r>
      <w:r w:rsidRPr="008C45D4" w:rsidR="00B075C9">
        <w:rPr>
          <w:rFonts w:ascii="Book Antiqua" w:hAnsi="Book Antiqua"/>
        </w:rPr>
        <w:t xml:space="preserve"> alebo ktorú mal v osobnej starostlivosti</w:t>
      </w:r>
      <w:r w:rsidRPr="008C45D4" w:rsidR="00B075C9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b</w:t>
      </w:r>
      <w:r w:rsidRPr="008C45D4" w:rsidR="00B075C9">
        <w:rPr>
          <w:rFonts w:ascii="Book Antiqua" w:hAnsi="Book Antiqua"/>
          <w:vertAlign w:val="superscript"/>
        </w:rPr>
        <w:t>)</w:t>
      </w:r>
      <w:r w:rsidRPr="008C45D4" w:rsidR="00B075C9">
        <w:rPr>
          <w:rFonts w:ascii="Book Antiqua" w:hAnsi="Book Antiqua"/>
        </w:rPr>
        <w:t xml:space="preserve"> </w:t>
      </w:r>
      <w:r w:rsidRPr="008C45D4" w:rsidR="00A90597">
        <w:rPr>
          <w:rFonts w:ascii="Book Antiqua" w:hAnsi="Book Antiqua"/>
        </w:rPr>
        <w:t xml:space="preserve">aspoň tri roky </w:t>
      </w:r>
      <w:r w:rsidRPr="008C45D4" w:rsidR="00CE7B58">
        <w:rPr>
          <w:rFonts w:ascii="Book Antiqua" w:hAnsi="Book Antiqua"/>
        </w:rPr>
        <w:t xml:space="preserve">a </w:t>
      </w:r>
      <w:r w:rsidRPr="008C45D4" w:rsidR="00B075C9">
        <w:rPr>
          <w:rFonts w:ascii="Book Antiqua" w:hAnsi="Book Antiqua"/>
        </w:rPr>
        <w:t xml:space="preserve">ktorá </w:t>
      </w:r>
      <w:r w:rsidRPr="008C45D4" w:rsidR="00CE7B58">
        <w:rPr>
          <w:rFonts w:ascii="Book Antiqua" w:hAnsi="Book Antiqua"/>
        </w:rPr>
        <w:t xml:space="preserve">zároveň </w:t>
      </w:r>
      <w:r w:rsidRPr="008C45D4" w:rsidR="00B075C9">
        <w:rPr>
          <w:rFonts w:ascii="Book Antiqua" w:hAnsi="Book Antiqua"/>
        </w:rPr>
        <w:t>ukončila</w:t>
      </w:r>
      <w:r w:rsidRPr="008C45D4" w:rsidR="00B075C9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c</w:t>
      </w:r>
      <w:r w:rsidRPr="008C45D4" w:rsidR="00B075C9">
        <w:rPr>
          <w:rFonts w:ascii="Book Antiqua" w:hAnsi="Book Antiqua"/>
          <w:vertAlign w:val="superscript"/>
        </w:rPr>
        <w:t xml:space="preserve">) </w:t>
      </w:r>
      <w:r w:rsidRPr="008C45D4" w:rsidR="00B075C9">
        <w:rPr>
          <w:rFonts w:ascii="Book Antiqua" w:hAnsi="Book Antiqua"/>
        </w:rPr>
        <w:t>strednú školu</w:t>
      </w:r>
      <w:r w:rsidRPr="008C45D4" w:rsidR="00B075C9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d</w:t>
      </w:r>
      <w:r w:rsidRPr="008C45D4" w:rsidR="00B075C9">
        <w:rPr>
          <w:rFonts w:ascii="Book Antiqua" w:hAnsi="Book Antiqua"/>
          <w:vertAlign w:val="superscript"/>
        </w:rPr>
        <w:t>)</w:t>
      </w:r>
      <w:r w:rsidRPr="008C45D4" w:rsidR="00A153A9">
        <w:rPr>
          <w:rFonts w:ascii="Book Antiqua" w:hAnsi="Book Antiqua"/>
        </w:rPr>
        <w:t xml:space="preserve"> alebo je ťažko zdravotne postihnutá</w:t>
      </w:r>
      <w:r w:rsidRPr="008C45D4" w:rsidR="00110AED">
        <w:rPr>
          <w:rFonts w:ascii="Book Antiqua" w:hAnsi="Book Antiqua"/>
        </w:rPr>
        <w:t>; ak vykonávali</w:t>
      </w:r>
      <w:r w:rsidRPr="008C45D4" w:rsidR="00B075C9">
        <w:rPr>
          <w:rFonts w:ascii="Book Antiqua" w:hAnsi="Book Antiqua"/>
        </w:rPr>
        <w:t xml:space="preserve"> rodičovské práva a povinnosti </w:t>
      </w:r>
      <w:r w:rsidRPr="008C45D4" w:rsidR="001C660E">
        <w:rPr>
          <w:rFonts w:ascii="Book Antiqua" w:hAnsi="Book Antiqua"/>
        </w:rPr>
        <w:t xml:space="preserve">alebo striedavú osobnú starostlivosť </w:t>
      </w:r>
      <w:r w:rsidRPr="008C45D4" w:rsidR="004D5719">
        <w:rPr>
          <w:rFonts w:ascii="Book Antiqua" w:hAnsi="Book Antiqua"/>
        </w:rPr>
        <w:t xml:space="preserve">v tom istom čase </w:t>
      </w:r>
      <w:r w:rsidRPr="008C45D4" w:rsidR="00B075C9">
        <w:rPr>
          <w:rFonts w:ascii="Book Antiqua" w:hAnsi="Book Antiqua"/>
        </w:rPr>
        <w:t xml:space="preserve">dvaja poistenci, dôchodkový vek sa </w:t>
      </w:r>
      <w:r w:rsidRPr="008C45D4" w:rsidR="00846D98">
        <w:rPr>
          <w:rFonts w:ascii="Book Antiqua" w:hAnsi="Book Antiqua"/>
        </w:rPr>
        <w:t xml:space="preserve">za uvedené obdobie </w:t>
      </w:r>
      <w:r w:rsidRPr="008C45D4" w:rsidR="00B075C9">
        <w:rPr>
          <w:rFonts w:ascii="Book Antiqua" w:hAnsi="Book Antiqua"/>
        </w:rPr>
        <w:t xml:space="preserve">zníži </w:t>
      </w:r>
      <w:r w:rsidRPr="008C45D4" w:rsidR="001B0740">
        <w:rPr>
          <w:rFonts w:ascii="Book Antiqua" w:hAnsi="Book Antiqua"/>
        </w:rPr>
        <w:t xml:space="preserve">len </w:t>
      </w:r>
      <w:r w:rsidRPr="008C45D4" w:rsidR="00B075C9">
        <w:rPr>
          <w:rFonts w:ascii="Book Antiqua" w:hAnsi="Book Antiqua"/>
        </w:rPr>
        <w:t>poistenkyni</w:t>
      </w:r>
      <w:r w:rsidRPr="008C45D4" w:rsidR="00A90597">
        <w:rPr>
          <w:rFonts w:ascii="Book Antiqua" w:hAnsi="Book Antiqua"/>
        </w:rPr>
        <w:t>,</w:t>
      </w:r>
    </w:p>
    <w:p w:rsidR="00AB6774" w:rsidRPr="008C45D4" w:rsidP="008C45D4">
      <w:pPr>
        <w:numPr>
          <w:numId w:val="20"/>
        </w:numPr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8C45D4" w:rsidR="006211A2">
        <w:rPr>
          <w:rFonts w:ascii="Book Antiqua" w:hAnsi="Book Antiqua"/>
        </w:rPr>
        <w:t xml:space="preserve">ktorá mu bola zverená </w:t>
      </w:r>
      <w:r w:rsidRPr="008C45D4" w:rsidR="00110AED">
        <w:rPr>
          <w:rFonts w:ascii="Book Antiqua" w:hAnsi="Book Antiqua"/>
        </w:rPr>
        <w:t xml:space="preserve">do starostlivosti </w:t>
      </w:r>
      <w:r w:rsidRPr="008C45D4" w:rsidR="00772246">
        <w:rPr>
          <w:rFonts w:ascii="Book Antiqua" w:hAnsi="Book Antiqua"/>
        </w:rPr>
        <w:t xml:space="preserve">na </w:t>
      </w:r>
      <w:r w:rsidRPr="008C45D4" w:rsidR="00F51B1F">
        <w:rPr>
          <w:rFonts w:ascii="Book Antiqua" w:hAnsi="Book Antiqua"/>
        </w:rPr>
        <w:t xml:space="preserve">základe rozhodnutia </w:t>
      </w:r>
      <w:r w:rsidRPr="008C45D4" w:rsidR="00110AED">
        <w:rPr>
          <w:rFonts w:ascii="Book Antiqua" w:hAnsi="Book Antiqua"/>
        </w:rPr>
        <w:t>príslušného orgánu</w:t>
      </w:r>
      <w:r w:rsidRPr="008C45D4" w:rsidR="006211A2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f</w:t>
      </w:r>
      <w:r w:rsidRPr="008C45D4" w:rsidR="006211A2">
        <w:rPr>
          <w:rFonts w:ascii="Book Antiqua" w:hAnsi="Book Antiqua"/>
          <w:vertAlign w:val="superscript"/>
        </w:rPr>
        <w:t>)</w:t>
      </w:r>
      <w:r w:rsidRPr="008C45D4" w:rsidR="00034E83">
        <w:rPr>
          <w:rFonts w:ascii="Book Antiqua" w:hAnsi="Book Antiqua"/>
        </w:rPr>
        <w:t xml:space="preserve"> </w:t>
      </w:r>
      <w:r w:rsidRPr="008C45D4" w:rsidR="00CE7B58">
        <w:rPr>
          <w:rFonts w:ascii="Book Antiqua" w:hAnsi="Book Antiqua"/>
        </w:rPr>
        <w:t>aspoň na tri roky a </w:t>
      </w:r>
      <w:r w:rsidRPr="008C45D4" w:rsidR="00772246">
        <w:rPr>
          <w:rFonts w:ascii="Book Antiqua" w:hAnsi="Book Antiqua"/>
        </w:rPr>
        <w:t xml:space="preserve">ktorá </w:t>
      </w:r>
      <w:r w:rsidRPr="008C45D4" w:rsidR="00CE7B58">
        <w:rPr>
          <w:rFonts w:ascii="Book Antiqua" w:hAnsi="Book Antiqua"/>
        </w:rPr>
        <w:t xml:space="preserve">zároveň </w:t>
      </w:r>
      <w:r w:rsidRPr="008C45D4" w:rsidR="00772246">
        <w:rPr>
          <w:rFonts w:ascii="Book Antiqua" w:hAnsi="Book Antiqua"/>
        </w:rPr>
        <w:t>ukončila</w:t>
      </w:r>
      <w:r w:rsidRPr="008C45D4" w:rsidR="00772246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c</w:t>
      </w:r>
      <w:r w:rsidRPr="008C45D4" w:rsidR="00772246">
        <w:rPr>
          <w:rFonts w:ascii="Book Antiqua" w:hAnsi="Book Antiqua"/>
          <w:vertAlign w:val="superscript"/>
        </w:rPr>
        <w:t xml:space="preserve">) </w:t>
      </w:r>
      <w:r w:rsidRPr="008C45D4" w:rsidR="00772246">
        <w:rPr>
          <w:rFonts w:ascii="Book Antiqua" w:hAnsi="Book Antiqua"/>
        </w:rPr>
        <w:t>strednú školu</w:t>
      </w:r>
      <w:r w:rsidRPr="008C45D4" w:rsidR="00772246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d</w:t>
      </w:r>
      <w:r w:rsidRPr="008C45D4" w:rsidR="00772246">
        <w:rPr>
          <w:rFonts w:ascii="Book Antiqua" w:hAnsi="Book Antiqua"/>
          <w:vertAlign w:val="superscript"/>
        </w:rPr>
        <w:t>)</w:t>
      </w:r>
      <w:r w:rsidRPr="008C45D4" w:rsidR="00772246">
        <w:rPr>
          <w:rFonts w:ascii="Book Antiqua" w:hAnsi="Book Antiqua"/>
        </w:rPr>
        <w:t xml:space="preserve"> alebo je ťažko zdravotne postihnutá; ak </w:t>
      </w:r>
      <w:r w:rsidRPr="008C45D4" w:rsidR="00783053">
        <w:rPr>
          <w:rFonts w:ascii="Book Antiqua" w:hAnsi="Book Antiqua"/>
        </w:rPr>
        <w:t xml:space="preserve">bola osoba zverená </w:t>
      </w:r>
      <w:r w:rsidRPr="008C45D4" w:rsidR="00110AED">
        <w:rPr>
          <w:rFonts w:ascii="Book Antiqua" w:hAnsi="Book Antiqua"/>
        </w:rPr>
        <w:t xml:space="preserve">do starostlivosti v tom istom čase </w:t>
      </w:r>
      <w:r w:rsidRPr="008C45D4" w:rsidR="00783053">
        <w:rPr>
          <w:rFonts w:ascii="Book Antiqua" w:hAnsi="Book Antiqua"/>
        </w:rPr>
        <w:t xml:space="preserve">dvom </w:t>
      </w:r>
      <w:r w:rsidRPr="008C45D4" w:rsidR="00772246">
        <w:rPr>
          <w:rFonts w:ascii="Book Antiqua" w:hAnsi="Book Antiqua"/>
        </w:rPr>
        <w:t>poistenc</w:t>
      </w:r>
      <w:r w:rsidRPr="008C45D4" w:rsidR="00783053">
        <w:rPr>
          <w:rFonts w:ascii="Book Antiqua" w:hAnsi="Book Antiqua"/>
        </w:rPr>
        <w:t>om</w:t>
      </w:r>
      <w:r w:rsidRPr="008C45D4" w:rsidR="00772246">
        <w:rPr>
          <w:rFonts w:ascii="Book Antiqua" w:hAnsi="Book Antiqua"/>
        </w:rPr>
        <w:t xml:space="preserve">, dôchodkový vek sa </w:t>
      </w:r>
      <w:r w:rsidRPr="008C45D4" w:rsidR="00846D98">
        <w:rPr>
          <w:rFonts w:ascii="Book Antiqua" w:hAnsi="Book Antiqua"/>
        </w:rPr>
        <w:t xml:space="preserve">za uvedené obdobie </w:t>
      </w:r>
      <w:r w:rsidRPr="008C45D4" w:rsidR="00772246">
        <w:rPr>
          <w:rFonts w:ascii="Book Antiqua" w:hAnsi="Book Antiqua"/>
        </w:rPr>
        <w:t xml:space="preserve">zníži </w:t>
      </w:r>
      <w:r w:rsidRPr="008C45D4" w:rsidR="00110AED">
        <w:rPr>
          <w:rFonts w:ascii="Book Antiqua" w:hAnsi="Book Antiqua"/>
        </w:rPr>
        <w:t xml:space="preserve">len </w:t>
      </w:r>
      <w:r w:rsidRPr="008C45D4" w:rsidR="00772246">
        <w:rPr>
          <w:rFonts w:ascii="Book Antiqua" w:hAnsi="Book Antiqua"/>
        </w:rPr>
        <w:t>poistenkyni.</w:t>
      </w:r>
    </w:p>
    <w:p w:rsidR="00343E77" w:rsidRPr="008C45D4" w:rsidP="008C45D4">
      <w:pPr>
        <w:bidi w:val="0"/>
        <w:spacing w:before="120" w:after="0"/>
        <w:ind w:left="1416" w:hanging="565"/>
        <w:jc w:val="both"/>
        <w:rPr>
          <w:rFonts w:ascii="Book Antiqua" w:hAnsi="Book Antiqua"/>
        </w:rPr>
      </w:pPr>
      <w:r w:rsidRPr="008C45D4" w:rsidR="00F2562D">
        <w:rPr>
          <w:rFonts w:ascii="Book Antiqua" w:hAnsi="Book Antiqua"/>
        </w:rPr>
        <w:t xml:space="preserve">(5) </w:t>
      </w:r>
      <w:r w:rsidRPr="008C45D4" w:rsidR="0082101C">
        <w:rPr>
          <w:rFonts w:ascii="Book Antiqua" w:hAnsi="Book Antiqua"/>
        </w:rPr>
        <w:tab/>
      </w:r>
      <w:r w:rsidRPr="008C45D4" w:rsidR="007B7D39">
        <w:rPr>
          <w:rFonts w:ascii="Book Antiqua" w:hAnsi="Book Antiqua"/>
        </w:rPr>
        <w:t xml:space="preserve">Ak </w:t>
      </w:r>
      <w:r w:rsidRPr="008C45D4">
        <w:rPr>
          <w:rFonts w:ascii="Book Antiqua" w:hAnsi="Book Antiqua"/>
        </w:rPr>
        <w:t xml:space="preserve">viacerí poistenci </w:t>
      </w:r>
      <w:r w:rsidRPr="008C45D4" w:rsidR="002420BA">
        <w:rPr>
          <w:rFonts w:ascii="Book Antiqua" w:hAnsi="Book Antiqua"/>
        </w:rPr>
        <w:t>vykonávali starostlivosť o tú istú osobu spôsobom podľa odseku 4 v rôznom čase</w:t>
      </w:r>
      <w:r w:rsidRPr="008C45D4" w:rsidR="00B4063E">
        <w:rPr>
          <w:rFonts w:ascii="Book Antiqua" w:hAnsi="Book Antiqua"/>
        </w:rPr>
        <w:t xml:space="preserve">, </w:t>
      </w:r>
      <w:r w:rsidRPr="008C45D4" w:rsidR="0082101C">
        <w:rPr>
          <w:rFonts w:ascii="Book Antiqua" w:hAnsi="Book Antiqua"/>
        </w:rPr>
        <w:t xml:space="preserve">dôchodkový vek určený podľa odseku 1 a 3 sa každému z týchto poistencov zníži o príslušný počet dní, ktoré sa </w:t>
      </w:r>
      <w:r w:rsidRPr="008C45D4" w:rsidR="00C750A3">
        <w:rPr>
          <w:rFonts w:ascii="Book Antiqua" w:hAnsi="Book Antiqua"/>
        </w:rPr>
        <w:t>určia</w:t>
      </w:r>
      <w:r w:rsidRPr="008C45D4" w:rsidR="0082101C">
        <w:rPr>
          <w:rFonts w:ascii="Book Antiqua" w:hAnsi="Book Antiqua"/>
        </w:rPr>
        <w:t xml:space="preserve"> ako podiel </w:t>
      </w:r>
      <w:r w:rsidRPr="008C45D4" w:rsidR="00273DCC">
        <w:rPr>
          <w:rFonts w:ascii="Book Antiqua" w:hAnsi="Book Antiqua"/>
        </w:rPr>
        <w:t xml:space="preserve">súčtu </w:t>
      </w:r>
      <w:r w:rsidRPr="008C45D4" w:rsidR="0082101C">
        <w:rPr>
          <w:rFonts w:ascii="Book Antiqua" w:hAnsi="Book Antiqua"/>
        </w:rPr>
        <w:t>ukončených dní</w:t>
      </w:r>
      <w:r w:rsidRPr="008C45D4" w:rsidR="00A344EF">
        <w:rPr>
          <w:rFonts w:ascii="Book Antiqua" w:hAnsi="Book Antiqua"/>
        </w:rPr>
        <w:t xml:space="preserve"> </w:t>
      </w:r>
      <w:r w:rsidRPr="008C45D4" w:rsidR="00273DCC">
        <w:rPr>
          <w:rFonts w:ascii="Book Antiqua" w:hAnsi="Book Antiqua"/>
        </w:rPr>
        <w:t>takejto starostlivosti</w:t>
      </w:r>
      <w:r w:rsidRPr="008C45D4" w:rsidR="00A344EF">
        <w:rPr>
          <w:rFonts w:ascii="Book Antiqua" w:hAnsi="Book Antiqua"/>
        </w:rPr>
        <w:t xml:space="preserve"> </w:t>
      </w:r>
      <w:r w:rsidRPr="008C45D4" w:rsidR="00424648">
        <w:rPr>
          <w:rFonts w:ascii="Book Antiqua" w:hAnsi="Book Antiqua"/>
        </w:rPr>
        <w:t xml:space="preserve">o túto osobu </w:t>
      </w:r>
      <w:r w:rsidRPr="008C45D4" w:rsidR="00273DCC">
        <w:rPr>
          <w:rFonts w:ascii="Book Antiqua" w:hAnsi="Book Antiqua"/>
        </w:rPr>
        <w:t>a</w:t>
      </w:r>
      <w:r w:rsidRPr="008C45D4" w:rsidR="00CA58C9">
        <w:rPr>
          <w:rFonts w:ascii="Book Antiqua" w:hAnsi="Book Antiqua"/>
        </w:rPr>
        <w:t> počtu dní dôchodkového poistenia podľa § 60 ods. 10 do dosiahnutia plnoletosti</w:t>
      </w:r>
      <w:r w:rsidRPr="008C45D4" w:rsidR="00424648">
        <w:rPr>
          <w:rFonts w:ascii="Book Antiqua" w:hAnsi="Book Antiqua"/>
        </w:rPr>
        <w:t xml:space="preserve"> tejto osoby zaokrúhlený na dve desatinné miesta a výsledné číslo sa vynásobí počtom dní dôchodkového poistenia podľa § 60 ods. 10 a zaokrúhli </w:t>
      </w:r>
      <w:r w:rsidRPr="008C45D4" w:rsidR="002E75EA">
        <w:rPr>
          <w:rFonts w:ascii="Book Antiqua" w:hAnsi="Book Antiqua"/>
        </w:rPr>
        <w:t>na celé dni nadol.</w:t>
      </w:r>
      <w:r w:rsidRPr="008C45D4" w:rsidR="000350BE">
        <w:rPr>
          <w:rFonts w:ascii="Book Antiqua" w:hAnsi="Book Antiqua"/>
        </w:rPr>
        <w:t>“.</w:t>
      </w:r>
    </w:p>
    <w:p w:rsidR="003A3F22" w:rsidRPr="008C45D4" w:rsidP="008C45D4">
      <w:pPr>
        <w:bidi w:val="0"/>
        <w:spacing w:before="120" w:after="0"/>
        <w:ind w:left="1416" w:hanging="565"/>
        <w:jc w:val="both"/>
        <w:rPr>
          <w:rFonts w:ascii="Book Antiqua" w:hAnsi="Book Antiqua"/>
        </w:rPr>
      </w:pPr>
      <w:r w:rsidRPr="008C45D4" w:rsidR="00134996">
        <w:rPr>
          <w:rFonts w:ascii="Book Antiqua" w:hAnsi="Book Antiqua"/>
          <w:color w:val="FF0000"/>
        </w:rPr>
        <w:t xml:space="preserve"> </w:t>
      </w:r>
      <w:r w:rsidRPr="008C45D4" w:rsidR="006812AE">
        <w:rPr>
          <w:rFonts w:ascii="Book Antiqua" w:hAnsi="Book Antiqua"/>
          <w:color w:val="FF0000"/>
        </w:rPr>
        <w:tab/>
      </w:r>
      <w:r w:rsidRPr="008C45D4">
        <w:rPr>
          <w:rFonts w:ascii="Book Antiqua" w:hAnsi="Book Antiqua"/>
        </w:rPr>
        <w:t xml:space="preserve">Poznámky pod čiarou k odkazom </w:t>
      </w:r>
      <w:r w:rsidRPr="008C45D4" w:rsidR="00536C1E">
        <w:rPr>
          <w:rFonts w:ascii="Book Antiqua" w:hAnsi="Book Antiqua"/>
        </w:rPr>
        <w:t>55a až 55</w:t>
      </w:r>
      <w:r w:rsidRPr="008C45D4" w:rsidR="00E026E8">
        <w:rPr>
          <w:rFonts w:ascii="Book Antiqua" w:hAnsi="Book Antiqua"/>
        </w:rPr>
        <w:t>f</w:t>
      </w:r>
      <w:r w:rsidRPr="008C45D4" w:rsidR="00980394">
        <w:rPr>
          <w:rFonts w:ascii="Book Antiqua" w:hAnsi="Book Antiqua"/>
        </w:rPr>
        <w:t xml:space="preserve"> </w:t>
      </w:r>
      <w:r w:rsidRPr="008C45D4">
        <w:rPr>
          <w:rFonts w:ascii="Book Antiqua" w:hAnsi="Book Antiqua"/>
        </w:rPr>
        <w:t>znejú:</w:t>
      </w:r>
    </w:p>
    <w:p w:rsidR="00471F7C" w:rsidRPr="008C45D4" w:rsidP="008C45D4">
      <w:pPr>
        <w:bidi w:val="0"/>
        <w:spacing w:before="120" w:after="0"/>
        <w:ind w:left="1416"/>
        <w:jc w:val="both"/>
        <w:rPr>
          <w:rFonts w:ascii="Book Antiqua" w:hAnsi="Book Antiqua"/>
          <w:bCs/>
        </w:rPr>
      </w:pPr>
      <w:r w:rsidRPr="008C45D4" w:rsidR="003A3F22">
        <w:rPr>
          <w:rFonts w:ascii="Book Antiqua" w:hAnsi="Book Antiqua"/>
        </w:rPr>
        <w:t>„</w:t>
      </w:r>
      <w:r w:rsidRPr="008C45D4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a</w:t>
      </w:r>
      <w:r w:rsidRPr="008C45D4">
        <w:rPr>
          <w:rFonts w:ascii="Book Antiqua" w:hAnsi="Book Antiqua"/>
          <w:vertAlign w:val="superscript"/>
        </w:rPr>
        <w:t xml:space="preserve">) </w:t>
      </w:r>
      <w:r w:rsidRPr="008C45D4">
        <w:rPr>
          <w:rFonts w:ascii="Book Antiqua" w:hAnsi="Book Antiqua"/>
        </w:rPr>
        <w:t xml:space="preserve">§ 28 </w:t>
      </w:r>
      <w:r w:rsidRPr="008C45D4">
        <w:rPr>
          <w:rFonts w:ascii="Book Antiqua" w:hAnsi="Book Antiqua"/>
          <w:bCs/>
        </w:rPr>
        <w:t xml:space="preserve">zákona č. 36/2005 Z. z. o rodine a o zmene a doplnení niektorých zákonov v znení zákona 175/2015 Z. z. </w:t>
      </w:r>
    </w:p>
    <w:p w:rsidR="001C660E" w:rsidRPr="008C45D4" w:rsidP="008C45D4">
      <w:pPr>
        <w:bidi w:val="0"/>
        <w:spacing w:before="120" w:after="0"/>
        <w:ind w:left="1416"/>
        <w:jc w:val="both"/>
        <w:rPr>
          <w:rFonts w:ascii="Book Antiqua" w:hAnsi="Book Antiqua"/>
          <w:bCs/>
        </w:rPr>
      </w:pPr>
      <w:r w:rsidRPr="008C45D4" w:rsidR="00471F7C">
        <w:rPr>
          <w:rFonts w:ascii="Book Antiqua" w:hAnsi="Book Antiqua"/>
          <w:bCs/>
          <w:vertAlign w:val="superscript"/>
        </w:rPr>
        <w:t>55</w:t>
      </w:r>
      <w:r w:rsidRPr="008C45D4" w:rsidR="00F2562D">
        <w:rPr>
          <w:rFonts w:ascii="Book Antiqua" w:hAnsi="Book Antiqua"/>
          <w:bCs/>
          <w:vertAlign w:val="superscript"/>
        </w:rPr>
        <w:t>b</w:t>
      </w:r>
      <w:r w:rsidRPr="008C45D4" w:rsidR="00471F7C">
        <w:rPr>
          <w:rFonts w:ascii="Book Antiqua" w:hAnsi="Book Antiqua"/>
          <w:bCs/>
          <w:vertAlign w:val="superscript"/>
        </w:rPr>
        <w:t>)</w:t>
      </w:r>
      <w:r w:rsidRPr="008C45D4" w:rsidR="00471F7C">
        <w:rPr>
          <w:rFonts w:ascii="Book Antiqua" w:hAnsi="Book Antiqua"/>
          <w:bCs/>
        </w:rPr>
        <w:t xml:space="preserve"> § 24</w:t>
      </w:r>
      <w:r w:rsidRPr="008C45D4" w:rsidR="00337C79">
        <w:rPr>
          <w:rFonts w:ascii="Book Antiqua" w:hAnsi="Book Antiqua"/>
          <w:bCs/>
        </w:rPr>
        <w:t>, 25 ods. 1 a 36 ods. 1</w:t>
      </w:r>
      <w:r w:rsidRPr="008C45D4" w:rsidR="00471F7C">
        <w:rPr>
          <w:rFonts w:ascii="Book Antiqua" w:hAnsi="Book Antiqua"/>
          <w:bCs/>
        </w:rPr>
        <w:t xml:space="preserve"> zákona č. 36/2005 Z. z. v znení zákona 217/2010 Z. z.</w:t>
      </w:r>
    </w:p>
    <w:p w:rsidR="001C660E" w:rsidRPr="008C45D4" w:rsidP="008C45D4">
      <w:pPr>
        <w:bidi w:val="0"/>
        <w:spacing w:before="120" w:after="0"/>
        <w:ind w:left="1416"/>
        <w:jc w:val="both"/>
        <w:rPr>
          <w:rFonts w:ascii="Book Antiqua" w:hAnsi="Book Antiqua"/>
        </w:rPr>
      </w:pPr>
      <w:r w:rsidRPr="008C45D4" w:rsidR="00507E0B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c</w:t>
      </w:r>
      <w:r w:rsidRPr="008C45D4" w:rsidR="00507E0B">
        <w:rPr>
          <w:rFonts w:ascii="Book Antiqua" w:hAnsi="Book Antiqua"/>
          <w:vertAlign w:val="superscript"/>
        </w:rPr>
        <w:t>)</w:t>
      </w:r>
      <w:r w:rsidRPr="008C45D4" w:rsidR="00507E0B">
        <w:rPr>
          <w:rFonts w:ascii="Book Antiqua" w:hAnsi="Book Antiqua"/>
        </w:rPr>
        <w:t xml:space="preserve"> § 72</w:t>
      </w:r>
      <w:r w:rsidRPr="008C45D4" w:rsidR="007A4E00">
        <w:rPr>
          <w:rFonts w:ascii="Book Antiqua" w:hAnsi="Book Antiqua"/>
        </w:rPr>
        <w:t xml:space="preserve"> </w:t>
      </w:r>
      <w:r w:rsidRPr="008C45D4" w:rsidR="00507E0B">
        <w:rPr>
          <w:rFonts w:ascii="Book Antiqua" w:hAnsi="Book Antiqua"/>
        </w:rPr>
        <w:t xml:space="preserve">zákona č. 245/2008 Z. z. </w:t>
      </w:r>
      <w:r w:rsidRPr="008C45D4" w:rsidR="00507E0B">
        <w:rPr>
          <w:rFonts w:ascii="Book Antiqua" w:hAnsi="Book Antiqua" w:cs="Arial"/>
          <w:bCs/>
          <w:color w:val="070707"/>
          <w:shd w:val="clear" w:color="auto" w:fill="FFFFFF"/>
        </w:rPr>
        <w:t xml:space="preserve">o výchove a vzdelávaní (školský zákon) a o zmene a </w:t>
      </w:r>
      <w:r w:rsidRPr="008C45D4" w:rsidR="00507E0B">
        <w:rPr>
          <w:rFonts w:ascii="Book Antiqua" w:hAnsi="Book Antiqua"/>
        </w:rPr>
        <w:t>doplnení niektorých zákonov v znení neskorších predpisov.</w:t>
      </w:r>
    </w:p>
    <w:p w:rsidR="003A3F22" w:rsidRPr="008C45D4" w:rsidP="008C45D4">
      <w:pPr>
        <w:bidi w:val="0"/>
        <w:spacing w:before="120" w:after="0"/>
        <w:ind w:left="1416"/>
        <w:jc w:val="both"/>
        <w:rPr>
          <w:rFonts w:ascii="Book Antiqua" w:hAnsi="Book Antiqua" w:cs="Arial"/>
          <w:bCs/>
          <w:color w:val="070707"/>
          <w:shd w:val="clear" w:color="auto" w:fill="FFFFFF"/>
        </w:rPr>
      </w:pPr>
      <w:r w:rsidRPr="008C45D4" w:rsidR="00261DDB">
        <w:rPr>
          <w:rFonts w:ascii="Book Antiqua" w:hAnsi="Book Antiqua"/>
          <w:vertAlign w:val="superscript"/>
        </w:rPr>
        <w:t>55</w:t>
      </w:r>
      <w:r w:rsidRPr="008C45D4" w:rsidR="00F2562D">
        <w:rPr>
          <w:rFonts w:ascii="Book Antiqua" w:hAnsi="Book Antiqua"/>
          <w:vertAlign w:val="superscript"/>
        </w:rPr>
        <w:t>d</w:t>
      </w:r>
      <w:r w:rsidRPr="008C45D4" w:rsidR="00261DDB">
        <w:rPr>
          <w:rFonts w:ascii="Book Antiqua" w:hAnsi="Book Antiqua"/>
          <w:vertAlign w:val="superscript"/>
        </w:rPr>
        <w:t xml:space="preserve">) </w:t>
      </w:r>
      <w:r w:rsidRPr="008C45D4" w:rsidR="00BD1967">
        <w:rPr>
          <w:rFonts w:ascii="Book Antiqua" w:hAnsi="Book Antiqua"/>
        </w:rPr>
        <w:t xml:space="preserve">§ </w:t>
      </w:r>
      <w:r w:rsidRPr="008C45D4" w:rsidR="00980394">
        <w:rPr>
          <w:rFonts w:ascii="Book Antiqua" w:hAnsi="Book Antiqua"/>
        </w:rPr>
        <w:t xml:space="preserve">32 </w:t>
      </w:r>
      <w:r w:rsidRPr="008C45D4" w:rsidR="00BD1967">
        <w:rPr>
          <w:rFonts w:ascii="Book Antiqua" w:hAnsi="Book Antiqua"/>
        </w:rPr>
        <w:t xml:space="preserve">zákona č. 245/2008 Z. z. </w:t>
      </w:r>
      <w:r w:rsidRPr="008C45D4" w:rsidR="00BD1967">
        <w:rPr>
          <w:rFonts w:ascii="Book Antiqua" w:hAnsi="Book Antiqua" w:cs="Arial"/>
          <w:bCs/>
          <w:color w:val="070707"/>
          <w:shd w:val="clear" w:color="auto" w:fill="FFFFFF"/>
        </w:rPr>
        <w:t xml:space="preserve">v znení </w:t>
      </w:r>
      <w:r w:rsidRPr="008C45D4" w:rsidR="00536C1E">
        <w:rPr>
          <w:rFonts w:ascii="Book Antiqua" w:hAnsi="Book Antiqua" w:cs="Arial"/>
          <w:bCs/>
          <w:color w:val="070707"/>
          <w:shd w:val="clear" w:color="auto" w:fill="FFFFFF"/>
        </w:rPr>
        <w:t>zákona č. 440/2015 Z. z.</w:t>
      </w:r>
    </w:p>
    <w:p w:rsidR="00BD1967" w:rsidRPr="008C45D4" w:rsidP="008C45D4">
      <w:pPr>
        <w:pStyle w:val="Heading1"/>
        <w:shd w:val="clear" w:color="auto" w:fill="FFFFFF"/>
        <w:bidi w:val="0"/>
        <w:spacing w:before="120" w:after="0"/>
        <w:ind w:left="1416"/>
        <w:jc w:val="both"/>
        <w:rPr>
          <w:rFonts w:ascii="Book Antiqua" w:hAnsi="Book Antiqua"/>
          <w:b w:val="0"/>
          <w:bCs w:val="0"/>
          <w:kern w:val="0"/>
          <w:sz w:val="22"/>
          <w:szCs w:val="22"/>
        </w:rPr>
      </w:pPr>
      <w:r w:rsidRPr="008C45D4" w:rsidR="00507E0B">
        <w:rPr>
          <w:rFonts w:ascii="Book Antiqua" w:hAnsi="Book Antiqua"/>
          <w:b w:val="0"/>
          <w:bCs w:val="0"/>
          <w:kern w:val="0"/>
          <w:sz w:val="22"/>
          <w:szCs w:val="22"/>
          <w:vertAlign w:val="superscript"/>
        </w:rPr>
        <w:t>55</w:t>
      </w:r>
      <w:r w:rsidRPr="008C45D4" w:rsidR="00F2562D">
        <w:rPr>
          <w:rFonts w:ascii="Book Antiqua" w:hAnsi="Book Antiqua"/>
          <w:b w:val="0"/>
          <w:bCs w:val="0"/>
          <w:kern w:val="0"/>
          <w:sz w:val="22"/>
          <w:szCs w:val="22"/>
          <w:vertAlign w:val="superscript"/>
        </w:rPr>
        <w:t>e</w:t>
      </w:r>
      <w:r w:rsidRPr="008C45D4" w:rsidR="00980394">
        <w:rPr>
          <w:rFonts w:ascii="Book Antiqua" w:hAnsi="Book Antiqua"/>
          <w:b w:val="0"/>
          <w:bCs w:val="0"/>
          <w:kern w:val="0"/>
          <w:sz w:val="22"/>
          <w:szCs w:val="22"/>
          <w:vertAlign w:val="superscript"/>
        </w:rPr>
        <w:t>)</w:t>
      </w:r>
      <w:r w:rsidRPr="008C45D4" w:rsidR="00507E0B">
        <w:rPr>
          <w:rFonts w:ascii="Book Antiqua" w:hAnsi="Book Antiqua"/>
          <w:b w:val="0"/>
          <w:bCs w:val="0"/>
          <w:kern w:val="0"/>
          <w:sz w:val="22"/>
          <w:szCs w:val="22"/>
          <w:vertAlign w:val="superscript"/>
        </w:rPr>
        <w:t xml:space="preserve"> </w:t>
      </w:r>
      <w:r w:rsidRPr="008C45D4">
        <w:rPr>
          <w:rFonts w:ascii="Book Antiqua" w:hAnsi="Book Antiqua"/>
          <w:b w:val="0"/>
          <w:bCs w:val="0"/>
          <w:kern w:val="0"/>
          <w:sz w:val="22"/>
          <w:szCs w:val="22"/>
        </w:rPr>
        <w:t xml:space="preserve">§ </w:t>
      </w:r>
      <w:r w:rsidRPr="008C45D4" w:rsidR="00073059">
        <w:rPr>
          <w:rFonts w:ascii="Book Antiqua" w:hAnsi="Book Antiqua"/>
          <w:b w:val="0"/>
          <w:bCs w:val="0"/>
          <w:kern w:val="0"/>
          <w:sz w:val="22"/>
          <w:szCs w:val="22"/>
        </w:rPr>
        <w:t xml:space="preserve">97 </w:t>
      </w:r>
      <w:r w:rsidRPr="008C45D4" w:rsidR="00BA3E21">
        <w:rPr>
          <w:rFonts w:ascii="Book Antiqua" w:hAnsi="Book Antiqua"/>
          <w:b w:val="0"/>
          <w:bCs w:val="0"/>
          <w:kern w:val="0"/>
          <w:sz w:val="22"/>
          <w:szCs w:val="22"/>
        </w:rPr>
        <w:t xml:space="preserve">až § 109 </w:t>
      </w:r>
      <w:r w:rsidRPr="008C45D4">
        <w:rPr>
          <w:rFonts w:ascii="Book Antiqua" w:hAnsi="Book Antiqua"/>
          <w:b w:val="0"/>
          <w:bCs w:val="0"/>
          <w:kern w:val="0"/>
          <w:sz w:val="22"/>
          <w:szCs w:val="22"/>
        </w:rPr>
        <w:t xml:space="preserve">zákona č. 36/2005 Z. z. </w:t>
      </w:r>
      <w:r w:rsidRPr="008C45D4" w:rsidR="00BA3E21">
        <w:rPr>
          <w:rFonts w:ascii="Book Antiqua" w:hAnsi="Book Antiqua"/>
          <w:b w:val="0"/>
          <w:bCs w:val="0"/>
          <w:kern w:val="0"/>
          <w:sz w:val="22"/>
          <w:szCs w:val="22"/>
        </w:rPr>
        <w:t xml:space="preserve">v znení </w:t>
      </w:r>
      <w:r w:rsidRPr="008C45D4" w:rsidR="00775974">
        <w:rPr>
          <w:rFonts w:ascii="Book Antiqua" w:hAnsi="Book Antiqua"/>
          <w:b w:val="0"/>
          <w:bCs w:val="0"/>
          <w:kern w:val="0"/>
          <w:sz w:val="22"/>
          <w:szCs w:val="22"/>
        </w:rPr>
        <w:t>zákona č. 175/2015 Z. z.</w:t>
      </w:r>
    </w:p>
    <w:p w:rsidR="00414033" w:rsidRPr="008C45D4" w:rsidP="008C45D4">
      <w:pPr>
        <w:bidi w:val="0"/>
        <w:spacing w:before="120" w:after="0"/>
        <w:ind w:left="1416"/>
        <w:jc w:val="both"/>
        <w:rPr>
          <w:rFonts w:ascii="Book Antiqua" w:hAnsi="Book Antiqua" w:cs="Arial"/>
          <w:bCs/>
          <w:color w:val="070707"/>
          <w:shd w:val="clear" w:color="auto" w:fill="FFFFFF"/>
          <w:vertAlign w:val="superscript"/>
        </w:rPr>
      </w:pPr>
      <w:r w:rsidRPr="008C45D4" w:rsidR="00A344EF">
        <w:rPr>
          <w:rFonts w:ascii="Book Antiqua" w:hAnsi="Book Antiqua" w:cs="Arial"/>
          <w:bCs/>
          <w:color w:val="070707"/>
          <w:shd w:val="clear" w:color="auto" w:fill="FFFFFF"/>
          <w:vertAlign w:val="superscript"/>
        </w:rPr>
        <w:t>55</w:t>
      </w:r>
      <w:r w:rsidRPr="008C45D4" w:rsidR="00F2562D">
        <w:rPr>
          <w:rFonts w:ascii="Book Antiqua" w:hAnsi="Book Antiqua" w:cs="Arial"/>
          <w:bCs/>
          <w:color w:val="070707"/>
          <w:shd w:val="clear" w:color="auto" w:fill="FFFFFF"/>
          <w:vertAlign w:val="superscript"/>
        </w:rPr>
        <w:t>f</w:t>
      </w:r>
      <w:r w:rsidRPr="008C45D4" w:rsidR="00A344EF">
        <w:rPr>
          <w:rFonts w:ascii="Book Antiqua" w:hAnsi="Book Antiqua" w:cs="Arial"/>
          <w:bCs/>
          <w:color w:val="070707"/>
          <w:shd w:val="clear" w:color="auto" w:fill="FFFFFF"/>
          <w:vertAlign w:val="superscript"/>
        </w:rPr>
        <w:t>)</w:t>
      </w:r>
      <w:r w:rsidRPr="008C45D4" w:rsidR="00A344EF">
        <w:rPr>
          <w:rFonts w:ascii="Book Antiqua" w:hAnsi="Book Antiqua" w:cs="Arial"/>
          <w:bCs/>
          <w:color w:val="070707"/>
          <w:shd w:val="clear" w:color="auto" w:fill="FFFFFF"/>
        </w:rPr>
        <w:t xml:space="preserve"> § 4</w:t>
      </w:r>
      <w:r w:rsidRPr="008C45D4" w:rsidR="000D6AC1">
        <w:rPr>
          <w:rFonts w:ascii="Book Antiqua" w:hAnsi="Book Antiqua" w:cs="Arial"/>
          <w:bCs/>
          <w:color w:val="070707"/>
          <w:shd w:val="clear" w:color="auto" w:fill="FFFFFF"/>
        </w:rPr>
        <w:t>4</w:t>
      </w:r>
      <w:r w:rsidRPr="008C45D4" w:rsidR="00A344EF">
        <w:rPr>
          <w:rFonts w:ascii="Book Antiqua" w:hAnsi="Book Antiqua" w:cs="Arial"/>
          <w:bCs/>
          <w:color w:val="070707"/>
          <w:shd w:val="clear" w:color="auto" w:fill="FFFFFF"/>
        </w:rPr>
        <w:t xml:space="preserve"> až 53 a § 56 až 61 </w:t>
      </w:r>
      <w:r w:rsidRPr="008C45D4" w:rsidR="00A344EF">
        <w:rPr>
          <w:rFonts w:ascii="Book Antiqua" w:hAnsi="Book Antiqua"/>
          <w:bCs/>
        </w:rPr>
        <w:t>zákona č. 36/2005 Z. z. v</w:t>
      </w:r>
      <w:r w:rsidRPr="008C45D4" w:rsidR="000D6AC1">
        <w:rPr>
          <w:rFonts w:ascii="Book Antiqua" w:hAnsi="Book Antiqua"/>
          <w:bCs/>
        </w:rPr>
        <w:t> </w:t>
      </w:r>
      <w:r w:rsidRPr="008C45D4" w:rsidR="00A344EF">
        <w:rPr>
          <w:rFonts w:ascii="Book Antiqua" w:hAnsi="Book Antiqua"/>
          <w:bCs/>
        </w:rPr>
        <w:t>znení</w:t>
      </w:r>
      <w:r w:rsidRPr="008C45D4" w:rsidR="000D6AC1">
        <w:rPr>
          <w:rFonts w:ascii="Book Antiqua" w:hAnsi="Book Antiqua"/>
          <w:bCs/>
        </w:rPr>
        <w:t xml:space="preserve"> neskorších predpisov</w:t>
      </w:r>
      <w:r w:rsidRPr="008C45D4">
        <w:rPr>
          <w:rFonts w:ascii="Book Antiqua" w:hAnsi="Book Antiqua" w:cs="Arial"/>
          <w:bCs/>
          <w:color w:val="070707"/>
          <w:shd w:val="clear" w:color="auto" w:fill="FFFFFF"/>
        </w:rPr>
        <w:t>.</w:t>
      </w:r>
      <w:r w:rsidRPr="008C45D4" w:rsidR="005D681F">
        <w:rPr>
          <w:rFonts w:ascii="Book Antiqua" w:hAnsi="Book Antiqua" w:cs="Arial"/>
          <w:bCs/>
          <w:color w:val="070707"/>
          <w:shd w:val="clear" w:color="auto" w:fill="FFFFFF"/>
        </w:rPr>
        <w:t>“.</w:t>
      </w:r>
      <w:r w:rsidRPr="008C45D4">
        <w:rPr>
          <w:rFonts w:ascii="Book Antiqua" w:hAnsi="Book Antiqua" w:cs="Arial"/>
          <w:bCs/>
          <w:color w:val="070707"/>
          <w:shd w:val="clear" w:color="auto" w:fill="FFFFFF"/>
        </w:rPr>
        <w:t xml:space="preserve"> </w:t>
      </w:r>
    </w:p>
    <w:p w:rsidR="009E1080" w:rsidRPr="008C45D4" w:rsidP="008C45D4">
      <w:pPr>
        <w:bidi w:val="0"/>
        <w:spacing w:before="120" w:after="0"/>
        <w:ind w:left="1416"/>
        <w:jc w:val="both"/>
        <w:rPr>
          <w:rFonts w:ascii="Book Antiqua" w:hAnsi="Book Antiqua" w:cs="Arial"/>
          <w:bCs/>
          <w:color w:val="070707"/>
          <w:shd w:val="clear" w:color="auto" w:fill="FFFFFF"/>
        </w:rPr>
      </w:pPr>
      <w:r w:rsidRPr="008C45D4" w:rsidR="00511B5E">
        <w:rPr>
          <w:rFonts w:ascii="Book Antiqua" w:hAnsi="Book Antiqua" w:cs="Arial"/>
          <w:bCs/>
          <w:color w:val="070707"/>
          <w:shd w:val="clear" w:color="auto" w:fill="FFFFFF"/>
        </w:rPr>
        <w:t>Doterajší o</w:t>
      </w:r>
      <w:r w:rsidRPr="008C45D4" w:rsidR="00B82891">
        <w:rPr>
          <w:rFonts w:ascii="Book Antiqua" w:hAnsi="Book Antiqua" w:cs="Arial"/>
          <w:bCs/>
          <w:color w:val="070707"/>
          <w:shd w:val="clear" w:color="auto" w:fill="FFFFFF"/>
        </w:rPr>
        <w:t xml:space="preserve">dsek 4 sa označuje ako odsek </w:t>
      </w:r>
      <w:r w:rsidRPr="008C45D4" w:rsidR="00F2562D">
        <w:rPr>
          <w:rFonts w:ascii="Book Antiqua" w:hAnsi="Book Antiqua" w:cs="Arial"/>
          <w:bCs/>
          <w:color w:val="070707"/>
          <w:shd w:val="clear" w:color="auto" w:fill="FFFFFF"/>
        </w:rPr>
        <w:t>6</w:t>
      </w:r>
      <w:r w:rsidRPr="008C45D4" w:rsidR="00B82891">
        <w:rPr>
          <w:rFonts w:ascii="Book Antiqua" w:hAnsi="Book Antiqua" w:cs="Arial"/>
          <w:bCs/>
          <w:color w:val="070707"/>
          <w:shd w:val="clear" w:color="auto" w:fill="FFFFFF"/>
        </w:rPr>
        <w:t>.</w:t>
      </w:r>
    </w:p>
    <w:p w:rsidR="00A541BC" w:rsidRPr="008C45D4" w:rsidP="008C45D4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8C45D4">
        <w:rPr>
          <w:rFonts w:ascii="Book Antiqua" w:hAnsi="Book Antiqua"/>
        </w:rPr>
        <w:t>V § 66 ods. 1 sa za slová „dôchodkovej hodnoty“ vkladá čiarka a slová „ak tento zákon neustanovuje inak“.</w:t>
      </w:r>
    </w:p>
    <w:p w:rsidR="00AD1CBC" w:rsidRPr="008C45D4" w:rsidP="008C45D4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8C45D4" w:rsidR="00B876E9">
        <w:rPr>
          <w:rFonts w:ascii="Book Antiqua" w:hAnsi="Book Antiqua"/>
        </w:rPr>
        <w:t>§ 66 sa dopĺňa odsekom 10, ktorý znie:</w:t>
      </w:r>
    </w:p>
    <w:p w:rsidR="0077708A" w:rsidRPr="00921EC0" w:rsidP="008C45D4">
      <w:pPr>
        <w:tabs>
          <w:tab w:val="left" w:pos="1418"/>
        </w:tabs>
        <w:bidi w:val="0"/>
        <w:spacing w:before="120" w:after="0"/>
        <w:ind w:left="1416" w:hanging="565"/>
        <w:jc w:val="both"/>
        <w:rPr>
          <w:rFonts w:ascii="Book Antiqua" w:hAnsi="Book Antiqua"/>
        </w:rPr>
      </w:pPr>
      <w:r w:rsidRPr="00690E4F" w:rsidR="00AD1CBC">
        <w:rPr>
          <w:rFonts w:ascii="Book Antiqua" w:hAnsi="Book Antiqua" w:cs="Arial"/>
          <w:lang w:eastAsia="sk-SK"/>
        </w:rPr>
        <w:t>„(10)</w:t>
        <w:tab/>
      </w:r>
      <w:r w:rsidRPr="00690E4F" w:rsidR="001872EA">
        <w:rPr>
          <w:rFonts w:ascii="Book Antiqua" w:hAnsi="Book Antiqua" w:cs="Arial"/>
          <w:lang w:eastAsia="sk-SK"/>
        </w:rPr>
        <w:t>Ak poistencovi podľa § 65a ods. 4 a 5 vzni</w:t>
      </w:r>
      <w:r w:rsidRPr="00690E4F" w:rsidR="00C33470">
        <w:rPr>
          <w:rFonts w:ascii="Book Antiqua" w:hAnsi="Book Antiqua" w:cs="Arial"/>
          <w:lang w:eastAsia="sk-SK"/>
        </w:rPr>
        <w:t xml:space="preserve">kol nárok na starobný dôchodok </w:t>
      </w:r>
      <w:r w:rsidRPr="00690E4F" w:rsidR="001872EA">
        <w:rPr>
          <w:rFonts w:ascii="Book Antiqua" w:hAnsi="Book Antiqua" w:cs="Arial"/>
          <w:lang w:eastAsia="sk-SK"/>
        </w:rPr>
        <w:t xml:space="preserve">suma starobného dôchodku nemôže byť nižšia ako suma, ktorá by mu patrila, ak by mu </w:t>
      </w:r>
      <w:r w:rsidRPr="00690E4F" w:rsidR="00D31E37">
        <w:rPr>
          <w:rFonts w:ascii="Book Antiqua" w:hAnsi="Book Antiqua" w:cs="Arial"/>
          <w:lang w:eastAsia="sk-SK"/>
        </w:rPr>
        <w:t>dôchodkový vek nebol znížený</w:t>
      </w:r>
      <w:r w:rsidRPr="00690E4F" w:rsidR="00541ECB">
        <w:rPr>
          <w:rFonts w:ascii="Book Antiqua" w:hAnsi="Book Antiqua" w:cs="Arial"/>
          <w:lang w:eastAsia="sk-SK"/>
        </w:rPr>
        <w:t>; ustanovenie §</w:t>
      </w:r>
      <w:r w:rsidRPr="00690E4F" w:rsidR="00D31E37">
        <w:rPr>
          <w:rFonts w:ascii="Book Antiqua" w:hAnsi="Book Antiqua" w:cs="Arial"/>
          <w:lang w:eastAsia="sk-SK"/>
        </w:rPr>
        <w:t xml:space="preserve"> 65a ods. 6</w:t>
      </w:r>
      <w:r w:rsidRPr="00690E4F" w:rsidR="00541ECB">
        <w:rPr>
          <w:rFonts w:ascii="Book Antiqua" w:hAnsi="Book Antiqua" w:cs="Arial"/>
          <w:lang w:eastAsia="sk-SK"/>
        </w:rPr>
        <w:t xml:space="preserve"> tým nie je </w:t>
      </w:r>
      <w:r w:rsidRPr="00690E4F" w:rsidR="00D31E37">
        <w:rPr>
          <w:rFonts w:ascii="Book Antiqua" w:hAnsi="Book Antiqua" w:cs="Arial"/>
          <w:lang w:eastAsia="sk-SK"/>
        </w:rPr>
        <w:t>dotknuté</w:t>
      </w:r>
      <w:r w:rsidRPr="00690E4F" w:rsidR="00541ECB">
        <w:rPr>
          <w:rFonts w:ascii="Book Antiqua" w:hAnsi="Book Antiqua" w:cs="Arial"/>
          <w:lang w:eastAsia="sk-SK"/>
        </w:rPr>
        <w:t xml:space="preserve">. </w:t>
      </w:r>
      <w:r w:rsidR="00A7218D">
        <w:rPr>
          <w:rFonts w:ascii="Book Antiqua" w:hAnsi="Book Antiqua" w:cs="Arial"/>
          <w:lang w:eastAsia="sk-SK"/>
        </w:rPr>
        <w:t>Výpočet</w:t>
      </w:r>
      <w:r w:rsidR="002443DB">
        <w:rPr>
          <w:rFonts w:ascii="Book Antiqua" w:hAnsi="Book Antiqua" w:cs="Arial"/>
          <w:lang w:eastAsia="sk-SK"/>
        </w:rPr>
        <w:t xml:space="preserve"> </w:t>
      </w:r>
      <w:r w:rsidR="00A7218D">
        <w:rPr>
          <w:rFonts w:ascii="Book Antiqua" w:hAnsi="Book Antiqua" w:cs="Arial"/>
          <w:lang w:eastAsia="sk-SK"/>
        </w:rPr>
        <w:t xml:space="preserve">predpokladanej </w:t>
      </w:r>
      <w:r w:rsidR="002443DB">
        <w:rPr>
          <w:rFonts w:ascii="Book Antiqua" w:hAnsi="Book Antiqua" w:cs="Arial"/>
          <w:lang w:eastAsia="sk-SK"/>
        </w:rPr>
        <w:t xml:space="preserve">sumy starobného dôchodku podľa prvej vety </w:t>
      </w:r>
      <w:r w:rsidR="00A7218D">
        <w:rPr>
          <w:rFonts w:ascii="Book Antiqua" w:hAnsi="Book Antiqua" w:cs="Arial"/>
          <w:lang w:eastAsia="sk-SK"/>
        </w:rPr>
        <w:t xml:space="preserve">ustanoví všeobecne záväzný právny predpis, ktorý vydá ministerstvo. </w:t>
      </w:r>
      <w:r w:rsidRPr="00690E4F" w:rsidR="007C1A1A">
        <w:rPr>
          <w:rFonts w:ascii="Book Antiqua" w:hAnsi="Book Antiqua" w:cs="Arial"/>
          <w:lang w:eastAsia="sk-SK"/>
        </w:rPr>
        <w:t xml:space="preserve">Na účely určenia sumy starobného dôchodku sa použije hodnota priemerného osobného mzdového bodu a aktuálna dôchodková hodnota </w:t>
      </w:r>
      <w:r w:rsidRPr="00690E4F" w:rsidR="00AE6B7C">
        <w:rPr>
          <w:rFonts w:ascii="Book Antiqua" w:hAnsi="Book Antiqua" w:cs="Arial"/>
          <w:lang w:eastAsia="sk-SK"/>
        </w:rPr>
        <w:t>platná ku dňu vz</w:t>
      </w:r>
      <w:r w:rsidR="00DE04A4">
        <w:rPr>
          <w:rFonts w:ascii="Book Antiqua" w:hAnsi="Book Antiqua" w:cs="Arial"/>
          <w:lang w:eastAsia="sk-SK"/>
        </w:rPr>
        <w:t xml:space="preserve">niku </w:t>
      </w:r>
      <w:r w:rsidRPr="00921EC0" w:rsidR="00DE04A4">
        <w:rPr>
          <w:rFonts w:ascii="Book Antiqua" w:hAnsi="Book Antiqua" w:cs="Arial"/>
          <w:lang w:eastAsia="sk-SK"/>
        </w:rPr>
        <w:t>nároku na výplatu dôchodkovej dávky</w:t>
      </w:r>
      <w:r w:rsidRPr="00921EC0" w:rsidR="00AE6B7C">
        <w:rPr>
          <w:rFonts w:ascii="Book Antiqua" w:hAnsi="Book Antiqua" w:cs="Arial"/>
          <w:lang w:eastAsia="sk-SK"/>
        </w:rPr>
        <w:t xml:space="preserve"> a obdobie dôchodkového poistenia, ktoré by poistenec získal, ak by mu</w:t>
      </w:r>
      <w:r w:rsidRPr="00921EC0" w:rsidR="00A7218D">
        <w:rPr>
          <w:rFonts w:ascii="Book Antiqua" w:hAnsi="Book Antiqua" w:cs="Arial"/>
          <w:lang w:eastAsia="sk-SK"/>
        </w:rPr>
        <w:t xml:space="preserve"> dôchodkový vek nebol podľa     </w:t>
      </w:r>
      <w:r w:rsidRPr="00921EC0" w:rsidR="00AE6B7C">
        <w:rPr>
          <w:rFonts w:ascii="Book Antiqua" w:hAnsi="Book Antiqua" w:cs="Arial"/>
          <w:lang w:eastAsia="sk-SK"/>
        </w:rPr>
        <w:t>§ 65a ods. 4 a 5 znížený.</w:t>
      </w:r>
      <w:r w:rsidRPr="00921EC0" w:rsidR="00541ECB">
        <w:rPr>
          <w:rFonts w:ascii="Book Antiqua" w:hAnsi="Book Antiqua" w:cs="Arial"/>
          <w:color w:val="000000"/>
          <w:shd w:val="clear" w:color="auto" w:fill="FFFFFF"/>
        </w:rPr>
        <w:t>“.</w:t>
      </w:r>
    </w:p>
    <w:p w:rsidR="003E790C" w:rsidRPr="00921EC0" w:rsidP="008C45D4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921EC0">
        <w:rPr>
          <w:rFonts w:ascii="Book Antiqua" w:hAnsi="Book Antiqua"/>
        </w:rPr>
        <w:t>V § 67 ods. 1 písm. a) sa na konci bodka nahrádza bodkočiarkou a pripájajú sa tie</w:t>
      </w:r>
      <w:r w:rsidRPr="00921EC0" w:rsidR="00F8056A">
        <w:rPr>
          <w:rFonts w:ascii="Book Antiqua" w:hAnsi="Book Antiqua"/>
        </w:rPr>
        <w:t>to slová „</w:t>
      </w:r>
      <w:r w:rsidRPr="00921EC0" w:rsidR="002C212F">
        <w:rPr>
          <w:rFonts w:ascii="Book Antiqua" w:hAnsi="Book Antiqua"/>
        </w:rPr>
        <w:t xml:space="preserve">do </w:t>
      </w:r>
      <w:r w:rsidRPr="00921EC0" w:rsidR="006A08C8">
        <w:rPr>
          <w:rFonts w:ascii="Book Antiqua" w:hAnsi="Book Antiqua"/>
        </w:rPr>
        <w:t>obdobia dôchodkového poistenia sa započítava aj obdobie podľa § 60 ods. 11</w:t>
      </w:r>
      <w:r w:rsidRPr="00921EC0">
        <w:rPr>
          <w:rFonts w:ascii="Book Antiqua" w:hAnsi="Book Antiqua"/>
        </w:rPr>
        <w:t>,“.</w:t>
      </w:r>
    </w:p>
    <w:p w:rsidR="003E790C" w:rsidRPr="00921EC0" w:rsidP="008C45D4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921EC0">
        <w:rPr>
          <w:rFonts w:ascii="Book Antiqua" w:hAnsi="Book Antiqua"/>
        </w:rPr>
        <w:t>V § 67 ods. 2 písm. a) sa na konci bodka nahrádza bodkočiarkou a pripájajú sa tie</w:t>
      </w:r>
      <w:r w:rsidRPr="00921EC0" w:rsidR="00F8056A">
        <w:rPr>
          <w:rFonts w:ascii="Book Antiqua" w:hAnsi="Book Antiqua"/>
        </w:rPr>
        <w:t>to slová „</w:t>
      </w:r>
      <w:r w:rsidRPr="00921EC0" w:rsidR="002C212F">
        <w:rPr>
          <w:rFonts w:ascii="Book Antiqua" w:hAnsi="Book Antiqua"/>
        </w:rPr>
        <w:t xml:space="preserve">do </w:t>
      </w:r>
      <w:r w:rsidRPr="00921EC0" w:rsidR="006A08C8">
        <w:rPr>
          <w:rFonts w:ascii="Book Antiqua" w:hAnsi="Book Antiqua"/>
        </w:rPr>
        <w:t>obdobia dôchodkového poistenia sa započítava aj obdobie podľa § 60 ods. 11</w:t>
      </w:r>
      <w:r w:rsidRPr="00921EC0">
        <w:rPr>
          <w:rFonts w:ascii="Book Antiqua" w:hAnsi="Book Antiqua"/>
        </w:rPr>
        <w:t>,“.</w:t>
      </w:r>
    </w:p>
    <w:p w:rsidR="00A848F6" w:rsidRPr="00921EC0" w:rsidP="008C45D4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921EC0" w:rsidR="00E41821">
        <w:rPr>
          <w:rFonts w:ascii="Book Antiqua" w:hAnsi="Book Antiqua"/>
        </w:rPr>
        <w:t xml:space="preserve">§ </w:t>
      </w:r>
      <w:r w:rsidRPr="00921EC0" w:rsidR="006E56BE">
        <w:rPr>
          <w:rFonts w:ascii="Book Antiqua" w:hAnsi="Book Antiqua"/>
        </w:rPr>
        <w:t>184 sa dopĺňa odsek</w:t>
      </w:r>
      <w:r w:rsidRPr="00921EC0" w:rsidR="00E41821">
        <w:rPr>
          <w:rFonts w:ascii="Book Antiqua" w:hAnsi="Book Antiqua"/>
        </w:rPr>
        <w:t>om</w:t>
      </w:r>
      <w:r w:rsidRPr="00921EC0" w:rsidR="006E56BE">
        <w:rPr>
          <w:rFonts w:ascii="Book Antiqua" w:hAnsi="Book Antiqua"/>
        </w:rPr>
        <w:t xml:space="preserve"> 12, ktorý znie:</w:t>
      </w:r>
    </w:p>
    <w:p w:rsidR="0095330A" w:rsidRPr="008C45D4" w:rsidP="008C45D4">
      <w:pPr>
        <w:tabs>
          <w:tab w:val="left" w:pos="1418"/>
        </w:tabs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921EC0" w:rsidR="00A848F6">
        <w:rPr>
          <w:rFonts w:ascii="Book Antiqua" w:hAnsi="Book Antiqua"/>
        </w:rPr>
        <w:t xml:space="preserve">„(12) </w:t>
      </w:r>
      <w:r w:rsidRPr="00921EC0" w:rsidR="006E56BE">
        <w:rPr>
          <w:rFonts w:ascii="Book Antiqua" w:hAnsi="Book Antiqua"/>
        </w:rPr>
        <w:t>Na účely posúdenia</w:t>
      </w:r>
      <w:r w:rsidRPr="008C45D4" w:rsidR="006E56BE">
        <w:rPr>
          <w:rFonts w:ascii="Book Antiqua" w:hAnsi="Book Antiqua"/>
        </w:rPr>
        <w:t xml:space="preserve"> nároku podľa § 65a ods. 4 a</w:t>
      </w:r>
      <w:r w:rsidRPr="008C45D4" w:rsidR="00467251">
        <w:rPr>
          <w:rFonts w:ascii="Book Antiqua" w:hAnsi="Book Antiqua"/>
        </w:rPr>
        <w:t> </w:t>
      </w:r>
      <w:r w:rsidRPr="008C45D4" w:rsidR="006E56BE">
        <w:rPr>
          <w:rFonts w:ascii="Book Antiqua" w:hAnsi="Book Antiqua"/>
        </w:rPr>
        <w:t>5</w:t>
      </w:r>
      <w:r w:rsidRPr="008C45D4" w:rsidR="00467251">
        <w:rPr>
          <w:rFonts w:ascii="Book Antiqua" w:hAnsi="Book Antiqua"/>
        </w:rPr>
        <w:t xml:space="preserve"> rozhodujúce skutočnosti môže</w:t>
      </w:r>
      <w:r w:rsidRPr="008C45D4" w:rsidR="006E56BE">
        <w:rPr>
          <w:rFonts w:ascii="Book Antiqua" w:hAnsi="Book Antiqua"/>
        </w:rPr>
        <w:t xml:space="preserve"> žiadateľ okrem </w:t>
      </w:r>
      <w:r w:rsidRPr="008C45D4" w:rsidR="00467251">
        <w:rPr>
          <w:rFonts w:ascii="Book Antiqua" w:hAnsi="Book Antiqua"/>
        </w:rPr>
        <w:t>spôsobu</w:t>
      </w:r>
      <w:r w:rsidRPr="008C45D4" w:rsidR="006E56BE">
        <w:rPr>
          <w:rFonts w:ascii="Book Antiqua" w:hAnsi="Book Antiqua"/>
        </w:rPr>
        <w:t xml:space="preserve"> podľa ods</w:t>
      </w:r>
      <w:r w:rsidRPr="008C45D4" w:rsidR="00467251">
        <w:rPr>
          <w:rFonts w:ascii="Book Antiqua" w:hAnsi="Book Antiqua"/>
        </w:rPr>
        <w:t>eku 5 druhej vety</w:t>
      </w:r>
      <w:r w:rsidRPr="008C45D4" w:rsidR="006E56BE">
        <w:rPr>
          <w:rFonts w:ascii="Book Antiqua" w:hAnsi="Book Antiqua"/>
        </w:rPr>
        <w:t xml:space="preserve"> </w:t>
      </w:r>
      <w:r w:rsidRPr="008C45D4" w:rsidR="00467251">
        <w:rPr>
          <w:rFonts w:ascii="Book Antiqua" w:hAnsi="Book Antiqua"/>
        </w:rPr>
        <w:t xml:space="preserve">preukázať </w:t>
      </w:r>
      <w:r w:rsidRPr="008C45D4" w:rsidR="006E56BE">
        <w:rPr>
          <w:rFonts w:ascii="Book Antiqua" w:hAnsi="Book Antiqua"/>
        </w:rPr>
        <w:t>aj čestným prehlásením podľa § 197</w:t>
      </w:r>
      <w:r w:rsidRPr="008C45D4" w:rsidR="007A4E00">
        <w:rPr>
          <w:rFonts w:ascii="Book Antiqua" w:hAnsi="Book Antiqua"/>
        </w:rPr>
        <w:t xml:space="preserve">. </w:t>
      </w:r>
      <w:r w:rsidRPr="008C45D4" w:rsidR="006E56BE">
        <w:rPr>
          <w:rFonts w:ascii="Book Antiqua" w:hAnsi="Book Antiqua"/>
        </w:rPr>
        <w:t>Dotknuté orgány sú povinné Sociálnej poisťovni poskytnúť potrebnú súčinnosť.“.</w:t>
      </w:r>
    </w:p>
    <w:p w:rsidR="00A848F6" w:rsidRPr="008C45D4" w:rsidP="008C45D4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8C45D4" w:rsidR="00FC4549">
        <w:rPr>
          <w:rFonts w:ascii="Book Antiqua" w:hAnsi="Book Antiqua"/>
        </w:rPr>
        <w:t xml:space="preserve">V § 233 ods. 12 sa na konci pripája táto veta: „Úrad práce, sociálnych vecí a rodiny je povinný poskytovať Sociálnej poisťovni </w:t>
      </w:r>
      <w:r w:rsidRPr="008C45D4" w:rsidR="00315A93">
        <w:rPr>
          <w:rFonts w:ascii="Book Antiqua" w:hAnsi="Book Antiqua"/>
        </w:rPr>
        <w:t xml:space="preserve">tiež </w:t>
      </w:r>
      <w:r w:rsidRPr="008C45D4" w:rsidR="00FC4549">
        <w:rPr>
          <w:rFonts w:ascii="Book Antiqua" w:hAnsi="Book Antiqua"/>
        </w:rPr>
        <w:t>údaje o poskytovaní prídavku na dieťa podľa osobitného predpisu.</w:t>
      </w:r>
      <w:r w:rsidRPr="008C45D4" w:rsidR="00382B46">
        <w:rPr>
          <w:rFonts w:ascii="Book Antiqua" w:hAnsi="Book Antiqua"/>
          <w:vertAlign w:val="superscript"/>
        </w:rPr>
        <w:t>101a)</w:t>
      </w:r>
      <w:r w:rsidRPr="008C45D4" w:rsidR="00382B46">
        <w:rPr>
          <w:rFonts w:ascii="Book Antiqua" w:hAnsi="Book Antiqua"/>
        </w:rPr>
        <w:t>“.</w:t>
      </w:r>
    </w:p>
    <w:p w:rsidR="00A848F6" w:rsidRPr="008C45D4" w:rsidP="008C45D4">
      <w:pPr>
        <w:tabs>
          <w:tab w:val="left" w:pos="851"/>
        </w:tabs>
        <w:bidi w:val="0"/>
        <w:spacing w:before="120" w:after="0"/>
        <w:ind w:left="851"/>
        <w:jc w:val="both"/>
        <w:rPr>
          <w:rFonts w:ascii="Book Antiqua" w:hAnsi="Book Antiqua"/>
        </w:rPr>
      </w:pPr>
      <w:r w:rsidRPr="008C45D4" w:rsidR="00FC4549">
        <w:rPr>
          <w:rFonts w:ascii="Book Antiqua" w:hAnsi="Book Antiqua"/>
        </w:rPr>
        <w:t>Poznámka pod čiarou k odkazu znie:</w:t>
      </w:r>
    </w:p>
    <w:p w:rsidR="00FC4549" w:rsidRPr="008C45D4" w:rsidP="008C45D4">
      <w:pPr>
        <w:tabs>
          <w:tab w:val="left" w:pos="851"/>
        </w:tabs>
        <w:bidi w:val="0"/>
        <w:spacing w:before="120" w:after="0"/>
        <w:ind w:left="851"/>
        <w:jc w:val="both"/>
        <w:rPr>
          <w:rFonts w:ascii="Book Antiqua" w:hAnsi="Book Antiqua"/>
        </w:rPr>
      </w:pPr>
      <w:r w:rsidRPr="008C45D4" w:rsidR="00F60930">
        <w:rPr>
          <w:rFonts w:ascii="Book Antiqua" w:hAnsi="Book Antiqua"/>
          <w:bCs/>
        </w:rPr>
        <w:t>„</w:t>
      </w:r>
      <w:r w:rsidRPr="008C45D4" w:rsidR="00382B46">
        <w:rPr>
          <w:rFonts w:ascii="Book Antiqua" w:hAnsi="Book Antiqua"/>
          <w:bCs/>
          <w:vertAlign w:val="superscript"/>
        </w:rPr>
        <w:t>101a)</w:t>
      </w:r>
      <w:r w:rsidRPr="008C45D4" w:rsidR="00382B46">
        <w:rPr>
          <w:rFonts w:ascii="Book Antiqua" w:hAnsi="Book Antiqua"/>
          <w:bCs/>
        </w:rPr>
        <w:t xml:space="preserve"> </w:t>
      </w:r>
      <w:r w:rsidRPr="008C45D4">
        <w:rPr>
          <w:rFonts w:ascii="Book Antiqua" w:hAnsi="Book Antiqua"/>
          <w:bCs/>
        </w:rPr>
        <w:t xml:space="preserve">Zákon č. 600/2003 Z. z. o prídavku na dieťa a o zmene a doplnení zákona </w:t>
      </w:r>
      <w:r w:rsidRPr="008C45D4" w:rsidR="00A848F6">
        <w:rPr>
          <w:rFonts w:ascii="Book Antiqua" w:hAnsi="Book Antiqua"/>
          <w:bCs/>
        </w:rPr>
        <w:t xml:space="preserve">       </w:t>
      </w:r>
      <w:r w:rsidRPr="008C45D4">
        <w:rPr>
          <w:rFonts w:ascii="Book Antiqua" w:hAnsi="Book Antiqua"/>
          <w:bCs/>
        </w:rPr>
        <w:t>č. 461/2003 Z. z. o sociálnom poistení v znení neskorších predpisov</w:t>
      </w:r>
      <w:r w:rsidRPr="008C45D4" w:rsidR="00F60930">
        <w:rPr>
          <w:rFonts w:ascii="Book Antiqua" w:hAnsi="Book Antiqua"/>
          <w:bCs/>
        </w:rPr>
        <w:t>.“.</w:t>
      </w:r>
    </w:p>
    <w:p w:rsidR="00CD28C5" w:rsidRPr="008C45D4" w:rsidP="008C45D4">
      <w:pPr>
        <w:numPr>
          <w:numId w:val="19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8C45D4">
        <w:rPr>
          <w:rFonts w:ascii="Book Antiqua" w:hAnsi="Book Antiqua"/>
        </w:rPr>
        <w:t>Za § 293</w:t>
      </w:r>
      <w:r w:rsidRPr="008C45D4" w:rsidR="00A5013C">
        <w:rPr>
          <w:rFonts w:ascii="Book Antiqua" w:hAnsi="Book Antiqua"/>
        </w:rPr>
        <w:t>e</w:t>
      </w:r>
      <w:r w:rsidRPr="008C45D4" w:rsidR="00725E10">
        <w:rPr>
          <w:rFonts w:ascii="Book Antiqua" w:hAnsi="Book Antiqua"/>
        </w:rPr>
        <w:t>c</w:t>
      </w:r>
      <w:r w:rsidRPr="008C45D4">
        <w:rPr>
          <w:rFonts w:ascii="Book Antiqua" w:hAnsi="Book Antiqua"/>
        </w:rPr>
        <w:t xml:space="preserve"> sa vkladá § 293</w:t>
      </w:r>
      <w:r w:rsidRPr="008C45D4" w:rsidR="00A5013C">
        <w:rPr>
          <w:rFonts w:ascii="Book Antiqua" w:hAnsi="Book Antiqua"/>
        </w:rPr>
        <w:t>e</w:t>
      </w:r>
      <w:r w:rsidRPr="008C45D4" w:rsidR="00725E10">
        <w:rPr>
          <w:rFonts w:ascii="Book Antiqua" w:hAnsi="Book Antiqua"/>
        </w:rPr>
        <w:t>d</w:t>
      </w:r>
      <w:r w:rsidRPr="008C45D4" w:rsidR="008F786F">
        <w:rPr>
          <w:rFonts w:ascii="Book Antiqua" w:hAnsi="Book Antiqua"/>
        </w:rPr>
        <w:t>, ktorý vrátane nadpisu znie:</w:t>
      </w:r>
    </w:p>
    <w:p w:rsidR="00852CA1" w:rsidRPr="008C45D4" w:rsidP="008C45D4">
      <w:pPr>
        <w:bidi w:val="0"/>
        <w:spacing w:before="120" w:after="0"/>
        <w:ind w:left="720" w:firstLine="131"/>
        <w:jc w:val="center"/>
        <w:rPr>
          <w:rFonts w:ascii="Book Antiqua" w:hAnsi="Book Antiqua"/>
          <w:b/>
        </w:rPr>
      </w:pPr>
      <w:r w:rsidRPr="008C45D4" w:rsidR="008F786F">
        <w:rPr>
          <w:rFonts w:ascii="Book Antiqua" w:hAnsi="Book Antiqua"/>
          <w:b/>
        </w:rPr>
        <w:t>„§ 293</w:t>
      </w:r>
      <w:r w:rsidRPr="008C45D4" w:rsidR="00DE6A7B">
        <w:rPr>
          <w:rFonts w:ascii="Book Antiqua" w:hAnsi="Book Antiqua"/>
          <w:b/>
        </w:rPr>
        <w:t>e</w:t>
      </w:r>
      <w:r w:rsidRPr="008C45D4" w:rsidR="00725E10">
        <w:rPr>
          <w:rFonts w:ascii="Book Antiqua" w:hAnsi="Book Antiqua"/>
          <w:b/>
        </w:rPr>
        <w:t>d</w:t>
      </w:r>
    </w:p>
    <w:p w:rsidR="0095330A" w:rsidRPr="008C45D4" w:rsidP="008C45D4">
      <w:pPr>
        <w:bidi w:val="0"/>
        <w:spacing w:before="120" w:after="0"/>
        <w:ind w:left="720" w:firstLine="131"/>
        <w:jc w:val="center"/>
        <w:rPr>
          <w:rFonts w:ascii="Book Antiqua" w:hAnsi="Book Antiqua"/>
          <w:b/>
        </w:rPr>
      </w:pPr>
      <w:r w:rsidRPr="008C45D4" w:rsidR="008F786F">
        <w:rPr>
          <w:rFonts w:ascii="Book Antiqua" w:hAnsi="Book Antiqua"/>
          <w:b/>
        </w:rPr>
        <w:t>Prechodné ustanoveni</w:t>
      </w:r>
      <w:r w:rsidRPr="008C45D4" w:rsidR="00AC026A">
        <w:rPr>
          <w:rFonts w:ascii="Book Antiqua" w:hAnsi="Book Antiqua"/>
          <w:b/>
        </w:rPr>
        <w:t>a</w:t>
      </w:r>
      <w:r w:rsidRPr="008C45D4" w:rsidR="008F786F">
        <w:rPr>
          <w:rFonts w:ascii="Book Antiqua" w:hAnsi="Book Antiqua"/>
          <w:b/>
        </w:rPr>
        <w:t xml:space="preserve"> k úprav</w:t>
      </w:r>
      <w:r w:rsidRPr="008C45D4" w:rsidR="00B764E6">
        <w:rPr>
          <w:rFonts w:ascii="Book Antiqua" w:hAnsi="Book Antiqua"/>
          <w:b/>
        </w:rPr>
        <w:t>ám účinným</w:t>
      </w:r>
      <w:r w:rsidRPr="008C45D4" w:rsidR="008F786F">
        <w:rPr>
          <w:rFonts w:ascii="Book Antiqua" w:hAnsi="Book Antiqua"/>
          <w:b/>
        </w:rPr>
        <w:t xml:space="preserve"> od 1. </w:t>
      </w:r>
      <w:r w:rsidRPr="008C45D4" w:rsidR="00D97FB0">
        <w:rPr>
          <w:rFonts w:ascii="Book Antiqua" w:hAnsi="Book Antiqua"/>
          <w:b/>
        </w:rPr>
        <w:t>augusta</w:t>
      </w:r>
      <w:r w:rsidRPr="008C45D4" w:rsidR="006939DB">
        <w:rPr>
          <w:rFonts w:ascii="Book Antiqua" w:hAnsi="Book Antiqua"/>
          <w:b/>
        </w:rPr>
        <w:t xml:space="preserve"> 201</w:t>
      </w:r>
      <w:r w:rsidRPr="008C45D4" w:rsidR="007A4E00">
        <w:rPr>
          <w:rFonts w:ascii="Book Antiqua" w:hAnsi="Book Antiqua"/>
          <w:b/>
        </w:rPr>
        <w:t>8</w:t>
      </w:r>
    </w:p>
    <w:p w:rsidR="00FC4549" w:rsidRPr="00F8056A" w:rsidP="008C45D4">
      <w:pPr>
        <w:numPr>
          <w:numId w:val="11"/>
        </w:numPr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F8056A" w:rsidR="00B764E6">
        <w:rPr>
          <w:rFonts w:ascii="Book Antiqua" w:hAnsi="Book Antiqua"/>
        </w:rPr>
        <w:t xml:space="preserve">Ak </w:t>
      </w:r>
      <w:r w:rsidRPr="00F8056A" w:rsidR="004846E4">
        <w:rPr>
          <w:rFonts w:ascii="Book Antiqua" w:hAnsi="Book Antiqua"/>
        </w:rPr>
        <w:t xml:space="preserve">by poistenec </w:t>
      </w:r>
      <w:r w:rsidRPr="00F8056A" w:rsidR="005F5C60">
        <w:rPr>
          <w:rFonts w:ascii="Book Antiqua" w:hAnsi="Book Antiqua"/>
        </w:rPr>
        <w:t>dosiah</w:t>
      </w:r>
      <w:r w:rsidRPr="00F8056A" w:rsidR="004846E4">
        <w:rPr>
          <w:rFonts w:ascii="Book Antiqua" w:hAnsi="Book Antiqua"/>
        </w:rPr>
        <w:t>ol</w:t>
      </w:r>
      <w:r w:rsidRPr="00F8056A" w:rsidR="005F5C60">
        <w:rPr>
          <w:rFonts w:ascii="Book Antiqua" w:hAnsi="Book Antiqua"/>
        </w:rPr>
        <w:t xml:space="preserve"> dôchodkový vek</w:t>
      </w:r>
      <w:r w:rsidRPr="00F8056A" w:rsidR="003A6251">
        <w:rPr>
          <w:rFonts w:ascii="Book Antiqua" w:hAnsi="Book Antiqua"/>
        </w:rPr>
        <w:t xml:space="preserve"> znížený podľa § 65</w:t>
      </w:r>
      <w:r w:rsidRPr="00F8056A" w:rsidR="00A848F6">
        <w:rPr>
          <w:rFonts w:ascii="Book Antiqua" w:hAnsi="Book Antiqua"/>
        </w:rPr>
        <w:t xml:space="preserve">a ods. 4 </w:t>
      </w:r>
      <w:r w:rsidRPr="00F8056A" w:rsidR="004764E1">
        <w:rPr>
          <w:rFonts w:ascii="Book Antiqua" w:hAnsi="Book Antiqua"/>
        </w:rPr>
        <w:t xml:space="preserve">a 5 </w:t>
      </w:r>
      <w:r w:rsidRPr="00F8056A" w:rsidR="00A848F6">
        <w:rPr>
          <w:rFonts w:ascii="Book Antiqua" w:hAnsi="Book Antiqua"/>
        </w:rPr>
        <w:t>do</w:t>
      </w:r>
      <w:r w:rsidRPr="00F8056A" w:rsidR="00F83D85">
        <w:rPr>
          <w:rFonts w:ascii="Book Antiqua" w:hAnsi="Book Antiqua"/>
        </w:rPr>
        <w:t xml:space="preserve"> </w:t>
      </w:r>
      <w:r w:rsidRPr="00F8056A" w:rsidR="007A4E00">
        <w:rPr>
          <w:rFonts w:ascii="Book Antiqua" w:hAnsi="Book Antiqua"/>
        </w:rPr>
        <w:t xml:space="preserve">      </w:t>
      </w:r>
      <w:r w:rsidRPr="00F8056A" w:rsidR="00A848F6">
        <w:rPr>
          <w:rFonts w:ascii="Book Antiqua" w:hAnsi="Book Antiqua"/>
        </w:rPr>
        <w:t>3</w:t>
      </w:r>
      <w:r w:rsidRPr="00F8056A" w:rsidR="00D97FB0">
        <w:rPr>
          <w:rFonts w:ascii="Book Antiqua" w:hAnsi="Book Antiqua"/>
        </w:rPr>
        <w:t>1</w:t>
      </w:r>
      <w:r w:rsidRPr="00F8056A" w:rsidR="00A848F6">
        <w:rPr>
          <w:rFonts w:ascii="Book Antiqua" w:hAnsi="Book Antiqua"/>
        </w:rPr>
        <w:t xml:space="preserve">. </w:t>
      </w:r>
      <w:r w:rsidRPr="00F8056A" w:rsidR="00D97FB0">
        <w:rPr>
          <w:rFonts w:ascii="Book Antiqua" w:hAnsi="Book Antiqua"/>
        </w:rPr>
        <w:t>júla</w:t>
      </w:r>
      <w:r w:rsidRPr="00F8056A" w:rsidR="00A5013C">
        <w:rPr>
          <w:rFonts w:ascii="Book Antiqua" w:hAnsi="Book Antiqua"/>
        </w:rPr>
        <w:t xml:space="preserve"> 2018</w:t>
      </w:r>
      <w:r w:rsidRPr="00F8056A" w:rsidR="003A6251">
        <w:rPr>
          <w:rFonts w:ascii="Book Antiqua" w:hAnsi="Book Antiqua"/>
        </w:rPr>
        <w:t xml:space="preserve">, </w:t>
      </w:r>
      <w:r w:rsidRPr="00F8056A" w:rsidR="00F83D85">
        <w:rPr>
          <w:rFonts w:ascii="Book Antiqua" w:hAnsi="Book Antiqua"/>
        </w:rPr>
        <w:t xml:space="preserve">dňom dovŕšenia dôchodkového veku potrebného pre vznik nároku na starobný dôchodok </w:t>
      </w:r>
      <w:r w:rsidRPr="00F8056A" w:rsidR="004764E1">
        <w:rPr>
          <w:rFonts w:ascii="Book Antiqua" w:hAnsi="Book Antiqua"/>
        </w:rPr>
        <w:t xml:space="preserve">alebo predčasný starobný dôchodok </w:t>
      </w:r>
      <w:r w:rsidRPr="00F8056A" w:rsidR="00F83D85">
        <w:rPr>
          <w:rFonts w:ascii="Book Antiqua" w:hAnsi="Book Antiqua"/>
        </w:rPr>
        <w:t xml:space="preserve">je </w:t>
      </w:r>
      <w:r w:rsidR="00A7218D">
        <w:rPr>
          <w:rFonts w:ascii="Book Antiqua" w:hAnsi="Book Antiqua"/>
        </w:rPr>
        <w:t xml:space="preserve">              </w:t>
      </w:r>
      <w:r w:rsidRPr="00F8056A" w:rsidR="00F83D85">
        <w:rPr>
          <w:rFonts w:ascii="Book Antiqua" w:hAnsi="Book Antiqua"/>
        </w:rPr>
        <w:t xml:space="preserve">1. </w:t>
      </w:r>
      <w:r w:rsidRPr="00F8056A" w:rsidR="00D97FB0">
        <w:rPr>
          <w:rFonts w:ascii="Book Antiqua" w:hAnsi="Book Antiqua"/>
        </w:rPr>
        <w:t>august</w:t>
      </w:r>
      <w:r w:rsidRPr="00F8056A" w:rsidR="00A5013C">
        <w:rPr>
          <w:rFonts w:ascii="Book Antiqua" w:hAnsi="Book Antiqua"/>
        </w:rPr>
        <w:t xml:space="preserve"> 2018</w:t>
      </w:r>
      <w:r w:rsidRPr="00F8056A" w:rsidR="00F83D85">
        <w:rPr>
          <w:rFonts w:ascii="Book Antiqua" w:hAnsi="Book Antiqua"/>
        </w:rPr>
        <w:t>.</w:t>
      </w:r>
    </w:p>
    <w:p w:rsidR="00387454" w:rsidRPr="008C45D4" w:rsidP="008C45D4">
      <w:pPr>
        <w:numPr>
          <w:numId w:val="11"/>
        </w:numPr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8C45D4" w:rsidR="00FC4549">
        <w:rPr>
          <w:rFonts w:ascii="Book Antiqua" w:hAnsi="Book Antiqua"/>
        </w:rPr>
        <w:t>Konania o</w:t>
      </w:r>
      <w:r w:rsidRPr="008C45D4" w:rsidR="00081348">
        <w:rPr>
          <w:rFonts w:ascii="Book Antiqua" w:hAnsi="Book Antiqua"/>
        </w:rPr>
        <w:t> dôchodkových dávkach</w:t>
      </w:r>
      <w:r w:rsidRPr="008C45D4" w:rsidR="00E80B44">
        <w:rPr>
          <w:rFonts w:ascii="Book Antiqua" w:hAnsi="Book Antiqua"/>
        </w:rPr>
        <w:t xml:space="preserve">, ktoré boli začaté </w:t>
      </w:r>
      <w:r w:rsidRPr="008C45D4" w:rsidR="00FC4549">
        <w:rPr>
          <w:rFonts w:ascii="Book Antiqua" w:hAnsi="Book Antiqua"/>
        </w:rPr>
        <w:t>a</w:t>
      </w:r>
      <w:r w:rsidRPr="008C45D4" w:rsidR="006328D3">
        <w:rPr>
          <w:rFonts w:ascii="Book Antiqua" w:hAnsi="Book Antiqua"/>
        </w:rPr>
        <w:t xml:space="preserve"> ktoré </w:t>
      </w:r>
      <w:r w:rsidRPr="008C45D4" w:rsidR="00A848F6">
        <w:rPr>
          <w:rFonts w:ascii="Book Antiqua" w:hAnsi="Book Antiqua"/>
        </w:rPr>
        <w:t>do 3</w:t>
      </w:r>
      <w:r w:rsidRPr="008C45D4" w:rsidR="00D97FB0">
        <w:rPr>
          <w:rFonts w:ascii="Book Antiqua" w:hAnsi="Book Antiqua"/>
        </w:rPr>
        <w:t>1</w:t>
      </w:r>
      <w:r w:rsidRPr="008C45D4" w:rsidR="00A848F6">
        <w:rPr>
          <w:rFonts w:ascii="Book Antiqua" w:hAnsi="Book Antiqua"/>
        </w:rPr>
        <w:t xml:space="preserve">. </w:t>
      </w:r>
      <w:r w:rsidRPr="008C45D4" w:rsidR="00D97FB0">
        <w:rPr>
          <w:rFonts w:ascii="Book Antiqua" w:hAnsi="Book Antiqua"/>
        </w:rPr>
        <w:t>júla</w:t>
      </w:r>
      <w:r w:rsidRPr="008C45D4" w:rsidR="00A5013C">
        <w:rPr>
          <w:rFonts w:ascii="Book Antiqua" w:hAnsi="Book Antiqua"/>
        </w:rPr>
        <w:t xml:space="preserve"> 2018</w:t>
      </w:r>
      <w:r w:rsidRPr="008C45D4" w:rsidR="00A848F6">
        <w:rPr>
          <w:rFonts w:ascii="Book Antiqua" w:hAnsi="Book Antiqua"/>
        </w:rPr>
        <w:t xml:space="preserve"> </w:t>
      </w:r>
      <w:r w:rsidRPr="008C45D4" w:rsidR="006328D3">
        <w:rPr>
          <w:rFonts w:ascii="Book Antiqua" w:hAnsi="Book Antiqua"/>
        </w:rPr>
        <w:t>neboli právoplatne skončené</w:t>
      </w:r>
      <w:r w:rsidRPr="008C45D4" w:rsidR="00E80B44">
        <w:rPr>
          <w:rFonts w:ascii="Book Antiqua" w:hAnsi="Book Antiqua"/>
        </w:rPr>
        <w:t>,</w:t>
      </w:r>
      <w:r w:rsidRPr="008C45D4" w:rsidR="006328D3">
        <w:rPr>
          <w:rFonts w:ascii="Book Antiqua" w:hAnsi="Book Antiqua"/>
        </w:rPr>
        <w:t xml:space="preserve"> sa </w:t>
      </w:r>
      <w:r w:rsidRPr="008C45D4" w:rsidR="00FC4549">
        <w:rPr>
          <w:rFonts w:ascii="Book Antiqua" w:hAnsi="Book Antiqua"/>
        </w:rPr>
        <w:t>dokončia podľa predpisov účinných do 3</w:t>
      </w:r>
      <w:r w:rsidRPr="008C45D4" w:rsidR="00D97FB0">
        <w:rPr>
          <w:rFonts w:ascii="Book Antiqua" w:hAnsi="Book Antiqua"/>
        </w:rPr>
        <w:t>1</w:t>
      </w:r>
      <w:r w:rsidRPr="008C45D4" w:rsidR="00FC4549">
        <w:rPr>
          <w:rFonts w:ascii="Book Antiqua" w:hAnsi="Book Antiqua"/>
        </w:rPr>
        <w:t xml:space="preserve">. </w:t>
      </w:r>
      <w:r w:rsidRPr="008C45D4" w:rsidR="00D97FB0">
        <w:rPr>
          <w:rFonts w:ascii="Book Antiqua" w:hAnsi="Book Antiqua"/>
        </w:rPr>
        <w:t>júla</w:t>
      </w:r>
      <w:r w:rsidRPr="008C45D4" w:rsidR="00A5013C">
        <w:rPr>
          <w:rFonts w:ascii="Book Antiqua" w:hAnsi="Book Antiqua"/>
        </w:rPr>
        <w:t xml:space="preserve"> 2018</w:t>
      </w:r>
      <w:r w:rsidRPr="008C45D4" w:rsidR="00FC4549">
        <w:rPr>
          <w:rFonts w:ascii="Book Antiqua" w:hAnsi="Book Antiqua"/>
        </w:rPr>
        <w:t>.</w:t>
      </w:r>
      <w:r w:rsidRPr="008C45D4" w:rsidR="005D681F">
        <w:rPr>
          <w:rFonts w:ascii="Book Antiqua" w:hAnsi="Book Antiqua"/>
        </w:rPr>
        <w:t>“.</w:t>
      </w:r>
    </w:p>
    <w:p w:rsidR="00E026E8" w:rsidRPr="008C45D4" w:rsidP="008C45D4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6F321F" w:rsidRPr="008C45D4" w:rsidP="008C45D4">
      <w:pPr>
        <w:bidi w:val="0"/>
        <w:spacing w:before="120" w:after="0"/>
        <w:jc w:val="center"/>
        <w:rPr>
          <w:rFonts w:ascii="Book Antiqua" w:hAnsi="Book Antiqua"/>
        </w:rPr>
      </w:pPr>
      <w:r w:rsidRPr="008C45D4">
        <w:rPr>
          <w:rFonts w:ascii="Book Antiqua" w:hAnsi="Book Antiqua"/>
          <w:b/>
        </w:rPr>
        <w:t>Čl. II</w:t>
      </w:r>
    </w:p>
    <w:p w:rsidR="006F321F" w:rsidRPr="008C45D4" w:rsidP="008C45D4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8C45D4">
        <w:rPr>
          <w:rFonts w:ascii="Book Antiqua" w:hAnsi="Book Antiqua"/>
        </w:rPr>
        <w:t xml:space="preserve">Tento zákon nadobúda účinnosť 1. </w:t>
      </w:r>
      <w:r w:rsidRPr="008C45D4" w:rsidR="00D97FB0">
        <w:rPr>
          <w:rFonts w:ascii="Book Antiqua" w:hAnsi="Book Antiqua"/>
        </w:rPr>
        <w:t>augusta</w:t>
      </w:r>
      <w:r w:rsidRPr="008C45D4" w:rsidR="00284790">
        <w:rPr>
          <w:rFonts w:ascii="Book Antiqua" w:hAnsi="Book Antiqua"/>
        </w:rPr>
        <w:t xml:space="preserve"> 201</w:t>
      </w:r>
      <w:r w:rsidRPr="008C45D4" w:rsidR="006939DB">
        <w:rPr>
          <w:rFonts w:ascii="Book Antiqua" w:hAnsi="Book Antiqua"/>
        </w:rPr>
        <w:t>8</w:t>
      </w:r>
      <w:r w:rsidRPr="008C45D4">
        <w:rPr>
          <w:rFonts w:ascii="Book Antiqua" w:hAnsi="Book Antiqua"/>
        </w:rPr>
        <w:t>.</w:t>
      </w:r>
    </w:p>
    <w:sectPr w:rsidSect="00566BC5">
      <w:footerReference w:type="default" r:id="rId5"/>
      <w:footerReference w:type="firs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25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1B0E25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E25">
    <w:pPr>
      <w:pStyle w:val="Footer"/>
      <w:bidi w:val="0"/>
      <w:jc w:val="right"/>
    </w:pPr>
  </w:p>
  <w:p w:rsidR="001B0E2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7C6F"/>
    <w:multiLevelType w:val="hybridMultilevel"/>
    <w:tmpl w:val="40CE94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DD2C9F"/>
    <w:multiLevelType w:val="hybridMultilevel"/>
    <w:tmpl w:val="4F0A95B6"/>
    <w:lvl w:ilvl="0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75ADB"/>
    <w:multiLevelType w:val="hybridMultilevel"/>
    <w:tmpl w:val="A90CD38E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3">
    <w:nsid w:val="177D5DC8"/>
    <w:multiLevelType w:val="hybridMultilevel"/>
    <w:tmpl w:val="F1C6D4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6E0904"/>
    <w:multiLevelType w:val="hybridMultilevel"/>
    <w:tmpl w:val="39D0592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201E6491"/>
    <w:multiLevelType w:val="hybridMultilevel"/>
    <w:tmpl w:val="1CA2C79E"/>
    <w:lvl w:ilvl="0">
      <w:start w:val="1"/>
      <w:numFmt w:val="lowerLetter"/>
      <w:lvlText w:val="%1)"/>
      <w:lvlJc w:val="left"/>
      <w:pPr>
        <w:ind w:left="213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28C077DB"/>
    <w:multiLevelType w:val="hybridMultilevel"/>
    <w:tmpl w:val="76460012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CF32EB0"/>
    <w:multiLevelType w:val="hybridMultilevel"/>
    <w:tmpl w:val="4E94F5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35A417B"/>
    <w:multiLevelType w:val="hybridMultilevel"/>
    <w:tmpl w:val="5F64D95E"/>
    <w:lvl w:ilvl="0">
      <w:start w:val="1"/>
      <w:numFmt w:val="decimal"/>
      <w:lvlText w:val="%1.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10">
    <w:nsid w:val="441637EE"/>
    <w:multiLevelType w:val="hybridMultilevel"/>
    <w:tmpl w:val="52F016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88656C"/>
    <w:multiLevelType w:val="hybridMultilevel"/>
    <w:tmpl w:val="776A7F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9726D58"/>
    <w:multiLevelType w:val="hybridMultilevel"/>
    <w:tmpl w:val="4E907E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A2D7045"/>
    <w:multiLevelType w:val="hybridMultilevel"/>
    <w:tmpl w:val="995CE900"/>
    <w:lvl w:ilvl="0">
      <w:start w:val="3"/>
      <w:numFmt w:val="bullet"/>
      <w:lvlText w:val="-"/>
      <w:lvlJc w:val="left"/>
      <w:pPr>
        <w:ind w:left="142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B2503C2"/>
    <w:multiLevelType w:val="hybridMultilevel"/>
    <w:tmpl w:val="B316F9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50C6FB4"/>
    <w:multiLevelType w:val="hybridMultilevel"/>
    <w:tmpl w:val="EA3C92F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5BA50E4F"/>
    <w:multiLevelType w:val="hybridMultilevel"/>
    <w:tmpl w:val="814EEF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0D46E39"/>
    <w:multiLevelType w:val="hybridMultilevel"/>
    <w:tmpl w:val="2282398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6F00137A"/>
    <w:multiLevelType w:val="hybridMultilevel"/>
    <w:tmpl w:val="ACEA144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9">
    <w:nsid w:val="76502D58"/>
    <w:multiLevelType w:val="hybridMultilevel"/>
    <w:tmpl w:val="C18A78FC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7C2D1A87"/>
    <w:multiLevelType w:val="hybridMultilevel"/>
    <w:tmpl w:val="D51A06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EB95198"/>
    <w:multiLevelType w:val="hybridMultilevel"/>
    <w:tmpl w:val="03BA2F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8"/>
  </w:num>
  <w:num w:numId="5">
    <w:abstractNumId w:val="2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0"/>
  </w:num>
  <w:num w:numId="9">
    <w:abstractNumId w:val="6"/>
  </w:num>
  <w:num w:numId="10">
    <w:abstractNumId w:val="9"/>
  </w:num>
  <w:num w:numId="11">
    <w:abstractNumId w:val="17"/>
  </w:num>
  <w:num w:numId="12">
    <w:abstractNumId w:val="19"/>
  </w:num>
  <w:num w:numId="13">
    <w:abstractNumId w:val="0"/>
  </w:num>
  <w:num w:numId="14">
    <w:abstractNumId w:val="8"/>
  </w:num>
  <w:num w:numId="15">
    <w:abstractNumId w:val="3"/>
  </w:num>
  <w:num w:numId="16">
    <w:abstractNumId w:val="4"/>
  </w:num>
  <w:num w:numId="17">
    <w:abstractNumId w:val="1"/>
  </w:num>
  <w:num w:numId="18">
    <w:abstractNumId w:val="13"/>
  </w:num>
  <w:num w:numId="19">
    <w:abstractNumId w:val="15"/>
  </w:num>
  <w:num w:numId="20">
    <w:abstractNumId w:val="5"/>
  </w:num>
  <w:num w:numId="21">
    <w:abstractNumId w:val="11"/>
  </w:num>
  <w:num w:numId="22">
    <w:abstractNumId w:val="7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F5A1E"/>
    <w:rsid w:val="00026FF8"/>
    <w:rsid w:val="000304DA"/>
    <w:rsid w:val="00034E83"/>
    <w:rsid w:val="000350BE"/>
    <w:rsid w:val="000356C1"/>
    <w:rsid w:val="00043215"/>
    <w:rsid w:val="0005565C"/>
    <w:rsid w:val="0005736E"/>
    <w:rsid w:val="00071E8D"/>
    <w:rsid w:val="00073059"/>
    <w:rsid w:val="000759F5"/>
    <w:rsid w:val="00081348"/>
    <w:rsid w:val="00092E5A"/>
    <w:rsid w:val="000A33B9"/>
    <w:rsid w:val="000D6AC1"/>
    <w:rsid w:val="000E2950"/>
    <w:rsid w:val="000E6F8E"/>
    <w:rsid w:val="000F46E3"/>
    <w:rsid w:val="00110AED"/>
    <w:rsid w:val="00122D0E"/>
    <w:rsid w:val="001261F3"/>
    <w:rsid w:val="00131613"/>
    <w:rsid w:val="00134996"/>
    <w:rsid w:val="001669EB"/>
    <w:rsid w:val="001717B1"/>
    <w:rsid w:val="00171865"/>
    <w:rsid w:val="00172915"/>
    <w:rsid w:val="0017438F"/>
    <w:rsid w:val="00182789"/>
    <w:rsid w:val="00183AC1"/>
    <w:rsid w:val="001872EA"/>
    <w:rsid w:val="001A1945"/>
    <w:rsid w:val="001A63C5"/>
    <w:rsid w:val="001B0740"/>
    <w:rsid w:val="001B0E25"/>
    <w:rsid w:val="001B732B"/>
    <w:rsid w:val="001C024A"/>
    <w:rsid w:val="001C33C8"/>
    <w:rsid w:val="001C660E"/>
    <w:rsid w:val="001C7598"/>
    <w:rsid w:val="00210245"/>
    <w:rsid w:val="00211BDD"/>
    <w:rsid w:val="00227C99"/>
    <w:rsid w:val="00230F17"/>
    <w:rsid w:val="002420BA"/>
    <w:rsid w:val="002443DB"/>
    <w:rsid w:val="002478D5"/>
    <w:rsid w:val="002519DC"/>
    <w:rsid w:val="00252134"/>
    <w:rsid w:val="00252FF1"/>
    <w:rsid w:val="002545D0"/>
    <w:rsid w:val="00255B07"/>
    <w:rsid w:val="002602C3"/>
    <w:rsid w:val="00261AD3"/>
    <w:rsid w:val="00261DDB"/>
    <w:rsid w:val="002637A5"/>
    <w:rsid w:val="00273DCC"/>
    <w:rsid w:val="00284790"/>
    <w:rsid w:val="002879E0"/>
    <w:rsid w:val="002913CB"/>
    <w:rsid w:val="002967AE"/>
    <w:rsid w:val="002A402D"/>
    <w:rsid w:val="002A6825"/>
    <w:rsid w:val="002A73FD"/>
    <w:rsid w:val="002A7B27"/>
    <w:rsid w:val="002B5D3A"/>
    <w:rsid w:val="002C212F"/>
    <w:rsid w:val="002E04AD"/>
    <w:rsid w:val="002E3456"/>
    <w:rsid w:val="002E75EA"/>
    <w:rsid w:val="002F3FE5"/>
    <w:rsid w:val="003046BC"/>
    <w:rsid w:val="00315A93"/>
    <w:rsid w:val="00315AC1"/>
    <w:rsid w:val="00315E5B"/>
    <w:rsid w:val="00315FA1"/>
    <w:rsid w:val="00317BCA"/>
    <w:rsid w:val="0032546A"/>
    <w:rsid w:val="003261CD"/>
    <w:rsid w:val="00337C79"/>
    <w:rsid w:val="00343E77"/>
    <w:rsid w:val="00346B04"/>
    <w:rsid w:val="003507E9"/>
    <w:rsid w:val="00352260"/>
    <w:rsid w:val="00363460"/>
    <w:rsid w:val="00381CBD"/>
    <w:rsid w:val="00382B46"/>
    <w:rsid w:val="00387454"/>
    <w:rsid w:val="0039188D"/>
    <w:rsid w:val="003A0CCC"/>
    <w:rsid w:val="003A3F22"/>
    <w:rsid w:val="003A6251"/>
    <w:rsid w:val="003B28A1"/>
    <w:rsid w:val="003B3405"/>
    <w:rsid w:val="003C0907"/>
    <w:rsid w:val="003C4446"/>
    <w:rsid w:val="003D5991"/>
    <w:rsid w:val="003E6DD0"/>
    <w:rsid w:val="003E790C"/>
    <w:rsid w:val="003F64DD"/>
    <w:rsid w:val="004120CA"/>
    <w:rsid w:val="00414033"/>
    <w:rsid w:val="00424648"/>
    <w:rsid w:val="00430ED9"/>
    <w:rsid w:val="00442C2F"/>
    <w:rsid w:val="00456319"/>
    <w:rsid w:val="00467251"/>
    <w:rsid w:val="00471F7C"/>
    <w:rsid w:val="0047577E"/>
    <w:rsid w:val="004764E1"/>
    <w:rsid w:val="00480D3A"/>
    <w:rsid w:val="004846E4"/>
    <w:rsid w:val="00485805"/>
    <w:rsid w:val="00490E05"/>
    <w:rsid w:val="004A0963"/>
    <w:rsid w:val="004D1093"/>
    <w:rsid w:val="004D5719"/>
    <w:rsid w:val="004E5BB6"/>
    <w:rsid w:val="004E7BAD"/>
    <w:rsid w:val="004F3495"/>
    <w:rsid w:val="004F6B9E"/>
    <w:rsid w:val="00500F6D"/>
    <w:rsid w:val="00501F4D"/>
    <w:rsid w:val="005047C1"/>
    <w:rsid w:val="00505873"/>
    <w:rsid w:val="00507E0B"/>
    <w:rsid w:val="00511B5E"/>
    <w:rsid w:val="00512EEB"/>
    <w:rsid w:val="00514307"/>
    <w:rsid w:val="005214F3"/>
    <w:rsid w:val="00536C1E"/>
    <w:rsid w:val="00541ECB"/>
    <w:rsid w:val="00547CA0"/>
    <w:rsid w:val="00564167"/>
    <w:rsid w:val="00566BC5"/>
    <w:rsid w:val="005675BB"/>
    <w:rsid w:val="00573C96"/>
    <w:rsid w:val="00580280"/>
    <w:rsid w:val="0058782D"/>
    <w:rsid w:val="00597AF5"/>
    <w:rsid w:val="005A391D"/>
    <w:rsid w:val="005A3A70"/>
    <w:rsid w:val="005B446A"/>
    <w:rsid w:val="005D4D80"/>
    <w:rsid w:val="005D681F"/>
    <w:rsid w:val="005D6C0F"/>
    <w:rsid w:val="005E25A1"/>
    <w:rsid w:val="005E30B2"/>
    <w:rsid w:val="005E4C42"/>
    <w:rsid w:val="005F104F"/>
    <w:rsid w:val="005F5C60"/>
    <w:rsid w:val="005F74F7"/>
    <w:rsid w:val="00610399"/>
    <w:rsid w:val="00612413"/>
    <w:rsid w:val="00620855"/>
    <w:rsid w:val="006211A2"/>
    <w:rsid w:val="00624D3F"/>
    <w:rsid w:val="006328D3"/>
    <w:rsid w:val="006404AE"/>
    <w:rsid w:val="0064280A"/>
    <w:rsid w:val="00650905"/>
    <w:rsid w:val="00661900"/>
    <w:rsid w:val="00661FD0"/>
    <w:rsid w:val="00662747"/>
    <w:rsid w:val="006812AE"/>
    <w:rsid w:val="00686E11"/>
    <w:rsid w:val="00690E4F"/>
    <w:rsid w:val="006939DB"/>
    <w:rsid w:val="00695F11"/>
    <w:rsid w:val="006A08C8"/>
    <w:rsid w:val="006A1F86"/>
    <w:rsid w:val="006A5002"/>
    <w:rsid w:val="006B3643"/>
    <w:rsid w:val="006B5BB6"/>
    <w:rsid w:val="006C2481"/>
    <w:rsid w:val="006D458F"/>
    <w:rsid w:val="006E0467"/>
    <w:rsid w:val="006E2EBB"/>
    <w:rsid w:val="006E56BE"/>
    <w:rsid w:val="006F321F"/>
    <w:rsid w:val="006F3290"/>
    <w:rsid w:val="007209A3"/>
    <w:rsid w:val="0072109C"/>
    <w:rsid w:val="007248CF"/>
    <w:rsid w:val="00724CD1"/>
    <w:rsid w:val="00725E10"/>
    <w:rsid w:val="00730984"/>
    <w:rsid w:val="00740E04"/>
    <w:rsid w:val="00747643"/>
    <w:rsid w:val="007542BB"/>
    <w:rsid w:val="00766C87"/>
    <w:rsid w:val="0077023C"/>
    <w:rsid w:val="00771463"/>
    <w:rsid w:val="00772246"/>
    <w:rsid w:val="00775974"/>
    <w:rsid w:val="00775E9C"/>
    <w:rsid w:val="0077708A"/>
    <w:rsid w:val="00783053"/>
    <w:rsid w:val="00786B30"/>
    <w:rsid w:val="007A4E00"/>
    <w:rsid w:val="007B2385"/>
    <w:rsid w:val="007B7D39"/>
    <w:rsid w:val="007C182E"/>
    <w:rsid w:val="007C1A1A"/>
    <w:rsid w:val="007C6940"/>
    <w:rsid w:val="007C7E52"/>
    <w:rsid w:val="007D3C7D"/>
    <w:rsid w:val="007D5D3E"/>
    <w:rsid w:val="007D73F6"/>
    <w:rsid w:val="007E2B84"/>
    <w:rsid w:val="007F28E2"/>
    <w:rsid w:val="007F498A"/>
    <w:rsid w:val="0082101C"/>
    <w:rsid w:val="00823193"/>
    <w:rsid w:val="00830446"/>
    <w:rsid w:val="00832FE3"/>
    <w:rsid w:val="00835180"/>
    <w:rsid w:val="0083615C"/>
    <w:rsid w:val="00840467"/>
    <w:rsid w:val="00840CC5"/>
    <w:rsid w:val="00844AD5"/>
    <w:rsid w:val="00846D98"/>
    <w:rsid w:val="00852CA1"/>
    <w:rsid w:val="00855BF0"/>
    <w:rsid w:val="00873EC9"/>
    <w:rsid w:val="00894BB1"/>
    <w:rsid w:val="00896850"/>
    <w:rsid w:val="008A1CA9"/>
    <w:rsid w:val="008B0732"/>
    <w:rsid w:val="008C45D4"/>
    <w:rsid w:val="008C4631"/>
    <w:rsid w:val="008F5866"/>
    <w:rsid w:val="008F786F"/>
    <w:rsid w:val="00901092"/>
    <w:rsid w:val="009011E7"/>
    <w:rsid w:val="00921EC0"/>
    <w:rsid w:val="00926CC8"/>
    <w:rsid w:val="00931862"/>
    <w:rsid w:val="00935221"/>
    <w:rsid w:val="0094671B"/>
    <w:rsid w:val="00950F19"/>
    <w:rsid w:val="0095330A"/>
    <w:rsid w:val="00957256"/>
    <w:rsid w:val="0096274A"/>
    <w:rsid w:val="009670DE"/>
    <w:rsid w:val="00980394"/>
    <w:rsid w:val="009B1963"/>
    <w:rsid w:val="009D2121"/>
    <w:rsid w:val="009E1080"/>
    <w:rsid w:val="009E1146"/>
    <w:rsid w:val="009E374E"/>
    <w:rsid w:val="00A052ED"/>
    <w:rsid w:val="00A153A9"/>
    <w:rsid w:val="00A159EA"/>
    <w:rsid w:val="00A16903"/>
    <w:rsid w:val="00A344EF"/>
    <w:rsid w:val="00A40F64"/>
    <w:rsid w:val="00A5013C"/>
    <w:rsid w:val="00A51CD6"/>
    <w:rsid w:val="00A541BC"/>
    <w:rsid w:val="00A54AD9"/>
    <w:rsid w:val="00A7218D"/>
    <w:rsid w:val="00A81147"/>
    <w:rsid w:val="00A848F6"/>
    <w:rsid w:val="00A84FB8"/>
    <w:rsid w:val="00A90597"/>
    <w:rsid w:val="00A95A6B"/>
    <w:rsid w:val="00AA3A1C"/>
    <w:rsid w:val="00AB6774"/>
    <w:rsid w:val="00AC026A"/>
    <w:rsid w:val="00AD1CBC"/>
    <w:rsid w:val="00AD319D"/>
    <w:rsid w:val="00AE6B7C"/>
    <w:rsid w:val="00AF2B00"/>
    <w:rsid w:val="00AF33EA"/>
    <w:rsid w:val="00B05E00"/>
    <w:rsid w:val="00B075C9"/>
    <w:rsid w:val="00B129F1"/>
    <w:rsid w:val="00B15F2B"/>
    <w:rsid w:val="00B16FB6"/>
    <w:rsid w:val="00B31561"/>
    <w:rsid w:val="00B4063E"/>
    <w:rsid w:val="00B707AB"/>
    <w:rsid w:val="00B7147F"/>
    <w:rsid w:val="00B75E7F"/>
    <w:rsid w:val="00B761AF"/>
    <w:rsid w:val="00B764E6"/>
    <w:rsid w:val="00B82891"/>
    <w:rsid w:val="00B85AE4"/>
    <w:rsid w:val="00B85D45"/>
    <w:rsid w:val="00B876E9"/>
    <w:rsid w:val="00BA3E21"/>
    <w:rsid w:val="00BB401E"/>
    <w:rsid w:val="00BC76C0"/>
    <w:rsid w:val="00BD17CC"/>
    <w:rsid w:val="00BD1967"/>
    <w:rsid w:val="00BD4954"/>
    <w:rsid w:val="00BD70D5"/>
    <w:rsid w:val="00BD7CAD"/>
    <w:rsid w:val="00BE59F5"/>
    <w:rsid w:val="00BE7DB5"/>
    <w:rsid w:val="00BF5B70"/>
    <w:rsid w:val="00C12581"/>
    <w:rsid w:val="00C14F48"/>
    <w:rsid w:val="00C169A6"/>
    <w:rsid w:val="00C1753A"/>
    <w:rsid w:val="00C210C5"/>
    <w:rsid w:val="00C2223C"/>
    <w:rsid w:val="00C27F74"/>
    <w:rsid w:val="00C33470"/>
    <w:rsid w:val="00C371B9"/>
    <w:rsid w:val="00C371DB"/>
    <w:rsid w:val="00C37293"/>
    <w:rsid w:val="00C4082E"/>
    <w:rsid w:val="00C50C3A"/>
    <w:rsid w:val="00C62EB7"/>
    <w:rsid w:val="00C6630B"/>
    <w:rsid w:val="00C66C16"/>
    <w:rsid w:val="00C750A3"/>
    <w:rsid w:val="00C77A3A"/>
    <w:rsid w:val="00C820C6"/>
    <w:rsid w:val="00C8322A"/>
    <w:rsid w:val="00C842BA"/>
    <w:rsid w:val="00C95DF2"/>
    <w:rsid w:val="00CA5601"/>
    <w:rsid w:val="00CA58C9"/>
    <w:rsid w:val="00CA631C"/>
    <w:rsid w:val="00CB0736"/>
    <w:rsid w:val="00CB3EAB"/>
    <w:rsid w:val="00CB72B5"/>
    <w:rsid w:val="00CD1D92"/>
    <w:rsid w:val="00CD283B"/>
    <w:rsid w:val="00CD28C5"/>
    <w:rsid w:val="00CE7B58"/>
    <w:rsid w:val="00CF5E1E"/>
    <w:rsid w:val="00CF675B"/>
    <w:rsid w:val="00D006CF"/>
    <w:rsid w:val="00D013EF"/>
    <w:rsid w:val="00D25652"/>
    <w:rsid w:val="00D30598"/>
    <w:rsid w:val="00D31E37"/>
    <w:rsid w:val="00D363F0"/>
    <w:rsid w:val="00D378B8"/>
    <w:rsid w:val="00D44656"/>
    <w:rsid w:val="00D44689"/>
    <w:rsid w:val="00D54053"/>
    <w:rsid w:val="00D62FA2"/>
    <w:rsid w:val="00D664C3"/>
    <w:rsid w:val="00D97FB0"/>
    <w:rsid w:val="00DA29B6"/>
    <w:rsid w:val="00DE04A4"/>
    <w:rsid w:val="00DE4ABF"/>
    <w:rsid w:val="00DE6A7B"/>
    <w:rsid w:val="00E026E8"/>
    <w:rsid w:val="00E0718A"/>
    <w:rsid w:val="00E158A0"/>
    <w:rsid w:val="00E16F63"/>
    <w:rsid w:val="00E31623"/>
    <w:rsid w:val="00E34074"/>
    <w:rsid w:val="00E37413"/>
    <w:rsid w:val="00E41821"/>
    <w:rsid w:val="00E441CC"/>
    <w:rsid w:val="00E44D92"/>
    <w:rsid w:val="00E47084"/>
    <w:rsid w:val="00E52F5B"/>
    <w:rsid w:val="00E53144"/>
    <w:rsid w:val="00E60EC8"/>
    <w:rsid w:val="00E67335"/>
    <w:rsid w:val="00E80B44"/>
    <w:rsid w:val="00E83334"/>
    <w:rsid w:val="00E85D7F"/>
    <w:rsid w:val="00E90FB2"/>
    <w:rsid w:val="00EA7DE3"/>
    <w:rsid w:val="00EB068F"/>
    <w:rsid w:val="00EB41A3"/>
    <w:rsid w:val="00EB475B"/>
    <w:rsid w:val="00EB4B92"/>
    <w:rsid w:val="00EB61C7"/>
    <w:rsid w:val="00EF156A"/>
    <w:rsid w:val="00EF1941"/>
    <w:rsid w:val="00EF5A1E"/>
    <w:rsid w:val="00F0426F"/>
    <w:rsid w:val="00F043D4"/>
    <w:rsid w:val="00F1457A"/>
    <w:rsid w:val="00F17C61"/>
    <w:rsid w:val="00F217BE"/>
    <w:rsid w:val="00F2252B"/>
    <w:rsid w:val="00F2562D"/>
    <w:rsid w:val="00F37407"/>
    <w:rsid w:val="00F3754A"/>
    <w:rsid w:val="00F40406"/>
    <w:rsid w:val="00F504F3"/>
    <w:rsid w:val="00F50A81"/>
    <w:rsid w:val="00F51B1F"/>
    <w:rsid w:val="00F53475"/>
    <w:rsid w:val="00F60930"/>
    <w:rsid w:val="00F65C81"/>
    <w:rsid w:val="00F733D8"/>
    <w:rsid w:val="00F8056A"/>
    <w:rsid w:val="00F822A0"/>
    <w:rsid w:val="00F83D85"/>
    <w:rsid w:val="00F94E63"/>
    <w:rsid w:val="00F96C1B"/>
    <w:rsid w:val="00FB2F1C"/>
    <w:rsid w:val="00FC1828"/>
    <w:rsid w:val="00FC34C8"/>
    <w:rsid w:val="00FC4549"/>
    <w:rsid w:val="00FD0E7E"/>
    <w:rsid w:val="00FD302C"/>
    <w:rsid w:val="00FD3EAC"/>
    <w:rsid w:val="00FF10E1"/>
    <w:rsid w:val="00FF1C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locked/>
    <w:rsid w:val="00BD1967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D1967"/>
    <w:rPr>
      <w:rFonts w:ascii="Cambria" w:hAnsi="Cambria" w:cs="Times New Roman"/>
      <w:b/>
      <w:kern w:val="32"/>
      <w:sz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3E6DD0"/>
    <w:rPr>
      <w:rFonts w:ascii="Times New Roman" w:hAnsi="Times New Roman" w:cs="Times New Roman"/>
      <w:b/>
      <w:sz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EF5A1E"/>
    <w:pPr>
      <w:tabs>
        <w:tab w:val="center" w:pos="4536"/>
        <w:tab w:val="right" w:pos="9072"/>
      </w:tabs>
      <w:jc w:val="left"/>
    </w:pPr>
    <w:rPr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EF5A1E"/>
    <w:rPr>
      <w:rFonts w:ascii="Calibri" w:hAnsi="Calibri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83615C"/>
    <w:pPr>
      <w:tabs>
        <w:tab w:val="center" w:pos="4536"/>
        <w:tab w:val="right" w:pos="9072"/>
      </w:tabs>
      <w:spacing w:after="0" w:line="240" w:lineRule="auto"/>
      <w:jc w:val="left"/>
    </w:pPr>
    <w:rPr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83615C"/>
    <w:rPr>
      <w:rFonts w:ascii="Calibri" w:hAnsi="Calibri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FC4549"/>
    <w:pPr>
      <w:ind w:left="708"/>
      <w:jc w:val="left"/>
    </w:p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al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  <w:lang w:eastAsia="sk-SK"/>
    </w:rPr>
  </w:style>
  <w:style w:type="paragraph" w:customStyle="1" w:styleId="odsek1">
    <w:name w:val="odsek1"/>
    <w:basedOn w:val="Normal"/>
    <w:rsid w:val="003E6DD0"/>
    <w:pPr>
      <w:keepNext/>
      <w:numPr>
        <w:numId w:val="6"/>
      </w:numPr>
      <w:spacing w:before="120" w:after="120" w:line="240" w:lineRule="auto"/>
      <w:ind w:left="1353"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basedOn w:val="DefaultParagraphFont"/>
    <w:rsid w:val="00B707AB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3A3F22"/>
    <w:rPr>
      <w:rFonts w:cs="Times New Roman"/>
      <w:color w:val="0000FF"/>
      <w:u w:val="single"/>
      <w:rtl w:val="0"/>
      <w:cs w:val="0"/>
    </w:rPr>
  </w:style>
  <w:style w:type="character" w:customStyle="1" w:styleId="h1a">
    <w:name w:val="h1a"/>
    <w:basedOn w:val="DefaultParagraphFont"/>
    <w:rsid w:val="00BD1967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8F586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HTMLVariable">
    <w:name w:val="HTML Variable"/>
    <w:basedOn w:val="DefaultParagraphFont"/>
    <w:uiPriority w:val="99"/>
    <w:unhideWhenUsed/>
    <w:rsid w:val="00771463"/>
    <w:rPr>
      <w:rFonts w:cs="Times New Roman"/>
      <w:i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504F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504F3"/>
    <w:rPr>
      <w:rFonts w:ascii="Segoe UI" w:hAnsi="Segoe UI" w:cs="Segoe UI"/>
      <w:sz w:val="18"/>
      <w:szCs w:val="18"/>
      <w:rtl w:val="0"/>
      <w:cs w:val="0"/>
      <w:lang w:val="x-none" w:eastAsia="en-US"/>
    </w:rPr>
  </w:style>
  <w:style w:type="paragraph" w:customStyle="1" w:styleId="m6126919208642231807ydp5d2d9414msonormal">
    <w:name w:val="m_6126919208642231807ydp5d2d9414msonormal"/>
    <w:basedOn w:val="Normal"/>
    <w:rsid w:val="00E6733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m6126919208642231807ydp5d2d9414msolistparagraph">
    <w:name w:val="m_6126919208642231807ydp5d2d9414msolistparagraph"/>
    <w:basedOn w:val="Normal"/>
    <w:rsid w:val="00E6733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9BF65-3DAC-4AF2-AE3B-3532AE999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1164</Words>
  <Characters>6641</Characters>
  <Application>Microsoft Office Word</Application>
  <DocSecurity>0</DocSecurity>
  <Lines>0</Lines>
  <Paragraphs>0</Paragraphs>
  <ScaleCrop>false</ScaleCrop>
  <Company>Kancelaria NR SR</Company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Miroslav_Kaduc</dc:creator>
  <cp:lastModifiedBy>Paľová, Dominika</cp:lastModifiedBy>
  <cp:revision>2</cp:revision>
  <cp:lastPrinted>2018-02-13T11:17:00Z</cp:lastPrinted>
  <dcterms:created xsi:type="dcterms:W3CDTF">2018-04-23T15:45:00Z</dcterms:created>
  <dcterms:modified xsi:type="dcterms:W3CDTF">2018-04-23T15:45:00Z</dcterms:modified>
</cp:coreProperties>
</file>