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0B40" w:rsidRPr="009A7EE2" w:rsidP="004E0B40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02219A">
        <w:rPr>
          <w:rFonts w:ascii="Times New Roman" w:hAnsi="Times New Roman"/>
          <w:b/>
          <w:sz w:val="24"/>
          <w:szCs w:val="24"/>
        </w:rPr>
        <w:t>Dôvodová správa</w:t>
      </w:r>
    </w:p>
    <w:p w:rsidR="004E0B40" w:rsidRPr="009A7EE2" w:rsidP="004E0B40">
      <w:pPr>
        <w:numPr>
          <w:numId w:val="1"/>
        </w:num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A7EE2">
        <w:rPr>
          <w:rFonts w:ascii="Times New Roman" w:hAnsi="Times New Roman"/>
          <w:b/>
          <w:sz w:val="24"/>
          <w:szCs w:val="24"/>
        </w:rPr>
        <w:t>Všeobecná časť</w:t>
      </w:r>
    </w:p>
    <w:p w:rsidR="004E0B40" w:rsidP="004E0B40">
      <w:pPr>
        <w:pStyle w:val="BodyText"/>
        <w:widowControl/>
        <w:bidi w:val="0"/>
        <w:spacing w:line="276" w:lineRule="auto"/>
        <w:jc w:val="both"/>
        <w:rPr>
          <w:rFonts w:ascii="Times New Roman" w:hAnsi="Times New Roman"/>
          <w:sz w:val="24"/>
        </w:rPr>
      </w:pPr>
    </w:p>
    <w:p w:rsidR="004E0B40" w:rsidP="00980179">
      <w:pPr>
        <w:pStyle w:val="BodyText"/>
        <w:widowControl/>
        <w:bidi w:val="0"/>
        <w:spacing w:line="276" w:lineRule="auto"/>
        <w:ind w:left="360" w:firstLine="63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Poslanci </w:t>
      </w:r>
      <w:r w:rsidRPr="00980179">
        <w:rPr>
          <w:rFonts w:ascii="Times New Roman" w:hAnsi="Times New Roman"/>
          <w:sz w:val="24"/>
        </w:rPr>
        <w:t xml:space="preserve">Národnej rady Slovenskej republiky </w:t>
      </w:r>
      <w:r w:rsidR="00244C5E">
        <w:rPr>
          <w:rFonts w:ascii="Times New Roman" w:hAnsi="Times New Roman"/>
          <w:sz w:val="24"/>
        </w:rPr>
        <w:t>Peter Antal a Tibor Bastrnák</w:t>
      </w:r>
      <w:r w:rsidRPr="00980179">
        <w:rPr>
          <w:rFonts w:ascii="Times New Roman" w:hAnsi="Times New Roman"/>
          <w:sz w:val="24"/>
        </w:rPr>
        <w:t xml:space="preserve"> predkladajú na schôdzu Národnej rady Slovenskej republiky návrh novely zákona</w:t>
      </w:r>
      <w:r w:rsidR="00980179">
        <w:rPr>
          <w:rFonts w:ascii="Times New Roman" w:hAnsi="Times New Roman"/>
          <w:sz w:val="24"/>
        </w:rPr>
        <w:t xml:space="preserve">            </w:t>
      </w:r>
      <w:r w:rsidRPr="00980179" w:rsidR="00980179">
        <w:rPr>
          <w:rFonts w:ascii="Times New Roman" w:hAnsi="Times New Roman"/>
          <w:sz w:val="24"/>
        </w:rPr>
        <w:t xml:space="preserve">č. 58/2014 Z. z. </w:t>
      </w:r>
      <w:r w:rsidRPr="00980179" w:rsidR="00980179">
        <w:rPr>
          <w:rFonts w:ascii="Times New Roman" w:hAnsi="Times New Roman"/>
          <w:bCs/>
          <w:sz w:val="24"/>
        </w:rPr>
        <w:t xml:space="preserve">o výbušninách, výbušných predmetoch a munícii </w:t>
      </w:r>
      <w:r w:rsidRPr="00980179" w:rsidR="00980179">
        <w:rPr>
          <w:rFonts w:ascii="Times New Roman" w:hAnsi="Times New Roman"/>
          <w:sz w:val="24"/>
        </w:rPr>
        <w:t>a o zmene a doplnení niektorých zákonov v znení neskorších predpisov</w:t>
      </w:r>
      <w:r>
        <w:rPr>
          <w:rFonts w:ascii="Times New Roman" w:hAnsi="Times New Roman"/>
          <w:sz w:val="24"/>
        </w:rPr>
        <w:t>.</w:t>
      </w:r>
      <w:r w:rsidRPr="00B06366">
        <w:rPr>
          <w:rFonts w:ascii="Times New Roman" w:hAnsi="Times New Roman"/>
          <w:sz w:val="24"/>
        </w:rPr>
        <w:t xml:space="preserve">                            </w:t>
      </w:r>
    </w:p>
    <w:p w:rsidR="004E0B40" w:rsidP="004E0B40">
      <w:pPr>
        <w:pStyle w:val="BodyText"/>
        <w:widowControl/>
        <w:bidi w:val="0"/>
        <w:spacing w:line="276" w:lineRule="auto"/>
        <w:ind w:left="360"/>
        <w:jc w:val="both"/>
        <w:rPr>
          <w:rFonts w:ascii="Times New Roman" w:hAnsi="Times New Roman"/>
          <w:sz w:val="24"/>
        </w:rPr>
      </w:pPr>
    </w:p>
    <w:p w:rsidR="00980179" w:rsidP="007B3795">
      <w:pPr>
        <w:pStyle w:val="BodyText"/>
        <w:widowControl/>
        <w:bidi w:val="0"/>
        <w:spacing w:line="276" w:lineRule="auto"/>
        <w:ind w:left="360" w:firstLine="633"/>
        <w:jc w:val="both"/>
        <w:rPr>
          <w:rFonts w:ascii="Times New Roman" w:hAnsi="Times New Roman"/>
          <w:sz w:val="24"/>
        </w:rPr>
      </w:pPr>
      <w:r w:rsidR="004E0B40">
        <w:rPr>
          <w:rFonts w:ascii="Times New Roman" w:hAnsi="Times New Roman"/>
          <w:sz w:val="24"/>
        </w:rPr>
        <w:t xml:space="preserve">Cieľom navrhovanej úpravy je </w:t>
      </w:r>
      <w:r>
        <w:rPr>
          <w:rFonts w:ascii="Times New Roman" w:hAnsi="Times New Roman"/>
          <w:sz w:val="24"/>
        </w:rPr>
        <w:t>zjednotiť pravidlá používania zábavnej pyrotechniky kategórií F2 a F3</w:t>
      </w:r>
      <w:r w:rsidR="00DC6947">
        <w:rPr>
          <w:rFonts w:ascii="Times New Roman" w:hAnsi="Times New Roman"/>
          <w:sz w:val="24"/>
        </w:rPr>
        <w:t>. Najmä záver roka</w:t>
      </w:r>
      <w:r w:rsidR="00044DBE">
        <w:rPr>
          <w:rFonts w:ascii="Times New Roman" w:hAnsi="Times New Roman"/>
          <w:sz w:val="24"/>
        </w:rPr>
        <w:t>, počínajúc prvými dňami mesiaca december,</w:t>
      </w:r>
      <w:r w:rsidR="00DC6947">
        <w:rPr>
          <w:rFonts w:ascii="Times New Roman" w:hAnsi="Times New Roman"/>
          <w:sz w:val="24"/>
        </w:rPr>
        <w:t xml:space="preserve"> poukazuje na </w:t>
      </w:r>
      <w:r w:rsidR="001E0CB3">
        <w:rPr>
          <w:rFonts w:ascii="Times New Roman" w:hAnsi="Times New Roman"/>
          <w:sz w:val="24"/>
        </w:rPr>
        <w:t xml:space="preserve">opakujúci sa </w:t>
      </w:r>
      <w:r w:rsidR="00DC6947">
        <w:rPr>
          <w:rFonts w:ascii="Times New Roman" w:hAnsi="Times New Roman"/>
          <w:sz w:val="24"/>
        </w:rPr>
        <w:t>problém, ktorý predstavuje používanie zábavnej pyrotechniky</w:t>
      </w:r>
      <w:r w:rsidR="003C3AC0">
        <w:rPr>
          <w:rFonts w:ascii="Times New Roman" w:hAnsi="Times New Roman"/>
          <w:sz w:val="24"/>
        </w:rPr>
        <w:t xml:space="preserve"> v neprimeranom rozsahu</w:t>
      </w:r>
      <w:r w:rsidR="00DC6947">
        <w:rPr>
          <w:rFonts w:ascii="Times New Roman" w:hAnsi="Times New Roman"/>
          <w:sz w:val="24"/>
        </w:rPr>
        <w:t xml:space="preserve">, </w:t>
      </w:r>
      <w:r w:rsidR="001E0CB3">
        <w:rPr>
          <w:rFonts w:ascii="Times New Roman" w:hAnsi="Times New Roman"/>
          <w:sz w:val="24"/>
        </w:rPr>
        <w:t>v dôsledku čoho</w:t>
      </w:r>
      <w:r w:rsidR="00DC6947">
        <w:rPr>
          <w:rFonts w:ascii="Times New Roman" w:hAnsi="Times New Roman"/>
          <w:sz w:val="24"/>
        </w:rPr>
        <w:t xml:space="preserve"> je široká skupina obyvateľstva bez jej súhlasu vystavovaná neprimeranej záťaži, ktorú predstavuj</w:t>
      </w:r>
      <w:r w:rsidR="001E0CB3">
        <w:rPr>
          <w:rFonts w:ascii="Times New Roman" w:hAnsi="Times New Roman"/>
          <w:sz w:val="24"/>
        </w:rPr>
        <w:t>e</w:t>
      </w:r>
      <w:r w:rsidR="00DC6947">
        <w:rPr>
          <w:rFonts w:ascii="Times New Roman" w:hAnsi="Times New Roman"/>
          <w:sz w:val="24"/>
        </w:rPr>
        <w:t xml:space="preserve"> zábavná pyrotechnika</w:t>
      </w:r>
      <w:r w:rsidR="001E0CB3">
        <w:rPr>
          <w:rFonts w:ascii="Times New Roman" w:hAnsi="Times New Roman"/>
          <w:sz w:val="24"/>
        </w:rPr>
        <w:t xml:space="preserve"> odpaľovaná v ich </w:t>
      </w:r>
      <w:r w:rsidR="00713E5B">
        <w:rPr>
          <w:rFonts w:ascii="Times New Roman" w:hAnsi="Times New Roman"/>
          <w:sz w:val="24"/>
        </w:rPr>
        <w:t xml:space="preserve">bezprostrednej </w:t>
      </w:r>
      <w:r w:rsidR="001E0CB3">
        <w:rPr>
          <w:rFonts w:ascii="Times New Roman" w:hAnsi="Times New Roman"/>
          <w:sz w:val="24"/>
        </w:rPr>
        <w:t>blízkosti a s tým spojený nadmerný hluk</w:t>
      </w:r>
      <w:r w:rsidR="00044DBE">
        <w:rPr>
          <w:rFonts w:ascii="Times New Roman" w:hAnsi="Times New Roman"/>
          <w:sz w:val="24"/>
        </w:rPr>
        <w:t xml:space="preserve"> (</w:t>
      </w:r>
      <w:r w:rsidR="00A142E7">
        <w:rPr>
          <w:rFonts w:ascii="Times New Roman" w:hAnsi="Times New Roman"/>
          <w:sz w:val="24"/>
        </w:rPr>
        <w:t>napr.</w:t>
      </w:r>
      <w:r w:rsidR="00044DBE">
        <w:rPr>
          <w:rFonts w:ascii="Times New Roman" w:hAnsi="Times New Roman"/>
          <w:sz w:val="24"/>
        </w:rPr>
        <w:t xml:space="preserve"> tzv. petardy v rukách mládeže)</w:t>
      </w:r>
      <w:r w:rsidR="001E0CB3">
        <w:rPr>
          <w:rFonts w:ascii="Times New Roman" w:hAnsi="Times New Roman"/>
          <w:sz w:val="24"/>
        </w:rPr>
        <w:t xml:space="preserve">. Nejde pritom len o obdobie </w:t>
      </w:r>
      <w:r w:rsidR="003C3AC0">
        <w:rPr>
          <w:rFonts w:ascii="Times New Roman" w:hAnsi="Times New Roman"/>
          <w:sz w:val="24"/>
        </w:rPr>
        <w:t>konca roka</w:t>
      </w:r>
      <w:r w:rsidR="001E0CB3">
        <w:rPr>
          <w:rFonts w:ascii="Times New Roman" w:hAnsi="Times New Roman"/>
          <w:sz w:val="24"/>
        </w:rPr>
        <w:t xml:space="preserve">, keďže k tomuto javu môže dôjsť kedykoľvek cez rok. Takáto činnosť </w:t>
      </w:r>
      <w:r w:rsidR="00DC6947">
        <w:rPr>
          <w:rFonts w:ascii="Times New Roman" w:hAnsi="Times New Roman"/>
          <w:sz w:val="24"/>
        </w:rPr>
        <w:t xml:space="preserve">predstavuje veľkú záťaž </w:t>
      </w:r>
      <w:r w:rsidR="00C1176A">
        <w:rPr>
          <w:rFonts w:ascii="Times New Roman" w:hAnsi="Times New Roman"/>
          <w:sz w:val="24"/>
        </w:rPr>
        <w:t>najmä pre deti</w:t>
      </w:r>
      <w:r w:rsidR="00DC6947">
        <w:rPr>
          <w:rFonts w:ascii="Times New Roman" w:hAnsi="Times New Roman"/>
          <w:sz w:val="24"/>
        </w:rPr>
        <w:t xml:space="preserve"> a </w:t>
      </w:r>
      <w:r w:rsidR="00C1176A">
        <w:rPr>
          <w:rFonts w:ascii="Times New Roman" w:hAnsi="Times New Roman"/>
          <w:sz w:val="24"/>
        </w:rPr>
        <w:t>staršie</w:t>
      </w:r>
      <w:r w:rsidR="00DC6947">
        <w:rPr>
          <w:rFonts w:ascii="Times New Roman" w:hAnsi="Times New Roman"/>
          <w:sz w:val="24"/>
        </w:rPr>
        <w:t xml:space="preserve"> </w:t>
      </w:r>
      <w:r w:rsidR="00C1176A">
        <w:rPr>
          <w:rFonts w:ascii="Times New Roman" w:hAnsi="Times New Roman"/>
          <w:sz w:val="24"/>
        </w:rPr>
        <w:t>osoby</w:t>
      </w:r>
      <w:r w:rsidR="007B3795">
        <w:rPr>
          <w:rFonts w:ascii="Times New Roman" w:hAnsi="Times New Roman"/>
          <w:sz w:val="24"/>
        </w:rPr>
        <w:t xml:space="preserve">, ktoré sú vystavované neželaným stresovým situáciám, pričom najmä v prípade </w:t>
      </w:r>
      <w:r w:rsidR="00713E5B">
        <w:rPr>
          <w:rFonts w:ascii="Times New Roman" w:hAnsi="Times New Roman"/>
          <w:sz w:val="24"/>
        </w:rPr>
        <w:t xml:space="preserve">najmenších </w:t>
      </w:r>
      <w:r w:rsidR="007B3795">
        <w:rPr>
          <w:rFonts w:ascii="Times New Roman" w:hAnsi="Times New Roman"/>
          <w:sz w:val="24"/>
        </w:rPr>
        <w:t xml:space="preserve">detí </w:t>
      </w:r>
      <w:r w:rsidR="00713E5B">
        <w:rPr>
          <w:rFonts w:ascii="Times New Roman" w:hAnsi="Times New Roman"/>
          <w:sz w:val="24"/>
        </w:rPr>
        <w:t xml:space="preserve">a niektorých starších osôb </w:t>
      </w:r>
      <w:r w:rsidR="00D90042">
        <w:rPr>
          <w:rFonts w:ascii="Times New Roman" w:hAnsi="Times New Roman"/>
          <w:sz w:val="24"/>
        </w:rPr>
        <w:t>tieto</w:t>
      </w:r>
      <w:r w:rsidR="00F0177A">
        <w:rPr>
          <w:rFonts w:ascii="Times New Roman" w:hAnsi="Times New Roman"/>
          <w:sz w:val="24"/>
        </w:rPr>
        <w:t xml:space="preserve"> </w:t>
      </w:r>
      <w:r w:rsidR="007B3795">
        <w:rPr>
          <w:rFonts w:ascii="Times New Roman" w:hAnsi="Times New Roman"/>
          <w:sz w:val="24"/>
        </w:rPr>
        <w:t>častokrát nie je možné na takúto situáciu vopred dostatočne pripraviť. Ďalším veľmi neželaným javom je vytváranie stresovej</w:t>
      </w:r>
      <w:r w:rsidR="00D90042">
        <w:rPr>
          <w:rFonts w:ascii="Times New Roman" w:hAnsi="Times New Roman"/>
          <w:sz w:val="24"/>
        </w:rPr>
        <w:t xml:space="preserve"> situácie pre domáce zvieratá a</w:t>
      </w:r>
      <w:r w:rsidR="007B3795">
        <w:rPr>
          <w:rFonts w:ascii="Times New Roman" w:hAnsi="Times New Roman"/>
          <w:sz w:val="24"/>
        </w:rPr>
        <w:t xml:space="preserve"> </w:t>
      </w:r>
      <w:r w:rsidR="00F0177A">
        <w:rPr>
          <w:rFonts w:ascii="Times New Roman" w:hAnsi="Times New Roman"/>
          <w:sz w:val="24"/>
        </w:rPr>
        <w:t>pre voľne žijúce zvieratá. V</w:t>
      </w:r>
      <w:r w:rsidR="00713E5B">
        <w:rPr>
          <w:rFonts w:ascii="Times New Roman" w:hAnsi="Times New Roman"/>
          <w:sz w:val="24"/>
        </w:rPr>
        <w:t> prípade domácich zvierat existujú len obmedzené prostriedky ich ochrany</w:t>
      </w:r>
      <w:r w:rsidR="00F0177A">
        <w:rPr>
          <w:rFonts w:ascii="Times New Roman" w:hAnsi="Times New Roman"/>
          <w:sz w:val="24"/>
        </w:rPr>
        <w:t xml:space="preserve"> voči </w:t>
      </w:r>
      <w:r w:rsidR="00C1176A">
        <w:rPr>
          <w:rFonts w:ascii="Times New Roman" w:hAnsi="Times New Roman"/>
          <w:sz w:val="24"/>
        </w:rPr>
        <w:t>neželaným efektom zábavnej pyrotechniky</w:t>
      </w:r>
      <w:r w:rsidR="00713E5B">
        <w:rPr>
          <w:rFonts w:ascii="Times New Roman" w:hAnsi="Times New Roman"/>
          <w:sz w:val="24"/>
        </w:rPr>
        <w:t xml:space="preserve">, v prípade voľne žijúcich zvierat </w:t>
      </w:r>
      <w:r w:rsidR="00F0177A">
        <w:rPr>
          <w:rFonts w:ascii="Times New Roman" w:hAnsi="Times New Roman"/>
          <w:sz w:val="24"/>
        </w:rPr>
        <w:t xml:space="preserve">vôbec </w:t>
      </w:r>
      <w:r w:rsidR="00713E5B">
        <w:rPr>
          <w:rFonts w:ascii="Times New Roman" w:hAnsi="Times New Roman"/>
          <w:sz w:val="24"/>
        </w:rPr>
        <w:t>žiadne.</w:t>
      </w:r>
    </w:p>
    <w:p w:rsidR="00980179" w:rsidP="004E0B40">
      <w:pPr>
        <w:pStyle w:val="BodyText"/>
        <w:widowControl/>
        <w:bidi w:val="0"/>
        <w:spacing w:line="276" w:lineRule="auto"/>
        <w:ind w:left="360" w:firstLine="633"/>
        <w:jc w:val="both"/>
        <w:rPr>
          <w:rFonts w:ascii="Times New Roman" w:hAnsi="Times New Roman"/>
          <w:sz w:val="24"/>
        </w:rPr>
      </w:pPr>
    </w:p>
    <w:p w:rsidR="00044DBE" w:rsidRPr="00C1176A" w:rsidP="00044DBE">
      <w:pPr>
        <w:pStyle w:val="BodyText"/>
        <w:widowControl/>
        <w:bidi w:val="0"/>
        <w:spacing w:line="276" w:lineRule="auto"/>
        <w:ind w:left="360" w:firstLine="633"/>
        <w:jc w:val="both"/>
        <w:rPr>
          <w:rFonts w:ascii="Times New Roman" w:hAnsi="Times New Roman"/>
          <w:sz w:val="24"/>
        </w:rPr>
      </w:pPr>
      <w:r w:rsidR="00DC6947">
        <w:rPr>
          <w:rFonts w:ascii="Times New Roman" w:hAnsi="Times New Roman"/>
          <w:sz w:val="24"/>
        </w:rPr>
        <w:t xml:space="preserve">Hoci v súčasnosti zákon obsahuje splnomocnenie pre obce všeobecne záväzným nariadením obmedziť alebo zakázať používanie pyrotechnických výrobkov vybraných kategórií v územní obce alebo v jej častiach, v praxi je úprava </w:t>
      </w:r>
      <w:r w:rsidR="00713E5B">
        <w:rPr>
          <w:rFonts w:ascii="Times New Roman" w:hAnsi="Times New Roman"/>
          <w:sz w:val="24"/>
        </w:rPr>
        <w:t>značne nejednotná</w:t>
      </w:r>
      <w:r w:rsidR="00DC6947">
        <w:rPr>
          <w:rFonts w:ascii="Times New Roman" w:hAnsi="Times New Roman"/>
          <w:sz w:val="24"/>
        </w:rPr>
        <w:t xml:space="preserve"> v </w:t>
      </w:r>
      <w:r w:rsidRPr="00044DBE" w:rsidR="00DC6947">
        <w:rPr>
          <w:rFonts w:ascii="Times New Roman" w:hAnsi="Times New Roman"/>
          <w:sz w:val="24"/>
        </w:rPr>
        <w:t xml:space="preserve">závislosti </w:t>
      </w:r>
      <w:r w:rsidRPr="00044DBE" w:rsidR="00713E5B">
        <w:rPr>
          <w:rFonts w:ascii="Times New Roman" w:hAnsi="Times New Roman"/>
          <w:sz w:val="24"/>
        </w:rPr>
        <w:t xml:space="preserve">od </w:t>
      </w:r>
      <w:r w:rsidRPr="00C1176A" w:rsidR="00713E5B">
        <w:rPr>
          <w:rFonts w:ascii="Times New Roman" w:hAnsi="Times New Roman"/>
          <w:sz w:val="24"/>
        </w:rPr>
        <w:t>konkrétnej obce</w:t>
      </w:r>
      <w:r w:rsidRPr="00C1176A" w:rsidR="00DC6947">
        <w:rPr>
          <w:rFonts w:ascii="Times New Roman" w:hAnsi="Times New Roman"/>
          <w:sz w:val="24"/>
        </w:rPr>
        <w:t>, pričom mnohé mestá a</w:t>
      </w:r>
      <w:r w:rsidRPr="00C1176A" w:rsidR="00713E5B">
        <w:rPr>
          <w:rFonts w:ascii="Times New Roman" w:hAnsi="Times New Roman"/>
          <w:sz w:val="24"/>
        </w:rPr>
        <w:t xml:space="preserve"> najmä </w:t>
      </w:r>
      <w:r w:rsidRPr="00C1176A" w:rsidR="00D90042">
        <w:rPr>
          <w:rFonts w:ascii="Times New Roman" w:hAnsi="Times New Roman"/>
          <w:sz w:val="24"/>
        </w:rPr>
        <w:t xml:space="preserve">menšie </w:t>
      </w:r>
      <w:r w:rsidRPr="00C1176A" w:rsidR="00DC6947">
        <w:rPr>
          <w:rFonts w:ascii="Times New Roman" w:hAnsi="Times New Roman"/>
          <w:sz w:val="24"/>
        </w:rPr>
        <w:t xml:space="preserve">obce neposkytujú svojim obyvateľom v tomto smere žiadnu ochranu. </w:t>
      </w:r>
      <w:r w:rsidRPr="00C1176A">
        <w:rPr>
          <w:rFonts w:ascii="Times New Roman" w:hAnsi="Times New Roman"/>
          <w:sz w:val="24"/>
        </w:rPr>
        <w:t>Zároveň i v tých obciach, ktoré všeobecne záväznými nariadeniami obmedzujú používanie zábavnej pyrotechniky na určitom mieste alebo v určitom čase</w:t>
      </w:r>
      <w:r w:rsidRPr="00C1176A">
        <w:rPr>
          <w:rFonts w:ascii="Times New Roman" w:hAnsi="Times New Roman"/>
          <w:sz w:val="24"/>
        </w:rPr>
        <w:t xml:space="preserve">, je vzhľadom na </w:t>
      </w:r>
      <w:r w:rsidRPr="00C1176A">
        <w:rPr>
          <w:rFonts w:ascii="Times New Roman" w:hAnsi="Times New Roman"/>
          <w:sz w:val="24"/>
        </w:rPr>
        <w:t>jej ľahkú</w:t>
      </w:r>
      <w:r w:rsidRPr="00C1176A">
        <w:rPr>
          <w:rFonts w:ascii="Times New Roman" w:hAnsi="Times New Roman"/>
          <w:sz w:val="24"/>
        </w:rPr>
        <w:t xml:space="preserve"> dostupnosť a z toho vyplývajúce množstvo porušení týchto </w:t>
      </w:r>
      <w:r w:rsidRPr="00C1176A">
        <w:rPr>
          <w:rFonts w:ascii="Times New Roman" w:hAnsi="Times New Roman"/>
          <w:sz w:val="24"/>
        </w:rPr>
        <w:t>všeobecne záväzných nariadení ich uplatňovanie</w:t>
      </w:r>
      <w:r w:rsidRPr="00C1176A">
        <w:rPr>
          <w:rFonts w:ascii="Times New Roman" w:hAnsi="Times New Roman"/>
          <w:sz w:val="24"/>
        </w:rPr>
        <w:t xml:space="preserve"> prakt</w:t>
      </w:r>
      <w:r w:rsidRPr="00C1176A">
        <w:rPr>
          <w:rFonts w:ascii="Times New Roman" w:hAnsi="Times New Roman"/>
          <w:sz w:val="24"/>
        </w:rPr>
        <w:t xml:space="preserve">icky neúčinné a nepostihnuteľné. </w:t>
      </w:r>
      <w:r w:rsidRPr="00C1176A">
        <w:rPr>
          <w:rFonts w:ascii="Times New Roman" w:hAnsi="Times New Roman"/>
          <w:sz w:val="24"/>
        </w:rPr>
        <w:t xml:space="preserve">Zároveň </w:t>
      </w:r>
      <w:r w:rsidRPr="00C1176A">
        <w:rPr>
          <w:rFonts w:ascii="Times New Roman" w:hAnsi="Times New Roman"/>
          <w:sz w:val="24"/>
        </w:rPr>
        <w:t>všeobecne záväzné nariadenie</w:t>
      </w:r>
      <w:r w:rsidRPr="00C1176A">
        <w:rPr>
          <w:rFonts w:ascii="Times New Roman" w:hAnsi="Times New Roman"/>
          <w:sz w:val="24"/>
        </w:rPr>
        <w:t xml:space="preserve"> ako norma nižšej právnej sily </w:t>
      </w:r>
      <w:r w:rsidRPr="00C1176A">
        <w:rPr>
          <w:rFonts w:ascii="Times New Roman" w:hAnsi="Times New Roman"/>
          <w:sz w:val="24"/>
        </w:rPr>
        <w:t xml:space="preserve">je z pohľadu verejnosti častokrát vnímané ako menej záväzné </w:t>
      </w:r>
      <w:r w:rsidR="008712CA">
        <w:rPr>
          <w:rFonts w:ascii="Times New Roman" w:hAnsi="Times New Roman"/>
          <w:sz w:val="24"/>
        </w:rPr>
        <w:t>než</w:t>
      </w:r>
      <w:r w:rsidRPr="00C1176A">
        <w:rPr>
          <w:rFonts w:ascii="Times New Roman" w:hAnsi="Times New Roman"/>
          <w:sz w:val="24"/>
        </w:rPr>
        <w:t xml:space="preserve"> zákon a jeho porušeniu prikladajú menší význam</w:t>
      </w:r>
      <w:r w:rsidRPr="00C1176A">
        <w:rPr>
          <w:rFonts w:ascii="Times New Roman" w:hAnsi="Times New Roman"/>
          <w:sz w:val="24"/>
        </w:rPr>
        <w:t>.</w:t>
      </w:r>
    </w:p>
    <w:p w:rsidR="00044DBE" w:rsidP="00713E5B">
      <w:pPr>
        <w:pStyle w:val="BodyText"/>
        <w:widowControl/>
        <w:bidi w:val="0"/>
        <w:spacing w:line="276" w:lineRule="auto"/>
        <w:ind w:left="360" w:firstLine="633"/>
        <w:jc w:val="both"/>
        <w:rPr>
          <w:rFonts w:ascii="Times New Roman" w:hAnsi="Times New Roman"/>
          <w:sz w:val="24"/>
        </w:rPr>
      </w:pPr>
    </w:p>
    <w:p w:rsidR="00713E5B" w:rsidP="00713E5B">
      <w:pPr>
        <w:pStyle w:val="BodyText"/>
        <w:widowControl/>
        <w:bidi w:val="0"/>
        <w:spacing w:line="276" w:lineRule="auto"/>
        <w:ind w:left="360" w:firstLine="633"/>
        <w:jc w:val="both"/>
        <w:rPr>
          <w:rFonts w:ascii="Times New Roman" w:hAnsi="Times New Roman"/>
          <w:sz w:val="24"/>
        </w:rPr>
      </w:pPr>
      <w:r w:rsidR="00C1176A">
        <w:rPr>
          <w:rFonts w:ascii="Times New Roman" w:hAnsi="Times New Roman"/>
          <w:sz w:val="24"/>
        </w:rPr>
        <w:t>Keďže súčasný stav neposkytuje dostatočnú ochranu a k</w:t>
      </w:r>
      <w:r w:rsidRPr="00044DBE" w:rsidR="007B3795">
        <w:rPr>
          <w:rFonts w:ascii="Times New Roman" w:hAnsi="Times New Roman"/>
          <w:sz w:val="24"/>
        </w:rPr>
        <w:t>eďže najväčšie problémy sú v súvislosti s používaním voľne dostupnej zábavnej pyrotechniky kategórie F2 a F3</w:t>
      </w:r>
      <w:r w:rsidRPr="00044DBE" w:rsidR="00D90042">
        <w:rPr>
          <w:rFonts w:ascii="Times New Roman" w:hAnsi="Times New Roman"/>
          <w:sz w:val="24"/>
        </w:rPr>
        <w:t xml:space="preserve"> (výrobky kategórie F1 sa vyznačujú zanedbateľnou </w:t>
      </w:r>
      <w:r w:rsidR="00D90042">
        <w:rPr>
          <w:rFonts w:ascii="Times New Roman" w:hAnsi="Times New Roman"/>
          <w:sz w:val="24"/>
        </w:rPr>
        <w:t>hladinou hluku, výrobky kategórie F4 môžu používať iba odborne spôsobilé osoby)</w:t>
      </w:r>
      <w:r w:rsidR="007B3795">
        <w:rPr>
          <w:rFonts w:ascii="Times New Roman" w:hAnsi="Times New Roman"/>
          <w:sz w:val="24"/>
        </w:rPr>
        <w:t xml:space="preserve">, navrhuje sa obmedziť možnosť používania </w:t>
      </w:r>
      <w:r w:rsidR="00C1176A">
        <w:rPr>
          <w:rFonts w:ascii="Times New Roman" w:hAnsi="Times New Roman"/>
          <w:sz w:val="24"/>
        </w:rPr>
        <w:t xml:space="preserve">týchto kategórií </w:t>
      </w:r>
      <w:r w:rsidR="007B3795">
        <w:rPr>
          <w:rFonts w:ascii="Times New Roman" w:hAnsi="Times New Roman"/>
          <w:sz w:val="24"/>
        </w:rPr>
        <w:t xml:space="preserve">iba na krátke obdobie </w:t>
      </w:r>
      <w:r>
        <w:rPr>
          <w:rFonts w:ascii="Times New Roman" w:hAnsi="Times New Roman"/>
          <w:sz w:val="24"/>
        </w:rPr>
        <w:t>v čase osláv</w:t>
      </w:r>
      <w:r w:rsidR="007B3795">
        <w:rPr>
          <w:rFonts w:ascii="Times New Roman" w:hAnsi="Times New Roman"/>
          <w:sz w:val="24"/>
        </w:rPr>
        <w:t xml:space="preserve"> Nového roka. Na zmiernenie neprimeranej tvrdosti</w:t>
      </w:r>
      <w:r>
        <w:rPr>
          <w:rFonts w:ascii="Times New Roman" w:hAnsi="Times New Roman"/>
          <w:sz w:val="24"/>
        </w:rPr>
        <w:t xml:space="preserve"> zákona sa súčasne zavádza možnosť obce povoliť výnimku a umožniť použiť zábavnú pyrotechniku kategórie F2 a F3 i v období cez rok na základe žiadosti fyzickej alebo právnickej osoby obsahujúcej potrebné </w:t>
      </w:r>
      <w:r w:rsidR="00D90042">
        <w:rPr>
          <w:rFonts w:ascii="Times New Roman" w:hAnsi="Times New Roman"/>
          <w:sz w:val="24"/>
        </w:rPr>
        <w:t>náležitosti</w:t>
      </w:r>
      <w:r>
        <w:rPr>
          <w:rFonts w:ascii="Times New Roman" w:hAnsi="Times New Roman"/>
          <w:sz w:val="24"/>
        </w:rPr>
        <w:t>. Pri rozhodovaní o takejto žiadosti by obce mali prihliadnuť k</w:t>
      </w:r>
      <w:r w:rsidR="00C1176A">
        <w:rPr>
          <w:rFonts w:ascii="Times New Roman" w:hAnsi="Times New Roman"/>
          <w:sz w:val="24"/>
        </w:rPr>
        <w:t xml:space="preserve"> čo </w:t>
      </w:r>
      <w:r w:rsidR="00E51599">
        <w:rPr>
          <w:rFonts w:ascii="Times New Roman" w:hAnsi="Times New Roman"/>
          <w:sz w:val="24"/>
        </w:rPr>
        <w:t xml:space="preserve">najlepšiemu zabezpečeniu </w:t>
      </w:r>
      <w:r w:rsidR="00C1176A">
        <w:rPr>
          <w:rFonts w:ascii="Times New Roman" w:hAnsi="Times New Roman"/>
          <w:sz w:val="24"/>
        </w:rPr>
        <w:t>záujmov</w:t>
      </w:r>
      <w:r w:rsidR="00E51599">
        <w:rPr>
          <w:rFonts w:ascii="Times New Roman" w:hAnsi="Times New Roman"/>
          <w:sz w:val="24"/>
        </w:rPr>
        <w:t xml:space="preserve"> jej obyvateľov.</w:t>
      </w:r>
    </w:p>
    <w:p w:rsidR="00E51599" w:rsidP="00713E5B">
      <w:pPr>
        <w:pStyle w:val="BodyText"/>
        <w:widowControl/>
        <w:bidi w:val="0"/>
        <w:spacing w:line="276" w:lineRule="auto"/>
        <w:ind w:left="360" w:firstLine="633"/>
        <w:jc w:val="both"/>
        <w:rPr>
          <w:rFonts w:ascii="Times New Roman" w:hAnsi="Times New Roman"/>
          <w:sz w:val="24"/>
        </w:rPr>
      </w:pPr>
    </w:p>
    <w:p w:rsidR="00980179" w:rsidP="00044DBE">
      <w:pPr>
        <w:pStyle w:val="BodyText"/>
        <w:widowControl/>
        <w:bidi w:val="0"/>
        <w:spacing w:line="276" w:lineRule="auto"/>
        <w:ind w:left="360" w:firstLine="633"/>
        <w:jc w:val="both"/>
        <w:rPr>
          <w:rFonts w:ascii="Times New Roman" w:hAnsi="Times New Roman"/>
          <w:sz w:val="24"/>
        </w:rPr>
      </w:pPr>
      <w:r w:rsidR="00E51599">
        <w:rPr>
          <w:rFonts w:ascii="Times New Roman" w:hAnsi="Times New Roman"/>
          <w:sz w:val="24"/>
        </w:rPr>
        <w:t xml:space="preserve">Okrem obmedzenia použitia dotknutých výrobkov zábavnej pyrotechniky sa zároveň upravuje jej predaj, ktorý je rovnako možný iba vo vymedzenom časovom období. Odsúhlasenie žiadosti obcou pritom oprávňuje k nákupu </w:t>
      </w:r>
      <w:r w:rsidR="00D90042">
        <w:rPr>
          <w:rFonts w:ascii="Times New Roman" w:hAnsi="Times New Roman"/>
          <w:sz w:val="24"/>
        </w:rPr>
        <w:t xml:space="preserve">zábavnej </w:t>
      </w:r>
      <w:r w:rsidR="00E51599">
        <w:rPr>
          <w:rFonts w:ascii="Times New Roman" w:hAnsi="Times New Roman"/>
          <w:sz w:val="24"/>
        </w:rPr>
        <w:t>pyrotechniky v rozsahu schválenej žiadosti. Takáto úprava vychádza z modelu, ktorý už v súčasnosti aplikujú viaceré štáty EÚ, napr. Spolková republika Nemecko, Chorvátsko</w:t>
      </w:r>
      <w:r w:rsidR="00C1176A">
        <w:rPr>
          <w:rFonts w:ascii="Times New Roman" w:hAnsi="Times New Roman"/>
          <w:sz w:val="24"/>
        </w:rPr>
        <w:t xml:space="preserve"> alebo Dánsko</w:t>
      </w:r>
      <w:r w:rsidR="00E51599">
        <w:rPr>
          <w:rFonts w:ascii="Times New Roman" w:hAnsi="Times New Roman"/>
          <w:sz w:val="24"/>
        </w:rPr>
        <w:t>.</w:t>
      </w:r>
    </w:p>
    <w:p w:rsidR="00044DBE" w:rsidP="00044DBE">
      <w:pPr>
        <w:pStyle w:val="BodyText"/>
        <w:widowControl/>
        <w:bidi w:val="0"/>
        <w:spacing w:line="276" w:lineRule="auto"/>
        <w:ind w:left="360" w:firstLine="633"/>
        <w:jc w:val="both"/>
        <w:rPr>
          <w:rFonts w:ascii="Times New Roman" w:hAnsi="Times New Roman"/>
          <w:sz w:val="24"/>
        </w:rPr>
      </w:pPr>
    </w:p>
    <w:p w:rsidR="004E0B40" w:rsidRPr="009A7EE2" w:rsidP="004E0B40">
      <w:pPr>
        <w:bidi w:val="0"/>
        <w:ind w:left="426" w:firstLine="567"/>
        <w:jc w:val="both"/>
        <w:rPr>
          <w:rFonts w:ascii="Times New Roman" w:hAnsi="Times New Roman"/>
          <w:sz w:val="24"/>
          <w:szCs w:val="24"/>
        </w:rPr>
      </w:pPr>
      <w:r w:rsidRPr="009A7EE2">
        <w:rPr>
          <w:rFonts w:ascii="Times New Roman" w:hAnsi="Times New Roman"/>
          <w:sz w:val="24"/>
          <w:szCs w:val="24"/>
        </w:rPr>
        <w:t xml:space="preserve">Návrh zákona je v súlade s Ústavou Slovenskej republiky, zákonmi a ostatnými všeobecne záväznými právnymi predpismi, ako aj s medzinárodnými zmluvami, ktorými je Slovenská republika viazaná. </w:t>
      </w:r>
    </w:p>
    <w:p w:rsidR="004E0B40" w:rsidRPr="009A7EE2" w:rsidP="00980179">
      <w:pPr>
        <w:bidi w:val="0"/>
        <w:ind w:left="426" w:firstLine="567"/>
        <w:jc w:val="both"/>
        <w:rPr>
          <w:rFonts w:ascii="Times New Roman" w:hAnsi="Times New Roman"/>
          <w:sz w:val="24"/>
          <w:szCs w:val="24"/>
        </w:rPr>
      </w:pPr>
      <w:r w:rsidRPr="00847ED7">
        <w:rPr>
          <w:rFonts w:ascii="Times New Roman" w:hAnsi="Times New Roman"/>
          <w:sz w:val="24"/>
          <w:szCs w:val="24"/>
        </w:rPr>
        <w:t>Predložený návrh zákona nebude mať dopad na verejné financie.</w:t>
      </w:r>
      <w:r w:rsidR="00980179">
        <w:rPr>
          <w:rFonts w:ascii="Times New Roman" w:hAnsi="Times New Roman"/>
          <w:sz w:val="24"/>
          <w:szCs w:val="24"/>
        </w:rPr>
        <w:t xml:space="preserve"> Predpokladá sa obmedzený čiastočne negatívny vplyv na tie podnikateľské subjekty, ktorí sú predajcami zábavnej pyrotechniky vybraných kategórií. Na druhej strane sa predpokladajú pozitívne sociálne vplyvy a pozitívne vplyvy na životné prostredie (najmä zvieratá). Návrh nebude mať vplyv na</w:t>
      </w:r>
      <w:r w:rsidRPr="00847ED7">
        <w:rPr>
          <w:rFonts w:ascii="Times New Roman" w:hAnsi="Times New Roman"/>
          <w:sz w:val="24"/>
          <w:szCs w:val="24"/>
        </w:rPr>
        <w:t xml:space="preserve"> zamestnanosť a</w:t>
      </w:r>
      <w:r w:rsidR="00980179">
        <w:rPr>
          <w:rFonts w:ascii="Times New Roman" w:hAnsi="Times New Roman"/>
          <w:sz w:val="24"/>
          <w:szCs w:val="24"/>
        </w:rPr>
        <w:t xml:space="preserve"> ani </w:t>
      </w:r>
      <w:r w:rsidRPr="00847ED7">
        <w:rPr>
          <w:rFonts w:ascii="Times New Roman" w:hAnsi="Times New Roman"/>
          <w:sz w:val="24"/>
          <w:szCs w:val="24"/>
        </w:rPr>
        <w:t>informatizác</w:t>
      </w:r>
      <w:r w:rsidR="00980179">
        <w:rPr>
          <w:rFonts w:ascii="Times New Roman" w:hAnsi="Times New Roman"/>
          <w:sz w:val="24"/>
          <w:szCs w:val="24"/>
        </w:rPr>
        <w:t>iu spoločnosti</w:t>
      </w:r>
      <w:r w:rsidRPr="00847ED7">
        <w:rPr>
          <w:rFonts w:ascii="Times New Roman" w:hAnsi="Times New Roman"/>
          <w:sz w:val="24"/>
          <w:szCs w:val="24"/>
        </w:rPr>
        <w:t>.</w:t>
      </w:r>
    </w:p>
    <w:p w:rsidR="004E0B40" w:rsidP="00342508">
      <w:pPr>
        <w:bidi w:val="0"/>
        <w:spacing w:after="160" w:line="259" w:lineRule="auto"/>
        <w:rPr>
          <w:color w:val="000000"/>
        </w:rPr>
      </w:pPr>
    </w:p>
    <w:p w:rsidR="00D04516">
      <w:pPr>
        <w:bidi w:val="0"/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E0B40" w:rsidRPr="0090561C" w:rsidP="004E0B40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90561C">
        <w:rPr>
          <w:rFonts w:ascii="Times New Roman" w:hAnsi="Times New Roman"/>
          <w:b/>
          <w:sz w:val="24"/>
          <w:szCs w:val="24"/>
        </w:rPr>
        <w:t xml:space="preserve">B. Osobitná časť </w:t>
      </w:r>
    </w:p>
    <w:p w:rsidR="004E0B40" w:rsidRPr="0090561C" w:rsidP="004E0B40">
      <w:pPr>
        <w:bidi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4E0B40" w:rsidRPr="0090561C" w:rsidP="004E0B40">
      <w:pPr>
        <w:bidi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90561C">
        <w:rPr>
          <w:rFonts w:ascii="Times New Roman" w:hAnsi="Times New Roman"/>
          <w:b/>
          <w:sz w:val="24"/>
          <w:szCs w:val="24"/>
          <w:u w:val="single"/>
        </w:rPr>
        <w:t xml:space="preserve">K čl. I, 1. bodu </w:t>
      </w:r>
    </w:p>
    <w:p w:rsidR="004E0B40" w:rsidP="004E0B4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A2096D">
        <w:rPr>
          <w:rFonts w:ascii="Times New Roman" w:hAnsi="Times New Roman"/>
          <w:sz w:val="24"/>
          <w:szCs w:val="24"/>
        </w:rPr>
        <w:tab/>
        <w:t>Navrhuje obmedziť možnosť predávať pyrotechnické výrobky kategórie F2 a F3 len v</w:t>
      </w:r>
      <w:r w:rsidR="00AD4037">
        <w:rPr>
          <w:rFonts w:ascii="Times New Roman" w:hAnsi="Times New Roman"/>
          <w:sz w:val="24"/>
          <w:szCs w:val="24"/>
        </w:rPr>
        <w:t>o vymedzenom</w:t>
      </w:r>
      <w:r w:rsidR="00A2096D">
        <w:rPr>
          <w:rFonts w:ascii="Times New Roman" w:hAnsi="Times New Roman"/>
          <w:sz w:val="24"/>
          <w:szCs w:val="24"/>
        </w:rPr>
        <w:t xml:space="preserve"> časovom období. Výnimku predstavuje aplikácia ustanovení § 53 ods. 5</w:t>
      </w:r>
      <w:r w:rsidR="00244C5E">
        <w:rPr>
          <w:rFonts w:ascii="Times New Roman" w:hAnsi="Times New Roman"/>
          <w:sz w:val="24"/>
          <w:szCs w:val="24"/>
        </w:rPr>
        <w:t xml:space="preserve"> tretej vety</w:t>
      </w:r>
      <w:r w:rsidR="00A2096D">
        <w:rPr>
          <w:rFonts w:ascii="Times New Roman" w:hAnsi="Times New Roman"/>
          <w:sz w:val="24"/>
          <w:szCs w:val="24"/>
        </w:rPr>
        <w:t>.</w:t>
      </w:r>
    </w:p>
    <w:p w:rsidR="00A2096D" w:rsidRPr="00A2096D" w:rsidP="004E0B4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E0B40" w:rsidRPr="001A517F" w:rsidP="004E0B40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A517F">
        <w:rPr>
          <w:rFonts w:ascii="Times New Roman" w:hAnsi="Times New Roman"/>
          <w:b/>
          <w:sz w:val="24"/>
          <w:szCs w:val="24"/>
          <w:u w:val="single"/>
        </w:rPr>
        <w:t>K čl. I, 2. bodu</w:t>
      </w:r>
    </w:p>
    <w:p w:rsidR="00F0177A" w:rsidP="004E0B4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A2096D">
        <w:rPr>
          <w:rFonts w:ascii="Times New Roman" w:hAnsi="Times New Roman"/>
          <w:sz w:val="24"/>
          <w:szCs w:val="24"/>
        </w:rPr>
        <w:tab/>
      </w:r>
      <w:r w:rsidR="000B654C">
        <w:rPr>
          <w:rFonts w:ascii="Times New Roman" w:hAnsi="Times New Roman"/>
          <w:sz w:val="24"/>
          <w:szCs w:val="24"/>
        </w:rPr>
        <w:t>Obce i naďalej môžu prijatím všeobecne záväzného nariadenia</w:t>
      </w:r>
      <w:r w:rsidR="00A2096D">
        <w:rPr>
          <w:rFonts w:ascii="Times New Roman" w:hAnsi="Times New Roman"/>
          <w:sz w:val="24"/>
          <w:szCs w:val="24"/>
        </w:rPr>
        <w:t xml:space="preserve"> obmedziť alebo zakázať používanie </w:t>
      </w:r>
      <w:r w:rsidR="00B96FFA">
        <w:rPr>
          <w:rFonts w:ascii="Times New Roman" w:hAnsi="Times New Roman"/>
          <w:sz w:val="24"/>
          <w:szCs w:val="24"/>
        </w:rPr>
        <w:t>uvedených</w:t>
      </w:r>
      <w:r w:rsidR="000B654C">
        <w:rPr>
          <w:rFonts w:ascii="Times New Roman" w:hAnsi="Times New Roman"/>
          <w:sz w:val="24"/>
          <w:szCs w:val="24"/>
        </w:rPr>
        <w:t xml:space="preserve"> druhov pyrotechnických výrobkov na území</w:t>
      </w:r>
      <w:r w:rsidR="00244C5E">
        <w:rPr>
          <w:rFonts w:ascii="Times New Roman" w:hAnsi="Times New Roman"/>
          <w:sz w:val="24"/>
          <w:szCs w:val="24"/>
        </w:rPr>
        <w:t xml:space="preserve"> obce</w:t>
      </w:r>
      <w:r w:rsidR="000B654C">
        <w:rPr>
          <w:rFonts w:ascii="Times New Roman" w:hAnsi="Times New Roman"/>
          <w:sz w:val="24"/>
          <w:szCs w:val="24"/>
        </w:rPr>
        <w:t xml:space="preserve"> alebo v</w:t>
      </w:r>
      <w:r w:rsidR="00244C5E">
        <w:rPr>
          <w:rFonts w:ascii="Times New Roman" w:hAnsi="Times New Roman"/>
          <w:sz w:val="24"/>
          <w:szCs w:val="24"/>
        </w:rPr>
        <w:t xml:space="preserve"> jej </w:t>
      </w:r>
      <w:r w:rsidR="00837850">
        <w:rPr>
          <w:rFonts w:ascii="Times New Roman" w:hAnsi="Times New Roman"/>
          <w:sz w:val="24"/>
          <w:szCs w:val="24"/>
        </w:rPr>
        <w:t>obce</w:t>
      </w:r>
      <w:r w:rsidR="000B654C">
        <w:rPr>
          <w:rFonts w:ascii="Times New Roman" w:hAnsi="Times New Roman"/>
          <w:sz w:val="24"/>
          <w:szCs w:val="24"/>
        </w:rPr>
        <w:t>.</w:t>
      </w:r>
      <w:r w:rsidR="00FA54F6">
        <w:rPr>
          <w:rFonts w:ascii="Times New Roman" w:hAnsi="Times New Roman"/>
          <w:sz w:val="24"/>
          <w:szCs w:val="24"/>
        </w:rPr>
        <w:t xml:space="preserve"> </w:t>
      </w:r>
      <w:r w:rsidR="00B96FFA">
        <w:rPr>
          <w:rFonts w:ascii="Times New Roman" w:hAnsi="Times New Roman"/>
          <w:sz w:val="24"/>
          <w:szCs w:val="24"/>
        </w:rPr>
        <w:t>V prípade výrobkov zábavnej pyrotechniky kategórie F2 a F3 pritom musia rešpektovať zákonné obmedzenie ich pou</w:t>
      </w:r>
      <w:r w:rsidR="00837850">
        <w:rPr>
          <w:rFonts w:ascii="Times New Roman" w:hAnsi="Times New Roman"/>
          <w:sz w:val="24"/>
          <w:szCs w:val="24"/>
        </w:rPr>
        <w:t>žívania upravené v § 53 ods. 3; t</w:t>
      </w:r>
      <w:r w:rsidR="00B96FFA">
        <w:rPr>
          <w:rFonts w:ascii="Times New Roman" w:hAnsi="Times New Roman"/>
          <w:sz w:val="24"/>
          <w:szCs w:val="24"/>
        </w:rPr>
        <w:t>oto obmedzenie je možné všeobecne záväzných nariadením rozšíriť.</w:t>
      </w:r>
    </w:p>
    <w:p w:rsidR="00A2096D" w:rsidP="004E0B4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80179" w:rsidP="004E0B40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čl. I, 3</w:t>
      </w:r>
      <w:r w:rsidRPr="001A517F">
        <w:rPr>
          <w:rFonts w:ascii="Times New Roman" w:hAnsi="Times New Roman"/>
          <w:b/>
          <w:sz w:val="24"/>
          <w:szCs w:val="24"/>
          <w:u w:val="single"/>
        </w:rPr>
        <w:t>. bod</w:t>
      </w:r>
    </w:p>
    <w:p w:rsidR="00B96FFA" w:rsidP="004E0B4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Navrhuje obmedziť možnosť používať </w:t>
      </w:r>
      <w:r>
        <w:rPr>
          <w:rFonts w:ascii="Times New Roman" w:hAnsi="Times New Roman"/>
          <w:sz w:val="24"/>
          <w:szCs w:val="24"/>
        </w:rPr>
        <w:t>pyrotechnické výrobky kategórie F2 a F3</w:t>
      </w:r>
      <w:r w:rsidRPr="00B96F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len v</w:t>
      </w:r>
      <w:r w:rsidR="00AD4037">
        <w:rPr>
          <w:rFonts w:ascii="Times New Roman" w:hAnsi="Times New Roman"/>
          <w:sz w:val="24"/>
          <w:szCs w:val="24"/>
        </w:rPr>
        <w:t>o vymedzenom</w:t>
      </w:r>
      <w:r>
        <w:rPr>
          <w:rFonts w:ascii="Times New Roman" w:hAnsi="Times New Roman"/>
          <w:sz w:val="24"/>
          <w:szCs w:val="24"/>
        </w:rPr>
        <w:t xml:space="preserve"> časovom období.</w:t>
      </w:r>
      <w:r w:rsidR="00292968">
        <w:rPr>
          <w:rFonts w:ascii="Times New Roman" w:hAnsi="Times New Roman"/>
          <w:sz w:val="24"/>
          <w:szCs w:val="24"/>
        </w:rPr>
        <w:t xml:space="preserve"> Odsek</w:t>
      </w:r>
      <w:r>
        <w:rPr>
          <w:rFonts w:ascii="Times New Roman" w:hAnsi="Times New Roman"/>
          <w:sz w:val="24"/>
          <w:szCs w:val="24"/>
        </w:rPr>
        <w:t xml:space="preserve"> 4 </w:t>
      </w:r>
      <w:r w:rsidR="00292968">
        <w:rPr>
          <w:rFonts w:ascii="Times New Roman" w:hAnsi="Times New Roman"/>
          <w:sz w:val="24"/>
          <w:szCs w:val="24"/>
        </w:rPr>
        <w:t>upravuje</w:t>
      </w:r>
      <w:r>
        <w:rPr>
          <w:rFonts w:ascii="Times New Roman" w:hAnsi="Times New Roman"/>
          <w:sz w:val="24"/>
          <w:szCs w:val="24"/>
        </w:rPr>
        <w:t xml:space="preserve"> možnú výnimku z tohto obmedzenia, ktorú </w:t>
      </w:r>
      <w:r w:rsidR="00F67DCA">
        <w:rPr>
          <w:rFonts w:ascii="Times New Roman" w:hAnsi="Times New Roman"/>
          <w:sz w:val="24"/>
          <w:szCs w:val="24"/>
        </w:rPr>
        <w:t xml:space="preserve">obce </w:t>
      </w:r>
      <w:r>
        <w:rPr>
          <w:rFonts w:ascii="Times New Roman" w:hAnsi="Times New Roman"/>
          <w:sz w:val="24"/>
          <w:szCs w:val="24"/>
        </w:rPr>
        <w:t xml:space="preserve">môžu udeliť na základe žiadosti obsahujúcej náležitosti podľa </w:t>
      </w:r>
      <w:r w:rsidR="00292968">
        <w:rPr>
          <w:rFonts w:ascii="Times New Roman" w:hAnsi="Times New Roman"/>
          <w:sz w:val="24"/>
          <w:szCs w:val="24"/>
        </w:rPr>
        <w:t>navrhovaného § 53 ods. 4 písm. a) a b).</w:t>
      </w:r>
      <w:r w:rsidR="00000CCF">
        <w:rPr>
          <w:rFonts w:ascii="Times New Roman" w:hAnsi="Times New Roman"/>
          <w:sz w:val="24"/>
          <w:szCs w:val="24"/>
        </w:rPr>
        <w:t xml:space="preserve"> Obce by </w:t>
      </w:r>
      <w:r w:rsidR="00837850">
        <w:rPr>
          <w:rFonts w:ascii="Times New Roman" w:hAnsi="Times New Roman"/>
          <w:sz w:val="24"/>
          <w:szCs w:val="24"/>
        </w:rPr>
        <w:t>pri posudzovaní žiadosti</w:t>
      </w:r>
      <w:r w:rsidR="00000CCF">
        <w:rPr>
          <w:rFonts w:ascii="Times New Roman" w:hAnsi="Times New Roman"/>
          <w:sz w:val="24"/>
          <w:szCs w:val="24"/>
        </w:rPr>
        <w:t xml:space="preserve"> mali zohľadniť predovšetkým mieru zása</w:t>
      </w:r>
      <w:r w:rsidR="00837850">
        <w:rPr>
          <w:rFonts w:ascii="Times New Roman" w:hAnsi="Times New Roman"/>
          <w:sz w:val="24"/>
          <w:szCs w:val="24"/>
        </w:rPr>
        <w:t>h</w:t>
      </w:r>
      <w:r w:rsidR="00000CCF">
        <w:rPr>
          <w:rFonts w:ascii="Times New Roman" w:hAnsi="Times New Roman"/>
          <w:sz w:val="24"/>
          <w:szCs w:val="24"/>
        </w:rPr>
        <w:t>u do práv a oprávnených záujmov dotknutých osôb.</w:t>
      </w:r>
    </w:p>
    <w:p w:rsidR="00B96FFA" w:rsidRPr="00B96FFA" w:rsidP="004E0B4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80179" w:rsidP="004E0B40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A517F">
        <w:rPr>
          <w:rFonts w:ascii="Times New Roman" w:hAnsi="Times New Roman"/>
          <w:b/>
          <w:sz w:val="24"/>
          <w:szCs w:val="24"/>
          <w:u w:val="single"/>
        </w:rPr>
        <w:t xml:space="preserve">K čl. I, </w:t>
      </w:r>
      <w:r>
        <w:rPr>
          <w:rFonts w:ascii="Times New Roman" w:hAnsi="Times New Roman"/>
          <w:b/>
          <w:sz w:val="24"/>
          <w:szCs w:val="24"/>
          <w:u w:val="single"/>
        </w:rPr>
        <w:t>4</w:t>
      </w:r>
      <w:r w:rsidRPr="001A517F">
        <w:rPr>
          <w:rFonts w:ascii="Times New Roman" w:hAnsi="Times New Roman"/>
          <w:b/>
          <w:sz w:val="24"/>
          <w:szCs w:val="24"/>
          <w:u w:val="single"/>
        </w:rPr>
        <w:t>. bod</w:t>
      </w:r>
    </w:p>
    <w:p w:rsidR="00980179" w:rsidRPr="00000CCF" w:rsidP="004E0B40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000CCF">
        <w:rPr>
          <w:rFonts w:ascii="Times New Roman" w:hAnsi="Times New Roman"/>
          <w:sz w:val="24"/>
          <w:szCs w:val="24"/>
        </w:rPr>
        <w:tab/>
        <w:t xml:space="preserve">V prípade žiadosti podľa ustanovenia </w:t>
      </w:r>
      <w:r w:rsidR="00837850">
        <w:rPr>
          <w:rFonts w:ascii="Times New Roman" w:hAnsi="Times New Roman"/>
          <w:sz w:val="24"/>
          <w:szCs w:val="24"/>
        </w:rPr>
        <w:t xml:space="preserve">§ 53 ods. 4 a 5 </w:t>
      </w:r>
      <w:r w:rsidR="00000CCF">
        <w:rPr>
          <w:rFonts w:ascii="Times New Roman" w:hAnsi="Times New Roman"/>
          <w:sz w:val="24"/>
          <w:szCs w:val="24"/>
        </w:rPr>
        <w:t>sa všeobecný predpis o správnom konaní</w:t>
      </w:r>
      <w:r w:rsidRPr="00837850" w:rsidR="00837850">
        <w:rPr>
          <w:rFonts w:ascii="Times New Roman" w:hAnsi="Times New Roman"/>
          <w:sz w:val="24"/>
          <w:szCs w:val="24"/>
        </w:rPr>
        <w:t xml:space="preserve"> </w:t>
      </w:r>
      <w:r w:rsidR="00837850">
        <w:rPr>
          <w:rFonts w:ascii="Times New Roman" w:hAnsi="Times New Roman"/>
          <w:sz w:val="24"/>
          <w:szCs w:val="24"/>
        </w:rPr>
        <w:t>neuplatní</w:t>
      </w:r>
      <w:r w:rsidR="00000CCF">
        <w:rPr>
          <w:rFonts w:ascii="Times New Roman" w:hAnsi="Times New Roman"/>
          <w:sz w:val="24"/>
          <w:szCs w:val="24"/>
        </w:rPr>
        <w:t>.</w:t>
      </w:r>
    </w:p>
    <w:p w:rsidR="00000CCF" w:rsidRPr="0090561C" w:rsidP="004E0B40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E0B40" w:rsidRPr="0090561C" w:rsidP="004E0B40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0561C">
        <w:rPr>
          <w:rFonts w:ascii="Times New Roman" w:hAnsi="Times New Roman"/>
          <w:b/>
          <w:sz w:val="24"/>
          <w:szCs w:val="24"/>
          <w:u w:val="single"/>
        </w:rPr>
        <w:t>K čl. II</w:t>
      </w:r>
    </w:p>
    <w:p w:rsidR="004E0B40" w:rsidRPr="0090561C" w:rsidP="004E0B40">
      <w:pPr>
        <w:bidi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0561C">
        <w:rPr>
          <w:rFonts w:ascii="Times New Roman" w:hAnsi="Times New Roman"/>
          <w:sz w:val="24"/>
          <w:szCs w:val="24"/>
        </w:rPr>
        <w:t>Ustanovuje sa účinnosť návrhu zákona tak, aby termínovo napĺňala všetky lehoty procesu prerokúvania a schvaľovania zákonov Národnou radou Slovenskej republiky.</w:t>
      </w:r>
    </w:p>
    <w:p w:rsidR="004E0B40" w:rsidRPr="009A7EE2" w:rsidP="004E0B40">
      <w:pPr>
        <w:pStyle w:val="ListParagraph"/>
        <w:bidi w:val="0"/>
        <w:jc w:val="both"/>
        <w:rPr>
          <w:rFonts w:ascii="Times New Roman" w:hAnsi="Times New Roman"/>
        </w:rPr>
      </w:pPr>
    </w:p>
    <w:p w:rsidR="004E0B40" w:rsidRPr="009A7EE2" w:rsidP="004E0B40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4E0B40" w:rsidRPr="00C61B44" w:rsidP="004E0B40">
      <w:pPr>
        <w:bidi w:val="0"/>
        <w:jc w:val="both"/>
        <w:rPr>
          <w:rFonts w:ascii="Times New Roman" w:hAnsi="Times New Roman"/>
          <w:i/>
          <w:sz w:val="24"/>
          <w:szCs w:val="24"/>
        </w:rPr>
      </w:pPr>
    </w:p>
    <w:p w:rsidR="004E0B40" w:rsidRPr="00B06366" w:rsidP="004E0B40">
      <w:pPr>
        <w:pStyle w:val="ListParagraph"/>
        <w:bidi w:val="0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4E0B40" w:rsidP="004E0B40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E0B40" w:rsidRPr="00B06366" w:rsidP="004E0B40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B06366">
        <w:rPr>
          <w:rFonts w:ascii="Times New Roman" w:hAnsi="Times New Roman"/>
          <w:sz w:val="24"/>
          <w:szCs w:val="24"/>
        </w:rPr>
        <w:t xml:space="preserve"> </w:t>
      </w:r>
      <w:r w:rsidRPr="00B06366">
        <w:rPr>
          <w:rFonts w:ascii="Times New Roman" w:hAnsi="Times New Roman"/>
          <w:b/>
          <w:sz w:val="24"/>
          <w:szCs w:val="24"/>
        </w:rPr>
        <w:t>DOLOŽKA ZLUČITEĽNOSTI</w:t>
      </w:r>
    </w:p>
    <w:p w:rsidR="00980179" w:rsidP="0098017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B06366" w:rsidR="004E0B40">
        <w:rPr>
          <w:rFonts w:ascii="Times New Roman" w:hAnsi="Times New Roman"/>
          <w:b/>
          <w:sz w:val="24"/>
          <w:szCs w:val="24"/>
        </w:rPr>
        <w:t>právneho p</w:t>
      </w:r>
      <w:r>
        <w:rPr>
          <w:rFonts w:ascii="Times New Roman" w:hAnsi="Times New Roman"/>
          <w:b/>
          <w:sz w:val="24"/>
          <w:szCs w:val="24"/>
        </w:rPr>
        <w:t>redpisu s právom Európskej únie</w:t>
      </w:r>
    </w:p>
    <w:p w:rsidR="00980179" w:rsidRPr="003263AC" w:rsidP="00980179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980179" w:rsidRPr="003263AC" w:rsidP="00980179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3263AC">
        <w:rPr>
          <w:rFonts w:ascii="Times New Roman" w:hAnsi="Times New Roman"/>
          <w:b/>
          <w:sz w:val="24"/>
          <w:szCs w:val="24"/>
        </w:rPr>
        <w:t>1</w:t>
      </w:r>
      <w:r w:rsidRPr="003263AC">
        <w:rPr>
          <w:rFonts w:ascii="Times New Roman" w:hAnsi="Times New Roman"/>
          <w:sz w:val="24"/>
          <w:szCs w:val="24"/>
        </w:rPr>
        <w:t xml:space="preserve">.  </w:t>
      </w:r>
      <w:r w:rsidRPr="003263AC">
        <w:rPr>
          <w:rFonts w:ascii="Times New Roman" w:hAnsi="Times New Roman"/>
          <w:b/>
          <w:sz w:val="24"/>
          <w:szCs w:val="24"/>
        </w:rPr>
        <w:t xml:space="preserve">Predkladateľ právneho predpisu:         </w:t>
      </w:r>
    </w:p>
    <w:p w:rsidR="00980179" w:rsidRPr="003263AC" w:rsidP="00980179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3263AC">
        <w:rPr>
          <w:rFonts w:ascii="Times New Roman" w:hAnsi="Times New Roman"/>
          <w:sz w:val="24"/>
          <w:szCs w:val="24"/>
        </w:rPr>
        <w:t xml:space="preserve">Poslanci Národnej rady Slovenskej republiky </w:t>
      </w:r>
      <w:r w:rsidR="00342508">
        <w:rPr>
          <w:rFonts w:ascii="Times New Roman" w:hAnsi="Times New Roman"/>
          <w:sz w:val="24"/>
          <w:szCs w:val="24"/>
        </w:rPr>
        <w:t>Peter Antal a Tibor Bastrnák</w:t>
      </w:r>
    </w:p>
    <w:p w:rsidR="00980179" w:rsidRPr="003263AC" w:rsidP="00980179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3263AC">
        <w:rPr>
          <w:rFonts w:ascii="Times New Roman" w:hAnsi="Times New Roman"/>
          <w:b/>
          <w:sz w:val="24"/>
          <w:szCs w:val="24"/>
        </w:rPr>
        <w:t>2.</w:t>
      </w:r>
      <w:r w:rsidRPr="003263AC">
        <w:rPr>
          <w:rFonts w:ascii="Times New Roman" w:hAnsi="Times New Roman"/>
          <w:sz w:val="24"/>
          <w:szCs w:val="24"/>
        </w:rPr>
        <w:t xml:space="preserve">  </w:t>
      </w:r>
      <w:r w:rsidRPr="003263AC">
        <w:rPr>
          <w:rFonts w:ascii="Times New Roman" w:hAnsi="Times New Roman"/>
          <w:b/>
          <w:sz w:val="24"/>
          <w:szCs w:val="24"/>
        </w:rPr>
        <w:t>Názov návrhu právneho predpisu</w:t>
      </w:r>
      <w:r w:rsidRPr="003263AC">
        <w:rPr>
          <w:rFonts w:ascii="Times New Roman" w:hAnsi="Times New Roman"/>
          <w:sz w:val="24"/>
          <w:szCs w:val="24"/>
        </w:rPr>
        <w:t xml:space="preserve">: </w:t>
      </w:r>
    </w:p>
    <w:p w:rsidR="00980179" w:rsidRPr="003263AC" w:rsidP="00980179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263AC">
        <w:rPr>
          <w:rFonts w:ascii="Times New Roman" w:hAnsi="Times New Roman"/>
          <w:sz w:val="24"/>
          <w:szCs w:val="24"/>
        </w:rPr>
        <w:t xml:space="preserve">Návrh zákona, ktorým sa mení a dopĺňa zákon č. 58/2014 Z. z. </w:t>
      </w:r>
      <w:r w:rsidRPr="003263AC">
        <w:rPr>
          <w:rFonts w:ascii="Times New Roman" w:hAnsi="Times New Roman"/>
          <w:bCs/>
          <w:sz w:val="24"/>
          <w:szCs w:val="24"/>
        </w:rPr>
        <w:t xml:space="preserve">o výbušninách, výbušných predmetoch a munícii </w:t>
      </w:r>
      <w:r w:rsidRPr="003263AC">
        <w:rPr>
          <w:rFonts w:ascii="Times New Roman" w:hAnsi="Times New Roman"/>
          <w:sz w:val="24"/>
          <w:szCs w:val="24"/>
        </w:rPr>
        <w:t xml:space="preserve">a o zmene a doplnení niektorých zákonov v znení neskorších predpisov.        </w:t>
      </w:r>
    </w:p>
    <w:p w:rsidR="00980179" w:rsidRPr="003263AC" w:rsidP="00980179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263AC"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980179" w:rsidRPr="003263AC" w:rsidP="00980179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3263AC">
        <w:rPr>
          <w:rFonts w:ascii="Times New Roman" w:hAnsi="Times New Roman"/>
          <w:b/>
          <w:sz w:val="24"/>
          <w:szCs w:val="24"/>
        </w:rPr>
        <w:t>3.</w:t>
      </w:r>
      <w:r w:rsidRPr="003263AC">
        <w:rPr>
          <w:rFonts w:ascii="Times New Roman" w:hAnsi="Times New Roman"/>
          <w:sz w:val="24"/>
          <w:szCs w:val="24"/>
        </w:rPr>
        <w:t xml:space="preserve"> </w:t>
      </w:r>
      <w:r w:rsidRPr="003263AC">
        <w:rPr>
          <w:rFonts w:ascii="Times New Roman" w:hAnsi="Times New Roman"/>
          <w:b/>
          <w:sz w:val="24"/>
          <w:szCs w:val="24"/>
        </w:rPr>
        <w:t xml:space="preserve"> Problematika návrhu právneho predpisu:</w:t>
      </w:r>
    </w:p>
    <w:p w:rsidR="00980179" w:rsidRPr="003263AC" w:rsidP="00980179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3263AC">
        <w:rPr>
          <w:rFonts w:ascii="Times New Roman" w:hAnsi="Times New Roman"/>
        </w:rPr>
        <w:t>Je v súlade s právnou úpravou Európskej únie.</w:t>
      </w:r>
    </w:p>
    <w:p w:rsidR="00980179" w:rsidRPr="003263AC" w:rsidP="00980179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980179" w:rsidRPr="003263AC" w:rsidP="00980179">
      <w:pPr>
        <w:pStyle w:val="odsek"/>
        <w:keepNext w:val="0"/>
        <w:widowControl w:val="0"/>
        <w:bidi w:val="0"/>
        <w:ind w:firstLine="0"/>
        <w:rPr>
          <w:rFonts w:ascii="Times New Roman" w:hAnsi="Times New Roman"/>
          <w:b/>
        </w:rPr>
      </w:pPr>
      <w:r w:rsidRPr="003263AC">
        <w:rPr>
          <w:rFonts w:ascii="Times New Roman" w:hAnsi="Times New Roman"/>
          <w:b/>
        </w:rPr>
        <w:t>4. Záväzky Slovenskej republiky vo vzťahu k Európskej únii:</w:t>
      </w:r>
    </w:p>
    <w:p w:rsidR="00980179" w:rsidRPr="003263AC" w:rsidP="00980179">
      <w:pPr>
        <w:pStyle w:val="odsek"/>
        <w:keepNext w:val="0"/>
        <w:widowControl w:val="0"/>
        <w:bidi w:val="0"/>
        <w:ind w:firstLine="0"/>
        <w:rPr>
          <w:rFonts w:ascii="Times New Roman" w:hAnsi="Times New Roman"/>
          <w:b/>
        </w:rPr>
      </w:pPr>
    </w:p>
    <w:p w:rsidR="00980179" w:rsidRPr="003263AC" w:rsidP="00980179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3263AC">
        <w:rPr>
          <w:rFonts w:ascii="Times New Roman" w:hAnsi="Times New Roman"/>
        </w:rPr>
        <w:t>Nie sú predkladaným návrhom dotknuté.</w:t>
      </w:r>
    </w:p>
    <w:p w:rsidR="00980179" w:rsidRPr="003263AC" w:rsidP="00980179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980179" w:rsidRPr="003263AC" w:rsidP="00980179">
      <w:pPr>
        <w:pStyle w:val="odsek"/>
        <w:keepNext w:val="0"/>
        <w:widowControl w:val="0"/>
        <w:bidi w:val="0"/>
        <w:ind w:firstLine="0"/>
        <w:rPr>
          <w:rFonts w:ascii="Times New Roman" w:hAnsi="Times New Roman"/>
          <w:b/>
        </w:rPr>
      </w:pPr>
      <w:r w:rsidRPr="003263AC">
        <w:rPr>
          <w:rFonts w:ascii="Times New Roman" w:hAnsi="Times New Roman"/>
          <w:b/>
        </w:rPr>
        <w:t>5. Stupeň zlučiteľnosti návrhu právneho predpisu s právom Európskej únie:</w:t>
      </w:r>
    </w:p>
    <w:p w:rsidR="00980179" w:rsidRPr="003263AC" w:rsidP="00980179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980179" w:rsidRPr="003263AC" w:rsidP="00980179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3263AC">
        <w:rPr>
          <w:rFonts w:ascii="Times New Roman" w:hAnsi="Times New Roman"/>
        </w:rPr>
        <w:t>Stupeň zlučiteľnosti – úplný</w:t>
      </w:r>
    </w:p>
    <w:p w:rsidR="00980179" w:rsidRPr="003263AC" w:rsidP="0098017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3AC">
        <w:rPr>
          <w:rFonts w:ascii="Times New Roman" w:hAnsi="Times New Roman"/>
          <w:sz w:val="24"/>
          <w:szCs w:val="24"/>
        </w:rPr>
        <w:br w:type="page"/>
      </w:r>
    </w:p>
    <w:p w:rsidR="00980179" w:rsidRPr="00980179" w:rsidP="00980179">
      <w:pPr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980179">
        <w:rPr>
          <w:rFonts w:ascii="Times New Roman" w:hAnsi="Times New Roman"/>
          <w:b/>
          <w:bCs/>
        </w:rPr>
        <w:t>Doložka vybraných vplyvov</w:t>
      </w:r>
    </w:p>
    <w:p w:rsidR="00980179" w:rsidRPr="00980179" w:rsidP="00980179">
      <w:pPr>
        <w:pStyle w:val="odsek"/>
        <w:keepNext w:val="0"/>
        <w:widowControl w:val="0"/>
        <w:bidi w:val="0"/>
        <w:ind w:firstLine="0"/>
        <w:rPr>
          <w:rFonts w:ascii="Times New Roman" w:hAnsi="Times New Roman"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53"/>
        <w:gridCol w:w="363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trHeight w:val="247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80179" w:rsidRPr="00980179" w:rsidP="006621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80179">
              <w:rPr>
                <w:rFonts w:ascii="Times New Roman" w:hAnsi="Times New Roman"/>
                <w:b/>
                <w:bCs/>
              </w:rPr>
              <w:t xml:space="preserve"> 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47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</w:tcPr>
          <w:p w:rsidR="00980179" w:rsidRPr="00980179" w:rsidP="006621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80179">
              <w:rPr>
                <w:rFonts w:ascii="Times New Roman" w:hAnsi="Times New Roman"/>
                <w:b/>
                <w:bCs/>
              </w:rPr>
              <w:t>  Názov materiálu</w:t>
            </w:r>
            <w:r w:rsidRPr="00980179">
              <w:rPr>
                <w:rFonts w:ascii="Times New Roman" w:hAnsi="Times New Roman"/>
              </w:rPr>
              <w:t xml:space="preserve"> </w:t>
            </w:r>
          </w:p>
          <w:p w:rsidR="00980179" w:rsidRPr="00980179" w:rsidP="0066210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</w:rPr>
              <w:t xml:space="preserve"> Návrh zákona, ktorým sa mení a dopĺňa zákon č. 58/2014 Z. z. </w:t>
            </w:r>
            <w:r w:rsidRPr="00980179">
              <w:rPr>
                <w:rFonts w:ascii="Times New Roman" w:hAnsi="Times New Roman"/>
                <w:bCs/>
              </w:rPr>
              <w:t xml:space="preserve">o výbušninách, výbušných predmetoch a munícii </w:t>
            </w:r>
            <w:r w:rsidRPr="00980179">
              <w:rPr>
                <w:rFonts w:ascii="Times New Roman" w:hAnsi="Times New Roman"/>
              </w:rPr>
              <w:t>a o zmene a doplnení niektorých zákonov v znení neskorších predpisov.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  <w:b/>
                <w:bCs/>
              </w:rPr>
            </w:pPr>
            <w:r w:rsidRPr="00980179">
              <w:rPr>
                <w:rFonts w:ascii="Times New Roman" w:hAnsi="Times New Roman"/>
                <w:b/>
                <w:bCs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</w:rPr>
              <w:t xml:space="preserve"> </w:t>
            </w:r>
            <w:r w:rsidR="00342508">
              <w:rPr>
                <w:rFonts w:ascii="Times New Roman" w:hAnsi="Times New Roman"/>
              </w:rPr>
              <w:t>Peter Antal a Tibor Bastrnák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  <w:b/>
                <w:bCs/>
              </w:rPr>
            </w:pPr>
            <w:r w:rsidRPr="00980179">
              <w:rPr>
                <w:rFonts w:ascii="Times New Roman" w:hAnsi="Times New Roman"/>
                <w:b/>
                <w:bCs/>
              </w:rPr>
              <w:t>Charakter predkladaného materiálu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</w:rPr>
              <w:t> 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</w:rPr>
              <w:t xml:space="preserve">  x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</w:rPr>
              <w:t xml:space="preserve"> 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  <w:b/>
                <w:bCs/>
              </w:rPr>
            </w:pPr>
            <w:r w:rsidRPr="00980179">
              <w:rPr>
                <w:rFonts w:ascii="Times New Roman" w:hAnsi="Times New Roman"/>
                <w:b/>
                <w:bCs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 w:rsidRPr="00980179">
              <w:rPr>
                <w:rFonts w:ascii="Times New Roman" w:hAnsi="Times New Roman"/>
                <w:bCs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  <w:b/>
                <w:bCs/>
              </w:rPr>
            </w:pPr>
            <w:r w:rsidRPr="00980179">
              <w:rPr>
                <w:rFonts w:ascii="Times New Roman" w:hAnsi="Times New Roman"/>
                <w:b/>
                <w:bCs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 w:rsidRPr="00980179">
              <w:rPr>
                <w:rFonts w:ascii="Times New Roman" w:hAnsi="Times New Roman"/>
                <w:bCs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  <w:b/>
                <w:bCs/>
              </w:rPr>
            </w:pPr>
            <w:r w:rsidRPr="00980179">
              <w:rPr>
                <w:rFonts w:ascii="Times New Roman" w:hAnsi="Times New Roman"/>
                <w:b/>
                <w:bCs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80179">
              <w:rPr>
                <w:rFonts w:ascii="Times New Roman" w:hAnsi="Times New Roman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  <w:b/>
                <w:bCs/>
              </w:rPr>
            </w:pPr>
            <w:r w:rsidRPr="00980179">
              <w:rPr>
                <w:rFonts w:ascii="Times New Roman" w:hAnsi="Times New Roman"/>
                <w:b/>
                <w:bCs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80179" w:rsidRPr="00980179" w:rsidP="00662106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</w:rPr>
              <w:t xml:space="preserve"> Regulácia predaja a používania zábavnej pyrotechniky kategórie F2 a F3.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  <w:b/>
                <w:bCs/>
              </w:rPr>
            </w:pPr>
            <w:r w:rsidRPr="00980179">
              <w:rPr>
                <w:rFonts w:ascii="Times New Roman" w:hAnsi="Times New Roman"/>
                <w:b/>
                <w:bCs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80179" w:rsidRPr="00980179" w:rsidP="00662106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</w:rPr>
              <w:t xml:space="preserve"> Zjednotenie pravidiel pre možnosť použitia a predaja zábavnej pyrotechniky kategórie F2 a F3. </w:t>
            </w:r>
          </w:p>
          <w:p w:rsidR="00980179" w:rsidRPr="00980179" w:rsidP="00662106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  <w:b/>
                <w:bCs/>
              </w:rPr>
            </w:pPr>
            <w:r w:rsidRPr="00980179">
              <w:rPr>
                <w:rFonts w:ascii="Times New Roman" w:hAnsi="Times New Roman"/>
                <w:b/>
                <w:bCs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</w:rPr>
              <w:t xml:space="preserve"> Fyzické a právnické osoby, obce, predajcovia zábavnej pyrotechniky kategórií F2 a F3.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  <w:b/>
                <w:bCs/>
              </w:rPr>
            </w:pPr>
            <w:r w:rsidRPr="00980179">
              <w:rPr>
                <w:rFonts w:ascii="Times New Roman" w:hAnsi="Times New Roman"/>
                <w:b/>
                <w:bCs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  <w:b/>
                <w:bCs/>
              </w:rPr>
            </w:pPr>
            <w:r w:rsidRPr="00980179">
              <w:rPr>
                <w:rFonts w:ascii="Times New Roman" w:hAnsi="Times New Roman"/>
                <w:b/>
                <w:bCs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</w:rPr>
              <w:t xml:space="preserve"> Predpokladá sa prijatie/zmena vykonávacích predpisov?                             Áno            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  <w:b/>
                <w:bCs/>
              </w:rPr>
            </w:pPr>
            <w:r w:rsidRPr="00980179">
              <w:rPr>
                <w:rFonts w:ascii="Times New Roman" w:hAnsi="Times New Roman"/>
                <w:b/>
                <w:bCs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  <w:b/>
                <w:bCs/>
              </w:rPr>
            </w:pPr>
            <w:r w:rsidRPr="00980179">
              <w:rPr>
                <w:rFonts w:ascii="Times New Roman" w:hAnsi="Times New Roman"/>
                <w:b/>
                <w:bCs/>
              </w:rPr>
              <w:t>  8.  Preskúmanie účelnosti**</w:t>
            </w:r>
          </w:p>
        </w:tc>
      </w:tr>
    </w:tbl>
    <w:p w:rsidR="00980179" w:rsidRPr="00980179" w:rsidP="00980179">
      <w:pPr>
        <w:pStyle w:val="odsek"/>
        <w:keepNext w:val="0"/>
        <w:widowControl w:val="0"/>
        <w:bidi w:val="0"/>
        <w:ind w:firstLine="0"/>
        <w:rPr>
          <w:rFonts w:ascii="Times New Roman" w:hAnsi="Times New Roman"/>
          <w:sz w:val="22"/>
          <w:szCs w:val="22"/>
        </w:rPr>
      </w:pPr>
    </w:p>
    <w:p w:rsidR="00980179" w:rsidRPr="00980179" w:rsidP="00980179">
      <w:pPr>
        <w:bidi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3"/>
        <w:gridCol w:w="1819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  <w:b/>
                <w:bCs/>
              </w:rPr>
              <w:t>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</w:tcPr>
          <w:p w:rsidR="00980179" w:rsidRPr="00980179" w:rsidP="00662106">
            <w:pPr>
              <w:bidi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980179">
              <w:rPr>
                <w:rFonts w:ascii="Times New Roman" w:hAnsi="Times New Roman"/>
                <w:b/>
                <w:bCs/>
              </w:rPr>
              <w:t xml:space="preserve">  Vplyvy na rozpočet verejnej správy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</w:rPr>
              <w:t>      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</w:rPr>
              <w:t>   x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</w:rPr>
              <w:t xml:space="preserve">    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</w:tcPr>
          <w:p w:rsidR="00980179" w:rsidRPr="00980179" w:rsidP="00662106">
            <w:pPr>
              <w:bidi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980179">
              <w:rPr>
                <w:rFonts w:ascii="Times New Roman" w:hAnsi="Times New Roman"/>
                <w:bCs/>
              </w:rPr>
              <w:t>- z toho rozpočtovo zabezpečené vplyvy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</w:rPr>
              <w:t>  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</w:rPr>
              <w:t>   x    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</w:tcPr>
          <w:p w:rsidR="00980179" w:rsidRPr="00980179" w:rsidP="00662106">
            <w:pPr>
              <w:bidi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980179">
              <w:rPr>
                <w:rFonts w:ascii="Times New Roman" w:hAnsi="Times New Roman"/>
                <w:b/>
                <w:bCs/>
              </w:rPr>
              <w:t xml:space="preserve">  Vplyvy na podnikateľské prostredie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</w:rPr>
              <w:t>      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</w:rPr>
              <w:t xml:space="preserve">  </w:t>
            </w:r>
            <w:r>
              <w:rPr>
                <w:rFonts w:ascii="Times New Roman" w:hAnsi="Times New Roman"/>
              </w:rPr>
              <w:t xml:space="preserve"> </w:t>
            </w:r>
            <w:r w:rsidRPr="00980179">
              <w:rPr>
                <w:rFonts w:ascii="Times New Roman" w:hAnsi="Times New Roman"/>
              </w:rPr>
              <w:sym w:font="Times New Roman" w:char="F02A"/>
            </w:r>
            <w:r w:rsidRPr="00980179">
              <w:rPr>
                <w:rFonts w:ascii="Times New Roman" w:hAnsi="Times New Roman"/>
              </w:rPr>
              <w:sym w:font="Times New Roman" w:char="0020"/>
            </w:r>
            <w:r w:rsidRPr="00980179">
              <w:rPr>
                <w:rFonts w:ascii="Times New Roman" w:hAnsi="Times New Roman"/>
              </w:rPr>
              <w:sym w:font="Times New Roman" w:char="00A0"/>
            </w:r>
            <w:r w:rsidRPr="00980179">
              <w:rPr>
                <w:rFonts w:ascii="Times New Roman" w:hAnsi="Times New Roman"/>
              </w:rPr>
              <w:sym w:font="Times New Roman" w:char="0020"/>
            </w:r>
            <w:r w:rsidRPr="00980179">
              <w:rPr>
                <w:rFonts w:ascii="Times New Roman" w:hAnsi="Times New Roman"/>
              </w:rPr>
              <w:sym w:font="Times New Roman" w:char="0020"/>
            </w:r>
            <w:r w:rsidRPr="00980179">
              <w:rPr>
                <w:rFonts w:ascii="Times New Roman" w:hAnsi="Times New Roman"/>
              </w:rPr>
              <w:sym w:font="Times New Roman" w:char="017D"/>
            </w:r>
            <w:r w:rsidRPr="00980179">
              <w:rPr>
                <w:rFonts w:ascii="Times New Roman" w:hAnsi="Times New Roman"/>
              </w:rPr>
              <w:sym w:font="Times New Roman" w:char="0069"/>
            </w:r>
            <w:r w:rsidRPr="00980179">
              <w:rPr>
                <w:rFonts w:ascii="Times New Roman" w:hAnsi="Times New Roman"/>
              </w:rPr>
              <w:sym w:font="Times New Roman" w:char="0061"/>
            </w:r>
            <w:r w:rsidRPr="00980179">
              <w:rPr>
                <w:rFonts w:ascii="Times New Roman" w:hAnsi="Times New Roman"/>
              </w:rPr>
              <w:sym w:font="Times New Roman" w:char="0064"/>
            </w:r>
            <w:r w:rsidRPr="00980179">
              <w:rPr>
                <w:rFonts w:ascii="Times New Roman" w:hAnsi="Times New Roman"/>
              </w:rPr>
              <w:sym w:font="Times New Roman" w:char="006E"/>
            </w:r>
            <w:r w:rsidRPr="00980179">
              <w:rPr>
                <w:rFonts w:ascii="Times New Roman" w:hAnsi="Times New Roman"/>
              </w:rPr>
              <w:sym w:font="Times New Roman" w:char="0065"/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</w:rPr>
              <w:t>  x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</w:tcPr>
          <w:p w:rsidR="00980179" w:rsidRPr="00980179" w:rsidP="00662106">
            <w:pPr>
              <w:bidi w:val="0"/>
              <w:spacing w:after="0" w:line="240" w:lineRule="auto"/>
              <w:ind w:left="129" w:hanging="129"/>
              <w:contextualSpacing/>
              <w:jc w:val="both"/>
              <w:rPr>
                <w:rFonts w:ascii="Times New Roman" w:hAnsi="Times New Roman"/>
                <w:bCs/>
              </w:rPr>
            </w:pPr>
            <w:r w:rsidRPr="00980179">
              <w:rPr>
                <w:rFonts w:ascii="Times New Roman" w:hAnsi="Times New Roman"/>
                <w:b/>
                <w:bCs/>
              </w:rPr>
              <w:t xml:space="preserve">  </w:t>
            </w:r>
            <w:r w:rsidRPr="00980179">
              <w:rPr>
                <w:rFonts w:ascii="Times New Roman" w:hAnsi="Times New Roman"/>
                <w:bCs/>
              </w:rPr>
              <w:t>- z toho vplyvy na MSP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</w:rPr>
              <w:t>  x    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</w:rPr>
              <w:t>      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</w:rPr>
              <w:t>   x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80179" w:rsidRPr="00980179" w:rsidP="00662106">
            <w:pPr>
              <w:bidi w:val="0"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  <w:b/>
                <w:bCs/>
              </w:rPr>
              <w:t>  Sociálne vplyvy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</w:rPr>
              <w:t xml:space="preserve">  x    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</w:rPr>
              <w:t>      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80179" w:rsidRPr="00980179" w:rsidP="00662106">
            <w:pPr>
              <w:bidi w:val="0"/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  <w:b/>
                <w:bCs/>
              </w:rPr>
              <w:t>  Vplyvy na životné prostredie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</w:rPr>
              <w:t>  x    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</w:rPr>
              <w:t>      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1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  <w:b/>
                <w:bCs/>
              </w:rPr>
              <w:t>  Vplyvy na informatizáciu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</w:rPr>
              <w:t>  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</w:rPr>
              <w:t>    x 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19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  <w:b/>
                <w:bCs/>
              </w:rPr>
              <w:t>  Vplyvy na služby pre občana z toho</w:t>
            </w:r>
            <w:r w:rsidRPr="00980179">
              <w:rPr>
                <w:rFonts w:ascii="Times New Roman" w:hAnsi="Times New Roman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</w:rPr>
              <w:br/>
              <w:t>  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</w:rPr>
              <w:br/>
              <w:t>    x 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</w:rPr>
              <w:br/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80179" w:rsidRPr="00980179" w:rsidP="00662106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</w:rPr>
              <w:t>  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</w:rPr>
              <w:t>    x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</w:rPr>
            </w:pPr>
            <w:r w:rsidRPr="00980179">
              <w:rPr>
                <w:rFonts w:ascii="Times New Roman" w:hAnsi="Times New Roman"/>
              </w:rPr>
              <w:t>  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  <w:b/>
                <w:bCs/>
              </w:rPr>
            </w:pPr>
            <w:r w:rsidRPr="00980179">
              <w:rPr>
                <w:rFonts w:ascii="Times New Roman" w:hAnsi="Times New Roman"/>
                <w:b/>
                <w:bCs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  <w:b/>
                <w:bCs/>
              </w:rPr>
            </w:pPr>
            <w:r w:rsidRPr="00980179">
              <w:rPr>
                <w:rFonts w:ascii="Times New Roman" w:hAnsi="Times New Roman"/>
                <w:b/>
                <w:bCs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  <w:b/>
                <w:bCs/>
              </w:rPr>
            </w:pPr>
            <w:r w:rsidRPr="00980179">
              <w:rPr>
                <w:rFonts w:ascii="Times New Roman" w:hAnsi="Times New Roman"/>
                <w:bCs/>
              </w:rPr>
              <w:t xml:space="preserve"> peter.antal</w:t>
            </w:r>
            <w:r w:rsidRPr="00980179">
              <w:rPr>
                <w:rFonts w:ascii="Times New Roman" w:hAnsi="Times New Roman"/>
              </w:rPr>
              <w:t>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  <w:b/>
                <w:bCs/>
              </w:rPr>
            </w:pPr>
            <w:r w:rsidRPr="00980179">
              <w:rPr>
                <w:rFonts w:ascii="Times New Roman" w:hAnsi="Times New Roman"/>
                <w:b/>
                <w:bCs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  <w:b/>
                <w:bCs/>
              </w:rPr>
            </w:pPr>
            <w:r w:rsidRPr="00980179">
              <w:rPr>
                <w:rFonts w:ascii="Times New Roman" w:hAnsi="Times New Roman"/>
                <w:b/>
                <w:bCs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980179" w:rsidRPr="00980179" w:rsidP="00662106">
            <w:pPr>
              <w:bidi w:val="0"/>
              <w:jc w:val="both"/>
              <w:rPr>
                <w:rFonts w:ascii="Times New Roman" w:hAnsi="Times New Roman"/>
                <w:bCs/>
              </w:rPr>
            </w:pPr>
            <w:r w:rsidRPr="00980179">
              <w:rPr>
                <w:rFonts w:ascii="Times New Roman" w:hAnsi="Times New Roman"/>
                <w:bCs/>
              </w:rPr>
              <w:t xml:space="preserve"> Materiál nebol predmetom PPK.</w:t>
            </w:r>
          </w:p>
        </w:tc>
      </w:tr>
    </w:tbl>
    <w:p w:rsidR="00980179" w:rsidRPr="007721FB" w:rsidP="00980179">
      <w:pPr>
        <w:bidi w:val="0"/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4E0B40" w:rsidRPr="00B06366" w:rsidP="00980179">
      <w:pPr>
        <w:bidi w:val="0"/>
        <w:rPr>
          <w:rFonts w:ascii="Times New Roman" w:hAnsi="Times New Roman"/>
          <w:b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altName w:val="Calibri"/>
    <w:panose1 w:val="00000000000000000000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5424F"/>
    <w:multiLevelType w:val="hybridMultilevel"/>
    <w:tmpl w:val="B76ACB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characterSpacingControl w:val="doNotCompress"/>
  <w:compat/>
  <w:rsids>
    <w:rsidRoot w:val="004E0B40"/>
    <w:rsid w:val="00000CCF"/>
    <w:rsid w:val="0002219A"/>
    <w:rsid w:val="00026E18"/>
    <w:rsid w:val="00044DBE"/>
    <w:rsid w:val="000653C5"/>
    <w:rsid w:val="000B654C"/>
    <w:rsid w:val="001A517F"/>
    <w:rsid w:val="001E0CB3"/>
    <w:rsid w:val="001E5CFD"/>
    <w:rsid w:val="00244C5E"/>
    <w:rsid w:val="00292968"/>
    <w:rsid w:val="002C07B8"/>
    <w:rsid w:val="003263AC"/>
    <w:rsid w:val="00342508"/>
    <w:rsid w:val="003C3AC0"/>
    <w:rsid w:val="004E0B40"/>
    <w:rsid w:val="0055102D"/>
    <w:rsid w:val="005818A0"/>
    <w:rsid w:val="005B622F"/>
    <w:rsid w:val="005D06BC"/>
    <w:rsid w:val="00660E62"/>
    <w:rsid w:val="00662106"/>
    <w:rsid w:val="006D75BA"/>
    <w:rsid w:val="006E3C16"/>
    <w:rsid w:val="00713E5B"/>
    <w:rsid w:val="007721FB"/>
    <w:rsid w:val="007B2CA4"/>
    <w:rsid w:val="007B3795"/>
    <w:rsid w:val="00802B7A"/>
    <w:rsid w:val="00837850"/>
    <w:rsid w:val="00847ED7"/>
    <w:rsid w:val="00852E26"/>
    <w:rsid w:val="008712CA"/>
    <w:rsid w:val="0090561C"/>
    <w:rsid w:val="00916099"/>
    <w:rsid w:val="00980179"/>
    <w:rsid w:val="009A7EE2"/>
    <w:rsid w:val="009B3D22"/>
    <w:rsid w:val="00A142E7"/>
    <w:rsid w:val="00A2096D"/>
    <w:rsid w:val="00AB5D7B"/>
    <w:rsid w:val="00AD4037"/>
    <w:rsid w:val="00B06366"/>
    <w:rsid w:val="00B52E3D"/>
    <w:rsid w:val="00B96FFA"/>
    <w:rsid w:val="00BC6E5B"/>
    <w:rsid w:val="00BE1CD8"/>
    <w:rsid w:val="00BF5965"/>
    <w:rsid w:val="00C1176A"/>
    <w:rsid w:val="00C61B44"/>
    <w:rsid w:val="00D02C93"/>
    <w:rsid w:val="00D04516"/>
    <w:rsid w:val="00D55273"/>
    <w:rsid w:val="00D90042"/>
    <w:rsid w:val="00DC4B2F"/>
    <w:rsid w:val="00DC6947"/>
    <w:rsid w:val="00E0791F"/>
    <w:rsid w:val="00E42C1E"/>
    <w:rsid w:val="00E51599"/>
    <w:rsid w:val="00E66D0B"/>
    <w:rsid w:val="00F0177A"/>
    <w:rsid w:val="00F358F4"/>
    <w:rsid w:val="00F67DCA"/>
    <w:rsid w:val="00F9005C"/>
    <w:rsid w:val="00FA54F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B4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ek">
    <w:name w:val="odsek"/>
    <w:basedOn w:val="Normal"/>
    <w:uiPriority w:val="99"/>
    <w:qFormat/>
    <w:rsid w:val="004E0B40"/>
    <w:pPr>
      <w:keepNext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sk-SK"/>
    </w:rPr>
  </w:style>
  <w:style w:type="paragraph" w:styleId="ListParagraph">
    <w:name w:val="List Paragraph"/>
    <w:aliases w:val="Odsek zoznamu2,body"/>
    <w:basedOn w:val="Normal"/>
    <w:link w:val="OdsekzoznamuChar"/>
    <w:uiPriority w:val="34"/>
    <w:qFormat/>
    <w:rsid w:val="004E0B40"/>
    <w:pPr>
      <w:ind w:left="720"/>
      <w:contextualSpacing/>
      <w:jc w:val="left"/>
    </w:pPr>
  </w:style>
  <w:style w:type="paragraph" w:styleId="BodyText">
    <w:name w:val="Body Text"/>
    <w:basedOn w:val="Normal"/>
    <w:link w:val="ZkladntextChar"/>
    <w:uiPriority w:val="99"/>
    <w:unhideWhenUsed/>
    <w:rsid w:val="004E0B4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sz w:val="28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E0B4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h1a2">
    <w:name w:val="h1a2"/>
    <w:basedOn w:val="DefaultParagraphFont"/>
    <w:rsid w:val="004E0B40"/>
    <w:rPr>
      <w:rFonts w:cs="Times New Roman"/>
      <w:vanish/>
      <w:sz w:val="24"/>
      <w:szCs w:val="24"/>
      <w:rtl w:val="0"/>
      <w:cs w:val="0"/>
    </w:rPr>
  </w:style>
  <w:style w:type="character" w:customStyle="1" w:styleId="OdsekzoznamuChar">
    <w:name w:val="Odsek zoznamu Char"/>
    <w:aliases w:val="Odsek zoznamu2 Char,body Char"/>
    <w:link w:val="ListParagraph"/>
    <w:uiPriority w:val="34"/>
    <w:locked/>
    <w:rsid w:val="004E0B40"/>
    <w:rPr>
      <w:rFonts w:ascii="Calibri" w:hAnsi="Calibri" w:cs="Calibri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13E5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13E5B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1279</Words>
  <Characters>7295</Characters>
  <Application>Microsoft Office Word</Application>
  <DocSecurity>0</DocSecurity>
  <Lines>0</Lines>
  <Paragraphs>0</Paragraphs>
  <ScaleCrop>false</ScaleCrop>
  <Company>Kancelaria NRSR</Company>
  <LinksUpToDate>false</LinksUpToDate>
  <CharactersWithSpaces>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Mifková, Miroslava</dc:creator>
  <cp:lastModifiedBy>Mifková, Miroslava</cp:lastModifiedBy>
  <cp:revision>2</cp:revision>
  <cp:lastPrinted>2018-04-23T14:05:00Z</cp:lastPrinted>
  <dcterms:created xsi:type="dcterms:W3CDTF">2018-04-23T14:07:00Z</dcterms:created>
  <dcterms:modified xsi:type="dcterms:W3CDTF">2018-04-23T14:07:00Z</dcterms:modified>
</cp:coreProperties>
</file>