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363B" w:rsidRPr="007D5748" w:rsidP="00E3363B">
      <w:pPr>
        <w:bidi w:val="0"/>
        <w:jc w:val="center"/>
        <w:outlineLvl w:val="0"/>
        <w:rPr>
          <w:rFonts w:ascii="Times New Roman" w:hAnsi="Times New Roman"/>
          <w:b/>
          <w:bCs/>
          <w:sz w:val="28"/>
          <w:szCs w:val="28"/>
        </w:rPr>
      </w:pPr>
      <w:r w:rsidRPr="007D5748">
        <w:rPr>
          <w:rFonts w:ascii="Times New Roman" w:hAnsi="Times New Roman"/>
          <w:b/>
          <w:bCs/>
          <w:sz w:val="28"/>
          <w:szCs w:val="28"/>
        </w:rPr>
        <w:t>Analýza vplyvov na rozpočet verejnej správy,</w:t>
      </w:r>
    </w:p>
    <w:p w:rsidR="00E3363B" w:rsidRPr="007D5748" w:rsidP="00E3363B">
      <w:pPr>
        <w:bidi w:val="0"/>
        <w:jc w:val="center"/>
        <w:rPr>
          <w:rFonts w:ascii="Times New Roman" w:hAnsi="Times New Roman"/>
          <w:b/>
          <w:bCs/>
          <w:sz w:val="28"/>
          <w:szCs w:val="28"/>
        </w:rPr>
      </w:pPr>
      <w:r w:rsidRPr="007D5748">
        <w:rPr>
          <w:rFonts w:ascii="Times New Roman" w:hAnsi="Times New Roman"/>
          <w:b/>
          <w:bCs/>
          <w:sz w:val="28"/>
          <w:szCs w:val="28"/>
        </w:rPr>
        <w:t>na zamestnanosť vo verejnej správe a financovanie návrhu</w:t>
      </w:r>
    </w:p>
    <w:p w:rsidR="00E3363B" w:rsidRPr="00212894" w:rsidP="00E3363B">
      <w:pPr>
        <w:bidi w:val="0"/>
        <w:jc w:val="right"/>
        <w:rPr>
          <w:rFonts w:ascii="Times New Roman" w:hAnsi="Times New Roman"/>
          <w:b/>
          <w:bCs/>
        </w:rPr>
      </w:pPr>
    </w:p>
    <w:p w:rsidR="00E3363B" w:rsidP="00E3363B">
      <w:pPr>
        <w:bidi w:val="0"/>
        <w:rPr>
          <w:rFonts w:ascii="Times New Roman" w:hAnsi="Times New Roman"/>
          <w:b/>
          <w:bCs/>
        </w:rPr>
      </w:pPr>
    </w:p>
    <w:p w:rsidR="00E3363B" w:rsidRPr="00212894" w:rsidP="00E3363B">
      <w:pPr>
        <w:bidi w:val="0"/>
        <w:outlineLvl w:val="0"/>
        <w:rPr>
          <w:rFonts w:ascii="Times New Roman" w:hAnsi="Times New Roman"/>
          <w:b/>
          <w:bCs/>
        </w:rPr>
      </w:pPr>
      <w:r w:rsidRPr="00212894">
        <w:rPr>
          <w:rFonts w:ascii="Times New Roman" w:hAnsi="Times New Roman"/>
          <w:b/>
          <w:bCs/>
        </w:rPr>
        <w:t>2.1 Zhrnutie vplyvov na rozpočet verejnej správy v návrhu</w:t>
      </w:r>
    </w:p>
    <w:p w:rsidR="00E3363B" w:rsidP="00E3363B">
      <w:pPr>
        <w:bidi w:val="0"/>
        <w:jc w:val="right"/>
        <w:rPr>
          <w:rFonts w:ascii="Times New Roman" w:hAnsi="Times New Roman"/>
          <w:sz w:val="20"/>
          <w:szCs w:val="20"/>
        </w:rPr>
      </w:pPr>
    </w:p>
    <w:p w:rsidR="00E3363B" w:rsidRPr="00A90694" w:rsidP="00E3363B">
      <w:pPr>
        <w:bidi w:val="0"/>
        <w:jc w:val="right"/>
        <w:outlineLvl w:val="0"/>
        <w:rPr>
          <w:rFonts w:ascii="Times New Roman" w:hAnsi="Times New Roman"/>
        </w:rPr>
      </w:pPr>
      <w:r w:rsidRPr="00A90694">
        <w:rPr>
          <w:rFonts w:ascii="Times New Roman" w:hAnsi="Times New Roman"/>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E3363B">
            <w:pPr>
              <w:bidi w:val="0"/>
              <w:jc w:val="center"/>
              <w:rPr>
                <w:rFonts w:ascii="Times New Roman" w:hAnsi="Times New Roman"/>
                <w:b/>
                <w:bCs/>
              </w:rPr>
            </w:pPr>
            <w:bookmarkStart w:id="0" w:name="OLE_LINK1"/>
            <w:r w:rsidRPr="007D5748">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E3363B">
            <w:pPr>
              <w:bidi w:val="0"/>
              <w:jc w:val="center"/>
              <w:rPr>
                <w:rFonts w:ascii="Times New Roman" w:hAnsi="Times New Roman"/>
                <w:b/>
                <w:bCs/>
              </w:rPr>
            </w:pPr>
            <w:r w:rsidRPr="007D5748">
              <w:rPr>
                <w:rFonts w:ascii="Times New Roman" w:hAnsi="Times New Roman"/>
                <w:b/>
                <w:bCs/>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E3363B">
            <w:pPr>
              <w:bidi w:val="0"/>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1729BF">
            <w:pPr>
              <w:bidi w:val="0"/>
              <w:jc w:val="center"/>
              <w:rPr>
                <w:rFonts w:ascii="Times New Roman" w:hAnsi="Times New Roman"/>
                <w:b/>
                <w:bCs/>
              </w:rPr>
            </w:pPr>
            <w:r>
              <w:rPr>
                <w:rFonts w:ascii="Times New Roman" w:hAnsi="Times New Roman"/>
                <w:b/>
                <w:bCs/>
              </w:rPr>
              <w:t>201</w:t>
            </w:r>
            <w:r w:rsidR="001729BF">
              <w:rPr>
                <w:rFonts w:ascii="Times New Roman" w:hAnsi="Times New Roman"/>
                <w:b/>
                <w:bCs/>
              </w:rPr>
              <w:t>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1729BF">
            <w:pPr>
              <w:bidi w:val="0"/>
              <w:jc w:val="center"/>
              <w:rPr>
                <w:rFonts w:ascii="Times New Roman" w:hAnsi="Times New Roman"/>
                <w:b/>
                <w:bCs/>
              </w:rPr>
            </w:pPr>
            <w:r>
              <w:rPr>
                <w:rFonts w:ascii="Times New Roman" w:hAnsi="Times New Roman"/>
                <w:b/>
                <w:bCs/>
              </w:rPr>
              <w:t>201</w:t>
            </w:r>
            <w:r w:rsidR="001729BF">
              <w:rPr>
                <w:rFonts w:ascii="Times New Roman" w:hAnsi="Times New Roman"/>
                <w:b/>
                <w:bCs/>
              </w:rPr>
              <w:t>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1729BF">
            <w:pPr>
              <w:bidi w:val="0"/>
              <w:jc w:val="center"/>
              <w:rPr>
                <w:rFonts w:ascii="Times New Roman" w:hAnsi="Times New Roman"/>
                <w:b/>
                <w:bCs/>
              </w:rPr>
            </w:pPr>
            <w:r>
              <w:rPr>
                <w:rFonts w:ascii="Times New Roman" w:hAnsi="Times New Roman"/>
                <w:b/>
                <w:bCs/>
              </w:rPr>
              <w:t>20</w:t>
            </w:r>
            <w:r w:rsidR="001729BF">
              <w:rPr>
                <w:rFonts w:ascii="Times New Roman" w:hAnsi="Times New Roman"/>
                <w:b/>
                <w:bCs/>
              </w:rPr>
              <w:t>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E3363B">
            <w:pPr>
              <w:bidi w:val="0"/>
              <w:jc w:val="center"/>
              <w:rPr>
                <w:rFonts w:ascii="Times New Roman" w:hAnsi="Times New Roman"/>
                <w:b/>
                <w:bCs/>
              </w:rPr>
            </w:pPr>
            <w:r>
              <w:rPr>
                <w:rFonts w:ascii="Times New Roman" w:hAnsi="Times New Roman"/>
                <w:b/>
                <w:bCs/>
              </w:rPr>
              <w:t>202</w:t>
            </w:r>
            <w:r w:rsidR="001729BF">
              <w:rPr>
                <w:rFonts w:ascii="Times New Roman" w:hAnsi="Times New Roman"/>
                <w:b/>
                <w:bCs/>
              </w:rPr>
              <w:t>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3363B" w:rsidRPr="007D5748" w:rsidP="00E3363B">
            <w:pPr>
              <w:bidi w:val="0"/>
              <w:rPr>
                <w:rFonts w:ascii="Times New Roman" w:hAnsi="Times New Roman"/>
              </w:rPr>
            </w:pPr>
            <w:r w:rsidRPr="007D5748">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3363B" w:rsidRPr="00C61BC5" w:rsidP="00E3363B">
            <w:pPr>
              <w:bidi w:val="0"/>
              <w:jc w:val="right"/>
              <w:rPr>
                <w:rFonts w:ascii="Times New Roman" w:hAnsi="Times New Roman"/>
                <w:b/>
                <w:bCs/>
                <w:sz w:val="22"/>
                <w:szCs w:val="22"/>
              </w:rPr>
            </w:pPr>
            <w:r w:rsidRPr="00C61BC5">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3363B" w:rsidRPr="00C61BC5" w:rsidP="00E3363B">
            <w:pPr>
              <w:bidi w:val="0"/>
              <w:jc w:val="right"/>
              <w:rPr>
                <w:rFonts w:ascii="Times New Roman" w:hAnsi="Times New Roman"/>
                <w:b/>
                <w:bCs/>
                <w:sz w:val="22"/>
                <w:szCs w:val="22"/>
              </w:rPr>
            </w:pPr>
            <w:r w:rsidRPr="00C61BC5">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3363B" w:rsidRPr="00C61BC5" w:rsidP="00E3363B">
            <w:pPr>
              <w:bidi w:val="0"/>
              <w:jc w:val="right"/>
              <w:rPr>
                <w:rFonts w:ascii="Times New Roman" w:hAnsi="Times New Roman"/>
                <w:b/>
                <w:bCs/>
                <w:sz w:val="22"/>
                <w:szCs w:val="22"/>
              </w:rPr>
            </w:pPr>
            <w:r w:rsidRPr="00C61BC5">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3363B" w:rsidRPr="00C61BC5" w:rsidP="00E3363B">
            <w:pPr>
              <w:bidi w:val="0"/>
              <w:jc w:val="right"/>
              <w:rPr>
                <w:rFonts w:ascii="Times New Roman" w:hAnsi="Times New Roman"/>
                <w:b/>
                <w:bCs/>
                <w:sz w:val="22"/>
                <w:szCs w:val="22"/>
              </w:rPr>
            </w:pPr>
            <w:r w:rsidRPr="00C61BC5">
              <w:rPr>
                <w:rFonts w:ascii="Times New Roman" w:hAnsi="Times New Roman"/>
                <w:b/>
                <w:bCs/>
                <w:sz w:val="22"/>
                <w:szCs w:val="22"/>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10497B">
            <w:pPr>
              <w:bidi w:val="0"/>
              <w:rPr>
                <w:rFonts w:ascii="Times New Roman" w:hAnsi="Times New Roman"/>
              </w:rPr>
            </w:pPr>
            <w:r w:rsidRPr="007D5748">
              <w:rPr>
                <w:rFonts w:ascii="Times New Roman" w:hAnsi="Times New Roman"/>
              </w:rPr>
              <w:t xml:space="preserve">v tom: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sz w:val="22"/>
                <w:szCs w:val="22"/>
              </w:rPr>
            </w:pPr>
            <w:r w:rsidRPr="00A90694">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sz w:val="22"/>
                <w:szCs w:val="22"/>
              </w:rPr>
            </w:pPr>
            <w:r w:rsidRPr="00A90694">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sz w:val="22"/>
                <w:szCs w:val="22"/>
              </w:rPr>
            </w:pPr>
            <w:r w:rsidRPr="00A90694">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sz w:val="22"/>
                <w:szCs w:val="22"/>
              </w:rPr>
            </w:pPr>
            <w:r w:rsidRPr="00A90694">
              <w:rPr>
                <w:rFonts w:ascii="Times New Roman" w:hAnsi="Times New Roman"/>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E3363B">
            <w:pPr>
              <w:bidi w:val="0"/>
              <w:rPr>
                <w:rFonts w:ascii="Times New Roman" w:hAnsi="Times New Roman"/>
                <w:b/>
                <w:bCs/>
                <w:i/>
                <w:iCs/>
              </w:rPr>
            </w:pPr>
            <w:r w:rsidRPr="007D5748">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E3363B">
            <w:pPr>
              <w:bidi w:val="0"/>
              <w:rPr>
                <w:rFonts w:ascii="Times New Roman" w:hAnsi="Times New Roman"/>
                <w:b/>
                <w:bCs/>
                <w:i/>
                <w:iCs/>
              </w:rPr>
            </w:pPr>
            <w:r w:rsidRPr="007D5748">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E3363B">
            <w:pPr>
              <w:bidi w:val="0"/>
              <w:ind w:left="259"/>
              <w:rPr>
                <w:rFonts w:ascii="Times New Roman" w:hAnsi="Times New Roman"/>
                <w:b/>
                <w:bCs/>
                <w:i/>
                <w:iCs/>
              </w:rPr>
            </w:pPr>
            <w:r>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E3363B">
            <w:pPr>
              <w:bidi w:val="0"/>
              <w:ind w:left="259"/>
              <w:rPr>
                <w:rFonts w:ascii="Times New Roman" w:hAnsi="Times New Roman"/>
                <w:bCs/>
                <w:i/>
                <w:iCs/>
              </w:rPr>
            </w:pPr>
            <w:r w:rsidRPr="007D5748">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sz w:val="22"/>
                <w:szCs w:val="22"/>
              </w:rPr>
            </w:pPr>
            <w:r w:rsidRPr="00A90694">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sz w:val="22"/>
                <w:szCs w:val="22"/>
              </w:rPr>
            </w:pPr>
            <w:r w:rsidRPr="00A90694">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sz w:val="22"/>
                <w:szCs w:val="22"/>
              </w:rPr>
            </w:pPr>
            <w:r w:rsidRPr="00A90694">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sz w:val="22"/>
                <w:szCs w:val="22"/>
              </w:rPr>
            </w:pPr>
            <w:r w:rsidRPr="00A90694">
              <w:rPr>
                <w:rFonts w:ascii="Times New Roman" w:hAnsi="Times New Roman"/>
                <w:sz w:val="22"/>
                <w:szCs w:val="22"/>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E3363B">
            <w:pPr>
              <w:bidi w:val="0"/>
              <w:rPr>
                <w:rFonts w:ascii="Times New Roman" w:hAnsi="Times New Roman"/>
                <w:b/>
                <w:bCs/>
                <w:i/>
                <w:iCs/>
              </w:rPr>
            </w:pPr>
            <w:r w:rsidRPr="007D5748">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E3363B">
            <w:pPr>
              <w:bidi w:val="0"/>
              <w:rPr>
                <w:rFonts w:ascii="Times New Roman" w:hAnsi="Times New Roman"/>
                <w:b/>
                <w:bCs/>
                <w:i/>
                <w:iCs/>
              </w:rPr>
            </w:pPr>
            <w:r w:rsidRPr="007D5748">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E3363B">
            <w:pPr>
              <w:bidi w:val="0"/>
              <w:rPr>
                <w:rFonts w:ascii="Times New Roman" w:hAnsi="Times New Roman"/>
                <w:b/>
                <w:bCs/>
                <w:i/>
                <w:iCs/>
              </w:rPr>
            </w:pPr>
            <w:r w:rsidRPr="007D5748">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A90694" w:rsidP="00E3363B">
            <w:pPr>
              <w:bidi w:val="0"/>
              <w:jc w:val="right"/>
              <w:rPr>
                <w:rFonts w:ascii="Times New Roman" w:hAnsi="Times New Roman"/>
                <w:bCs/>
                <w:iCs/>
                <w:sz w:val="22"/>
                <w:szCs w:val="22"/>
              </w:rPr>
            </w:pPr>
            <w:r w:rsidRPr="00A90694">
              <w:rPr>
                <w:rFonts w:ascii="Times New Roman" w:hAnsi="Times New Roman"/>
                <w:bCs/>
                <w:iCs/>
                <w:sz w:val="22"/>
                <w:szCs w:val="22"/>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3363B" w:rsidRPr="007D5748" w:rsidP="00E3363B">
            <w:pPr>
              <w:bidi w:val="0"/>
              <w:rPr>
                <w:rFonts w:ascii="Times New Roman" w:hAnsi="Times New Roman"/>
                <w:b/>
                <w:bCs/>
              </w:rPr>
            </w:pPr>
            <w:r w:rsidRPr="007D5748">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3363B" w:rsidRPr="00011174" w:rsidP="00A90694">
            <w:pPr>
              <w:bidi w:val="0"/>
              <w:jc w:val="right"/>
              <w:rPr>
                <w:rFonts w:ascii="Times New Roman" w:hAnsi="Times New Roman"/>
                <w:b/>
                <w:bCs/>
                <w:sz w:val="22"/>
                <w:szCs w:val="22"/>
              </w:rPr>
            </w:pPr>
            <w:r w:rsidR="007E3A0D">
              <w:rPr>
                <w:rFonts w:ascii="Times New Roman" w:hAnsi="Times New Roman"/>
                <w:b/>
                <w:bCs/>
                <w:sz w:val="22"/>
                <w:szCs w:val="22"/>
              </w:rPr>
              <w:t>7 250 000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3363B" w:rsidRPr="00011174" w:rsidP="00A90694">
            <w:pPr>
              <w:bidi w:val="0"/>
              <w:jc w:val="right"/>
              <w:rPr>
                <w:rFonts w:ascii="Times New Roman" w:hAnsi="Times New Roman"/>
                <w:b/>
                <w:bCs/>
                <w:sz w:val="22"/>
                <w:szCs w:val="22"/>
              </w:rPr>
            </w:pPr>
            <w:r w:rsidR="007E3A0D">
              <w:rPr>
                <w:rFonts w:ascii="Times New Roman" w:hAnsi="Times New Roman"/>
                <w:b/>
                <w:bCs/>
                <w:sz w:val="22"/>
                <w:szCs w:val="22"/>
              </w:rPr>
              <w:t>7 250 000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3363B" w:rsidRPr="00011174" w:rsidP="00A90694">
            <w:pPr>
              <w:bidi w:val="0"/>
              <w:jc w:val="right"/>
              <w:rPr>
                <w:rFonts w:ascii="Times New Roman" w:hAnsi="Times New Roman"/>
                <w:b/>
                <w:bCs/>
                <w:sz w:val="22"/>
                <w:szCs w:val="22"/>
              </w:rPr>
            </w:pPr>
            <w:r w:rsidR="007E3A0D">
              <w:rPr>
                <w:rFonts w:ascii="Times New Roman" w:hAnsi="Times New Roman"/>
                <w:b/>
                <w:bCs/>
                <w:sz w:val="22"/>
                <w:szCs w:val="22"/>
              </w:rPr>
              <w:t>7 250 000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3363B" w:rsidRPr="00011174" w:rsidP="00A90694">
            <w:pPr>
              <w:bidi w:val="0"/>
              <w:jc w:val="right"/>
              <w:rPr>
                <w:rFonts w:ascii="Times New Roman" w:hAnsi="Times New Roman"/>
                <w:b/>
                <w:bCs/>
                <w:sz w:val="22"/>
                <w:szCs w:val="22"/>
              </w:rPr>
            </w:pPr>
            <w:r w:rsidR="00541AAA">
              <w:rPr>
                <w:rFonts w:ascii="Times New Roman" w:hAnsi="Times New Roman"/>
                <w:b/>
                <w:bCs/>
                <w:sz w:val="22"/>
                <w:szCs w:val="22"/>
              </w:rPr>
              <w:t>7 250 000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7D5748" w:rsidP="00E3363B">
            <w:pPr>
              <w:bidi w:val="0"/>
              <w:rPr>
                <w:rFonts w:ascii="Times New Roman" w:hAnsi="Times New Roman"/>
                <w:b/>
                <w:bCs/>
                <w:i/>
                <w:iCs/>
              </w:rPr>
            </w:pPr>
            <w:r w:rsidRPr="007D5748">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011174" w:rsidP="00E3363B">
            <w:pPr>
              <w:bidi w:val="0"/>
              <w:jc w:val="right"/>
              <w:rPr>
                <w:rFonts w:ascii="Times New Roman" w:hAnsi="Times New Roman"/>
                <w:b/>
                <w:bCs/>
                <w:iCs/>
                <w:sz w:val="22"/>
                <w:szCs w:val="22"/>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011174" w:rsidP="00E3363B">
            <w:pPr>
              <w:bidi w:val="0"/>
              <w:jc w:val="right"/>
              <w:rPr>
                <w:rFonts w:ascii="Times New Roman" w:hAnsi="Times New Roman"/>
                <w:b/>
                <w:bCs/>
                <w:iCs/>
                <w:sz w:val="22"/>
                <w:szCs w:val="22"/>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011174" w:rsidP="00E3363B">
            <w:pPr>
              <w:bidi w:val="0"/>
              <w:jc w:val="right"/>
              <w:rPr>
                <w:rFonts w:ascii="Times New Roman" w:hAnsi="Times New Roman"/>
                <w:b/>
                <w:bCs/>
                <w:iCs/>
                <w:sz w:val="22"/>
                <w:szCs w:val="22"/>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3363B" w:rsidRPr="00011174" w:rsidP="00E3363B">
            <w:pPr>
              <w:bidi w:val="0"/>
              <w:jc w:val="right"/>
              <w:rPr>
                <w:rFonts w:ascii="Times New Roman" w:hAnsi="Times New Roman"/>
                <w:b/>
                <w:bCs/>
                <w:iCs/>
                <w:sz w:val="22"/>
                <w:szCs w:val="22"/>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ŠR</w:t>
            </w:r>
            <w:r>
              <w:rPr>
                <w:rFonts w:ascii="Times New Roman" w:hAnsi="Times New Roman"/>
                <w:b/>
                <w:bCs/>
                <w:i/>
                <w:iCs/>
              </w:rPr>
              <w:t xml:space="preserve">  MZ SR/07B0104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E51151" w:rsidP="007E3A0D">
            <w:pPr>
              <w:bidi w:val="0"/>
              <w:jc w:val="right"/>
              <w:rPr>
                <w:rFonts w:ascii="Times New Roman" w:hAnsi="Times New Roman"/>
                <w:bCs/>
                <w:iCs/>
                <w:sz w:val="22"/>
                <w:szCs w:val="22"/>
              </w:rPr>
            </w:pPr>
            <w:r>
              <w:rPr>
                <w:rFonts w:ascii="Times New Roman" w:hAnsi="Times New Roman"/>
                <w:bCs/>
                <w:iCs/>
                <w:sz w:val="22"/>
                <w:szCs w:val="22"/>
              </w:rPr>
              <w:t>7 250 000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E51151" w:rsidP="007E3A0D">
            <w:pPr>
              <w:bidi w:val="0"/>
              <w:jc w:val="right"/>
              <w:rPr>
                <w:rFonts w:ascii="Times New Roman" w:hAnsi="Times New Roman"/>
                <w:bCs/>
                <w:iCs/>
                <w:sz w:val="22"/>
                <w:szCs w:val="22"/>
              </w:rPr>
            </w:pPr>
            <w:r>
              <w:rPr>
                <w:rFonts w:ascii="Times New Roman" w:hAnsi="Times New Roman"/>
                <w:bCs/>
                <w:iCs/>
                <w:sz w:val="22"/>
                <w:szCs w:val="22"/>
              </w:rPr>
              <w:t>7 250 000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E51151" w:rsidP="007E3A0D">
            <w:pPr>
              <w:bidi w:val="0"/>
              <w:jc w:val="right"/>
              <w:rPr>
                <w:rFonts w:ascii="Times New Roman" w:hAnsi="Times New Roman"/>
                <w:bCs/>
                <w:iCs/>
                <w:sz w:val="22"/>
                <w:szCs w:val="22"/>
              </w:rPr>
            </w:pPr>
            <w:r>
              <w:rPr>
                <w:rFonts w:ascii="Times New Roman" w:hAnsi="Times New Roman"/>
                <w:bCs/>
                <w:iCs/>
                <w:sz w:val="22"/>
                <w:szCs w:val="22"/>
              </w:rPr>
              <w:t>7 250 000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E51151" w:rsidP="007E3A0D">
            <w:pPr>
              <w:bidi w:val="0"/>
              <w:jc w:val="right"/>
              <w:rPr>
                <w:rFonts w:ascii="Times New Roman" w:hAnsi="Times New Roman"/>
                <w:bCs/>
                <w:iCs/>
                <w:sz w:val="22"/>
                <w:szCs w:val="22"/>
              </w:rPr>
            </w:pPr>
            <w:r>
              <w:rPr>
                <w:rFonts w:ascii="Times New Roman" w:hAnsi="Times New Roman"/>
                <w:bCs/>
                <w:iCs/>
                <w:sz w:val="22"/>
                <w:szCs w:val="22"/>
              </w:rPr>
              <w:t>7 250 000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ind w:left="259"/>
              <w:rPr>
                <w:rFonts w:ascii="Times New Roman" w:hAnsi="Times New Roman"/>
                <w:b/>
                <w:bCs/>
                <w:i/>
                <w:iCs/>
              </w:rPr>
            </w:pPr>
            <w:r>
              <w:rPr>
                <w:rFonts w:ascii="Times New Roman" w:hAnsi="Times New Roman"/>
                <w:bCs/>
                <w:i/>
                <w:iCs/>
              </w:rPr>
              <w:t xml:space="preserve">Rozpočtové prostriedky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E51151" w:rsidP="007E3A0D">
            <w:pPr>
              <w:bidi w:val="0"/>
              <w:jc w:val="right"/>
              <w:rPr>
                <w:rFonts w:ascii="Times New Roman" w:hAnsi="Times New Roman"/>
                <w:bCs/>
                <w:iCs/>
                <w:sz w:val="22"/>
                <w:szCs w:val="22"/>
              </w:rPr>
            </w:pPr>
            <w:r>
              <w:rPr>
                <w:rFonts w:ascii="Times New Roman" w:hAnsi="Times New Roman"/>
                <w:bCs/>
                <w:iCs/>
                <w:sz w:val="22"/>
                <w:szCs w:val="22"/>
              </w:rPr>
              <w:t>7 250 000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E51151" w:rsidP="007E3A0D">
            <w:pPr>
              <w:bidi w:val="0"/>
              <w:jc w:val="right"/>
              <w:rPr>
                <w:rFonts w:ascii="Times New Roman" w:hAnsi="Times New Roman"/>
                <w:bCs/>
                <w:iCs/>
                <w:sz w:val="22"/>
                <w:szCs w:val="22"/>
              </w:rPr>
            </w:pPr>
            <w:r>
              <w:rPr>
                <w:rFonts w:ascii="Times New Roman" w:hAnsi="Times New Roman"/>
                <w:bCs/>
                <w:iCs/>
                <w:sz w:val="22"/>
                <w:szCs w:val="22"/>
              </w:rPr>
              <w:t>7 250 000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E51151" w:rsidP="007E3A0D">
            <w:pPr>
              <w:bidi w:val="0"/>
              <w:jc w:val="right"/>
              <w:rPr>
                <w:rFonts w:ascii="Times New Roman" w:hAnsi="Times New Roman"/>
                <w:bCs/>
                <w:iCs/>
                <w:sz w:val="22"/>
                <w:szCs w:val="22"/>
              </w:rPr>
            </w:pPr>
            <w:r>
              <w:rPr>
                <w:rFonts w:ascii="Times New Roman" w:hAnsi="Times New Roman"/>
                <w:bCs/>
                <w:iCs/>
                <w:sz w:val="22"/>
                <w:szCs w:val="22"/>
              </w:rPr>
              <w:t>7 250 000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E51151" w:rsidP="007E3A0D">
            <w:pPr>
              <w:bidi w:val="0"/>
              <w:jc w:val="right"/>
              <w:rPr>
                <w:rFonts w:ascii="Times New Roman" w:hAnsi="Times New Roman"/>
                <w:bCs/>
                <w:iCs/>
                <w:sz w:val="22"/>
                <w:szCs w:val="22"/>
              </w:rPr>
            </w:pPr>
            <w:r>
              <w:rPr>
                <w:rFonts w:ascii="Times New Roman" w:hAnsi="Times New Roman"/>
                <w:bCs/>
                <w:iCs/>
                <w:sz w:val="22"/>
                <w:szCs w:val="22"/>
              </w:rPr>
              <w:t>7 250 000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Cs/>
                <w:i/>
                <w:iCs/>
              </w:rPr>
            </w:pPr>
            <w:r w:rsidRPr="007D5748">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Cs/>
                <w:i/>
                <w:iCs/>
              </w:rPr>
            </w:pPr>
            <w:r w:rsidRPr="007D5748">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rPr>
            </w:pPr>
            <w:r w:rsidRPr="007D5748">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b/>
                <w:bCs/>
                <w:iCs/>
                <w:sz w:val="22"/>
                <w:szCs w:val="22"/>
              </w:rPr>
            </w:pPr>
            <w:r w:rsidRPr="00011174">
              <w:rPr>
                <w:rFonts w:ascii="Times New Roman" w:hAnsi="Times New Roman"/>
                <w:b/>
                <w:bCs/>
                <w:iCs/>
                <w:sz w:val="22"/>
                <w:szCs w:val="22"/>
              </w:rPr>
              <w:t>0</w:t>
            </w:r>
          </w:p>
        </w:tc>
      </w:tr>
      <w:tr>
        <w:tblPrEx>
          <w:tblW w:w="9729" w:type="dxa"/>
          <w:jc w:val="center"/>
          <w:tblCellMar>
            <w:left w:w="70" w:type="dxa"/>
            <w:right w:w="70" w:type="dxa"/>
          </w:tblCellMar>
        </w:tblPrEx>
        <w:trPr>
          <w:trHeight w:val="123"/>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7D5748" w:rsidP="007E3A0D">
            <w:pPr>
              <w:bidi w:val="0"/>
              <w:rPr>
                <w:rFonts w:ascii="Times New Roman" w:hAnsi="Times New Roman"/>
                <w:b/>
                <w:bCs/>
              </w:rPr>
            </w:pPr>
            <w:r w:rsidRPr="007D5748">
              <w:rPr>
                <w:rFonts w:ascii="Times New Roman" w:hAnsi="Times New Roman"/>
                <w:b/>
                <w:bCs/>
              </w:rPr>
              <w:t xml:space="preserve">Vplyv na počet zamestnancov </w:t>
            </w:r>
            <w:r>
              <w:rPr>
                <w:rFonts w:ascii="Times New Roman" w:hAnsi="Times New Roman"/>
                <w:b/>
                <w:bCs/>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ŠR</w:t>
            </w:r>
            <w:r>
              <w:rPr>
                <w:rFonts w:ascii="Times New Roman" w:hAnsi="Times New Roman"/>
                <w:b/>
                <w:bCs/>
                <w:i/>
                <w:iCs/>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7D5748" w:rsidP="007E3A0D">
            <w:pPr>
              <w:bidi w:val="0"/>
              <w:rPr>
                <w:rFonts w:ascii="Times New Roman" w:hAnsi="Times New Roman"/>
                <w:b/>
              </w:rPr>
            </w:pPr>
            <w:r w:rsidRPr="007D5748">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sz w:val="22"/>
                <w:szCs w:val="22"/>
              </w:rPr>
            </w:pPr>
            <w:r>
              <w:rPr>
                <w:rFonts w:ascii="Times New Roman" w:hAnsi="Times New Roman"/>
                <w:b/>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sz w:val="22"/>
                <w:szCs w:val="22"/>
              </w:rPr>
            </w:pPr>
            <w:r>
              <w:rPr>
                <w:rFonts w:ascii="Times New Roman" w:hAnsi="Times New Roman"/>
                <w:b/>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sz w:val="22"/>
                <w:szCs w:val="22"/>
              </w:rPr>
            </w:pPr>
            <w:r>
              <w:rPr>
                <w:rFonts w:ascii="Times New Roman" w:hAnsi="Times New Roman"/>
                <w:b/>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sz w:val="22"/>
                <w:szCs w:val="22"/>
              </w:rPr>
            </w:pPr>
            <w:r>
              <w:rPr>
                <w:rFonts w:ascii="Times New Roman" w:hAnsi="Times New Roman"/>
                <w:b/>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i/>
                <w:iCs/>
              </w:rPr>
            </w:pPr>
            <w:r w:rsidRPr="007D5748">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b/>
                <w:bCs/>
              </w:rPr>
            </w:pPr>
            <w:r w:rsidRPr="007D5748">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5353FD" w:rsidP="007E3A0D">
            <w:pPr>
              <w:bidi w:val="0"/>
              <w:jc w:val="right"/>
              <w:rPr>
                <w:rFonts w:ascii="Times New Roman" w:hAnsi="Times New Roman"/>
                <w:bCs/>
                <w:iCs/>
                <w:sz w:val="22"/>
                <w:szCs w:val="22"/>
              </w:rPr>
            </w:pPr>
            <w:r>
              <w:rPr>
                <w:rFonts w:ascii="Times New Roman" w:hAnsi="Times New Roman"/>
                <w:bCs/>
                <w:i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E3A0D" w:rsidRPr="007D5748" w:rsidP="007E3A0D">
            <w:pPr>
              <w:bidi w:val="0"/>
              <w:rPr>
                <w:rFonts w:ascii="Times New Roman" w:hAnsi="Times New Roman"/>
                <w:b/>
                <w:bCs/>
              </w:rPr>
            </w:pPr>
            <w:r w:rsidRPr="007D5748">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7 250 000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 xml:space="preserve">7 250 000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7 250 000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7 250 000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7D5748" w:rsidP="007E3A0D">
            <w:pPr>
              <w:bidi w:val="0"/>
              <w:rPr>
                <w:rFonts w:ascii="Times New Roman" w:hAnsi="Times New Roman"/>
              </w:rPr>
            </w:pPr>
            <w:r w:rsidRPr="007D5748">
              <w:rPr>
                <w:rFonts w:ascii="Times New Roman" w:hAnsi="Times New Roman"/>
              </w:rPr>
              <w:t xml:space="preserve">v tom: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r>
              <w:rPr>
                <w:rFonts w:ascii="Times New Roman" w:hAnsi="Times New Roman"/>
                <w:sz w:val="22"/>
                <w:szCs w:val="22"/>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E3A0D" w:rsidRPr="00011174" w:rsidP="007E3A0D">
            <w:pPr>
              <w:bidi w:val="0"/>
              <w:jc w:val="right"/>
              <w:rPr>
                <w:rFonts w:ascii="Times New Roman" w:hAnsi="Times New Roman"/>
                <w:sz w:val="22"/>
                <w:szCs w:val="22"/>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7D5748" w:rsidP="007E3A0D">
            <w:pPr>
              <w:bidi w:val="0"/>
              <w:rPr>
                <w:rFonts w:ascii="Times New Roman" w:hAnsi="Times New Roman"/>
                <w:b/>
              </w:rPr>
            </w:pPr>
            <w:r w:rsidRPr="007D5748">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bCs/>
                <w:sz w:val="22"/>
                <w:szCs w:val="22"/>
              </w:rPr>
            </w:pPr>
            <w:r>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bCs/>
                <w:sz w:val="22"/>
                <w:szCs w:val="22"/>
              </w:rPr>
            </w:pPr>
            <w:r w:rsidRPr="00011174">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bCs/>
                <w:sz w:val="22"/>
                <w:szCs w:val="22"/>
              </w:rPr>
            </w:pPr>
            <w:r w:rsidRPr="00011174">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E3A0D" w:rsidRPr="00011174" w:rsidP="007E3A0D">
            <w:pPr>
              <w:bidi w:val="0"/>
              <w:jc w:val="right"/>
              <w:rPr>
                <w:rFonts w:ascii="Times New Roman" w:hAnsi="Times New Roman"/>
                <w:b/>
                <w:bCs/>
                <w:sz w:val="22"/>
                <w:szCs w:val="22"/>
              </w:rPr>
            </w:pPr>
            <w:r w:rsidRPr="00011174">
              <w:rPr>
                <w:rFonts w:ascii="Times New Roman" w:hAnsi="Times New Roman"/>
                <w:b/>
                <w:bCs/>
                <w:sz w:val="22"/>
                <w:szCs w:val="22"/>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E3A0D" w:rsidRPr="007D5748" w:rsidP="007E3A0D">
            <w:pPr>
              <w:bidi w:val="0"/>
              <w:rPr>
                <w:rFonts w:ascii="Times New Roman" w:hAnsi="Times New Roman"/>
                <w:b/>
                <w:bCs/>
              </w:rPr>
            </w:pPr>
            <w:r w:rsidRPr="007D5748">
              <w:rPr>
                <w:rFonts w:ascii="Times New Roman" w:hAnsi="Times New Roman"/>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E3A0D" w:rsidRPr="00011174" w:rsidP="007E3A0D">
            <w:pPr>
              <w:bidi w:val="0"/>
              <w:jc w:val="right"/>
              <w:rPr>
                <w:rFonts w:ascii="Times New Roman" w:hAnsi="Times New Roman"/>
                <w:b/>
                <w:bCs/>
                <w:sz w:val="22"/>
                <w:szCs w:val="22"/>
              </w:rPr>
            </w:pPr>
            <w:r w:rsidRPr="00011174">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E3A0D" w:rsidRPr="00011174" w:rsidP="007E3A0D">
            <w:pPr>
              <w:bidi w:val="0"/>
              <w:jc w:val="right"/>
              <w:rPr>
                <w:rFonts w:ascii="Times New Roman" w:hAnsi="Times New Roman"/>
                <w:b/>
                <w:bCs/>
                <w:sz w:val="22"/>
                <w:szCs w:val="22"/>
              </w:rPr>
            </w:pPr>
            <w:r w:rsidRPr="00011174">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E3A0D" w:rsidRPr="00011174" w:rsidP="007E3A0D">
            <w:pPr>
              <w:bidi w:val="0"/>
              <w:jc w:val="right"/>
              <w:rPr>
                <w:rFonts w:ascii="Times New Roman" w:hAnsi="Times New Roman"/>
                <w:b/>
                <w:bCs/>
                <w:sz w:val="22"/>
                <w:szCs w:val="22"/>
              </w:rPr>
            </w:pPr>
            <w:r w:rsidRPr="00011174">
              <w:rPr>
                <w:rFonts w:ascii="Times New Roman" w:hAnsi="Times New Roman"/>
                <w:b/>
                <w:bCs/>
                <w:sz w:val="22"/>
                <w:szCs w:val="22"/>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E3A0D" w:rsidRPr="00011174" w:rsidP="007E3A0D">
            <w:pPr>
              <w:bidi w:val="0"/>
              <w:jc w:val="right"/>
              <w:rPr>
                <w:rFonts w:ascii="Times New Roman" w:hAnsi="Times New Roman"/>
                <w:b/>
                <w:bCs/>
                <w:sz w:val="22"/>
                <w:szCs w:val="22"/>
              </w:rPr>
            </w:pPr>
            <w:r w:rsidRPr="00011174">
              <w:rPr>
                <w:rFonts w:ascii="Times New Roman" w:hAnsi="Times New Roman"/>
                <w:b/>
                <w:bCs/>
                <w:sz w:val="22"/>
                <w:szCs w:val="22"/>
              </w:rPr>
              <w:t>0</w:t>
            </w:r>
          </w:p>
        </w:tc>
      </w:tr>
    </w:tbl>
    <w:p w:rsidR="00B15B75" w:rsidP="00E3363B">
      <w:pPr>
        <w:bidi w:val="0"/>
        <w:rPr>
          <w:rFonts w:ascii="Times New Roman" w:hAnsi="Times New Roman"/>
          <w:b/>
          <w:bCs/>
        </w:rPr>
      </w:pPr>
      <w:bookmarkEnd w:id="0"/>
    </w:p>
    <w:p w:rsidR="00E3363B" w:rsidP="002271E7">
      <w:pPr>
        <w:bidi w:val="0"/>
        <w:jc w:val="both"/>
        <w:rPr>
          <w:rFonts w:ascii="Times New Roman" w:hAnsi="Times New Roman"/>
          <w:b/>
          <w:bCs/>
        </w:rPr>
      </w:pPr>
      <w:r w:rsidRPr="00C01A6E" w:rsidR="00B15B75">
        <w:rPr>
          <w:rFonts w:ascii="Times New Roman" w:hAnsi="Times New Roman"/>
          <w:b/>
          <w:bCs/>
        </w:rPr>
        <w:br w:type="page"/>
      </w:r>
      <w:r w:rsidR="00B15B75">
        <w:rPr>
          <w:rFonts w:ascii="Times New Roman" w:hAnsi="Times New Roman"/>
          <w:b/>
          <w:bCs/>
        </w:rPr>
        <w:t>2</w:t>
      </w:r>
      <w:r w:rsidRPr="007D5748">
        <w:rPr>
          <w:rFonts w:ascii="Times New Roman" w:hAnsi="Times New Roman"/>
          <w:b/>
          <w:bCs/>
        </w:rPr>
        <w:t>.1.1. Financovanie návrhu - Návrh na riešenie úbytku príjmov alebo zvýšených výdavkov podľa § 33 ods. 1 zákona č. 523/2004 Z. z. o rozpočtových pravidlách verejnej správy:</w:t>
      </w:r>
    </w:p>
    <w:p w:rsidR="00541AAA" w:rsidP="00B15B75">
      <w:pPr>
        <w:bidi w:val="0"/>
        <w:rPr>
          <w:rFonts w:ascii="Times New Roman" w:hAnsi="Times New Roman"/>
          <w:b/>
          <w:bCs/>
        </w:rPr>
      </w:pPr>
    </w:p>
    <w:p w:rsidR="00541AAA" w:rsidRPr="00341B85" w:rsidP="001C1FC7">
      <w:pPr>
        <w:bidi w:val="0"/>
        <w:jc w:val="both"/>
        <w:rPr>
          <w:rFonts w:ascii="Times New Roman" w:hAnsi="Times New Roman"/>
          <w:bCs/>
        </w:rPr>
      </w:pPr>
      <w:r w:rsidRPr="00341B85">
        <w:rPr>
          <w:rFonts w:ascii="Times New Roman" w:hAnsi="Times New Roman"/>
          <w:bCs/>
        </w:rPr>
        <w:t xml:space="preserve">Návrh predpokladá zvýšenie príjmov verejnej správy, ktoré budú plynúť do rozpočtu kapitoly </w:t>
      </w:r>
      <w:r w:rsidR="003977A1">
        <w:rPr>
          <w:rFonts w:ascii="Times New Roman" w:hAnsi="Times New Roman"/>
          <w:bCs/>
        </w:rPr>
        <w:t>M</w:t>
      </w:r>
      <w:r w:rsidRPr="00341B85">
        <w:rPr>
          <w:rFonts w:ascii="Times New Roman" w:hAnsi="Times New Roman"/>
          <w:bCs/>
        </w:rPr>
        <w:t>inisterstva zdravotníctva</w:t>
      </w:r>
      <w:r w:rsidR="003977A1">
        <w:rPr>
          <w:rFonts w:ascii="Times New Roman" w:hAnsi="Times New Roman"/>
          <w:bCs/>
        </w:rPr>
        <w:t xml:space="preserve"> SR</w:t>
      </w:r>
      <w:r w:rsidRPr="00341B85">
        <w:rPr>
          <w:rFonts w:ascii="Times New Roman" w:hAnsi="Times New Roman"/>
          <w:bCs/>
        </w:rPr>
        <w:t xml:space="preserve">. </w:t>
      </w:r>
      <w:r w:rsidRPr="00341B85" w:rsidR="001C1FC7">
        <w:rPr>
          <w:rFonts w:ascii="Times New Roman" w:hAnsi="Times New Roman"/>
          <w:bCs/>
        </w:rPr>
        <w:t>P</w:t>
      </w:r>
      <w:r w:rsidRPr="00341B85">
        <w:rPr>
          <w:rFonts w:ascii="Times New Roman" w:hAnsi="Times New Roman"/>
          <w:bCs/>
        </w:rPr>
        <w:t>ri predkladaní návrhu zákona</w:t>
      </w:r>
      <w:r w:rsidRPr="00341B85" w:rsidR="001C1FC7">
        <w:rPr>
          <w:rFonts w:ascii="Times New Roman" w:hAnsi="Times New Roman"/>
          <w:bCs/>
        </w:rPr>
        <w:t>,</w:t>
      </w:r>
      <w:r w:rsidRPr="00341B85">
        <w:rPr>
          <w:rFonts w:ascii="Times New Roman" w:hAnsi="Times New Roman"/>
          <w:bCs/>
        </w:rPr>
        <w:t xml:space="preserve"> </w:t>
      </w:r>
      <w:r w:rsidRPr="00341B85" w:rsidR="001C1FC7">
        <w:rPr>
          <w:rFonts w:ascii="Times New Roman" w:hAnsi="Times New Roman"/>
          <w:bCs/>
        </w:rPr>
        <w:t xml:space="preserve">ale </w:t>
      </w:r>
      <w:r w:rsidRPr="00341B85">
        <w:rPr>
          <w:rFonts w:ascii="Times New Roman" w:hAnsi="Times New Roman"/>
          <w:bCs/>
        </w:rPr>
        <w:t>nie je možné vyčísliť pozitívny dopad</w:t>
      </w:r>
      <w:r w:rsidRPr="00341B85" w:rsidR="001C1FC7">
        <w:rPr>
          <w:rFonts w:ascii="Times New Roman" w:hAnsi="Times New Roman"/>
          <w:bCs/>
        </w:rPr>
        <w:t>,</w:t>
      </w:r>
      <w:r w:rsidRPr="00341B85">
        <w:rPr>
          <w:rFonts w:ascii="Times New Roman" w:hAnsi="Times New Roman"/>
          <w:bCs/>
        </w:rPr>
        <w:t xml:space="preserve"> nakoľko nie je možné identifikovať počet rezidentov, ktorí nenaplnia ustanovenia predmetného zákona a z toho vyplývajúcich uložených pokút.</w:t>
      </w:r>
    </w:p>
    <w:p w:rsidR="00541AAA" w:rsidRPr="001C1FC7" w:rsidP="001C1FC7">
      <w:pPr>
        <w:bidi w:val="0"/>
        <w:jc w:val="both"/>
        <w:rPr>
          <w:rFonts w:ascii="Times New Roman" w:hAnsi="Times New Roman"/>
          <w:bCs/>
        </w:rPr>
      </w:pPr>
      <w:r w:rsidRPr="00341B85">
        <w:rPr>
          <w:rFonts w:ascii="Times New Roman" w:hAnsi="Times New Roman"/>
          <w:bCs/>
        </w:rPr>
        <w:t>Výdavky v celkovom objeme 7 250 000 € budú vykryté zo schváleného limitu výdavkov štátneho rozpočtu kapitoly Ministerstva zdravotníctva SR na jednotlivé roky.</w:t>
      </w:r>
    </w:p>
    <w:p w:rsidR="00E3363B" w:rsidRPr="001C1FC7" w:rsidP="001C1FC7">
      <w:pPr>
        <w:bidi w:val="0"/>
        <w:jc w:val="both"/>
        <w:rPr>
          <w:rFonts w:ascii="Times New Roman" w:hAnsi="Times New Roman"/>
          <w:bCs/>
          <w:sz w:val="12"/>
        </w:rPr>
      </w:pPr>
    </w:p>
    <w:p w:rsidR="00541AAA" w:rsidP="00E3363B">
      <w:pPr>
        <w:bidi w:val="0"/>
        <w:rPr>
          <w:rFonts w:ascii="Times New Roman" w:hAnsi="Times New Roman"/>
          <w:b/>
          <w:bCs/>
        </w:rPr>
      </w:pPr>
    </w:p>
    <w:p w:rsidR="00E3363B" w:rsidRPr="007D5748" w:rsidP="00E3363B">
      <w:pPr>
        <w:bidi w:val="0"/>
        <w:outlineLvl w:val="0"/>
        <w:rPr>
          <w:rFonts w:ascii="Times New Roman" w:hAnsi="Times New Roman"/>
          <w:b/>
          <w:bCs/>
        </w:rPr>
      </w:pPr>
      <w:r w:rsidRPr="007D5748">
        <w:rPr>
          <w:rFonts w:ascii="Times New Roman" w:hAnsi="Times New Roman"/>
          <w:b/>
          <w:bCs/>
        </w:rPr>
        <w:t>2.2. Popis a charakteristika návrhu</w:t>
      </w:r>
    </w:p>
    <w:p w:rsidR="00E3363B" w:rsidRPr="007D5748" w:rsidP="00E3363B">
      <w:pPr>
        <w:bidi w:val="0"/>
        <w:rPr>
          <w:rFonts w:ascii="Times New Roman" w:hAnsi="Times New Roman"/>
        </w:rPr>
      </w:pPr>
    </w:p>
    <w:p w:rsidR="00E3363B" w:rsidRPr="007D5748" w:rsidP="00E3363B">
      <w:pPr>
        <w:bidi w:val="0"/>
        <w:jc w:val="both"/>
        <w:outlineLvl w:val="0"/>
        <w:rPr>
          <w:rFonts w:ascii="Times New Roman" w:hAnsi="Times New Roman"/>
          <w:b/>
          <w:bCs/>
        </w:rPr>
      </w:pPr>
      <w:r w:rsidRPr="007D5748">
        <w:rPr>
          <w:rFonts w:ascii="Times New Roman" w:hAnsi="Times New Roman"/>
          <w:b/>
          <w:bCs/>
        </w:rPr>
        <w:t>2.2.1. Popis návrhu:</w:t>
      </w:r>
    </w:p>
    <w:p w:rsidR="00E3363B" w:rsidRPr="007D5748" w:rsidP="00E3363B">
      <w:pPr>
        <w:bidi w:val="0"/>
        <w:jc w:val="both"/>
        <w:rPr>
          <w:rFonts w:ascii="Times New Roman" w:hAnsi="Times New Roman"/>
          <w:b/>
          <w:bCs/>
        </w:rPr>
      </w:pPr>
    </w:p>
    <w:p w:rsidR="00852472" w:rsidRPr="00852472" w:rsidP="00852472">
      <w:pPr>
        <w:bidi w:val="0"/>
        <w:jc w:val="both"/>
        <w:rPr>
          <w:rFonts w:ascii="Times New Roman" w:hAnsi="Times New Roman"/>
        </w:rPr>
      </w:pPr>
      <w:r w:rsidRPr="00852472">
        <w:rPr>
          <w:rFonts w:ascii="Times New Roman" w:hAnsi="Times New Roman"/>
        </w:rPr>
        <w:t xml:space="preserve">Návrh novely zákona rieši poskytnutie účelovo viazaných finančných prostriedkov </w:t>
      </w:r>
      <w:r>
        <w:rPr>
          <w:rFonts w:ascii="Times New Roman" w:hAnsi="Times New Roman"/>
        </w:rPr>
        <w:t xml:space="preserve">                </w:t>
      </w:r>
      <w:r w:rsidRPr="00852472">
        <w:rPr>
          <w:rFonts w:ascii="Times New Roman" w:hAnsi="Times New Roman"/>
        </w:rPr>
        <w:t>na rezidentské štúdium.</w:t>
      </w:r>
    </w:p>
    <w:p w:rsidR="00852472" w:rsidRPr="00852472" w:rsidP="00852472">
      <w:pPr>
        <w:bidi w:val="0"/>
        <w:jc w:val="both"/>
        <w:rPr>
          <w:rFonts w:ascii="Times New Roman" w:hAnsi="Times New Roman"/>
        </w:rPr>
      </w:pPr>
      <w:r w:rsidRPr="00852472">
        <w:rPr>
          <w:rFonts w:ascii="Times New Roman" w:hAnsi="Times New Roman"/>
        </w:rPr>
        <w:t>Ustanovujú sa položky poskytnutia účelovo viazaných finančných prostriedkov na rezidentské štúdium z rozpočtovej kapitoly Ministerstva zdravotníctva SR na vybrané špecializačné odbory v samosprávnych krajoch v ktorých je nedostatok týchto špecialistov.</w:t>
      </w:r>
    </w:p>
    <w:p w:rsidR="00852472" w:rsidRPr="00852472" w:rsidP="00852472">
      <w:pPr>
        <w:bidi w:val="0"/>
        <w:jc w:val="both"/>
        <w:rPr>
          <w:rFonts w:ascii="Times New Roman" w:hAnsi="Times New Roman"/>
        </w:rPr>
      </w:pPr>
      <w:r w:rsidRPr="00852472">
        <w:rPr>
          <w:rFonts w:ascii="Times New Roman" w:hAnsi="Times New Roman"/>
        </w:rPr>
        <w:t xml:space="preserve">Finančné prostriedky na rezidentské štúdium bude poskytovať Ministerstvo zdravotníctva SR do 31. decembra 2020 vzdelávacím ustanovizniam ktoré uskutočňujú rezidentské štúdium. </w:t>
      </w:r>
      <w:r>
        <w:rPr>
          <w:rFonts w:ascii="Times New Roman" w:hAnsi="Times New Roman"/>
        </w:rPr>
        <w:t xml:space="preserve">                </w:t>
      </w:r>
      <w:r w:rsidRPr="00852472">
        <w:rPr>
          <w:rFonts w:ascii="Times New Roman" w:hAnsi="Times New Roman"/>
        </w:rPr>
        <w:t>Od 1. januára 2021 budú finančné prostriedky poskytované zamestnávateľovi rezidenta.</w:t>
      </w:r>
    </w:p>
    <w:p w:rsidR="00E3363B" w:rsidRPr="007D5748" w:rsidP="00E3363B">
      <w:pPr>
        <w:bidi w:val="0"/>
        <w:rPr>
          <w:rFonts w:ascii="Times New Roman" w:hAnsi="Times New Roman"/>
        </w:rPr>
      </w:pPr>
    </w:p>
    <w:p w:rsidR="00E3363B" w:rsidRPr="007D5748" w:rsidP="00E3363B">
      <w:pPr>
        <w:bidi w:val="0"/>
        <w:outlineLvl w:val="0"/>
        <w:rPr>
          <w:rFonts w:ascii="Times New Roman" w:hAnsi="Times New Roman"/>
          <w:b/>
          <w:bCs/>
        </w:rPr>
      </w:pPr>
      <w:r w:rsidRPr="007D5748">
        <w:rPr>
          <w:rFonts w:ascii="Times New Roman" w:hAnsi="Times New Roman"/>
          <w:b/>
          <w:bCs/>
        </w:rPr>
        <w:t>2.2.2. Charakteristika návrhu:</w:t>
      </w:r>
    </w:p>
    <w:p w:rsidR="00E3363B" w:rsidRPr="007D5748" w:rsidP="00E3363B">
      <w:pPr>
        <w:bidi w:val="0"/>
        <w:rPr>
          <w:rFonts w:ascii="Times New Roman" w:hAnsi="Times New Roman"/>
        </w:rPr>
      </w:pPr>
    </w:p>
    <w:p w:rsidR="00E3363B" w:rsidRPr="007D5748" w:rsidP="00E3363B">
      <w:pPr>
        <w:bidi w:val="0"/>
        <w:rPr>
          <w:rFonts w:ascii="Times New Roman" w:hAnsi="Times New Roman"/>
        </w:rPr>
      </w:pPr>
      <w:r w:rsidRPr="007D5748">
        <w:rPr>
          <w:rFonts w:ascii="Times New Roman" w:hAnsi="Times New Roman"/>
          <w:b/>
          <w:bdr w:val="single" w:sz="4" w:space="0" w:color="auto"/>
        </w:rPr>
        <w:t xml:space="preserve">     </w:t>
      </w:r>
      <w:r w:rsidRPr="007D5748">
        <w:rPr>
          <w:rFonts w:ascii="Times New Roman" w:hAnsi="Times New Roman"/>
          <w:b/>
        </w:rPr>
        <w:t xml:space="preserve">  </w:t>
      </w:r>
      <w:r w:rsidRPr="007D5748">
        <w:rPr>
          <w:rFonts w:ascii="Times New Roman" w:hAnsi="Times New Roman"/>
        </w:rPr>
        <w:t>zmena sadzby</w:t>
      </w:r>
    </w:p>
    <w:p w:rsidR="00E3363B" w:rsidRPr="007D5748" w:rsidP="00E3363B">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zmena v nároku</w:t>
      </w:r>
    </w:p>
    <w:p w:rsidR="00E3363B" w:rsidRPr="007D5748" w:rsidP="00E3363B">
      <w:pPr>
        <w:bidi w:val="0"/>
        <w:rPr>
          <w:rFonts w:ascii="Times New Roman" w:hAnsi="Times New Roman"/>
        </w:rPr>
      </w:pPr>
      <w:r w:rsidRPr="007D5748">
        <w:rPr>
          <w:rFonts w:ascii="Times New Roman" w:hAnsi="Times New Roman"/>
          <w:bdr w:val="single" w:sz="4" w:space="0" w:color="auto"/>
        </w:rPr>
        <w:t xml:space="preserve"> </w:t>
      </w:r>
      <w:r>
        <w:rPr>
          <w:rFonts w:ascii="Times New Roman" w:hAnsi="Times New Roman"/>
          <w:bdr w:val="single" w:sz="4" w:space="0" w:color="auto"/>
        </w:rPr>
        <w:t>X</w:t>
      </w:r>
      <w:r w:rsidRPr="007D5748">
        <w:rPr>
          <w:rFonts w:ascii="Times New Roman" w:hAnsi="Times New Roman"/>
          <w:bdr w:val="single" w:sz="4" w:space="0" w:color="auto"/>
        </w:rPr>
        <w:t xml:space="preserve"> </w:t>
      </w:r>
      <w:r w:rsidRPr="007D5748">
        <w:rPr>
          <w:rFonts w:ascii="Times New Roman" w:hAnsi="Times New Roman"/>
        </w:rPr>
        <w:t xml:space="preserve">  nová služba alebo nariadenie (alebo ich zrušenie)</w:t>
      </w:r>
    </w:p>
    <w:p w:rsidR="00E3363B" w:rsidRPr="007D5748" w:rsidP="00E3363B">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kombinovaný návrh</w:t>
      </w:r>
    </w:p>
    <w:p w:rsidR="00E3363B" w:rsidRPr="007D5748" w:rsidP="00E3363B">
      <w:pPr>
        <w:bidi w:val="0"/>
        <w:rPr>
          <w:rFonts w:ascii="Times New Roman" w:hAnsi="Times New Roman"/>
        </w:rPr>
      </w:pPr>
      <w:r w:rsidRPr="007D5748">
        <w:rPr>
          <w:rFonts w:ascii="Times New Roman" w:hAnsi="Times New Roman"/>
          <w:bdr w:val="single" w:sz="4" w:space="0" w:color="auto"/>
        </w:rPr>
        <w:t xml:space="preserve">     </w:t>
      </w:r>
      <w:r w:rsidRPr="007D5748">
        <w:rPr>
          <w:rFonts w:ascii="Times New Roman" w:hAnsi="Times New Roman"/>
        </w:rPr>
        <w:t xml:space="preserve">  iné </w:t>
      </w:r>
    </w:p>
    <w:p w:rsidR="00E3363B" w:rsidRPr="007D5748" w:rsidP="00E3363B">
      <w:pPr>
        <w:bidi w:val="0"/>
        <w:rPr>
          <w:rFonts w:ascii="Times New Roman" w:hAnsi="Times New Roman"/>
        </w:rPr>
      </w:pPr>
    </w:p>
    <w:p w:rsidR="00E3363B" w:rsidRPr="007D5748" w:rsidP="00E3363B">
      <w:pPr>
        <w:bidi w:val="0"/>
        <w:rPr>
          <w:rFonts w:ascii="Times New Roman" w:hAnsi="Times New Roman"/>
        </w:rPr>
      </w:pPr>
    </w:p>
    <w:p w:rsidR="00E3363B" w:rsidRPr="00341B85" w:rsidP="00E3363B">
      <w:pPr>
        <w:bidi w:val="0"/>
        <w:outlineLvl w:val="0"/>
        <w:rPr>
          <w:rFonts w:ascii="Times New Roman" w:hAnsi="Times New Roman"/>
        </w:rPr>
      </w:pPr>
      <w:r w:rsidRPr="00341B85">
        <w:rPr>
          <w:rFonts w:ascii="Times New Roman" w:hAnsi="Times New Roman"/>
          <w:b/>
          <w:bCs/>
        </w:rPr>
        <w:t>2.2.3. Predpoklady vývoja objemu aktivít:</w:t>
      </w:r>
    </w:p>
    <w:p w:rsidR="00E3363B" w:rsidRPr="00341B85" w:rsidP="00E3363B">
      <w:pPr>
        <w:bidi w:val="0"/>
        <w:rPr>
          <w:rFonts w:ascii="Times New Roman" w:hAnsi="Times New Roman"/>
        </w:rPr>
      </w:pPr>
    </w:p>
    <w:p w:rsidR="00E3363B" w:rsidRPr="00341B85" w:rsidP="00E3363B">
      <w:pPr>
        <w:bidi w:val="0"/>
        <w:ind w:firstLine="708"/>
        <w:jc w:val="both"/>
        <w:rPr>
          <w:rFonts w:ascii="Times New Roman" w:hAnsi="Times New Roman"/>
        </w:rPr>
      </w:pPr>
      <w:r w:rsidRPr="00341B85" w:rsidR="00341B85">
        <w:rPr>
          <w:rFonts w:ascii="Times New Roman" w:hAnsi="Times New Roman"/>
        </w:rPr>
        <w:t>O</w:t>
      </w:r>
      <w:r w:rsidR="00010A03">
        <w:rPr>
          <w:rFonts w:ascii="Times New Roman" w:hAnsi="Times New Roman"/>
        </w:rPr>
        <w:t>dhadov</w:t>
      </w:r>
      <w:r w:rsidRPr="00341B85">
        <w:rPr>
          <w:rFonts w:ascii="Times New Roman" w:hAnsi="Times New Roman"/>
        </w:rPr>
        <w:t xml:space="preserve"> základov daní a/alebo poplatkov sa táto zmena </w:t>
      </w:r>
      <w:r w:rsidRPr="00341B85" w:rsidR="00341B85">
        <w:rPr>
          <w:rFonts w:ascii="Times New Roman" w:hAnsi="Times New Roman"/>
        </w:rPr>
        <w:t>ne</w:t>
      </w:r>
      <w:r w:rsidRPr="00341B85">
        <w:rPr>
          <w:rFonts w:ascii="Times New Roman" w:hAnsi="Times New Roman"/>
        </w:rPr>
        <w:t>týka.</w:t>
      </w:r>
    </w:p>
    <w:p w:rsidR="00341B85" w:rsidRPr="001C1FC7" w:rsidP="00E3363B">
      <w:pPr>
        <w:bidi w:val="0"/>
        <w:jc w:val="both"/>
        <w:rPr>
          <w:rFonts w:ascii="Times New Roman" w:hAnsi="Times New Roman"/>
          <w:color w:val="FF0000"/>
        </w:rPr>
      </w:pPr>
    </w:p>
    <w:p w:rsidR="00E3363B" w:rsidRPr="007D5748" w:rsidP="00E3363B">
      <w:pPr>
        <w:bidi w:val="0"/>
        <w:jc w:val="right"/>
        <w:outlineLvl w:val="0"/>
        <w:rPr>
          <w:rFonts w:ascii="Times New Roman" w:hAnsi="Times New Roman"/>
          <w:sz w:val="20"/>
          <w:szCs w:val="20"/>
        </w:rPr>
      </w:pPr>
      <w:r w:rsidRPr="007D5748">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E3363B">
            <w:pPr>
              <w:autoSpaceDE w:val="0"/>
              <w:autoSpaceDN w:val="0"/>
              <w:bidi w:val="0"/>
              <w:adjustRightInd w:val="0"/>
              <w:jc w:val="center"/>
              <w:rPr>
                <w:rFonts w:ascii="Times New Roman" w:hAnsi="Times New Roman"/>
                <w:b/>
                <w:bCs/>
              </w:rPr>
            </w:pPr>
            <w:r w:rsidRPr="007D5748">
              <w:rPr>
                <w:rFonts w:ascii="Times New Roman" w:hAnsi="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E3363B">
            <w:pPr>
              <w:autoSpaceDE w:val="0"/>
              <w:autoSpaceDN w:val="0"/>
              <w:bidi w:val="0"/>
              <w:adjustRightInd w:val="0"/>
              <w:jc w:val="center"/>
              <w:rPr>
                <w:rFonts w:ascii="Times New Roman" w:hAnsi="Times New Roman"/>
                <w:b/>
                <w:bCs/>
              </w:rPr>
            </w:pPr>
            <w:r w:rsidRPr="007D5748">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E3363B" w:rsidRPr="007D5748" w:rsidP="00E3363B">
            <w:pPr>
              <w:autoSpaceDE w:val="0"/>
              <w:autoSpaceDN w:val="0"/>
              <w:bidi w:val="0"/>
              <w:adjustRightInd w:val="0"/>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CE56F1">
            <w:pPr>
              <w:autoSpaceDE w:val="0"/>
              <w:autoSpaceDN w:val="0"/>
              <w:bidi w:val="0"/>
              <w:adjustRightInd w:val="0"/>
              <w:jc w:val="center"/>
              <w:rPr>
                <w:rFonts w:ascii="Times New Roman" w:hAnsi="Times New Roman"/>
                <w:b/>
                <w:bCs/>
              </w:rPr>
            </w:pPr>
            <w:r>
              <w:rPr>
                <w:rFonts w:ascii="Times New Roman" w:hAnsi="Times New Roman"/>
                <w:b/>
                <w:bCs/>
              </w:rPr>
              <w:t>201</w:t>
            </w:r>
            <w:r w:rsidR="00CE56F1">
              <w:rPr>
                <w:rFonts w:ascii="Times New Roman" w:hAnsi="Times New Roman"/>
                <w:b/>
                <w:bCs/>
              </w:rPr>
              <w:t>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CE56F1">
            <w:pPr>
              <w:autoSpaceDE w:val="0"/>
              <w:autoSpaceDN w:val="0"/>
              <w:bidi w:val="0"/>
              <w:adjustRightInd w:val="0"/>
              <w:jc w:val="center"/>
              <w:rPr>
                <w:rFonts w:ascii="Times New Roman" w:hAnsi="Times New Roman"/>
                <w:b/>
                <w:bCs/>
              </w:rPr>
            </w:pPr>
            <w:r>
              <w:rPr>
                <w:rFonts w:ascii="Times New Roman" w:hAnsi="Times New Roman"/>
                <w:b/>
                <w:bCs/>
              </w:rPr>
              <w:t>201</w:t>
            </w:r>
            <w:r w:rsidR="00CE56F1">
              <w:rPr>
                <w:rFonts w:ascii="Times New Roman" w:hAnsi="Times New Roman"/>
                <w:b/>
                <w:bCs/>
              </w:rPr>
              <w:t>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CE56F1">
            <w:pPr>
              <w:autoSpaceDE w:val="0"/>
              <w:autoSpaceDN w:val="0"/>
              <w:bidi w:val="0"/>
              <w:adjustRightInd w:val="0"/>
              <w:jc w:val="center"/>
              <w:rPr>
                <w:rFonts w:ascii="Times New Roman" w:hAnsi="Times New Roman"/>
                <w:b/>
                <w:bCs/>
              </w:rPr>
            </w:pPr>
            <w:r>
              <w:rPr>
                <w:rFonts w:ascii="Times New Roman" w:hAnsi="Times New Roman"/>
                <w:b/>
                <w:bCs/>
              </w:rPr>
              <w:t>20</w:t>
            </w:r>
            <w:r w:rsidR="00CE56F1">
              <w:rPr>
                <w:rFonts w:ascii="Times New Roman" w:hAnsi="Times New Roman"/>
                <w:b/>
                <w:bCs/>
              </w:rPr>
              <w:t>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CE56F1">
            <w:pPr>
              <w:autoSpaceDE w:val="0"/>
              <w:autoSpaceDN w:val="0"/>
              <w:bidi w:val="0"/>
              <w:adjustRightInd w:val="0"/>
              <w:jc w:val="center"/>
              <w:rPr>
                <w:rFonts w:ascii="Times New Roman" w:hAnsi="Times New Roman"/>
                <w:b/>
                <w:bCs/>
              </w:rPr>
            </w:pPr>
            <w:r>
              <w:rPr>
                <w:rFonts w:ascii="Times New Roman" w:hAnsi="Times New Roman"/>
                <w:b/>
                <w:bCs/>
              </w:rPr>
              <w:t>202</w:t>
            </w:r>
            <w:r w:rsidR="0010497B">
              <w:rPr>
                <w:rFonts w:ascii="Times New Roman" w:hAnsi="Times New Roman"/>
                <w:b/>
                <w:bCs/>
              </w:rPr>
              <w:t>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rPr>
                <w:rFonts w:ascii="Times New Roman" w:hAnsi="Times New Roman"/>
                <w:color w:val="000000"/>
              </w:rPr>
            </w:pPr>
            <w:r w:rsidRPr="007D5748">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rPr>
                <w:rFonts w:ascii="Times New Roman" w:hAnsi="Times New Roman"/>
                <w:color w:val="000000"/>
              </w:rPr>
            </w:pPr>
            <w:r w:rsidRPr="007D5748">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rPr>
                <w:rFonts w:ascii="Times New Roman" w:hAnsi="Times New Roman"/>
                <w:color w:val="000000"/>
              </w:rPr>
            </w:pPr>
            <w:r w:rsidRPr="007D5748">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3363B" w:rsidRPr="007D5748" w:rsidP="00E3363B">
            <w:pPr>
              <w:autoSpaceDE w:val="0"/>
              <w:autoSpaceDN w:val="0"/>
              <w:bidi w:val="0"/>
              <w:adjustRightInd w:val="0"/>
              <w:jc w:val="right"/>
              <w:rPr>
                <w:rFonts w:ascii="Times New Roman" w:hAnsi="Times New Roman"/>
                <w:color w:val="000000"/>
              </w:rPr>
            </w:pPr>
          </w:p>
        </w:tc>
      </w:tr>
    </w:tbl>
    <w:p w:rsidR="00E3363B" w:rsidRPr="007D5748" w:rsidP="00E3363B">
      <w:pPr>
        <w:bidi w:val="0"/>
        <w:rPr>
          <w:rFonts w:ascii="Times New Roman" w:hAnsi="Times New Roman"/>
        </w:rPr>
      </w:pPr>
    </w:p>
    <w:p w:rsidR="00E3363B" w:rsidRPr="007D5748" w:rsidP="00E3363B">
      <w:pPr>
        <w:bidi w:val="0"/>
        <w:outlineLvl w:val="0"/>
        <w:rPr>
          <w:rFonts w:ascii="Times New Roman" w:hAnsi="Times New Roman"/>
          <w:b/>
          <w:bCs/>
        </w:rPr>
      </w:pPr>
      <w:r w:rsidRPr="007D5748">
        <w:rPr>
          <w:rFonts w:ascii="Times New Roman" w:hAnsi="Times New Roman"/>
          <w:b/>
          <w:bCs/>
        </w:rPr>
        <w:t>2.2.4. Výpočty vplyvov na verejné financie</w:t>
      </w:r>
    </w:p>
    <w:p w:rsidR="00852472" w:rsidRPr="00852472" w:rsidP="00852472">
      <w:pPr>
        <w:bidi w:val="0"/>
        <w:rPr>
          <w:rFonts w:ascii="Times New Roman" w:hAnsi="Times New Roman"/>
          <w:bCs/>
        </w:rPr>
      </w:pPr>
      <w:r w:rsidRPr="00852472">
        <w:rPr>
          <w:rFonts w:ascii="Times New Roman" w:hAnsi="Times New Roman"/>
          <w:bCs/>
        </w:rPr>
        <w:t>Finančné prostriedky z rozpočtovej kapitoly Ministerstva zdravotníctva Slovenskej republiky v sume 7 250 000 € sú  zahrnuté:</w:t>
      </w:r>
    </w:p>
    <w:p w:rsidR="00852472" w:rsidRPr="00852472" w:rsidP="00262CD5">
      <w:pPr>
        <w:numPr>
          <w:numId w:val="7"/>
        </w:numPr>
        <w:bidi w:val="0"/>
        <w:jc w:val="both"/>
        <w:rPr>
          <w:rFonts w:ascii="Times New Roman" w:hAnsi="Times New Roman"/>
          <w:bCs/>
        </w:rPr>
      </w:pPr>
      <w:r w:rsidRPr="00852472">
        <w:rPr>
          <w:rFonts w:ascii="Times New Roman" w:hAnsi="Times New Roman"/>
        </w:rPr>
        <w:t xml:space="preserve">náhrada mzdy rezidenta vo výške 1,25 násobku priemernej mesačnej mzdy zamestnanca v hospodárstve Slovenskej republiky zistenej Štatistickým úradom Slovenskej republiky za kalendárny rok, ktorý dva roky predchádza kalendárnemu roku, za ktorý sa náhrada mzdy za príslušný mesiac kalendárneho roku poskytuje vrátane odvodov zamestnávateľa za poskytnutú náhradu mzdy. Pre rok 2018 výška násobku priemernej mesačnej mzdy lekára je stanovená na </w:t>
      </w:r>
      <w:r w:rsidRPr="00852472">
        <w:rPr>
          <w:rFonts w:ascii="Times New Roman" w:hAnsi="Times New Roman"/>
          <w:bCs/>
        </w:rPr>
        <w:t xml:space="preserve">1 140 € pri predpokladanom počte 400 rezidentov je spolu 5 472 000,00 €, </w:t>
      </w:r>
    </w:p>
    <w:p w:rsidR="00852472" w:rsidRPr="00852472" w:rsidP="00262CD5">
      <w:pPr>
        <w:numPr>
          <w:numId w:val="7"/>
        </w:numPr>
        <w:bidi w:val="0"/>
        <w:jc w:val="both"/>
        <w:rPr>
          <w:rFonts w:ascii="Times New Roman" w:hAnsi="Times New Roman"/>
          <w:bCs/>
        </w:rPr>
      </w:pPr>
      <w:r w:rsidRPr="00852472">
        <w:rPr>
          <w:rFonts w:ascii="Times New Roman" w:hAnsi="Times New Roman"/>
          <w:bCs/>
        </w:rPr>
        <w:t xml:space="preserve">odmena pre školiteľov v rámci rezidentského štúdia za rok je 1 366 960,00 €; </w:t>
      </w:r>
    </w:p>
    <w:p w:rsidR="00852472" w:rsidRPr="00852472" w:rsidP="00262CD5">
      <w:pPr>
        <w:numPr>
          <w:numId w:val="7"/>
        </w:numPr>
        <w:bidi w:val="0"/>
        <w:jc w:val="both"/>
        <w:rPr>
          <w:rFonts w:ascii="Times New Roman" w:hAnsi="Times New Roman"/>
          <w:bCs/>
        </w:rPr>
      </w:pPr>
      <w:r w:rsidRPr="00852472">
        <w:rPr>
          <w:rFonts w:ascii="Times New Roman" w:hAnsi="Times New Roman"/>
        </w:rPr>
        <w:t xml:space="preserve">náklady na refundáciu úhrady rezidenta za rezidentské štúdium </w:t>
      </w:r>
      <w:r w:rsidRPr="00852472">
        <w:rPr>
          <w:rFonts w:ascii="Times New Roman" w:hAnsi="Times New Roman"/>
          <w:bCs/>
        </w:rPr>
        <w:t>vo výške 443,6 €  podľa osobitného predpisu určeného pre špecializačné štúdium. Na 400 rezidentov    to činí 177 440,00 €;</w:t>
      </w:r>
    </w:p>
    <w:p w:rsidR="00852472" w:rsidRPr="00852472" w:rsidP="00262CD5">
      <w:pPr>
        <w:numPr>
          <w:numId w:val="7"/>
        </w:numPr>
        <w:bidi w:val="0"/>
        <w:jc w:val="both"/>
        <w:rPr>
          <w:rFonts w:ascii="Times New Roman" w:hAnsi="Times New Roman"/>
          <w:bCs/>
        </w:rPr>
      </w:pPr>
      <w:r w:rsidRPr="00852472">
        <w:rPr>
          <w:rFonts w:ascii="Times New Roman" w:hAnsi="Times New Roman"/>
        </w:rPr>
        <w:t>náklady na administráciu súvisiacu s rezidentským štúdiom</w:t>
      </w:r>
      <w:r w:rsidRPr="00852472">
        <w:rPr>
          <w:rFonts w:ascii="Times New Roman" w:hAnsi="Times New Roman"/>
          <w:bCs/>
        </w:rPr>
        <w:t xml:space="preserve"> ročne sú vo výške  153 600 €;</w:t>
      </w:r>
    </w:p>
    <w:p w:rsidR="00852472" w:rsidRPr="00852472" w:rsidP="00262CD5">
      <w:pPr>
        <w:numPr>
          <w:numId w:val="7"/>
        </w:numPr>
        <w:tabs>
          <w:tab w:val="num" w:pos="426"/>
        </w:tabs>
        <w:bidi w:val="0"/>
        <w:jc w:val="both"/>
        <w:rPr>
          <w:rFonts w:ascii="Times New Roman" w:hAnsi="Times New Roman"/>
          <w:bCs/>
        </w:rPr>
      </w:pPr>
      <w:r w:rsidRPr="00852472">
        <w:rPr>
          <w:rFonts w:ascii="Times New Roman" w:hAnsi="Times New Roman"/>
          <w:bCs/>
        </w:rPr>
        <w:t>náklady na osobné ochranné pracovné prostriedky rezidenta predstavujú 200 € x 400, t.j. celková výška 80 000,00 €.</w:t>
        <w:tab/>
        <w:tab/>
        <w:tab/>
        <w:tab/>
        <w:tab/>
        <w:t xml:space="preserve"> </w:t>
      </w:r>
    </w:p>
    <w:p w:rsidR="00852472" w:rsidRPr="00852472" w:rsidP="00852472">
      <w:pPr>
        <w:bidi w:val="0"/>
        <w:rPr>
          <w:rFonts w:ascii="Times New Roman" w:hAnsi="Times New Roman"/>
          <w:bCs/>
        </w:rPr>
      </w:pPr>
    </w:p>
    <w:p w:rsidR="00E3363B" w:rsidRPr="007D5748" w:rsidP="00E3363B">
      <w:pPr>
        <w:bidi w:val="0"/>
        <w:rPr>
          <w:rFonts w:ascii="Times New Roman" w:hAnsi="Times New Roman"/>
        </w:rPr>
      </w:pPr>
    </w:p>
    <w:p w:rsidR="00341B85" w:rsidP="00EA7022">
      <w:pPr>
        <w:bidi w:val="0"/>
        <w:jc w:val="both"/>
        <w:rPr>
          <w:rFonts w:ascii="Times New Roman" w:hAnsi="Times New Roman"/>
        </w:rPr>
      </w:pPr>
    </w:p>
    <w:p w:rsidR="0072143A" w:rsidRPr="007D5748" w:rsidP="00BA6726">
      <w:pPr>
        <w:tabs>
          <w:tab w:val="num" w:pos="426"/>
        </w:tabs>
        <w:bidi w:val="0"/>
        <w:spacing w:line="276" w:lineRule="auto"/>
        <w:jc w:val="both"/>
        <w:rPr>
          <w:rFonts w:ascii="Times New Roman" w:hAnsi="Times New Roman"/>
          <w:bCs/>
          <w:szCs w:val="20"/>
        </w:rPr>
      </w:pPr>
    </w:p>
    <w:p w:rsidR="00CE20C5" w:rsidRPr="007D5748" w:rsidP="00BA6726">
      <w:pPr>
        <w:tabs>
          <w:tab w:val="num" w:pos="426"/>
        </w:tabs>
        <w:bidi w:val="0"/>
        <w:spacing w:line="276" w:lineRule="auto"/>
        <w:jc w:val="both"/>
        <w:rPr>
          <w:rFonts w:ascii="Times New Roman" w:hAnsi="Times New Roman"/>
          <w:bCs/>
          <w:szCs w:val="20"/>
        </w:rPr>
        <w:sectPr w:rsidSect="00E3363B">
          <w:headerReference w:type="even" r:id="rId4"/>
          <w:headerReference w:type="default" r:id="rId5"/>
          <w:footerReference w:type="even" r:id="rId6"/>
          <w:footerReference w:type="default" r:id="rId7"/>
          <w:headerReference w:type="first" r:id="rId8"/>
          <w:footerReference w:type="first" r:id="rId9"/>
          <w:pgSz w:w="11906" w:h="16838"/>
          <w:pgMar w:top="1417" w:right="1417" w:bottom="1276" w:left="1417" w:header="708" w:footer="708" w:gutter="0"/>
          <w:lnNumType w:distance="0"/>
          <w:pgNumType w:start="1"/>
          <w:cols w:space="708"/>
          <w:noEndnote w:val="0"/>
          <w:bidi w:val="0"/>
          <w:docGrid w:linePitch="360"/>
        </w:sectPr>
      </w:pPr>
    </w:p>
    <w:p w:rsidR="00E3363B" w:rsidRPr="007D5748" w:rsidP="00E3363B">
      <w:pPr>
        <w:tabs>
          <w:tab w:val="num" w:pos="1080"/>
        </w:tabs>
        <w:bidi w:val="0"/>
        <w:jc w:val="right"/>
        <w:rPr>
          <w:rFonts w:ascii="Times New Roman" w:hAnsi="Times New Roman"/>
          <w:bCs/>
        </w:rPr>
      </w:pPr>
      <w:r w:rsidRPr="007D5748">
        <w:rPr>
          <w:rFonts w:ascii="Times New Roman" w:hAnsi="Times New Roman"/>
          <w:bCs/>
        </w:rPr>
        <w:t xml:space="preserve">Tabuľka č. 3 </w:t>
      </w:r>
    </w:p>
    <w:p w:rsidR="00E3363B" w:rsidRPr="007D5748" w:rsidP="00E3363B">
      <w:pPr>
        <w:tabs>
          <w:tab w:val="num" w:pos="1080"/>
        </w:tabs>
        <w:bidi w:val="0"/>
        <w:jc w:val="both"/>
        <w:rPr>
          <w:rFonts w:ascii="Times New Roman" w:hAnsi="Times New Roman"/>
          <w:bCs/>
          <w:szCs w:val="20"/>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E3363B" w:rsidRPr="007D5748" w:rsidP="00E3363B">
            <w:pPr>
              <w:bidi w:val="0"/>
              <w:jc w:val="center"/>
              <w:rPr>
                <w:rFonts w:ascii="Times New Roman" w:hAnsi="Times New Roman"/>
                <w:b/>
                <w:bCs/>
              </w:rPr>
            </w:pPr>
            <w:r w:rsidRPr="007D5748">
              <w:rPr>
                <w:rFonts w:ascii="Times New Roman" w:hAnsi="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E3363B" w:rsidRPr="007D5748" w:rsidP="00E3363B">
            <w:pPr>
              <w:bidi w:val="0"/>
              <w:jc w:val="center"/>
              <w:rPr>
                <w:rFonts w:ascii="Times New Roman" w:hAnsi="Times New Roman"/>
                <w:b/>
                <w:bCs/>
              </w:rPr>
            </w:pPr>
            <w:r w:rsidRPr="007D5748">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E3363B" w:rsidRPr="007D5748" w:rsidP="00E3363B">
            <w:pPr>
              <w:bidi w:val="0"/>
              <w:jc w:val="center"/>
              <w:rPr>
                <w:rFonts w:ascii="Times New Roman" w:hAnsi="Times New Roman"/>
                <w:b/>
                <w:bCs/>
              </w:rPr>
            </w:pPr>
            <w:r w:rsidRPr="007D5748">
              <w:rPr>
                <w:rFonts w:ascii="Times New Roman" w:hAnsi="Times New Roman"/>
                <w:b/>
                <w:bCs/>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E3363B" w:rsidRPr="007D5748" w:rsidP="00E3363B">
            <w:pPr>
              <w:bidi w:val="0"/>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top"/>
          </w:tcPr>
          <w:p w:rsidR="00E3363B" w:rsidRPr="007D5748" w:rsidP="00CE56F1">
            <w:pPr>
              <w:bidi w:val="0"/>
              <w:jc w:val="center"/>
              <w:rPr>
                <w:rFonts w:ascii="Times New Roman" w:hAnsi="Times New Roman"/>
                <w:b/>
                <w:bCs/>
              </w:rPr>
            </w:pPr>
            <w:r>
              <w:rPr>
                <w:rFonts w:ascii="Times New Roman" w:hAnsi="Times New Roman"/>
                <w:b/>
                <w:bCs/>
              </w:rPr>
              <w:t>201</w:t>
            </w:r>
            <w:r w:rsidR="00CE56F1">
              <w:rPr>
                <w:rFonts w:ascii="Times New Roman" w:hAnsi="Times New Roman"/>
                <w:b/>
                <w:bCs/>
              </w:rPr>
              <w:t>8</w:t>
            </w:r>
          </w:p>
        </w:tc>
        <w:tc>
          <w:tcPr>
            <w:tcW w:w="1500" w:type="dxa"/>
            <w:tcBorders>
              <w:top w:val="nil"/>
              <w:left w:val="nil"/>
              <w:bottom w:val="single" w:sz="4" w:space="0" w:color="auto"/>
              <w:right w:val="single" w:sz="4" w:space="0" w:color="auto"/>
            </w:tcBorders>
            <w:shd w:val="clear" w:color="auto" w:fill="BFBFBF"/>
            <w:textDirection w:val="lrTb"/>
            <w:vAlign w:val="top"/>
          </w:tcPr>
          <w:p w:rsidR="00E3363B" w:rsidRPr="007D5748" w:rsidP="00CE56F1">
            <w:pPr>
              <w:bidi w:val="0"/>
              <w:jc w:val="center"/>
              <w:rPr>
                <w:rFonts w:ascii="Times New Roman" w:hAnsi="Times New Roman"/>
                <w:b/>
                <w:bCs/>
              </w:rPr>
            </w:pPr>
            <w:r>
              <w:rPr>
                <w:rFonts w:ascii="Times New Roman" w:hAnsi="Times New Roman"/>
                <w:b/>
                <w:bCs/>
              </w:rPr>
              <w:t>201</w:t>
            </w:r>
            <w:r w:rsidR="00CE56F1">
              <w:rPr>
                <w:rFonts w:ascii="Times New Roman" w:hAnsi="Times New Roman"/>
                <w:b/>
                <w:bCs/>
              </w:rPr>
              <w:t>9</w:t>
            </w:r>
          </w:p>
        </w:tc>
        <w:tc>
          <w:tcPr>
            <w:tcW w:w="1500" w:type="dxa"/>
            <w:tcBorders>
              <w:top w:val="nil"/>
              <w:left w:val="nil"/>
              <w:bottom w:val="single" w:sz="4" w:space="0" w:color="auto"/>
              <w:right w:val="single" w:sz="4" w:space="0" w:color="auto"/>
            </w:tcBorders>
            <w:shd w:val="clear" w:color="auto" w:fill="BFBFBF"/>
            <w:textDirection w:val="lrTb"/>
            <w:vAlign w:val="top"/>
          </w:tcPr>
          <w:p w:rsidR="00E3363B" w:rsidRPr="007D5748" w:rsidP="00CE56F1">
            <w:pPr>
              <w:bidi w:val="0"/>
              <w:jc w:val="center"/>
              <w:rPr>
                <w:rFonts w:ascii="Times New Roman" w:hAnsi="Times New Roman"/>
                <w:b/>
                <w:bCs/>
              </w:rPr>
            </w:pPr>
            <w:r>
              <w:rPr>
                <w:rFonts w:ascii="Times New Roman" w:hAnsi="Times New Roman"/>
                <w:b/>
                <w:bCs/>
              </w:rPr>
              <w:t>20</w:t>
            </w:r>
            <w:r w:rsidR="00CE56F1">
              <w:rPr>
                <w:rFonts w:ascii="Times New Roman" w:hAnsi="Times New Roman"/>
                <w:b/>
                <w:bCs/>
              </w:rPr>
              <w:t>20</w:t>
            </w:r>
          </w:p>
        </w:tc>
        <w:tc>
          <w:tcPr>
            <w:tcW w:w="1500" w:type="dxa"/>
            <w:tcBorders>
              <w:top w:val="nil"/>
              <w:left w:val="nil"/>
              <w:bottom w:val="single" w:sz="4" w:space="0" w:color="auto"/>
              <w:right w:val="single" w:sz="4" w:space="0" w:color="auto"/>
            </w:tcBorders>
            <w:shd w:val="clear" w:color="auto" w:fill="BFBFBF"/>
            <w:textDirection w:val="lrTb"/>
            <w:vAlign w:val="top"/>
          </w:tcPr>
          <w:p w:rsidR="00E3363B" w:rsidRPr="007D5748" w:rsidP="00CE56F1">
            <w:pPr>
              <w:bidi w:val="0"/>
              <w:jc w:val="center"/>
              <w:rPr>
                <w:rFonts w:ascii="Times New Roman" w:hAnsi="Times New Roman"/>
                <w:b/>
                <w:bCs/>
              </w:rPr>
            </w:pPr>
            <w:r>
              <w:rPr>
                <w:rFonts w:ascii="Times New Roman" w:hAnsi="Times New Roman"/>
                <w:b/>
                <w:bCs/>
              </w:rPr>
              <w:t>202</w:t>
            </w:r>
            <w:r w:rsidR="00CE56F1">
              <w:rPr>
                <w:rFonts w:ascii="Times New Roman" w:hAnsi="Times New Roman"/>
                <w:b/>
                <w:bCs/>
              </w:rPr>
              <w:t>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E3363B" w:rsidRPr="007D5748" w:rsidP="00E3363B">
            <w:pPr>
              <w:bidi w:val="0"/>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3363B" w:rsidRPr="007D5748" w:rsidP="00E3363B">
            <w:pPr>
              <w:bidi w:val="0"/>
              <w:rPr>
                <w:rFonts w:ascii="Times New Roman" w:hAnsi="Times New Roman"/>
                <w:b/>
                <w:bCs/>
                <w:vertAlign w:val="superscript"/>
              </w:rPr>
            </w:pPr>
            <w:r w:rsidRPr="007D5748">
              <w:rPr>
                <w:rFonts w:ascii="Times New Roman" w:hAnsi="Times New Roman"/>
                <w:b/>
                <w:bCs/>
              </w:rPr>
              <w:t>Daňové príjmy (100)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E3363B" w:rsidRPr="007D5748" w:rsidP="00E3363B">
            <w:pPr>
              <w:bidi w:val="0"/>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3363B" w:rsidRPr="007D5748" w:rsidP="00E3363B">
            <w:pPr>
              <w:bidi w:val="0"/>
              <w:rPr>
                <w:rFonts w:ascii="Times New Roman" w:hAnsi="Times New Roman"/>
                <w:b/>
                <w:bCs/>
              </w:rPr>
            </w:pPr>
            <w:r w:rsidRPr="007D5748">
              <w:rPr>
                <w:rFonts w:ascii="Times New Roman" w:hAnsi="Times New Roman"/>
                <w:b/>
                <w:bCs/>
              </w:rPr>
              <w:t>Nedaňové príjmy (200)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E3363B" w:rsidRPr="007D5748" w:rsidP="00E3363B">
            <w:pPr>
              <w:bidi w:val="0"/>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3363B" w:rsidRPr="007D5748" w:rsidP="00E3363B">
            <w:pPr>
              <w:bidi w:val="0"/>
              <w:rPr>
                <w:rFonts w:ascii="Times New Roman" w:hAnsi="Times New Roman"/>
                <w:b/>
                <w:bCs/>
              </w:rPr>
            </w:pPr>
            <w:r w:rsidRPr="007D5748">
              <w:rPr>
                <w:rFonts w:ascii="Times New Roman" w:hAnsi="Times New Roman"/>
                <w:b/>
                <w:bCs/>
              </w:rPr>
              <w:t>Granty a transfery (300)</w:t>
            </w:r>
            <w:r w:rsidRPr="007D574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E3363B" w:rsidRPr="007D5748" w:rsidP="00E3363B">
            <w:pPr>
              <w:bidi w:val="0"/>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3363B" w:rsidRPr="007D5748" w:rsidP="00E3363B">
            <w:pPr>
              <w:bidi w:val="0"/>
              <w:rPr>
                <w:rFonts w:ascii="Times New Roman" w:hAnsi="Times New Roman"/>
                <w:b/>
                <w:bCs/>
              </w:rPr>
            </w:pPr>
            <w:r w:rsidRPr="007D5748">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 xml:space="preserve"> 0</w:t>
            </w:r>
            <w:r w:rsidRPr="007D5748">
              <w:rPr>
                <w:rFonts w:ascii="Times New Roman" w:hAnsi="Times New Roman"/>
                <w:b/>
                <w:bCs/>
              </w:rPr>
              <w:t> </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 xml:space="preserve"> 0</w:t>
            </w:r>
            <w:r w:rsidRPr="007D5748">
              <w:rPr>
                <w:rFonts w:ascii="Times New Roman" w:hAnsi="Times New Roman"/>
                <w:b/>
                <w:bCs/>
              </w:rPr>
              <w:t> </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 xml:space="preserve"> 0</w:t>
            </w:r>
            <w:r w:rsidRPr="007D5748">
              <w:rPr>
                <w:rFonts w:ascii="Times New Roman" w:hAnsi="Times New Roman"/>
                <w:b/>
                <w:bCs/>
              </w:rPr>
              <w:t> </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 xml:space="preserve"> 0</w:t>
            </w:r>
            <w:r w:rsidRPr="007D5748">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E3363B" w:rsidRPr="007D5748" w:rsidP="00E3363B">
            <w:pPr>
              <w:bidi w:val="0"/>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E3363B" w:rsidRPr="007D5748" w:rsidP="00E3363B">
            <w:pPr>
              <w:bidi w:val="0"/>
              <w:rPr>
                <w:rFonts w:ascii="Times New Roman" w:hAnsi="Times New Roman"/>
                <w:b/>
                <w:bCs/>
              </w:rPr>
            </w:pPr>
            <w:r w:rsidRPr="007D5748">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 xml:space="preserve"> 0</w:t>
            </w:r>
            <w:r w:rsidRPr="007D5748">
              <w:rPr>
                <w:rFonts w:ascii="Times New Roman" w:hAnsi="Times New Roman"/>
                <w:b/>
                <w:bCs/>
              </w:rPr>
              <w:t> </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 xml:space="preserve"> 0</w:t>
            </w:r>
            <w:r w:rsidRPr="007D5748">
              <w:rPr>
                <w:rFonts w:ascii="Times New Roman" w:hAnsi="Times New Roman"/>
                <w:b/>
                <w:bCs/>
              </w:rPr>
              <w:t> </w:t>
            </w:r>
          </w:p>
        </w:tc>
        <w:tc>
          <w:tcPr>
            <w:tcW w:w="1500" w:type="dxa"/>
            <w:tcBorders>
              <w:top w:val="nil"/>
              <w:left w:val="nil"/>
              <w:bottom w:val="single" w:sz="4" w:space="0" w:color="auto"/>
              <w:right w:val="single" w:sz="4" w:space="0" w:color="auto"/>
            </w:tcBorders>
            <w:textDirection w:val="lrTb"/>
            <w:vAlign w:val="top"/>
          </w:tcPr>
          <w:p w:rsidR="00E3363B" w:rsidRPr="007D5748" w:rsidP="00E3363B">
            <w:pPr>
              <w:bidi w:val="0"/>
              <w:jc w:val="center"/>
              <w:rPr>
                <w:rFonts w:ascii="Times New Roman" w:hAnsi="Times New Roman"/>
                <w:b/>
                <w:bCs/>
              </w:rPr>
            </w:pPr>
            <w:r>
              <w:rPr>
                <w:rFonts w:ascii="Times New Roman" w:hAnsi="Times New Roman"/>
                <w:b/>
                <w:bCs/>
              </w:rPr>
              <w:t xml:space="preserve"> 0</w:t>
            </w:r>
            <w:r w:rsidRPr="007D5748">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E3363B" w:rsidRPr="007D5748" w:rsidP="00E3363B">
            <w:pPr>
              <w:bidi w:val="0"/>
              <w:rPr>
                <w:rFonts w:ascii="Times New Roman" w:hAnsi="Times New Roman"/>
              </w:rPr>
            </w:pPr>
            <w:r w:rsidRPr="007D5748">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E3363B" w:rsidRPr="007D5748" w:rsidP="00E3363B">
            <w:pPr>
              <w:bidi w:val="0"/>
              <w:rPr>
                <w:rFonts w:ascii="Times New Roman" w:hAnsi="Times New Roman"/>
                <w:b/>
                <w:bCs/>
              </w:rPr>
            </w:pPr>
            <w:r w:rsidRPr="007D5748">
              <w:rPr>
                <w:rFonts w:ascii="Times New Roman" w:hAnsi="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E3363B" w:rsidRPr="007D5748" w:rsidP="00E3363B">
            <w:pPr>
              <w:bidi w:val="0"/>
              <w:jc w:val="center"/>
              <w:rPr>
                <w:rFonts w:ascii="Times New Roman" w:hAnsi="Times New Roman"/>
                <w:b/>
                <w:bCs/>
              </w:rPr>
            </w:pPr>
            <w:r w:rsidRPr="007D5748">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E3363B" w:rsidRPr="007D5748" w:rsidP="00E3363B">
            <w:pPr>
              <w:bidi w:val="0"/>
              <w:jc w:val="center"/>
              <w:rPr>
                <w:rFonts w:ascii="Times New Roman" w:hAnsi="Times New Roman"/>
                <w:b/>
                <w:bCs/>
              </w:rPr>
            </w:pPr>
            <w:r w:rsidRPr="007D5748">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E3363B" w:rsidRPr="007D5748" w:rsidP="00E3363B">
            <w:pPr>
              <w:bidi w:val="0"/>
              <w:jc w:val="center"/>
              <w:rPr>
                <w:rFonts w:ascii="Times New Roman" w:hAnsi="Times New Roman"/>
                <w:b/>
                <w:bCs/>
              </w:rPr>
            </w:pPr>
            <w:r w:rsidRPr="007D5748">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E3363B" w:rsidRPr="007D5748" w:rsidP="00E3363B">
            <w:pPr>
              <w:bidi w:val="0"/>
              <w:jc w:val="center"/>
              <w:rPr>
                <w:rFonts w:ascii="Times New Roman" w:hAnsi="Times New Roman"/>
                <w:b/>
                <w:bCs/>
              </w:rPr>
            </w:pPr>
            <w:r w:rsidRPr="007D5748">
              <w:rPr>
                <w:rFonts w:ascii="Times New Roman" w:hAnsi="Times New Roman"/>
                <w:b/>
                <w:bCs/>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E3363B" w:rsidRPr="007D5748" w:rsidP="00E3363B">
            <w:pPr>
              <w:bidi w:val="0"/>
              <w:rPr>
                <w:rFonts w:ascii="Times New Roman" w:hAnsi="Times New Roman"/>
              </w:rPr>
            </w:pPr>
            <w:r w:rsidRPr="007D5748">
              <w:rPr>
                <w:rFonts w:ascii="Times New Roman" w:hAnsi="Times New Roman"/>
              </w:rPr>
              <w:t> </w:t>
            </w:r>
          </w:p>
        </w:tc>
      </w:tr>
    </w:tbl>
    <w:p w:rsidR="00E3363B" w:rsidRPr="007D5748" w:rsidP="00E3363B">
      <w:pPr>
        <w:tabs>
          <w:tab w:val="num" w:pos="1080"/>
        </w:tabs>
        <w:bidi w:val="0"/>
        <w:jc w:val="both"/>
        <w:rPr>
          <w:rFonts w:ascii="Times New Roman" w:hAnsi="Times New Roman"/>
          <w:bCs/>
          <w:sz w:val="20"/>
          <w:szCs w:val="20"/>
        </w:rPr>
      </w:pPr>
      <w:r w:rsidRPr="007D5748">
        <w:rPr>
          <w:rFonts w:ascii="Times New Roman" w:hAnsi="Times New Roman"/>
          <w:bCs/>
          <w:sz w:val="20"/>
          <w:szCs w:val="20"/>
        </w:rPr>
        <w:t>1 –  príjmy rozpísať až do položiek platnej ekonomickej klasifikácie</w:t>
      </w:r>
    </w:p>
    <w:p w:rsidR="00E3363B" w:rsidRPr="007D5748" w:rsidP="00E3363B">
      <w:pPr>
        <w:tabs>
          <w:tab w:val="num" w:pos="1080"/>
        </w:tabs>
        <w:bidi w:val="0"/>
        <w:jc w:val="both"/>
        <w:rPr>
          <w:rFonts w:ascii="Times New Roman" w:hAnsi="Times New Roman"/>
          <w:bCs/>
          <w:szCs w:val="20"/>
        </w:rPr>
      </w:pPr>
    </w:p>
    <w:p w:rsidR="00E3363B" w:rsidRPr="007D5748" w:rsidP="00E3363B">
      <w:pPr>
        <w:tabs>
          <w:tab w:val="num" w:pos="1080"/>
        </w:tabs>
        <w:bidi w:val="0"/>
        <w:jc w:val="both"/>
        <w:outlineLvl w:val="0"/>
        <w:rPr>
          <w:rFonts w:ascii="Times New Roman" w:hAnsi="Times New Roman"/>
          <w:b/>
          <w:bCs/>
          <w:szCs w:val="20"/>
        </w:rPr>
      </w:pPr>
      <w:r w:rsidRPr="007D5748">
        <w:rPr>
          <w:rFonts w:ascii="Times New Roman" w:hAnsi="Times New Roman"/>
          <w:b/>
          <w:bCs/>
          <w:szCs w:val="20"/>
        </w:rPr>
        <w:t>Poznámka:</w:t>
      </w:r>
    </w:p>
    <w:p w:rsidR="00E3363B" w:rsidRPr="007D5748" w:rsidP="00E3363B">
      <w:pPr>
        <w:tabs>
          <w:tab w:val="num" w:pos="1080"/>
        </w:tabs>
        <w:bidi w:val="0"/>
        <w:jc w:val="both"/>
        <w:outlineLvl w:val="0"/>
        <w:rPr>
          <w:rFonts w:ascii="Times New Roman" w:hAnsi="Times New Roman"/>
          <w:bCs/>
          <w:szCs w:val="20"/>
        </w:rPr>
      </w:pPr>
      <w:r w:rsidRPr="007D5748">
        <w:rPr>
          <w:rFonts w:ascii="Times New Roman" w:hAnsi="Times New Roman"/>
          <w:bCs/>
          <w:szCs w:val="20"/>
        </w:rPr>
        <w:t>Ak sa vplyv týka viacerých subjektov verejnej správy, vypĺňa sa samostatná tabuľka za každý subjekt.</w:t>
      </w:r>
    </w:p>
    <w:p w:rsidR="00E3363B" w:rsidRPr="007D5748" w:rsidP="00E3363B">
      <w:pPr>
        <w:tabs>
          <w:tab w:val="num" w:pos="1080"/>
        </w:tabs>
        <w:bidi w:val="0"/>
        <w:ind w:right="-578"/>
        <w:jc w:val="right"/>
        <w:rPr>
          <w:rFonts w:ascii="Times New Roman" w:hAnsi="Times New Roman"/>
          <w:bCs/>
        </w:rPr>
      </w:pPr>
      <w:r w:rsidRPr="007D5748">
        <w:rPr>
          <w:rFonts w:ascii="Times New Roman" w:hAnsi="Times New Roman"/>
          <w:bCs/>
        </w:rPr>
        <w:t xml:space="preserve"> </w:t>
      </w: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578"/>
        <w:jc w:val="right"/>
        <w:rPr>
          <w:rFonts w:ascii="Times New Roman" w:hAnsi="Times New Roman"/>
          <w:bCs/>
        </w:rPr>
      </w:pPr>
    </w:p>
    <w:p w:rsidR="00E3363B" w:rsidRPr="007D5748" w:rsidP="00E3363B">
      <w:pPr>
        <w:tabs>
          <w:tab w:val="num" w:pos="1080"/>
        </w:tabs>
        <w:bidi w:val="0"/>
        <w:ind w:right="-32"/>
        <w:jc w:val="right"/>
        <w:outlineLvl w:val="0"/>
        <w:rPr>
          <w:rFonts w:ascii="Times New Roman" w:hAnsi="Times New Roman"/>
          <w:bCs/>
        </w:rPr>
      </w:pPr>
      <w:r w:rsidRPr="007D5748">
        <w:rPr>
          <w:rFonts w:ascii="Times New Roman" w:hAnsi="Times New Roman"/>
          <w:bCs/>
        </w:rPr>
        <w:t xml:space="preserve">Tabuľka č. 4 </w:t>
      </w:r>
    </w:p>
    <w:p w:rsidR="002A7E22" w:rsidRPr="007D5748" w:rsidP="002A7E22">
      <w:pPr>
        <w:tabs>
          <w:tab w:val="num" w:pos="1080"/>
        </w:tabs>
        <w:bidi w:val="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2A7E22" w:rsidRPr="007D5748" w:rsidP="00841CA8">
            <w:pPr>
              <w:bidi w:val="0"/>
              <w:jc w:val="center"/>
              <w:rPr>
                <w:rFonts w:ascii="Times New Roman" w:hAnsi="Times New Roman"/>
                <w:b/>
                <w:bCs/>
                <w:sz w:val="20"/>
                <w:szCs w:val="20"/>
              </w:rPr>
            </w:pPr>
            <w:r w:rsidRPr="007D5748">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2A7E22" w:rsidRPr="007D5748" w:rsidP="00841CA8">
            <w:pPr>
              <w:bidi w:val="0"/>
              <w:jc w:val="center"/>
              <w:rPr>
                <w:rFonts w:ascii="Times New Roman" w:hAnsi="Times New Roman"/>
                <w:b/>
                <w:bCs/>
                <w:sz w:val="20"/>
                <w:szCs w:val="20"/>
              </w:rPr>
            </w:pPr>
            <w:r w:rsidRPr="007D5748">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A7E22" w:rsidRPr="00DD6723" w:rsidP="00841CA8">
            <w:pPr>
              <w:bidi w:val="0"/>
              <w:jc w:val="center"/>
              <w:rPr>
                <w:rFonts w:ascii="Times New Roman" w:hAnsi="Times New Roman"/>
                <w:b/>
                <w:bCs/>
                <w:sz w:val="20"/>
                <w:szCs w:val="20"/>
              </w:rPr>
            </w:pPr>
            <w:r w:rsidRPr="00DD6723">
              <w:rPr>
                <w:rFonts w:ascii="Times New Roman" w:hAnsi="Times New Roman"/>
                <w:b/>
                <w:bCs/>
                <w:sz w:val="20"/>
                <w:szCs w:val="20"/>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2A7E22" w:rsidRPr="007D5748" w:rsidP="00841CA8">
            <w:pPr>
              <w:bidi w:val="0"/>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2A7E22" w:rsidRPr="007D5748" w:rsidP="00841CA8">
            <w:pPr>
              <w:bidi w:val="0"/>
              <w:jc w:val="center"/>
              <w:rPr>
                <w:rFonts w:ascii="Times New Roman" w:hAnsi="Times New Roman"/>
                <w:b/>
                <w:bCs/>
                <w:sz w:val="20"/>
                <w:szCs w:val="20"/>
              </w:rPr>
            </w:pPr>
            <w:r>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2A7E22" w:rsidRPr="007D5748" w:rsidP="00841CA8">
            <w:pPr>
              <w:bidi w:val="0"/>
              <w:jc w:val="center"/>
              <w:rPr>
                <w:rFonts w:ascii="Times New Roman" w:hAnsi="Times New Roman"/>
                <w:b/>
                <w:bCs/>
                <w:sz w:val="20"/>
                <w:szCs w:val="20"/>
              </w:rPr>
            </w:pPr>
            <w:r>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2A7E22" w:rsidRPr="007D5748" w:rsidP="00841CA8">
            <w:pPr>
              <w:bidi w:val="0"/>
              <w:jc w:val="center"/>
              <w:rPr>
                <w:rFonts w:ascii="Times New Roman" w:hAnsi="Times New Roman"/>
                <w:b/>
                <w:bCs/>
                <w:sz w:val="20"/>
                <w:szCs w:val="20"/>
              </w:rPr>
            </w:pPr>
            <w:r>
              <w:rPr>
                <w:rFonts w:ascii="Times New Roman" w:hAnsi="Times New Roman"/>
                <w:b/>
                <w:bCs/>
                <w:sz w:val="20"/>
                <w:szCs w:val="20"/>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2A7E22" w:rsidRPr="00166F3A" w:rsidP="00841CA8">
            <w:pPr>
              <w:bidi w:val="0"/>
              <w:jc w:val="center"/>
              <w:rPr>
                <w:rFonts w:ascii="Times New Roman" w:hAnsi="Times New Roman"/>
                <w:b/>
                <w:bCs/>
                <w:sz w:val="20"/>
                <w:szCs w:val="20"/>
              </w:rPr>
            </w:pPr>
            <w:r w:rsidRPr="00166F3A">
              <w:rPr>
                <w:rFonts w:ascii="Times New Roman" w:hAnsi="Times New Roman"/>
                <w:b/>
                <w:bCs/>
                <w:sz w:val="20"/>
                <w:szCs w:val="20"/>
              </w:rPr>
              <w:t>202</w:t>
            </w:r>
            <w:r>
              <w:rPr>
                <w:rFonts w:ascii="Times New Roman" w:hAnsi="Times New Roman"/>
                <w:b/>
                <w:bCs/>
                <w:sz w:val="20"/>
                <w:szCs w:val="20"/>
              </w:rPr>
              <w:t>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2A7E22" w:rsidRPr="00DD6723" w:rsidP="00841CA8">
            <w:pPr>
              <w:bidi w:val="0"/>
              <w:rPr>
                <w:rFonts w:ascii="Times New Roman" w:hAnsi="Times New Roman"/>
                <w:b/>
                <w:bCs/>
                <w:color w:val="FFFFFF"/>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A7E22" w:rsidRPr="007D5748" w:rsidP="00841CA8">
            <w:pPr>
              <w:bidi w:val="0"/>
              <w:rPr>
                <w:rFonts w:ascii="Times New Roman" w:hAnsi="Times New Roman"/>
                <w:b/>
                <w:bCs/>
                <w:sz w:val="20"/>
                <w:szCs w:val="20"/>
              </w:rPr>
            </w:pPr>
            <w:r w:rsidRPr="007D5748">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2A7E22" w:rsidRPr="0010497B" w:rsidP="002A7E22">
            <w:pPr>
              <w:bidi w:val="0"/>
              <w:jc w:val="center"/>
              <w:rPr>
                <w:rFonts w:ascii="Times New Roman" w:hAnsi="Times New Roman"/>
                <w:b/>
                <w:bCs/>
                <w:sz w:val="20"/>
                <w:szCs w:val="20"/>
              </w:rPr>
            </w:pPr>
            <w:r w:rsidR="007E3A0D">
              <w:rPr>
                <w:rFonts w:ascii="Times New Roman" w:hAnsi="Times New Roman"/>
                <w:b/>
                <w:bCs/>
                <w:sz w:val="20"/>
                <w:szCs w:val="20"/>
              </w:rPr>
              <w:t>7 250 000</w:t>
            </w:r>
          </w:p>
        </w:tc>
        <w:tc>
          <w:tcPr>
            <w:tcW w:w="1540" w:type="dxa"/>
            <w:tcBorders>
              <w:top w:val="nil"/>
              <w:left w:val="nil"/>
              <w:bottom w:val="single" w:sz="4" w:space="0" w:color="auto"/>
              <w:right w:val="single" w:sz="4" w:space="0" w:color="auto"/>
            </w:tcBorders>
            <w:textDirection w:val="lrTb"/>
            <w:vAlign w:val="top"/>
          </w:tcPr>
          <w:p w:rsidR="002A7E22" w:rsidRPr="007D5748" w:rsidP="002A7E22">
            <w:pPr>
              <w:bidi w:val="0"/>
              <w:jc w:val="center"/>
              <w:rPr>
                <w:rFonts w:ascii="Times New Roman" w:hAnsi="Times New Roman"/>
                <w:b/>
                <w:bCs/>
                <w:sz w:val="20"/>
                <w:szCs w:val="20"/>
              </w:rPr>
            </w:pPr>
            <w:r w:rsidR="007E3A0D">
              <w:rPr>
                <w:rFonts w:ascii="Times New Roman" w:hAnsi="Times New Roman"/>
                <w:b/>
                <w:bCs/>
                <w:sz w:val="20"/>
                <w:szCs w:val="20"/>
              </w:rPr>
              <w:t>7 250 000</w:t>
            </w:r>
          </w:p>
        </w:tc>
        <w:tc>
          <w:tcPr>
            <w:tcW w:w="1540" w:type="dxa"/>
            <w:tcBorders>
              <w:top w:val="nil"/>
              <w:left w:val="nil"/>
              <w:bottom w:val="single" w:sz="4" w:space="0" w:color="auto"/>
              <w:right w:val="single" w:sz="4" w:space="0" w:color="auto"/>
            </w:tcBorders>
            <w:textDirection w:val="lrTb"/>
            <w:vAlign w:val="top"/>
          </w:tcPr>
          <w:p w:rsidR="002A7E22" w:rsidRPr="007D5748" w:rsidP="002A7E22">
            <w:pPr>
              <w:bidi w:val="0"/>
              <w:jc w:val="center"/>
              <w:rPr>
                <w:rFonts w:ascii="Times New Roman" w:hAnsi="Times New Roman"/>
                <w:b/>
                <w:bCs/>
                <w:sz w:val="20"/>
                <w:szCs w:val="20"/>
              </w:rPr>
            </w:pPr>
            <w:r w:rsidR="007E3A0D">
              <w:rPr>
                <w:rFonts w:ascii="Times New Roman" w:hAnsi="Times New Roman"/>
                <w:b/>
                <w:bCs/>
                <w:sz w:val="20"/>
                <w:szCs w:val="20"/>
              </w:rPr>
              <w:t>7 250 000</w:t>
            </w:r>
          </w:p>
        </w:tc>
        <w:tc>
          <w:tcPr>
            <w:tcW w:w="1540" w:type="dxa"/>
            <w:tcBorders>
              <w:top w:val="nil"/>
              <w:left w:val="nil"/>
              <w:bottom w:val="single" w:sz="4" w:space="0" w:color="auto"/>
              <w:right w:val="single" w:sz="4" w:space="0" w:color="auto"/>
            </w:tcBorders>
            <w:textDirection w:val="lrTb"/>
            <w:vAlign w:val="top"/>
          </w:tcPr>
          <w:p w:rsidR="002A7E22" w:rsidRPr="00004226" w:rsidP="00841CA8">
            <w:pPr>
              <w:bidi w:val="0"/>
              <w:jc w:val="center"/>
              <w:rPr>
                <w:rFonts w:ascii="Times New Roman" w:hAnsi="Times New Roman"/>
                <w:b/>
                <w:bCs/>
                <w:sz w:val="20"/>
                <w:szCs w:val="20"/>
              </w:rPr>
            </w:pPr>
            <w:r w:rsidR="007E3A0D">
              <w:rPr>
                <w:rFonts w:ascii="Times New Roman" w:hAnsi="Times New Roman"/>
                <w:b/>
                <w:bCs/>
                <w:sz w:val="20"/>
                <w:szCs w:val="20"/>
              </w:rPr>
              <w:t>7 250 000</w:t>
            </w:r>
          </w:p>
        </w:tc>
        <w:tc>
          <w:tcPr>
            <w:tcW w:w="2220" w:type="dxa"/>
            <w:tcBorders>
              <w:top w:val="nil"/>
              <w:left w:val="nil"/>
              <w:bottom w:val="single" w:sz="4" w:space="0" w:color="auto"/>
              <w:right w:val="single" w:sz="4" w:space="0" w:color="auto"/>
            </w:tcBorders>
            <w:noWrap/>
            <w:textDirection w:val="lrTb"/>
            <w:vAlign w:val="bottom"/>
          </w:tcPr>
          <w:p w:rsidR="002A7E22" w:rsidRPr="00DD6723" w:rsidP="00841CA8">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A7E22" w:rsidRPr="007D5748" w:rsidP="002A7E22">
            <w:pPr>
              <w:bidi w:val="0"/>
              <w:rPr>
                <w:rFonts w:ascii="Times New Roman" w:hAnsi="Times New Roman"/>
                <w:sz w:val="20"/>
                <w:szCs w:val="20"/>
              </w:rPr>
            </w:pPr>
            <w:r w:rsidRPr="007D5748">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2A7E22" w:rsidRPr="007D5748" w:rsidP="002A7E22">
            <w:pPr>
              <w:bidi w:val="0"/>
              <w:jc w:val="center"/>
              <w:rPr>
                <w:rFonts w:ascii="Times New Roman" w:hAnsi="Times New Roman"/>
                <w:sz w:val="20"/>
                <w:szCs w:val="20"/>
              </w:rPr>
            </w:pPr>
            <w:r w:rsidR="00635F05">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A7E22" w:rsidRPr="007D5748" w:rsidP="002A7E22">
            <w:pPr>
              <w:bidi w:val="0"/>
              <w:jc w:val="center"/>
              <w:rPr>
                <w:rFonts w:ascii="Times New Roman" w:hAnsi="Times New Roman"/>
                <w:sz w:val="20"/>
                <w:szCs w:val="20"/>
              </w:rPr>
            </w:pPr>
            <w:r w:rsidR="00635F05">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A7E22" w:rsidRPr="007D5748" w:rsidP="002A7E22">
            <w:pPr>
              <w:bidi w:val="0"/>
              <w:jc w:val="center"/>
              <w:rPr>
                <w:rFonts w:ascii="Times New Roman" w:hAnsi="Times New Roman"/>
                <w:sz w:val="20"/>
                <w:szCs w:val="20"/>
              </w:rPr>
            </w:pPr>
            <w:r w:rsidR="00635F05">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A7E22" w:rsidRPr="007D5748" w:rsidP="002A7E22">
            <w:pPr>
              <w:bidi w:val="0"/>
              <w:jc w:val="center"/>
              <w:rPr>
                <w:rFonts w:ascii="Times New Roman" w:hAnsi="Times New Roman"/>
                <w:sz w:val="20"/>
                <w:szCs w:val="20"/>
              </w:rPr>
            </w:pPr>
            <w:r w:rsidR="00635F05">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A7E22" w:rsidRPr="00DD6723" w:rsidP="002A7E22">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sz w:val="20"/>
                <w:szCs w:val="20"/>
                <w:vertAlign w:val="superscript"/>
              </w:rPr>
            </w:pPr>
            <w:r w:rsidRPr="007D5748">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635F05" w:rsidRPr="00DD6723" w:rsidP="00635F05">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635F05" w:rsidRPr="007D5748" w:rsidP="00635F05">
            <w:pPr>
              <w:bidi w:val="0"/>
              <w:rPr>
                <w:rFonts w:ascii="Times New Roman" w:hAnsi="Times New Roman"/>
                <w:sz w:val="20"/>
                <w:szCs w:val="20"/>
                <w:vertAlign w:val="superscript"/>
              </w:rPr>
            </w:pPr>
            <w:r>
              <w:rPr>
                <w:rFonts w:ascii="Times New Roman" w:hAnsi="Times New Roman"/>
                <w:sz w:val="20"/>
                <w:szCs w:val="20"/>
              </w:rPr>
              <w:t xml:space="preserve">  </w:t>
            </w:r>
            <w:r w:rsidRPr="007D5748">
              <w:rPr>
                <w:rFonts w:ascii="Times New Roman" w:hAnsi="Times New Roman"/>
                <w:sz w:val="20"/>
                <w:szCs w:val="20"/>
              </w:rPr>
              <w:t>Tovary a služby (630)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center"/>
          </w:tcPr>
          <w:p w:rsidR="00635F05" w:rsidRPr="00DD6723" w:rsidP="00635F05">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A7E22" w:rsidRPr="007D5748" w:rsidP="00841CA8">
            <w:pPr>
              <w:bidi w:val="0"/>
              <w:rPr>
                <w:rFonts w:ascii="Times New Roman" w:hAnsi="Times New Roman"/>
                <w:sz w:val="20"/>
                <w:szCs w:val="20"/>
              </w:rPr>
            </w:pPr>
            <w:r w:rsidR="007E3A0D">
              <w:rPr>
                <w:rFonts w:ascii="Times New Roman" w:hAnsi="Times New Roman"/>
                <w:sz w:val="20"/>
                <w:szCs w:val="20"/>
              </w:rPr>
              <w:t xml:space="preserve">  Bežné transfery (641001</w:t>
            </w:r>
            <w:r w:rsidRPr="007D5748">
              <w:rPr>
                <w:rFonts w:ascii="Times New Roman" w:hAnsi="Times New Roman"/>
                <w:sz w:val="20"/>
                <w:szCs w:val="20"/>
              </w:rPr>
              <w:t>)</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A7E22" w:rsidRPr="007D5748" w:rsidP="00841CA8">
            <w:pPr>
              <w:bidi w:val="0"/>
              <w:jc w:val="center"/>
              <w:rPr>
                <w:rFonts w:ascii="Times New Roman" w:hAnsi="Times New Roman"/>
                <w:sz w:val="20"/>
                <w:szCs w:val="20"/>
              </w:rPr>
            </w:pPr>
            <w:r w:rsidR="007E3A0D">
              <w:rPr>
                <w:rFonts w:ascii="Times New Roman" w:hAnsi="Times New Roman"/>
                <w:sz w:val="20"/>
                <w:szCs w:val="20"/>
              </w:rPr>
              <w:t>7 250 000</w:t>
            </w:r>
          </w:p>
        </w:tc>
        <w:tc>
          <w:tcPr>
            <w:tcW w:w="1540" w:type="dxa"/>
            <w:tcBorders>
              <w:top w:val="nil"/>
              <w:left w:val="nil"/>
              <w:bottom w:val="single" w:sz="4" w:space="0" w:color="auto"/>
              <w:right w:val="single" w:sz="4" w:space="0" w:color="auto"/>
            </w:tcBorders>
            <w:textDirection w:val="lrTb"/>
            <w:vAlign w:val="top"/>
          </w:tcPr>
          <w:p w:rsidR="002A7E22" w:rsidRPr="007D5748" w:rsidP="00841CA8">
            <w:pPr>
              <w:bidi w:val="0"/>
              <w:jc w:val="center"/>
              <w:rPr>
                <w:rFonts w:ascii="Times New Roman" w:hAnsi="Times New Roman"/>
                <w:sz w:val="20"/>
                <w:szCs w:val="20"/>
              </w:rPr>
            </w:pPr>
            <w:r w:rsidR="007E3A0D">
              <w:rPr>
                <w:rFonts w:ascii="Times New Roman" w:hAnsi="Times New Roman"/>
                <w:sz w:val="20"/>
                <w:szCs w:val="20"/>
              </w:rPr>
              <w:t>7 250 000</w:t>
            </w:r>
          </w:p>
        </w:tc>
        <w:tc>
          <w:tcPr>
            <w:tcW w:w="1540" w:type="dxa"/>
            <w:tcBorders>
              <w:top w:val="nil"/>
              <w:left w:val="nil"/>
              <w:bottom w:val="single" w:sz="4" w:space="0" w:color="auto"/>
              <w:right w:val="single" w:sz="4" w:space="0" w:color="auto"/>
            </w:tcBorders>
            <w:textDirection w:val="lrTb"/>
            <w:vAlign w:val="top"/>
          </w:tcPr>
          <w:p w:rsidR="002A7E22" w:rsidRPr="007D5748" w:rsidP="00841CA8">
            <w:pPr>
              <w:bidi w:val="0"/>
              <w:jc w:val="center"/>
              <w:rPr>
                <w:rFonts w:ascii="Times New Roman" w:hAnsi="Times New Roman"/>
                <w:sz w:val="20"/>
                <w:szCs w:val="20"/>
              </w:rPr>
            </w:pPr>
            <w:r w:rsidR="007E3A0D">
              <w:rPr>
                <w:rFonts w:ascii="Times New Roman" w:hAnsi="Times New Roman"/>
                <w:sz w:val="20"/>
                <w:szCs w:val="20"/>
              </w:rPr>
              <w:t>7 250 000</w:t>
            </w:r>
          </w:p>
        </w:tc>
        <w:tc>
          <w:tcPr>
            <w:tcW w:w="1540" w:type="dxa"/>
            <w:tcBorders>
              <w:top w:val="nil"/>
              <w:left w:val="nil"/>
              <w:bottom w:val="single" w:sz="4" w:space="0" w:color="auto"/>
              <w:right w:val="single" w:sz="4" w:space="0" w:color="auto"/>
            </w:tcBorders>
            <w:textDirection w:val="lrTb"/>
            <w:vAlign w:val="top"/>
          </w:tcPr>
          <w:p w:rsidR="002A7E22" w:rsidRPr="00004226" w:rsidP="00841CA8">
            <w:pPr>
              <w:bidi w:val="0"/>
              <w:jc w:val="center"/>
              <w:rPr>
                <w:rFonts w:ascii="Times New Roman" w:hAnsi="Times New Roman"/>
                <w:sz w:val="20"/>
                <w:szCs w:val="20"/>
              </w:rPr>
            </w:pPr>
            <w:r w:rsidR="007E3A0D">
              <w:rPr>
                <w:rFonts w:ascii="Times New Roman" w:hAnsi="Times New Roman"/>
                <w:sz w:val="20"/>
                <w:szCs w:val="20"/>
              </w:rPr>
              <w:t>7 250 000</w:t>
            </w:r>
          </w:p>
        </w:tc>
        <w:tc>
          <w:tcPr>
            <w:tcW w:w="2220" w:type="dxa"/>
            <w:tcBorders>
              <w:top w:val="nil"/>
              <w:left w:val="nil"/>
              <w:bottom w:val="single" w:sz="4" w:space="0" w:color="auto"/>
              <w:right w:val="single" w:sz="4" w:space="0" w:color="auto"/>
            </w:tcBorders>
            <w:noWrap/>
            <w:textDirection w:val="lrTb"/>
            <w:vAlign w:val="bottom"/>
          </w:tcPr>
          <w:p w:rsidR="002A7E22" w:rsidRPr="00DD6723" w:rsidP="00841CA8">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635F05" w:rsidRPr="007D5748" w:rsidP="00635F05">
            <w:pPr>
              <w:bidi w:val="0"/>
              <w:rPr>
                <w:rFonts w:ascii="Times New Roman" w:hAnsi="Times New Roman"/>
                <w:sz w:val="20"/>
                <w:szCs w:val="20"/>
              </w:rPr>
            </w:pPr>
            <w:r w:rsidRPr="007D5748">
              <w:rPr>
                <w:rFonts w:ascii="Times New Roman" w:hAnsi="Times New Roman"/>
                <w:sz w:val="20"/>
                <w:szCs w:val="20"/>
              </w:rPr>
              <w:t xml:space="preserve">  Splácanie úrokov a ostatné platby súvisiace s </w:t>
            </w:r>
            <w:r>
              <w:rPr>
                <w:rFonts w:ascii="Times New Roman" w:hAnsi="Times New Roman"/>
              </w:rPr>
              <w:t xml:space="preserve"> </w:t>
            </w:r>
            <w:r w:rsidRPr="008D339D">
              <w:rPr>
                <w:rFonts w:ascii="Times New Roman" w:hAnsi="Times New Roman"/>
                <w:sz w:val="20"/>
                <w:szCs w:val="20"/>
              </w:rPr>
              <w:t>úverom, pôžičkou, návratnou finančnou výpomocou a finančným prenájmom</w:t>
            </w:r>
            <w:r w:rsidRPr="007D5748">
              <w:rPr>
                <w:rFonts w:ascii="Times New Roman" w:hAnsi="Times New Roman"/>
                <w:sz w:val="20"/>
                <w:szCs w:val="20"/>
              </w:rPr>
              <w:t xml:space="preserve"> (650)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635F05" w:rsidRPr="00DD6723" w:rsidP="00635F05">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635F05" w:rsidRPr="007D5748" w:rsidP="00635F05">
            <w:pPr>
              <w:bidi w:val="0"/>
              <w:rPr>
                <w:rFonts w:ascii="Times New Roman" w:hAnsi="Times New Roman"/>
                <w:b/>
                <w:bCs/>
                <w:sz w:val="20"/>
                <w:szCs w:val="20"/>
              </w:rPr>
            </w:pPr>
            <w:r w:rsidRPr="007D5748">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635F05" w:rsidRPr="00635F05" w:rsidP="00635F05">
            <w:pPr>
              <w:bidi w:val="0"/>
              <w:jc w:val="center"/>
              <w:rPr>
                <w:rFonts w:ascii="Times New Roman" w:hAnsi="Times New Roman"/>
                <w:b/>
                <w:sz w:val="20"/>
                <w:szCs w:val="20"/>
              </w:rPr>
            </w:pPr>
            <w:r w:rsidRPr="00635F05">
              <w:rPr>
                <w:rFonts w:ascii="Times New Roman" w:hAnsi="Times New Roman"/>
                <w:b/>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635F05" w:rsidP="00635F05">
            <w:pPr>
              <w:bidi w:val="0"/>
              <w:jc w:val="center"/>
              <w:rPr>
                <w:rFonts w:ascii="Times New Roman" w:hAnsi="Times New Roman"/>
                <w:b/>
                <w:sz w:val="20"/>
                <w:szCs w:val="20"/>
              </w:rPr>
            </w:pPr>
            <w:r w:rsidRPr="00635F05">
              <w:rPr>
                <w:rFonts w:ascii="Times New Roman" w:hAnsi="Times New Roman"/>
                <w:b/>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635F05" w:rsidP="00635F05">
            <w:pPr>
              <w:bidi w:val="0"/>
              <w:jc w:val="center"/>
              <w:rPr>
                <w:rFonts w:ascii="Times New Roman" w:hAnsi="Times New Roman"/>
                <w:b/>
                <w:sz w:val="20"/>
                <w:szCs w:val="20"/>
              </w:rPr>
            </w:pPr>
            <w:r w:rsidRPr="00635F05">
              <w:rPr>
                <w:rFonts w:ascii="Times New Roman" w:hAnsi="Times New Roman"/>
                <w:b/>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635F05" w:rsidP="00635F05">
            <w:pPr>
              <w:bidi w:val="0"/>
              <w:jc w:val="center"/>
              <w:rPr>
                <w:rFonts w:ascii="Times New Roman" w:hAnsi="Times New Roman"/>
                <w:b/>
                <w:sz w:val="20"/>
                <w:szCs w:val="20"/>
              </w:rPr>
            </w:pPr>
            <w:r w:rsidRPr="00635F05">
              <w:rPr>
                <w:rFonts w:ascii="Times New Roman" w:hAnsi="Times New Roman"/>
                <w:b/>
                <w:sz w:val="20"/>
                <w:szCs w:val="20"/>
              </w:rPr>
              <w:t>0</w:t>
            </w:r>
          </w:p>
        </w:tc>
        <w:tc>
          <w:tcPr>
            <w:tcW w:w="2220" w:type="dxa"/>
            <w:tcBorders>
              <w:top w:val="nil"/>
              <w:left w:val="nil"/>
              <w:bottom w:val="single" w:sz="4" w:space="0" w:color="auto"/>
              <w:right w:val="single" w:sz="4" w:space="0" w:color="auto"/>
            </w:tcBorders>
            <w:noWrap/>
            <w:textDirection w:val="lrTb"/>
            <w:vAlign w:val="center"/>
          </w:tcPr>
          <w:p w:rsidR="00635F05" w:rsidRPr="00DD6723" w:rsidP="00635F05">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sz w:val="20"/>
                <w:szCs w:val="20"/>
              </w:rPr>
            </w:pPr>
            <w:r w:rsidRPr="007D5748">
              <w:rPr>
                <w:rFonts w:ascii="Times New Roman" w:hAnsi="Times New Roman"/>
                <w:sz w:val="20"/>
                <w:szCs w:val="20"/>
              </w:rPr>
              <w:t xml:space="preserve">  Obstarávanie kapitálových aktív (710)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635F05" w:rsidRPr="00DD6723" w:rsidP="00635F05">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sz w:val="20"/>
                <w:szCs w:val="20"/>
              </w:rPr>
            </w:pPr>
            <w:r w:rsidRPr="007D5748">
              <w:rPr>
                <w:rFonts w:ascii="Times New Roman" w:hAnsi="Times New Roman"/>
                <w:sz w:val="20"/>
                <w:szCs w:val="20"/>
              </w:rPr>
              <w:t xml:space="preserve">  Kapitálové transfery (720)</w:t>
            </w:r>
            <w:r w:rsidRPr="007D5748">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7D5748" w:rsidP="00635F05">
            <w:pPr>
              <w:bidi w:val="0"/>
              <w:jc w:val="center"/>
              <w:rPr>
                <w:rFonts w:ascii="Times New Roman" w:hAnsi="Times New Roman"/>
                <w:sz w:val="20"/>
                <w:szCs w:val="20"/>
              </w:rPr>
            </w:pPr>
            <w:r>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635F05" w:rsidRPr="00DD6723" w:rsidP="00635F05">
            <w:pPr>
              <w:bidi w:val="0"/>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b/>
                <w:bCs/>
                <w:sz w:val="20"/>
                <w:szCs w:val="20"/>
              </w:rPr>
            </w:pPr>
            <w:r w:rsidRPr="007D5748">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textDirection w:val="lrTb"/>
            <w:vAlign w:val="top"/>
          </w:tcPr>
          <w:p w:rsidR="00635F05" w:rsidRPr="00635F05" w:rsidP="00635F05">
            <w:pPr>
              <w:bidi w:val="0"/>
              <w:jc w:val="center"/>
              <w:rPr>
                <w:rFonts w:ascii="Times New Roman" w:hAnsi="Times New Roman"/>
                <w:b/>
                <w:sz w:val="20"/>
                <w:szCs w:val="20"/>
              </w:rPr>
            </w:pPr>
            <w:r w:rsidRPr="00635F05">
              <w:rPr>
                <w:rFonts w:ascii="Times New Roman" w:hAnsi="Times New Roman"/>
                <w:b/>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635F05" w:rsidP="00635F05">
            <w:pPr>
              <w:bidi w:val="0"/>
              <w:jc w:val="center"/>
              <w:rPr>
                <w:rFonts w:ascii="Times New Roman" w:hAnsi="Times New Roman"/>
                <w:b/>
                <w:sz w:val="20"/>
                <w:szCs w:val="20"/>
              </w:rPr>
            </w:pPr>
            <w:r w:rsidRPr="00635F05">
              <w:rPr>
                <w:rFonts w:ascii="Times New Roman" w:hAnsi="Times New Roman"/>
                <w:b/>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635F05" w:rsidP="00635F05">
            <w:pPr>
              <w:bidi w:val="0"/>
              <w:jc w:val="center"/>
              <w:rPr>
                <w:rFonts w:ascii="Times New Roman" w:hAnsi="Times New Roman"/>
                <w:b/>
                <w:sz w:val="20"/>
                <w:szCs w:val="20"/>
              </w:rPr>
            </w:pPr>
            <w:r w:rsidRPr="00635F05">
              <w:rPr>
                <w:rFonts w:ascii="Times New Roman" w:hAnsi="Times New Roman"/>
                <w:b/>
                <w:sz w:val="20"/>
                <w:szCs w:val="20"/>
              </w:rPr>
              <w:t>0</w:t>
            </w:r>
          </w:p>
        </w:tc>
        <w:tc>
          <w:tcPr>
            <w:tcW w:w="1540" w:type="dxa"/>
            <w:tcBorders>
              <w:top w:val="nil"/>
              <w:left w:val="nil"/>
              <w:bottom w:val="single" w:sz="4" w:space="0" w:color="auto"/>
              <w:right w:val="single" w:sz="4" w:space="0" w:color="auto"/>
            </w:tcBorders>
            <w:textDirection w:val="lrTb"/>
            <w:vAlign w:val="top"/>
          </w:tcPr>
          <w:p w:rsidR="00635F05" w:rsidRPr="00635F05" w:rsidP="00635F05">
            <w:pPr>
              <w:bidi w:val="0"/>
              <w:jc w:val="center"/>
              <w:rPr>
                <w:rFonts w:ascii="Times New Roman" w:hAnsi="Times New Roman"/>
                <w:b/>
                <w:sz w:val="20"/>
                <w:szCs w:val="20"/>
              </w:rPr>
            </w:pPr>
            <w:r w:rsidRPr="00635F05">
              <w:rPr>
                <w:rFonts w:ascii="Times New Roman" w:hAnsi="Times New Roman"/>
                <w:b/>
                <w:sz w:val="20"/>
                <w:szCs w:val="20"/>
              </w:rPr>
              <w:t>0</w:t>
            </w:r>
          </w:p>
        </w:tc>
        <w:tc>
          <w:tcPr>
            <w:tcW w:w="2220" w:type="dxa"/>
            <w:tcBorders>
              <w:top w:val="nil"/>
              <w:left w:val="nil"/>
              <w:bottom w:val="single" w:sz="4" w:space="0" w:color="auto"/>
              <w:right w:val="single" w:sz="4" w:space="0" w:color="auto"/>
            </w:tcBorders>
            <w:noWrap/>
            <w:textDirection w:val="lrTb"/>
            <w:vAlign w:val="bottom"/>
          </w:tcPr>
          <w:p w:rsidR="00635F05" w:rsidRPr="00DD6723" w:rsidP="00635F05">
            <w:pPr>
              <w:bidi w:val="0"/>
              <w:rPr>
                <w:rFonts w:ascii="Times New Roman" w:hAnsi="Times New Roman"/>
                <w:sz w:val="20"/>
                <w:szCs w:val="20"/>
              </w:rPr>
            </w:pPr>
            <w:r w:rsidRPr="00DD6723">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A7E22" w:rsidRPr="007D5748" w:rsidP="00841CA8">
            <w:pPr>
              <w:bidi w:val="0"/>
              <w:rPr>
                <w:rFonts w:ascii="Times New Roman" w:hAnsi="Times New Roman"/>
                <w:b/>
                <w:bCs/>
                <w:sz w:val="20"/>
                <w:szCs w:val="20"/>
              </w:rPr>
            </w:pPr>
            <w:r w:rsidRPr="007D5748">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2A7E22" w:rsidRPr="0010497B" w:rsidP="00841CA8">
            <w:pPr>
              <w:bidi w:val="0"/>
              <w:jc w:val="center"/>
              <w:rPr>
                <w:rFonts w:ascii="Times New Roman" w:hAnsi="Times New Roman"/>
                <w:b/>
                <w:bCs/>
                <w:sz w:val="20"/>
                <w:szCs w:val="20"/>
              </w:rPr>
            </w:pPr>
            <w:r w:rsidR="00635F05">
              <w:rPr>
                <w:rFonts w:ascii="Times New Roman" w:hAnsi="Times New Roman"/>
                <w:b/>
                <w:bCs/>
                <w:sz w:val="20"/>
                <w:szCs w:val="20"/>
              </w:rPr>
              <w:t>7 250 000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2A7E22" w:rsidRPr="007D5748" w:rsidP="00841CA8">
            <w:pPr>
              <w:bidi w:val="0"/>
              <w:jc w:val="center"/>
              <w:rPr>
                <w:rFonts w:ascii="Times New Roman" w:hAnsi="Times New Roman"/>
                <w:b/>
                <w:bCs/>
                <w:sz w:val="20"/>
                <w:szCs w:val="20"/>
              </w:rPr>
            </w:pPr>
            <w:r w:rsidR="00635F05">
              <w:rPr>
                <w:rFonts w:ascii="Times New Roman" w:hAnsi="Times New Roman"/>
                <w:b/>
                <w:bCs/>
                <w:sz w:val="20"/>
                <w:szCs w:val="20"/>
              </w:rPr>
              <w:t>7 250 000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2A7E22" w:rsidRPr="007D5748" w:rsidP="00841CA8">
            <w:pPr>
              <w:bidi w:val="0"/>
              <w:jc w:val="center"/>
              <w:rPr>
                <w:rFonts w:ascii="Times New Roman" w:hAnsi="Times New Roman"/>
                <w:b/>
                <w:bCs/>
                <w:sz w:val="20"/>
                <w:szCs w:val="20"/>
              </w:rPr>
            </w:pPr>
            <w:r w:rsidR="00635F05">
              <w:rPr>
                <w:rFonts w:ascii="Times New Roman" w:hAnsi="Times New Roman"/>
                <w:b/>
                <w:bCs/>
                <w:sz w:val="20"/>
                <w:szCs w:val="20"/>
              </w:rPr>
              <w:t xml:space="preserve"> 7 250 000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2A7E22" w:rsidRPr="00004226" w:rsidP="00841CA8">
            <w:pPr>
              <w:bidi w:val="0"/>
              <w:jc w:val="center"/>
              <w:rPr>
                <w:rFonts w:ascii="Times New Roman" w:hAnsi="Times New Roman"/>
                <w:b/>
                <w:bCs/>
                <w:sz w:val="20"/>
                <w:szCs w:val="20"/>
              </w:rPr>
            </w:pPr>
            <w:r w:rsidR="00635F05">
              <w:rPr>
                <w:rFonts w:ascii="Times New Roman" w:hAnsi="Times New Roman"/>
                <w:b/>
                <w:bCs/>
                <w:sz w:val="20"/>
                <w:szCs w:val="20"/>
              </w:rPr>
              <w:t>7 250 000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2A7E22" w:rsidRPr="00DD6723" w:rsidP="00841CA8">
            <w:pPr>
              <w:bidi w:val="0"/>
              <w:rPr>
                <w:rFonts w:ascii="Times New Roman" w:hAnsi="Times New Roman"/>
                <w:sz w:val="20"/>
                <w:szCs w:val="20"/>
              </w:rPr>
            </w:pPr>
            <w:r w:rsidRPr="00DD6723">
              <w:rPr>
                <w:rFonts w:ascii="Times New Roman" w:hAnsi="Times New Roman"/>
                <w:sz w:val="20"/>
                <w:szCs w:val="20"/>
              </w:rPr>
              <w:t> </w:t>
            </w:r>
          </w:p>
        </w:tc>
      </w:tr>
    </w:tbl>
    <w:p w:rsidR="002A7E22" w:rsidRPr="007D5748" w:rsidP="002A7E22">
      <w:pPr>
        <w:tabs>
          <w:tab w:val="num" w:pos="1080"/>
        </w:tabs>
        <w:bidi w:val="0"/>
        <w:ind w:left="-900"/>
        <w:jc w:val="both"/>
        <w:rPr>
          <w:rFonts w:ascii="Times New Roman" w:hAnsi="Times New Roman"/>
          <w:bCs/>
          <w:sz w:val="20"/>
          <w:szCs w:val="20"/>
        </w:rPr>
      </w:pPr>
      <w:r w:rsidRPr="007D5748">
        <w:rPr>
          <w:rFonts w:ascii="Times New Roman" w:hAnsi="Times New Roman"/>
          <w:bCs/>
          <w:sz w:val="20"/>
          <w:szCs w:val="20"/>
        </w:rPr>
        <w:t>2 –  výdavky rozpísať až do položiek platnej ekonomickej klasifikácie</w:t>
      </w:r>
    </w:p>
    <w:p w:rsidR="002A7E22"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635F05" w:rsidP="002A7E22">
      <w:pPr>
        <w:tabs>
          <w:tab w:val="num" w:pos="1080"/>
        </w:tabs>
        <w:bidi w:val="0"/>
        <w:ind w:left="-900"/>
        <w:jc w:val="both"/>
        <w:rPr>
          <w:rFonts w:ascii="Times New Roman" w:hAnsi="Times New Roman"/>
          <w:bCs/>
          <w:sz w:val="20"/>
          <w:szCs w:val="20"/>
        </w:rPr>
      </w:pPr>
    </w:p>
    <w:p w:rsidR="002A7E22" w:rsidP="002A7E22">
      <w:pPr>
        <w:tabs>
          <w:tab w:val="num" w:pos="1080"/>
        </w:tabs>
        <w:bidi w:val="0"/>
        <w:ind w:left="-900"/>
        <w:jc w:val="both"/>
        <w:rPr>
          <w:rFonts w:ascii="Times New Roman" w:hAnsi="Times New Roman"/>
          <w:bCs/>
          <w:sz w:val="20"/>
          <w:szCs w:val="20"/>
        </w:rPr>
      </w:pPr>
    </w:p>
    <w:p w:rsidR="002A7E22" w:rsidP="002A7E22">
      <w:pPr>
        <w:tabs>
          <w:tab w:val="num" w:pos="1080"/>
        </w:tabs>
        <w:bidi w:val="0"/>
        <w:ind w:left="-900"/>
        <w:jc w:val="both"/>
        <w:rPr>
          <w:rFonts w:ascii="Times New Roman" w:hAnsi="Times New Roman"/>
          <w:bCs/>
          <w:sz w:val="20"/>
          <w:szCs w:val="20"/>
        </w:rPr>
      </w:pPr>
    </w:p>
    <w:p w:rsidR="00E3363B" w:rsidRPr="007D5748" w:rsidP="00E3363B">
      <w:pPr>
        <w:tabs>
          <w:tab w:val="num" w:pos="1080"/>
        </w:tabs>
        <w:bidi w:val="0"/>
        <w:ind w:left="-900"/>
        <w:jc w:val="both"/>
        <w:outlineLvl w:val="0"/>
        <w:rPr>
          <w:rFonts w:ascii="Times New Roman" w:hAnsi="Times New Roman"/>
          <w:b/>
          <w:bCs/>
          <w:sz w:val="20"/>
          <w:szCs w:val="20"/>
        </w:rPr>
      </w:pPr>
      <w:r w:rsidRPr="007D5748">
        <w:rPr>
          <w:rFonts w:ascii="Times New Roman" w:hAnsi="Times New Roman"/>
          <w:b/>
          <w:bCs/>
          <w:szCs w:val="20"/>
        </w:rPr>
        <w:t>Poznámka:</w:t>
      </w:r>
    </w:p>
    <w:p w:rsidR="00E3363B" w:rsidRPr="007D5748" w:rsidP="00E3363B">
      <w:pPr>
        <w:tabs>
          <w:tab w:val="num" w:pos="1080"/>
        </w:tabs>
        <w:bidi w:val="0"/>
        <w:ind w:left="-900"/>
        <w:jc w:val="both"/>
        <w:outlineLvl w:val="0"/>
        <w:rPr>
          <w:rFonts w:ascii="Times New Roman" w:hAnsi="Times New Roman"/>
          <w:bCs/>
          <w:sz w:val="20"/>
          <w:szCs w:val="20"/>
        </w:rPr>
      </w:pPr>
      <w:r w:rsidRPr="007D5748">
        <w:rPr>
          <w:rFonts w:ascii="Times New Roman" w:hAnsi="Times New Roman"/>
          <w:bCs/>
          <w:szCs w:val="20"/>
        </w:rPr>
        <w:t>Ak sa vplyv týka viacerých subjektov verejnej správy, vypĺňa sa samostatná tabuľka za každý subjekt.</w:t>
      </w:r>
    </w:p>
    <w:p w:rsidR="00E3363B" w:rsidRPr="007D5748" w:rsidP="00E3363B">
      <w:pPr>
        <w:tabs>
          <w:tab w:val="num" w:pos="1080"/>
        </w:tabs>
        <w:bidi w:val="0"/>
        <w:ind w:left="-900"/>
        <w:jc w:val="both"/>
        <w:rPr>
          <w:rFonts w:ascii="Times New Roman" w:hAnsi="Times New Roman"/>
          <w:bCs/>
          <w:sz w:val="20"/>
          <w:szCs w:val="20"/>
        </w:rPr>
      </w:pPr>
    </w:p>
    <w:p w:rsidR="00E3363B" w:rsidP="00E3363B">
      <w:pPr>
        <w:tabs>
          <w:tab w:val="num" w:pos="1080"/>
        </w:tabs>
        <w:bidi w:val="0"/>
        <w:jc w:val="right"/>
        <w:outlineLvl w:val="0"/>
        <w:rPr>
          <w:rFonts w:ascii="Times New Roman" w:hAnsi="Times New Roman"/>
          <w:bCs/>
        </w:rPr>
      </w:pPr>
      <w:r w:rsidRPr="007D5748">
        <w:rPr>
          <w:rFonts w:ascii="Times New Roman" w:hAnsi="Times New Roman"/>
          <w:bCs/>
        </w:rPr>
        <w:t xml:space="preserve">                 Tabuľka č. 5 </w:t>
      </w:r>
    </w:p>
    <w:p w:rsidR="00232AD7" w:rsidRPr="007D5748" w:rsidP="00E3363B">
      <w:pPr>
        <w:tabs>
          <w:tab w:val="num" w:pos="1080"/>
        </w:tabs>
        <w:bidi w:val="0"/>
        <w:jc w:val="right"/>
        <w:outlineLvl w:val="0"/>
        <w:rPr>
          <w:rFonts w:ascii="Times New Roman" w:hAnsi="Times New Roman"/>
          <w:bCs/>
        </w:rPr>
      </w:pPr>
    </w:p>
    <w:tbl>
      <w:tblPr>
        <w:tblStyle w:val="TableNormal"/>
        <w:tblW w:w="20630" w:type="dxa"/>
        <w:tblInd w:w="-784" w:type="dxa"/>
        <w:tblCellMar>
          <w:left w:w="70" w:type="dxa"/>
          <w:right w:w="70" w:type="dxa"/>
        </w:tblCellMar>
      </w:tblPr>
      <w:tblGrid>
        <w:gridCol w:w="15587"/>
        <w:gridCol w:w="1700"/>
        <w:gridCol w:w="2352"/>
        <w:gridCol w:w="991"/>
      </w:tblGrid>
      <w:tr>
        <w:tblPrEx>
          <w:tblW w:w="20630" w:type="dxa"/>
          <w:tblInd w:w="-784" w:type="dxa"/>
          <w:tblCellMar>
            <w:left w:w="70" w:type="dxa"/>
            <w:right w:w="70" w:type="dxa"/>
          </w:tblCellMar>
        </w:tblPrEx>
        <w:trPr>
          <w:trHeight w:val="255"/>
        </w:trPr>
        <w:tc>
          <w:tcPr>
            <w:tcW w:w="15587" w:type="dxa"/>
            <w:tcBorders>
              <w:top w:val="nil"/>
              <w:left w:val="nil"/>
              <w:bottom w:val="nil"/>
              <w:right w:val="nil"/>
            </w:tcBorders>
            <w:noWrap/>
            <w:textDirection w:val="lrTb"/>
            <w:vAlign w:val="bottom"/>
          </w:tcPr>
          <w:p w:rsidR="00232AD7" w:rsidRPr="00232AD7" w:rsidP="00E3363B">
            <w:pPr>
              <w:bidi w:val="0"/>
              <w:jc w:val="both"/>
              <w:rPr>
                <w:rFonts w:ascii="Times New Roman" w:hAnsi="Times New Roman"/>
                <w:b/>
              </w:rPr>
            </w:pPr>
            <w:r w:rsidRPr="00232AD7">
              <w:rPr>
                <w:rFonts w:ascii="Times New Roman" w:hAnsi="Times New Roman"/>
                <w:b/>
              </w:rPr>
              <w:t>Ministerstvo zdravotníctva SR</w:t>
            </w:r>
          </w:p>
          <w:tbl>
            <w:tblPr>
              <w:tblStyle w:val="TableNormal"/>
              <w:tblW w:w="15437" w:type="dxa"/>
              <w:tblCellMar>
                <w:left w:w="70" w:type="dxa"/>
                <w:right w:w="70" w:type="dxa"/>
              </w:tblCellMar>
            </w:tblPr>
            <w:tblGrid>
              <w:gridCol w:w="160"/>
              <w:gridCol w:w="1698"/>
              <w:gridCol w:w="1788"/>
              <w:gridCol w:w="2419"/>
              <w:gridCol w:w="123"/>
              <w:gridCol w:w="1599"/>
              <w:gridCol w:w="101"/>
              <w:gridCol w:w="1519"/>
              <w:gridCol w:w="269"/>
              <w:gridCol w:w="718"/>
              <w:gridCol w:w="1700"/>
              <w:gridCol w:w="1722"/>
              <w:gridCol w:w="630"/>
              <w:gridCol w:w="991"/>
            </w:tblGrid>
            <w:tr>
              <w:tblPrEx>
                <w:tblW w:w="15437" w:type="dxa"/>
                <w:tblCellMar>
                  <w:left w:w="70" w:type="dxa"/>
                  <w:right w:w="70" w:type="dxa"/>
                </w:tblCellMar>
              </w:tblPrEx>
              <w:trPr>
                <w:cantSplit/>
                <w:trHeight w:val="255"/>
              </w:trPr>
              <w:tc>
                <w:tcPr>
                  <w:tcW w:w="6188" w:type="dxa"/>
                  <w:gridSpan w:val="5"/>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32AD7" w:rsidRPr="007D5748" w:rsidP="00232AD7">
                  <w:pPr>
                    <w:bidi w:val="0"/>
                    <w:jc w:val="center"/>
                    <w:rPr>
                      <w:rFonts w:ascii="Times New Roman" w:hAnsi="Times New Roman"/>
                      <w:b/>
                      <w:bCs/>
                    </w:rPr>
                  </w:pPr>
                  <w:r w:rsidRPr="007D5748">
                    <w:rPr>
                      <w:rFonts w:ascii="Times New Roman" w:hAnsi="Times New Roman"/>
                      <w:b/>
                      <w:bCs/>
                    </w:rPr>
                    <w:t>Zamestnanosť</w:t>
                  </w:r>
                </w:p>
              </w:tc>
              <w:tc>
                <w:tcPr>
                  <w:tcW w:w="7628" w:type="dxa"/>
                  <w:gridSpan w:val="7"/>
                  <w:tcBorders>
                    <w:top w:val="single" w:sz="4" w:space="0" w:color="auto"/>
                    <w:left w:val="nil"/>
                    <w:bottom w:val="single" w:sz="4" w:space="0" w:color="auto"/>
                    <w:right w:val="single" w:sz="4" w:space="0" w:color="auto"/>
                  </w:tcBorders>
                  <w:shd w:val="clear" w:color="auto" w:fill="BFBFBF"/>
                  <w:textDirection w:val="lrTb"/>
                  <w:vAlign w:val="top"/>
                </w:tcPr>
                <w:p w:rsidR="00232AD7" w:rsidRPr="007D5748" w:rsidP="00232AD7">
                  <w:pPr>
                    <w:bidi w:val="0"/>
                    <w:jc w:val="center"/>
                    <w:rPr>
                      <w:rFonts w:ascii="Times New Roman" w:hAnsi="Times New Roman"/>
                      <w:b/>
                      <w:bCs/>
                    </w:rPr>
                  </w:pPr>
                  <w:r w:rsidRPr="007D5748">
                    <w:rPr>
                      <w:rFonts w:ascii="Times New Roman" w:hAnsi="Times New Roman"/>
                      <w:b/>
                      <w:bCs/>
                    </w:rPr>
                    <w:t>Vplyv na rozpočet verejnej správy</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32AD7" w:rsidRPr="007D5748" w:rsidP="00232AD7">
                  <w:pPr>
                    <w:bidi w:val="0"/>
                    <w:jc w:val="center"/>
                    <w:rPr>
                      <w:rFonts w:ascii="Times New Roman" w:hAnsi="Times New Roman"/>
                      <w:b/>
                      <w:bCs/>
                    </w:rPr>
                  </w:pPr>
                  <w:r w:rsidRPr="007D5748">
                    <w:rPr>
                      <w:rFonts w:ascii="Times New Roman" w:hAnsi="Times New Roman"/>
                      <w:b/>
                      <w:bCs/>
                    </w:rPr>
                    <w:t>poznámka</w:t>
                  </w:r>
                </w:p>
              </w:tc>
            </w:tr>
            <w:tr>
              <w:tblPrEx>
                <w:tblW w:w="15437" w:type="dxa"/>
                <w:tblCellMar>
                  <w:left w:w="70" w:type="dxa"/>
                  <w:right w:w="70" w:type="dxa"/>
                </w:tblCellMar>
              </w:tblPrEx>
              <w:trPr>
                <w:cantSplit/>
                <w:trHeight w:val="255"/>
              </w:trPr>
              <w:tc>
                <w:tcPr>
                  <w:tcW w:w="6188" w:type="dxa"/>
                  <w:gridSpan w:val="5"/>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32AD7" w:rsidRPr="007D5748" w:rsidP="00232AD7">
                  <w:pPr>
                    <w:bidi w:val="0"/>
                    <w:rPr>
                      <w:rFonts w:ascii="Times New Roman" w:hAnsi="Times New Roman"/>
                      <w:b/>
                      <w:bCs/>
                    </w:rPr>
                  </w:pPr>
                </w:p>
              </w:tc>
              <w:tc>
                <w:tcPr>
                  <w:tcW w:w="1700" w:type="dxa"/>
                  <w:gridSpan w:val="2"/>
                  <w:tcBorders>
                    <w:top w:val="nil"/>
                    <w:left w:val="nil"/>
                    <w:bottom w:val="single" w:sz="4" w:space="0" w:color="auto"/>
                    <w:right w:val="single" w:sz="4" w:space="0" w:color="auto"/>
                  </w:tcBorders>
                  <w:shd w:val="clear" w:color="auto" w:fill="BFBFBF"/>
                  <w:textDirection w:val="lrTb"/>
                  <w:vAlign w:val="top"/>
                </w:tcPr>
                <w:p w:rsidR="00232AD7" w:rsidRPr="007D5748" w:rsidP="00232AD7">
                  <w:pPr>
                    <w:bidi w:val="0"/>
                    <w:jc w:val="center"/>
                    <w:rPr>
                      <w:rFonts w:ascii="Times New Roman" w:hAnsi="Times New Roman"/>
                      <w:b/>
                      <w:bCs/>
                    </w:rPr>
                  </w:pPr>
                  <w:r>
                    <w:rPr>
                      <w:rFonts w:ascii="Times New Roman" w:hAnsi="Times New Roman"/>
                      <w:b/>
                      <w:bCs/>
                    </w:rPr>
                    <w:t>2018</w:t>
                  </w:r>
                </w:p>
              </w:tc>
              <w:tc>
                <w:tcPr>
                  <w:tcW w:w="1788" w:type="dxa"/>
                  <w:gridSpan w:val="2"/>
                  <w:tcBorders>
                    <w:top w:val="nil"/>
                    <w:left w:val="nil"/>
                    <w:bottom w:val="single" w:sz="4" w:space="0" w:color="auto"/>
                    <w:right w:val="single" w:sz="4" w:space="0" w:color="auto"/>
                  </w:tcBorders>
                  <w:shd w:val="clear" w:color="auto" w:fill="BFBFBF"/>
                  <w:textDirection w:val="lrTb"/>
                  <w:vAlign w:val="top"/>
                </w:tcPr>
                <w:p w:rsidR="00232AD7" w:rsidRPr="007D5748" w:rsidP="00232AD7">
                  <w:pPr>
                    <w:bidi w:val="0"/>
                    <w:jc w:val="center"/>
                    <w:rPr>
                      <w:rFonts w:ascii="Times New Roman" w:hAnsi="Times New Roman"/>
                      <w:b/>
                      <w:bCs/>
                    </w:rPr>
                  </w:pPr>
                  <w:r>
                    <w:rPr>
                      <w:rFonts w:ascii="Times New Roman" w:hAnsi="Times New Roman"/>
                      <w:b/>
                      <w:bCs/>
                    </w:rPr>
                    <w:t>2019</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232AD7" w:rsidRPr="007D5748" w:rsidP="00232AD7">
                  <w:pPr>
                    <w:bidi w:val="0"/>
                    <w:jc w:val="center"/>
                    <w:rPr>
                      <w:rFonts w:ascii="Times New Roman" w:hAnsi="Times New Roman"/>
                      <w:b/>
                      <w:bCs/>
                    </w:rPr>
                  </w:pPr>
                  <w:r>
                    <w:rPr>
                      <w:rFonts w:ascii="Times New Roman" w:hAnsi="Times New Roman"/>
                      <w:b/>
                      <w:bCs/>
                    </w:rPr>
                    <w:t>2020</w:t>
                  </w:r>
                </w:p>
              </w:tc>
              <w:tc>
                <w:tcPr>
                  <w:tcW w:w="1722" w:type="dxa"/>
                  <w:tcBorders>
                    <w:top w:val="nil"/>
                    <w:left w:val="nil"/>
                    <w:bottom w:val="single" w:sz="4" w:space="0" w:color="auto"/>
                    <w:right w:val="single" w:sz="4" w:space="0" w:color="auto"/>
                  </w:tcBorders>
                  <w:shd w:val="clear" w:color="auto" w:fill="BFBFBF"/>
                  <w:textDirection w:val="lrTb"/>
                  <w:vAlign w:val="top"/>
                </w:tcPr>
                <w:p w:rsidR="00232AD7" w:rsidRPr="007D5748" w:rsidP="00232AD7">
                  <w:pPr>
                    <w:bidi w:val="0"/>
                    <w:jc w:val="center"/>
                    <w:rPr>
                      <w:rFonts w:ascii="Times New Roman" w:hAnsi="Times New Roman"/>
                      <w:b/>
                      <w:bCs/>
                    </w:rPr>
                  </w:pPr>
                  <w:r>
                    <w:rPr>
                      <w:rFonts w:ascii="Times New Roman" w:hAnsi="Times New Roman"/>
                      <w:b/>
                      <w:bCs/>
                    </w:rPr>
                    <w:t>2021</w:t>
                  </w: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32AD7" w:rsidRPr="007D5748" w:rsidP="00232AD7">
                  <w:pPr>
                    <w:bidi w:val="0"/>
                    <w:rPr>
                      <w:rFonts w:ascii="Times New Roman" w:hAnsi="Times New Roman"/>
                      <w:b/>
                      <w:bCs/>
                      <w:color w:val="FFFFFF"/>
                    </w:rPr>
                  </w:pP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textDirection w:val="lrTb"/>
                  <w:vAlign w:val="top"/>
                </w:tcPr>
                <w:p w:rsidR="00232AD7" w:rsidRPr="007D5748" w:rsidP="00232AD7">
                  <w:pPr>
                    <w:bidi w:val="0"/>
                    <w:rPr>
                      <w:rFonts w:ascii="Times New Roman" w:hAnsi="Times New Roman"/>
                      <w:b/>
                      <w:bCs/>
                    </w:rPr>
                  </w:pPr>
                  <w:r w:rsidRPr="007D5748">
                    <w:rPr>
                      <w:rFonts w:ascii="Times New Roman" w:hAnsi="Times New Roman"/>
                      <w:b/>
                      <w:bCs/>
                    </w:rPr>
                    <w:t>Počet zamestnancov celkom</w:t>
                  </w:r>
                </w:p>
              </w:tc>
              <w:tc>
                <w:tcPr>
                  <w:tcW w:w="1700" w:type="dxa"/>
                  <w:gridSpan w:val="2"/>
                  <w:tcBorders>
                    <w:top w:val="nil"/>
                    <w:left w:val="nil"/>
                    <w:bottom w:val="single" w:sz="4" w:space="0" w:color="auto"/>
                    <w:right w:val="single" w:sz="4" w:space="0" w:color="auto"/>
                  </w:tcBorders>
                  <w:textDirection w:val="lrTb"/>
                  <w:vAlign w:val="top"/>
                </w:tcPr>
                <w:p w:rsidR="00232AD7" w:rsidRPr="00490DE8" w:rsidP="00232AD7">
                  <w:pPr>
                    <w:bidi w:val="0"/>
                    <w:jc w:val="center"/>
                    <w:rPr>
                      <w:rFonts w:ascii="Times New Roman" w:hAnsi="Times New Roman"/>
                      <w:bCs/>
                      <w:sz w:val="22"/>
                      <w:szCs w:val="22"/>
                    </w:rPr>
                  </w:pPr>
                  <w:r w:rsidR="00635F05">
                    <w:rPr>
                      <w:rFonts w:ascii="Times New Roman" w:hAnsi="Times New Roman"/>
                      <w:bCs/>
                      <w:sz w:val="22"/>
                      <w:szCs w:val="22"/>
                    </w:rPr>
                    <w:t>0</w:t>
                  </w:r>
                </w:p>
              </w:tc>
              <w:tc>
                <w:tcPr>
                  <w:tcW w:w="1788" w:type="dxa"/>
                  <w:gridSpan w:val="2"/>
                  <w:tcBorders>
                    <w:top w:val="nil"/>
                    <w:left w:val="nil"/>
                    <w:bottom w:val="single" w:sz="4" w:space="0" w:color="auto"/>
                    <w:right w:val="single" w:sz="4" w:space="0" w:color="auto"/>
                  </w:tcBorders>
                  <w:textDirection w:val="lrTb"/>
                  <w:vAlign w:val="top"/>
                </w:tcPr>
                <w:p w:rsidR="00232AD7" w:rsidRPr="00490DE8" w:rsidP="00232AD7">
                  <w:pPr>
                    <w:bidi w:val="0"/>
                    <w:jc w:val="center"/>
                    <w:rPr>
                      <w:rFonts w:ascii="Times New Roman" w:hAnsi="Times New Roman"/>
                      <w:bCs/>
                      <w:sz w:val="22"/>
                      <w:szCs w:val="22"/>
                    </w:rPr>
                  </w:pPr>
                  <w:r w:rsidR="00635F05">
                    <w:rPr>
                      <w:rFonts w:ascii="Times New Roman" w:hAnsi="Times New Roman"/>
                      <w:bCs/>
                      <w:sz w:val="22"/>
                      <w:szCs w:val="22"/>
                    </w:rPr>
                    <w:t>0</w:t>
                  </w:r>
                </w:p>
              </w:tc>
              <w:tc>
                <w:tcPr>
                  <w:tcW w:w="2418" w:type="dxa"/>
                  <w:gridSpan w:val="2"/>
                  <w:tcBorders>
                    <w:top w:val="nil"/>
                    <w:left w:val="nil"/>
                    <w:bottom w:val="single" w:sz="4" w:space="0" w:color="auto"/>
                    <w:right w:val="single" w:sz="4" w:space="0" w:color="auto"/>
                  </w:tcBorders>
                  <w:textDirection w:val="lrTb"/>
                  <w:vAlign w:val="top"/>
                </w:tcPr>
                <w:p w:rsidR="00232AD7" w:rsidRPr="00490DE8" w:rsidP="00232AD7">
                  <w:pPr>
                    <w:bidi w:val="0"/>
                    <w:jc w:val="center"/>
                    <w:rPr>
                      <w:rFonts w:ascii="Times New Roman" w:hAnsi="Times New Roman"/>
                      <w:bCs/>
                      <w:sz w:val="22"/>
                      <w:szCs w:val="22"/>
                    </w:rPr>
                  </w:pPr>
                  <w:r w:rsidR="00635F05">
                    <w:rPr>
                      <w:rFonts w:ascii="Times New Roman" w:hAnsi="Times New Roman"/>
                      <w:bCs/>
                      <w:sz w:val="22"/>
                      <w:szCs w:val="22"/>
                    </w:rPr>
                    <w:t>0</w:t>
                  </w:r>
                </w:p>
              </w:tc>
              <w:tc>
                <w:tcPr>
                  <w:tcW w:w="1722" w:type="dxa"/>
                  <w:tcBorders>
                    <w:top w:val="nil"/>
                    <w:left w:val="nil"/>
                    <w:bottom w:val="single" w:sz="4" w:space="0" w:color="auto"/>
                    <w:right w:val="single" w:sz="4" w:space="0" w:color="auto"/>
                  </w:tcBorders>
                  <w:textDirection w:val="lrTb"/>
                  <w:vAlign w:val="top"/>
                </w:tcPr>
                <w:p w:rsidR="00232AD7" w:rsidRPr="00490DE8" w:rsidP="00232AD7">
                  <w:pPr>
                    <w:bidi w:val="0"/>
                    <w:jc w:val="center"/>
                    <w:rPr>
                      <w:rFonts w:ascii="Times New Roman" w:hAnsi="Times New Roman"/>
                      <w:bCs/>
                      <w:sz w:val="22"/>
                      <w:szCs w:val="22"/>
                    </w:rPr>
                  </w:pPr>
                  <w:r w:rsidR="00635F05">
                    <w:rPr>
                      <w:rFonts w:ascii="Times New Roman" w:hAnsi="Times New Roman"/>
                      <w:bCs/>
                      <w:sz w:val="22"/>
                      <w:szCs w:val="22"/>
                    </w:rPr>
                    <w:t>0</w:t>
                  </w:r>
                </w:p>
              </w:tc>
              <w:tc>
                <w:tcPr>
                  <w:tcW w:w="1621" w:type="dxa"/>
                  <w:gridSpan w:val="2"/>
                  <w:tcBorders>
                    <w:top w:val="nil"/>
                    <w:left w:val="nil"/>
                    <w:bottom w:val="single" w:sz="4" w:space="0" w:color="auto"/>
                    <w:right w:val="single" w:sz="4" w:space="0" w:color="auto"/>
                  </w:tcBorders>
                  <w:noWrap/>
                  <w:textDirection w:val="lrTb"/>
                  <w:vAlign w:val="bottom"/>
                </w:tcPr>
                <w:p w:rsidR="00232AD7" w:rsidRPr="007D5748" w:rsidP="00232AD7">
                  <w:pPr>
                    <w:bidi w:val="0"/>
                    <w:rPr>
                      <w:rFonts w:ascii="Times New Roman" w:hAnsi="Times New Roman"/>
                    </w:rPr>
                  </w:pPr>
                  <w:r w:rsidRPr="007D5748">
                    <w:rPr>
                      <w:rFonts w:ascii="Times New Roman" w:hAnsi="Times New Roman"/>
                    </w:rPr>
                    <w:t> </w:t>
                  </w: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b/>
                      <w:bCs/>
                    </w:rPr>
                  </w:pPr>
                  <w:r w:rsidRPr="007D5748">
                    <w:rPr>
                      <w:rFonts w:ascii="Times New Roman" w:hAnsi="Times New Roman"/>
                      <w:b/>
                      <w:bCs/>
                    </w:rPr>
                    <w:t xml:space="preserve">   z toho vplyv na ŠR</w:t>
                  </w:r>
                </w:p>
              </w:tc>
              <w:tc>
                <w:tcPr>
                  <w:tcW w:w="1700"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88"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22" w:type="dxa"/>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621" w:type="dxa"/>
                  <w:gridSpan w:val="2"/>
                  <w:tcBorders>
                    <w:top w:val="nil"/>
                    <w:left w:val="nil"/>
                    <w:bottom w:val="single" w:sz="4" w:space="0" w:color="auto"/>
                    <w:right w:val="single" w:sz="4" w:space="0" w:color="auto"/>
                  </w:tcBorders>
                  <w:noWrap/>
                  <w:textDirection w:val="lrTb"/>
                  <w:vAlign w:val="bottom"/>
                </w:tcPr>
                <w:p w:rsidR="00635F05" w:rsidRPr="007D5748" w:rsidP="00635F05">
                  <w:pPr>
                    <w:bidi w:val="0"/>
                    <w:rPr>
                      <w:rFonts w:ascii="Times New Roman" w:hAnsi="Times New Roman"/>
                    </w:rPr>
                  </w:pP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b/>
                      <w:bCs/>
                    </w:rPr>
                  </w:pPr>
                  <w:r w:rsidRPr="007D5748">
                    <w:rPr>
                      <w:rFonts w:ascii="Times New Roman" w:hAnsi="Times New Roman"/>
                      <w:b/>
                      <w:bCs/>
                    </w:rPr>
                    <w:t>Priemerný mzdový výdavok (v eurách)</w:t>
                  </w:r>
                </w:p>
              </w:tc>
              <w:tc>
                <w:tcPr>
                  <w:tcW w:w="1700"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88"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22" w:type="dxa"/>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621" w:type="dxa"/>
                  <w:gridSpan w:val="2"/>
                  <w:tcBorders>
                    <w:top w:val="nil"/>
                    <w:left w:val="nil"/>
                    <w:bottom w:val="single" w:sz="4" w:space="0" w:color="auto"/>
                    <w:right w:val="single" w:sz="4" w:space="0" w:color="auto"/>
                  </w:tcBorders>
                  <w:noWrap/>
                  <w:textDirection w:val="lrTb"/>
                  <w:vAlign w:val="bottom"/>
                </w:tcPr>
                <w:p w:rsidR="00635F05" w:rsidRPr="007D5748" w:rsidP="00635F05">
                  <w:pPr>
                    <w:bidi w:val="0"/>
                    <w:rPr>
                      <w:rFonts w:ascii="Times New Roman" w:hAnsi="Times New Roman"/>
                    </w:rPr>
                  </w:pPr>
                  <w:r w:rsidRPr="007D5748">
                    <w:rPr>
                      <w:rFonts w:ascii="Times New Roman" w:hAnsi="Times New Roman"/>
                    </w:rPr>
                    <w:t> </w:t>
                  </w: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rPr>
                  </w:pPr>
                  <w:r w:rsidRPr="007D5748">
                    <w:rPr>
                      <w:rFonts w:ascii="Times New Roman" w:hAnsi="Times New Roman"/>
                      <w:b/>
                      <w:bCs/>
                    </w:rPr>
                    <w:t xml:space="preserve">   z toho vplyv na ŠR</w:t>
                  </w:r>
                </w:p>
              </w:tc>
              <w:tc>
                <w:tcPr>
                  <w:tcW w:w="1700"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88"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22" w:type="dxa"/>
                  <w:tcBorders>
                    <w:top w:val="single" w:sz="4" w:space="0" w:color="auto"/>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621" w:type="dxa"/>
                  <w:gridSpan w:val="2"/>
                  <w:tcBorders>
                    <w:top w:val="nil"/>
                    <w:left w:val="nil"/>
                    <w:bottom w:val="single" w:sz="4" w:space="0" w:color="auto"/>
                    <w:right w:val="single" w:sz="4" w:space="0" w:color="auto"/>
                  </w:tcBorders>
                  <w:noWrap/>
                  <w:textDirection w:val="lrTb"/>
                  <w:vAlign w:val="bottom"/>
                </w:tcPr>
                <w:p w:rsidR="00635F05" w:rsidRPr="007D5748" w:rsidP="00635F05">
                  <w:pPr>
                    <w:bidi w:val="0"/>
                    <w:rPr>
                      <w:rFonts w:ascii="Times New Roman" w:hAnsi="Times New Roman"/>
                    </w:rPr>
                  </w:pPr>
                  <w:r w:rsidRPr="007D5748">
                    <w:rPr>
                      <w:rFonts w:ascii="Times New Roman" w:hAnsi="Times New Roman"/>
                    </w:rPr>
                    <w:t> </w:t>
                  </w: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shd w:val="clear" w:color="auto" w:fill="BFBFBF"/>
                  <w:textDirection w:val="lrTb"/>
                  <w:vAlign w:val="top"/>
                </w:tcPr>
                <w:p w:rsidR="00635F05" w:rsidRPr="007D5748" w:rsidP="00635F05">
                  <w:pPr>
                    <w:bidi w:val="0"/>
                    <w:rPr>
                      <w:rFonts w:ascii="Times New Roman" w:hAnsi="Times New Roman"/>
                      <w:b/>
                      <w:bCs/>
                    </w:rPr>
                  </w:pPr>
                  <w:r w:rsidRPr="007D5748">
                    <w:rPr>
                      <w:rFonts w:ascii="Times New Roman" w:hAnsi="Times New Roman"/>
                      <w:b/>
                      <w:bCs/>
                    </w:rPr>
                    <w:t>Osobné výdavky celkom (v eurách)</w:t>
                  </w:r>
                </w:p>
              </w:tc>
              <w:tc>
                <w:tcPr>
                  <w:tcW w:w="1700" w:type="dxa"/>
                  <w:gridSpan w:val="2"/>
                  <w:tcBorders>
                    <w:top w:val="nil"/>
                    <w:left w:val="nil"/>
                    <w:bottom w:val="single" w:sz="4" w:space="0" w:color="auto"/>
                    <w:right w:val="single" w:sz="4" w:space="0" w:color="auto"/>
                  </w:tcBorders>
                  <w:shd w:val="clear" w:color="auto" w:fill="BFBFBF"/>
                  <w:textDirection w:val="lrTb"/>
                  <w:vAlign w:val="top"/>
                </w:tcPr>
                <w:p w:rsidR="00635F05" w:rsidRPr="00635F05" w:rsidP="00635F05">
                  <w:pPr>
                    <w:bidi w:val="0"/>
                    <w:jc w:val="center"/>
                    <w:rPr>
                      <w:rFonts w:ascii="Times New Roman" w:hAnsi="Times New Roman"/>
                      <w:b/>
                      <w:bCs/>
                      <w:sz w:val="22"/>
                      <w:szCs w:val="22"/>
                    </w:rPr>
                  </w:pPr>
                  <w:r w:rsidRPr="00635F05">
                    <w:rPr>
                      <w:rFonts w:ascii="Times New Roman" w:hAnsi="Times New Roman"/>
                      <w:b/>
                      <w:bCs/>
                      <w:sz w:val="22"/>
                      <w:szCs w:val="22"/>
                    </w:rPr>
                    <w:t>0</w:t>
                  </w:r>
                </w:p>
              </w:tc>
              <w:tc>
                <w:tcPr>
                  <w:tcW w:w="1788" w:type="dxa"/>
                  <w:gridSpan w:val="2"/>
                  <w:tcBorders>
                    <w:top w:val="nil"/>
                    <w:left w:val="nil"/>
                    <w:bottom w:val="single" w:sz="4" w:space="0" w:color="auto"/>
                    <w:right w:val="single" w:sz="4" w:space="0" w:color="auto"/>
                  </w:tcBorders>
                  <w:shd w:val="clear" w:color="auto" w:fill="BFBFBF"/>
                  <w:textDirection w:val="lrTb"/>
                  <w:vAlign w:val="top"/>
                </w:tcPr>
                <w:p w:rsidR="00635F05" w:rsidRPr="00635F05" w:rsidP="00635F05">
                  <w:pPr>
                    <w:bidi w:val="0"/>
                    <w:jc w:val="center"/>
                    <w:rPr>
                      <w:rFonts w:ascii="Times New Roman" w:hAnsi="Times New Roman"/>
                      <w:b/>
                      <w:bCs/>
                      <w:sz w:val="22"/>
                      <w:szCs w:val="22"/>
                    </w:rPr>
                  </w:pPr>
                  <w:r w:rsidRPr="00635F05">
                    <w:rPr>
                      <w:rFonts w:ascii="Times New Roman" w:hAnsi="Times New Roman"/>
                      <w:b/>
                      <w:bCs/>
                      <w:sz w:val="22"/>
                      <w:szCs w:val="22"/>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635F05" w:rsidRPr="00635F05" w:rsidP="00635F05">
                  <w:pPr>
                    <w:bidi w:val="0"/>
                    <w:jc w:val="center"/>
                    <w:rPr>
                      <w:rFonts w:ascii="Times New Roman" w:hAnsi="Times New Roman"/>
                      <w:b/>
                      <w:bCs/>
                      <w:sz w:val="22"/>
                      <w:szCs w:val="22"/>
                    </w:rPr>
                  </w:pPr>
                  <w:r w:rsidRPr="00635F05">
                    <w:rPr>
                      <w:rFonts w:ascii="Times New Roman" w:hAnsi="Times New Roman"/>
                      <w:b/>
                      <w:bCs/>
                      <w:sz w:val="22"/>
                      <w:szCs w:val="22"/>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635F05" w:rsidRPr="00635F05" w:rsidP="00635F05">
                  <w:pPr>
                    <w:bidi w:val="0"/>
                    <w:jc w:val="center"/>
                    <w:rPr>
                      <w:rFonts w:ascii="Times New Roman" w:hAnsi="Times New Roman"/>
                      <w:b/>
                      <w:bCs/>
                      <w:sz w:val="22"/>
                      <w:szCs w:val="22"/>
                    </w:rPr>
                  </w:pPr>
                  <w:r w:rsidRPr="00635F05">
                    <w:rPr>
                      <w:rFonts w:ascii="Times New Roman" w:hAnsi="Times New Roman"/>
                      <w:b/>
                      <w:bCs/>
                      <w:sz w:val="22"/>
                      <w:szCs w:val="22"/>
                    </w:rPr>
                    <w:t>0</w:t>
                  </w:r>
                </w:p>
              </w:tc>
              <w:tc>
                <w:tcPr>
                  <w:tcW w:w="1621" w:type="dxa"/>
                  <w:gridSpan w:val="2"/>
                  <w:tcBorders>
                    <w:top w:val="nil"/>
                    <w:left w:val="nil"/>
                    <w:bottom w:val="single" w:sz="4" w:space="0" w:color="auto"/>
                    <w:right w:val="single" w:sz="4" w:space="0" w:color="auto"/>
                  </w:tcBorders>
                  <w:shd w:val="clear" w:color="auto" w:fill="BFBFBF"/>
                  <w:noWrap/>
                  <w:textDirection w:val="lrTb"/>
                  <w:vAlign w:val="bottom"/>
                </w:tcPr>
                <w:p w:rsidR="00635F05" w:rsidRPr="007D5748" w:rsidP="00635F05">
                  <w:pPr>
                    <w:bidi w:val="0"/>
                    <w:rPr>
                      <w:rFonts w:ascii="Times New Roman" w:hAnsi="Times New Roman"/>
                      <w:b/>
                      <w:bCs/>
                    </w:rPr>
                  </w:pPr>
                  <w:r w:rsidRPr="007D5748">
                    <w:rPr>
                      <w:rFonts w:ascii="Times New Roman" w:hAnsi="Times New Roman"/>
                      <w:b/>
                      <w:bCs/>
                    </w:rPr>
                    <w:t> </w:t>
                  </w: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b/>
                      <w:bCs/>
                    </w:rPr>
                  </w:pPr>
                  <w:r w:rsidRPr="007D5748">
                    <w:rPr>
                      <w:rFonts w:ascii="Times New Roman" w:hAnsi="Times New Roman"/>
                      <w:b/>
                      <w:bCs/>
                    </w:rPr>
                    <w:t>Mzdy, platy, služobné príjmy a ostatné osobné vyrovnania (610)</w:t>
                  </w:r>
                </w:p>
              </w:tc>
              <w:tc>
                <w:tcPr>
                  <w:tcW w:w="1700"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88"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2418"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22" w:type="dxa"/>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621" w:type="dxa"/>
                  <w:gridSpan w:val="2"/>
                  <w:tcBorders>
                    <w:top w:val="nil"/>
                    <w:left w:val="nil"/>
                    <w:bottom w:val="single" w:sz="4" w:space="0" w:color="auto"/>
                    <w:right w:val="single" w:sz="4" w:space="0" w:color="auto"/>
                  </w:tcBorders>
                  <w:noWrap/>
                  <w:textDirection w:val="lrTb"/>
                  <w:vAlign w:val="bottom"/>
                </w:tcPr>
                <w:p w:rsidR="00635F05" w:rsidRPr="007D5748" w:rsidP="00635F05">
                  <w:pPr>
                    <w:bidi w:val="0"/>
                    <w:rPr>
                      <w:rFonts w:ascii="Times New Roman" w:hAnsi="Times New Roman"/>
                      <w:b/>
                      <w:bCs/>
                    </w:rPr>
                  </w:pPr>
                  <w:r w:rsidRPr="007D5748">
                    <w:rPr>
                      <w:rFonts w:ascii="Times New Roman" w:hAnsi="Times New Roman"/>
                      <w:b/>
                      <w:bCs/>
                    </w:rPr>
                    <w:t> </w:t>
                  </w: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rPr>
                  </w:pPr>
                  <w:r w:rsidRPr="007D5748">
                    <w:rPr>
                      <w:rFonts w:ascii="Times New Roman" w:hAnsi="Times New Roman"/>
                      <w:b/>
                      <w:bCs/>
                    </w:rPr>
                    <w:t xml:space="preserve">   z toho vplyv na ŠR</w:t>
                  </w:r>
                </w:p>
              </w:tc>
              <w:tc>
                <w:tcPr>
                  <w:tcW w:w="1700"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88"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2418"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22" w:type="dxa"/>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621" w:type="dxa"/>
                  <w:gridSpan w:val="2"/>
                  <w:tcBorders>
                    <w:top w:val="nil"/>
                    <w:left w:val="nil"/>
                    <w:bottom w:val="single" w:sz="4" w:space="0" w:color="auto"/>
                    <w:right w:val="single" w:sz="4" w:space="0" w:color="auto"/>
                  </w:tcBorders>
                  <w:noWrap/>
                  <w:textDirection w:val="lrTb"/>
                  <w:vAlign w:val="bottom"/>
                </w:tcPr>
                <w:p w:rsidR="00635F05" w:rsidRPr="007D5748" w:rsidP="00635F05">
                  <w:pPr>
                    <w:bidi w:val="0"/>
                    <w:rPr>
                      <w:rFonts w:ascii="Times New Roman" w:hAnsi="Times New Roman"/>
                    </w:rPr>
                  </w:pPr>
                  <w:r w:rsidRPr="007D5748">
                    <w:rPr>
                      <w:rFonts w:ascii="Times New Roman" w:hAnsi="Times New Roman"/>
                    </w:rPr>
                    <w:t> </w:t>
                  </w: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b/>
                      <w:bCs/>
                    </w:rPr>
                  </w:pPr>
                  <w:r w:rsidRPr="007D5748">
                    <w:rPr>
                      <w:rFonts w:ascii="Times New Roman" w:hAnsi="Times New Roman"/>
                      <w:b/>
                      <w:bCs/>
                    </w:rPr>
                    <w:t>Poistné a príspevok do poisťovní (620)</w:t>
                  </w:r>
                </w:p>
              </w:tc>
              <w:tc>
                <w:tcPr>
                  <w:tcW w:w="1700"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88"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2418"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22" w:type="dxa"/>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621" w:type="dxa"/>
                  <w:gridSpan w:val="2"/>
                  <w:tcBorders>
                    <w:top w:val="nil"/>
                    <w:left w:val="nil"/>
                    <w:bottom w:val="single" w:sz="4" w:space="0" w:color="auto"/>
                    <w:right w:val="single" w:sz="4" w:space="0" w:color="auto"/>
                  </w:tcBorders>
                  <w:noWrap/>
                  <w:textDirection w:val="lrTb"/>
                  <w:vAlign w:val="bottom"/>
                </w:tcPr>
                <w:p w:rsidR="00635F05" w:rsidRPr="007D5748" w:rsidP="00635F05">
                  <w:pPr>
                    <w:bidi w:val="0"/>
                    <w:rPr>
                      <w:rFonts w:ascii="Times New Roman" w:hAnsi="Times New Roman"/>
                      <w:b/>
                      <w:bCs/>
                    </w:rPr>
                  </w:pPr>
                  <w:r w:rsidRPr="007D5748">
                    <w:rPr>
                      <w:rFonts w:ascii="Times New Roman" w:hAnsi="Times New Roman"/>
                      <w:b/>
                      <w:bCs/>
                    </w:rPr>
                    <w:t> </w:t>
                  </w:r>
                </w:p>
              </w:tc>
            </w:tr>
            <w:tr>
              <w:tblPrEx>
                <w:tblW w:w="15437" w:type="dxa"/>
                <w:tblCellMar>
                  <w:left w:w="70" w:type="dxa"/>
                  <w:right w:w="70" w:type="dxa"/>
                </w:tblCellMar>
              </w:tblPrEx>
              <w:trPr>
                <w:trHeight w:val="255"/>
              </w:trPr>
              <w:tc>
                <w:tcPr>
                  <w:tcW w:w="6188" w:type="dxa"/>
                  <w:gridSpan w:val="5"/>
                  <w:tcBorders>
                    <w:top w:val="nil"/>
                    <w:left w:val="single" w:sz="4" w:space="0" w:color="auto"/>
                    <w:bottom w:val="single" w:sz="4" w:space="0" w:color="auto"/>
                    <w:right w:val="single" w:sz="4" w:space="0" w:color="auto"/>
                  </w:tcBorders>
                  <w:textDirection w:val="lrTb"/>
                  <w:vAlign w:val="top"/>
                </w:tcPr>
                <w:p w:rsidR="00635F05" w:rsidRPr="007D5748" w:rsidP="00635F05">
                  <w:pPr>
                    <w:bidi w:val="0"/>
                    <w:rPr>
                      <w:rFonts w:ascii="Times New Roman" w:hAnsi="Times New Roman"/>
                    </w:rPr>
                  </w:pPr>
                  <w:r w:rsidRPr="007D5748">
                    <w:rPr>
                      <w:rFonts w:ascii="Times New Roman" w:hAnsi="Times New Roman"/>
                      <w:b/>
                      <w:bCs/>
                    </w:rPr>
                    <w:t xml:space="preserve">   z toho vplyv na ŠR</w:t>
                  </w:r>
                </w:p>
              </w:tc>
              <w:tc>
                <w:tcPr>
                  <w:tcW w:w="1700"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88"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2418" w:type="dxa"/>
                  <w:gridSpan w:val="2"/>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722" w:type="dxa"/>
                  <w:tcBorders>
                    <w:top w:val="nil"/>
                    <w:left w:val="nil"/>
                    <w:bottom w:val="single" w:sz="4" w:space="0" w:color="auto"/>
                    <w:right w:val="single" w:sz="4" w:space="0" w:color="auto"/>
                  </w:tcBorders>
                  <w:textDirection w:val="lrTb"/>
                  <w:vAlign w:val="top"/>
                </w:tcPr>
                <w:p w:rsidR="00635F05" w:rsidRPr="00490DE8" w:rsidP="00635F05">
                  <w:pPr>
                    <w:bidi w:val="0"/>
                    <w:jc w:val="center"/>
                    <w:rPr>
                      <w:rFonts w:ascii="Times New Roman" w:hAnsi="Times New Roman"/>
                      <w:bCs/>
                      <w:sz w:val="22"/>
                      <w:szCs w:val="22"/>
                    </w:rPr>
                  </w:pPr>
                  <w:r>
                    <w:rPr>
                      <w:rFonts w:ascii="Times New Roman" w:hAnsi="Times New Roman"/>
                      <w:bCs/>
                      <w:sz w:val="22"/>
                      <w:szCs w:val="22"/>
                    </w:rPr>
                    <w:t>0</w:t>
                  </w:r>
                </w:p>
              </w:tc>
              <w:tc>
                <w:tcPr>
                  <w:tcW w:w="1621" w:type="dxa"/>
                  <w:gridSpan w:val="2"/>
                  <w:tcBorders>
                    <w:top w:val="nil"/>
                    <w:left w:val="nil"/>
                    <w:bottom w:val="single" w:sz="4" w:space="0" w:color="auto"/>
                    <w:right w:val="single" w:sz="4" w:space="0" w:color="auto"/>
                  </w:tcBorders>
                  <w:noWrap/>
                  <w:textDirection w:val="lrTb"/>
                  <w:vAlign w:val="bottom"/>
                </w:tcPr>
                <w:p w:rsidR="00635F05" w:rsidRPr="007D5748" w:rsidP="00635F05">
                  <w:pPr>
                    <w:bidi w:val="0"/>
                    <w:rPr>
                      <w:rFonts w:ascii="Times New Roman" w:hAnsi="Times New Roman"/>
                    </w:rPr>
                  </w:pPr>
                  <w:r w:rsidRPr="007D5748">
                    <w:rPr>
                      <w:rFonts w:ascii="Times New Roman" w:hAnsi="Times New Roman"/>
                    </w:rPr>
                    <w:t> </w:t>
                  </w:r>
                </w:p>
              </w:tc>
            </w:tr>
            <w:tr>
              <w:tblPrEx>
                <w:tblW w:w="15437" w:type="dxa"/>
                <w:tblCellMar>
                  <w:left w:w="70" w:type="dxa"/>
                  <w:right w:w="70" w:type="dxa"/>
                </w:tblCellMar>
              </w:tblPrEx>
              <w:trPr>
                <w:gridAfter w:val="6"/>
                <w:wAfter w:w="6030" w:type="dxa"/>
                <w:trHeight w:val="20"/>
              </w:trPr>
              <w:tc>
                <w:tcPr>
                  <w:tcW w:w="160" w:type="dxa"/>
                  <w:tcBorders>
                    <w:top w:val="nil"/>
                    <w:left w:val="nil"/>
                    <w:bottom w:val="nil"/>
                    <w:right w:val="nil"/>
                  </w:tcBorders>
                  <w:noWrap/>
                  <w:textDirection w:val="lrTb"/>
                  <w:vAlign w:val="bottom"/>
                </w:tcPr>
                <w:p w:rsidR="00232AD7" w:rsidP="00232AD7">
                  <w:pPr>
                    <w:bidi w:val="0"/>
                    <w:rPr>
                      <w:rFonts w:ascii="Times New Roman" w:hAnsi="Times New Roman"/>
                    </w:rPr>
                  </w:pPr>
                </w:p>
                <w:p w:rsidR="00232AD7" w:rsidRPr="007D5748" w:rsidP="00232AD7">
                  <w:pPr>
                    <w:bidi w:val="0"/>
                    <w:rPr>
                      <w:rFonts w:ascii="Times New Roman" w:hAnsi="Times New Roman"/>
                    </w:rPr>
                  </w:pPr>
                </w:p>
              </w:tc>
              <w:tc>
                <w:tcPr>
                  <w:tcW w:w="1698" w:type="dxa"/>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1788" w:type="dxa"/>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2419" w:type="dxa"/>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1722" w:type="dxa"/>
                  <w:gridSpan w:val="2"/>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1620" w:type="dxa"/>
                  <w:gridSpan w:val="2"/>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r>
            <w:tr>
              <w:tblPrEx>
                <w:tblW w:w="15437" w:type="dxa"/>
                <w:tblCellMar>
                  <w:left w:w="70" w:type="dxa"/>
                  <w:right w:w="70" w:type="dxa"/>
                </w:tblCellMar>
              </w:tblPrEx>
              <w:trPr>
                <w:trHeight w:val="255"/>
              </w:trPr>
              <w:tc>
                <w:tcPr>
                  <w:tcW w:w="6188" w:type="dxa"/>
                  <w:gridSpan w:val="5"/>
                  <w:tcBorders>
                    <w:top w:val="nil"/>
                    <w:left w:val="nil"/>
                    <w:bottom w:val="nil"/>
                    <w:right w:val="nil"/>
                  </w:tcBorders>
                  <w:textDirection w:val="lrTb"/>
                  <w:vAlign w:val="top"/>
                </w:tcPr>
                <w:p w:rsidR="00232AD7" w:rsidRPr="007D5748" w:rsidP="00232AD7">
                  <w:pPr>
                    <w:bidi w:val="0"/>
                    <w:rPr>
                      <w:rFonts w:ascii="Times New Roman" w:hAnsi="Times New Roman"/>
                      <w:b/>
                      <w:bCs/>
                    </w:rPr>
                  </w:pPr>
                  <w:r w:rsidRPr="007D5748">
                    <w:rPr>
                      <w:rFonts w:ascii="Times New Roman" w:hAnsi="Times New Roman"/>
                      <w:b/>
                      <w:bCs/>
                    </w:rPr>
                    <w:t>Poznámky:</w:t>
                  </w:r>
                </w:p>
              </w:tc>
              <w:tc>
                <w:tcPr>
                  <w:tcW w:w="1700" w:type="dxa"/>
                  <w:gridSpan w:val="2"/>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1788" w:type="dxa"/>
                  <w:gridSpan w:val="2"/>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2418" w:type="dxa"/>
                  <w:gridSpan w:val="2"/>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1722" w:type="dxa"/>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1621" w:type="dxa"/>
                  <w:gridSpan w:val="2"/>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r>
            <w:tr>
              <w:tblPrEx>
                <w:tblW w:w="15437" w:type="dxa"/>
                <w:tblCellMar>
                  <w:left w:w="70" w:type="dxa"/>
                  <w:right w:w="70" w:type="dxa"/>
                </w:tblCellMar>
              </w:tblPrEx>
              <w:trPr>
                <w:trHeight w:val="255"/>
              </w:trPr>
              <w:tc>
                <w:tcPr>
                  <w:tcW w:w="13816" w:type="dxa"/>
                  <w:gridSpan w:val="12"/>
                  <w:tcBorders>
                    <w:top w:val="nil"/>
                    <w:left w:val="nil"/>
                    <w:bottom w:val="nil"/>
                    <w:right w:val="nil"/>
                  </w:tcBorders>
                  <w:noWrap/>
                  <w:textDirection w:val="lrTb"/>
                  <w:vAlign w:val="top"/>
                </w:tcPr>
                <w:p w:rsidR="00232AD7" w:rsidRPr="007D5748" w:rsidP="00232AD7">
                  <w:pPr>
                    <w:tabs>
                      <w:tab w:val="num" w:pos="1080"/>
                    </w:tabs>
                    <w:bidi w:val="0"/>
                    <w:jc w:val="both"/>
                    <w:rPr>
                      <w:rFonts w:ascii="Times New Roman" w:hAnsi="Times New Roman"/>
                      <w:bCs/>
                      <w:szCs w:val="20"/>
                    </w:rPr>
                  </w:pPr>
                  <w:r w:rsidRPr="007D5748">
                    <w:rPr>
                      <w:rFonts w:ascii="Times New Roman" w:hAnsi="Times New Roman"/>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232AD7" w:rsidRPr="007D5748" w:rsidP="00232AD7">
                  <w:pPr>
                    <w:bidi w:val="0"/>
                    <w:jc w:val="both"/>
                    <w:rPr>
                      <w:rFonts w:ascii="Times New Roman" w:hAnsi="Times New Roman"/>
                    </w:rPr>
                  </w:pPr>
                  <w:r w:rsidRPr="007D5748">
                    <w:rPr>
                      <w:rFonts w:ascii="Times New Roman" w:hAnsi="Times New Roman"/>
                    </w:rPr>
                    <w:t>Priemerný mzdový výdavok je tvorený podielom mzdových výdavkov na jedného zamestnanca na jeden kalendárny mesiac bežného roka.</w:t>
                  </w:r>
                </w:p>
              </w:tc>
              <w:tc>
                <w:tcPr>
                  <w:tcW w:w="1621" w:type="dxa"/>
                  <w:gridSpan w:val="2"/>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r>
            <w:tr>
              <w:tblPrEx>
                <w:tblW w:w="15437" w:type="dxa"/>
                <w:tblCellMar>
                  <w:left w:w="70" w:type="dxa"/>
                  <w:right w:w="70" w:type="dxa"/>
                </w:tblCellMar>
              </w:tblPrEx>
              <w:trPr>
                <w:trHeight w:val="255"/>
              </w:trPr>
              <w:tc>
                <w:tcPr>
                  <w:tcW w:w="10394" w:type="dxa"/>
                  <w:gridSpan w:val="10"/>
                  <w:tcBorders>
                    <w:top w:val="nil"/>
                    <w:left w:val="nil"/>
                    <w:bottom w:val="nil"/>
                    <w:right w:val="nil"/>
                  </w:tcBorders>
                  <w:noWrap/>
                  <w:textDirection w:val="lrTb"/>
                  <w:vAlign w:val="bottom"/>
                </w:tcPr>
                <w:p w:rsidR="00232AD7" w:rsidRPr="007D5748" w:rsidP="00232AD7">
                  <w:pPr>
                    <w:bidi w:val="0"/>
                    <w:jc w:val="both"/>
                    <w:rPr>
                      <w:rFonts w:ascii="Times New Roman" w:hAnsi="Times New Roman"/>
                    </w:rPr>
                  </w:pPr>
                  <w:r w:rsidRPr="007D5748">
                    <w:rPr>
                      <w:rFonts w:ascii="Times New Roman" w:hAnsi="Times New Roman"/>
                    </w:rPr>
                    <w:t>Kategórie 610 a 620 sú z tejto prílohy prenášané do príslušných kategórií prílohy „výdavky“.</w:t>
                  </w:r>
                </w:p>
              </w:tc>
              <w:tc>
                <w:tcPr>
                  <w:tcW w:w="1700" w:type="dxa"/>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2352" w:type="dxa"/>
                  <w:gridSpan w:val="2"/>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c>
                <w:tcPr>
                  <w:tcW w:w="991" w:type="dxa"/>
                  <w:tcBorders>
                    <w:top w:val="nil"/>
                    <w:left w:val="nil"/>
                    <w:bottom w:val="nil"/>
                    <w:right w:val="nil"/>
                  </w:tcBorders>
                  <w:noWrap/>
                  <w:textDirection w:val="lrTb"/>
                  <w:vAlign w:val="bottom"/>
                </w:tcPr>
                <w:p w:rsidR="00232AD7" w:rsidRPr="007D5748" w:rsidP="00232AD7">
                  <w:pPr>
                    <w:bidi w:val="0"/>
                    <w:rPr>
                      <w:rFonts w:ascii="Times New Roman" w:hAnsi="Times New Roman"/>
                    </w:rPr>
                  </w:pPr>
                </w:p>
              </w:tc>
            </w:tr>
          </w:tbl>
          <w:p w:rsidR="00232AD7" w:rsidRPr="007D5748" w:rsidP="00E3363B">
            <w:pPr>
              <w:bidi w:val="0"/>
              <w:jc w:val="both"/>
              <w:rPr>
                <w:rFonts w:ascii="Times New Roman" w:hAnsi="Times New Roman"/>
              </w:rPr>
            </w:pPr>
          </w:p>
        </w:tc>
        <w:tc>
          <w:tcPr>
            <w:tcW w:w="1700" w:type="dxa"/>
            <w:tcBorders>
              <w:top w:val="nil"/>
              <w:left w:val="nil"/>
              <w:bottom w:val="nil"/>
              <w:right w:val="nil"/>
            </w:tcBorders>
            <w:noWrap/>
            <w:textDirection w:val="lrTb"/>
            <w:vAlign w:val="bottom"/>
          </w:tcPr>
          <w:p w:rsidR="00E3363B" w:rsidRPr="007D5748" w:rsidP="00E3363B">
            <w:pPr>
              <w:bidi w:val="0"/>
              <w:rPr>
                <w:rFonts w:ascii="Times New Roman" w:hAnsi="Times New Roman"/>
              </w:rPr>
            </w:pPr>
          </w:p>
        </w:tc>
        <w:tc>
          <w:tcPr>
            <w:tcW w:w="2352" w:type="dxa"/>
            <w:tcBorders>
              <w:top w:val="nil"/>
              <w:left w:val="nil"/>
              <w:bottom w:val="nil"/>
              <w:right w:val="nil"/>
            </w:tcBorders>
            <w:noWrap/>
            <w:textDirection w:val="lrTb"/>
            <w:vAlign w:val="bottom"/>
          </w:tcPr>
          <w:p w:rsidR="00E3363B" w:rsidRPr="007D5748" w:rsidP="00E3363B">
            <w:pPr>
              <w:bidi w:val="0"/>
              <w:rPr>
                <w:rFonts w:ascii="Times New Roman" w:hAnsi="Times New Roman"/>
              </w:rPr>
            </w:pPr>
          </w:p>
        </w:tc>
        <w:tc>
          <w:tcPr>
            <w:tcW w:w="991" w:type="dxa"/>
            <w:tcBorders>
              <w:top w:val="nil"/>
              <w:left w:val="nil"/>
              <w:bottom w:val="nil"/>
              <w:right w:val="nil"/>
            </w:tcBorders>
            <w:noWrap/>
            <w:textDirection w:val="lrTb"/>
            <w:vAlign w:val="bottom"/>
          </w:tcPr>
          <w:p w:rsidR="00E3363B" w:rsidRPr="007D5748" w:rsidP="00E3363B">
            <w:pPr>
              <w:bidi w:val="0"/>
              <w:rPr>
                <w:rFonts w:ascii="Times New Roman" w:hAnsi="Times New Roman"/>
              </w:rPr>
            </w:pPr>
          </w:p>
        </w:tc>
      </w:tr>
    </w:tbl>
    <w:p w:rsidR="00E3363B" w:rsidRPr="007D5748" w:rsidP="00E3363B">
      <w:pPr>
        <w:bidi w:val="0"/>
        <w:rPr>
          <w:rFonts w:ascii="Times New Roman" w:hAnsi="Times New Roman"/>
          <w:b/>
          <w:bCs/>
        </w:rPr>
        <w:sectPr>
          <w:pgSz w:w="16838" w:h="11906" w:orient="landscape"/>
          <w:pgMar w:top="1418" w:right="1418" w:bottom="1418" w:left="1418" w:header="709" w:footer="709" w:gutter="0"/>
          <w:lnNumType w:distance="0"/>
          <w:cols w:space="708"/>
          <w:noEndnote w:val="0"/>
          <w:bidi w:val="0"/>
          <w:docGrid w:linePitch="360"/>
        </w:sectPr>
      </w:pPr>
    </w:p>
    <w:tbl>
      <w:tblPr>
        <w:tblStyle w:val="TableNormal"/>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3363B" w:rsidRPr="00440CC5" w:rsidP="00E3363B">
            <w:pPr>
              <w:bidi w:val="0"/>
              <w:jc w:val="center"/>
              <w:rPr>
                <w:rFonts w:ascii="Times New Roman" w:hAnsi="Times New Roman"/>
                <w:b/>
                <w:szCs w:val="20"/>
              </w:rPr>
            </w:pPr>
            <w:r w:rsidRPr="00440CC5">
              <w:rPr>
                <w:rFonts w:ascii="Times New Roman" w:hAnsi="Times New Roman"/>
                <w:b/>
                <w:sz w:val="28"/>
                <w:szCs w:val="20"/>
              </w:rPr>
              <w:t xml:space="preserve">Analýza vplyvov na podnikateľské prostredie </w:t>
            </w:r>
          </w:p>
          <w:p w:rsidR="00E3363B" w:rsidRPr="00440CC5" w:rsidP="00E3363B">
            <w:pPr>
              <w:bidi w:val="0"/>
              <w:jc w:val="center"/>
              <w:rPr>
                <w:rFonts w:ascii="Times New Roman" w:hAnsi="Times New Roman"/>
                <w:b/>
                <w:sz w:val="20"/>
                <w:szCs w:val="20"/>
              </w:rPr>
            </w:pPr>
            <w:r w:rsidRPr="00440CC5">
              <w:rPr>
                <w:rFonts w:ascii="Times New Roman" w:hAnsi="Times New Roman"/>
                <w:b/>
                <w:szCs w:val="20"/>
              </w:rPr>
              <w:t>(vrátane testu MSP)</w:t>
            </w:r>
          </w:p>
        </w:tc>
      </w:tr>
      <w:tr>
        <w:tblPrEx>
          <w:tblW w:w="9468" w:type="dxa"/>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3363B" w:rsidRPr="00440CC5" w:rsidP="00E3363B">
            <w:pPr>
              <w:bidi w:val="0"/>
              <w:rPr>
                <w:rFonts w:ascii="Times New Roman" w:hAnsi="Times New Roman"/>
                <w:b/>
                <w:szCs w:val="20"/>
              </w:rPr>
            </w:pPr>
            <w:r w:rsidRPr="00440CC5">
              <w:rPr>
                <w:rFonts w:ascii="Times New Roman" w:hAnsi="Times New Roman"/>
                <w:b/>
                <w:szCs w:val="20"/>
              </w:rPr>
              <w:t>Materiál bude mať vplyv s ohľadom na veľkostnú kategóriu podnikov:</w:t>
            </w:r>
          </w:p>
        </w:tc>
      </w:tr>
    </w:tbl>
    <w:p w:rsidR="00E3363B" w:rsidP="00E3363B">
      <w:pPr>
        <w:bidi w:val="0"/>
        <w:rPr>
          <w:rFonts w:ascii="Times New Roman" w:hAnsi="Times New Roman"/>
          <w:b/>
          <w:bCs/>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roman"/>
    <w:pitch w:val="fixed"/>
    <w:sig w:usb0="00000000" w:usb1="00000000" w:usb2="00000000" w:usb3="00000000" w:csb0="00020000"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3B">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3363B">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3B">
    <w:pPr>
      <w:pStyle w:val="Footer"/>
      <w:bidi w:val="0"/>
      <w:jc w:val="right"/>
    </w:pPr>
    <w:r>
      <w:fldChar w:fldCharType="begin"/>
    </w:r>
    <w:r>
      <w:instrText>PAGE   \* MERGEFORMAT</w:instrText>
    </w:r>
    <w:r>
      <w:fldChar w:fldCharType="separate"/>
    </w:r>
    <w:r w:rsidR="00B203C4">
      <w:rPr>
        <w:noProof/>
      </w:rPr>
      <w:t>1</w:t>
    </w:r>
    <w:r>
      <w:fldChar w:fldCharType="end"/>
    </w:r>
  </w:p>
  <w:p w:rsidR="00E3363B">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3B">
    <w:pPr>
      <w:pStyle w:val="Footer"/>
      <w:bidi w:val="0"/>
      <w:jc w:val="right"/>
    </w:pPr>
    <w:r>
      <w:fldChar w:fldCharType="begin"/>
    </w:r>
    <w:r>
      <w:instrText>PAGE   \* MERGEFORMAT</w:instrText>
    </w:r>
    <w:r>
      <w:fldChar w:fldCharType="separate"/>
    </w:r>
    <w:r>
      <w:rPr>
        <w:noProof/>
      </w:rPr>
      <w:t>0</w:t>
    </w:r>
    <w:r>
      <w:fldChar w:fldCharType="end"/>
    </w:r>
  </w:p>
  <w:p w:rsidR="00E3363B">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3B" w:rsidP="00E3363B">
    <w:pPr>
      <w:pStyle w:val="Header"/>
      <w:bidi w:val="0"/>
      <w:jc w:val="right"/>
      <w:rPr>
        <w:rFonts w:hint="default"/>
        <w:sz w:val="24"/>
        <w:szCs w:val="24"/>
      </w:rPr>
    </w:pPr>
    <w:r>
      <w:rPr>
        <w:rFonts w:hint="default"/>
        <w:sz w:val="24"/>
        <w:szCs w:val="24"/>
      </w:rPr>
      <w:t>Prí</w:t>
    </w:r>
    <w:r>
      <w:rPr>
        <w:rFonts w:hint="default"/>
        <w:sz w:val="24"/>
        <w:szCs w:val="24"/>
      </w:rPr>
      <w:t>loha č</w:t>
    </w:r>
    <w:r>
      <w:rPr>
        <w:rFonts w:hint="default"/>
        <w:sz w:val="24"/>
        <w:szCs w:val="24"/>
      </w:rPr>
      <w:t>. 2</w:t>
    </w:r>
  </w:p>
  <w:p w:rsidR="00E3363B" w:rsidRPr="00EB59C8" w:rsidP="00E3363B">
    <w:pPr>
      <w:pStyle w:val="Header"/>
      <w:bidi w:val="0"/>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3B" w:rsidRPr="0024067A" w:rsidP="00E3363B">
    <w:pPr>
      <w:pStyle w:val="Header"/>
      <w:bidi w:val="0"/>
      <w:jc w:val="cente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3B" w:rsidRPr="000A15AE" w:rsidP="00E3363B">
    <w:pPr>
      <w:pStyle w:val="Header"/>
      <w:bidi w:val="0"/>
      <w:jc w:val="right"/>
      <w:rPr>
        <w:sz w:val="24"/>
        <w:szCs w:val="24"/>
      </w:rPr>
    </w:pPr>
    <w:r>
      <w:rPr>
        <w:rFonts w:hint="default"/>
        <w:sz w:val="24"/>
        <w:szCs w:val="24"/>
      </w:rPr>
      <w:t>Prí</w:t>
    </w:r>
    <w:r>
      <w:rPr>
        <w:rFonts w:hint="default"/>
        <w:sz w:val="24"/>
        <w:szCs w:val="24"/>
      </w:rPr>
      <w:t>loha č</w:t>
    </w:r>
    <w:r>
      <w:rPr>
        <w:rFonts w:hint="default"/>
        <w:sz w:val="24"/>
        <w:szCs w:val="24"/>
      </w:rPr>
      <w:t>.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866D9"/>
    <w:multiLevelType w:val="hybridMultilevel"/>
    <w:tmpl w:val="31C6F6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74A5550"/>
    <w:multiLevelType w:val="hybridMultilevel"/>
    <w:tmpl w:val="5EDEC1C2"/>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9A3591E"/>
    <w:multiLevelType w:val="hybridMultilevel"/>
    <w:tmpl w:val="310E57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F641899"/>
    <w:multiLevelType w:val="hybridMultilevel"/>
    <w:tmpl w:val="906C1CA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7ED5491"/>
    <w:multiLevelType w:val="hybridMultilevel"/>
    <w:tmpl w:val="2F54395C"/>
    <w:lvl w:ilvl="0">
      <w:start w:val="5"/>
      <w:numFmt w:val="bullet"/>
      <w:lvlText w:val="-"/>
      <w:lvlJc w:val="left"/>
      <w:pPr>
        <w:ind w:left="360" w:hanging="360"/>
      </w:pPr>
      <w:rPr>
        <w:rFonts w:ascii="Times New Roman" w:eastAsia="Times New Roman" w:hAnsi="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69872238"/>
    <w:multiLevelType w:val="hybridMultilevel"/>
    <w:tmpl w:val="E96202D0"/>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4263095"/>
    <w:multiLevelType w:val="hybridMultilevel"/>
    <w:tmpl w:val="0DB070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oNotTrackMoves/>
  <w:defaultTabStop w:val="708"/>
  <w:hyphenationZone w:val="425"/>
  <w:characterSpacingControl w:val="doNotCompress"/>
  <w:compat>
    <w:useFELayout/>
    <w:doNotUseIndentAsNumberingTabStop/>
    <w:allowSpaceOfSameStyleInTable/>
    <w:splitPgBreakAndParaMark/>
    <w:useAnsiKerningPairs/>
  </w:compat>
  <w:rsids>
    <w:rsidRoot w:val="00E3363B"/>
    <w:rsid w:val="00004226"/>
    <w:rsid w:val="00010A03"/>
    <w:rsid w:val="00011174"/>
    <w:rsid w:val="000506C4"/>
    <w:rsid w:val="0006482C"/>
    <w:rsid w:val="000A15AE"/>
    <w:rsid w:val="000A45A1"/>
    <w:rsid w:val="000E08FF"/>
    <w:rsid w:val="0010497B"/>
    <w:rsid w:val="00111F28"/>
    <w:rsid w:val="00166F3A"/>
    <w:rsid w:val="001729BF"/>
    <w:rsid w:val="001810B6"/>
    <w:rsid w:val="00184D21"/>
    <w:rsid w:val="00193CB5"/>
    <w:rsid w:val="001A65FB"/>
    <w:rsid w:val="001C1FC7"/>
    <w:rsid w:val="001C29C4"/>
    <w:rsid w:val="001D1FC8"/>
    <w:rsid w:val="002069EC"/>
    <w:rsid w:val="00212894"/>
    <w:rsid w:val="002271E7"/>
    <w:rsid w:val="00232AD7"/>
    <w:rsid w:val="0024067A"/>
    <w:rsid w:val="00262CD5"/>
    <w:rsid w:val="00294257"/>
    <w:rsid w:val="00296A5A"/>
    <w:rsid w:val="002A7E22"/>
    <w:rsid w:val="002B1B07"/>
    <w:rsid w:val="002E2766"/>
    <w:rsid w:val="00307925"/>
    <w:rsid w:val="00341B85"/>
    <w:rsid w:val="00352AF6"/>
    <w:rsid w:val="0035711F"/>
    <w:rsid w:val="003746BD"/>
    <w:rsid w:val="0038056D"/>
    <w:rsid w:val="00384331"/>
    <w:rsid w:val="003977A1"/>
    <w:rsid w:val="003B1841"/>
    <w:rsid w:val="003F10CA"/>
    <w:rsid w:val="00404706"/>
    <w:rsid w:val="00415876"/>
    <w:rsid w:val="00433FDF"/>
    <w:rsid w:val="00440CC5"/>
    <w:rsid w:val="0044128D"/>
    <w:rsid w:val="00454A80"/>
    <w:rsid w:val="004610DF"/>
    <w:rsid w:val="00490DE8"/>
    <w:rsid w:val="004A224C"/>
    <w:rsid w:val="004A2FED"/>
    <w:rsid w:val="004B4C6F"/>
    <w:rsid w:val="004B520D"/>
    <w:rsid w:val="004C4059"/>
    <w:rsid w:val="0051734B"/>
    <w:rsid w:val="0052166F"/>
    <w:rsid w:val="005353FD"/>
    <w:rsid w:val="00541AAA"/>
    <w:rsid w:val="005603E1"/>
    <w:rsid w:val="00574998"/>
    <w:rsid w:val="005A5FCF"/>
    <w:rsid w:val="005B53AA"/>
    <w:rsid w:val="005C059A"/>
    <w:rsid w:val="005C6B07"/>
    <w:rsid w:val="005E2BB4"/>
    <w:rsid w:val="005F0008"/>
    <w:rsid w:val="005F5AEC"/>
    <w:rsid w:val="00605C42"/>
    <w:rsid w:val="00605E65"/>
    <w:rsid w:val="00635F05"/>
    <w:rsid w:val="00665D9E"/>
    <w:rsid w:val="006B2D97"/>
    <w:rsid w:val="006B416C"/>
    <w:rsid w:val="006C1DF7"/>
    <w:rsid w:val="006F357D"/>
    <w:rsid w:val="006F556A"/>
    <w:rsid w:val="0072143A"/>
    <w:rsid w:val="00741776"/>
    <w:rsid w:val="007542C7"/>
    <w:rsid w:val="007B6937"/>
    <w:rsid w:val="007D5748"/>
    <w:rsid w:val="007E3A0D"/>
    <w:rsid w:val="007E57C0"/>
    <w:rsid w:val="0080670F"/>
    <w:rsid w:val="00824F0C"/>
    <w:rsid w:val="008364E5"/>
    <w:rsid w:val="00841CA8"/>
    <w:rsid w:val="00852472"/>
    <w:rsid w:val="00857A28"/>
    <w:rsid w:val="008C5C26"/>
    <w:rsid w:val="008D339D"/>
    <w:rsid w:val="008D3F07"/>
    <w:rsid w:val="0090482D"/>
    <w:rsid w:val="009523CC"/>
    <w:rsid w:val="009E57C5"/>
    <w:rsid w:val="009F3186"/>
    <w:rsid w:val="00A1107C"/>
    <w:rsid w:val="00A131D4"/>
    <w:rsid w:val="00A17A5D"/>
    <w:rsid w:val="00A30701"/>
    <w:rsid w:val="00A85E25"/>
    <w:rsid w:val="00A90694"/>
    <w:rsid w:val="00A929F2"/>
    <w:rsid w:val="00A97733"/>
    <w:rsid w:val="00AC61F5"/>
    <w:rsid w:val="00AC7E13"/>
    <w:rsid w:val="00AD2788"/>
    <w:rsid w:val="00AE1C83"/>
    <w:rsid w:val="00AE59EE"/>
    <w:rsid w:val="00B15B75"/>
    <w:rsid w:val="00B203C4"/>
    <w:rsid w:val="00B36689"/>
    <w:rsid w:val="00B41C07"/>
    <w:rsid w:val="00B61D60"/>
    <w:rsid w:val="00B70201"/>
    <w:rsid w:val="00BA36F6"/>
    <w:rsid w:val="00BA4608"/>
    <w:rsid w:val="00BA6726"/>
    <w:rsid w:val="00BB5354"/>
    <w:rsid w:val="00BC3AF1"/>
    <w:rsid w:val="00BC589B"/>
    <w:rsid w:val="00BD405A"/>
    <w:rsid w:val="00BF1F0B"/>
    <w:rsid w:val="00C01A6E"/>
    <w:rsid w:val="00C02E98"/>
    <w:rsid w:val="00C07C36"/>
    <w:rsid w:val="00C50BE8"/>
    <w:rsid w:val="00C61BC5"/>
    <w:rsid w:val="00C67C47"/>
    <w:rsid w:val="00C8432D"/>
    <w:rsid w:val="00CA447D"/>
    <w:rsid w:val="00CC478A"/>
    <w:rsid w:val="00CC6670"/>
    <w:rsid w:val="00CE20C5"/>
    <w:rsid w:val="00CE26E4"/>
    <w:rsid w:val="00CE56F1"/>
    <w:rsid w:val="00D101E8"/>
    <w:rsid w:val="00D1051F"/>
    <w:rsid w:val="00D95C2C"/>
    <w:rsid w:val="00DD6723"/>
    <w:rsid w:val="00E244E4"/>
    <w:rsid w:val="00E3363B"/>
    <w:rsid w:val="00E51151"/>
    <w:rsid w:val="00E8097B"/>
    <w:rsid w:val="00E833E0"/>
    <w:rsid w:val="00E9273A"/>
    <w:rsid w:val="00E94E31"/>
    <w:rsid w:val="00EA7022"/>
    <w:rsid w:val="00EB59C8"/>
    <w:rsid w:val="00ED1648"/>
    <w:rsid w:val="00ED7492"/>
    <w:rsid w:val="00F103F4"/>
    <w:rsid w:val="00F60DEF"/>
    <w:rsid w:val="00F66623"/>
    <w:rsid w:val="00F7747B"/>
    <w:rsid w:val="00F82E54"/>
    <w:rsid w:val="00F94526"/>
    <w:rsid w:val="00FA06DA"/>
    <w:rsid w:val="00FD26CB"/>
    <w:rsid w:val="00FD2F95"/>
    <w:rsid w:val="00FE368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6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7542C7"/>
    <w:pPr>
      <w:keepNext/>
      <w:spacing w:before="240" w:after="60"/>
      <w:jc w:val="left"/>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NormalWeb">
    <w:name w:val="Normal (Web)"/>
    <w:basedOn w:val="Normal"/>
    <w:semiHidden/>
    <w:unhideWhenUsed/>
    <w:rsid w:val="00E3363B"/>
    <w:pPr>
      <w:spacing w:before="100" w:beforeAutospacing="1" w:after="100" w:afterAutospacing="1"/>
      <w:jc w:val="left"/>
    </w:pPr>
  </w:style>
  <w:style w:type="paragraph" w:customStyle="1" w:styleId="Odsekzoznamu1">
    <w:name w:val="Odsek zoznamu1"/>
    <w:basedOn w:val="Normal"/>
    <w:qFormat/>
    <w:rsid w:val="00E3363B"/>
    <w:pPr>
      <w:ind w:left="720"/>
      <w:contextualSpacing/>
      <w:jc w:val="left"/>
    </w:pPr>
  </w:style>
  <w:style w:type="paragraph" w:styleId="Header">
    <w:name w:val="header"/>
    <w:basedOn w:val="Normal"/>
    <w:link w:val="HlavikaChar"/>
    <w:uiPriority w:val="99"/>
    <w:unhideWhenUsed/>
    <w:rsid w:val="00E3363B"/>
    <w:pPr>
      <w:tabs>
        <w:tab w:val="center" w:pos="4536"/>
        <w:tab w:val="right" w:pos="9072"/>
      </w:tabs>
      <w:jc w:val="left"/>
    </w:pPr>
    <w:rPr>
      <w:rFonts w:ascii="Times New Roman" w:eastAsia="MS Mincho" w:hAnsi="Times New Roman"/>
      <w:sz w:val="20"/>
      <w:szCs w:val="20"/>
    </w:rPr>
  </w:style>
  <w:style w:type="character" w:customStyle="1" w:styleId="HlavikaChar">
    <w:name w:val="Hlavička Char"/>
    <w:link w:val="Header"/>
    <w:uiPriority w:val="99"/>
    <w:locked/>
    <w:rsid w:val="00E3363B"/>
    <w:rPr>
      <w:lang w:val="sk-SK" w:eastAsia="sk-SK"/>
    </w:rPr>
  </w:style>
  <w:style w:type="paragraph" w:styleId="Footer">
    <w:name w:val="footer"/>
    <w:basedOn w:val="Normal"/>
    <w:link w:val="PtaChar"/>
    <w:uiPriority w:val="99"/>
    <w:unhideWhenUsed/>
    <w:rsid w:val="00E3363B"/>
    <w:pPr>
      <w:tabs>
        <w:tab w:val="center" w:pos="4536"/>
        <w:tab w:val="right" w:pos="9072"/>
      </w:tabs>
      <w:jc w:val="left"/>
    </w:pPr>
    <w:rPr>
      <w:rFonts w:ascii="Times New Roman" w:eastAsia="MS Mincho" w:hAnsi="Times New Roman"/>
      <w:sz w:val="20"/>
      <w:szCs w:val="20"/>
    </w:rPr>
  </w:style>
  <w:style w:type="character" w:customStyle="1" w:styleId="PtaChar">
    <w:name w:val="Päta Char"/>
    <w:link w:val="Footer"/>
    <w:uiPriority w:val="99"/>
    <w:locked/>
    <w:rsid w:val="00E3363B"/>
    <w:rPr>
      <w:lang w:val="sk-SK" w:eastAsia="sk-SK"/>
    </w:rPr>
  </w:style>
  <w:style w:type="character" w:styleId="PageNumber">
    <w:name w:val="page number"/>
    <w:uiPriority w:val="99"/>
    <w:rsid w:val="00E3363B"/>
  </w:style>
  <w:style w:type="paragraph" w:styleId="DocumentMap">
    <w:name w:val="Document Map"/>
    <w:basedOn w:val="Normal"/>
    <w:semiHidden/>
    <w:rsid w:val="00E3363B"/>
    <w:pPr>
      <w:shd w:val="clear" w:color="auto" w:fill="000080"/>
      <w:jc w:val="left"/>
    </w:pPr>
    <w:rPr>
      <w:rFonts w:ascii="Tahoma" w:hAnsi="Tahoma" w:cs="Tahoma"/>
      <w:sz w:val="20"/>
      <w:szCs w:val="20"/>
    </w:rPr>
  </w:style>
  <w:style w:type="paragraph" w:customStyle="1" w:styleId="Casti">
    <w:name w:val="Casti"/>
    <w:basedOn w:val="Heading1"/>
    <w:rsid w:val="007542C7"/>
    <w:pPr>
      <w:spacing w:before="360" w:after="360"/>
      <w:jc w:val="center"/>
    </w:pPr>
    <w:rPr>
      <w:rFonts w:ascii="Times New Roman" w:hAnsi="Times New Roman"/>
      <w:color w:val="000000"/>
      <w:sz w:val="24"/>
      <w:szCs w:val="24"/>
      <w:lang w:eastAsia="en-US"/>
    </w:rPr>
  </w:style>
  <w:style w:type="character" w:customStyle="1" w:styleId="Nadpis1Char">
    <w:name w:val="Nadpis 1 Char"/>
    <w:link w:val="Heading1"/>
    <w:locked/>
    <w:rsid w:val="007542C7"/>
    <w:rPr>
      <w:rFonts w:ascii="Cambria" w:hAnsi="Cambria" w:cs="Cambria"/>
      <w:b/>
      <w:kern w:val="32"/>
      <w:sz w:val="32"/>
    </w:rPr>
  </w:style>
  <w:style w:type="character" w:styleId="Hyperlink">
    <w:name w:val="Hyperlink"/>
    <w:rsid w:val="006F556A"/>
    <w:rPr>
      <w:color w:val="0000FF"/>
      <w:u w:val="single"/>
    </w:rPr>
  </w:style>
  <w:style w:type="paragraph" w:styleId="BodyText">
    <w:name w:val="Body Text"/>
    <w:basedOn w:val="Normal"/>
    <w:link w:val="ZkladntextChar"/>
    <w:rsid w:val="00BA4608"/>
    <w:pPr>
      <w:jc w:val="both"/>
    </w:pPr>
  </w:style>
  <w:style w:type="character" w:customStyle="1" w:styleId="ZkladntextChar">
    <w:name w:val="Základný text Char"/>
    <w:link w:val="BodyText"/>
    <w:locked/>
    <w:rsid w:val="00BA4608"/>
    <w:rPr>
      <w:rFonts w:eastAsia="Times New Roman"/>
      <w:sz w:val="24"/>
    </w:rPr>
  </w:style>
  <w:style w:type="table" w:styleId="TableGrid">
    <w:name w:val="Table Grid"/>
    <w:basedOn w:val="TableNormal"/>
    <w:uiPriority w:val="59"/>
    <w:rsid w:val="00CE2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stavceChar">
    <w:name w:val="Text odstavce Char"/>
    <w:link w:val="Textodstavce"/>
    <w:uiPriority w:val="99"/>
    <w:locked/>
    <w:rsid w:val="00CE20C5"/>
    <w:rPr>
      <w:rFonts w:ascii="Calibri" w:hAnsi="Calibri" w:cs="Calibri"/>
    </w:rPr>
  </w:style>
  <w:style w:type="paragraph" w:customStyle="1" w:styleId="Textodstavce">
    <w:name w:val="Text odstavce"/>
    <w:basedOn w:val="Normal"/>
    <w:link w:val="TextodstavceChar"/>
    <w:uiPriority w:val="99"/>
    <w:rsid w:val="00CE20C5"/>
    <w:pPr>
      <w:spacing w:before="120" w:after="120"/>
      <w:ind w:left="-62"/>
      <w:jc w:val="both"/>
    </w:pPr>
    <w:rPr>
      <w:rFonts w:ascii="Calibri" w:eastAsia="MS Mincho" w:hAnsi="Calibri"/>
      <w:sz w:val="20"/>
      <w:szCs w:val="20"/>
    </w:rPr>
  </w:style>
  <w:style w:type="character" w:customStyle="1" w:styleId="apple-converted-space">
    <w:name w:val="apple-converted-space"/>
    <w:rsid w:val="002069EC"/>
    <w:rPr>
      <w:rFonts w:ascii="Times New Roman" w:hAnsi="Times New Roman" w:cs="Times New Roman"/>
    </w:rPr>
  </w:style>
  <w:style w:type="paragraph" w:styleId="NoSpacing">
    <w:name w:val="No Spacing"/>
    <w:uiPriority w:val="1"/>
    <w:qFormat/>
    <w:rsid w:val="00CE26E4"/>
    <w:pPr>
      <w:framePr w:wrap="auto"/>
      <w:widowControl/>
      <w:autoSpaceDE/>
      <w:autoSpaceDN/>
      <w:adjustRightInd/>
      <w:ind w:left="0" w:right="0"/>
      <w:jc w:val="left"/>
      <w:textAlignment w:val="auto"/>
    </w:pPr>
    <w:rPr>
      <w:rFonts w:ascii="Calibri" w:eastAsia="MS Mincho" w:hAnsi="Calibri" w:cs="Times New Roman"/>
      <w:sz w:val="22"/>
      <w:szCs w:val="22"/>
      <w:rtl w:val="0"/>
      <w:cs w:val="0"/>
      <w:lang w:val="sk-SK" w:eastAsia="en-US" w:bidi="ar-SA"/>
    </w:rPr>
  </w:style>
  <w:style w:type="paragraph" w:styleId="ListParagraph">
    <w:name w:val="List Paragraph"/>
    <w:basedOn w:val="Normal"/>
    <w:uiPriority w:val="34"/>
    <w:qFormat/>
    <w:rsid w:val="00010A03"/>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7</Pages>
  <Words>1085</Words>
  <Characters>6191</Characters>
  <Application>Microsoft Office Word</Application>
  <DocSecurity>0</DocSecurity>
  <Lines>0</Lines>
  <Paragraphs>0</Paragraphs>
  <ScaleCrop>false</ScaleCrop>
  <Company>Regionálny úrad verejného zdravotníctva B. Bystrica</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auxtova</dc:creator>
  <cp:lastModifiedBy>Mário Fraňo</cp:lastModifiedBy>
  <cp:revision>2</cp:revision>
  <cp:lastPrinted>2017-04-28T12:12:00Z</cp:lastPrinted>
  <dcterms:created xsi:type="dcterms:W3CDTF">2018-04-23T14:57:00Z</dcterms:created>
  <dcterms:modified xsi:type="dcterms:W3CDTF">2018-04-23T14:57:00Z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COO.2145.1000.3.2432138</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8. 2. 2018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Pozitívne
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nie je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do 31. marca 2018</vt:lpwstr>
  </property>
  <property fmtid="{D5CDD505-2E9C-101B-9397-08002B2CF9AE}" pid="20" name="FSC#SKEDITIONSLOVLEX@103.510:AttrStrListDocPropLehotaPrebratieSmernice">
    <vt:lpwstr>       Nariadenie Európskeho parlamentu a rady (EÚ) 2017/852 zo 17. mája 2017 o ortuti a o zrušení nariadenia (ES) č. 1102/2008 do právneho poriadku Slovenskej republiky – potrebné dosiahnutie účinnosti do 1. júla 2018</vt:lpwstr>
  </property>
  <property fmtid="{D5CDD505-2E9C-101B-9397-08002B2CF9AE}" pid="21" name="FSC#SKEDITIONSLOVLEX@103.510:AttrStrListDocPropNazovPredpisuEU">
    <vt:lpwstr/>
  </property>
  <property fmtid="{D5CDD505-2E9C-101B-9397-08002B2CF9AE}" pid="22" name="FSC#SKEDITIONSLOVLEX@103.510:AttrStrListDocPropPoznamkaVplyv">
    <vt:lpwstr>Návrh zákona predpokladá zvýšenie príjmov verejnej správy, ktoré budú plynúť do rozpočtu kapitoly Ministerstva zdravotníctva SR. Pri predkladaní návrhu zákona, ale nie je možné vyčísliť pozitívny dopad, nakoľko nie je možné identifikovať počet rezidentov,</vt:lpwstr>
  </property>
  <property fmtid="{D5CDD505-2E9C-101B-9397-08002B2CF9AE}" pid="23" name="FSC#SKEDITIONSLOVLEX@103.510:AttrStrListDocPropPrimarnePravoEU">
    <vt:lpwstr>v čl. 4 ods. 2 písm. a), čl. 45, 49, 56, 78, 79 a 165 Zmluvy o fungovaní Európskej únie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 Smernica Európskeho parlamentu a Rady 2005/36/ES zo 7. septembra 2005 o uznávaní odborných kvalifikácií (Ú.v. EÚ L 255, 30.9.2005) v platnom znení.</vt:lpwstr>
  </property>
  <property fmtid="{D5CDD505-2E9C-101B-9397-08002B2CF9AE}" pid="27" name="FSC#SKEDITIONSLOVLEX@103.510:AttrStrListDocPropSekundarneLegPravoPO">
    <vt:lpwstr>       Nariadenie Európskeho parlamentu a rady (EÚ) 2017/852 zo 17. mája 2017 o ortuti a o zrušení nariadenia (ES) č. 1102/2008 do právneho poriadku Slovenskej republiky 
Smernica Európskeho parlamentu a Rady 2013/55/EÚ z 20. novembra 2013, ktorou sa men</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BRATISLAVA: 15. 2. 2018ČÍSLO: 026/2018                                       VYBAVUJE: MGR. KOVÁČSTANOVISKO KOMISIE (PREDBEŽNÉ PRIPOMIENKOVÉ KONANIE)K NÁVRHUZÁKONA, KTORÝM SA MENÍ A DOPĹŇA ZÁKON Č. 578/2004 Z. Z. O POSKYTOVATEĽOCH ZDRAVOTNEJ STAROSTLIVOS</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z ... 2018, ktorým sa mení a dopĺňa zákon č. 578/2004 Z. z. o poskytovateľoch zdravotnej starostlivosti, zdravotníckych pracovníkoch, stavovskýc</vt:lpwstr>
  </property>
  <property fmtid="{D5CDD505-2E9C-101B-9397-08002B2CF9AE}" pid="32" name="FSC#SKEDITIONSLOVLEX@103.510:AttrStrListDocPropTextPredklSpravy">
    <vt:lpwstr>&lt;p&gt;Návrh zákona, ktorým sa mení a&amp;nbsp;dopĺňa zákon č. 578/2004 Z. z. o poskytovateľoch zdravotnej starostlivosti, zdravotníckych pracovníkoch, stavovských organizáciách&amp;nbsp;v zdravotníctve a o zmene a doplnení niektorých zákonov v&amp;nbsp;znení neskorších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LP/2018/92</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hlavný štátny radca</vt:lpwstr>
  </property>
  <property fmtid="{D5CDD505-2E9C-101B-9397-08002B2CF9AE}" pid="119" name="FSC#SKEDITIONSLOVLEX@103.510:funkciaPredAkuzativ">
    <vt:lpwstr>hlavnému štátnemu radcovi</vt:lpwstr>
  </property>
  <property fmtid="{D5CDD505-2E9C-101B-9397-08002B2CF9AE}" pid="120" name="FSC#SKEDITIONSLOVLEX@103.510:funkciaPredDativ">
    <vt:lpwstr>hlavného štátneho radcu</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Správne právo</vt:lpwstr>
  </property>
  <property fmtid="{D5CDD505-2E9C-101B-9397-08002B2CF9AE}" pid="125" name="FSC#SKEDITIONSLOVLEX@103.510:nazovpredpis">
    <vt:lpwstr> z ... 2018, ktorým sa mení a dopĺňa zákon č. 578/2004 Z. z. o poskytovateľoch zdravotnej starostlivosti, zdravotníckych pracovníkoch, stavovských organizáciách v zdravotníctve a o zmene a doplnení niektorých zákonov v znení neskorších predpisov a ktorým </vt:lpwstr>
  </property>
  <property fmtid="{D5CDD505-2E9C-101B-9397-08002B2CF9AE}" pid="126" name="FSC#SKEDITIONSLOVLEX@103.510:nazovpredpis1">
    <vt:lpwstr>sa mení zákon č. 576/2004 Z. z. o zdravotnej starostlivosti, službách súvisiacich s poskytovaním zdravotnej starostlivosti a o zmene a doplnení niektorých zákonov v znení neskorších predpisov</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z ... 2018, ktorým sa mení a dopĺňa zákon č. 578/2004 Z. z. o poskytovateľoch zdravotnej starostlivosti, zdravotníckych pracovníkoch, stavovských organizáciách v zdravotníctve a o zmene a doplnení niektorých zákonov v znení neskorších predpisov a k</vt:lpwstr>
  </property>
  <property fmtid="{D5CDD505-2E9C-101B-9397-08002B2CF9AE}" pid="132" name="FSC#SKEDITIONSLOVLEX@103.510:plnynazovpredpis1">
    <vt:lpwstr>torým sa mení zákon č. 576/2004 Z. z. o zdravotnej starostlivosti, službách súvisiacich s poskytovaním zdravotnej starostlivosti a o zmene a doplnení niektorých zákonov v znení neskorších predpisov</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2018	</vt:lpwstr>
  </property>
  <property fmtid="{D5CDD505-2E9C-101B-9397-08002B2CF9AE}" pid="136" name="FSC#SKEDITIONSLOVLEX@103.510:povodpredpis">
    <vt:lpwstr>Slovlex (eLeg)</vt:lpwstr>
  </property>
  <property fmtid="{D5CDD505-2E9C-101B-9397-08002B2CF9AE}" pid="137" name="FSC#SKEDITIONSLOVLEX@103.510:predkladatel">
    <vt:lpwstr>Mgr. Zuzana Szakácsová</vt:lpwstr>
  </property>
  <property fmtid="{D5CDD505-2E9C-101B-9397-08002B2CF9AE}" pid="138" name="FSC#SKEDITIONSLOVLEX@103.510:predkladateliaObalSD">
    <vt:lpwstr>Tomáš Drucker
minister zdravotníctva Slovenskej republiky</vt:lpwstr>
  </property>
  <property fmtid="{D5CDD505-2E9C-101B-9397-08002B2CF9AE}" pid="139" name="FSC#SKEDITIONSLOVLEX@103.510:pripomienkovatelia">
    <vt:lpwstr/>
  </property>
  <property fmtid="{D5CDD505-2E9C-101B-9397-08002B2CF9AE}" pid="140" name="FSC#SKEDITIONSLOVLEX@103.510:rezortcislopredpis">
    <vt:lpwstr>S03243-2018-OL</vt:lpwstr>
  </property>
  <property fmtid="{D5CDD505-2E9C-101B-9397-08002B2CF9AE}" pid="141" name="FSC#SKEDITIONSLOVLEX@103.510:spiscislouv">
    <vt:lpwstr/>
  </property>
  <property fmtid="{D5CDD505-2E9C-101B-9397-08002B2CF9AE}" pid="142" name="FSC#SKEDITIONSLOVLEX@103.510:spravaucastverej">
    <vt:lpwstr>&lt;p style="margin: 0cm 0cm 10pt; text-indent: 35.4pt;"&gt;&lt;span style="line-height: 115%; font-family: &amp;quot;Times New Roman&amp;quot;,serif; font-size: 12pt; mso-bidi-font-size: 11.0pt;"&gt;Verejnosť bola o&amp;nbsp;príprave návrhu zákona, ktorým sa mení a dopĺňa zákon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14. 2. 2018</vt:lpwstr>
  </property>
  <property fmtid="{D5CDD505-2E9C-101B-9397-08002B2CF9AE}" pid="150" name="FSC#SKEDITIONSLOVLEX@103.510:vztahypredpis">
    <vt:lpwstr/>
  </property>
  <property fmtid="{D5CDD505-2E9C-101B-9397-08002B2CF9AE}" pid="151" name="FSC#SKEDITIONSLOVLEX@103.510:zodpinstitucia">
    <vt:lpwstr>Ministerstvo zdravotníctva Slovenskej republiky</vt:lpwstr>
  </property>
  <property fmtid="{D5CDD505-2E9C-101B-9397-08002B2CF9AE}" pid="152" name="FSC#SKEDITIONSLOVLEX@103.510:zodppredkladatel">
    <vt:lpwstr>Tomáš Drucker</vt:lpwstr>
  </property>
</Properties>
</file>